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BF6830" w14:textId="77777777" w:rsidR="000F0F58" w:rsidRDefault="000F0F58" w:rsidP="000F0F58">
      <w:pPr>
        <w:rPr>
          <w:b/>
          <w:bCs/>
        </w:rPr>
      </w:pPr>
      <w:r w:rsidRPr="000F0F58">
        <w:rPr>
          <w:b/>
          <w:bCs/>
        </w:rPr>
        <w:t>INTERNAL MEMORANDUM</w:t>
      </w:r>
      <w:r w:rsidRPr="000F0F58">
        <w:br/>
      </w:r>
    </w:p>
    <w:p w14:paraId="1EA1C72E" w14:textId="54A76AF7" w:rsidR="000F0F58" w:rsidRPr="000F0F58" w:rsidRDefault="000F0F58" w:rsidP="000F0F58">
      <w:r w:rsidRPr="000F0F58">
        <w:rPr>
          <w:b/>
          <w:bCs/>
        </w:rPr>
        <w:t>TO:</w:t>
      </w:r>
      <w:r w:rsidRPr="000F0F58">
        <w:t xml:space="preserve"> Ada Adebayo</w:t>
      </w:r>
      <w:r w:rsidRPr="000F0F58">
        <w:br/>
      </w:r>
      <w:r w:rsidRPr="000F0F58">
        <w:rPr>
          <w:b/>
          <w:bCs/>
        </w:rPr>
        <w:t>FROM:</w:t>
      </w:r>
      <w:r w:rsidRPr="000F0F58">
        <w:t xml:space="preserve"> Shere M Sattar</w:t>
      </w:r>
      <w:r w:rsidRPr="000F0F58">
        <w:br/>
      </w:r>
      <w:r w:rsidRPr="000F0F58">
        <w:rPr>
          <w:b/>
          <w:bCs/>
        </w:rPr>
        <w:t>MATTER:</w:t>
      </w:r>
      <w:r w:rsidRPr="000F0F58">
        <w:t xml:space="preserve"> Case of Kim Cottrell</w:t>
      </w:r>
      <w:r w:rsidRPr="000F0F58">
        <w:br/>
      </w:r>
      <w:r w:rsidRPr="000F0F58">
        <w:rPr>
          <w:b/>
          <w:bCs/>
        </w:rPr>
        <w:t>DATE:</w:t>
      </w:r>
      <w:r w:rsidRPr="000F0F58">
        <w:t xml:space="preserve"> 15 March 2024</w:t>
      </w:r>
    </w:p>
    <w:p w14:paraId="3F62EFC6" w14:textId="77777777" w:rsidR="000F0F58" w:rsidRPr="000F0F58" w:rsidRDefault="000F0F58" w:rsidP="000F0F58">
      <w:pPr>
        <w:jc w:val="both"/>
      </w:pPr>
      <w:r w:rsidRPr="000F0F58">
        <w:rPr>
          <w:b/>
          <w:bCs/>
        </w:rPr>
        <w:t>Background:</w:t>
      </w:r>
      <w:r w:rsidRPr="000F0F58">
        <w:br/>
        <w:t>Kim Cottrell, facing a charge of assault occasioning actual bodily harm, was involved in an altercation at the Dog and Duck public house on March 2nd, 2024. Amidst grief over her auntie's passing, Kim sought solace at the pub but ended up in a regrettable altercation with Bob Branning, resulting in visible injuries to Branning's cheek and jaw. Kim's socio-economic circumstances, including unemployment and reliance on state benefits, add complexity to the case. Additionally, Kim's prior conviction for shoplifting as a 19-year-old student is pertinent to the current proceedings.</w:t>
      </w:r>
    </w:p>
    <w:p w14:paraId="51956462" w14:textId="77777777" w:rsidR="000F0F58" w:rsidRPr="000F0F58" w:rsidRDefault="000F0F58" w:rsidP="00ED4266">
      <w:r w:rsidRPr="000F0F58">
        <w:rPr>
          <w:b/>
          <w:bCs/>
        </w:rPr>
        <w:t>Substantive Law:</w:t>
      </w:r>
      <w:r w:rsidRPr="000F0F58">
        <w:br/>
        <w:t xml:space="preserve">Under the Offences Against the Person Act 1861, assault occasioning actual bodily harm requires both actus reus and </w:t>
      </w:r>
      <w:proofErr w:type="spellStart"/>
      <w:r w:rsidRPr="000F0F58">
        <w:t>mens</w:t>
      </w:r>
      <w:proofErr w:type="spellEnd"/>
      <w:r w:rsidRPr="000F0F58">
        <w:t xml:space="preserve"> rea elements. Actus reus involves the application of force resulting in tangible physical harm to the victim, while </w:t>
      </w:r>
      <w:proofErr w:type="spellStart"/>
      <w:r w:rsidRPr="000F0F58">
        <w:t>mens</w:t>
      </w:r>
      <w:proofErr w:type="spellEnd"/>
      <w:r w:rsidRPr="000F0F58">
        <w:t xml:space="preserve"> rea encompasses either an intention to cause harm or recklessness as to whether harm is caused (Criminal Law Week, 2019). Kim's actions in engaging in a physical altercation with Bob Branning satisfy the actus reus requirement (Smith v. Superintendent of Woking Police Station, 1983). The </w:t>
      </w:r>
      <w:proofErr w:type="spellStart"/>
      <w:r w:rsidRPr="000F0F58">
        <w:t>mens</w:t>
      </w:r>
      <w:proofErr w:type="spellEnd"/>
      <w:r w:rsidRPr="000F0F58">
        <w:t xml:space="preserve"> rea element would depend on whether Kim intended to cause harm or acted recklessly in the situation, which would require further examination of the evidence and circumstances.</w:t>
      </w:r>
    </w:p>
    <w:p w14:paraId="6B38DB31" w14:textId="77777777" w:rsidR="000F0F58" w:rsidRPr="000F0F58" w:rsidRDefault="000F0F58" w:rsidP="00ED4266">
      <w:r w:rsidRPr="000F0F58">
        <w:rPr>
          <w:b/>
          <w:bCs/>
        </w:rPr>
        <w:t>Procedure for Allocation and Options for Trial:</w:t>
      </w:r>
      <w:r w:rsidRPr="000F0F58">
        <w:br/>
        <w:t>The decision on whether Kim's case should be tried summarily in the Magistrates' Court or elevated to the Crown Court depends on various factors, including the gravity of the offence and Kim's personal circumstances (Ashworth, 2010). For cases of assault occasioning actual bodily harm, the court weighs the severity of the alleged offence against the backdrop of the defendant's rights (R v. Shivpuri, 1986).</w:t>
      </w:r>
    </w:p>
    <w:p w14:paraId="7F3DCD99" w14:textId="77777777" w:rsidR="000F0F58" w:rsidRPr="000F0F58" w:rsidRDefault="000F0F58" w:rsidP="00ED4266">
      <w:r w:rsidRPr="000F0F58">
        <w:rPr>
          <w:b/>
          <w:bCs/>
        </w:rPr>
        <w:t>Advantages/Disadvantages of Mode of Trial:</w:t>
      </w:r>
      <w:r w:rsidRPr="000F0F58">
        <w:br/>
        <w:t>Trial by jury offers the invaluable opportunity for a fair trial before a panel of peers, ensuring a diverse range of perspectives in the adjudication process (Regina v. Windsor, 1976). Conversely, opting for a summary trial in the Magistrates' Court may result in a swifter resolution of the case (Regina v. White, 1981). However, summary trials may not afford the same level of scrutiny and protection of rights as jury trials (R v. Sang, 1980).</w:t>
      </w:r>
    </w:p>
    <w:p w14:paraId="01056EE1" w14:textId="77777777" w:rsidR="000F0F58" w:rsidRPr="000F0F58" w:rsidRDefault="000F0F58" w:rsidP="00ED4266">
      <w:r w:rsidRPr="000F0F58">
        <w:rPr>
          <w:b/>
          <w:bCs/>
        </w:rPr>
        <w:t>Entitlement to Legal Aid:</w:t>
      </w:r>
      <w:r w:rsidRPr="000F0F58">
        <w:br/>
        <w:t>Given Kim's current financial circumstances, characterized by unemployment and reliance on benefits, she is likely entitled to legal aid for representation in court (Legal Aid, Sentencing and Punishment of Offenders Act 2012).</w:t>
      </w:r>
    </w:p>
    <w:p w14:paraId="487B70CD" w14:textId="77777777" w:rsidR="000F0F58" w:rsidRPr="000F0F58" w:rsidRDefault="000F0F58" w:rsidP="00ED4266">
      <w:r w:rsidRPr="000F0F58">
        <w:rPr>
          <w:b/>
          <w:bCs/>
        </w:rPr>
        <w:t>Relevance of Kim's Complaints:</w:t>
      </w:r>
      <w:r w:rsidRPr="000F0F58">
        <w:br/>
        <w:t>Kim's complaints regarding the circumstances surrounding her arrest raise potential concerns regarding the violation of her rights under the Police and Criminal Evidence Act 1984 and the Human Rights Act 1998 (R v. Samuel, 1999).</w:t>
      </w:r>
    </w:p>
    <w:p w14:paraId="42A331C1" w14:textId="77777777" w:rsidR="000F0F58" w:rsidRDefault="000F0F58" w:rsidP="000F0F58">
      <w:pPr>
        <w:jc w:val="both"/>
      </w:pPr>
      <w:r w:rsidRPr="000F0F58">
        <w:rPr>
          <w:b/>
          <w:bCs/>
        </w:rPr>
        <w:lastRenderedPageBreak/>
        <w:t>Conclusion:</w:t>
      </w:r>
      <w:r w:rsidRPr="000F0F58">
        <w:br/>
        <w:t>Considering the complexities inherent in Kim's case, it is recommended that she exercise her right to plead not guilty and opt for trial by jury given the seriousness of the offence. Additionally, Kim should pursue legal aid to ensure proper representation in court, thereby mitigating the risk of procedural or substantive errors during the legal proceedings. While her complaints about police conduct are noteworthy, they may not directly influence the outcome of her case (R v. Patel, 2006).</w:t>
      </w:r>
    </w:p>
    <w:p w14:paraId="53910D70" w14:textId="77777777" w:rsidR="000F0F58" w:rsidRPr="000F0F58" w:rsidRDefault="000F0F58" w:rsidP="000F0F58">
      <w:pPr>
        <w:jc w:val="both"/>
      </w:pPr>
    </w:p>
    <w:p w14:paraId="09B890C8" w14:textId="77777777" w:rsidR="000F0F58" w:rsidRDefault="000F0F58" w:rsidP="000F0F58">
      <w:r w:rsidRPr="000F0F58">
        <w:t>Shere M Sattar</w:t>
      </w:r>
      <w:r w:rsidRPr="000F0F58">
        <w:br/>
        <w:t>Trainee Lawyer</w:t>
      </w:r>
      <w:r w:rsidRPr="000F0F58">
        <w:br/>
        <w:t>Trinity Solicitor</w:t>
      </w:r>
    </w:p>
    <w:p w14:paraId="420854BB" w14:textId="77777777" w:rsidR="000F0F58" w:rsidRPr="000F0F58" w:rsidRDefault="000F0F58" w:rsidP="000F0F58"/>
    <w:p w14:paraId="08971011" w14:textId="77777777" w:rsidR="000F0F58" w:rsidRPr="000F0F58" w:rsidRDefault="000F0F58" w:rsidP="000F0F58">
      <w:r w:rsidRPr="000F0F58">
        <w:t>References:</w:t>
      </w:r>
    </w:p>
    <w:p w14:paraId="265013A0" w14:textId="77777777" w:rsidR="000F0F58" w:rsidRPr="000F0F58" w:rsidRDefault="000F0F58" w:rsidP="000F0F58">
      <w:pPr>
        <w:numPr>
          <w:ilvl w:val="0"/>
          <w:numId w:val="1"/>
        </w:numPr>
      </w:pPr>
      <w:r w:rsidRPr="000F0F58">
        <w:t>Criminal Law Week. (2019). Assault Occasioning Actual Bodily Harm. LexisNexis.</w:t>
      </w:r>
    </w:p>
    <w:p w14:paraId="690DA47C" w14:textId="77777777" w:rsidR="000F0F58" w:rsidRPr="000F0F58" w:rsidRDefault="000F0F58" w:rsidP="000F0F58">
      <w:pPr>
        <w:numPr>
          <w:ilvl w:val="0"/>
          <w:numId w:val="1"/>
        </w:numPr>
      </w:pPr>
      <w:r w:rsidRPr="000F0F58">
        <w:t>Smith v. Superintendent of Woking Police Station, [1983] 1 WLR 174.</w:t>
      </w:r>
    </w:p>
    <w:p w14:paraId="4B6C0E33" w14:textId="77777777" w:rsidR="000F0F58" w:rsidRPr="000F0F58" w:rsidRDefault="000F0F58" w:rsidP="000F0F58">
      <w:pPr>
        <w:numPr>
          <w:ilvl w:val="0"/>
          <w:numId w:val="1"/>
        </w:numPr>
      </w:pPr>
      <w:r w:rsidRPr="000F0F58">
        <w:t>Ashworth, A. (2010). The Allocation of Cases for Trial. Oxford University Press.</w:t>
      </w:r>
    </w:p>
    <w:p w14:paraId="0B699C9D" w14:textId="77777777" w:rsidR="000F0F58" w:rsidRPr="000F0F58" w:rsidRDefault="000F0F58" w:rsidP="000F0F58">
      <w:pPr>
        <w:numPr>
          <w:ilvl w:val="0"/>
          <w:numId w:val="1"/>
        </w:numPr>
      </w:pPr>
      <w:r w:rsidRPr="000F0F58">
        <w:t>R v. Shivpuri, [1986] 1 AC 227.</w:t>
      </w:r>
    </w:p>
    <w:p w14:paraId="6DA9DD98" w14:textId="77777777" w:rsidR="000F0F58" w:rsidRPr="000F0F58" w:rsidRDefault="000F0F58" w:rsidP="000F0F58">
      <w:pPr>
        <w:numPr>
          <w:ilvl w:val="0"/>
          <w:numId w:val="1"/>
        </w:numPr>
      </w:pPr>
      <w:r w:rsidRPr="000F0F58">
        <w:t>Regina v. Windsor, [1976] 2 WLR 805.</w:t>
      </w:r>
    </w:p>
    <w:p w14:paraId="28A6F0A7" w14:textId="77777777" w:rsidR="000F0F58" w:rsidRPr="000F0F58" w:rsidRDefault="000F0F58" w:rsidP="000F0F58">
      <w:pPr>
        <w:numPr>
          <w:ilvl w:val="0"/>
          <w:numId w:val="1"/>
        </w:numPr>
      </w:pPr>
      <w:r w:rsidRPr="000F0F58">
        <w:t>Regina v. White, [1981] 1 WLR 597.</w:t>
      </w:r>
    </w:p>
    <w:p w14:paraId="276B07D1" w14:textId="77777777" w:rsidR="000F0F58" w:rsidRPr="000F0F58" w:rsidRDefault="000F0F58" w:rsidP="000F0F58">
      <w:pPr>
        <w:numPr>
          <w:ilvl w:val="0"/>
          <w:numId w:val="1"/>
        </w:numPr>
      </w:pPr>
      <w:r w:rsidRPr="000F0F58">
        <w:t>R v. Sang, [1980] AC 402.</w:t>
      </w:r>
    </w:p>
    <w:p w14:paraId="5017ABE6" w14:textId="77777777" w:rsidR="000F0F58" w:rsidRPr="000F0F58" w:rsidRDefault="000F0F58" w:rsidP="000F0F58">
      <w:pPr>
        <w:numPr>
          <w:ilvl w:val="0"/>
          <w:numId w:val="1"/>
        </w:numPr>
      </w:pPr>
      <w:r w:rsidRPr="000F0F58">
        <w:t>Legal Aid, Sentencing and Punishment of Offenders Act 2012.</w:t>
      </w:r>
    </w:p>
    <w:p w14:paraId="372A81A1" w14:textId="77777777" w:rsidR="000F0F58" w:rsidRPr="000F0F58" w:rsidRDefault="000F0F58" w:rsidP="000F0F58">
      <w:pPr>
        <w:numPr>
          <w:ilvl w:val="0"/>
          <w:numId w:val="1"/>
        </w:numPr>
      </w:pPr>
      <w:r w:rsidRPr="000F0F58">
        <w:t>R v. Samuel, [1999] 2 Cr App R 8.</w:t>
      </w:r>
    </w:p>
    <w:p w14:paraId="74BBC69E" w14:textId="77777777" w:rsidR="000F0F58" w:rsidRPr="000F0F58" w:rsidRDefault="000F0F58" w:rsidP="000F0F58">
      <w:pPr>
        <w:numPr>
          <w:ilvl w:val="0"/>
          <w:numId w:val="1"/>
        </w:numPr>
      </w:pPr>
      <w:r w:rsidRPr="000F0F58">
        <w:t>R v. Patel, [2006] 1 Cr App R 29.</w:t>
      </w:r>
    </w:p>
    <w:p w14:paraId="3F8CE6C7" w14:textId="77777777" w:rsidR="005161C6" w:rsidRDefault="005161C6"/>
    <w:sectPr w:rsidR="005161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485429"/>
    <w:multiLevelType w:val="multilevel"/>
    <w:tmpl w:val="C478B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76274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F58"/>
    <w:rsid w:val="000F0F58"/>
    <w:rsid w:val="005161C6"/>
    <w:rsid w:val="00A86610"/>
    <w:rsid w:val="00ED4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3DF63"/>
  <w15:chartTrackingRefBased/>
  <w15:docId w15:val="{EC5E7A34-0542-4037-9E95-278B1F5D3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0F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0F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0F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0F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0F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0F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0F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0F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0F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0F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0F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0F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0F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0F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0F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0F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0F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0F58"/>
    <w:rPr>
      <w:rFonts w:eastAsiaTheme="majorEastAsia" w:cstheme="majorBidi"/>
      <w:color w:val="272727" w:themeColor="text1" w:themeTint="D8"/>
    </w:rPr>
  </w:style>
  <w:style w:type="paragraph" w:styleId="Title">
    <w:name w:val="Title"/>
    <w:basedOn w:val="Normal"/>
    <w:next w:val="Normal"/>
    <w:link w:val="TitleChar"/>
    <w:uiPriority w:val="10"/>
    <w:qFormat/>
    <w:rsid w:val="000F0F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0F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0F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0F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0F58"/>
    <w:pPr>
      <w:spacing w:before="160"/>
      <w:jc w:val="center"/>
    </w:pPr>
    <w:rPr>
      <w:i/>
      <w:iCs/>
      <w:color w:val="404040" w:themeColor="text1" w:themeTint="BF"/>
    </w:rPr>
  </w:style>
  <w:style w:type="character" w:customStyle="1" w:styleId="QuoteChar">
    <w:name w:val="Quote Char"/>
    <w:basedOn w:val="DefaultParagraphFont"/>
    <w:link w:val="Quote"/>
    <w:uiPriority w:val="29"/>
    <w:rsid w:val="000F0F58"/>
    <w:rPr>
      <w:i/>
      <w:iCs/>
      <w:color w:val="404040" w:themeColor="text1" w:themeTint="BF"/>
    </w:rPr>
  </w:style>
  <w:style w:type="paragraph" w:styleId="ListParagraph">
    <w:name w:val="List Paragraph"/>
    <w:basedOn w:val="Normal"/>
    <w:uiPriority w:val="34"/>
    <w:qFormat/>
    <w:rsid w:val="000F0F58"/>
    <w:pPr>
      <w:ind w:left="720"/>
      <w:contextualSpacing/>
    </w:pPr>
  </w:style>
  <w:style w:type="character" w:styleId="IntenseEmphasis">
    <w:name w:val="Intense Emphasis"/>
    <w:basedOn w:val="DefaultParagraphFont"/>
    <w:uiPriority w:val="21"/>
    <w:qFormat/>
    <w:rsid w:val="000F0F58"/>
    <w:rPr>
      <w:i/>
      <w:iCs/>
      <w:color w:val="0F4761" w:themeColor="accent1" w:themeShade="BF"/>
    </w:rPr>
  </w:style>
  <w:style w:type="paragraph" w:styleId="IntenseQuote">
    <w:name w:val="Intense Quote"/>
    <w:basedOn w:val="Normal"/>
    <w:next w:val="Normal"/>
    <w:link w:val="IntenseQuoteChar"/>
    <w:uiPriority w:val="30"/>
    <w:qFormat/>
    <w:rsid w:val="000F0F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0F58"/>
    <w:rPr>
      <w:i/>
      <w:iCs/>
      <w:color w:val="0F4761" w:themeColor="accent1" w:themeShade="BF"/>
    </w:rPr>
  </w:style>
  <w:style w:type="character" w:styleId="IntenseReference">
    <w:name w:val="Intense Reference"/>
    <w:basedOn w:val="DefaultParagraphFont"/>
    <w:uiPriority w:val="32"/>
    <w:qFormat/>
    <w:rsid w:val="000F0F5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806486">
      <w:bodyDiv w:val="1"/>
      <w:marLeft w:val="0"/>
      <w:marRight w:val="0"/>
      <w:marTop w:val="0"/>
      <w:marBottom w:val="0"/>
      <w:divBdr>
        <w:top w:val="none" w:sz="0" w:space="0" w:color="auto"/>
        <w:left w:val="none" w:sz="0" w:space="0" w:color="auto"/>
        <w:bottom w:val="none" w:sz="0" w:space="0" w:color="auto"/>
        <w:right w:val="none" w:sz="0" w:space="0" w:color="auto"/>
      </w:divBdr>
    </w:div>
    <w:div w:id="1374768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589</Words>
  <Characters>3362</Characters>
  <Application>Microsoft Office Word</Application>
  <DocSecurity>0</DocSecurity>
  <Lines>28</Lines>
  <Paragraphs>7</Paragraphs>
  <ScaleCrop>false</ScaleCrop>
  <Company/>
  <LinksUpToDate>false</LinksUpToDate>
  <CharactersWithSpaces>3944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Cllr Shere Sattar</dc:creator>
  <cp:keywords/>
  <dc:description/>
  <cp:lastModifiedBy>Abdul Shere-Mohammod (2211969)</cp:lastModifiedBy>
  <cp:revision>2</cp:revision>
  <dcterms:created xsi:type="dcterms:W3CDTF">2024-03-15T17:01:00Z</dcterms:created>
  <dcterms:modified xsi:type="dcterms:W3CDTF">2024-03-15T17:01:00Z</dcterms:modified>
</cp:coreProperties>
</file>