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p>
    <w:p>
      <w:pPr>
        <w:spacing w:before="0" w:after="300" w:line="360"/>
        <w:ind w:right="0" w:left="0" w:firstLine="0"/>
        <w:jc w:val="center"/>
        <w:rPr>
          <w:rFonts w:ascii="Times New Roman" w:hAnsi="Times New Roman" w:cs="Times New Roman" w:eastAsia="Times New Roman"/>
          <w:b/>
          <w:color w:val="262626"/>
          <w:spacing w:val="5"/>
          <w:position w:val="0"/>
          <w:sz w:val="36"/>
          <w:shd w:fill="auto" w:val="clear"/>
        </w:rPr>
      </w:pPr>
      <w:r>
        <w:rPr>
          <w:rFonts w:ascii="Times New Roman" w:hAnsi="Times New Roman" w:cs="Times New Roman" w:eastAsia="Times New Roman"/>
          <w:b/>
          <w:color w:val="262626"/>
          <w:spacing w:val="5"/>
          <w:position w:val="0"/>
          <w:sz w:val="36"/>
          <w:shd w:fill="auto" w:val="clear"/>
        </w:rPr>
        <w:t xml:space="preserve">Accounting Fundamentals Assessment 1</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Ionut Cernea</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w:t>
      </w:r>
      <w:r>
        <w:rPr>
          <w:rFonts w:ascii="Times New Roman" w:hAnsi="Times New Roman" w:cs="Times New Roman" w:eastAsia="Times New Roman"/>
          <w:color w:val="auto"/>
          <w:spacing w:val="0"/>
          <w:position w:val="0"/>
          <w:sz w:val="24"/>
          <w:shd w:fill="auto" w:val="clear"/>
        </w:rPr>
        <w:t xml:space="preserve">1917345</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University of Wales Trinity Saint David</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BAMB Level 4, Group 2 Weekend</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Lecturer Name: Emad Elkhashen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tabs>
          <w:tab w:val="right" w:pos="9350" w:leader="dot"/>
        </w:tabs>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Question 1</w:t>
      </w:r>
      <w:r>
        <w:rPr>
          <w:rFonts w:ascii="Times New Roman" w:hAnsi="Times New Roman" w:cs="Times New Roman" w:eastAsia="Times New Roman"/>
          <w:color w:val="auto"/>
          <w:spacing w:val="0"/>
          <w:position w:val="0"/>
          <w:sz w:val="24"/>
          <w:shd w:fill="auto" w:val="clear"/>
        </w:rPr>
        <w:tab/>
        <w:t xml:space="preserve">3</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Question 2</w:t>
      </w:r>
      <w:r>
        <w:rPr>
          <w:rFonts w:ascii="Times New Roman" w:hAnsi="Times New Roman" w:cs="Times New Roman" w:eastAsia="Times New Roman"/>
          <w:color w:val="auto"/>
          <w:spacing w:val="0"/>
          <w:position w:val="0"/>
          <w:sz w:val="24"/>
          <w:shd w:fill="auto" w:val="clear"/>
        </w:rPr>
        <w:tab/>
        <w:t xml:space="preserve">9</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Question 3</w:t>
      </w:r>
      <w:r>
        <w:rPr>
          <w:rFonts w:ascii="Times New Roman" w:hAnsi="Times New Roman" w:cs="Times New Roman" w:eastAsia="Times New Roman"/>
          <w:color w:val="auto"/>
          <w:spacing w:val="0"/>
          <w:position w:val="0"/>
          <w:sz w:val="24"/>
          <w:shd w:fill="auto" w:val="clear"/>
        </w:rPr>
        <w:tab/>
        <w:t xml:space="preserve">13</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Reference List</w:t>
      </w:r>
      <w:r>
        <w:rPr>
          <w:rFonts w:ascii="Times New Roman" w:hAnsi="Times New Roman" w:cs="Times New Roman" w:eastAsia="Times New Roman"/>
          <w:color w:val="auto"/>
          <w:spacing w:val="0"/>
          <w:position w:val="0"/>
          <w:sz w:val="24"/>
          <w:shd w:fill="auto" w:val="clear"/>
        </w:rPr>
        <w:tab/>
        <w:t xml:space="preserve">17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1</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Prepare Wales plc’s income statement for the year ended 31st December 2019 and a Statement of Financial Position as at that date.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Reporting the financial position and performance of an organisation is one of its major functions (Grigora</w:t>
      </w:r>
      <w:r>
        <w:rPr>
          <w:rFonts w:ascii="Times New Roman" w:hAnsi="Times New Roman" w:cs="Times New Roman" w:eastAsia="Times New Roman"/>
          <w:color w:val="auto"/>
          <w:spacing w:val="0"/>
          <w:position w:val="0"/>
          <w:sz w:val="24"/>
          <w:shd w:fill="auto" w:val="clear"/>
        </w:rPr>
        <w:t xml:space="preserve">ș-Ichim and Morosan-Danila, 2016). In order to report the financial position and performance, organisations require preparing three key financial statements and they are the cash flow statement, the balance sheet and the income statement. A </w:t>
      </w:r>
      <w:r>
        <w:rPr>
          <w:rFonts w:ascii="Times New Roman" w:hAnsi="Times New Roman" w:cs="Times New Roman" w:eastAsia="Times New Roman"/>
          <w:b/>
          <w:i/>
          <w:color w:val="auto"/>
          <w:spacing w:val="0"/>
          <w:position w:val="0"/>
          <w:sz w:val="24"/>
          <w:shd w:fill="auto" w:val="clear"/>
        </w:rPr>
        <w:t xml:space="preserve">balance sheet</w:t>
      </w:r>
      <w:r>
        <w:rPr>
          <w:rFonts w:ascii="Times New Roman" w:hAnsi="Times New Roman" w:cs="Times New Roman" w:eastAsia="Times New Roman"/>
          <w:color w:val="auto"/>
          <w:spacing w:val="0"/>
          <w:position w:val="0"/>
          <w:sz w:val="24"/>
          <w:shd w:fill="auto" w:val="clear"/>
        </w:rPr>
        <w:t xml:space="preserve">, also called the “statement of financial position”, highlights the accumulated wealth of an organisation at a specific time point (Huang, 2019). The </w:t>
      </w:r>
      <w:r>
        <w:rPr>
          <w:rFonts w:ascii="Times New Roman" w:hAnsi="Times New Roman" w:cs="Times New Roman" w:eastAsia="Times New Roman"/>
          <w:b/>
          <w:i/>
          <w:color w:val="auto"/>
          <w:spacing w:val="0"/>
          <w:position w:val="0"/>
          <w:sz w:val="24"/>
          <w:shd w:fill="auto" w:val="clear"/>
        </w:rPr>
        <w:t xml:space="preserve">income statement</w:t>
      </w:r>
      <w:r>
        <w:rPr>
          <w:rFonts w:ascii="Times New Roman" w:hAnsi="Times New Roman" w:cs="Times New Roman" w:eastAsia="Times New Roman"/>
          <w:color w:val="auto"/>
          <w:spacing w:val="0"/>
          <w:position w:val="0"/>
          <w:sz w:val="24"/>
          <w:shd w:fill="auto" w:val="clear"/>
        </w:rPr>
        <w:t xml:space="preserve">, contrastingly, indicates the profit or wealth that has been generated within an organisation over a specific timeframe (Suzuki, 2019). However, in the </w:t>
      </w:r>
      <w:r>
        <w:rPr>
          <w:rFonts w:ascii="Times New Roman" w:hAnsi="Times New Roman" w:cs="Times New Roman" w:eastAsia="Times New Roman"/>
          <w:b/>
          <w:i/>
          <w:color w:val="auto"/>
          <w:spacing w:val="0"/>
          <w:position w:val="0"/>
          <w:sz w:val="24"/>
          <w:shd w:fill="auto" w:val="clear"/>
        </w:rPr>
        <w:t xml:space="preserve">cash flow statement</w:t>
      </w:r>
      <w:r>
        <w:rPr>
          <w:rFonts w:ascii="Times New Roman" w:hAnsi="Times New Roman" w:cs="Times New Roman" w:eastAsia="Times New Roman"/>
          <w:color w:val="auto"/>
          <w:spacing w:val="0"/>
          <w:position w:val="0"/>
          <w:sz w:val="24"/>
          <w:shd w:fill="auto" w:val="clear"/>
        </w:rPr>
        <w:t xml:space="preserve">, there is information provided regarding the movements of cash of an organisation during a specific period.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UK, there are several </w:t>
      </w:r>
      <w:r>
        <w:rPr>
          <w:rFonts w:ascii="Times New Roman" w:hAnsi="Times New Roman" w:cs="Times New Roman" w:eastAsia="Times New Roman"/>
          <w:b/>
          <w:i/>
          <w:color w:val="auto"/>
          <w:spacing w:val="0"/>
          <w:position w:val="0"/>
          <w:sz w:val="24"/>
          <w:shd w:fill="auto" w:val="clear"/>
        </w:rPr>
        <w:t xml:space="preserve">accounting standards</w:t>
      </w:r>
      <w:r>
        <w:rPr>
          <w:rFonts w:ascii="Times New Roman" w:hAnsi="Times New Roman" w:cs="Times New Roman" w:eastAsia="Times New Roman"/>
          <w:color w:val="auto"/>
          <w:spacing w:val="0"/>
          <w:position w:val="0"/>
          <w:sz w:val="24"/>
          <w:shd w:fill="auto" w:val="clear"/>
        </w:rPr>
        <w:t xml:space="preserve"> as well as provisions mentioned under the </w:t>
      </w:r>
      <w:r>
        <w:rPr>
          <w:rFonts w:ascii="Times New Roman" w:hAnsi="Times New Roman" w:cs="Times New Roman" w:eastAsia="Times New Roman"/>
          <w:b/>
          <w:i/>
          <w:color w:val="auto"/>
          <w:spacing w:val="0"/>
          <w:position w:val="0"/>
          <w:sz w:val="24"/>
          <w:shd w:fill="auto" w:val="clear"/>
        </w:rPr>
        <w:t xml:space="preserve">Companies Act 2006</w:t>
      </w:r>
      <w:r>
        <w:rPr>
          <w:rFonts w:ascii="Times New Roman" w:hAnsi="Times New Roman" w:cs="Times New Roman" w:eastAsia="Times New Roman"/>
          <w:color w:val="auto"/>
          <w:spacing w:val="0"/>
          <w:position w:val="0"/>
          <w:sz w:val="24"/>
          <w:shd w:fill="auto" w:val="clear"/>
        </w:rPr>
        <w:t xml:space="preserve">, which are to be followed while preparing financial statements (Ong, 2018). The following is an illustration on the preparation of two key financial statements, the balance sheet and income statement of an organisation named Wales Plc as per Companies Act 2006 - </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Income Statement of Wales Plc for the year ended 31</w:t>
      </w:r>
      <w:r>
        <w:rPr>
          <w:rFonts w:ascii="Times New Roman" w:hAnsi="Times New Roman" w:cs="Times New Roman" w:eastAsia="Times New Roman"/>
          <w:b/>
          <w:color w:val="auto"/>
          <w:spacing w:val="0"/>
          <w:position w:val="0"/>
          <w:sz w:val="24"/>
          <w:shd w:fill="auto" w:val="clear"/>
          <w:vertAlign w:val="superscript"/>
        </w:rPr>
        <w:t xml:space="preserve">st</w:t>
      </w:r>
      <w:r>
        <w:rPr>
          <w:rFonts w:ascii="Times New Roman" w:hAnsi="Times New Roman" w:cs="Times New Roman" w:eastAsia="Times New Roman"/>
          <w:b/>
          <w:color w:val="auto"/>
          <w:spacing w:val="0"/>
          <w:position w:val="0"/>
          <w:sz w:val="24"/>
          <w:shd w:fill="auto" w:val="clear"/>
        </w:rPr>
        <w:t xml:space="preserve"> December 2019</w:t>
      </w:r>
    </w:p>
    <w:tbl>
      <w:tblPr/>
      <w:tblGrid>
        <w:gridCol w:w="5453"/>
        <w:gridCol w:w="1375"/>
        <w:gridCol w:w="1375"/>
        <w:gridCol w:w="1373"/>
      </w:tblGrid>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Details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Amt (’000)  </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Amt (’000)  </w:t>
            </w: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Amt (’000)  </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 revenues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£ 30300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Cost of Goods Sold</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Cost of Sales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£ 16220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 plant depreciation</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£ 2560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£ 18780</w:t>
            </w: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£ 18780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earnings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£ 11520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Operating expenses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Administrative Expenses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£ 2920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Bad or irrecoverable debts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£ 240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Outstanding insurance expenses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 building depreciation </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£ 320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Allowance for accounts receivables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£ 4140</w:t>
            </w: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Distribution Expenses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£ 2160</w:t>
            </w: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£ 6300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Operating profit (Earnings Before Interests and Tax)</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£ 5220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12% interest on debentures</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£ 240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Earnings before taxes (EBT)</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£ 4980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Income taxes for the year</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£ 1600</w:t>
            </w:r>
          </w:p>
        </w:tc>
      </w:tr>
      <w:tr>
        <w:trPr>
          <w:trHeight w:val="300" w:hRule="auto"/>
          <w:jc w:val="left"/>
        </w:trPr>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Earnings after taxes (EAT)</w:t>
            </w: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3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£ 3380</w:t>
            </w:r>
          </w:p>
        </w:tc>
      </w:tr>
    </w:tbl>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Income Statement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Working notes: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W1. Yearly depreciation on buildings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Buildings at cost * 10 %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£ 16000000 * 10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£ 320000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W2. Yearly depreciation on plant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Plant at cost * 10 %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£ 25600000 * 10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£ 2560000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W3. Cost of Goods Sold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Total cost of sales + 2% depreciation on plant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£ 16220000 + £ 2560000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£ 18780000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W4. Allowance for accounts receivables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Total accounts receivable * 2 %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(8240000 - 240000) * 2 / 100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W5. Administrative expenses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Administrative expenses + Allowance for accounts receivables + Depreciation of buildings + Irrecoverable debts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£ 2920000 + £ 160000 + £ 320000 + £ 240000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£ 4140000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W6. The dividends that have been paid to the company’s ordinary shareholders have not been included into the statement of income. This is because dividends that are distributed amongst shareholders are not any expense of an organisation. They are a part of net profits of an organisation that are distributed to the shareholders.</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Statement of Financial Position of Wales Plc as at 31</w:t>
      </w:r>
      <w:r>
        <w:rPr>
          <w:rFonts w:ascii="Times New Roman" w:hAnsi="Times New Roman" w:cs="Times New Roman" w:eastAsia="Times New Roman"/>
          <w:b/>
          <w:color w:val="auto"/>
          <w:spacing w:val="0"/>
          <w:position w:val="0"/>
          <w:sz w:val="24"/>
          <w:shd w:fill="auto" w:val="clear"/>
          <w:vertAlign w:val="superscript"/>
        </w:rPr>
        <w:t xml:space="preserve">st</w:t>
      </w:r>
      <w:r>
        <w:rPr>
          <w:rFonts w:ascii="Times New Roman" w:hAnsi="Times New Roman" w:cs="Times New Roman" w:eastAsia="Times New Roman"/>
          <w:b/>
          <w:color w:val="auto"/>
          <w:spacing w:val="0"/>
          <w:position w:val="0"/>
          <w:sz w:val="24"/>
          <w:shd w:fill="auto" w:val="clear"/>
        </w:rPr>
        <w:t xml:space="preserve"> December 2019</w:t>
      </w:r>
    </w:p>
    <w:tbl>
      <w:tblPr/>
      <w:tblGrid>
        <w:gridCol w:w="6622"/>
        <w:gridCol w:w="1477"/>
        <w:gridCol w:w="1477"/>
      </w:tblGrid>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Details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Amt (’000) </w:t>
            </w:r>
          </w:p>
          <w:p>
            <w:pPr>
              <w:spacing w:before="0" w:after="0" w:line="360"/>
              <w:ind w:right="0" w:left="0" w:firstLine="0"/>
              <w:jc w:val="both"/>
              <w:rPr>
                <w:color w:val="auto"/>
                <w:spacing w:val="0"/>
                <w:position w:val="0"/>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Amt (’000)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 ASSETS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 Fixed or Long-term Assets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Value of buildings at cost</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£ 16000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 depreciation during the year</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£ 320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Depreciation accumulated on buildings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£ 4260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£ 11420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Value of land at cost</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£ 15000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Value of land appreciation</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£ 20000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Value of land at cost</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£ 25600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 depreciation during the year</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£ 2560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Depreciation accumulated on land</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£ 4960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£ 18080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£ 49500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 Short-term or Current Assets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Bank </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£ 320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Inventories (closing stock)</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£ 3120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Accounts receivable</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£ 8240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Allowance for accounts receivables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Bad or irrecoverable debts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£ 240</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£ 7840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£ 11280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Assets (A+B)</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£ 60780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II. SHAREHOLDERS' FUNDS &amp; LIABILITIES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 Long-term Liabilities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Nil</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 Short-term or Current Liabilities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Outstanding insurance expenses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Accounts payable</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£ 4480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Liability for income tax</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£ 1600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Accruals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£ 3880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£ 10460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Net Assets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£ 50320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 Shareholders' funds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Debentures @ 12%</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£ 4000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Ordinary shares @ £1 per share</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£ 29000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Retained earnings</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£ 12320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Share premium</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£ 50320</w:t>
            </w:r>
          </w:p>
        </w:tc>
      </w:tr>
      <w:tr>
        <w:trPr>
          <w:trHeight w:val="300" w:hRule="auto"/>
          <w:jc w:val="left"/>
        </w:trPr>
        <w:tc>
          <w:tcPr>
            <w:tcW w:w="66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shareholders' funds &amp; liabilities (A+B+C)</w:t>
            </w: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4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£ 60780</w:t>
            </w:r>
          </w:p>
        </w:tc>
      </w:tr>
    </w:tbl>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2: Balance Sheet</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Working notes: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W7. Net worth of buildings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Buildings at their cost - Yearly depreciation charged on buildings - Accumulated depreciation on the asset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£ 16000000 - £ 320000 - £ 4260000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£ 11420000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W8. Net worth of land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£ 15000000 + £ 5000000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£ 20000000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W9. Net worth of plant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Plant at its cost - Yearly depreciation charged on plant - Accumulated depreciation on the asset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£ 25600000 - £ 2560000 - £ 4960000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£ 18080000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W10. Total accounts receivable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Total accounts receivables - Allowance for receivables - Total irrecoverable debts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£ 8240000 - £ 160000 - £ 240000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£ 7840000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W11. Net assets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Fixed assets + Current assets - Long-term liabilities - Current liabilities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£ 49500000 + £ 11280000 - £ 0 - £ 6580000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£ 54200000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W12. As determined, Wales Plc has not paid the income taxes that it was supposed to be paying for the year 2019 and this is an outstanding expense of the organisation. However, this outstanding income tax expense has to be paid in the short-term and thus, it has been categorised under current liabilities.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W13. Retained earnings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Retained earnings at the beginning of the year + Net earnings during the year + Payment of dividend on ordinary shares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£ 8380 + £ 3380 + £ 560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£ 12320</w:t>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2</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Calculating ratios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organisation Jerry plc is a supplier of own labelled personal care as well as household products to various supermarkets along with other large retailing businesses in UK and Europe. Calculating </w:t>
      </w:r>
      <w:r>
        <w:rPr>
          <w:rFonts w:ascii="Times New Roman" w:hAnsi="Times New Roman" w:cs="Times New Roman" w:eastAsia="Times New Roman"/>
          <w:b/>
          <w:i/>
          <w:color w:val="auto"/>
          <w:spacing w:val="0"/>
          <w:position w:val="0"/>
          <w:sz w:val="24"/>
          <w:shd w:fill="auto" w:val="clear"/>
        </w:rPr>
        <w:t xml:space="preserve">ratios</w:t>
      </w:r>
      <w:r>
        <w:rPr>
          <w:rFonts w:ascii="Times New Roman" w:hAnsi="Times New Roman" w:cs="Times New Roman" w:eastAsia="Times New Roman"/>
          <w:color w:val="auto"/>
          <w:spacing w:val="0"/>
          <w:position w:val="0"/>
          <w:sz w:val="24"/>
          <w:shd w:fill="auto" w:val="clear"/>
        </w:rPr>
        <w:t xml:space="preserve"> help in evaluating financial situation of companies (Morales-Diaz and Zamora-Ramirez, 2018). Depending on the extracts of the organisation’s latest financial statements, the following are the ratios computed for 2018 and 2019, the last two accounting years -</w:t>
      </w:r>
    </w:p>
    <w:tbl>
      <w:tblPr/>
      <w:tblGrid>
        <w:gridCol w:w="2358"/>
        <w:gridCol w:w="2340"/>
        <w:gridCol w:w="2430"/>
        <w:gridCol w:w="2448"/>
      </w:tblGrid>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Accounting ratios</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Formula</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2019</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2018</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37"/>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Return on capital employed</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Earnings before interest (EBT) ÷ Assets employed * 100 %</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£ 23 ÷ (£ 286.1 -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£ 151)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17.02442</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17.02 %</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£ 29.7 ÷ (£ 293.8 -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£ 148.4)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20.42640</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20.43 %</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0"/>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Return on equity</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Earnings after taxes ÷ Reserves + Ordinary equity capital * 100 %</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£ 12.9 ÷ £ 93.2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13.84120</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13.84 % </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£ 18.3 ÷ £ 80.3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22.78953</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22.79 %</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3"/>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EPS</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Earnings after taxes ÷ Total volume of ordinary shares held</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£ 12.9 ÷ 17.8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0.72471</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£ 0.72 </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£ 18.3 ÷ 17.8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1.02808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£ 1.03 </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6"/>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profit margin</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Gross profit ÷ Net sales * 100 %</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£ 191.8 ÷ £ 501.3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38.26052</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38.26 %</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£ 186.9 ÷ £ 486.8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38.39359</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38.39 %</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9"/>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Asset turnover ratio </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sales turnover ÷ Assets employed</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£ 501.3 ÷ £ 286.1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0.04508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0.05</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£ 468.8 ÷ £ 293.8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0.06228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0.06</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52"/>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Stock holding period</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inventories ÷ Cost of goods sold * 365 days</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£ 38.8 ÷ £ 309.5 * 365 days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45.75767</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45.76 days</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£ 41.1 ÷ £ 299.9 * 365 days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50.02167</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50.02 days</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55"/>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Debtors collection period</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Accounts receivable ÷ Sales made on credit * 365 days</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£ 114.9 ÷ £ 501.3 * 365 days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83.65948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83.66 days</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£ 114.7 ÷ £ 468.8 * 365 days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86.00143</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86 days</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58"/>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Current  ratio</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Current assets ÷ Current debts</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£ 153.9 ÷ £ 151</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1.02</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£ 156.5 ÷ £ 148.4</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1.05</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61"/>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Gearing </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 debts ÷ Total debts + Total equity * 100 %</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£ 192.9 ÷ £ 192.9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£ 93.2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67.42397</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67.42</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£ 213.5 ÷ £ 213.5 +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£ 80.3 * 100 %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72.66848</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72.67</w:t>
            </w:r>
          </w:p>
        </w:tc>
      </w:tr>
      <w:tr>
        <w:trPr>
          <w:trHeight w:val="315" w:hRule="auto"/>
          <w:jc w:val="left"/>
        </w:trPr>
        <w:tc>
          <w:tcPr>
            <w:tcW w:w="2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64"/>
              </w:numPr>
              <w:spacing w:before="0" w:after="0" w:line="360"/>
              <w:ind w:right="0" w:left="360" w:hanging="36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Interest cover </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Earnings before interest (EBIT) ÷ Interest charges</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£ 23 ÷ £ 0.2</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115 times</w:t>
            </w:r>
          </w:p>
        </w:tc>
        <w:tc>
          <w:tcPr>
            <w:tcW w:w="24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£ 29.7 ÷ £ 3.5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8.48571</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8.49 times</w:t>
            </w:r>
          </w:p>
        </w:tc>
      </w:tr>
    </w:tbl>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3: Calculation of ratios</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Notes for calculations:</w:t>
      </w:r>
    </w:p>
    <w:p>
      <w:pPr>
        <w:numPr>
          <w:ilvl w:val="0"/>
          <w:numId w:val="16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compute the EPS of Jerry plc, it has been considered that there are 17.8 million shares outstanding in the organisation both during 2018 and during 2019. This is because it is mentioned in the balance sheet that the price of the ordinary shares of the organisation is £1.</w:t>
      </w:r>
    </w:p>
    <w:p>
      <w:pPr>
        <w:numPr>
          <w:ilvl w:val="0"/>
          <w:numId w:val="16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stock holding period of the organisation has been calculated by considering that the inventories recorded in the balance sheet are in their average value.</w:t>
      </w:r>
    </w:p>
    <w:p>
      <w:pPr>
        <w:numPr>
          <w:ilvl w:val="0"/>
          <w:numId w:val="16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terms of the debtors’ collection period, assumptions have been made that the total sales earned by the organisation are credit sales and accounts receivable show average value.</w:t>
      </w:r>
    </w:p>
    <w:p>
      <w:pPr>
        <w:numPr>
          <w:ilvl w:val="0"/>
          <w:numId w:val="169"/>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compute the interest cover, the finance costs have been considered as Jerry plc’s interest charges. This is because finance costs are the interests paid against the long-term and short-term financial obligations in an organisation.</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 </w:t>
      </w:r>
      <w:r>
        <w:rPr>
          <w:rFonts w:ascii="Times New Roman" w:hAnsi="Times New Roman" w:cs="Times New Roman" w:eastAsia="Times New Roman"/>
          <w:b/>
          <w:color w:val="000000"/>
          <w:spacing w:val="0"/>
          <w:position w:val="0"/>
          <w:sz w:val="24"/>
          <w:shd w:fill="auto" w:val="clear"/>
        </w:rPr>
        <w:t xml:space="preserve">Discuss the situation revealed by the ratios calculated in (a).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t>
      </w:r>
      <w:r>
        <w:rPr>
          <w:rFonts w:ascii="Times New Roman" w:hAnsi="Times New Roman" w:cs="Times New Roman" w:eastAsia="Times New Roman"/>
          <w:b/>
          <w:i/>
          <w:color w:val="auto"/>
          <w:spacing w:val="0"/>
          <w:position w:val="0"/>
          <w:sz w:val="24"/>
          <w:shd w:fill="auto" w:val="clear"/>
        </w:rPr>
        <w:t xml:space="preserve">analysis of ratios</w:t>
      </w:r>
      <w:r>
        <w:rPr>
          <w:rFonts w:ascii="Times New Roman" w:hAnsi="Times New Roman" w:cs="Times New Roman" w:eastAsia="Times New Roman"/>
          <w:color w:val="auto"/>
          <w:spacing w:val="0"/>
          <w:position w:val="0"/>
          <w:sz w:val="24"/>
          <w:shd w:fill="auto" w:val="clear"/>
        </w:rPr>
        <w:t xml:space="preserve"> of an organisation assists in revealing the accurate and actual financial situation of a business organisation (Hilkevics and Semakina, 2019). Ratios act as useful tool that breaks down the complexity of the accounting statements of an organisation to show their financial standing. However, ratios are of different types, namely financial gearing ratios, profitability ratios, investment ratios, liquidity ratios and lastly, efficiency ratios (Wadhwa, 2019). Each of these ratios provides differing information regarding the financial standing of an organisation. The ratios computed above for the organisation Jerry plc comprise of all these categories of ratio and indicate differing aspects of its financial stability.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investment ratios of Jerry plc show a reduction from 2018 to 2019. A higher </w:t>
      </w:r>
      <w:r>
        <w:rPr>
          <w:rFonts w:ascii="Times New Roman" w:hAnsi="Times New Roman" w:cs="Times New Roman" w:eastAsia="Times New Roman"/>
          <w:b/>
          <w:i/>
          <w:color w:val="auto"/>
          <w:spacing w:val="0"/>
          <w:position w:val="0"/>
          <w:sz w:val="24"/>
          <w:shd w:fill="auto" w:val="clear"/>
        </w:rPr>
        <w:t xml:space="preserve">return on capital employed</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b/>
          <w:i/>
          <w:color w:val="auto"/>
          <w:spacing w:val="0"/>
          <w:position w:val="0"/>
          <w:sz w:val="24"/>
          <w:shd w:fill="auto" w:val="clear"/>
        </w:rPr>
        <w:t xml:space="preserve">return on equity</w:t>
      </w:r>
      <w:r>
        <w:rPr>
          <w:rFonts w:ascii="Times New Roman" w:hAnsi="Times New Roman" w:cs="Times New Roman" w:eastAsia="Times New Roman"/>
          <w:color w:val="auto"/>
          <w:spacing w:val="0"/>
          <w:position w:val="0"/>
          <w:sz w:val="24"/>
          <w:shd w:fill="auto" w:val="clear"/>
        </w:rPr>
        <w:t xml:space="preserve"> indicate higher efficiency in the use of capital and equity in an organisation. In case of return on capital employed, it can be noticed that during 2018, 20.42% returns were gained on capital, which has reduced to 17.02% during 2019. Similarly, for return on equity, it can be observed that 22.79% returns were previously achieved from the organisation’s equity capital. However, this has reduced to 13.84% during 2019. In addition, a decrease of about 29.5% can be seen in the </w:t>
      </w:r>
      <w:r>
        <w:rPr>
          <w:rFonts w:ascii="Times New Roman" w:hAnsi="Times New Roman" w:cs="Times New Roman" w:eastAsia="Times New Roman"/>
          <w:b/>
          <w:i/>
          <w:color w:val="auto"/>
          <w:spacing w:val="0"/>
          <w:position w:val="0"/>
          <w:sz w:val="24"/>
          <w:shd w:fill="auto" w:val="clear"/>
        </w:rPr>
        <w:t xml:space="preserve">EPS</w:t>
      </w:r>
      <w:r>
        <w:rPr>
          <w:rFonts w:ascii="Times New Roman" w:hAnsi="Times New Roman" w:cs="Times New Roman" w:eastAsia="Times New Roman"/>
          <w:color w:val="auto"/>
          <w:spacing w:val="0"/>
          <w:position w:val="0"/>
          <w:sz w:val="24"/>
          <w:shd w:fill="auto" w:val="clear"/>
        </w:rPr>
        <w:t xml:space="preserve"> of the Jerry plc during these two years. However, despite of the reductions, a stable investment potential is still maintained in the organisation.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Profitability ratio considered for Jerry plc, which is the </w:t>
      </w:r>
      <w:r>
        <w:rPr>
          <w:rFonts w:ascii="Times New Roman" w:hAnsi="Times New Roman" w:cs="Times New Roman" w:eastAsia="Times New Roman"/>
          <w:b/>
          <w:i/>
          <w:color w:val="auto"/>
          <w:spacing w:val="0"/>
          <w:position w:val="0"/>
          <w:sz w:val="24"/>
          <w:shd w:fill="auto" w:val="clear"/>
        </w:rPr>
        <w:t xml:space="preserve">gross profit margin</w:t>
      </w:r>
      <w:r>
        <w:rPr>
          <w:rFonts w:ascii="Times New Roman" w:hAnsi="Times New Roman" w:cs="Times New Roman" w:eastAsia="Times New Roman"/>
          <w:color w:val="auto"/>
          <w:spacing w:val="0"/>
          <w:position w:val="0"/>
          <w:sz w:val="24"/>
          <w:shd w:fill="auto" w:val="clear"/>
        </w:rPr>
        <w:t xml:space="preserve">, however, does not indicate any considerable change (increase or decrease) between 2018 and 2019. It can also be noticed that the margin of gross profit of the organisation is quite favourable and high during both the years. On the other hand, the efficiency ratios show differing results. It is because in case of the </w:t>
      </w:r>
      <w:r>
        <w:rPr>
          <w:rFonts w:ascii="Times New Roman" w:hAnsi="Times New Roman" w:cs="Times New Roman" w:eastAsia="Times New Roman"/>
          <w:b/>
          <w:i/>
          <w:color w:val="auto"/>
          <w:spacing w:val="0"/>
          <w:position w:val="0"/>
          <w:sz w:val="24"/>
          <w:shd w:fill="auto" w:val="clear"/>
        </w:rPr>
        <w:t xml:space="preserve">asset turnover ratio</w:t>
      </w:r>
      <w:r>
        <w:rPr>
          <w:rFonts w:ascii="Times New Roman" w:hAnsi="Times New Roman" w:cs="Times New Roman" w:eastAsia="Times New Roman"/>
          <w:color w:val="auto"/>
          <w:spacing w:val="0"/>
          <w:position w:val="0"/>
          <w:sz w:val="24"/>
          <w:shd w:fill="auto" w:val="clear"/>
        </w:rPr>
        <w:t xml:space="preserve">, it can be seen that this ratio has been extremely poor during both the years. A slight decrease is also recorded during 2019. This indicates a negative aspect of the company’s financial stability. The </w:t>
      </w:r>
      <w:r>
        <w:rPr>
          <w:rFonts w:ascii="Times New Roman" w:hAnsi="Times New Roman" w:cs="Times New Roman" w:eastAsia="Times New Roman"/>
          <w:b/>
          <w:i/>
          <w:color w:val="auto"/>
          <w:spacing w:val="0"/>
          <w:position w:val="0"/>
          <w:sz w:val="24"/>
          <w:shd w:fill="auto" w:val="clear"/>
        </w:rPr>
        <w:t xml:space="preserve">stock holding period</w:t>
      </w:r>
      <w:r>
        <w:rPr>
          <w:rFonts w:ascii="Times New Roman" w:hAnsi="Times New Roman" w:cs="Times New Roman" w:eastAsia="Times New Roman"/>
          <w:color w:val="auto"/>
          <w:spacing w:val="0"/>
          <w:position w:val="0"/>
          <w:sz w:val="24"/>
          <w:shd w:fill="auto" w:val="clear"/>
        </w:rPr>
        <w:t xml:space="preserve"> of Jerry plc has reduced while the </w:t>
      </w:r>
      <w:r>
        <w:rPr>
          <w:rFonts w:ascii="Times New Roman" w:hAnsi="Times New Roman" w:cs="Times New Roman" w:eastAsia="Times New Roman"/>
          <w:b/>
          <w:i/>
          <w:color w:val="auto"/>
          <w:spacing w:val="0"/>
          <w:position w:val="0"/>
          <w:sz w:val="24"/>
          <w:shd w:fill="auto" w:val="clear"/>
        </w:rPr>
        <w:t xml:space="preserve">debtors’ collection period</w:t>
      </w:r>
      <w:r>
        <w:rPr>
          <w:rFonts w:ascii="Times New Roman" w:hAnsi="Times New Roman" w:cs="Times New Roman" w:eastAsia="Times New Roman"/>
          <w:color w:val="auto"/>
          <w:spacing w:val="0"/>
          <w:position w:val="0"/>
          <w:sz w:val="24"/>
          <w:shd w:fill="auto" w:val="clear"/>
        </w:rPr>
        <w:t xml:space="preserve"> has increased.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both these ratios indicate positive aspects of the company’s financial standing. It is because excess inventory turnover indicates poor demand forecasting and purchasing capacity while high collection period often leads to bad debts. The liquidity ratio considering for Jerry plc, which is the </w:t>
      </w:r>
      <w:r>
        <w:rPr>
          <w:rFonts w:ascii="Times New Roman" w:hAnsi="Times New Roman" w:cs="Times New Roman" w:eastAsia="Times New Roman"/>
          <w:b/>
          <w:i/>
          <w:color w:val="auto"/>
          <w:spacing w:val="0"/>
          <w:position w:val="0"/>
          <w:sz w:val="24"/>
          <w:shd w:fill="auto" w:val="clear"/>
        </w:rPr>
        <w:t xml:space="preserve">current ratio</w:t>
      </w:r>
      <w:r>
        <w:rPr>
          <w:rFonts w:ascii="Times New Roman" w:hAnsi="Times New Roman" w:cs="Times New Roman" w:eastAsia="Times New Roman"/>
          <w:color w:val="auto"/>
          <w:spacing w:val="0"/>
          <w:position w:val="0"/>
          <w:sz w:val="24"/>
          <w:shd w:fill="auto" w:val="clear"/>
        </w:rPr>
        <w:t xml:space="preserve">, shows a slight decrease from 2018 to 2019. However, this decrease is negligible and moderate liquid position is noticed to be maintained within the organisation. Lastly, the financing ratios of the organisation also show a good financial standing of the company as its </w:t>
      </w:r>
      <w:r>
        <w:rPr>
          <w:rFonts w:ascii="Times New Roman" w:hAnsi="Times New Roman" w:cs="Times New Roman" w:eastAsia="Times New Roman"/>
          <w:b/>
          <w:i/>
          <w:color w:val="auto"/>
          <w:spacing w:val="0"/>
          <w:position w:val="0"/>
          <w:sz w:val="24"/>
          <w:shd w:fill="auto" w:val="clear"/>
        </w:rPr>
        <w:t xml:space="preserve">interest cover</w:t>
      </w:r>
      <w:r>
        <w:rPr>
          <w:rFonts w:ascii="Times New Roman" w:hAnsi="Times New Roman" w:cs="Times New Roman" w:eastAsia="Times New Roman"/>
          <w:color w:val="auto"/>
          <w:spacing w:val="0"/>
          <w:position w:val="0"/>
          <w:sz w:val="24"/>
          <w:shd w:fill="auto" w:val="clear"/>
        </w:rPr>
        <w:t xml:space="preserve"> has increased while the </w:t>
      </w:r>
      <w:r>
        <w:rPr>
          <w:rFonts w:ascii="Times New Roman" w:hAnsi="Times New Roman" w:cs="Times New Roman" w:eastAsia="Times New Roman"/>
          <w:b/>
          <w:i/>
          <w:color w:val="auto"/>
          <w:spacing w:val="0"/>
          <w:position w:val="0"/>
          <w:sz w:val="24"/>
          <w:shd w:fill="auto" w:val="clear"/>
        </w:rPr>
        <w:t xml:space="preserve">gearing</w:t>
      </w:r>
      <w:r>
        <w:rPr>
          <w:rFonts w:ascii="Times New Roman" w:hAnsi="Times New Roman" w:cs="Times New Roman" w:eastAsia="Times New Roman"/>
          <w:color w:val="auto"/>
          <w:spacing w:val="0"/>
          <w:position w:val="0"/>
          <w:sz w:val="24"/>
          <w:shd w:fill="auto" w:val="clear"/>
        </w:rPr>
        <w:t xml:space="preserve"> has reduced. Both these aspects are indicators of good financial standing. Thus, the ratios of Jerry plc reveal that the present financial situation of the organisation is good and stable.</w:t>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3</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Identify three different user groups of company accounts and discuss why these user groups are interested in the information provided in financial statements.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accounts of a company published in its annual report are used by a variety of users, who are both internal and external stakeholders for it. Aids that the user groups are able to achieve in their decision-making act as a key reason for which users are interested in financial statement information. The three key user groups of the accounts of a company in addition to their interest in financial statement information has been discussed underneath -</w:t>
      </w:r>
    </w:p>
    <w:p>
      <w:pPr>
        <w:numPr>
          <w:ilvl w:val="0"/>
          <w:numId w:val="17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Potential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investors</w:t>
      </w:r>
      <w:r>
        <w:rPr>
          <w:rFonts w:ascii="Times New Roman" w:hAnsi="Times New Roman" w:cs="Times New Roman" w:eastAsia="Times New Roman"/>
          <w:color w:val="auto"/>
          <w:spacing w:val="0"/>
          <w:position w:val="0"/>
          <w:sz w:val="24"/>
          <w:shd w:fill="auto" w:val="clear"/>
        </w:rPr>
        <w:t xml:space="preserve"> - All potential investors present in the market look forward towards investing into an organisation, which is financially stable (Doxey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Due to this, it becomes easy for investors to ensure that high returns can be accomplished from the funds that they have invested into the shares of the organisation. As a result, the potential users access the financial statement information of an organisation, to assess its financial situation and finalise their investment decisions.</w:t>
      </w:r>
    </w:p>
    <w:p>
      <w:pPr>
        <w:numPr>
          <w:ilvl w:val="0"/>
          <w:numId w:val="17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Employees</w:t>
      </w:r>
      <w:r>
        <w:rPr>
          <w:rFonts w:ascii="Times New Roman" w:hAnsi="Times New Roman" w:cs="Times New Roman" w:eastAsia="Times New Roman"/>
          <w:color w:val="auto"/>
          <w:spacing w:val="0"/>
          <w:position w:val="0"/>
          <w:sz w:val="24"/>
          <w:shd w:fill="auto" w:val="clear"/>
        </w:rPr>
        <w:t xml:space="preserve"> - The employees evaluate financial accounts of a company, as it helps them to evaluate its stability and profitability (Munira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Depending on this, they are able to analyse if the company has potential of paying salaries to them along with other employee benefits. They are also able to access the financial standing and performance of the company to evaluate the chances of its expansion. Such evaluations help employees in understanding the opportunities of their career development in the company.</w:t>
      </w:r>
    </w:p>
    <w:p>
      <w:pPr>
        <w:numPr>
          <w:ilvl w:val="0"/>
          <w:numId w:val="175"/>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Managers</w:t>
      </w:r>
      <w:r>
        <w:rPr>
          <w:rFonts w:ascii="Times New Roman" w:hAnsi="Times New Roman" w:cs="Times New Roman" w:eastAsia="Times New Roman"/>
          <w:color w:val="auto"/>
          <w:spacing w:val="0"/>
          <w:position w:val="0"/>
          <w:sz w:val="24"/>
          <w:shd w:fill="auto" w:val="clear"/>
        </w:rPr>
        <w:t xml:space="preserve"> - The management of an organisation are the makers of economic decisions of a company (Akhtar and Liu, 2018). Financial information presented in the financial statements of the organisation that they manage helps in analysing the supplies that they can purchase, the adequacy of cash for purchase and others. The management makes several decisions such as the raising of capital, investments and such others by considering the financial statement information. In addition, they are also able to conduct an evaluation of the meeting of the targets and financial objectives set by them from financial statements.</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 Discuss the advantages and disadvantages of a highly regulated financial reporting regime.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major and mandatory activities that every business organisation requires performing is the reporting of its financial position. However, in order to ensure an effectual, transparent and accurate reporting of financial position, there are several regulations related to financial reporting regime (Leuz and Wysocki, 2016). The needs of highly regulated financial reporting regime are high in case if there is a presence of ineffective and free market, availability of alternate accounting treatments and such others. There are benefits of such strong regulations for financial reporting along with limitations. These benefits are not only for the users of financial reports but also for their preparers, as discussed underneath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Perspective of financial statement users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Advantages </w:t>
      </w:r>
    </w:p>
    <w:p>
      <w:pPr>
        <w:numPr>
          <w:ilvl w:val="0"/>
          <w:numId w:val="17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statement users are benefitted from strong financial reporting regimes, as they help in ensuring the quality of the financial accounts of an organisation (Klein, 2018). This increases the reliability and relevance for the users.</w:t>
      </w:r>
    </w:p>
    <w:p>
      <w:pPr>
        <w:numPr>
          <w:ilvl w:val="0"/>
          <w:numId w:val="17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Such regimes increase the comparability of an organisation’s financial statements, which makes it easier for users.</w:t>
      </w:r>
    </w:p>
    <w:p>
      <w:pPr>
        <w:numPr>
          <w:ilvl w:val="0"/>
          <w:numId w:val="17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the presence of these regimes helps in meeting the requirements of users whenever there is a conflict.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Disadvantages </w:t>
      </w:r>
    </w:p>
    <w:p>
      <w:pPr>
        <w:numPr>
          <w:ilvl w:val="0"/>
          <w:numId w:val="18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Imposing highly regulated regime often makes the financial reports published by an organisation lengthy, thereby creating difficulty for the users.</w:t>
      </w:r>
    </w:p>
    <w:p>
      <w:pPr>
        <w:numPr>
          <w:ilvl w:val="0"/>
          <w:numId w:val="18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accounting treatments done as per the highly regulated regime for financial reporting also become difficult for users to interpret.</w:t>
      </w:r>
    </w:p>
    <w:p>
      <w:pPr>
        <w:numPr>
          <w:ilvl w:val="0"/>
          <w:numId w:val="18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Such highly regulated regimes often make a company’s accounts less useful in case if it cannot present information in a suitable manner.</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Perspective of financial statement preparers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Advantages </w:t>
      </w:r>
    </w:p>
    <w:p>
      <w:pPr>
        <w:numPr>
          <w:ilvl w:val="0"/>
          <w:numId w:val="18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Presence of highly regulated regime for financial reporting of organisations helps the preparers of financial statements to operate as well as report financial position in a free ineffectual market.</w:t>
      </w:r>
    </w:p>
    <w:p>
      <w:pPr>
        <w:numPr>
          <w:ilvl w:val="0"/>
          <w:numId w:val="18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Whenever there is a strong regime that regulates financial reporting, the financial statement prepares, which means businesses are able to attract future investments as well as employees.</w:t>
      </w:r>
    </w:p>
    <w:p>
      <w:pPr>
        <w:numPr>
          <w:ilvl w:val="0"/>
          <w:numId w:val="182"/>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Such high regulations also help in guiding the preparers in case of presence of several other accounting treatments.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Disadvantages</w:t>
      </w:r>
    </w:p>
    <w:p>
      <w:pPr>
        <w:numPr>
          <w:ilvl w:val="0"/>
          <w:numId w:val="184"/>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rules that are framed due to the presence of highly regulated regime fail to cover all situations of the finances of a business.</w:t>
      </w:r>
    </w:p>
    <w:p>
      <w:pPr>
        <w:numPr>
          <w:ilvl w:val="0"/>
          <w:numId w:val="184"/>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economic consequences or implications of certain regulations, for instance, pensions, research and development and such others.</w:t>
      </w:r>
    </w:p>
    <w:p>
      <w:pPr>
        <w:numPr>
          <w:ilvl w:val="0"/>
          <w:numId w:val="184"/>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costs of complying with highly regulated regimes are also high, as advice requires being taken and longer reports have to be distributed (Gassen, 2017).</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 Discuss the limitations of financial statements.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different sorts of financial statements, which are developed in organisations, are of great significant to both external and internal users. However, Atrill and McLaney (2006) stated that despite of being useful, there are various drawbacks inherited by financial statements. The common drawbacks related with financial statements include the following -</w:t>
      </w:r>
    </w:p>
    <w:p>
      <w:pPr>
        <w:numPr>
          <w:ilvl w:val="0"/>
          <w:numId w:val="187"/>
        </w:numPr>
        <w:spacing w:before="0" w:after="200" w:line="360"/>
        <w:ind w:right="0" w:left="720" w:hanging="36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Inflationary effects </w:t>
      </w:r>
      <w:r>
        <w:rPr>
          <w:rFonts w:ascii="Times New Roman" w:hAnsi="Times New Roman" w:cs="Times New Roman" w:eastAsia="Times New Roman"/>
          <w:color w:val="auto"/>
          <w:spacing w:val="0"/>
          <w:position w:val="0"/>
          <w:sz w:val="24"/>
          <w:shd w:fill="auto" w:val="clear"/>
        </w:rPr>
        <w:t xml:space="preserve">- Financial statements of an entity fail to adjust with the rate of inflation prevailing in an economy (Agha, 2019). Due to this, the values recorded in the statement of financial position are inordinately low in situations where the inflation is high. For example, fixed assets are often undervalued in the balance sheet because of no consideration of inflationary effects, thereby acting as their drawback.</w:t>
      </w:r>
    </w:p>
    <w:p>
      <w:pPr>
        <w:numPr>
          <w:ilvl w:val="0"/>
          <w:numId w:val="187"/>
        </w:numPr>
        <w:spacing w:before="0" w:after="200" w:line="360"/>
        <w:ind w:right="0" w:left="720" w:hanging="36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Avoidance of non-financial problems </w:t>
      </w:r>
      <w:r>
        <w:rPr>
          <w:rFonts w:ascii="Times New Roman" w:hAnsi="Times New Roman" w:cs="Times New Roman" w:eastAsia="Times New Roman"/>
          <w:color w:val="auto"/>
          <w:spacing w:val="0"/>
          <w:position w:val="0"/>
          <w:sz w:val="24"/>
          <w:shd w:fill="auto" w:val="clear"/>
        </w:rPr>
        <w:t xml:space="preserve">- In a business, there are various non-financial areas and problems such as changes in the business environment, which require being focused. However, financial statements established within business organisations fail to incorporate these aspects but have a substantial effect on business performance. This is yet another drawback of financial statements.</w:t>
      </w:r>
    </w:p>
    <w:p>
      <w:pPr>
        <w:numPr>
          <w:ilvl w:val="0"/>
          <w:numId w:val="187"/>
        </w:numPr>
        <w:spacing w:before="0" w:after="200" w:line="360"/>
        <w:ind w:right="0" w:left="720" w:hanging="36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Intangible assets unrecorded </w:t>
      </w:r>
      <w:r>
        <w:rPr>
          <w:rFonts w:ascii="Times New Roman" w:hAnsi="Times New Roman" w:cs="Times New Roman" w:eastAsia="Times New Roman"/>
          <w:color w:val="auto"/>
          <w:spacing w:val="0"/>
          <w:position w:val="0"/>
          <w:sz w:val="24"/>
          <w:shd w:fill="auto" w:val="clear"/>
        </w:rPr>
        <w:t xml:space="preserve">- There are a number of intangible assets of a company, for example, goodwill that are often not recorded as assets in its balance sheet. However, the costs incurred for the purchase and creation of these assets are considered during preparation of income statements. This leads to the improper valuation of assets of a company. </w:t>
      </w:r>
    </w:p>
    <w:p>
      <w:pPr>
        <w:numPr>
          <w:ilvl w:val="0"/>
          <w:numId w:val="187"/>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Dependent on historical costs </w:t>
      </w:r>
      <w:r>
        <w:rPr>
          <w:rFonts w:ascii="Times New Roman" w:hAnsi="Times New Roman" w:cs="Times New Roman" w:eastAsia="Times New Roman"/>
          <w:color w:val="auto"/>
          <w:spacing w:val="0"/>
          <w:position w:val="0"/>
          <w:sz w:val="24"/>
          <w:shd w:fill="auto" w:val="clear"/>
        </w:rPr>
        <w:t xml:space="preserve">- Another drawback that must be discussed regarding financial statements is their dependence upon historical costs (Lessambo, 2018). The transactions that an organisation records into its books of accounts are mostly historical. Based on these transactions, the financial statements such as the balance sheet are developed. Due to this, the financial statements result in misleading their users since they are developed considering historical costs.</w:t>
        <w:t xml:space="preserve"> </w:t>
      </w:r>
    </w:p>
    <w:p>
      <w:pPr>
        <w:numPr>
          <w:ilvl w:val="0"/>
          <w:numId w:val="187"/>
        </w:numPr>
        <w:spacing w:before="0" w:after="200" w:line="360"/>
        <w:ind w:right="0" w:left="720" w:hanging="360"/>
        <w:jc w:val="both"/>
        <w:rPr>
          <w:rFonts w:ascii="Times New Roman" w:hAnsi="Times New Roman" w:cs="Times New Roman" w:eastAsia="Times New Roman"/>
          <w:b/>
          <w:i/>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Agha, S.R. (2019) How the Economic Inflation Affects the Financial Statement. </w:t>
      </w:r>
      <w:r>
        <w:rPr>
          <w:rFonts w:ascii="Times New Roman" w:hAnsi="Times New Roman" w:cs="Times New Roman" w:eastAsia="Times New Roman"/>
          <w:i/>
          <w:color w:val="auto"/>
          <w:spacing w:val="0"/>
          <w:position w:val="0"/>
          <w:sz w:val="24"/>
          <w:shd w:fill="auto" w:val="clear"/>
        </w:rPr>
        <w:t xml:space="preserve">International Journal of Multicultural and Multireligious Understanding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(6), pp.526-539.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Akhtar, S. and Liu, Y. (2018) SMEs' use of financial statements for decision making: Evidence from Pakistan. </w:t>
      </w:r>
      <w:r>
        <w:rPr>
          <w:rFonts w:ascii="Times New Roman" w:hAnsi="Times New Roman" w:cs="Times New Roman" w:eastAsia="Times New Roman"/>
          <w:i/>
          <w:color w:val="auto"/>
          <w:spacing w:val="0"/>
          <w:position w:val="0"/>
          <w:sz w:val="24"/>
          <w:shd w:fill="auto" w:val="clear"/>
        </w:rPr>
        <w:t xml:space="preserve">Journal of Applied Business Research (JABR)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34</w:t>
      </w:r>
      <w:r>
        <w:rPr>
          <w:rFonts w:ascii="Times New Roman" w:hAnsi="Times New Roman" w:cs="Times New Roman" w:eastAsia="Times New Roman"/>
          <w:color w:val="auto"/>
          <w:spacing w:val="0"/>
          <w:position w:val="0"/>
          <w:sz w:val="24"/>
          <w:shd w:fill="auto" w:val="clear"/>
        </w:rPr>
        <w:t xml:space="preserve">(2), pp.381-392.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Atrill, P. and McLaney, E.J. (2006) Chapter 1 - </w:t>
      </w:r>
      <w:r>
        <w:rPr>
          <w:rFonts w:ascii="Times New Roman" w:hAnsi="Times New Roman" w:cs="Times New Roman" w:eastAsia="Times New Roman"/>
          <w:i/>
          <w:color w:val="auto"/>
          <w:spacing w:val="0"/>
          <w:position w:val="0"/>
          <w:sz w:val="24"/>
          <w:shd w:fill="auto" w:val="clear"/>
        </w:rPr>
        <w:t xml:space="preserve">Accounting and Finance for Non-specialists</w:t>
      </w:r>
      <w:r>
        <w:rPr>
          <w:rFonts w:ascii="Times New Roman" w:hAnsi="Times New Roman" w:cs="Times New Roman" w:eastAsia="Times New Roman"/>
          <w:color w:val="auto"/>
          <w:spacing w:val="0"/>
          <w:position w:val="0"/>
          <w:sz w:val="24"/>
          <w:shd w:fill="auto" w:val="clear"/>
        </w:rPr>
        <w:t xml:space="preserve">. Pearson Education.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Doxey, M.M., Hatfield, R.C., Rippy, J.A. and Peel, R.K. (2020) Asymmetric Investor Materiality and the Effects of Disclosure. </w:t>
      </w:r>
      <w:r>
        <w:rPr>
          <w:rFonts w:ascii="Times New Roman" w:hAnsi="Times New Roman" w:cs="Times New Roman" w:eastAsia="Times New Roman"/>
          <w:i/>
          <w:color w:val="auto"/>
          <w:spacing w:val="0"/>
          <w:position w:val="0"/>
          <w:sz w:val="24"/>
          <w:shd w:fill="auto" w:val="clear"/>
        </w:rPr>
        <w:t xml:space="preserve">Auditing: A Journal of Practice &amp; Theory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39</w:t>
      </w:r>
      <w:r>
        <w:rPr>
          <w:rFonts w:ascii="Times New Roman" w:hAnsi="Times New Roman" w:cs="Times New Roman" w:eastAsia="Times New Roman"/>
          <w:color w:val="auto"/>
          <w:spacing w:val="0"/>
          <w:position w:val="0"/>
          <w:sz w:val="24"/>
          <w:shd w:fill="auto" w:val="clear"/>
        </w:rPr>
        <w:t xml:space="preserve">(2), pp.27-50.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Gassen, J. (2017) The effect of IFRS for SMEs on the financial reporting environment of private firms: An exploratory interview study. </w:t>
      </w:r>
      <w:r>
        <w:rPr>
          <w:rFonts w:ascii="Times New Roman" w:hAnsi="Times New Roman" w:cs="Times New Roman" w:eastAsia="Times New Roman"/>
          <w:i/>
          <w:color w:val="auto"/>
          <w:spacing w:val="0"/>
          <w:position w:val="0"/>
          <w:sz w:val="24"/>
          <w:shd w:fill="auto" w:val="clear"/>
        </w:rPr>
        <w:t xml:space="preserve">Accounting and Business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47</w:t>
      </w:r>
      <w:r>
        <w:rPr>
          <w:rFonts w:ascii="Times New Roman" w:hAnsi="Times New Roman" w:cs="Times New Roman" w:eastAsia="Times New Roman"/>
          <w:color w:val="auto"/>
          <w:spacing w:val="0"/>
          <w:position w:val="0"/>
          <w:sz w:val="24"/>
          <w:shd w:fill="auto" w:val="clear"/>
        </w:rPr>
        <w:t xml:space="preserve">(5), pp.540-563.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Grigora</w:t>
      </w:r>
      <w:r>
        <w:rPr>
          <w:rFonts w:ascii="Times New Roman" w:hAnsi="Times New Roman" w:cs="Times New Roman" w:eastAsia="Times New Roman"/>
          <w:color w:val="auto"/>
          <w:spacing w:val="0"/>
          <w:position w:val="0"/>
          <w:sz w:val="24"/>
          <w:shd w:fill="auto" w:val="clear"/>
        </w:rPr>
        <w:t xml:space="preserve">ș-Ichim, C.E. and Morosan-Danila, L. (2016) The Importance of Financial Interim Reporting for the Position of Companies. </w:t>
      </w:r>
      <w:r>
        <w:rPr>
          <w:rFonts w:ascii="Times New Roman" w:hAnsi="Times New Roman" w:cs="Times New Roman" w:eastAsia="Times New Roman"/>
          <w:i/>
          <w:color w:val="auto"/>
          <w:spacing w:val="0"/>
          <w:position w:val="0"/>
          <w:sz w:val="24"/>
          <w:shd w:fill="auto" w:val="clear"/>
        </w:rPr>
        <w:t xml:space="preserve">The USV Annals of Economics and Public Administration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15</w:t>
      </w:r>
      <w:r>
        <w:rPr>
          <w:rFonts w:ascii="Times New Roman" w:hAnsi="Times New Roman" w:cs="Times New Roman" w:eastAsia="Times New Roman"/>
          <w:color w:val="auto"/>
          <w:spacing w:val="0"/>
          <w:position w:val="0"/>
          <w:sz w:val="24"/>
          <w:shd w:fill="auto" w:val="clear"/>
        </w:rPr>
        <w:t xml:space="preserve">(2 (22)), pp.182-187.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Hilkevics, S. and Semakina, V. (2019) The classification and comparison of business ratios analysis methods.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Huang, J. (2019) Data analysis of balance sheet and income statement. </w:t>
      </w:r>
      <w:r>
        <w:rPr>
          <w:rFonts w:ascii="Times New Roman" w:hAnsi="Times New Roman" w:cs="Times New Roman" w:eastAsia="Times New Roman"/>
          <w:i/>
          <w:color w:val="auto"/>
          <w:spacing w:val="0"/>
          <w:position w:val="0"/>
          <w:sz w:val="24"/>
          <w:shd w:fill="auto" w:val="clear"/>
        </w:rPr>
        <w:t xml:space="preserve">Proceedings of Business and Economic Studies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Klein, A. (2018) Questioning the Effectiveness of Independent Audit Committees: Does the Current Regulatory Regime Improve Reporting Quality?. </w:t>
      </w:r>
      <w:r>
        <w:rPr>
          <w:rFonts w:ascii="Times New Roman" w:hAnsi="Times New Roman" w:cs="Times New Roman" w:eastAsia="Times New Roman"/>
          <w:i/>
          <w:color w:val="auto"/>
          <w:spacing w:val="0"/>
          <w:position w:val="0"/>
          <w:sz w:val="24"/>
          <w:shd w:fill="auto" w:val="clear"/>
        </w:rPr>
        <w:t xml:space="preserve">The CPA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88</w:t>
      </w:r>
      <w:r>
        <w:rPr>
          <w:rFonts w:ascii="Times New Roman" w:hAnsi="Times New Roman" w:cs="Times New Roman" w:eastAsia="Times New Roman"/>
          <w:color w:val="auto"/>
          <w:spacing w:val="0"/>
          <w:position w:val="0"/>
          <w:sz w:val="24"/>
          <w:shd w:fill="auto" w:val="clear"/>
        </w:rPr>
        <w:t xml:space="preserve">(3), pp.30-36.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Lessambo, F.I. (2018) Consolidated Financial Statements. In </w:t>
      </w:r>
      <w:r>
        <w:rPr>
          <w:rFonts w:ascii="Times New Roman" w:hAnsi="Times New Roman" w:cs="Times New Roman" w:eastAsia="Times New Roman"/>
          <w:i/>
          <w:color w:val="auto"/>
          <w:spacing w:val="0"/>
          <w:position w:val="0"/>
          <w:sz w:val="24"/>
          <w:shd w:fill="auto" w:val="clear"/>
        </w:rPr>
        <w:t xml:space="preserve">Financial Statements</w:t>
      </w:r>
      <w:r>
        <w:rPr>
          <w:rFonts w:ascii="Times New Roman" w:hAnsi="Times New Roman" w:cs="Times New Roman" w:eastAsia="Times New Roman"/>
          <w:color w:val="auto"/>
          <w:spacing w:val="0"/>
          <w:position w:val="0"/>
          <w:sz w:val="24"/>
          <w:shd w:fill="auto" w:val="clear"/>
        </w:rPr>
        <w:t xml:space="preserve"> (pp. 269-276). Palgrave Macmillan, Cham.</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Leuz, C. and Wysocki, P.D. (2016) The economics of disclosure and financial reporting regulation: Evidence and suggestions for future research. </w:t>
      </w:r>
      <w:r>
        <w:rPr>
          <w:rFonts w:ascii="Times New Roman" w:hAnsi="Times New Roman" w:cs="Times New Roman" w:eastAsia="Times New Roman"/>
          <w:i/>
          <w:color w:val="auto"/>
          <w:spacing w:val="0"/>
          <w:position w:val="0"/>
          <w:sz w:val="24"/>
          <w:shd w:fill="auto" w:val="clear"/>
        </w:rPr>
        <w:t xml:space="preserve">Journal of accounting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54</w:t>
      </w:r>
      <w:r>
        <w:rPr>
          <w:rFonts w:ascii="Times New Roman" w:hAnsi="Times New Roman" w:cs="Times New Roman" w:eastAsia="Times New Roman"/>
          <w:color w:val="auto"/>
          <w:spacing w:val="0"/>
          <w:position w:val="0"/>
          <w:sz w:val="24"/>
          <w:shd w:fill="auto" w:val="clear"/>
        </w:rPr>
        <w:t xml:space="preserve">(2), pp.525-622.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Morales-Diaz, J. and Zamora-Ramirez, C. (2018) The impact of IFRS 16 on key financial ratios: A new methodological approach. </w:t>
      </w:r>
      <w:r>
        <w:rPr>
          <w:rFonts w:ascii="Times New Roman" w:hAnsi="Times New Roman" w:cs="Times New Roman" w:eastAsia="Times New Roman"/>
          <w:i/>
          <w:color w:val="auto"/>
          <w:spacing w:val="0"/>
          <w:position w:val="0"/>
          <w:sz w:val="24"/>
          <w:shd w:fill="auto" w:val="clear"/>
        </w:rPr>
        <w:t xml:space="preserve">Accounting in Europe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15</w:t>
      </w:r>
      <w:r>
        <w:rPr>
          <w:rFonts w:ascii="Times New Roman" w:hAnsi="Times New Roman" w:cs="Times New Roman" w:eastAsia="Times New Roman"/>
          <w:color w:val="auto"/>
          <w:spacing w:val="0"/>
          <w:position w:val="0"/>
          <w:sz w:val="24"/>
          <w:shd w:fill="auto" w:val="clear"/>
        </w:rPr>
        <w:t xml:space="preserve">(1), pp.105-133.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Munira, S., Amin, M. and Akter, A. (2018) An Investigation of the Factors Influencing Employees’ Behavioral Intention to Use AIS in Bangladesh. </w:t>
      </w:r>
      <w:r>
        <w:rPr>
          <w:rFonts w:ascii="Times New Roman" w:hAnsi="Times New Roman" w:cs="Times New Roman" w:eastAsia="Times New Roman"/>
          <w:i/>
          <w:color w:val="auto"/>
          <w:spacing w:val="0"/>
          <w:position w:val="0"/>
          <w:sz w:val="24"/>
          <w:shd w:fill="auto" w:val="clear"/>
        </w:rPr>
        <w:t xml:space="preserve">ASA University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Ong, A. (2018) Financial reporting and corporate governance: bridging the divide. </w:t>
      </w:r>
      <w:r>
        <w:rPr>
          <w:rFonts w:ascii="Times New Roman" w:hAnsi="Times New Roman" w:cs="Times New Roman" w:eastAsia="Times New Roman"/>
          <w:i/>
          <w:color w:val="auto"/>
          <w:spacing w:val="0"/>
          <w:position w:val="0"/>
          <w:sz w:val="24"/>
          <w:shd w:fill="auto" w:val="clear"/>
        </w:rPr>
        <w:t xml:space="preserve">Journal of Management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18</w:t>
      </w:r>
      <w:r>
        <w:rPr>
          <w:rFonts w:ascii="Times New Roman" w:hAnsi="Times New Roman" w:cs="Times New Roman" w:eastAsia="Times New Roman"/>
          <w:color w:val="auto"/>
          <w:spacing w:val="0"/>
          <w:position w:val="0"/>
          <w:sz w:val="24"/>
          <w:shd w:fill="auto" w:val="clear"/>
        </w:rPr>
        <w:t xml:space="preserve">(1), pp.37-43.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Suzuki, D. (2019) Stock and flow in accounting. Balance sheet and income statement approaches. </w:t>
      </w:r>
      <w:r>
        <w:rPr>
          <w:rFonts w:ascii="Times New Roman" w:hAnsi="Times New Roman" w:cs="Times New Roman" w:eastAsia="Times New Roman"/>
          <w:i/>
          <w:color w:val="auto"/>
          <w:spacing w:val="0"/>
          <w:position w:val="0"/>
          <w:sz w:val="24"/>
          <w:shd w:fill="auto" w:val="clear"/>
        </w:rPr>
        <w:t xml:space="preserve">AMIS IAAER 2019</w:t>
      </w:r>
      <w:r>
        <w:rPr>
          <w:rFonts w:ascii="Times New Roman" w:hAnsi="Times New Roman" w:cs="Times New Roman" w:eastAsia="Times New Roman"/>
          <w:color w:val="auto"/>
          <w:spacing w:val="0"/>
          <w:position w:val="0"/>
          <w:sz w:val="24"/>
          <w:shd w:fill="auto" w:val="clear"/>
        </w:rPr>
        <w:t xml:space="preserve">, p.354.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Wadhwa, B. (2019) Financial ratios: The precarious core of fundamental analysis. </w:t>
      </w:r>
      <w:r>
        <w:rPr>
          <w:rFonts w:ascii="Times New Roman" w:hAnsi="Times New Roman" w:cs="Times New Roman" w:eastAsia="Times New Roman"/>
          <w:i/>
          <w:color w:val="auto"/>
          <w:spacing w:val="0"/>
          <w:position w:val="0"/>
          <w:sz w:val="24"/>
          <w:shd w:fill="auto" w:val="clear"/>
        </w:rPr>
        <w:t xml:space="preserve">Frontiers Journal of Accounting and Business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(1), pp.33-35.</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num w:numId="137">
    <w:abstractNumId w:val="96"/>
  </w:num>
  <w:num w:numId="140">
    <w:abstractNumId w:val="90"/>
  </w:num>
  <w:num w:numId="143">
    <w:abstractNumId w:val="84"/>
  </w:num>
  <w:num w:numId="146">
    <w:abstractNumId w:val="78"/>
  </w:num>
  <w:num w:numId="149">
    <w:abstractNumId w:val="72"/>
  </w:num>
  <w:num w:numId="152">
    <w:abstractNumId w:val="66"/>
  </w:num>
  <w:num w:numId="155">
    <w:abstractNumId w:val="60"/>
  </w:num>
  <w:num w:numId="158">
    <w:abstractNumId w:val="54"/>
  </w:num>
  <w:num w:numId="161">
    <w:abstractNumId w:val="48"/>
  </w:num>
  <w:num w:numId="164">
    <w:abstractNumId w:val="42"/>
  </w:num>
  <w:num w:numId="169">
    <w:abstractNumId w:val="36"/>
  </w:num>
  <w:num w:numId="175">
    <w:abstractNumId w:val="30"/>
  </w:num>
  <w:num w:numId="178">
    <w:abstractNumId w:val="24"/>
  </w:num>
  <w:num w:numId="180">
    <w:abstractNumId w:val="18"/>
  </w:num>
  <w:num w:numId="182">
    <w:abstractNumId w:val="12"/>
  </w:num>
  <w:num w:numId="184">
    <w:abstractNumId w:val="6"/>
  </w:num>
  <w:num w:numId="18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