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Pr="00817EA2" w:rsidRDefault="006A5CFC">
      <w:pPr>
        <w:rPr>
          <w:lang w:val="ru-RU"/>
        </w:rPr>
      </w:pPr>
    </w:p>
    <w:p w14:paraId="168F467C" w14:textId="77777777" w:rsidR="006A5CFC" w:rsidRDefault="006A5CFC"/>
    <w:p w14:paraId="3BEDB360" w14:textId="77777777" w:rsidR="00ED5964" w:rsidRDefault="00ED5964"/>
    <w:p w14:paraId="2EF804A0" w14:textId="0F3F3339" w:rsidR="00ED5964" w:rsidRPr="009E3D07" w:rsidRDefault="00ED5964" w:rsidP="00ED5964">
      <w:pPr>
        <w:jc w:val="both"/>
        <w:rPr>
          <w:rFonts w:asciiTheme="minorBidi" w:hAnsiTheme="minorBidi"/>
          <w:b/>
          <w:bCs/>
          <w:sz w:val="28"/>
          <w:szCs w:val="28"/>
        </w:rPr>
      </w:pPr>
      <w:r w:rsidRPr="009E3D07">
        <w:rPr>
          <w:rFonts w:asciiTheme="minorBidi" w:hAnsiTheme="minorBidi"/>
          <w:b/>
          <w:bCs/>
          <w:sz w:val="28"/>
          <w:szCs w:val="28"/>
        </w:rPr>
        <w:t xml:space="preserve">Name: </w:t>
      </w:r>
      <w:r w:rsidR="000B6F7D" w:rsidRPr="009E3D07">
        <w:rPr>
          <w:rFonts w:asciiTheme="minorBidi" w:hAnsiTheme="minorBidi"/>
          <w:b/>
          <w:bCs/>
          <w:sz w:val="28"/>
          <w:szCs w:val="28"/>
        </w:rPr>
        <w:t xml:space="preserve">Oksana </w:t>
      </w:r>
      <w:proofErr w:type="spellStart"/>
      <w:r w:rsidR="000B6F7D" w:rsidRPr="009E3D07">
        <w:rPr>
          <w:rFonts w:asciiTheme="minorBidi" w:hAnsiTheme="minorBidi"/>
          <w:b/>
          <w:bCs/>
          <w:sz w:val="28"/>
          <w:szCs w:val="28"/>
        </w:rPr>
        <w:t>Tulba</w:t>
      </w:r>
      <w:proofErr w:type="spellEnd"/>
    </w:p>
    <w:p w14:paraId="485B6F49" w14:textId="653AB602" w:rsidR="00ED5964" w:rsidRPr="005C57E0" w:rsidRDefault="00ED5964" w:rsidP="00ED5964">
      <w:pPr>
        <w:jc w:val="both"/>
        <w:rPr>
          <w:rFonts w:asciiTheme="minorBidi" w:hAnsiTheme="minorBidi"/>
          <w:b/>
          <w:bCs/>
          <w:sz w:val="28"/>
          <w:szCs w:val="28"/>
          <w:lang w:val="en-US"/>
        </w:rPr>
      </w:pPr>
      <w:r w:rsidRPr="009E3D07">
        <w:rPr>
          <w:rFonts w:asciiTheme="minorBidi" w:hAnsiTheme="minorBidi"/>
          <w:b/>
          <w:bCs/>
          <w:sz w:val="28"/>
          <w:szCs w:val="28"/>
        </w:rPr>
        <w:t xml:space="preserve">Student ID: </w:t>
      </w:r>
      <w:r w:rsidR="007D79F0" w:rsidRPr="005C57E0">
        <w:rPr>
          <w:rFonts w:asciiTheme="minorBidi" w:hAnsiTheme="minorBidi"/>
          <w:b/>
          <w:bCs/>
          <w:sz w:val="28"/>
          <w:szCs w:val="28"/>
          <w:lang w:val="en-US"/>
        </w:rPr>
        <w:t>2513894</w:t>
      </w:r>
    </w:p>
    <w:p w14:paraId="3C1E7A20" w14:textId="59A4A642" w:rsidR="00ED5964" w:rsidRPr="009E3D07" w:rsidRDefault="00ED5964" w:rsidP="00ED5964">
      <w:pPr>
        <w:jc w:val="both"/>
        <w:rPr>
          <w:rFonts w:asciiTheme="minorBidi" w:hAnsiTheme="minorBidi"/>
          <w:b/>
          <w:bCs/>
          <w:sz w:val="28"/>
          <w:szCs w:val="28"/>
        </w:rPr>
      </w:pPr>
      <w:r w:rsidRPr="009E3D07">
        <w:rPr>
          <w:rFonts w:asciiTheme="minorBidi" w:hAnsiTheme="minorBidi"/>
          <w:b/>
          <w:bCs/>
          <w:sz w:val="28"/>
          <w:szCs w:val="28"/>
        </w:rPr>
        <w:t xml:space="preserve">Module Code: </w:t>
      </w:r>
      <w:r w:rsidR="000B6F7D" w:rsidRPr="009E3D07">
        <w:rPr>
          <w:rFonts w:asciiTheme="minorBidi" w:hAnsiTheme="minorBidi"/>
          <w:b/>
          <w:bCs/>
          <w:sz w:val="28"/>
          <w:szCs w:val="28"/>
        </w:rPr>
        <w:t>LCHS400</w:t>
      </w:r>
      <w:r w:rsidR="00173572" w:rsidRPr="009E3D07">
        <w:rPr>
          <w:rFonts w:asciiTheme="minorBidi" w:hAnsiTheme="minorBidi"/>
          <w:b/>
          <w:bCs/>
          <w:sz w:val="28"/>
          <w:szCs w:val="28"/>
        </w:rPr>
        <w:t>8</w:t>
      </w:r>
    </w:p>
    <w:p w14:paraId="4EEB2DA3" w14:textId="4D311C5B" w:rsidR="00ED5964" w:rsidRPr="009E3D07" w:rsidRDefault="00ED5964" w:rsidP="00ED5964">
      <w:pPr>
        <w:jc w:val="both"/>
        <w:rPr>
          <w:rFonts w:asciiTheme="minorBidi" w:hAnsiTheme="minorBidi"/>
          <w:b/>
          <w:bCs/>
          <w:sz w:val="28"/>
          <w:szCs w:val="28"/>
        </w:rPr>
      </w:pPr>
      <w:r w:rsidRPr="009E3D07">
        <w:rPr>
          <w:rFonts w:asciiTheme="minorBidi" w:hAnsiTheme="minorBidi"/>
          <w:b/>
          <w:bCs/>
          <w:sz w:val="28"/>
          <w:szCs w:val="28"/>
        </w:rPr>
        <w:t xml:space="preserve">Module: </w:t>
      </w:r>
      <w:r w:rsidR="007D79F0" w:rsidRPr="009E3D07">
        <w:rPr>
          <w:rFonts w:asciiTheme="minorBidi" w:hAnsiTheme="minorBidi"/>
          <w:b/>
          <w:bCs/>
          <w:sz w:val="28"/>
          <w:szCs w:val="28"/>
        </w:rPr>
        <w:t>Introduction to Public Health</w:t>
      </w:r>
    </w:p>
    <w:p w14:paraId="112342CB" w14:textId="71EB5D35" w:rsidR="00ED5964" w:rsidRPr="009E3D07" w:rsidRDefault="00ED5964" w:rsidP="00ED5964">
      <w:pPr>
        <w:jc w:val="both"/>
        <w:rPr>
          <w:rFonts w:asciiTheme="minorBidi" w:hAnsiTheme="minorBidi"/>
          <w:b/>
          <w:bCs/>
          <w:sz w:val="28"/>
          <w:szCs w:val="28"/>
          <w:lang w:val="en-US"/>
        </w:rPr>
      </w:pPr>
      <w:r w:rsidRPr="009E3D07">
        <w:rPr>
          <w:rFonts w:asciiTheme="minorBidi" w:hAnsiTheme="minorBidi"/>
          <w:b/>
          <w:bCs/>
          <w:sz w:val="28"/>
          <w:szCs w:val="28"/>
        </w:rPr>
        <w:t xml:space="preserve">Lecturer: </w:t>
      </w:r>
      <w:r w:rsidR="0056355D" w:rsidRPr="009E3D07">
        <w:rPr>
          <w:rFonts w:asciiTheme="minorBidi" w:hAnsiTheme="minorBidi"/>
          <w:b/>
          <w:bCs/>
          <w:sz w:val="28"/>
          <w:szCs w:val="28"/>
          <w:lang w:val="en-US"/>
        </w:rPr>
        <w:t xml:space="preserve">Ziko </w:t>
      </w:r>
      <w:r w:rsidR="007D79F0" w:rsidRPr="009E3D07">
        <w:rPr>
          <w:rFonts w:asciiTheme="minorBidi" w:hAnsiTheme="minorBidi"/>
          <w:b/>
          <w:bCs/>
          <w:sz w:val="28"/>
          <w:szCs w:val="28"/>
          <w:lang w:val="en-US"/>
        </w:rPr>
        <w:t>Sheph</w:t>
      </w:r>
      <w:r w:rsidR="0056355D" w:rsidRPr="009E3D07">
        <w:rPr>
          <w:rFonts w:asciiTheme="minorBidi" w:hAnsiTheme="minorBidi"/>
          <w:b/>
          <w:bCs/>
          <w:sz w:val="28"/>
          <w:szCs w:val="28"/>
          <w:lang w:val="en-US"/>
        </w:rPr>
        <w:t>e</w:t>
      </w:r>
      <w:r w:rsidR="007D79F0" w:rsidRPr="009E3D07">
        <w:rPr>
          <w:rFonts w:asciiTheme="minorBidi" w:hAnsiTheme="minorBidi"/>
          <w:b/>
          <w:bCs/>
          <w:sz w:val="28"/>
          <w:szCs w:val="28"/>
          <w:lang w:val="en-US"/>
        </w:rPr>
        <w:t xml:space="preserve">rd </w:t>
      </w:r>
    </w:p>
    <w:p w14:paraId="7DDF1E13" w14:textId="77777777" w:rsidR="0056355D" w:rsidRPr="009E3D07" w:rsidRDefault="0056355D" w:rsidP="00ED5964">
      <w:pPr>
        <w:jc w:val="both"/>
        <w:rPr>
          <w:rFonts w:asciiTheme="minorBidi" w:hAnsiTheme="minorBidi"/>
          <w:b/>
          <w:bCs/>
          <w:sz w:val="28"/>
          <w:szCs w:val="28"/>
          <w:lang w:val="en-US"/>
        </w:rPr>
      </w:pPr>
    </w:p>
    <w:p w14:paraId="3B658913" w14:textId="77777777" w:rsidR="0056355D" w:rsidRPr="005C57E0" w:rsidRDefault="0056355D" w:rsidP="00ED5964">
      <w:pPr>
        <w:jc w:val="both"/>
        <w:rPr>
          <w:rFonts w:asciiTheme="minorBidi" w:hAnsiTheme="minorBidi"/>
          <w:b/>
          <w:bCs/>
          <w:sz w:val="28"/>
          <w:szCs w:val="28"/>
          <w:lang w:val="en-US"/>
        </w:rPr>
      </w:pPr>
    </w:p>
    <w:p w14:paraId="118BA3B4" w14:textId="77777777" w:rsidR="0056355D" w:rsidRPr="009E3D07" w:rsidRDefault="0056355D" w:rsidP="00ED5964">
      <w:pPr>
        <w:jc w:val="both"/>
        <w:rPr>
          <w:rFonts w:asciiTheme="minorBidi" w:hAnsiTheme="minorBidi"/>
          <w:b/>
          <w:bCs/>
          <w:sz w:val="28"/>
          <w:szCs w:val="28"/>
          <w:lang w:val="en-US"/>
        </w:rPr>
      </w:pPr>
    </w:p>
    <w:p w14:paraId="56955345" w14:textId="77777777" w:rsidR="0056355D" w:rsidRPr="009E3D07" w:rsidRDefault="0056355D" w:rsidP="00ED5964">
      <w:pPr>
        <w:jc w:val="both"/>
        <w:rPr>
          <w:rFonts w:asciiTheme="minorBidi" w:hAnsiTheme="minorBidi"/>
          <w:b/>
          <w:bCs/>
          <w:sz w:val="28"/>
          <w:szCs w:val="28"/>
          <w:lang w:val="en-US"/>
        </w:rPr>
      </w:pPr>
    </w:p>
    <w:p w14:paraId="220119C7" w14:textId="3513E06C" w:rsidR="0056355D" w:rsidRPr="009E3D07" w:rsidRDefault="0056355D" w:rsidP="0056355D">
      <w:pPr>
        <w:ind w:left="2160" w:firstLine="720"/>
        <w:jc w:val="both"/>
        <w:rPr>
          <w:rFonts w:asciiTheme="minorBidi" w:hAnsiTheme="minorBidi"/>
          <w:b/>
          <w:bCs/>
          <w:sz w:val="28"/>
          <w:szCs w:val="28"/>
          <w:lang w:val="en-US"/>
        </w:rPr>
      </w:pPr>
      <w:r w:rsidRPr="009E3D07">
        <w:rPr>
          <w:rFonts w:asciiTheme="minorBidi" w:hAnsiTheme="minorBidi"/>
          <w:b/>
          <w:bCs/>
          <w:sz w:val="28"/>
          <w:szCs w:val="28"/>
          <w:lang w:val="en-US"/>
        </w:rPr>
        <w:t>Dementia Report</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5D2B16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5C57E0" w:rsidRDefault="00184A9A">
          <w:pPr>
            <w:pStyle w:val="TOCHeading"/>
            <w:rPr>
              <w:rFonts w:ascii="Arial" w:hAnsi="Arial" w:cs="Arial"/>
              <w:color w:val="000000" w:themeColor="text1"/>
              <w:sz w:val="22"/>
              <w:szCs w:val="22"/>
            </w:rPr>
          </w:pPr>
          <w:r w:rsidRPr="005C57E0">
            <w:rPr>
              <w:rFonts w:ascii="Arial" w:hAnsi="Arial" w:cs="Arial"/>
              <w:color w:val="000000" w:themeColor="text1"/>
              <w:sz w:val="22"/>
              <w:szCs w:val="22"/>
            </w:rPr>
            <w:t>Table of Contents</w:t>
          </w:r>
        </w:p>
        <w:p w14:paraId="7F93DC8B" w14:textId="74C4F781" w:rsidR="00446F54" w:rsidRPr="00021572" w:rsidRDefault="0156E134" w:rsidP="005C57E0">
          <w:pPr>
            <w:pStyle w:val="TOC2"/>
            <w:tabs>
              <w:tab w:val="right" w:leader="dot" w:pos="9016"/>
            </w:tabs>
            <w:rPr>
              <w:rFonts w:ascii="Arial" w:hAnsi="Arial" w:cs="Arial"/>
              <w:b w:val="0"/>
              <w:bCs w:val="0"/>
              <w:noProof/>
              <w:sz w:val="22"/>
            </w:rPr>
          </w:pPr>
          <w:r w:rsidRPr="00021572">
            <w:rPr>
              <w:rFonts w:ascii="Arial" w:hAnsi="Arial" w:cs="Arial"/>
              <w:sz w:val="22"/>
            </w:rPr>
            <w:fldChar w:fldCharType="begin"/>
          </w:r>
          <w:r w:rsidR="00184A9A" w:rsidRPr="00021572">
            <w:rPr>
              <w:rFonts w:ascii="Arial" w:hAnsi="Arial" w:cs="Arial"/>
              <w:sz w:val="22"/>
            </w:rPr>
            <w:instrText>TOC \o "1-3" \z \u \h</w:instrText>
          </w:r>
          <w:r w:rsidRPr="00021572">
            <w:rPr>
              <w:rFonts w:ascii="Arial" w:hAnsi="Arial" w:cs="Arial"/>
              <w:sz w:val="22"/>
            </w:rPr>
            <w:fldChar w:fldCharType="separate"/>
          </w:r>
          <w:hyperlink w:anchor="_Toc215923678" w:history="1">
            <w:r w:rsidR="00446F54" w:rsidRPr="00021572">
              <w:rPr>
                <w:rStyle w:val="Hyperlink"/>
                <w:rFonts w:ascii="Arial" w:hAnsi="Arial" w:cs="Arial"/>
                <w:b w:val="0"/>
                <w:bCs w:val="0"/>
                <w:noProof/>
                <w:sz w:val="22"/>
              </w:rPr>
              <w:t>1. Introduction</w:t>
            </w:r>
            <w:r w:rsidR="00446F54" w:rsidRPr="00021572">
              <w:rPr>
                <w:rFonts w:ascii="Arial" w:hAnsi="Arial" w:cs="Arial"/>
                <w:b w:val="0"/>
                <w:bCs w:val="0"/>
                <w:noProof/>
                <w:webHidden/>
                <w:sz w:val="22"/>
              </w:rPr>
              <w:tab/>
            </w:r>
            <w:r w:rsidR="00446F54" w:rsidRPr="00021572">
              <w:rPr>
                <w:rFonts w:ascii="Arial" w:hAnsi="Arial" w:cs="Arial"/>
                <w:b w:val="0"/>
                <w:bCs w:val="0"/>
                <w:noProof/>
                <w:webHidden/>
                <w:sz w:val="22"/>
              </w:rPr>
              <w:fldChar w:fldCharType="begin"/>
            </w:r>
            <w:r w:rsidR="00446F54" w:rsidRPr="00021572">
              <w:rPr>
                <w:rFonts w:ascii="Arial" w:hAnsi="Arial" w:cs="Arial"/>
                <w:b w:val="0"/>
                <w:bCs w:val="0"/>
                <w:noProof/>
                <w:webHidden/>
                <w:sz w:val="22"/>
              </w:rPr>
              <w:instrText xml:space="preserve"> PAGEREF _Toc215923678 \h </w:instrText>
            </w:r>
            <w:r w:rsidR="00446F54" w:rsidRPr="00021572">
              <w:rPr>
                <w:rFonts w:ascii="Arial" w:hAnsi="Arial" w:cs="Arial"/>
                <w:b w:val="0"/>
                <w:bCs w:val="0"/>
                <w:noProof/>
                <w:webHidden/>
                <w:sz w:val="22"/>
              </w:rPr>
            </w:r>
            <w:r w:rsidR="00446F54" w:rsidRPr="00021572">
              <w:rPr>
                <w:rFonts w:ascii="Arial" w:hAnsi="Arial" w:cs="Arial"/>
                <w:b w:val="0"/>
                <w:bCs w:val="0"/>
                <w:noProof/>
                <w:webHidden/>
                <w:sz w:val="22"/>
              </w:rPr>
              <w:fldChar w:fldCharType="separate"/>
            </w:r>
            <w:r w:rsidR="00446F54" w:rsidRPr="00021572">
              <w:rPr>
                <w:rFonts w:ascii="Arial" w:hAnsi="Arial" w:cs="Arial"/>
                <w:b w:val="0"/>
                <w:bCs w:val="0"/>
                <w:noProof/>
                <w:webHidden/>
                <w:sz w:val="22"/>
              </w:rPr>
              <w:t>3</w:t>
            </w:r>
            <w:r w:rsidR="00446F54" w:rsidRPr="00021572">
              <w:rPr>
                <w:rFonts w:ascii="Arial" w:hAnsi="Arial" w:cs="Arial"/>
                <w:b w:val="0"/>
                <w:bCs w:val="0"/>
                <w:noProof/>
                <w:webHidden/>
                <w:sz w:val="22"/>
              </w:rPr>
              <w:fldChar w:fldCharType="end"/>
            </w:r>
          </w:hyperlink>
        </w:p>
        <w:p w14:paraId="6680BADA" w14:textId="458A4EA5" w:rsidR="00446F54" w:rsidRPr="00021572" w:rsidRDefault="00446F54" w:rsidP="005C57E0">
          <w:pPr>
            <w:pStyle w:val="TOC2"/>
            <w:tabs>
              <w:tab w:val="right" w:leader="dot" w:pos="9016"/>
            </w:tabs>
            <w:rPr>
              <w:rFonts w:ascii="Arial" w:hAnsi="Arial" w:cs="Arial"/>
              <w:b w:val="0"/>
              <w:bCs w:val="0"/>
              <w:noProof/>
              <w:sz w:val="22"/>
            </w:rPr>
          </w:pPr>
          <w:hyperlink w:anchor="_Toc215923679" w:history="1">
            <w:r w:rsidRPr="00021572">
              <w:rPr>
                <w:rStyle w:val="Hyperlink"/>
                <w:rFonts w:ascii="Arial" w:hAnsi="Arial" w:cs="Arial"/>
                <w:b w:val="0"/>
                <w:bCs w:val="0"/>
                <w:noProof/>
                <w:sz w:val="22"/>
              </w:rPr>
              <w:t>2</w:t>
            </w:r>
            <w:r w:rsidR="00892226" w:rsidRPr="00021572">
              <w:rPr>
                <w:rStyle w:val="Hyperlink"/>
                <w:rFonts w:ascii="Arial" w:hAnsi="Arial" w:cs="Arial"/>
                <w:b w:val="0"/>
                <w:bCs w:val="0"/>
                <w:noProof/>
                <w:sz w:val="22"/>
              </w:rPr>
              <w:t xml:space="preserve">. </w:t>
            </w:r>
            <w:r w:rsidR="007D79F0" w:rsidRPr="00021572">
              <w:rPr>
                <w:rStyle w:val="Hyperlink"/>
                <w:rFonts w:ascii="Arial" w:hAnsi="Arial" w:cs="Arial"/>
                <w:b w:val="0"/>
                <w:bCs w:val="0"/>
                <w:noProof/>
                <w:sz w:val="22"/>
              </w:rPr>
              <w:t>Approaches used to measure and monitor dementia</w:t>
            </w:r>
            <w:r w:rsidRPr="00021572">
              <w:rPr>
                <w:rFonts w:ascii="Arial" w:hAnsi="Arial" w:cs="Arial"/>
                <w:b w:val="0"/>
                <w:bCs w:val="0"/>
                <w:noProof/>
                <w:webHidden/>
                <w:sz w:val="22"/>
              </w:rPr>
              <w:tab/>
            </w:r>
            <w:r w:rsidRPr="00021572">
              <w:rPr>
                <w:rFonts w:ascii="Arial" w:hAnsi="Arial" w:cs="Arial"/>
                <w:b w:val="0"/>
                <w:bCs w:val="0"/>
                <w:noProof/>
                <w:webHidden/>
                <w:sz w:val="22"/>
              </w:rPr>
              <w:fldChar w:fldCharType="begin"/>
            </w:r>
            <w:r w:rsidRPr="00021572">
              <w:rPr>
                <w:rFonts w:ascii="Arial" w:hAnsi="Arial" w:cs="Arial"/>
                <w:b w:val="0"/>
                <w:bCs w:val="0"/>
                <w:noProof/>
                <w:webHidden/>
                <w:sz w:val="22"/>
              </w:rPr>
              <w:instrText xml:space="preserve"> PAGEREF _Toc215923679 \h </w:instrText>
            </w:r>
            <w:r w:rsidRPr="00021572">
              <w:rPr>
                <w:rFonts w:ascii="Arial" w:hAnsi="Arial" w:cs="Arial"/>
                <w:b w:val="0"/>
                <w:bCs w:val="0"/>
                <w:noProof/>
                <w:webHidden/>
                <w:sz w:val="22"/>
              </w:rPr>
            </w:r>
            <w:r w:rsidRPr="00021572">
              <w:rPr>
                <w:rFonts w:ascii="Arial" w:hAnsi="Arial" w:cs="Arial"/>
                <w:b w:val="0"/>
                <w:bCs w:val="0"/>
                <w:noProof/>
                <w:webHidden/>
                <w:sz w:val="22"/>
              </w:rPr>
              <w:fldChar w:fldCharType="separate"/>
            </w:r>
            <w:r w:rsidRPr="00021572">
              <w:rPr>
                <w:rFonts w:ascii="Arial" w:hAnsi="Arial" w:cs="Arial"/>
                <w:b w:val="0"/>
                <w:bCs w:val="0"/>
                <w:noProof/>
                <w:webHidden/>
                <w:sz w:val="22"/>
              </w:rPr>
              <w:t>3</w:t>
            </w:r>
            <w:r w:rsidRPr="00021572">
              <w:rPr>
                <w:rFonts w:ascii="Arial" w:hAnsi="Arial" w:cs="Arial"/>
                <w:b w:val="0"/>
                <w:bCs w:val="0"/>
                <w:noProof/>
                <w:webHidden/>
                <w:sz w:val="22"/>
              </w:rPr>
              <w:fldChar w:fldCharType="end"/>
            </w:r>
          </w:hyperlink>
        </w:p>
        <w:p w14:paraId="738D2EDC" w14:textId="281834CE" w:rsidR="00446F54" w:rsidRPr="00021572" w:rsidRDefault="007D79F0" w:rsidP="005C57E0">
          <w:pPr>
            <w:pStyle w:val="TOC2"/>
            <w:tabs>
              <w:tab w:val="right" w:leader="dot" w:pos="9016"/>
            </w:tabs>
            <w:rPr>
              <w:rFonts w:ascii="Arial" w:hAnsi="Arial" w:cs="Arial"/>
              <w:b w:val="0"/>
              <w:bCs w:val="0"/>
              <w:sz w:val="22"/>
              <w:lang w:val="ru-RU"/>
            </w:rPr>
          </w:pPr>
          <w:hyperlink w:anchor="_Toc215923680" w:history="1">
            <w:r w:rsidRPr="00021572">
              <w:rPr>
                <w:rStyle w:val="Hyperlink"/>
                <w:rFonts w:ascii="Arial" w:hAnsi="Arial" w:cs="Arial"/>
                <w:b w:val="0"/>
                <w:bCs w:val="0"/>
                <w:noProof/>
                <w:sz w:val="22"/>
              </w:rPr>
              <w:t>3</w:t>
            </w:r>
            <w:r w:rsidR="00446F54" w:rsidRPr="00021572">
              <w:rPr>
                <w:rStyle w:val="Hyperlink"/>
                <w:rFonts w:ascii="Arial" w:hAnsi="Arial" w:cs="Arial"/>
                <w:b w:val="0"/>
                <w:bCs w:val="0"/>
                <w:noProof/>
                <w:sz w:val="22"/>
              </w:rPr>
              <w:t>.</w:t>
            </w:r>
            <w:r w:rsidRPr="00021572">
              <w:rPr>
                <w:rFonts w:ascii="Arial" w:hAnsi="Arial" w:cs="Arial"/>
                <w:b w:val="0"/>
                <w:bCs w:val="0"/>
                <w:sz w:val="22"/>
              </w:rPr>
              <w:t xml:space="preserve"> </w:t>
            </w:r>
            <w:r w:rsidRPr="00021572">
              <w:rPr>
                <w:rStyle w:val="Hyperlink"/>
                <w:rFonts w:ascii="Arial" w:hAnsi="Arial" w:cs="Arial"/>
                <w:b w:val="0"/>
                <w:bCs w:val="0"/>
                <w:noProof/>
                <w:sz w:val="22"/>
              </w:rPr>
              <w:t>How dementia is controlled</w:t>
            </w:r>
            <w:r w:rsidR="00446F54" w:rsidRPr="00021572">
              <w:rPr>
                <w:rFonts w:ascii="Arial" w:hAnsi="Arial" w:cs="Arial"/>
                <w:b w:val="0"/>
                <w:bCs w:val="0"/>
                <w:noProof/>
                <w:webHidden/>
                <w:sz w:val="22"/>
              </w:rPr>
              <w:tab/>
            </w:r>
            <w:r w:rsidR="00FA580F" w:rsidRPr="00021572">
              <w:rPr>
                <w:rFonts w:ascii="Arial" w:hAnsi="Arial" w:cs="Arial"/>
                <w:b w:val="0"/>
                <w:bCs w:val="0"/>
                <w:noProof/>
                <w:webHidden/>
                <w:sz w:val="22"/>
                <w:lang w:val="ru-RU"/>
              </w:rPr>
              <w:t>4</w:t>
            </w:r>
          </w:hyperlink>
        </w:p>
        <w:p w14:paraId="4FC108A1" w14:textId="1B7DBAE6" w:rsidR="00FA580F" w:rsidRPr="00021572" w:rsidRDefault="00FA580F" w:rsidP="005C57E0">
          <w:pPr>
            <w:spacing w:before="120" w:after="0"/>
            <w:ind w:left="220"/>
            <w:rPr>
              <w:rFonts w:ascii="Arial" w:hAnsi="Arial" w:cs="Arial"/>
              <w:sz w:val="22"/>
              <w:lang w:val="ru-UA"/>
            </w:rPr>
          </w:pPr>
          <w:r w:rsidRPr="00021572">
            <w:rPr>
              <w:rFonts w:ascii="Arial" w:hAnsi="Arial" w:cs="Arial"/>
              <w:sz w:val="22"/>
              <w:lang w:val="en-US"/>
            </w:rPr>
            <w:t>4. Risk factors and public health</w:t>
          </w:r>
          <w:r w:rsidR="005C57E0">
            <w:rPr>
              <w:rFonts w:ascii="Arial" w:hAnsi="Arial" w:cs="Arial"/>
              <w:sz w:val="22"/>
              <w:lang w:val="en-US"/>
            </w:rPr>
            <w:t xml:space="preserve"> perspective…………………………………………………4</w:t>
          </w:r>
          <w:r w:rsidRPr="00021572">
            <w:rPr>
              <w:rFonts w:ascii="Arial" w:hAnsi="Arial" w:cs="Arial"/>
              <w:sz w:val="22"/>
              <w:lang w:val="en-US"/>
            </w:rPr>
            <w:t xml:space="preserve"> </w:t>
          </w:r>
        </w:p>
        <w:p w14:paraId="11CBD12D" w14:textId="694DA7AA" w:rsidR="00446F54" w:rsidRPr="00021572" w:rsidRDefault="00FA580F" w:rsidP="005C57E0">
          <w:pPr>
            <w:pStyle w:val="TOC2"/>
            <w:tabs>
              <w:tab w:val="right" w:leader="dot" w:pos="9016"/>
            </w:tabs>
            <w:rPr>
              <w:rFonts w:ascii="Arial" w:hAnsi="Arial" w:cs="Arial"/>
              <w:b w:val="0"/>
              <w:bCs w:val="0"/>
              <w:noProof/>
              <w:sz w:val="22"/>
            </w:rPr>
          </w:pPr>
          <w:hyperlink w:anchor="_Toc215923682" w:history="1">
            <w:r w:rsidRPr="00021572">
              <w:rPr>
                <w:rStyle w:val="Hyperlink"/>
                <w:rFonts w:ascii="Arial" w:hAnsi="Arial" w:cs="Arial"/>
                <w:b w:val="0"/>
                <w:bCs w:val="0"/>
                <w:noProof/>
                <w:sz w:val="22"/>
              </w:rPr>
              <w:t>5</w:t>
            </w:r>
            <w:r w:rsidR="0056355D" w:rsidRPr="00021572">
              <w:rPr>
                <w:rStyle w:val="Hyperlink"/>
                <w:rFonts w:ascii="Arial" w:hAnsi="Arial" w:cs="Arial"/>
                <w:b w:val="0"/>
                <w:bCs w:val="0"/>
                <w:noProof/>
                <w:sz w:val="22"/>
              </w:rPr>
              <w:t>.</w:t>
            </w:r>
            <w:r w:rsidR="00446F54" w:rsidRPr="00021572">
              <w:rPr>
                <w:rStyle w:val="Hyperlink"/>
                <w:rFonts w:ascii="Arial" w:hAnsi="Arial" w:cs="Arial"/>
                <w:b w:val="0"/>
                <w:bCs w:val="0"/>
                <w:noProof/>
                <w:sz w:val="22"/>
              </w:rPr>
              <w:t xml:space="preserve"> </w:t>
            </w:r>
            <w:r w:rsidR="0056355D" w:rsidRPr="00021572">
              <w:rPr>
                <w:rStyle w:val="Hyperlink"/>
                <w:rFonts w:ascii="Arial" w:hAnsi="Arial" w:cs="Arial"/>
                <w:b w:val="0"/>
                <w:bCs w:val="0"/>
                <w:noProof/>
                <w:sz w:val="22"/>
              </w:rPr>
              <w:t>Consequences of dementia on people in the community</w:t>
            </w:r>
            <w:r w:rsidR="00446F54" w:rsidRPr="00021572">
              <w:rPr>
                <w:rFonts w:ascii="Arial" w:hAnsi="Arial" w:cs="Arial"/>
                <w:b w:val="0"/>
                <w:bCs w:val="0"/>
                <w:noProof/>
                <w:webHidden/>
                <w:sz w:val="22"/>
              </w:rPr>
              <w:tab/>
            </w:r>
            <w:r w:rsidR="00446F54" w:rsidRPr="00021572">
              <w:rPr>
                <w:rFonts w:ascii="Arial" w:hAnsi="Arial" w:cs="Arial"/>
                <w:b w:val="0"/>
                <w:bCs w:val="0"/>
                <w:noProof/>
                <w:webHidden/>
                <w:sz w:val="22"/>
              </w:rPr>
              <w:fldChar w:fldCharType="begin"/>
            </w:r>
            <w:r w:rsidR="00446F54" w:rsidRPr="00021572">
              <w:rPr>
                <w:rFonts w:ascii="Arial" w:hAnsi="Arial" w:cs="Arial"/>
                <w:b w:val="0"/>
                <w:bCs w:val="0"/>
                <w:noProof/>
                <w:webHidden/>
                <w:sz w:val="22"/>
              </w:rPr>
              <w:instrText xml:space="preserve"> PAGEREF _Toc215923682 \h </w:instrText>
            </w:r>
            <w:r w:rsidR="00446F54" w:rsidRPr="00021572">
              <w:rPr>
                <w:rFonts w:ascii="Arial" w:hAnsi="Arial" w:cs="Arial"/>
                <w:b w:val="0"/>
                <w:bCs w:val="0"/>
                <w:noProof/>
                <w:webHidden/>
                <w:sz w:val="22"/>
              </w:rPr>
            </w:r>
            <w:r w:rsidR="00446F54" w:rsidRPr="00021572">
              <w:rPr>
                <w:rFonts w:ascii="Arial" w:hAnsi="Arial" w:cs="Arial"/>
                <w:b w:val="0"/>
                <w:bCs w:val="0"/>
                <w:noProof/>
                <w:webHidden/>
                <w:sz w:val="22"/>
              </w:rPr>
              <w:fldChar w:fldCharType="separate"/>
            </w:r>
            <w:r w:rsidR="00446F54" w:rsidRPr="00021572">
              <w:rPr>
                <w:rFonts w:ascii="Arial" w:hAnsi="Arial" w:cs="Arial"/>
                <w:b w:val="0"/>
                <w:bCs w:val="0"/>
                <w:noProof/>
                <w:webHidden/>
                <w:sz w:val="22"/>
              </w:rPr>
              <w:t>5</w:t>
            </w:r>
            <w:r w:rsidR="00446F54" w:rsidRPr="00021572">
              <w:rPr>
                <w:rFonts w:ascii="Arial" w:hAnsi="Arial" w:cs="Arial"/>
                <w:b w:val="0"/>
                <w:bCs w:val="0"/>
                <w:noProof/>
                <w:webHidden/>
                <w:sz w:val="22"/>
              </w:rPr>
              <w:fldChar w:fldCharType="end"/>
            </w:r>
          </w:hyperlink>
        </w:p>
        <w:p w14:paraId="53245741" w14:textId="59CE3EEF" w:rsidR="00446F54" w:rsidRPr="00021572" w:rsidRDefault="00FA580F" w:rsidP="005C57E0">
          <w:pPr>
            <w:pStyle w:val="TOC2"/>
            <w:tabs>
              <w:tab w:val="right" w:leader="dot" w:pos="9016"/>
            </w:tabs>
            <w:rPr>
              <w:rFonts w:ascii="Arial" w:hAnsi="Arial" w:cs="Arial"/>
              <w:b w:val="0"/>
              <w:bCs w:val="0"/>
              <w:noProof/>
              <w:sz w:val="22"/>
            </w:rPr>
          </w:pPr>
          <w:hyperlink w:anchor="_Toc215923683" w:history="1">
            <w:r w:rsidRPr="00021572">
              <w:rPr>
                <w:rStyle w:val="Hyperlink"/>
                <w:rFonts w:ascii="Arial" w:hAnsi="Arial" w:cs="Arial"/>
                <w:b w:val="0"/>
                <w:bCs w:val="0"/>
                <w:noProof/>
                <w:sz w:val="22"/>
              </w:rPr>
              <w:t>6</w:t>
            </w:r>
            <w:r w:rsidR="00446F54" w:rsidRPr="00021572">
              <w:rPr>
                <w:rStyle w:val="Hyperlink"/>
                <w:rFonts w:ascii="Arial" w:hAnsi="Arial" w:cs="Arial"/>
                <w:b w:val="0"/>
                <w:bCs w:val="0"/>
                <w:noProof/>
                <w:sz w:val="22"/>
              </w:rPr>
              <w:t>.</w:t>
            </w:r>
            <w:r w:rsidR="00892226" w:rsidRPr="00021572">
              <w:rPr>
                <w:rStyle w:val="Hyperlink"/>
                <w:rFonts w:ascii="Arial" w:hAnsi="Arial" w:cs="Arial"/>
                <w:b w:val="0"/>
                <w:bCs w:val="0"/>
                <w:noProof/>
                <w:sz w:val="22"/>
              </w:rPr>
              <w:t xml:space="preserve"> </w:t>
            </w:r>
            <w:r w:rsidR="0056355D" w:rsidRPr="00021572">
              <w:rPr>
                <w:rStyle w:val="Hyperlink"/>
                <w:rFonts w:ascii="Arial" w:hAnsi="Arial" w:cs="Arial"/>
                <w:b w:val="0"/>
                <w:bCs w:val="0"/>
                <w:noProof/>
                <w:sz w:val="22"/>
              </w:rPr>
              <w:t>Health and social care support</w:t>
            </w:r>
            <w:r w:rsidR="00446F54" w:rsidRPr="00021572">
              <w:rPr>
                <w:rFonts w:ascii="Arial" w:hAnsi="Arial" w:cs="Arial"/>
                <w:b w:val="0"/>
                <w:bCs w:val="0"/>
                <w:noProof/>
                <w:webHidden/>
                <w:sz w:val="22"/>
              </w:rPr>
              <w:tab/>
            </w:r>
            <w:r w:rsidR="007703E0">
              <w:rPr>
                <w:rFonts w:ascii="Arial" w:hAnsi="Arial" w:cs="Arial"/>
                <w:b w:val="0"/>
                <w:bCs w:val="0"/>
                <w:noProof/>
                <w:webHidden/>
                <w:sz w:val="22"/>
                <w:lang w:val="en-US"/>
              </w:rPr>
              <w:t>6</w:t>
            </w:r>
          </w:hyperlink>
        </w:p>
        <w:p w14:paraId="34344363" w14:textId="1C6BF39C" w:rsidR="00446F54" w:rsidRPr="00021572" w:rsidRDefault="00FA580F" w:rsidP="005C57E0">
          <w:pPr>
            <w:pStyle w:val="TOC2"/>
            <w:tabs>
              <w:tab w:val="right" w:leader="dot" w:pos="9016"/>
            </w:tabs>
            <w:rPr>
              <w:rFonts w:ascii="Arial" w:hAnsi="Arial" w:cs="Arial"/>
              <w:b w:val="0"/>
              <w:bCs w:val="0"/>
              <w:noProof/>
              <w:sz w:val="22"/>
            </w:rPr>
          </w:pPr>
          <w:hyperlink w:anchor="_Toc215923684" w:history="1">
            <w:r w:rsidRPr="00021572">
              <w:rPr>
                <w:rStyle w:val="Hyperlink"/>
                <w:rFonts w:ascii="Arial" w:hAnsi="Arial" w:cs="Arial"/>
                <w:b w:val="0"/>
                <w:bCs w:val="0"/>
                <w:noProof/>
                <w:sz w:val="22"/>
              </w:rPr>
              <w:t>7</w:t>
            </w:r>
            <w:r w:rsidR="0056355D" w:rsidRPr="00021572">
              <w:rPr>
                <w:rStyle w:val="Hyperlink"/>
                <w:rFonts w:ascii="Arial" w:hAnsi="Arial" w:cs="Arial"/>
                <w:b w:val="0"/>
                <w:bCs w:val="0"/>
                <w:noProof/>
                <w:sz w:val="22"/>
              </w:rPr>
              <w:t>.</w:t>
            </w:r>
            <w:r w:rsidR="00446F54" w:rsidRPr="00021572">
              <w:rPr>
                <w:rStyle w:val="Hyperlink"/>
                <w:rFonts w:ascii="Arial" w:hAnsi="Arial" w:cs="Arial"/>
                <w:b w:val="0"/>
                <w:bCs w:val="0"/>
                <w:noProof/>
                <w:sz w:val="22"/>
              </w:rPr>
              <w:t xml:space="preserve"> Conclusion</w:t>
            </w:r>
            <w:r w:rsidR="00446F54" w:rsidRPr="00021572">
              <w:rPr>
                <w:rFonts w:ascii="Arial" w:hAnsi="Arial" w:cs="Arial"/>
                <w:b w:val="0"/>
                <w:bCs w:val="0"/>
                <w:noProof/>
                <w:webHidden/>
                <w:sz w:val="22"/>
              </w:rPr>
              <w:tab/>
            </w:r>
            <w:r w:rsidR="0056355D" w:rsidRPr="00021572">
              <w:rPr>
                <w:rFonts w:ascii="Arial" w:hAnsi="Arial" w:cs="Arial"/>
                <w:b w:val="0"/>
                <w:bCs w:val="0"/>
                <w:noProof/>
                <w:webHidden/>
                <w:sz w:val="22"/>
              </w:rPr>
              <w:t>6</w:t>
            </w:r>
          </w:hyperlink>
        </w:p>
        <w:p w14:paraId="540A0095" w14:textId="25B2AB6C" w:rsidR="00446F54" w:rsidRPr="00021572" w:rsidRDefault="00FA580F">
          <w:pPr>
            <w:pStyle w:val="TOC2"/>
            <w:tabs>
              <w:tab w:val="right" w:leader="dot" w:pos="9016"/>
            </w:tabs>
            <w:rPr>
              <w:rFonts w:ascii="Arial" w:hAnsi="Arial" w:cs="Arial"/>
              <w:b w:val="0"/>
              <w:bCs w:val="0"/>
              <w:noProof/>
              <w:sz w:val="22"/>
            </w:rPr>
          </w:pPr>
          <w:hyperlink w:anchor="_Toc215923685" w:history="1">
            <w:r w:rsidRPr="00021572">
              <w:rPr>
                <w:rStyle w:val="Hyperlink"/>
                <w:rFonts w:ascii="Arial" w:hAnsi="Arial" w:cs="Arial"/>
                <w:b w:val="0"/>
                <w:bCs w:val="0"/>
                <w:noProof/>
                <w:sz w:val="22"/>
              </w:rPr>
              <w:t>8</w:t>
            </w:r>
            <w:r w:rsidR="0056355D" w:rsidRPr="00021572">
              <w:rPr>
                <w:rStyle w:val="Hyperlink"/>
                <w:rFonts w:ascii="Arial" w:hAnsi="Arial" w:cs="Arial"/>
                <w:b w:val="0"/>
                <w:bCs w:val="0"/>
                <w:noProof/>
                <w:sz w:val="22"/>
              </w:rPr>
              <w:t>.</w:t>
            </w:r>
            <w:r w:rsidR="00446F54" w:rsidRPr="00021572">
              <w:rPr>
                <w:rStyle w:val="Hyperlink"/>
                <w:rFonts w:ascii="Arial" w:hAnsi="Arial" w:cs="Arial"/>
                <w:b w:val="0"/>
                <w:bCs w:val="0"/>
                <w:noProof/>
                <w:sz w:val="22"/>
              </w:rPr>
              <w:t xml:space="preserve"> Reference List</w:t>
            </w:r>
            <w:r w:rsidR="00446F54" w:rsidRPr="00021572">
              <w:rPr>
                <w:rFonts w:ascii="Arial" w:hAnsi="Arial" w:cs="Arial"/>
                <w:b w:val="0"/>
                <w:bCs w:val="0"/>
                <w:noProof/>
                <w:webHidden/>
                <w:sz w:val="22"/>
              </w:rPr>
              <w:tab/>
            </w:r>
            <w:r w:rsidR="0056355D" w:rsidRPr="00021572">
              <w:rPr>
                <w:rFonts w:ascii="Arial" w:hAnsi="Arial" w:cs="Arial"/>
                <w:b w:val="0"/>
                <w:bCs w:val="0"/>
                <w:noProof/>
                <w:webHidden/>
                <w:sz w:val="22"/>
              </w:rPr>
              <w:t>7</w:t>
            </w:r>
          </w:hyperlink>
        </w:p>
        <w:p w14:paraId="2F2A1EA8" w14:textId="1EC5493F" w:rsidR="0156E134" w:rsidRDefault="0156E134" w:rsidP="0156E134">
          <w:pPr>
            <w:pStyle w:val="TOC2"/>
            <w:tabs>
              <w:tab w:val="right" w:leader="dot" w:pos="9015"/>
            </w:tabs>
            <w:rPr>
              <w:rStyle w:val="Hyperlink"/>
            </w:rPr>
          </w:pPr>
          <w:r w:rsidRPr="00021572">
            <w:rPr>
              <w:rFonts w:ascii="Arial" w:hAnsi="Arial" w:cs="Arial"/>
              <w:sz w:val="22"/>
            </w:rPr>
            <w:fldChar w:fldCharType="end"/>
          </w:r>
        </w:p>
      </w:sdtContent>
    </w:sdt>
    <w:p w14:paraId="6138A55F" w14:textId="5BBC1E8C" w:rsidR="00184A9A" w:rsidRPr="00242974" w:rsidRDefault="00184A9A"/>
    <w:p w14:paraId="24D73C90" w14:textId="77777777" w:rsidR="0056355D" w:rsidRPr="001C4465" w:rsidRDefault="0056355D" w:rsidP="0056355D">
      <w:pPr>
        <w:rPr>
          <w:b/>
          <w:bCs/>
          <w:sz w:val="21"/>
          <w:szCs w:val="21"/>
          <w:lang w:val="ru-UA"/>
        </w:rPr>
      </w:pPr>
    </w:p>
    <w:p w14:paraId="4A159F97" w14:textId="77777777" w:rsidR="00ED5964" w:rsidRPr="0056355D" w:rsidRDefault="00ED5964" w:rsidP="00ED5964">
      <w:pPr>
        <w:jc w:val="both"/>
        <w:rPr>
          <w:rFonts w:asciiTheme="minorBidi" w:hAnsiTheme="minorBidi"/>
          <w:b/>
          <w:bCs/>
          <w:sz w:val="28"/>
          <w:szCs w:val="28"/>
          <w:lang w:val="ru-UA"/>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9EC5FFE" w14:textId="602F037B" w:rsidR="00173572" w:rsidRPr="00173572" w:rsidRDefault="002E71BA" w:rsidP="00173572">
      <w:pPr>
        <w:rPr>
          <w:b/>
          <w:bCs/>
          <w:color w:val="4472C4" w:themeColor="accent1"/>
          <w:sz w:val="21"/>
          <w:szCs w:val="21"/>
        </w:rPr>
      </w:pPr>
      <w:r w:rsidRPr="00173572">
        <w:rPr>
          <w:b/>
          <w:bCs/>
          <w:color w:val="4472C4" w:themeColor="accent1"/>
          <w:sz w:val="21"/>
          <w:szCs w:val="21"/>
        </w:rPr>
        <w:br w:type="page"/>
      </w:r>
    </w:p>
    <w:p w14:paraId="1762E2FB"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lastRenderedPageBreak/>
        <w:t>Introduction</w:t>
      </w:r>
    </w:p>
    <w:p w14:paraId="47AA7A52" w14:textId="1C372286" w:rsidR="00EB0DC4" w:rsidRPr="00EB0DC4" w:rsidRDefault="00D8663B" w:rsidP="00EB0DC4">
      <w:pPr>
        <w:rPr>
          <w:rFonts w:ascii="Arial" w:hAnsi="Arial" w:cs="Arial"/>
          <w:sz w:val="22"/>
          <w:lang w:val="ru-UA"/>
        </w:rPr>
      </w:pPr>
      <w:r w:rsidRPr="00D8663B">
        <w:rPr>
          <w:rFonts w:ascii="Arial" w:hAnsi="Arial" w:cs="Arial"/>
          <w:sz w:val="22"/>
        </w:rPr>
        <w:t>The term dementia describes a progressive decline in cerebral operations that exceeds the typical effects of senescence. As stated by the World Health Organization (2023), this pathological state impairs multiple intellectual functions</w:t>
      </w:r>
      <w:r w:rsidRPr="00D8663B">
        <w:rPr>
          <w:rFonts w:ascii="Arial" w:hAnsi="Arial" w:cs="Arial"/>
          <w:sz w:val="22"/>
          <w:lang w:val="en-US"/>
        </w:rPr>
        <w:t xml:space="preserve"> - </w:t>
      </w:r>
      <w:r w:rsidRPr="00D8663B">
        <w:rPr>
          <w:rFonts w:ascii="Arial" w:hAnsi="Arial" w:cs="Arial"/>
          <w:sz w:val="22"/>
        </w:rPr>
        <w:t>notably memory, reasoning, and verbal interaction</w:t>
      </w:r>
      <w:r w:rsidRPr="00D8663B">
        <w:rPr>
          <w:rFonts w:ascii="Arial" w:hAnsi="Arial" w:cs="Arial"/>
          <w:sz w:val="22"/>
          <w:lang w:val="en-US"/>
        </w:rPr>
        <w:t xml:space="preserve"> - </w:t>
      </w:r>
      <w:r w:rsidRPr="00D8663B">
        <w:rPr>
          <w:rFonts w:ascii="Arial" w:hAnsi="Arial" w:cs="Arial"/>
          <w:sz w:val="22"/>
        </w:rPr>
        <w:t>resulting in a profound disruption of daily activities</w:t>
      </w:r>
      <w:r w:rsidR="00EB0DC4" w:rsidRPr="00EB0DC4">
        <w:rPr>
          <w:rFonts w:ascii="Arial" w:hAnsi="Arial" w:cs="Arial"/>
          <w:sz w:val="22"/>
          <w:lang w:val="ru-UA"/>
        </w:rPr>
        <w:t>. Importantly, it is not a natural part of ageing, although age is the strongest risk factor.</w:t>
      </w:r>
    </w:p>
    <w:p w14:paraId="72236C09" w14:textId="77777777" w:rsidR="00EB0DC4" w:rsidRPr="00EB0DC4" w:rsidRDefault="00EB0DC4" w:rsidP="00EB0DC4">
      <w:pPr>
        <w:rPr>
          <w:rFonts w:ascii="Arial" w:hAnsi="Arial" w:cs="Arial"/>
          <w:sz w:val="22"/>
          <w:lang w:val="ru-UA"/>
        </w:rPr>
      </w:pPr>
      <w:r w:rsidRPr="00EB0DC4">
        <w:rPr>
          <w:rFonts w:ascii="Arial" w:hAnsi="Arial" w:cs="Arial"/>
          <w:sz w:val="22"/>
          <w:lang w:val="ru-UA"/>
        </w:rPr>
        <w:t>Common symptoms include memory loss, reduced thinking speed, language difficulties, impaired judgement, mood changes and difficulties performing everyday tasks. As the condition progresses, individuals may lose the ability to communicate and care for themselves.</w:t>
      </w:r>
    </w:p>
    <w:p w14:paraId="53F483B7" w14:textId="5383A832" w:rsidR="00EB0DC4" w:rsidRPr="00EB0DC4" w:rsidRDefault="00EB0DC4" w:rsidP="00EB0DC4">
      <w:pPr>
        <w:rPr>
          <w:rFonts w:ascii="Arial" w:hAnsi="Arial" w:cs="Arial"/>
          <w:sz w:val="22"/>
          <w:lang w:val="ru-UA"/>
        </w:rPr>
      </w:pPr>
      <w:r w:rsidRPr="00EB0DC4">
        <w:rPr>
          <w:rFonts w:ascii="Arial" w:hAnsi="Arial" w:cs="Arial"/>
          <w:sz w:val="22"/>
          <w:lang w:val="ru-UA"/>
        </w:rPr>
        <w:t xml:space="preserve">Dementia represents a major global health challenge. </w:t>
      </w:r>
      <w:r w:rsidR="00D8663B" w:rsidRPr="00D8663B">
        <w:rPr>
          <w:rFonts w:ascii="Arial" w:hAnsi="Arial" w:cs="Arial"/>
          <w:sz w:val="22"/>
        </w:rPr>
        <w:t>Global projections by the WHO suggest that upwards of 55 million individuals are currently diagnosed with dementia, with an annual incidence rate approaching 10 million. Within the United Kingdom, the prevalence is estimated at 900,000 cases, positioning the condition as a primary driver of functional impairment and reliance on care services in the elderly population (NHS, 2023</w:t>
      </w:r>
      <w:proofErr w:type="gramStart"/>
      <w:r w:rsidR="00D8663B" w:rsidRPr="00D8663B">
        <w:rPr>
          <w:rFonts w:ascii="Arial" w:hAnsi="Arial" w:cs="Arial"/>
          <w:sz w:val="22"/>
        </w:rPr>
        <w:t>)</w:t>
      </w:r>
      <w:r w:rsidR="00D8663B" w:rsidRPr="00D8663B">
        <w:rPr>
          <w:rFonts w:ascii="Arial" w:hAnsi="Arial" w:cs="Arial"/>
          <w:sz w:val="22"/>
          <w:lang w:val="en-US"/>
        </w:rPr>
        <w:t>.</w:t>
      </w:r>
      <w:r w:rsidRPr="00EB0DC4">
        <w:rPr>
          <w:rFonts w:ascii="Arial" w:hAnsi="Arial" w:cs="Arial"/>
          <w:sz w:val="22"/>
          <w:lang w:val="ru-UA"/>
        </w:rPr>
        <w:t>These</w:t>
      </w:r>
      <w:proofErr w:type="gramEnd"/>
      <w:r w:rsidRPr="00EB0DC4">
        <w:rPr>
          <w:rFonts w:ascii="Arial" w:hAnsi="Arial" w:cs="Arial"/>
          <w:sz w:val="22"/>
          <w:lang w:val="ru-UA"/>
        </w:rPr>
        <w:t xml:space="preserve"> figures highlight the significant social and healthcare burden associated with the condition.</w:t>
      </w:r>
    </w:p>
    <w:p w14:paraId="666DD36D" w14:textId="473F1775" w:rsidR="00EB0DC4" w:rsidRPr="00EB0DC4" w:rsidRDefault="00EB0DC4" w:rsidP="00EB0DC4">
      <w:pPr>
        <w:rPr>
          <w:rFonts w:ascii="Arial" w:hAnsi="Arial" w:cs="Arial"/>
          <w:b/>
          <w:bCs/>
          <w:sz w:val="22"/>
          <w:lang w:val="ru-UA"/>
        </w:rPr>
      </w:pPr>
    </w:p>
    <w:p w14:paraId="1E54F589"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t>Approaches used to measure and monitor dementia</w:t>
      </w:r>
    </w:p>
    <w:p w14:paraId="5B2FD6DF" w14:textId="77777777" w:rsidR="00D8663B" w:rsidRPr="007703E0" w:rsidRDefault="00D8663B" w:rsidP="00EB0DC4">
      <w:pPr>
        <w:rPr>
          <w:rFonts w:ascii="Arial" w:hAnsi="Arial" w:cs="Arial"/>
          <w:sz w:val="22"/>
          <w:lang w:val="en-US"/>
        </w:rPr>
      </w:pPr>
      <w:r w:rsidRPr="00D8663B">
        <w:rPr>
          <w:rFonts w:ascii="Arial" w:hAnsi="Arial" w:cs="Arial"/>
          <w:sz w:val="22"/>
        </w:rPr>
        <w:t>Identifying dementia is an intricate process that precludes reliance on any solitary diagnostic tool; rather, it necessitates a synthesis of clinical, medical, and cognitive evaluations. In line with NICE (2018) guidelines, the diagnostic framework must incorporate a systematic analysis of a patient’s cognitive state, behavioural patterns, and practical functionality.</w:t>
      </w:r>
    </w:p>
    <w:p w14:paraId="3A774370" w14:textId="447BC48B" w:rsidR="00EB0DC4" w:rsidRPr="00EB0DC4" w:rsidRDefault="00EB0DC4" w:rsidP="00EB0DC4">
      <w:pPr>
        <w:rPr>
          <w:rFonts w:ascii="Arial" w:hAnsi="Arial" w:cs="Arial"/>
          <w:sz w:val="22"/>
          <w:lang w:val="ru-UA"/>
        </w:rPr>
      </w:pPr>
      <w:r w:rsidRPr="00EB0DC4">
        <w:rPr>
          <w:rFonts w:ascii="Arial" w:hAnsi="Arial" w:cs="Arial"/>
          <w:sz w:val="22"/>
          <w:lang w:val="ru-UA"/>
        </w:rPr>
        <w:t>Cognitive screening tools such as the General Practitioner Assessment of Cognition (GPCOG) are commonly used in primary care. These tests evaluate memory, attention, language and orientation. However, as noted by NICE (2018), “no single cognitive test should be used in isolation to diagnose dementia”, highlighting the need for a comprehensive approach.</w:t>
      </w:r>
    </w:p>
    <w:p w14:paraId="0C62EFF0" w14:textId="65E69645" w:rsidR="00EB0DC4" w:rsidRPr="00EB0DC4" w:rsidRDefault="00FD6C1A" w:rsidP="00EB0DC4">
      <w:pPr>
        <w:rPr>
          <w:rFonts w:ascii="Arial" w:hAnsi="Arial" w:cs="Arial"/>
          <w:sz w:val="22"/>
          <w:lang w:val="ru-UA"/>
        </w:rPr>
      </w:pPr>
      <w:r w:rsidRPr="00FD6C1A">
        <w:rPr>
          <w:rFonts w:ascii="Arial" w:hAnsi="Arial" w:cs="Arial"/>
          <w:sz w:val="22"/>
        </w:rPr>
        <w:t>Clinical history is particularly important because individuals may not recognise or report their own symptoms, making input from carers essential for accurate assessment</w:t>
      </w:r>
      <w:r w:rsidR="00EB0DC4" w:rsidRPr="00EB0DC4">
        <w:rPr>
          <w:rFonts w:ascii="Arial" w:hAnsi="Arial" w:cs="Arial"/>
          <w:sz w:val="22"/>
          <w:lang w:val="ru-UA"/>
        </w:rPr>
        <w:t>. In addition, blood tests are conducted to exclude reversible causes such as vitamin deficiencies or thyroid disorders.</w:t>
      </w:r>
    </w:p>
    <w:p w14:paraId="4A9B9245" w14:textId="77777777" w:rsidR="00EB0DC4" w:rsidRPr="00EB0DC4" w:rsidRDefault="00EB0DC4" w:rsidP="00EB0DC4">
      <w:pPr>
        <w:rPr>
          <w:rFonts w:ascii="Arial" w:hAnsi="Arial" w:cs="Arial"/>
          <w:sz w:val="22"/>
          <w:lang w:val="ru-UA"/>
        </w:rPr>
      </w:pPr>
      <w:r w:rsidRPr="00EB0DC4">
        <w:rPr>
          <w:rFonts w:ascii="Arial" w:hAnsi="Arial" w:cs="Arial"/>
          <w:sz w:val="22"/>
          <w:lang w:val="ru-UA"/>
        </w:rPr>
        <w:t>Brain imaging techniques, including MRI and CT scans, are used to support diagnosis and identify structural changes in the brain. For example, Alzheimer’s disease is associated with atrophy in the temporal lobes, whereas vascular dementia shows evidence of cerebrovascular damage.</w:t>
      </w:r>
    </w:p>
    <w:p w14:paraId="34A2DC30" w14:textId="77777777" w:rsidR="00037C65" w:rsidRPr="00FD6C1A" w:rsidRDefault="00EB0DC4" w:rsidP="00EB0DC4">
      <w:pPr>
        <w:rPr>
          <w:rFonts w:ascii="Arial" w:hAnsi="Arial" w:cs="Arial"/>
          <w:sz w:val="22"/>
          <w:lang w:val="en-US"/>
        </w:rPr>
      </w:pPr>
      <w:r w:rsidRPr="00EB0DC4">
        <w:rPr>
          <w:rFonts w:ascii="Arial" w:hAnsi="Arial" w:cs="Arial"/>
          <w:sz w:val="22"/>
          <w:lang w:val="ru-UA"/>
        </w:rPr>
        <w:t xml:space="preserve">Monitoring dementia is an ongoing process. The NHS (2023) emphasises the importance of regular reviews, stating that care plans should include “health conditions that need regular monitoring”. </w:t>
      </w:r>
      <w:r w:rsidR="00037C65" w:rsidRPr="00037C65">
        <w:rPr>
          <w:rFonts w:ascii="Arial" w:hAnsi="Arial" w:cs="Arial"/>
          <w:sz w:val="22"/>
        </w:rPr>
        <w:t>This shows that the condition changes over time and care needs to be regularly adapted.</w:t>
      </w:r>
    </w:p>
    <w:p w14:paraId="6A03653C" w14:textId="77777777" w:rsidR="00037C65" w:rsidRPr="00FD6C1A" w:rsidRDefault="00EB0DC4" w:rsidP="00EB0DC4">
      <w:pPr>
        <w:rPr>
          <w:rFonts w:ascii="Arial" w:hAnsi="Arial" w:cs="Arial"/>
          <w:sz w:val="22"/>
          <w:lang w:val="en-US"/>
        </w:rPr>
      </w:pPr>
      <w:r w:rsidRPr="00EB0DC4">
        <w:rPr>
          <w:rFonts w:ascii="Arial" w:hAnsi="Arial" w:cs="Arial"/>
          <w:sz w:val="22"/>
          <w:lang w:val="ru-UA"/>
        </w:rPr>
        <w:t xml:space="preserve">Assessment is therefore not a one-time event but a continuous process. Regular monitoring allows healthcare professionals to identify changes in cognition and behaviour over time and adjust interventions accordingly. </w:t>
      </w:r>
      <w:r w:rsidR="00037C65" w:rsidRPr="00037C65">
        <w:rPr>
          <w:rFonts w:ascii="Arial" w:hAnsi="Arial" w:cs="Arial"/>
          <w:sz w:val="22"/>
        </w:rPr>
        <w:t>Burns and Iliffe (2009) emphasise that assessment should consider multiple aspects of a person’s condition.</w:t>
      </w:r>
    </w:p>
    <w:p w14:paraId="417FB909" w14:textId="77777777" w:rsidR="007703E0" w:rsidRDefault="00EB0DC4" w:rsidP="00EB0DC4">
      <w:pPr>
        <w:rPr>
          <w:rFonts w:ascii="Arial" w:hAnsi="Arial" w:cs="Arial"/>
          <w:sz w:val="22"/>
          <w:lang w:val="ru-RU"/>
        </w:rPr>
      </w:pPr>
      <w:r w:rsidRPr="00EB0DC4">
        <w:rPr>
          <w:rFonts w:ascii="Arial" w:hAnsi="Arial" w:cs="Arial"/>
          <w:sz w:val="22"/>
          <w:lang w:val="ru-UA"/>
        </w:rPr>
        <w:lastRenderedPageBreak/>
        <w:t>This indicates that diagnosis is not purely test-based but relies on clinical interpretation over time. Livingston et al. (2020) argue that early detection and monitoring are critical in improving long-term outcomes.</w:t>
      </w:r>
      <w:r w:rsidR="00FD6C1A" w:rsidRPr="00FD6C1A">
        <w:t xml:space="preserve"> </w:t>
      </w:r>
      <w:r w:rsidR="007703E0" w:rsidRPr="007703E0">
        <w:rPr>
          <w:rFonts w:ascii="Arial" w:hAnsi="Arial" w:cs="Arial"/>
          <w:sz w:val="22"/>
        </w:rPr>
        <w:t>Delayed diagnosis can lead to missed early treatment, negatively affecting the long-term outlook for patients and those who care for them.</w:t>
      </w:r>
    </w:p>
    <w:p w14:paraId="31DCA6F6" w14:textId="20DFB717" w:rsidR="00EB0DC4" w:rsidRPr="00EB0DC4" w:rsidRDefault="00EB0DC4" w:rsidP="00EB0DC4">
      <w:pPr>
        <w:rPr>
          <w:rFonts w:ascii="Arial" w:hAnsi="Arial" w:cs="Arial"/>
          <w:sz w:val="22"/>
          <w:lang w:val="ru-UA"/>
        </w:rPr>
      </w:pPr>
      <w:r w:rsidRPr="00EB0DC4">
        <w:rPr>
          <w:rFonts w:ascii="Arial" w:hAnsi="Arial" w:cs="Arial"/>
          <w:sz w:val="22"/>
          <w:lang w:val="ru-UA"/>
        </w:rPr>
        <w:t xml:space="preserve">However, despite the use of multiple assessment methods, the diagnostic process is not without limitations. </w:t>
      </w:r>
      <w:r w:rsidR="00037C65" w:rsidRPr="00037C65">
        <w:rPr>
          <w:rFonts w:ascii="Arial" w:hAnsi="Arial" w:cs="Arial"/>
          <w:sz w:val="22"/>
        </w:rPr>
        <w:t>The results of cognitive tests can be affected by a person’s education, language skills and cultural background</w:t>
      </w:r>
      <w:r w:rsidRPr="00EB0DC4">
        <w:rPr>
          <w:rFonts w:ascii="Arial" w:hAnsi="Arial" w:cs="Arial"/>
          <w:sz w:val="22"/>
          <w:lang w:val="ru-UA"/>
        </w:rPr>
        <w:t>, which can affect the accuracy of results. This suggests that some groups may be at risk of underdiagnosis or misdiagnosis.</w:t>
      </w:r>
    </w:p>
    <w:p w14:paraId="78FE02A8" w14:textId="77777777" w:rsidR="00EB0DC4" w:rsidRPr="00EB0DC4" w:rsidRDefault="00EB0DC4" w:rsidP="00EB0DC4">
      <w:pPr>
        <w:rPr>
          <w:rFonts w:ascii="Arial" w:hAnsi="Arial" w:cs="Arial"/>
          <w:sz w:val="22"/>
          <w:lang w:val="ru-UA"/>
        </w:rPr>
      </w:pPr>
      <w:r w:rsidRPr="00EB0DC4">
        <w:rPr>
          <w:rFonts w:ascii="Arial" w:hAnsi="Arial" w:cs="Arial"/>
          <w:sz w:val="22"/>
          <w:lang w:val="ru-UA"/>
        </w:rPr>
        <w:t>In addition, reliance on clinical judgement introduces a degree of subjectivity, as different practitioners may interpret symptoms differently. As noted by NICE (2018), no single method is sufficient on its own, which highlights the need for continued development of more reliable diagnostic approaches.</w:t>
      </w:r>
    </w:p>
    <w:p w14:paraId="43B8D853" w14:textId="1B55D7A8" w:rsidR="00EB0DC4" w:rsidRPr="00EB0DC4" w:rsidRDefault="00EB0DC4" w:rsidP="00EB0DC4">
      <w:pPr>
        <w:rPr>
          <w:rFonts w:ascii="Arial" w:hAnsi="Arial" w:cs="Arial"/>
          <w:b/>
          <w:bCs/>
          <w:sz w:val="22"/>
          <w:lang w:val="ru-UA"/>
        </w:rPr>
      </w:pPr>
    </w:p>
    <w:p w14:paraId="254FB435"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t>How dementia is controlled</w:t>
      </w:r>
    </w:p>
    <w:p w14:paraId="497AD0E0" w14:textId="77777777" w:rsidR="00D8663B" w:rsidRPr="007703E0" w:rsidRDefault="00D8663B" w:rsidP="00EB0DC4">
      <w:pPr>
        <w:rPr>
          <w:rFonts w:ascii="Arial" w:hAnsi="Arial" w:cs="Arial"/>
          <w:sz w:val="22"/>
          <w:lang w:val="en-US"/>
        </w:rPr>
      </w:pPr>
      <w:r w:rsidRPr="00D8663B">
        <w:rPr>
          <w:rFonts w:ascii="Arial" w:hAnsi="Arial" w:cs="Arial"/>
          <w:sz w:val="22"/>
        </w:rPr>
        <w:t>The management of dementia rests upon the pillars of prompt detection, persistent observation, and integrated care strategies designed to mitigate the disease's influence on life quality. Here, the notion of 'control' emphasizes the containment of symptomatic advancement and the preservation of independence, as a definitive cure remains elusive.</w:t>
      </w:r>
    </w:p>
    <w:p w14:paraId="7392476B" w14:textId="72873EA2" w:rsidR="00EB0DC4" w:rsidRPr="00EB0DC4" w:rsidRDefault="00EB0DC4" w:rsidP="00EB0DC4">
      <w:pPr>
        <w:rPr>
          <w:rFonts w:ascii="Arial" w:hAnsi="Arial" w:cs="Arial"/>
          <w:sz w:val="22"/>
          <w:lang w:val="ru-UA"/>
        </w:rPr>
      </w:pPr>
      <w:r w:rsidRPr="00EB0DC4">
        <w:rPr>
          <w:rFonts w:ascii="Arial" w:hAnsi="Arial" w:cs="Arial"/>
          <w:sz w:val="22"/>
          <w:lang w:val="ru-UA"/>
        </w:rPr>
        <w:t>One key element of control is early diagnosis, which enables timely intervention and planning of care. Following diagnosis, individuals are typically supported through a structured care plan that is regularly reviewed and adapted according to changes in their condition.</w:t>
      </w:r>
    </w:p>
    <w:p w14:paraId="4DCAD054" w14:textId="77777777" w:rsidR="00EB0DC4" w:rsidRPr="00EB0DC4" w:rsidRDefault="00EB0DC4" w:rsidP="00EB0DC4">
      <w:pPr>
        <w:rPr>
          <w:rFonts w:ascii="Arial" w:hAnsi="Arial" w:cs="Arial"/>
          <w:sz w:val="22"/>
          <w:lang w:val="ru-UA"/>
        </w:rPr>
      </w:pPr>
      <w:r w:rsidRPr="00EB0DC4">
        <w:rPr>
          <w:rFonts w:ascii="Arial" w:hAnsi="Arial" w:cs="Arial"/>
          <w:sz w:val="22"/>
          <w:lang w:val="ru-UA"/>
        </w:rPr>
        <w:t>Another important aspect involves managing modifiable risk factors that may accelerate cognitive decline, such as cardiovascular conditions, diabetes and social isolation. Addressing these factors may help slow progression and improve overall outcomes.</w:t>
      </w:r>
    </w:p>
    <w:p w14:paraId="78A6F51D" w14:textId="77777777" w:rsidR="00EB0DC4" w:rsidRPr="00EB0DC4" w:rsidRDefault="00EB0DC4" w:rsidP="00EB0DC4">
      <w:pPr>
        <w:rPr>
          <w:rFonts w:ascii="Arial" w:hAnsi="Arial" w:cs="Arial"/>
          <w:sz w:val="22"/>
          <w:lang w:val="ru-UA"/>
        </w:rPr>
      </w:pPr>
      <w:r w:rsidRPr="00EB0DC4">
        <w:rPr>
          <w:rFonts w:ascii="Arial" w:hAnsi="Arial" w:cs="Arial"/>
          <w:sz w:val="22"/>
          <w:lang w:val="ru-UA"/>
        </w:rPr>
        <w:t>Behavioural and psychological symptoms are also managed through a combination of medical and non-medical approaches, helping to stabilise the individual’s condition and reduce distress. Coordination between health and social care services plays a central role in maintaining continuity of care.</w:t>
      </w:r>
    </w:p>
    <w:p w14:paraId="38164821" w14:textId="77777777" w:rsidR="00EB0DC4" w:rsidRPr="00EB0DC4" w:rsidRDefault="00EB0DC4" w:rsidP="00EB0DC4">
      <w:pPr>
        <w:rPr>
          <w:rFonts w:ascii="Arial" w:hAnsi="Arial" w:cs="Arial"/>
          <w:sz w:val="22"/>
          <w:lang w:val="ru-UA"/>
        </w:rPr>
      </w:pPr>
      <w:r w:rsidRPr="00EB0DC4">
        <w:rPr>
          <w:rFonts w:ascii="Arial" w:hAnsi="Arial" w:cs="Arial"/>
          <w:sz w:val="22"/>
          <w:lang w:val="ru-UA"/>
        </w:rPr>
        <w:t>In practice, effective management depends on early intervention and consistency of support. Prince et al. (2015) note that “early diagnosis and intervention can significantly improve outcomes for people with dementia and their carers”. Supporting carers is equally important, as their wellbeing directly influences the quality of care provided.</w:t>
      </w:r>
    </w:p>
    <w:p w14:paraId="49D9F7B9" w14:textId="01BF1A05" w:rsidR="00EB0DC4" w:rsidRPr="00EB0DC4" w:rsidRDefault="00EB0DC4" w:rsidP="00EB0DC4">
      <w:pPr>
        <w:rPr>
          <w:rFonts w:ascii="Arial" w:hAnsi="Arial" w:cs="Arial"/>
          <w:b/>
          <w:bCs/>
          <w:sz w:val="22"/>
          <w:lang w:val="ru-UA"/>
        </w:rPr>
      </w:pPr>
    </w:p>
    <w:p w14:paraId="4A0156F6"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t>Risk factors and public health perspective</w:t>
      </w:r>
    </w:p>
    <w:p w14:paraId="307204A5" w14:textId="171A0ED8" w:rsidR="00EB0DC4" w:rsidRPr="00EB0DC4" w:rsidRDefault="00EB0DC4" w:rsidP="00EB0DC4">
      <w:pPr>
        <w:rPr>
          <w:rFonts w:ascii="Arial" w:hAnsi="Arial" w:cs="Arial"/>
          <w:sz w:val="22"/>
          <w:lang w:val="ru-UA"/>
        </w:rPr>
      </w:pPr>
      <w:r w:rsidRPr="00EB0DC4">
        <w:rPr>
          <w:rFonts w:ascii="Arial" w:hAnsi="Arial" w:cs="Arial"/>
          <w:sz w:val="22"/>
          <w:lang w:val="ru-UA"/>
        </w:rPr>
        <w:t xml:space="preserve">Dementia is influenced by a range of modifiable and non-modifiable risk factors. Non-modifiable factors include age, genetic predisposition and family history, while modifiable factors include lifestyle-related elements such as physical inactivity, poor diet, smoking and cardiovascular health. </w:t>
      </w:r>
      <w:r w:rsidR="00FD6C1A" w:rsidRPr="00FD6C1A">
        <w:rPr>
          <w:rFonts w:ascii="Arial" w:hAnsi="Arial" w:cs="Arial"/>
          <w:sz w:val="22"/>
        </w:rPr>
        <w:t>The World Health Organization (2023) suggests that a considerable proportion of dementia cases are associated with modifiable risk factors</w:t>
      </w:r>
      <w:r w:rsidRPr="00EB0DC4">
        <w:rPr>
          <w:rFonts w:ascii="Arial" w:hAnsi="Arial" w:cs="Arial"/>
          <w:sz w:val="22"/>
          <w:lang w:val="ru-UA"/>
        </w:rPr>
        <w:t>, highlighting the importance of prevention strategies.</w:t>
      </w:r>
    </w:p>
    <w:p w14:paraId="2128E949" w14:textId="2DA49F46" w:rsidR="00EB0DC4" w:rsidRPr="00EB0DC4" w:rsidRDefault="00D8663B" w:rsidP="00EB0DC4">
      <w:pPr>
        <w:rPr>
          <w:rFonts w:ascii="Arial" w:hAnsi="Arial" w:cs="Arial"/>
          <w:sz w:val="22"/>
          <w:lang w:val="ru-UA"/>
        </w:rPr>
      </w:pPr>
      <w:r w:rsidRPr="00D8663B">
        <w:rPr>
          <w:rFonts w:ascii="Arial" w:hAnsi="Arial" w:cs="Arial"/>
          <w:sz w:val="22"/>
        </w:rPr>
        <w:t xml:space="preserve">Viewing the condition through a public health lens, interventions are categorized into three preventative tiers. Primary strategies aim at risk mitigation via lifestyle modifications, </w:t>
      </w:r>
      <w:r w:rsidRPr="00D8663B">
        <w:rPr>
          <w:rFonts w:ascii="Arial" w:hAnsi="Arial" w:cs="Arial"/>
          <w:sz w:val="22"/>
        </w:rPr>
        <w:lastRenderedPageBreak/>
        <w:t>whereas secondary prevention prioritizes early screening and clinical diagnosis to facilitate prompt therapeutic action.</w:t>
      </w:r>
      <w:r w:rsidRPr="00D8663B">
        <w:rPr>
          <w:rFonts w:ascii="Arial" w:hAnsi="Arial" w:cs="Arial"/>
          <w:sz w:val="22"/>
          <w:lang w:val="en-US"/>
        </w:rPr>
        <w:t xml:space="preserve"> </w:t>
      </w:r>
      <w:r w:rsidR="00EB0DC4" w:rsidRPr="00EB0DC4">
        <w:rPr>
          <w:rFonts w:ascii="Arial" w:hAnsi="Arial" w:cs="Arial"/>
          <w:sz w:val="22"/>
          <w:lang w:val="ru-UA"/>
        </w:rPr>
        <w:t>Secondary prevention involves early detection and diagnosis, allowing timely intervention. Tertiary prevention aims to reduce the impact of the disease through ongoing management and support.</w:t>
      </w:r>
    </w:p>
    <w:p w14:paraId="0E0FF769" w14:textId="0BA4D5DC" w:rsidR="00EB0DC4" w:rsidRDefault="00FD6C1A" w:rsidP="00EB0DC4">
      <w:pPr>
        <w:rPr>
          <w:rFonts w:ascii="Arial" w:hAnsi="Arial" w:cs="Arial"/>
          <w:sz w:val="22"/>
          <w:lang w:val="ru-UA"/>
        </w:rPr>
      </w:pPr>
      <w:r w:rsidRPr="00FD6C1A">
        <w:rPr>
          <w:rFonts w:ascii="Arial" w:hAnsi="Arial" w:cs="Arial"/>
          <w:sz w:val="22"/>
          <w:lang w:val="ru-UA"/>
        </w:rPr>
        <w:t>Taken together, this indicates that dementia is not simply an unavoidable result of ageing. Instead, it can be influenced by broader population-level factors. This shifts the focus towards prevention, where even modest improvements in lifestyle and health behaviours may reduce overall risk across large groups of people. In practical terms, this could involve greater emphasis on public health initiatives, earlier identification of at-risk individuals and stronger community-based support.</w:t>
      </w:r>
    </w:p>
    <w:p w14:paraId="02401C8D" w14:textId="77777777" w:rsidR="00FD6C1A" w:rsidRPr="00FD6C1A" w:rsidRDefault="00FD6C1A" w:rsidP="00EB0DC4">
      <w:pPr>
        <w:rPr>
          <w:rFonts w:ascii="Arial" w:hAnsi="Arial" w:cs="Arial"/>
          <w:sz w:val="22"/>
          <w:lang w:val="ru-UA"/>
        </w:rPr>
      </w:pPr>
    </w:p>
    <w:p w14:paraId="15931FFC"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t>Consequences of dementia on people in the community</w:t>
      </w:r>
    </w:p>
    <w:p w14:paraId="483EB9CC" w14:textId="3E922125" w:rsidR="00EB0DC4" w:rsidRPr="00EB0DC4" w:rsidRDefault="00037C65" w:rsidP="00EB0DC4">
      <w:pPr>
        <w:rPr>
          <w:rFonts w:ascii="Arial" w:hAnsi="Arial" w:cs="Arial"/>
          <w:sz w:val="22"/>
          <w:lang w:val="ru-UA"/>
        </w:rPr>
      </w:pPr>
      <w:r w:rsidRPr="00037C65">
        <w:rPr>
          <w:rFonts w:ascii="Arial" w:hAnsi="Arial" w:cs="Arial"/>
          <w:sz w:val="22"/>
        </w:rPr>
        <w:t>Dementia affects not only individuals but also their families and the wider community</w:t>
      </w:r>
      <w:r w:rsidR="00EB0DC4" w:rsidRPr="00EB0DC4">
        <w:rPr>
          <w:rFonts w:ascii="Arial" w:hAnsi="Arial" w:cs="Arial"/>
          <w:sz w:val="22"/>
          <w:lang w:val="ru-UA"/>
        </w:rPr>
        <w:t>. One of the most notable effects is the gradual loss of independence, as individuals increasingly rely on others for everyday activities.</w:t>
      </w:r>
    </w:p>
    <w:p w14:paraId="296AAA3E" w14:textId="403DD510" w:rsidR="00EB0DC4" w:rsidRPr="00EB0DC4" w:rsidRDefault="00FD6C1A" w:rsidP="00EB0DC4">
      <w:pPr>
        <w:rPr>
          <w:rFonts w:ascii="Arial" w:hAnsi="Arial" w:cs="Arial"/>
          <w:sz w:val="22"/>
          <w:lang w:val="ru-UA"/>
        </w:rPr>
      </w:pPr>
      <w:r w:rsidRPr="00FD6C1A">
        <w:rPr>
          <w:rFonts w:ascii="Arial" w:hAnsi="Arial" w:cs="Arial"/>
          <w:sz w:val="22"/>
        </w:rPr>
        <w:t>Social isolation often develops as a result of communication difficulties and behavioural changes, which can reduce an individual’s ability to maintain social relationships</w:t>
      </w:r>
      <w:r w:rsidR="00EB0DC4" w:rsidRPr="00EB0DC4">
        <w:rPr>
          <w:rFonts w:ascii="Arial" w:hAnsi="Arial" w:cs="Arial"/>
          <w:sz w:val="22"/>
          <w:lang w:val="ru-UA"/>
        </w:rPr>
        <w:t>. According to Alzheimer’s Research UK (2022), people with dementia are at higher risk of loneliness and depression.</w:t>
      </w:r>
    </w:p>
    <w:p w14:paraId="470F3CA8" w14:textId="77777777" w:rsidR="00D8663B" w:rsidRPr="007703E0" w:rsidRDefault="00D8663B" w:rsidP="00EB0DC4">
      <w:pPr>
        <w:rPr>
          <w:rFonts w:ascii="Arial" w:hAnsi="Arial" w:cs="Arial"/>
          <w:sz w:val="22"/>
          <w:lang w:val="en-US"/>
        </w:rPr>
      </w:pPr>
      <w:r w:rsidRPr="00D8663B">
        <w:rPr>
          <w:rFonts w:ascii="Arial" w:hAnsi="Arial" w:cs="Arial"/>
          <w:sz w:val="22"/>
        </w:rPr>
        <w:t>The pathology imposes a substantial strain on non-professional caregivers—frequently relatives—who often face psychological distress, economic difficulties, and a diminished standard of living. Prince et al. (2015) characterize these multifaceted challenges as the 'unseen toll' associated with dementia management.</w:t>
      </w:r>
    </w:p>
    <w:p w14:paraId="51C89D1C" w14:textId="5422687C" w:rsidR="00EB0DC4" w:rsidRPr="00EB0DC4" w:rsidRDefault="00EB0DC4" w:rsidP="00EB0DC4">
      <w:pPr>
        <w:rPr>
          <w:rFonts w:ascii="Arial" w:hAnsi="Arial" w:cs="Arial"/>
          <w:sz w:val="22"/>
          <w:lang w:val="ru-UA"/>
        </w:rPr>
      </w:pPr>
      <w:r w:rsidRPr="00EB0DC4">
        <w:rPr>
          <w:rFonts w:ascii="Arial" w:hAnsi="Arial" w:cs="Arial"/>
          <w:sz w:val="22"/>
          <w:lang w:val="ru-UA"/>
        </w:rPr>
        <w:t>At a societal level, dementia places increasing pressure on health and social care systems due to the growing demand for long-term and community-based support.</w:t>
      </w:r>
    </w:p>
    <w:p w14:paraId="18401191" w14:textId="77777777" w:rsidR="00EB0DC4" w:rsidRPr="00EB0DC4" w:rsidRDefault="00EB0DC4" w:rsidP="00EB0DC4">
      <w:pPr>
        <w:rPr>
          <w:rFonts w:ascii="Arial" w:hAnsi="Arial" w:cs="Arial"/>
          <w:sz w:val="22"/>
          <w:lang w:val="ru-UA"/>
        </w:rPr>
      </w:pPr>
      <w:r w:rsidRPr="00EB0DC4">
        <w:rPr>
          <w:rFonts w:ascii="Arial" w:hAnsi="Arial" w:cs="Arial"/>
          <w:sz w:val="22"/>
          <w:lang w:val="ru-UA"/>
        </w:rPr>
        <w:t>In addition, misunderstanding and stigma can further isolate individuals. Alzheimer’s Society (2022) highlights that limited public awareness remains a barrier to creating dementia-friendly communities. This suggests that improving education and awareness is essential.</w:t>
      </w:r>
    </w:p>
    <w:p w14:paraId="6CEEABB5" w14:textId="77777777" w:rsidR="00EB0DC4" w:rsidRPr="00EB0DC4" w:rsidRDefault="00EB0DC4" w:rsidP="00EB0DC4">
      <w:pPr>
        <w:rPr>
          <w:rFonts w:ascii="Arial" w:hAnsi="Arial" w:cs="Arial"/>
          <w:sz w:val="22"/>
          <w:lang w:val="ru-UA"/>
        </w:rPr>
      </w:pPr>
      <w:r w:rsidRPr="00EB0DC4">
        <w:rPr>
          <w:rFonts w:ascii="Arial" w:hAnsi="Arial" w:cs="Arial"/>
          <w:sz w:val="22"/>
          <w:lang w:val="ru-UA"/>
        </w:rPr>
        <w:t>Kitwood (1997) argues that dementia should be understood not only in medical terms but also in relation to social context and personhood. This highlights the importance of dignity and person-centred care.</w:t>
      </w:r>
    </w:p>
    <w:p w14:paraId="1B3E3C43" w14:textId="77777777" w:rsidR="00EB0DC4" w:rsidRPr="00EB0DC4" w:rsidRDefault="00EB0DC4" w:rsidP="00EB0DC4">
      <w:pPr>
        <w:rPr>
          <w:rFonts w:ascii="Arial" w:hAnsi="Arial" w:cs="Arial"/>
          <w:sz w:val="22"/>
          <w:lang w:val="ru-UA"/>
        </w:rPr>
      </w:pPr>
      <w:r w:rsidRPr="00EB0DC4">
        <w:rPr>
          <w:rFonts w:ascii="Arial" w:hAnsi="Arial" w:cs="Arial"/>
          <w:sz w:val="22"/>
          <w:lang w:val="ru-UA"/>
        </w:rPr>
        <w:t>An additional complexity is that dementia does not always present in typical ways. In some cases, early symptoms may include unusual or atypical behaviours, which can be misinterpreted. Cipriani et al. (2015) note that “bizarre behaviours arising late in life should be thoroughly investigated”.</w:t>
      </w:r>
    </w:p>
    <w:p w14:paraId="3D9A9368" w14:textId="77777777" w:rsidR="00EB0DC4" w:rsidRPr="00EB0DC4" w:rsidRDefault="00EB0DC4" w:rsidP="00EB0DC4">
      <w:pPr>
        <w:rPr>
          <w:rFonts w:ascii="Arial" w:hAnsi="Arial" w:cs="Arial"/>
          <w:sz w:val="22"/>
          <w:lang w:val="ru-UA"/>
        </w:rPr>
      </w:pPr>
      <w:r w:rsidRPr="00EB0DC4">
        <w:rPr>
          <w:rFonts w:ascii="Arial" w:hAnsi="Arial" w:cs="Arial"/>
          <w:sz w:val="22"/>
          <w:lang w:val="ru-UA"/>
        </w:rPr>
        <w:t>Furthermore, some forms of dementia are difficult to diagnose accurately, and in certain cases, confirmation is only possible through post-mortem examination. This suggests that the condition may be more complex and less predictable than often assumed.</w:t>
      </w:r>
    </w:p>
    <w:p w14:paraId="052F1EB4" w14:textId="77777777" w:rsidR="00EB0DC4" w:rsidRDefault="00EB0DC4" w:rsidP="00EB0DC4">
      <w:pPr>
        <w:rPr>
          <w:rFonts w:ascii="Arial" w:hAnsi="Arial" w:cs="Arial"/>
          <w:b/>
          <w:bCs/>
          <w:sz w:val="22"/>
          <w:lang w:val="ru-UA"/>
        </w:rPr>
      </w:pPr>
    </w:p>
    <w:p w14:paraId="6E15D80B" w14:textId="22BE6D16" w:rsidR="00EB0DC4" w:rsidRPr="00EB0DC4" w:rsidRDefault="00EB0DC4" w:rsidP="00EB0DC4">
      <w:pPr>
        <w:rPr>
          <w:rFonts w:ascii="Arial" w:hAnsi="Arial" w:cs="Arial"/>
          <w:b/>
          <w:bCs/>
          <w:sz w:val="22"/>
          <w:lang w:val="ru-UA"/>
        </w:rPr>
      </w:pPr>
    </w:p>
    <w:p w14:paraId="4789AFCC" w14:textId="77777777" w:rsidR="007703E0" w:rsidRDefault="007703E0" w:rsidP="00EB0DC4">
      <w:pPr>
        <w:rPr>
          <w:rFonts w:ascii="Arial" w:hAnsi="Arial" w:cs="Arial"/>
          <w:b/>
          <w:bCs/>
          <w:sz w:val="22"/>
          <w:lang w:val="ru-UA"/>
        </w:rPr>
      </w:pPr>
    </w:p>
    <w:p w14:paraId="4D4C0BC7" w14:textId="77777777" w:rsidR="007703E0" w:rsidRDefault="007703E0" w:rsidP="00EB0DC4">
      <w:pPr>
        <w:rPr>
          <w:rFonts w:ascii="Arial" w:hAnsi="Arial" w:cs="Arial"/>
          <w:b/>
          <w:bCs/>
          <w:sz w:val="22"/>
          <w:lang w:val="ru-UA"/>
        </w:rPr>
      </w:pPr>
    </w:p>
    <w:p w14:paraId="570E00FA" w14:textId="0829F942" w:rsidR="00EB0DC4" w:rsidRPr="00EB0DC4" w:rsidRDefault="00EB0DC4" w:rsidP="00EB0DC4">
      <w:pPr>
        <w:rPr>
          <w:rFonts w:ascii="Arial" w:hAnsi="Arial" w:cs="Arial"/>
          <w:b/>
          <w:bCs/>
          <w:sz w:val="22"/>
          <w:lang w:val="ru-UA"/>
        </w:rPr>
      </w:pPr>
      <w:r w:rsidRPr="00EB0DC4">
        <w:rPr>
          <w:rFonts w:ascii="Arial" w:hAnsi="Arial" w:cs="Arial"/>
          <w:b/>
          <w:bCs/>
          <w:sz w:val="22"/>
          <w:lang w:val="ru-UA"/>
        </w:rPr>
        <w:lastRenderedPageBreak/>
        <w:t>Health and social care support services</w:t>
      </w:r>
    </w:p>
    <w:p w14:paraId="4F484EB6" w14:textId="77777777" w:rsidR="00EB0DC4" w:rsidRPr="00EB0DC4" w:rsidRDefault="00EB0DC4" w:rsidP="00EB0DC4">
      <w:pPr>
        <w:rPr>
          <w:rFonts w:ascii="Arial" w:hAnsi="Arial" w:cs="Arial"/>
          <w:sz w:val="22"/>
          <w:lang w:val="ru-UA"/>
        </w:rPr>
      </w:pPr>
      <w:r w:rsidRPr="00EB0DC4">
        <w:rPr>
          <w:rFonts w:ascii="Arial" w:hAnsi="Arial" w:cs="Arial"/>
          <w:sz w:val="22"/>
          <w:lang w:val="ru-UA"/>
        </w:rPr>
        <w:t>Support for people living with dementia in the UK is delivered through a network of interconnected health and social care services. The General Practitioner (GP) usually acts as the first point of contact and plays a key role in referral and ongoing management.</w:t>
      </w:r>
    </w:p>
    <w:p w14:paraId="2400786E" w14:textId="77777777" w:rsidR="00EB0DC4" w:rsidRPr="00EB0DC4" w:rsidRDefault="00EB0DC4" w:rsidP="00EB0DC4">
      <w:pPr>
        <w:rPr>
          <w:rFonts w:ascii="Arial" w:hAnsi="Arial" w:cs="Arial"/>
          <w:sz w:val="22"/>
          <w:lang w:val="ru-UA"/>
        </w:rPr>
      </w:pPr>
      <w:r w:rsidRPr="00EB0DC4">
        <w:rPr>
          <w:rFonts w:ascii="Arial" w:hAnsi="Arial" w:cs="Arial"/>
          <w:sz w:val="22"/>
          <w:lang w:val="ru-UA"/>
        </w:rPr>
        <w:t>Following diagnosis, individuals may be supported by specialist memory clinics, which provide detailed assessment and treatment planning. Ongoing care is coordinated through community-based services, including mental health teams and local authority social services.</w:t>
      </w:r>
    </w:p>
    <w:p w14:paraId="4118E569" w14:textId="77777777" w:rsidR="00EB0DC4" w:rsidRPr="00EB0DC4" w:rsidRDefault="00EB0DC4" w:rsidP="00EB0DC4">
      <w:pPr>
        <w:rPr>
          <w:rFonts w:ascii="Arial" w:hAnsi="Arial" w:cs="Arial"/>
          <w:sz w:val="22"/>
          <w:lang w:val="ru-UA"/>
        </w:rPr>
      </w:pPr>
      <w:r w:rsidRPr="00EB0DC4">
        <w:rPr>
          <w:rFonts w:ascii="Arial" w:hAnsi="Arial" w:cs="Arial"/>
          <w:sz w:val="22"/>
          <w:lang w:val="ru-UA"/>
        </w:rPr>
        <w:t>Care coordinators and support workers help ensure continuity of care, while dedicated services provide support for informal carers. This integrated approach reflects the need for multidisciplinary support throughout the progression of the condition.</w:t>
      </w:r>
    </w:p>
    <w:p w14:paraId="7325B1A0" w14:textId="77777777" w:rsidR="00EB0DC4" w:rsidRPr="00EB0DC4" w:rsidRDefault="00EB0DC4" w:rsidP="00EB0DC4">
      <w:pPr>
        <w:rPr>
          <w:rFonts w:ascii="Arial" w:hAnsi="Arial" w:cs="Arial"/>
          <w:sz w:val="22"/>
          <w:lang w:val="ru-UA"/>
        </w:rPr>
      </w:pPr>
      <w:r w:rsidRPr="00EB0DC4">
        <w:rPr>
          <w:rFonts w:ascii="Arial" w:hAnsi="Arial" w:cs="Arial"/>
          <w:sz w:val="22"/>
          <w:lang w:val="ru-UA"/>
        </w:rPr>
        <w:t>However, access to these services is not always consistent. The NHS (2023) reports that some individuals experience delays in diagnosis and limited access to post-diagnostic support. These gaps can negatively affect outcomes and increase pressure on carers.</w:t>
      </w:r>
    </w:p>
    <w:p w14:paraId="081C4815" w14:textId="5A73C2A9" w:rsidR="00EB0DC4" w:rsidRDefault="00EB0DC4" w:rsidP="00EB0DC4">
      <w:pPr>
        <w:rPr>
          <w:rFonts w:ascii="Arial" w:hAnsi="Arial" w:cs="Arial"/>
          <w:sz w:val="22"/>
          <w:lang w:val="ru-UA"/>
        </w:rPr>
      </w:pPr>
    </w:p>
    <w:p w14:paraId="5FAD8D34" w14:textId="77777777" w:rsidR="00EB0DC4" w:rsidRPr="00EB0DC4" w:rsidRDefault="00EB0DC4" w:rsidP="00EB0DC4">
      <w:pPr>
        <w:rPr>
          <w:rFonts w:ascii="Arial" w:hAnsi="Arial" w:cs="Arial"/>
          <w:b/>
          <w:bCs/>
          <w:sz w:val="22"/>
          <w:lang w:val="ru-UA"/>
        </w:rPr>
      </w:pPr>
    </w:p>
    <w:p w14:paraId="4005F1F8" w14:textId="77777777" w:rsidR="00EB0DC4" w:rsidRPr="00EB0DC4" w:rsidRDefault="00EB0DC4" w:rsidP="00EB0DC4">
      <w:pPr>
        <w:rPr>
          <w:rFonts w:ascii="Arial" w:hAnsi="Arial" w:cs="Arial"/>
          <w:b/>
          <w:bCs/>
          <w:sz w:val="22"/>
          <w:lang w:val="ru-UA"/>
        </w:rPr>
      </w:pPr>
      <w:r w:rsidRPr="00EB0DC4">
        <w:rPr>
          <w:rFonts w:ascii="Arial" w:hAnsi="Arial" w:cs="Arial"/>
          <w:b/>
          <w:bCs/>
          <w:sz w:val="22"/>
          <w:lang w:val="ru-UA"/>
        </w:rPr>
        <w:t>Conclusion</w:t>
      </w:r>
    </w:p>
    <w:p w14:paraId="3F20949B" w14:textId="77777777" w:rsidR="00EB0DC4" w:rsidRPr="00EB0DC4" w:rsidRDefault="00EB0DC4" w:rsidP="00EB0DC4">
      <w:pPr>
        <w:rPr>
          <w:rFonts w:ascii="Arial" w:hAnsi="Arial" w:cs="Arial"/>
          <w:sz w:val="22"/>
          <w:lang w:val="ru-UA"/>
        </w:rPr>
      </w:pPr>
      <w:r w:rsidRPr="00EB0DC4">
        <w:rPr>
          <w:rFonts w:ascii="Arial" w:hAnsi="Arial" w:cs="Arial"/>
          <w:sz w:val="22"/>
          <w:lang w:val="ru-UA"/>
        </w:rPr>
        <w:t>Dementia is a complex and progressive condition that significantly impacts individuals, families and healthcare systems. It is characterised by a decline in cognitive functioning, affecting memory, communication and the ability to perform daily activities. Despite advances in diagnostic approaches, there is still no single definitive test or cure.</w:t>
      </w:r>
    </w:p>
    <w:p w14:paraId="38E0F64C" w14:textId="77777777" w:rsidR="00D8663B" w:rsidRPr="007703E0" w:rsidRDefault="00D8663B" w:rsidP="00EB0DC4">
      <w:pPr>
        <w:rPr>
          <w:rFonts w:ascii="Arial" w:hAnsi="Arial" w:cs="Arial"/>
          <w:sz w:val="22"/>
          <w:lang w:val="en-US"/>
        </w:rPr>
      </w:pPr>
      <w:r w:rsidRPr="00D8663B">
        <w:rPr>
          <w:rFonts w:ascii="Arial" w:hAnsi="Arial" w:cs="Arial"/>
          <w:sz w:val="22"/>
        </w:rPr>
        <w:t xml:space="preserve">Therapeutic goals </w:t>
      </w:r>
      <w:proofErr w:type="spellStart"/>
      <w:r w:rsidRPr="00D8663B">
        <w:rPr>
          <w:rFonts w:ascii="Arial" w:hAnsi="Arial" w:cs="Arial"/>
          <w:sz w:val="22"/>
        </w:rPr>
        <w:t>center</w:t>
      </w:r>
      <w:proofErr w:type="spellEnd"/>
      <w:r w:rsidRPr="00D8663B">
        <w:rPr>
          <w:rFonts w:ascii="Arial" w:hAnsi="Arial" w:cs="Arial"/>
          <w:sz w:val="22"/>
        </w:rPr>
        <w:t xml:space="preserve"> on sustaining well-being through an integration of psychological, medical, and social assistance. The repercussions of the illness resonate far beyond the patient, exerting significant pressure on support networks and escalating the requirements placed upon healthcare infrastructure.</w:t>
      </w:r>
    </w:p>
    <w:p w14:paraId="5A32102B" w14:textId="45C8869C" w:rsidR="00EB0DC4" w:rsidRPr="00EB0DC4" w:rsidRDefault="00EB0DC4" w:rsidP="00EB0DC4">
      <w:pPr>
        <w:rPr>
          <w:rFonts w:ascii="Arial" w:hAnsi="Arial" w:cs="Arial"/>
          <w:sz w:val="22"/>
          <w:lang w:val="ru-UA"/>
        </w:rPr>
      </w:pPr>
      <w:r w:rsidRPr="00EB0DC4">
        <w:rPr>
          <w:rFonts w:ascii="Arial" w:hAnsi="Arial" w:cs="Arial"/>
          <w:sz w:val="22"/>
          <w:lang w:val="ru-UA"/>
        </w:rPr>
        <w:t>Effective support requires a coordinated, multi-agency approach. However, inconsistencies in access to services remain a challenge. Addressing these gaps is essential to improve outcomes for people living with dementia and their families.</w:t>
      </w:r>
    </w:p>
    <w:p w14:paraId="612BA086" w14:textId="77777777" w:rsidR="00021572" w:rsidRPr="00021572" w:rsidRDefault="00021572" w:rsidP="001C4465">
      <w:pPr>
        <w:rPr>
          <w:rFonts w:ascii="Arial" w:hAnsi="Arial" w:cs="Arial"/>
          <w:sz w:val="22"/>
          <w:lang w:val="ru-UA"/>
        </w:rPr>
      </w:pPr>
    </w:p>
    <w:p w14:paraId="3B66E37F" w14:textId="77777777" w:rsidR="00021572" w:rsidRPr="00021572" w:rsidRDefault="00021572" w:rsidP="001C4465">
      <w:pPr>
        <w:rPr>
          <w:rFonts w:ascii="Arial" w:hAnsi="Arial" w:cs="Arial"/>
          <w:sz w:val="22"/>
          <w:lang w:val="ru-UA"/>
        </w:rPr>
      </w:pPr>
    </w:p>
    <w:p w14:paraId="25673932" w14:textId="77777777" w:rsidR="00021572" w:rsidRDefault="00021572" w:rsidP="001C4465">
      <w:pPr>
        <w:rPr>
          <w:rFonts w:ascii="Arial" w:hAnsi="Arial" w:cs="Arial"/>
          <w:sz w:val="22"/>
          <w:lang w:val="ru-UA"/>
        </w:rPr>
      </w:pPr>
    </w:p>
    <w:p w14:paraId="26FA00E6" w14:textId="77777777" w:rsidR="00EB0DC4" w:rsidRDefault="00EB0DC4" w:rsidP="001C4465">
      <w:pPr>
        <w:rPr>
          <w:rFonts w:ascii="Arial" w:hAnsi="Arial" w:cs="Arial"/>
          <w:sz w:val="22"/>
          <w:lang w:val="ru-UA"/>
        </w:rPr>
      </w:pPr>
    </w:p>
    <w:p w14:paraId="2A1FD985" w14:textId="77777777" w:rsidR="00EB0DC4" w:rsidRDefault="00EB0DC4" w:rsidP="001C4465">
      <w:pPr>
        <w:rPr>
          <w:rFonts w:ascii="Arial" w:hAnsi="Arial" w:cs="Arial"/>
          <w:sz w:val="22"/>
          <w:lang w:val="ru-UA"/>
        </w:rPr>
      </w:pPr>
    </w:p>
    <w:p w14:paraId="4FF903AE" w14:textId="77777777" w:rsidR="00EB0DC4" w:rsidRDefault="00EB0DC4" w:rsidP="001C4465">
      <w:pPr>
        <w:rPr>
          <w:rFonts w:ascii="Arial" w:hAnsi="Arial" w:cs="Arial"/>
          <w:sz w:val="22"/>
          <w:lang w:val="ru-UA"/>
        </w:rPr>
      </w:pPr>
    </w:p>
    <w:p w14:paraId="1C522CF6" w14:textId="77777777" w:rsidR="00EB0DC4" w:rsidRDefault="00EB0DC4" w:rsidP="001C4465">
      <w:pPr>
        <w:rPr>
          <w:rFonts w:ascii="Arial" w:hAnsi="Arial" w:cs="Arial"/>
          <w:sz w:val="22"/>
          <w:lang w:val="ru-UA"/>
        </w:rPr>
      </w:pPr>
    </w:p>
    <w:p w14:paraId="12F3A79E" w14:textId="77777777" w:rsidR="00EB0DC4" w:rsidRDefault="00EB0DC4" w:rsidP="001C4465">
      <w:pPr>
        <w:rPr>
          <w:rFonts w:ascii="Arial" w:hAnsi="Arial" w:cs="Arial"/>
          <w:sz w:val="22"/>
          <w:lang w:val="ru-UA"/>
        </w:rPr>
      </w:pPr>
    </w:p>
    <w:p w14:paraId="3B8EB2EB" w14:textId="77777777" w:rsidR="00EB0DC4" w:rsidRDefault="00EB0DC4" w:rsidP="001C4465">
      <w:pPr>
        <w:rPr>
          <w:rFonts w:ascii="Arial" w:hAnsi="Arial" w:cs="Arial"/>
          <w:sz w:val="22"/>
          <w:lang w:val="ru-UA"/>
        </w:rPr>
      </w:pPr>
    </w:p>
    <w:p w14:paraId="779C06BD" w14:textId="77777777" w:rsidR="00EB0DC4" w:rsidRDefault="00EB0DC4" w:rsidP="001C4465">
      <w:pPr>
        <w:rPr>
          <w:rFonts w:ascii="Arial" w:hAnsi="Arial" w:cs="Arial"/>
          <w:sz w:val="22"/>
          <w:lang w:val="ru-UA"/>
        </w:rPr>
      </w:pPr>
    </w:p>
    <w:p w14:paraId="2C7150E2" w14:textId="77777777" w:rsidR="00EB0DC4" w:rsidRDefault="00EB0DC4" w:rsidP="001C4465">
      <w:pPr>
        <w:rPr>
          <w:rFonts w:ascii="Arial" w:hAnsi="Arial" w:cs="Arial"/>
          <w:sz w:val="22"/>
          <w:lang w:val="ru-UA"/>
        </w:rPr>
      </w:pPr>
    </w:p>
    <w:p w14:paraId="24393E4E" w14:textId="77777777" w:rsidR="00EB0DC4" w:rsidRDefault="00EB0DC4" w:rsidP="001C4465">
      <w:pPr>
        <w:rPr>
          <w:rFonts w:ascii="Arial" w:hAnsi="Arial" w:cs="Arial"/>
          <w:sz w:val="22"/>
          <w:lang w:val="ru-UA"/>
        </w:rPr>
      </w:pPr>
    </w:p>
    <w:p w14:paraId="0CF502BD" w14:textId="77777777" w:rsidR="00EB0DC4" w:rsidRDefault="00EB0DC4" w:rsidP="001C4465">
      <w:pPr>
        <w:rPr>
          <w:rFonts w:ascii="Arial" w:hAnsi="Arial" w:cs="Arial"/>
          <w:sz w:val="22"/>
          <w:lang w:val="ru-UA"/>
        </w:rPr>
      </w:pPr>
    </w:p>
    <w:p w14:paraId="1E1D2039" w14:textId="77777777" w:rsidR="00EB0DC4" w:rsidRDefault="00EB0DC4" w:rsidP="001C4465">
      <w:pPr>
        <w:rPr>
          <w:rFonts w:ascii="Arial" w:hAnsi="Arial" w:cs="Arial"/>
          <w:sz w:val="22"/>
          <w:lang w:val="ru-UA"/>
        </w:rPr>
      </w:pPr>
    </w:p>
    <w:p w14:paraId="21B67DA2" w14:textId="77777777" w:rsidR="00EB0DC4" w:rsidRPr="00021572" w:rsidRDefault="00EB0DC4" w:rsidP="001C4465">
      <w:pPr>
        <w:rPr>
          <w:rFonts w:ascii="Arial" w:hAnsi="Arial" w:cs="Arial"/>
          <w:sz w:val="22"/>
          <w:lang w:val="ru-UA"/>
        </w:rPr>
      </w:pPr>
    </w:p>
    <w:p w14:paraId="0DCD51A1" w14:textId="77777777" w:rsidR="00021572" w:rsidRPr="00021572" w:rsidRDefault="00021572" w:rsidP="001C4465">
      <w:pPr>
        <w:rPr>
          <w:rFonts w:ascii="Arial" w:hAnsi="Arial" w:cs="Arial"/>
          <w:sz w:val="22"/>
          <w:lang w:val="ru-UA"/>
        </w:rPr>
      </w:pPr>
    </w:p>
    <w:p w14:paraId="1E68A78D" w14:textId="52522D4B" w:rsidR="00173572" w:rsidRPr="00021572" w:rsidRDefault="00173572" w:rsidP="00173572">
      <w:pPr>
        <w:rPr>
          <w:rFonts w:ascii="Arial" w:hAnsi="Arial" w:cs="Arial"/>
          <w:b/>
          <w:bCs/>
          <w:sz w:val="22"/>
          <w:lang w:val="ru-UA"/>
        </w:rPr>
      </w:pPr>
      <w:r w:rsidRPr="00021572">
        <w:rPr>
          <w:rFonts w:ascii="Arial" w:hAnsi="Arial" w:cs="Arial"/>
          <w:b/>
          <w:bCs/>
          <w:sz w:val="22"/>
          <w:lang w:val="ru-UA"/>
        </w:rPr>
        <w:t>Reference List</w:t>
      </w:r>
    </w:p>
    <w:p w14:paraId="27FA3831" w14:textId="46118F02" w:rsidR="000B4E98" w:rsidRPr="000B4E98" w:rsidRDefault="000B4E98" w:rsidP="000B4E98">
      <w:pPr>
        <w:rPr>
          <w:rFonts w:ascii="Arial" w:hAnsi="Arial" w:cs="Arial"/>
          <w:sz w:val="22"/>
          <w:lang w:val="ru-UA"/>
        </w:rPr>
      </w:pPr>
      <w:r w:rsidRPr="000B4E98">
        <w:rPr>
          <w:rFonts w:ascii="Arial" w:hAnsi="Arial" w:cs="Arial"/>
          <w:sz w:val="22"/>
          <w:lang w:val="ru-UA"/>
        </w:rPr>
        <w:t xml:space="preserve">Alzheimer’s Research UK (2022) </w:t>
      </w:r>
      <w:r w:rsidRPr="000B4E98">
        <w:rPr>
          <w:rFonts w:ascii="Arial" w:hAnsi="Arial" w:cs="Arial"/>
          <w:i/>
          <w:iCs/>
          <w:sz w:val="22"/>
          <w:lang w:val="ru-UA"/>
        </w:rPr>
        <w:t>Dementia statistics</w:t>
      </w:r>
      <w:r w:rsidRPr="000B4E98">
        <w:rPr>
          <w:rFonts w:ascii="Arial" w:hAnsi="Arial" w:cs="Arial"/>
          <w:sz w:val="22"/>
          <w:lang w:val="ru-UA"/>
        </w:rPr>
        <w:t>. Available at:</w:t>
      </w:r>
      <w:r w:rsidRPr="000B4E98">
        <w:rPr>
          <w:rFonts w:ascii="Arial" w:hAnsi="Arial" w:cs="Arial"/>
          <w:sz w:val="22"/>
          <w:lang w:val="ru-UA"/>
        </w:rPr>
        <w:br/>
      </w:r>
      <w:r w:rsidRPr="000B4E98">
        <w:rPr>
          <w:rStyle w:val="Hyperlink"/>
          <w:rFonts w:ascii="Arial" w:hAnsi="Arial" w:cs="Arial"/>
          <w:sz w:val="22"/>
          <w:lang w:val="ru-UA"/>
        </w:rPr>
        <w:t>https://www.alzheimersresearchuk.org/dementia-information/statistics/</w:t>
      </w:r>
      <w:r w:rsidRPr="000B4E98">
        <w:rPr>
          <w:rStyle w:val="Hyperlink"/>
          <w:rFonts w:ascii="Arial" w:hAnsi="Arial" w:cs="Arial"/>
          <w:sz w:val="22"/>
          <w:lang w:val="ru-UA"/>
        </w:rPr>
        <w:br/>
      </w:r>
      <w:r w:rsidRPr="000B4E98">
        <w:rPr>
          <w:rFonts w:ascii="Arial" w:hAnsi="Arial" w:cs="Arial"/>
          <w:sz w:val="22"/>
          <w:lang w:val="ru-UA"/>
        </w:rPr>
        <w:t xml:space="preserve">(Accessed: </w:t>
      </w:r>
      <w:r w:rsidR="009E3D07" w:rsidRPr="00021572">
        <w:rPr>
          <w:rFonts w:ascii="Arial" w:hAnsi="Arial" w:cs="Arial"/>
          <w:sz w:val="22"/>
          <w:lang w:val="ru-UA"/>
        </w:rPr>
        <w:t>12</w:t>
      </w:r>
      <w:r w:rsidRPr="000B4E98">
        <w:rPr>
          <w:rFonts w:ascii="Arial" w:hAnsi="Arial" w:cs="Arial"/>
          <w:sz w:val="22"/>
          <w:lang w:val="ru-UA"/>
        </w:rPr>
        <w:t xml:space="preserve"> April 2026).</w:t>
      </w:r>
    </w:p>
    <w:p w14:paraId="454A653A" w14:textId="0DDE21DE" w:rsidR="000B4E98" w:rsidRPr="000B4E98" w:rsidRDefault="000B4E98" w:rsidP="000B4E98">
      <w:pPr>
        <w:rPr>
          <w:rFonts w:ascii="Arial" w:hAnsi="Arial" w:cs="Arial"/>
          <w:sz w:val="22"/>
          <w:lang w:val="ru-UA"/>
        </w:rPr>
      </w:pPr>
      <w:r w:rsidRPr="000B4E98">
        <w:rPr>
          <w:rFonts w:ascii="Arial" w:hAnsi="Arial" w:cs="Arial"/>
          <w:sz w:val="22"/>
          <w:lang w:val="ru-UA"/>
        </w:rPr>
        <w:t xml:space="preserve">Alzheimer’s Society (2022) </w:t>
      </w:r>
      <w:r w:rsidRPr="000B4E98">
        <w:rPr>
          <w:rFonts w:ascii="Arial" w:hAnsi="Arial" w:cs="Arial"/>
          <w:i/>
          <w:iCs/>
          <w:sz w:val="22"/>
          <w:lang w:val="ru-UA"/>
        </w:rPr>
        <w:t>Dementia UK: Update</w:t>
      </w:r>
      <w:r w:rsidRPr="000B4E98">
        <w:rPr>
          <w:rFonts w:ascii="Arial" w:hAnsi="Arial" w:cs="Arial"/>
          <w:sz w:val="22"/>
          <w:lang w:val="ru-UA"/>
        </w:rPr>
        <w:t>. Available at:</w:t>
      </w:r>
      <w:r w:rsidRPr="000B4E98">
        <w:rPr>
          <w:rFonts w:ascii="Arial" w:hAnsi="Arial" w:cs="Arial"/>
          <w:sz w:val="22"/>
          <w:lang w:val="ru-UA"/>
        </w:rPr>
        <w:br/>
      </w:r>
      <w:r w:rsidRPr="000B4E98">
        <w:rPr>
          <w:rStyle w:val="Hyperlink"/>
          <w:rFonts w:ascii="Arial" w:hAnsi="Arial" w:cs="Arial"/>
          <w:sz w:val="22"/>
          <w:lang w:val="ru-UA"/>
        </w:rPr>
        <w:t>https://www.alzheimers.org.uk/about-us/policy-and-influencing/dementia-uk-report</w:t>
      </w:r>
      <w:r w:rsidRPr="000B4E98">
        <w:rPr>
          <w:rStyle w:val="Hyperlink"/>
          <w:rFonts w:ascii="Arial" w:hAnsi="Arial" w:cs="Arial"/>
          <w:sz w:val="22"/>
          <w:lang w:val="ru-UA"/>
        </w:rPr>
        <w:br/>
      </w:r>
      <w:r w:rsidRPr="000B4E98">
        <w:rPr>
          <w:rFonts w:ascii="Arial" w:hAnsi="Arial" w:cs="Arial"/>
          <w:sz w:val="22"/>
          <w:lang w:val="ru-UA"/>
        </w:rP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521A291A" w14:textId="50C0C29F" w:rsidR="000B4E98" w:rsidRPr="00021572" w:rsidRDefault="000B4E98" w:rsidP="000B4E98">
      <w:pPr>
        <w:rPr>
          <w:rFonts w:ascii="Arial" w:hAnsi="Arial" w:cs="Arial"/>
          <w:sz w:val="22"/>
          <w:lang w:val="ru-UA"/>
        </w:rPr>
      </w:pPr>
      <w:r w:rsidRPr="000B4E98">
        <w:rPr>
          <w:rFonts w:ascii="Arial" w:hAnsi="Arial" w:cs="Arial"/>
          <w:sz w:val="22"/>
          <w:lang w:val="ru-UA"/>
        </w:rPr>
        <w:t xml:space="preserve">Burns, A. and Iliffe, S. (2009) ‘Dementia’, </w:t>
      </w:r>
      <w:r w:rsidRPr="000B4E98">
        <w:rPr>
          <w:rFonts w:ascii="Arial" w:hAnsi="Arial" w:cs="Arial"/>
          <w:i/>
          <w:iCs/>
          <w:sz w:val="22"/>
          <w:lang w:val="ru-UA"/>
        </w:rPr>
        <w:t>BMJ</w:t>
      </w:r>
      <w:r w:rsidRPr="000B4E98">
        <w:rPr>
          <w:rFonts w:ascii="Arial" w:hAnsi="Arial" w:cs="Arial"/>
          <w:sz w:val="22"/>
          <w:lang w:val="ru-UA"/>
        </w:rPr>
        <w:t>, 338, pp. 405–409. Available at:</w:t>
      </w:r>
      <w:r w:rsidRPr="000B4E98">
        <w:rPr>
          <w:rFonts w:ascii="Arial" w:hAnsi="Arial" w:cs="Arial"/>
          <w:sz w:val="22"/>
          <w:lang w:val="ru-UA"/>
        </w:rPr>
        <w:br/>
      </w:r>
      <w:hyperlink r:id="rId9" w:tgtFrame="_new" w:history="1">
        <w:r w:rsidRPr="000B4E98">
          <w:rPr>
            <w:rStyle w:val="Hyperlink"/>
            <w:rFonts w:ascii="Arial" w:hAnsi="Arial" w:cs="Arial"/>
            <w:sz w:val="22"/>
            <w:lang w:val="ru-UA"/>
          </w:rPr>
          <w:t>https://www.bmj.com/content/338/bmj.b75</w:t>
        </w:r>
      </w:hyperlink>
      <w:r w:rsidRPr="000B4E98">
        <w:rPr>
          <w:rFonts w:ascii="Arial" w:hAnsi="Arial" w:cs="Arial"/>
          <w:sz w:val="22"/>
          <w:lang w:val="ru-UA"/>
        </w:rPr>
        <w:b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7EAD6A2F" w14:textId="5DB7109E" w:rsidR="00817EA2" w:rsidRDefault="00817EA2" w:rsidP="00817EA2">
      <w:pPr>
        <w:rPr>
          <w:rFonts w:ascii="Arial" w:hAnsi="Arial" w:cs="Arial"/>
          <w:sz w:val="22"/>
          <w:lang w:val="ru-UA"/>
        </w:rPr>
      </w:pPr>
      <w:r w:rsidRPr="00021572">
        <w:rPr>
          <w:rFonts w:ascii="Arial" w:hAnsi="Arial" w:cs="Arial"/>
          <w:sz w:val="22"/>
          <w:lang w:val="ru-UA"/>
        </w:rPr>
        <w:t xml:space="preserve">Cipriani, G. et al. (2015) ‘Uncommon and/or bizarre features of dementia’, Acta Neurologica Belgica, 115(1), pp. 19–25. Available at: </w:t>
      </w:r>
      <w:hyperlink r:id="rId10" w:history="1">
        <w:r w:rsidRPr="00021572">
          <w:rPr>
            <w:rStyle w:val="Hyperlink"/>
            <w:rFonts w:ascii="Arial" w:hAnsi="Arial" w:cs="Arial"/>
            <w:sz w:val="22"/>
            <w:lang w:val="ru-UA"/>
          </w:rPr>
          <w:t>https://pubmed.ncbi.nlm.nih.gov/24854147/</w:t>
        </w:r>
      </w:hyperlink>
      <w:r w:rsidRPr="00021572">
        <w:rPr>
          <w:rFonts w:ascii="Arial" w:hAnsi="Arial" w:cs="Arial"/>
          <w:sz w:val="22"/>
          <w:lang w:val="ru-UA"/>
        </w:rPr>
        <w:t xml:space="preserve"> (Accessed: 1</w:t>
      </w:r>
      <w:r w:rsidR="009E3D07" w:rsidRPr="00021572">
        <w:rPr>
          <w:rFonts w:ascii="Arial" w:hAnsi="Arial" w:cs="Arial"/>
          <w:sz w:val="22"/>
          <w:lang w:val="ru-UA"/>
        </w:rPr>
        <w:t>2</w:t>
      </w:r>
      <w:r w:rsidRPr="00021572">
        <w:rPr>
          <w:rFonts w:ascii="Arial" w:hAnsi="Arial" w:cs="Arial"/>
          <w:sz w:val="22"/>
          <w:lang w:val="ru-UA"/>
        </w:rPr>
        <w:t xml:space="preserve"> April 2026).</w:t>
      </w:r>
    </w:p>
    <w:p w14:paraId="2E6A7304" w14:textId="77777777" w:rsidR="00F62DEF" w:rsidRDefault="00F62DEF" w:rsidP="00F62DEF">
      <w:pPr>
        <w:rPr>
          <w:rFonts w:ascii="Arial" w:hAnsi="Arial" w:cs="Arial"/>
          <w:sz w:val="22"/>
          <w:lang w:val="ru-UA"/>
        </w:rPr>
      </w:pPr>
      <w:r w:rsidRPr="005C57E0">
        <w:rPr>
          <w:rFonts w:ascii="Arial" w:hAnsi="Arial" w:cs="Arial"/>
          <w:sz w:val="22"/>
          <w:lang w:val="ru-UA"/>
        </w:rPr>
        <w:t>Kitwood, T. (1997) Dementia Reconsidered: The Person Comes First. Buckingham: Open University Press.</w:t>
      </w:r>
    </w:p>
    <w:p w14:paraId="09341731" w14:textId="59234F28" w:rsidR="00F62DEF" w:rsidRPr="00037C65" w:rsidRDefault="00F62DEF" w:rsidP="00817EA2">
      <w:pPr>
        <w:rPr>
          <w:rFonts w:ascii="Arial" w:hAnsi="Arial" w:cs="Arial"/>
          <w:sz w:val="22"/>
          <w:lang w:val="en-US"/>
        </w:rPr>
      </w:pPr>
      <w:r w:rsidRPr="005C57E0">
        <w:rPr>
          <w:rFonts w:ascii="Arial" w:hAnsi="Arial" w:cs="Arial"/>
          <w:sz w:val="22"/>
        </w:rPr>
        <w:t xml:space="preserve">Livingston, G. et al. (2020) ‘Dementia prevention, intervention, and care’, </w:t>
      </w:r>
      <w:r w:rsidRPr="005C57E0">
        <w:rPr>
          <w:rFonts w:ascii="Arial" w:hAnsi="Arial" w:cs="Arial"/>
          <w:i/>
          <w:iCs/>
          <w:sz w:val="22"/>
        </w:rPr>
        <w:t>The Lancet</w:t>
      </w:r>
      <w:r w:rsidRPr="005C57E0">
        <w:rPr>
          <w:rFonts w:ascii="Arial" w:hAnsi="Arial" w:cs="Arial"/>
          <w:sz w:val="22"/>
        </w:rPr>
        <w:t>, 396(10248), pp. 413–446. Available at:</w:t>
      </w:r>
      <w:r w:rsidRPr="005C57E0">
        <w:rPr>
          <w:rFonts w:ascii="Arial" w:hAnsi="Arial" w:cs="Arial"/>
          <w:sz w:val="22"/>
        </w:rPr>
        <w:br/>
      </w:r>
      <w:r w:rsidRPr="005C57E0">
        <w:rPr>
          <w:rStyle w:val="Hyperlink"/>
          <w:rFonts w:ascii="Arial" w:hAnsi="Arial" w:cs="Arial"/>
          <w:sz w:val="22"/>
          <w:lang w:val="ru-UA"/>
        </w:rPr>
        <w:t>https://www.thelancet.com/journals/lancet/article/PIIS0140-6736(20)30367-6/fulltext</w:t>
      </w:r>
      <w:r w:rsidRPr="005C57E0">
        <w:rPr>
          <w:rStyle w:val="Hyperlink"/>
          <w:lang w:val="ru-UA"/>
        </w:rPr>
        <w:br/>
      </w:r>
      <w:r w:rsidRPr="005C57E0">
        <w:rPr>
          <w:rFonts w:ascii="Arial" w:hAnsi="Arial" w:cs="Arial"/>
          <w:sz w:val="22"/>
        </w:rPr>
        <w:t>(Accessed: 1</w:t>
      </w:r>
      <w:r w:rsidRPr="005C57E0">
        <w:rPr>
          <w:rFonts w:ascii="Arial" w:hAnsi="Arial" w:cs="Arial"/>
          <w:sz w:val="22"/>
          <w:lang w:val="en-US"/>
        </w:rPr>
        <w:t>2</w:t>
      </w:r>
      <w:r w:rsidRPr="005C57E0">
        <w:rPr>
          <w:rFonts w:ascii="Arial" w:hAnsi="Arial" w:cs="Arial"/>
          <w:sz w:val="22"/>
        </w:rPr>
        <w:t xml:space="preserve"> April 2026)</w:t>
      </w:r>
    </w:p>
    <w:p w14:paraId="50A7ABC7" w14:textId="0EDF519C" w:rsidR="000B4E98" w:rsidRPr="000B4E98" w:rsidRDefault="000B4E98" w:rsidP="000B4E98">
      <w:pPr>
        <w:rPr>
          <w:rFonts w:ascii="Arial" w:hAnsi="Arial" w:cs="Arial"/>
          <w:sz w:val="22"/>
          <w:lang w:val="ru-UA"/>
        </w:rPr>
      </w:pPr>
      <w:r w:rsidRPr="000B4E98">
        <w:rPr>
          <w:rFonts w:ascii="Arial" w:hAnsi="Arial" w:cs="Arial"/>
          <w:sz w:val="22"/>
          <w:lang w:val="ru-UA"/>
        </w:rPr>
        <w:t xml:space="preserve">NICE (2018) </w:t>
      </w:r>
      <w:r w:rsidRPr="005C57E0">
        <w:rPr>
          <w:rFonts w:ascii="Arial" w:hAnsi="Arial" w:cs="Arial"/>
          <w:sz w:val="22"/>
          <w:lang w:val="ru-UA"/>
        </w:rPr>
        <w:t>Dementia: assessment, management and support for people living with dementia and their carers. Available at:</w:t>
      </w:r>
      <w:r w:rsidRPr="005C57E0">
        <w:rPr>
          <w:rFonts w:ascii="Arial" w:hAnsi="Arial" w:cs="Arial"/>
          <w:sz w:val="22"/>
          <w:lang w:val="ru-UA"/>
        </w:rPr>
        <w:br/>
      </w:r>
      <w:hyperlink r:id="rId11" w:tgtFrame="_new" w:history="1">
        <w:r w:rsidRPr="000B4E98">
          <w:rPr>
            <w:rStyle w:val="Hyperlink"/>
            <w:rFonts w:ascii="Arial" w:hAnsi="Arial" w:cs="Arial"/>
            <w:sz w:val="22"/>
            <w:lang w:val="ru-UA"/>
          </w:rPr>
          <w:t>https://www.nice.org.uk/guidance/ng97</w:t>
        </w:r>
      </w:hyperlink>
      <w:r w:rsidRPr="000B4E98">
        <w:rPr>
          <w:rFonts w:ascii="Arial" w:hAnsi="Arial" w:cs="Arial"/>
          <w:sz w:val="22"/>
          <w:lang w:val="ru-UA"/>
        </w:rPr>
        <w:b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4B75C942" w14:textId="50ECB693" w:rsidR="000B4E98" w:rsidRPr="000B4E98" w:rsidRDefault="000B4E98" w:rsidP="000B4E98">
      <w:pPr>
        <w:rPr>
          <w:rFonts w:ascii="Arial" w:hAnsi="Arial" w:cs="Arial"/>
          <w:sz w:val="22"/>
          <w:lang w:val="ru-UA"/>
        </w:rPr>
      </w:pPr>
      <w:r w:rsidRPr="000B4E98">
        <w:rPr>
          <w:rFonts w:ascii="Arial" w:hAnsi="Arial" w:cs="Arial"/>
          <w:sz w:val="22"/>
          <w:lang w:val="ru-UA"/>
        </w:rPr>
        <w:t xml:space="preserve">NHS (2023) </w:t>
      </w:r>
      <w:r w:rsidRPr="005C57E0">
        <w:rPr>
          <w:rFonts w:ascii="Arial" w:hAnsi="Arial" w:cs="Arial"/>
          <w:sz w:val="22"/>
          <w:lang w:val="ru-UA"/>
        </w:rPr>
        <w:t>Dementia overview. Available at:</w:t>
      </w:r>
      <w:r w:rsidRPr="000B4E98">
        <w:rPr>
          <w:rFonts w:ascii="Arial" w:hAnsi="Arial" w:cs="Arial"/>
          <w:sz w:val="22"/>
          <w:lang w:val="ru-UA"/>
        </w:rPr>
        <w:br/>
      </w:r>
      <w:hyperlink r:id="rId12" w:tgtFrame="_new" w:history="1">
        <w:r w:rsidRPr="000B4E98">
          <w:rPr>
            <w:rStyle w:val="Hyperlink"/>
            <w:rFonts w:ascii="Arial" w:hAnsi="Arial" w:cs="Arial"/>
            <w:sz w:val="22"/>
            <w:lang w:val="ru-UA"/>
          </w:rPr>
          <w:t>https://www.nhs.uk/conditions/dementia/</w:t>
        </w:r>
      </w:hyperlink>
      <w:r w:rsidRPr="000B4E98">
        <w:rPr>
          <w:rFonts w:ascii="Arial" w:hAnsi="Arial" w:cs="Arial"/>
          <w:sz w:val="22"/>
          <w:lang w:val="ru-UA"/>
        </w:rPr>
        <w:b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00B6CC43" w14:textId="3B6EF30A" w:rsidR="000B4E98" w:rsidRPr="000B4E98" w:rsidRDefault="000B4E98" w:rsidP="000B4E98">
      <w:pPr>
        <w:rPr>
          <w:rFonts w:ascii="Arial" w:hAnsi="Arial" w:cs="Arial"/>
          <w:sz w:val="22"/>
          <w:lang w:val="ru-UA"/>
        </w:rPr>
      </w:pPr>
      <w:r w:rsidRPr="000B4E98">
        <w:rPr>
          <w:rFonts w:ascii="Arial" w:hAnsi="Arial" w:cs="Arial"/>
          <w:sz w:val="22"/>
          <w:lang w:val="ru-UA"/>
        </w:rPr>
        <w:t xml:space="preserve">Prince, M. et al. (2015) </w:t>
      </w:r>
      <w:r w:rsidRPr="005C57E0">
        <w:rPr>
          <w:rFonts w:ascii="Arial" w:hAnsi="Arial" w:cs="Arial"/>
          <w:sz w:val="22"/>
          <w:lang w:val="ru-UA"/>
        </w:rPr>
        <w:t>World Alzheimer Report 2015. Available at:</w:t>
      </w:r>
      <w:r w:rsidRPr="005C57E0">
        <w:rPr>
          <w:rFonts w:ascii="Arial" w:hAnsi="Arial" w:cs="Arial"/>
          <w:sz w:val="22"/>
          <w:lang w:val="ru-UA"/>
        </w:rPr>
        <w:br/>
      </w:r>
      <w:hyperlink r:id="rId13" w:tgtFrame="_new" w:history="1">
        <w:r w:rsidRPr="000B4E98">
          <w:rPr>
            <w:rStyle w:val="Hyperlink"/>
            <w:rFonts w:ascii="Arial" w:hAnsi="Arial" w:cs="Arial"/>
            <w:sz w:val="22"/>
            <w:lang w:val="ru-UA"/>
          </w:rPr>
          <w:t>https://www.alzint.org/resource/world-alzheimer-report-2015/</w:t>
        </w:r>
      </w:hyperlink>
      <w:r w:rsidRPr="000B4E98">
        <w:rPr>
          <w:rFonts w:ascii="Arial" w:hAnsi="Arial" w:cs="Arial"/>
          <w:sz w:val="22"/>
          <w:lang w:val="ru-UA"/>
        </w:rPr>
        <w:b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7FC6CD4D" w14:textId="7ADA4E55" w:rsidR="000B4E98" w:rsidRDefault="000B4E98" w:rsidP="000B4E98">
      <w:pPr>
        <w:rPr>
          <w:rFonts w:ascii="Arial" w:hAnsi="Arial" w:cs="Arial"/>
          <w:sz w:val="22"/>
          <w:lang w:val="ru-UA"/>
        </w:rPr>
      </w:pPr>
      <w:r w:rsidRPr="000B4E98">
        <w:rPr>
          <w:rFonts w:ascii="Arial" w:hAnsi="Arial" w:cs="Arial"/>
          <w:sz w:val="22"/>
          <w:lang w:val="ru-UA"/>
        </w:rPr>
        <w:t xml:space="preserve">World Health Organization (2023) </w:t>
      </w:r>
      <w:r w:rsidRPr="000B4E98">
        <w:rPr>
          <w:rFonts w:ascii="Arial" w:hAnsi="Arial" w:cs="Arial"/>
          <w:i/>
          <w:iCs/>
          <w:sz w:val="22"/>
          <w:lang w:val="ru-UA"/>
        </w:rPr>
        <w:t>Dementia</w:t>
      </w:r>
      <w:r w:rsidRPr="000B4E98">
        <w:rPr>
          <w:rFonts w:ascii="Arial" w:hAnsi="Arial" w:cs="Arial"/>
          <w:sz w:val="22"/>
          <w:lang w:val="ru-UA"/>
        </w:rPr>
        <w:t>. Available at:</w:t>
      </w:r>
      <w:r w:rsidRPr="000B4E98">
        <w:rPr>
          <w:rFonts w:ascii="Arial" w:hAnsi="Arial" w:cs="Arial"/>
          <w:sz w:val="22"/>
          <w:lang w:val="ru-UA"/>
        </w:rPr>
        <w:br/>
      </w:r>
      <w:hyperlink r:id="rId14" w:tgtFrame="_new" w:history="1">
        <w:r w:rsidRPr="000B4E98">
          <w:rPr>
            <w:rStyle w:val="Hyperlink"/>
            <w:rFonts w:ascii="Arial" w:hAnsi="Arial" w:cs="Arial"/>
            <w:sz w:val="22"/>
            <w:lang w:val="ru-UA"/>
          </w:rPr>
          <w:t>https://www.who.int/news-room/fact-sheets/detail/dementia</w:t>
        </w:r>
      </w:hyperlink>
      <w:r w:rsidRPr="000B4E98">
        <w:rPr>
          <w:rFonts w:ascii="Arial" w:hAnsi="Arial" w:cs="Arial"/>
          <w:sz w:val="22"/>
          <w:lang w:val="ru-UA"/>
        </w:rPr>
        <w:br/>
        <w:t>(Accessed: 1</w:t>
      </w:r>
      <w:r w:rsidR="009E3D07" w:rsidRPr="00021572">
        <w:rPr>
          <w:rFonts w:ascii="Arial" w:hAnsi="Arial" w:cs="Arial"/>
          <w:sz w:val="22"/>
          <w:lang w:val="ru-UA"/>
        </w:rPr>
        <w:t>2</w:t>
      </w:r>
      <w:r w:rsidRPr="000B4E98">
        <w:rPr>
          <w:rFonts w:ascii="Arial" w:hAnsi="Arial" w:cs="Arial"/>
          <w:sz w:val="22"/>
          <w:lang w:val="ru-UA"/>
        </w:rPr>
        <w:t xml:space="preserve"> April 2026)</w:t>
      </w:r>
    </w:p>
    <w:p w14:paraId="1BD77DC5" w14:textId="77777777" w:rsidR="004A28FE" w:rsidRPr="00021572" w:rsidRDefault="004A28FE" w:rsidP="00173572">
      <w:pPr>
        <w:rPr>
          <w:rFonts w:ascii="Arial" w:hAnsi="Arial" w:cs="Arial"/>
          <w:sz w:val="22"/>
          <w:lang w:val="ru-UA"/>
        </w:rPr>
      </w:pPr>
    </w:p>
    <w:p w14:paraId="1D0F2D59" w14:textId="53236DFB" w:rsidR="004552CE" w:rsidRPr="00021572" w:rsidRDefault="004552CE" w:rsidP="005E44B5">
      <w:pPr>
        <w:rPr>
          <w:rFonts w:ascii="Arial" w:hAnsi="Arial" w:cs="Arial"/>
          <w:sz w:val="22"/>
          <w:lang w:val="en-US"/>
        </w:rPr>
      </w:pPr>
    </w:p>
    <w:sectPr w:rsidR="004552CE" w:rsidRPr="00021572"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77769" w14:textId="77777777" w:rsidR="0076418D" w:rsidRDefault="0076418D" w:rsidP="003C7C97">
      <w:pPr>
        <w:spacing w:after="0" w:line="240" w:lineRule="auto"/>
      </w:pPr>
      <w:r>
        <w:separator/>
      </w:r>
    </w:p>
  </w:endnote>
  <w:endnote w:type="continuationSeparator" w:id="0">
    <w:p w14:paraId="6952EA30" w14:textId="77777777" w:rsidR="0076418D" w:rsidRDefault="0076418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20C72" w14:textId="77777777" w:rsidR="0076418D" w:rsidRDefault="0076418D" w:rsidP="003C7C97">
      <w:pPr>
        <w:spacing w:after="0" w:line="240" w:lineRule="auto"/>
      </w:pPr>
      <w:r>
        <w:separator/>
      </w:r>
    </w:p>
  </w:footnote>
  <w:footnote w:type="continuationSeparator" w:id="0">
    <w:p w14:paraId="4E4E4ADF" w14:textId="77777777" w:rsidR="0076418D" w:rsidRDefault="0076418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839A5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7542198"/>
    <w:multiLevelType w:val="hybridMultilevel"/>
    <w:tmpl w:val="115E9B38"/>
    <w:lvl w:ilvl="0" w:tplc="3DAECF8A">
      <w:start w:val="1"/>
      <w:numFmt w:val="bullet"/>
      <w:lvlText w:val=""/>
      <w:lvlJc w:val="left"/>
      <w:pPr>
        <w:ind w:left="720" w:hanging="360"/>
      </w:pPr>
      <w:rPr>
        <w:rFonts w:ascii="Symbol" w:hAnsi="Symbol" w:hint="default"/>
      </w:rPr>
    </w:lvl>
    <w:lvl w:ilvl="1" w:tplc="6A666606">
      <w:start w:val="1"/>
      <w:numFmt w:val="bullet"/>
      <w:lvlText w:val="o"/>
      <w:lvlJc w:val="left"/>
      <w:pPr>
        <w:ind w:left="1440" w:hanging="360"/>
      </w:pPr>
      <w:rPr>
        <w:rFonts w:ascii="Courier New" w:hAnsi="Courier New" w:hint="default"/>
      </w:rPr>
    </w:lvl>
    <w:lvl w:ilvl="2" w:tplc="807A4916">
      <w:start w:val="1"/>
      <w:numFmt w:val="bullet"/>
      <w:lvlText w:val=""/>
      <w:lvlJc w:val="left"/>
      <w:pPr>
        <w:ind w:left="2160" w:hanging="360"/>
      </w:pPr>
      <w:rPr>
        <w:rFonts w:ascii="Wingdings" w:hAnsi="Wingdings" w:hint="default"/>
      </w:rPr>
    </w:lvl>
    <w:lvl w:ilvl="3" w:tplc="42B2F488">
      <w:start w:val="1"/>
      <w:numFmt w:val="bullet"/>
      <w:lvlText w:val=""/>
      <w:lvlJc w:val="left"/>
      <w:pPr>
        <w:ind w:left="2880" w:hanging="360"/>
      </w:pPr>
      <w:rPr>
        <w:rFonts w:ascii="Symbol" w:hAnsi="Symbol" w:hint="default"/>
      </w:rPr>
    </w:lvl>
    <w:lvl w:ilvl="4" w:tplc="85266734">
      <w:start w:val="1"/>
      <w:numFmt w:val="bullet"/>
      <w:lvlText w:val="o"/>
      <w:lvlJc w:val="left"/>
      <w:pPr>
        <w:ind w:left="3600" w:hanging="360"/>
      </w:pPr>
      <w:rPr>
        <w:rFonts w:ascii="Courier New" w:hAnsi="Courier New" w:hint="default"/>
      </w:rPr>
    </w:lvl>
    <w:lvl w:ilvl="5" w:tplc="993C1D0A">
      <w:start w:val="1"/>
      <w:numFmt w:val="bullet"/>
      <w:lvlText w:val=""/>
      <w:lvlJc w:val="left"/>
      <w:pPr>
        <w:ind w:left="4320" w:hanging="360"/>
      </w:pPr>
      <w:rPr>
        <w:rFonts w:ascii="Wingdings" w:hAnsi="Wingdings" w:hint="default"/>
      </w:rPr>
    </w:lvl>
    <w:lvl w:ilvl="6" w:tplc="806ACBAE">
      <w:start w:val="1"/>
      <w:numFmt w:val="bullet"/>
      <w:lvlText w:val=""/>
      <w:lvlJc w:val="left"/>
      <w:pPr>
        <w:ind w:left="5040" w:hanging="360"/>
      </w:pPr>
      <w:rPr>
        <w:rFonts w:ascii="Symbol" w:hAnsi="Symbol" w:hint="default"/>
      </w:rPr>
    </w:lvl>
    <w:lvl w:ilvl="7" w:tplc="6040FE24">
      <w:start w:val="1"/>
      <w:numFmt w:val="bullet"/>
      <w:lvlText w:val="o"/>
      <w:lvlJc w:val="left"/>
      <w:pPr>
        <w:ind w:left="5760" w:hanging="360"/>
      </w:pPr>
      <w:rPr>
        <w:rFonts w:ascii="Courier New" w:hAnsi="Courier New" w:hint="default"/>
      </w:rPr>
    </w:lvl>
    <w:lvl w:ilvl="8" w:tplc="706A0B98">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067E8F30"/>
    <w:lvl w:ilvl="0" w:tplc="94C2847C">
      <w:start w:val="1"/>
      <w:numFmt w:val="bullet"/>
      <w:lvlText w:val=""/>
      <w:lvlJc w:val="left"/>
      <w:pPr>
        <w:ind w:left="720" w:hanging="360"/>
      </w:pPr>
      <w:rPr>
        <w:rFonts w:ascii="Symbol" w:hAnsi="Symbol" w:hint="default"/>
      </w:rPr>
    </w:lvl>
    <w:lvl w:ilvl="1" w:tplc="333CF84A">
      <w:start w:val="1"/>
      <w:numFmt w:val="bullet"/>
      <w:lvlText w:val="o"/>
      <w:lvlJc w:val="left"/>
      <w:pPr>
        <w:ind w:left="1440" w:hanging="360"/>
      </w:pPr>
      <w:rPr>
        <w:rFonts w:ascii="Courier New" w:hAnsi="Courier New" w:hint="default"/>
      </w:rPr>
    </w:lvl>
    <w:lvl w:ilvl="2" w:tplc="BE8A2B9A">
      <w:start w:val="1"/>
      <w:numFmt w:val="bullet"/>
      <w:lvlText w:val=""/>
      <w:lvlJc w:val="left"/>
      <w:pPr>
        <w:ind w:left="2160" w:hanging="360"/>
      </w:pPr>
      <w:rPr>
        <w:rFonts w:ascii="Wingdings" w:hAnsi="Wingdings" w:hint="default"/>
      </w:rPr>
    </w:lvl>
    <w:lvl w:ilvl="3" w:tplc="00B45050">
      <w:start w:val="1"/>
      <w:numFmt w:val="bullet"/>
      <w:lvlText w:val=""/>
      <w:lvlJc w:val="left"/>
      <w:pPr>
        <w:ind w:left="2880" w:hanging="360"/>
      </w:pPr>
      <w:rPr>
        <w:rFonts w:ascii="Symbol" w:hAnsi="Symbol" w:hint="default"/>
      </w:rPr>
    </w:lvl>
    <w:lvl w:ilvl="4" w:tplc="8AF2C968">
      <w:start w:val="1"/>
      <w:numFmt w:val="bullet"/>
      <w:lvlText w:val="o"/>
      <w:lvlJc w:val="left"/>
      <w:pPr>
        <w:ind w:left="3600" w:hanging="360"/>
      </w:pPr>
      <w:rPr>
        <w:rFonts w:ascii="Courier New" w:hAnsi="Courier New" w:hint="default"/>
      </w:rPr>
    </w:lvl>
    <w:lvl w:ilvl="5" w:tplc="36C20FE0">
      <w:start w:val="1"/>
      <w:numFmt w:val="bullet"/>
      <w:lvlText w:val=""/>
      <w:lvlJc w:val="left"/>
      <w:pPr>
        <w:ind w:left="4320" w:hanging="360"/>
      </w:pPr>
      <w:rPr>
        <w:rFonts w:ascii="Wingdings" w:hAnsi="Wingdings" w:hint="default"/>
      </w:rPr>
    </w:lvl>
    <w:lvl w:ilvl="6" w:tplc="66F66E40">
      <w:start w:val="1"/>
      <w:numFmt w:val="bullet"/>
      <w:lvlText w:val=""/>
      <w:lvlJc w:val="left"/>
      <w:pPr>
        <w:ind w:left="5040" w:hanging="360"/>
      </w:pPr>
      <w:rPr>
        <w:rFonts w:ascii="Symbol" w:hAnsi="Symbol" w:hint="default"/>
      </w:rPr>
    </w:lvl>
    <w:lvl w:ilvl="7" w:tplc="F88802B6">
      <w:start w:val="1"/>
      <w:numFmt w:val="bullet"/>
      <w:lvlText w:val="o"/>
      <w:lvlJc w:val="left"/>
      <w:pPr>
        <w:ind w:left="5760" w:hanging="360"/>
      </w:pPr>
      <w:rPr>
        <w:rFonts w:ascii="Courier New" w:hAnsi="Courier New" w:hint="default"/>
      </w:rPr>
    </w:lvl>
    <w:lvl w:ilvl="8" w:tplc="4AA04FE6">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F9BE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00982C2A"/>
    <w:lvl w:ilvl="0" w:tplc="A406EDA8">
      <w:start w:val="1"/>
      <w:numFmt w:val="bullet"/>
      <w:lvlText w:val=""/>
      <w:lvlJc w:val="left"/>
      <w:pPr>
        <w:ind w:left="720" w:hanging="360"/>
      </w:pPr>
      <w:rPr>
        <w:rFonts w:ascii="Symbol" w:hAnsi="Symbol" w:hint="default"/>
      </w:rPr>
    </w:lvl>
    <w:lvl w:ilvl="1" w:tplc="F5E876F0">
      <w:start w:val="1"/>
      <w:numFmt w:val="bullet"/>
      <w:lvlText w:val="o"/>
      <w:lvlJc w:val="left"/>
      <w:pPr>
        <w:ind w:left="1440" w:hanging="360"/>
      </w:pPr>
      <w:rPr>
        <w:rFonts w:ascii="Courier New" w:hAnsi="Courier New" w:hint="default"/>
      </w:rPr>
    </w:lvl>
    <w:lvl w:ilvl="2" w:tplc="3ACE6E26">
      <w:start w:val="1"/>
      <w:numFmt w:val="bullet"/>
      <w:lvlText w:val=""/>
      <w:lvlJc w:val="left"/>
      <w:pPr>
        <w:ind w:left="2160" w:hanging="360"/>
      </w:pPr>
      <w:rPr>
        <w:rFonts w:ascii="Wingdings" w:hAnsi="Wingdings" w:hint="default"/>
      </w:rPr>
    </w:lvl>
    <w:lvl w:ilvl="3" w:tplc="2B3030E4">
      <w:start w:val="1"/>
      <w:numFmt w:val="bullet"/>
      <w:lvlText w:val=""/>
      <w:lvlJc w:val="left"/>
      <w:pPr>
        <w:ind w:left="2880" w:hanging="360"/>
      </w:pPr>
      <w:rPr>
        <w:rFonts w:ascii="Symbol" w:hAnsi="Symbol" w:hint="default"/>
      </w:rPr>
    </w:lvl>
    <w:lvl w:ilvl="4" w:tplc="ECE22F34">
      <w:start w:val="1"/>
      <w:numFmt w:val="bullet"/>
      <w:lvlText w:val="o"/>
      <w:lvlJc w:val="left"/>
      <w:pPr>
        <w:ind w:left="3600" w:hanging="360"/>
      </w:pPr>
      <w:rPr>
        <w:rFonts w:ascii="Courier New" w:hAnsi="Courier New" w:hint="default"/>
      </w:rPr>
    </w:lvl>
    <w:lvl w:ilvl="5" w:tplc="5650A286">
      <w:start w:val="1"/>
      <w:numFmt w:val="bullet"/>
      <w:lvlText w:val=""/>
      <w:lvlJc w:val="left"/>
      <w:pPr>
        <w:ind w:left="4320" w:hanging="360"/>
      </w:pPr>
      <w:rPr>
        <w:rFonts w:ascii="Wingdings" w:hAnsi="Wingdings" w:hint="default"/>
      </w:rPr>
    </w:lvl>
    <w:lvl w:ilvl="6" w:tplc="73A88070">
      <w:start w:val="1"/>
      <w:numFmt w:val="bullet"/>
      <w:lvlText w:val=""/>
      <w:lvlJc w:val="left"/>
      <w:pPr>
        <w:ind w:left="5040" w:hanging="360"/>
      </w:pPr>
      <w:rPr>
        <w:rFonts w:ascii="Symbol" w:hAnsi="Symbol" w:hint="default"/>
      </w:rPr>
    </w:lvl>
    <w:lvl w:ilvl="7" w:tplc="E06AD64E">
      <w:start w:val="1"/>
      <w:numFmt w:val="bullet"/>
      <w:lvlText w:val="o"/>
      <w:lvlJc w:val="left"/>
      <w:pPr>
        <w:ind w:left="5760" w:hanging="360"/>
      </w:pPr>
      <w:rPr>
        <w:rFonts w:ascii="Courier New" w:hAnsi="Courier New" w:hint="default"/>
      </w:rPr>
    </w:lvl>
    <w:lvl w:ilvl="8" w:tplc="1506FE04">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FD880B06"/>
    <w:lvl w:ilvl="0" w:tplc="24E6FB2C">
      <w:start w:val="1"/>
      <w:numFmt w:val="bullet"/>
      <w:lvlText w:val=""/>
      <w:lvlJc w:val="left"/>
      <w:pPr>
        <w:ind w:left="720" w:hanging="360"/>
      </w:pPr>
      <w:rPr>
        <w:rFonts w:ascii="Symbol" w:hAnsi="Symbol" w:hint="default"/>
      </w:rPr>
    </w:lvl>
    <w:lvl w:ilvl="1" w:tplc="6616D12A">
      <w:start w:val="1"/>
      <w:numFmt w:val="bullet"/>
      <w:lvlText w:val="o"/>
      <w:lvlJc w:val="left"/>
      <w:pPr>
        <w:ind w:left="1440" w:hanging="360"/>
      </w:pPr>
      <w:rPr>
        <w:rFonts w:ascii="Courier New" w:hAnsi="Courier New" w:hint="default"/>
      </w:rPr>
    </w:lvl>
    <w:lvl w:ilvl="2" w:tplc="CFF474AA">
      <w:start w:val="1"/>
      <w:numFmt w:val="bullet"/>
      <w:lvlText w:val=""/>
      <w:lvlJc w:val="left"/>
      <w:pPr>
        <w:ind w:left="2160" w:hanging="360"/>
      </w:pPr>
      <w:rPr>
        <w:rFonts w:ascii="Wingdings" w:hAnsi="Wingdings" w:hint="default"/>
      </w:rPr>
    </w:lvl>
    <w:lvl w:ilvl="3" w:tplc="3A9821D8">
      <w:start w:val="1"/>
      <w:numFmt w:val="bullet"/>
      <w:lvlText w:val=""/>
      <w:lvlJc w:val="left"/>
      <w:pPr>
        <w:ind w:left="2880" w:hanging="360"/>
      </w:pPr>
      <w:rPr>
        <w:rFonts w:ascii="Symbol" w:hAnsi="Symbol" w:hint="default"/>
      </w:rPr>
    </w:lvl>
    <w:lvl w:ilvl="4" w:tplc="C9C65B24">
      <w:start w:val="1"/>
      <w:numFmt w:val="bullet"/>
      <w:lvlText w:val="o"/>
      <w:lvlJc w:val="left"/>
      <w:pPr>
        <w:ind w:left="3600" w:hanging="360"/>
      </w:pPr>
      <w:rPr>
        <w:rFonts w:ascii="Courier New" w:hAnsi="Courier New" w:hint="default"/>
      </w:rPr>
    </w:lvl>
    <w:lvl w:ilvl="5" w:tplc="0F1ACFC2">
      <w:start w:val="1"/>
      <w:numFmt w:val="bullet"/>
      <w:lvlText w:val=""/>
      <w:lvlJc w:val="left"/>
      <w:pPr>
        <w:ind w:left="4320" w:hanging="360"/>
      </w:pPr>
      <w:rPr>
        <w:rFonts w:ascii="Wingdings" w:hAnsi="Wingdings" w:hint="default"/>
      </w:rPr>
    </w:lvl>
    <w:lvl w:ilvl="6" w:tplc="F756699E">
      <w:start w:val="1"/>
      <w:numFmt w:val="bullet"/>
      <w:lvlText w:val=""/>
      <w:lvlJc w:val="left"/>
      <w:pPr>
        <w:ind w:left="5040" w:hanging="360"/>
      </w:pPr>
      <w:rPr>
        <w:rFonts w:ascii="Symbol" w:hAnsi="Symbol" w:hint="default"/>
      </w:rPr>
    </w:lvl>
    <w:lvl w:ilvl="7" w:tplc="72FA806E">
      <w:start w:val="1"/>
      <w:numFmt w:val="bullet"/>
      <w:lvlText w:val="o"/>
      <w:lvlJc w:val="left"/>
      <w:pPr>
        <w:ind w:left="5760" w:hanging="360"/>
      </w:pPr>
      <w:rPr>
        <w:rFonts w:ascii="Courier New" w:hAnsi="Courier New" w:hint="default"/>
      </w:rPr>
    </w:lvl>
    <w:lvl w:ilvl="8" w:tplc="770A59CA">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826A7DD4"/>
    <w:lvl w:ilvl="0" w:tplc="96FCD87E">
      <w:start w:val="1"/>
      <w:numFmt w:val="bullet"/>
      <w:lvlText w:val=""/>
      <w:lvlJc w:val="left"/>
      <w:pPr>
        <w:ind w:left="720" w:hanging="360"/>
      </w:pPr>
      <w:rPr>
        <w:rFonts w:ascii="Symbol" w:hAnsi="Symbol" w:hint="default"/>
      </w:rPr>
    </w:lvl>
    <w:lvl w:ilvl="1" w:tplc="E48C5338">
      <w:start w:val="1"/>
      <w:numFmt w:val="bullet"/>
      <w:lvlText w:val="o"/>
      <w:lvlJc w:val="left"/>
      <w:pPr>
        <w:ind w:left="1440" w:hanging="360"/>
      </w:pPr>
      <w:rPr>
        <w:rFonts w:ascii="Courier New" w:hAnsi="Courier New" w:hint="default"/>
      </w:rPr>
    </w:lvl>
    <w:lvl w:ilvl="2" w:tplc="05BC4904">
      <w:start w:val="1"/>
      <w:numFmt w:val="bullet"/>
      <w:lvlText w:val=""/>
      <w:lvlJc w:val="left"/>
      <w:pPr>
        <w:ind w:left="2160" w:hanging="360"/>
      </w:pPr>
      <w:rPr>
        <w:rFonts w:ascii="Wingdings" w:hAnsi="Wingdings" w:hint="default"/>
      </w:rPr>
    </w:lvl>
    <w:lvl w:ilvl="3" w:tplc="B0B81F66">
      <w:start w:val="1"/>
      <w:numFmt w:val="bullet"/>
      <w:lvlText w:val=""/>
      <w:lvlJc w:val="left"/>
      <w:pPr>
        <w:ind w:left="2880" w:hanging="360"/>
      </w:pPr>
      <w:rPr>
        <w:rFonts w:ascii="Symbol" w:hAnsi="Symbol" w:hint="default"/>
      </w:rPr>
    </w:lvl>
    <w:lvl w:ilvl="4" w:tplc="EEBC6AB8">
      <w:start w:val="1"/>
      <w:numFmt w:val="bullet"/>
      <w:lvlText w:val="o"/>
      <w:lvlJc w:val="left"/>
      <w:pPr>
        <w:ind w:left="3600" w:hanging="360"/>
      </w:pPr>
      <w:rPr>
        <w:rFonts w:ascii="Courier New" w:hAnsi="Courier New" w:hint="default"/>
      </w:rPr>
    </w:lvl>
    <w:lvl w:ilvl="5" w:tplc="B7A6CB0E">
      <w:start w:val="1"/>
      <w:numFmt w:val="bullet"/>
      <w:lvlText w:val=""/>
      <w:lvlJc w:val="left"/>
      <w:pPr>
        <w:ind w:left="4320" w:hanging="360"/>
      </w:pPr>
      <w:rPr>
        <w:rFonts w:ascii="Wingdings" w:hAnsi="Wingdings" w:hint="default"/>
      </w:rPr>
    </w:lvl>
    <w:lvl w:ilvl="6" w:tplc="600E5798">
      <w:start w:val="1"/>
      <w:numFmt w:val="bullet"/>
      <w:lvlText w:val=""/>
      <w:lvlJc w:val="left"/>
      <w:pPr>
        <w:ind w:left="5040" w:hanging="360"/>
      </w:pPr>
      <w:rPr>
        <w:rFonts w:ascii="Symbol" w:hAnsi="Symbol" w:hint="default"/>
      </w:rPr>
    </w:lvl>
    <w:lvl w:ilvl="7" w:tplc="E4F2CDD8">
      <w:start w:val="1"/>
      <w:numFmt w:val="bullet"/>
      <w:lvlText w:val="o"/>
      <w:lvlJc w:val="left"/>
      <w:pPr>
        <w:ind w:left="5760" w:hanging="360"/>
      </w:pPr>
      <w:rPr>
        <w:rFonts w:ascii="Courier New" w:hAnsi="Courier New" w:hint="default"/>
      </w:rPr>
    </w:lvl>
    <w:lvl w:ilvl="8" w:tplc="548CE744">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90398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C22A5FF6"/>
    <w:lvl w:ilvl="0" w:tplc="E1D2F3A2">
      <w:start w:val="1"/>
      <w:numFmt w:val="bullet"/>
      <w:lvlText w:val=""/>
      <w:lvlJc w:val="left"/>
      <w:pPr>
        <w:ind w:left="720" w:hanging="360"/>
      </w:pPr>
      <w:rPr>
        <w:rFonts w:ascii="Symbol" w:hAnsi="Symbol" w:hint="default"/>
      </w:rPr>
    </w:lvl>
    <w:lvl w:ilvl="1" w:tplc="330CC196">
      <w:start w:val="1"/>
      <w:numFmt w:val="bullet"/>
      <w:lvlText w:val="o"/>
      <w:lvlJc w:val="left"/>
      <w:pPr>
        <w:ind w:left="1440" w:hanging="360"/>
      </w:pPr>
      <w:rPr>
        <w:rFonts w:ascii="Courier New" w:hAnsi="Courier New" w:hint="default"/>
      </w:rPr>
    </w:lvl>
    <w:lvl w:ilvl="2" w:tplc="3C9CA14E">
      <w:start w:val="1"/>
      <w:numFmt w:val="bullet"/>
      <w:lvlText w:val=""/>
      <w:lvlJc w:val="left"/>
      <w:pPr>
        <w:ind w:left="2160" w:hanging="360"/>
      </w:pPr>
      <w:rPr>
        <w:rFonts w:ascii="Wingdings" w:hAnsi="Wingdings" w:hint="default"/>
      </w:rPr>
    </w:lvl>
    <w:lvl w:ilvl="3" w:tplc="98301730">
      <w:start w:val="1"/>
      <w:numFmt w:val="bullet"/>
      <w:lvlText w:val=""/>
      <w:lvlJc w:val="left"/>
      <w:pPr>
        <w:ind w:left="2880" w:hanging="360"/>
      </w:pPr>
      <w:rPr>
        <w:rFonts w:ascii="Symbol" w:hAnsi="Symbol" w:hint="default"/>
      </w:rPr>
    </w:lvl>
    <w:lvl w:ilvl="4" w:tplc="F28C9AA8">
      <w:start w:val="1"/>
      <w:numFmt w:val="bullet"/>
      <w:lvlText w:val="o"/>
      <w:lvlJc w:val="left"/>
      <w:pPr>
        <w:ind w:left="3600" w:hanging="360"/>
      </w:pPr>
      <w:rPr>
        <w:rFonts w:ascii="Courier New" w:hAnsi="Courier New" w:hint="default"/>
      </w:rPr>
    </w:lvl>
    <w:lvl w:ilvl="5" w:tplc="982EAFBE">
      <w:start w:val="1"/>
      <w:numFmt w:val="bullet"/>
      <w:lvlText w:val=""/>
      <w:lvlJc w:val="left"/>
      <w:pPr>
        <w:ind w:left="4320" w:hanging="360"/>
      </w:pPr>
      <w:rPr>
        <w:rFonts w:ascii="Wingdings" w:hAnsi="Wingdings" w:hint="default"/>
      </w:rPr>
    </w:lvl>
    <w:lvl w:ilvl="6" w:tplc="912E00FA">
      <w:start w:val="1"/>
      <w:numFmt w:val="bullet"/>
      <w:lvlText w:val=""/>
      <w:lvlJc w:val="left"/>
      <w:pPr>
        <w:ind w:left="5040" w:hanging="360"/>
      </w:pPr>
      <w:rPr>
        <w:rFonts w:ascii="Symbol" w:hAnsi="Symbol" w:hint="default"/>
      </w:rPr>
    </w:lvl>
    <w:lvl w:ilvl="7" w:tplc="E4F07D90">
      <w:start w:val="1"/>
      <w:numFmt w:val="bullet"/>
      <w:lvlText w:val="o"/>
      <w:lvlJc w:val="left"/>
      <w:pPr>
        <w:ind w:left="5760" w:hanging="360"/>
      </w:pPr>
      <w:rPr>
        <w:rFonts w:ascii="Courier New" w:hAnsi="Courier New" w:hint="default"/>
      </w:rPr>
    </w:lvl>
    <w:lvl w:ilvl="8" w:tplc="7AD23B64">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8F5C36"/>
    <w:multiLevelType w:val="multilevel"/>
    <w:tmpl w:val="84C6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B50F67"/>
    <w:multiLevelType w:val="multilevel"/>
    <w:tmpl w:val="194CD29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15361126">
    <w:abstractNumId w:val="13"/>
  </w:num>
  <w:num w:numId="2" w16cid:durableId="1024408032">
    <w:abstractNumId w:val="14"/>
  </w:num>
  <w:num w:numId="3" w16cid:durableId="942495065">
    <w:abstractNumId w:val="2"/>
  </w:num>
  <w:num w:numId="4" w16cid:durableId="307443433">
    <w:abstractNumId w:val="4"/>
  </w:num>
  <w:num w:numId="5" w16cid:durableId="1432966479">
    <w:abstractNumId w:val="17"/>
  </w:num>
  <w:num w:numId="6" w16cid:durableId="349723516">
    <w:abstractNumId w:val="26"/>
  </w:num>
  <w:num w:numId="7" w16cid:durableId="52895227">
    <w:abstractNumId w:val="9"/>
  </w:num>
  <w:num w:numId="8" w16cid:durableId="351032333">
    <w:abstractNumId w:val="3"/>
  </w:num>
  <w:num w:numId="9" w16cid:durableId="1067413603">
    <w:abstractNumId w:val="15"/>
  </w:num>
  <w:num w:numId="10" w16cid:durableId="931426930">
    <w:abstractNumId w:val="30"/>
  </w:num>
  <w:num w:numId="11" w16cid:durableId="1422484198">
    <w:abstractNumId w:val="24"/>
  </w:num>
  <w:num w:numId="12" w16cid:durableId="552929862">
    <w:abstractNumId w:val="25"/>
  </w:num>
  <w:num w:numId="13" w16cid:durableId="587203086">
    <w:abstractNumId w:val="31"/>
  </w:num>
  <w:num w:numId="14" w16cid:durableId="389156196">
    <w:abstractNumId w:val="20"/>
  </w:num>
  <w:num w:numId="15" w16cid:durableId="1393503788">
    <w:abstractNumId w:val="6"/>
  </w:num>
  <w:num w:numId="16" w16cid:durableId="1579359955">
    <w:abstractNumId w:val="18"/>
  </w:num>
  <w:num w:numId="17" w16cid:durableId="806699681">
    <w:abstractNumId w:val="19"/>
  </w:num>
  <w:num w:numId="18" w16cid:durableId="1314750107">
    <w:abstractNumId w:val="16"/>
  </w:num>
  <w:num w:numId="19" w16cid:durableId="1766919701">
    <w:abstractNumId w:val="23"/>
  </w:num>
  <w:num w:numId="20" w16cid:durableId="1957908719">
    <w:abstractNumId w:val="12"/>
  </w:num>
  <w:num w:numId="21" w16cid:durableId="1132019979">
    <w:abstractNumId w:val="5"/>
  </w:num>
  <w:num w:numId="22" w16cid:durableId="1457524365">
    <w:abstractNumId w:val="8"/>
  </w:num>
  <w:num w:numId="23" w16cid:durableId="1386294306">
    <w:abstractNumId w:val="33"/>
  </w:num>
  <w:num w:numId="24" w16cid:durableId="1838374920">
    <w:abstractNumId w:val="27"/>
  </w:num>
  <w:num w:numId="25" w16cid:durableId="1827044992">
    <w:abstractNumId w:val="10"/>
  </w:num>
  <w:num w:numId="26" w16cid:durableId="895820667">
    <w:abstractNumId w:val="22"/>
  </w:num>
  <w:num w:numId="27" w16cid:durableId="817497522">
    <w:abstractNumId w:val="35"/>
  </w:num>
  <w:num w:numId="28" w16cid:durableId="725690465">
    <w:abstractNumId w:val="1"/>
  </w:num>
  <w:num w:numId="29" w16cid:durableId="1814372142">
    <w:abstractNumId w:val="29"/>
  </w:num>
  <w:num w:numId="30" w16cid:durableId="258563261">
    <w:abstractNumId w:val="32"/>
  </w:num>
  <w:num w:numId="31" w16cid:durableId="1306274523">
    <w:abstractNumId w:val="34"/>
  </w:num>
  <w:num w:numId="32" w16cid:durableId="1396465663">
    <w:abstractNumId w:val="7"/>
  </w:num>
  <w:num w:numId="33" w16cid:durableId="1424448691">
    <w:abstractNumId w:val="28"/>
  </w:num>
  <w:num w:numId="34" w16cid:durableId="333069979">
    <w:abstractNumId w:val="36"/>
  </w:num>
  <w:num w:numId="35" w16cid:durableId="507525719">
    <w:abstractNumId w:val="11"/>
  </w:num>
  <w:num w:numId="36" w16cid:durableId="1639413863">
    <w:abstractNumId w:val="0"/>
  </w:num>
  <w:num w:numId="37" w16cid:durableId="1588802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19E"/>
    <w:rsid w:val="00005B24"/>
    <w:rsid w:val="0001715D"/>
    <w:rsid w:val="00021572"/>
    <w:rsid w:val="00022C42"/>
    <w:rsid w:val="00027B15"/>
    <w:rsid w:val="00030A05"/>
    <w:rsid w:val="00037C65"/>
    <w:rsid w:val="00070818"/>
    <w:rsid w:val="0008238F"/>
    <w:rsid w:val="00082EC6"/>
    <w:rsid w:val="00085388"/>
    <w:rsid w:val="000B4E98"/>
    <w:rsid w:val="000B6F7D"/>
    <w:rsid w:val="000D41DC"/>
    <w:rsid w:val="00107054"/>
    <w:rsid w:val="00125D37"/>
    <w:rsid w:val="00127C1A"/>
    <w:rsid w:val="00150D81"/>
    <w:rsid w:val="00166CEB"/>
    <w:rsid w:val="00173572"/>
    <w:rsid w:val="00183CB9"/>
    <w:rsid w:val="00184A9A"/>
    <w:rsid w:val="001947DF"/>
    <w:rsid w:val="001B22BB"/>
    <w:rsid w:val="001B619C"/>
    <w:rsid w:val="001C4465"/>
    <w:rsid w:val="001D1D3C"/>
    <w:rsid w:val="00211E78"/>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354FB"/>
    <w:rsid w:val="004466C3"/>
    <w:rsid w:val="00446F54"/>
    <w:rsid w:val="00452696"/>
    <w:rsid w:val="004552CE"/>
    <w:rsid w:val="00474787"/>
    <w:rsid w:val="00481FF7"/>
    <w:rsid w:val="004A28FE"/>
    <w:rsid w:val="00500295"/>
    <w:rsid w:val="00501AAF"/>
    <w:rsid w:val="00507AF5"/>
    <w:rsid w:val="00527AFA"/>
    <w:rsid w:val="005419DA"/>
    <w:rsid w:val="0056355D"/>
    <w:rsid w:val="005678AC"/>
    <w:rsid w:val="005679BD"/>
    <w:rsid w:val="005709B1"/>
    <w:rsid w:val="00572B3B"/>
    <w:rsid w:val="0057452A"/>
    <w:rsid w:val="005836D2"/>
    <w:rsid w:val="00587C58"/>
    <w:rsid w:val="005A7FD4"/>
    <w:rsid w:val="005B1A84"/>
    <w:rsid w:val="005B41C8"/>
    <w:rsid w:val="005C57E0"/>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915BA"/>
    <w:rsid w:val="006A5CFC"/>
    <w:rsid w:val="006C5138"/>
    <w:rsid w:val="006C689B"/>
    <w:rsid w:val="006E005C"/>
    <w:rsid w:val="006E6EE5"/>
    <w:rsid w:val="006F0029"/>
    <w:rsid w:val="007138EF"/>
    <w:rsid w:val="007632A9"/>
    <w:rsid w:val="0076418D"/>
    <w:rsid w:val="007703E0"/>
    <w:rsid w:val="00774092"/>
    <w:rsid w:val="00782830"/>
    <w:rsid w:val="0078664A"/>
    <w:rsid w:val="00795BED"/>
    <w:rsid w:val="00795F2E"/>
    <w:rsid w:val="007B0F6D"/>
    <w:rsid w:val="007C62C3"/>
    <w:rsid w:val="007D25AA"/>
    <w:rsid w:val="007D79F0"/>
    <w:rsid w:val="007F0873"/>
    <w:rsid w:val="00805726"/>
    <w:rsid w:val="00815117"/>
    <w:rsid w:val="00817EA2"/>
    <w:rsid w:val="00824CB1"/>
    <w:rsid w:val="008520F8"/>
    <w:rsid w:val="00855F34"/>
    <w:rsid w:val="008826B6"/>
    <w:rsid w:val="00892226"/>
    <w:rsid w:val="008B0B22"/>
    <w:rsid w:val="008C268A"/>
    <w:rsid w:val="008C58B0"/>
    <w:rsid w:val="008C591B"/>
    <w:rsid w:val="008C6182"/>
    <w:rsid w:val="008D3323"/>
    <w:rsid w:val="0090779E"/>
    <w:rsid w:val="00926458"/>
    <w:rsid w:val="00933720"/>
    <w:rsid w:val="009C5490"/>
    <w:rsid w:val="009C7E52"/>
    <w:rsid w:val="009E3D07"/>
    <w:rsid w:val="009E4934"/>
    <w:rsid w:val="009F40A7"/>
    <w:rsid w:val="009F480F"/>
    <w:rsid w:val="009F5CE6"/>
    <w:rsid w:val="00A035CD"/>
    <w:rsid w:val="00A27D51"/>
    <w:rsid w:val="00A50E80"/>
    <w:rsid w:val="00A513B0"/>
    <w:rsid w:val="00A63F7F"/>
    <w:rsid w:val="00A667CE"/>
    <w:rsid w:val="00A75042"/>
    <w:rsid w:val="00A774BC"/>
    <w:rsid w:val="00A82678"/>
    <w:rsid w:val="00A946CB"/>
    <w:rsid w:val="00AA77C8"/>
    <w:rsid w:val="00AC7BE2"/>
    <w:rsid w:val="00AE35BF"/>
    <w:rsid w:val="00AF2A7E"/>
    <w:rsid w:val="00B1067E"/>
    <w:rsid w:val="00B53009"/>
    <w:rsid w:val="00B81790"/>
    <w:rsid w:val="00B81BBC"/>
    <w:rsid w:val="00BA32D1"/>
    <w:rsid w:val="00BD03D5"/>
    <w:rsid w:val="00BD07F9"/>
    <w:rsid w:val="00C26F1F"/>
    <w:rsid w:val="00C3215E"/>
    <w:rsid w:val="00C45272"/>
    <w:rsid w:val="00C47770"/>
    <w:rsid w:val="00C74002"/>
    <w:rsid w:val="00C75856"/>
    <w:rsid w:val="00C85A7C"/>
    <w:rsid w:val="00C95214"/>
    <w:rsid w:val="00CA61A2"/>
    <w:rsid w:val="00CC3F59"/>
    <w:rsid w:val="00CD4774"/>
    <w:rsid w:val="00CE1732"/>
    <w:rsid w:val="00D10AAF"/>
    <w:rsid w:val="00D27540"/>
    <w:rsid w:val="00D4006B"/>
    <w:rsid w:val="00D40D7A"/>
    <w:rsid w:val="00D64A0D"/>
    <w:rsid w:val="00D676C3"/>
    <w:rsid w:val="00D750B4"/>
    <w:rsid w:val="00D81C18"/>
    <w:rsid w:val="00D8461A"/>
    <w:rsid w:val="00D8663B"/>
    <w:rsid w:val="00D95CAF"/>
    <w:rsid w:val="00DB0679"/>
    <w:rsid w:val="00DB60B6"/>
    <w:rsid w:val="00DC1CC6"/>
    <w:rsid w:val="00DD5135"/>
    <w:rsid w:val="00E067A8"/>
    <w:rsid w:val="00E13924"/>
    <w:rsid w:val="00E15FD5"/>
    <w:rsid w:val="00E1725A"/>
    <w:rsid w:val="00E30C3D"/>
    <w:rsid w:val="00E33758"/>
    <w:rsid w:val="00E53E5E"/>
    <w:rsid w:val="00E64325"/>
    <w:rsid w:val="00E673C5"/>
    <w:rsid w:val="00E67967"/>
    <w:rsid w:val="00E82723"/>
    <w:rsid w:val="00E94B4E"/>
    <w:rsid w:val="00EA29A5"/>
    <w:rsid w:val="00EB0DC4"/>
    <w:rsid w:val="00EB3341"/>
    <w:rsid w:val="00EB3A15"/>
    <w:rsid w:val="00EC107C"/>
    <w:rsid w:val="00EC7EBE"/>
    <w:rsid w:val="00EC7FD2"/>
    <w:rsid w:val="00ED5964"/>
    <w:rsid w:val="00F1720B"/>
    <w:rsid w:val="00F36ADC"/>
    <w:rsid w:val="00F605C6"/>
    <w:rsid w:val="00F62DEF"/>
    <w:rsid w:val="00F6785B"/>
    <w:rsid w:val="00F9012D"/>
    <w:rsid w:val="00F915D6"/>
    <w:rsid w:val="00FA580F"/>
    <w:rsid w:val="00FB47F0"/>
    <w:rsid w:val="00FC1A8B"/>
    <w:rsid w:val="00FD6C1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55D"/>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B3A15"/>
    <w:rPr>
      <w:color w:val="605E5C"/>
      <w:shd w:val="clear" w:color="auto" w:fill="E1DFDD"/>
    </w:rPr>
  </w:style>
  <w:style w:type="character" w:styleId="FollowedHyperlink">
    <w:name w:val="FollowedHyperlink"/>
    <w:basedOn w:val="DefaultParagraphFont"/>
    <w:uiPriority w:val="99"/>
    <w:semiHidden/>
    <w:unhideWhenUsed/>
    <w:rsid w:val="00EB3A15"/>
    <w:rPr>
      <w:color w:val="954F72" w:themeColor="followedHyperlink"/>
      <w:u w:val="single"/>
    </w:rPr>
  </w:style>
  <w:style w:type="character" w:customStyle="1" w:styleId="whitespace-normal">
    <w:name w:val="whitespace-normal"/>
    <w:basedOn w:val="DefaultParagraphFont"/>
    <w:rsid w:val="004A2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zint.org/resource/world-alzheimer-report-201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dement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9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ubmed.ncbi.nlm.nih.gov/24854147/" TargetMode="External"/><Relationship Id="rId4" Type="http://schemas.openxmlformats.org/officeDocument/2006/relationships/settings" Target="settings.xml"/><Relationship Id="rId9" Type="http://schemas.openxmlformats.org/officeDocument/2006/relationships/hyperlink" Target="https://www.bmj.com/content/338/bmj.b75" TargetMode="External"/><Relationship Id="rId14"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Oxana</cp:lastModifiedBy>
  <cp:revision>12</cp:revision>
  <dcterms:created xsi:type="dcterms:W3CDTF">2026-04-17T09:47:00Z</dcterms:created>
  <dcterms:modified xsi:type="dcterms:W3CDTF">2026-04-20T13:13:00Z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