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559FA49B" w14:textId="77777777" w:rsidR="004631A4" w:rsidRPr="004631A4" w:rsidRDefault="00715990" w:rsidP="004631A4">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4631A4" w:rsidRPr="004631A4">
        <w:rPr>
          <w:rFonts w:ascii="Aptos" w:hAnsi="Aptos" w:cs="Arial"/>
          <w:b/>
          <w:bCs/>
          <w:sz w:val="28"/>
          <w:szCs w:val="28"/>
          <w:lang w:val="en-US"/>
        </w:rPr>
        <w:t>2309243</w:t>
      </w:r>
    </w:p>
    <w:p w14:paraId="01D5D8DB" w14:textId="03ED09ED" w:rsidR="00FF5B70" w:rsidRPr="003A2FDF" w:rsidRDefault="00FF5B70" w:rsidP="00041A5A">
      <w:pPr>
        <w:spacing w:line="360" w:lineRule="auto"/>
        <w:rPr>
          <w:rFonts w:ascii="Aptos" w:hAnsi="Aptos" w:cs="Arial"/>
          <w:sz w:val="28"/>
          <w:szCs w:val="28"/>
        </w:rPr>
      </w:pPr>
    </w:p>
    <w:p w14:paraId="7B4B148B" w14:textId="75532227"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4631A4">
        <w:rPr>
          <w:rFonts w:ascii="Aptos" w:hAnsi="Aptos" w:cs="Arial"/>
          <w:sz w:val="28"/>
          <w:szCs w:val="28"/>
        </w:rPr>
        <w:t>Shaukat Sultan</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3FA12BAD" w14:textId="058CE585" w:rsidR="00A332BB" w:rsidRPr="003A27C5" w:rsidRDefault="00FB4301" w:rsidP="003A27C5">
      <w:pPr>
        <w:pStyle w:val="Heading1"/>
      </w:pPr>
      <w:r w:rsidRPr="003A27C5">
        <w:lastRenderedPageBreak/>
        <w:t>Element 1 -</w:t>
      </w:r>
      <w:r w:rsidR="00866B7B" w:rsidRPr="003A27C5">
        <w:t xml:space="preserve"> Project</w:t>
      </w:r>
      <w:r w:rsidR="00545684" w:rsidRPr="003A27C5">
        <w:t xml:space="preserve"> </w:t>
      </w:r>
      <w:r w:rsidR="000B7CD5" w:rsidRPr="003A27C5">
        <w:t>P</w:t>
      </w:r>
      <w:r w:rsidR="00545684" w:rsidRPr="003A27C5">
        <w:t>roposal</w:t>
      </w:r>
    </w:p>
    <w:p w14:paraId="5B65B63E" w14:textId="6EA5EC09" w:rsidR="003A27C5" w:rsidRPr="003A27C5" w:rsidRDefault="003A27C5" w:rsidP="003A27C5">
      <w:pPr>
        <w:spacing w:line="360" w:lineRule="auto"/>
        <w:rPr>
          <w:rFonts w:ascii="Aptos" w:hAnsi="Aptos" w:cs="Arial"/>
        </w:rPr>
      </w:pPr>
      <w:r w:rsidRPr="003A27C5">
        <w:rPr>
          <w:rFonts w:ascii="Aptos" w:hAnsi="Aptos" w:cs="Arial"/>
        </w:rPr>
        <w:t>Project Title</w:t>
      </w:r>
    </w:p>
    <w:p w14:paraId="29DCF93B" w14:textId="6FA7EA3C" w:rsidR="003A27C5" w:rsidRDefault="003A27C5" w:rsidP="003A27C5">
      <w:pPr>
        <w:spacing w:line="360" w:lineRule="auto"/>
        <w:rPr>
          <w:rFonts w:ascii="Aptos" w:hAnsi="Aptos" w:cs="Arial"/>
        </w:rPr>
      </w:pPr>
      <w:r w:rsidRPr="003A27C5">
        <w:rPr>
          <w:rFonts w:ascii="Aptos" w:hAnsi="Aptos" w:cs="Arial"/>
        </w:rPr>
        <w:t>Burnout Among UK Healthcare Professionals: A Critical Evaluation of Its Impact on Patient Safety, Workforce Retention and NHS System Sustainability</w:t>
      </w:r>
    </w:p>
    <w:p w14:paraId="17D1EBFF" w14:textId="77777777" w:rsidR="003A27C5" w:rsidRPr="003A27C5" w:rsidRDefault="003A27C5" w:rsidP="003A27C5">
      <w:pPr>
        <w:spacing w:line="360" w:lineRule="auto"/>
        <w:rPr>
          <w:rFonts w:ascii="Aptos" w:hAnsi="Aptos" w:cs="Arial"/>
        </w:rPr>
      </w:pPr>
    </w:p>
    <w:p w14:paraId="75AFE9C6" w14:textId="6B575433" w:rsidR="003A27C5" w:rsidRPr="003A27C5" w:rsidRDefault="003A27C5" w:rsidP="003A27C5">
      <w:pPr>
        <w:spacing w:line="360" w:lineRule="auto"/>
        <w:rPr>
          <w:rFonts w:ascii="Aptos" w:hAnsi="Aptos" w:cs="Arial"/>
        </w:rPr>
      </w:pPr>
      <w:r w:rsidRPr="003A27C5">
        <w:rPr>
          <w:rFonts w:ascii="Aptos" w:hAnsi="Aptos" w:cs="Arial"/>
        </w:rPr>
        <w:t xml:space="preserve">Aim </w:t>
      </w:r>
    </w:p>
    <w:p w14:paraId="78A84597" w14:textId="77777777" w:rsidR="003A27C5" w:rsidRPr="003A27C5" w:rsidRDefault="003A27C5" w:rsidP="003A27C5">
      <w:pPr>
        <w:spacing w:line="360" w:lineRule="auto"/>
        <w:rPr>
          <w:rFonts w:ascii="Aptos" w:hAnsi="Aptos" w:cs="Arial"/>
        </w:rPr>
      </w:pPr>
      <w:r w:rsidRPr="003A27C5">
        <w:rPr>
          <w:rFonts w:ascii="Aptos" w:hAnsi="Aptos" w:cs="Arial"/>
        </w:rPr>
        <w:t>To critically evaluate burnout among UK healthcare professionals as a systemic occupational phenomenon, examining its prevalence, structural determinants and consequences for patient safety and workforce retention, and to formulate evidence-informed recommendations that address both organisational culture and national workforce policy within the NHS.</w:t>
      </w:r>
    </w:p>
    <w:p w14:paraId="42BBF643" w14:textId="77777777" w:rsidR="003A27C5" w:rsidRDefault="003A27C5" w:rsidP="003A27C5">
      <w:pPr>
        <w:spacing w:line="360" w:lineRule="auto"/>
        <w:rPr>
          <w:rFonts w:ascii="Aptos" w:hAnsi="Aptos" w:cs="Arial"/>
        </w:rPr>
      </w:pPr>
    </w:p>
    <w:p w14:paraId="1A406BCD" w14:textId="3FE33E48" w:rsidR="003A27C5" w:rsidRPr="003A27C5" w:rsidRDefault="003A27C5" w:rsidP="003A27C5">
      <w:pPr>
        <w:spacing w:line="360" w:lineRule="auto"/>
        <w:rPr>
          <w:rFonts w:ascii="Aptos" w:hAnsi="Aptos" w:cs="Arial"/>
        </w:rPr>
      </w:pPr>
      <w:r w:rsidRPr="003A27C5">
        <w:rPr>
          <w:rFonts w:ascii="Aptos" w:hAnsi="Aptos" w:cs="Arial"/>
        </w:rPr>
        <w:t>Objectives</w:t>
      </w:r>
    </w:p>
    <w:p w14:paraId="43814F50" w14:textId="23CAAF00" w:rsidR="003A27C5" w:rsidRPr="003A27C5" w:rsidRDefault="003A27C5" w:rsidP="003A27C5">
      <w:pPr>
        <w:spacing w:line="360" w:lineRule="auto"/>
        <w:rPr>
          <w:rFonts w:ascii="Aptos" w:hAnsi="Aptos" w:cs="Arial"/>
        </w:rPr>
      </w:pPr>
      <w:r w:rsidRPr="003A27C5">
        <w:rPr>
          <w:rFonts w:ascii="Aptos" w:hAnsi="Aptos" w:cs="Arial"/>
        </w:rPr>
        <w:t>Define and critically examine theoretical frameworks underpinning burnout, including the Maslach Burnout Inventory model, the Job Demands</w:t>
      </w:r>
      <w:r>
        <w:rPr>
          <w:rFonts w:ascii="Aptos" w:hAnsi="Aptos" w:cs="Arial"/>
        </w:rPr>
        <w:t xml:space="preserve"> </w:t>
      </w:r>
      <w:r w:rsidRPr="003A27C5">
        <w:rPr>
          <w:rFonts w:ascii="Aptos" w:hAnsi="Aptos" w:cs="Arial"/>
        </w:rPr>
        <w:t>Resources (JD-R) model, and contemporary critiques of individualised resilience narratives.</w:t>
      </w:r>
      <w:r>
        <w:rPr>
          <w:rFonts w:ascii="Aptos" w:hAnsi="Aptos" w:cs="Arial"/>
        </w:rPr>
        <w:t xml:space="preserve"> </w:t>
      </w:r>
      <w:r w:rsidRPr="003A27C5">
        <w:rPr>
          <w:rFonts w:ascii="Aptos" w:hAnsi="Aptos" w:cs="Arial"/>
        </w:rPr>
        <w:t xml:space="preserve">Analyse current UK empirical evidence regarding prevalence, occupational determinants and post-pandemic trends across medical, nursing and allied health </w:t>
      </w:r>
      <w:r w:rsidRPr="003A27C5">
        <w:rPr>
          <w:rFonts w:ascii="Aptos" w:hAnsi="Aptos" w:cs="Arial"/>
        </w:rPr>
        <w:t>professions. Evaluate</w:t>
      </w:r>
      <w:r w:rsidRPr="003A27C5">
        <w:rPr>
          <w:rFonts w:ascii="Aptos" w:hAnsi="Aptos" w:cs="Arial"/>
        </w:rPr>
        <w:t xml:space="preserve"> the relationship between burnout, patient safety outcomes and workforce retention, considering the strength and limitations of existing evidence.</w:t>
      </w:r>
      <w:r>
        <w:rPr>
          <w:rFonts w:ascii="Aptos" w:hAnsi="Aptos" w:cs="Arial"/>
        </w:rPr>
        <w:t xml:space="preserve"> </w:t>
      </w:r>
      <w:r w:rsidRPr="003A27C5">
        <w:rPr>
          <w:rFonts w:ascii="Aptos" w:hAnsi="Aptos" w:cs="Arial"/>
        </w:rPr>
        <w:t xml:space="preserve">Provide </w:t>
      </w:r>
      <w:proofErr w:type="gramStart"/>
      <w:r w:rsidRPr="003A27C5">
        <w:rPr>
          <w:rFonts w:ascii="Aptos" w:hAnsi="Aptos" w:cs="Arial"/>
        </w:rPr>
        <w:t>evidence</w:t>
      </w:r>
      <w:r>
        <w:rPr>
          <w:rFonts w:ascii="Aptos" w:hAnsi="Aptos" w:cs="Arial"/>
        </w:rPr>
        <w:t xml:space="preserve"> </w:t>
      </w:r>
      <w:r w:rsidRPr="003A27C5">
        <w:rPr>
          <w:rFonts w:ascii="Aptos" w:hAnsi="Aptos" w:cs="Arial"/>
        </w:rPr>
        <w:t>based</w:t>
      </w:r>
      <w:proofErr w:type="gramEnd"/>
      <w:r w:rsidRPr="003A27C5">
        <w:rPr>
          <w:rFonts w:ascii="Aptos" w:hAnsi="Aptos" w:cs="Arial"/>
        </w:rPr>
        <w:t xml:space="preserve"> recommendations addressing systemic, organisational and leadership</w:t>
      </w:r>
      <w:r>
        <w:rPr>
          <w:rFonts w:ascii="Aptos" w:hAnsi="Aptos" w:cs="Arial"/>
        </w:rPr>
        <w:t xml:space="preserve"> </w:t>
      </w:r>
      <w:r w:rsidRPr="003A27C5">
        <w:rPr>
          <w:rFonts w:ascii="Aptos" w:hAnsi="Aptos" w:cs="Arial"/>
        </w:rPr>
        <w:t>level interventions to mitigate burnout and enhance workforce sustainability.</w:t>
      </w:r>
    </w:p>
    <w:p w14:paraId="52CC8541" w14:textId="77777777" w:rsidR="003A27C5" w:rsidRPr="003A27C5" w:rsidRDefault="003A27C5" w:rsidP="003A27C5">
      <w:pPr>
        <w:spacing w:line="360" w:lineRule="auto"/>
        <w:rPr>
          <w:rFonts w:ascii="Aptos" w:hAnsi="Aptos" w:cs="Arial"/>
        </w:rPr>
      </w:pPr>
    </w:p>
    <w:p w14:paraId="0B87B907" w14:textId="07D1EA68" w:rsidR="003A27C5" w:rsidRPr="003A27C5" w:rsidRDefault="003A27C5" w:rsidP="003A27C5">
      <w:pPr>
        <w:spacing w:line="360" w:lineRule="auto"/>
        <w:rPr>
          <w:rFonts w:ascii="Aptos" w:hAnsi="Aptos" w:cs="Arial"/>
        </w:rPr>
      </w:pPr>
      <w:r w:rsidRPr="003A27C5">
        <w:rPr>
          <w:rFonts w:ascii="Aptos" w:hAnsi="Aptos" w:cs="Arial"/>
        </w:rPr>
        <w:t xml:space="preserve">Background / Rationale </w:t>
      </w:r>
    </w:p>
    <w:p w14:paraId="4238AC69" w14:textId="1B1A4B2F" w:rsidR="003A27C5" w:rsidRPr="003A27C5" w:rsidRDefault="003A27C5" w:rsidP="003A27C5">
      <w:pPr>
        <w:spacing w:line="360" w:lineRule="auto"/>
        <w:rPr>
          <w:rFonts w:ascii="Aptos" w:hAnsi="Aptos" w:cs="Arial"/>
        </w:rPr>
      </w:pPr>
      <w:r w:rsidRPr="003A27C5">
        <w:rPr>
          <w:rFonts w:ascii="Aptos" w:hAnsi="Aptos" w:cs="Arial"/>
        </w:rPr>
        <w:t xml:space="preserve">Burnout, first conceptualised by Maslach and Jackson (1981), is characterised by emotional exhaustion, depersonalisation and diminished personal accomplishment. While traditionally framed as an individual psychological response to stress, contemporary scholarship increasingly situates burnout within structural and organisational determinants, including </w:t>
      </w:r>
      <w:r w:rsidRPr="003A27C5">
        <w:rPr>
          <w:rFonts w:ascii="Aptos" w:hAnsi="Aptos" w:cs="Arial"/>
        </w:rPr>
        <w:lastRenderedPageBreak/>
        <w:t>excessive workload, moral injury, staffing shortages and inadequate leadership (West et al., 2018).</w:t>
      </w:r>
    </w:p>
    <w:p w14:paraId="76404F03" w14:textId="0495F3B1" w:rsidR="003A27C5" w:rsidRPr="003A27C5" w:rsidRDefault="003A27C5" w:rsidP="003A27C5">
      <w:pPr>
        <w:spacing w:line="360" w:lineRule="auto"/>
        <w:rPr>
          <w:rFonts w:ascii="Aptos" w:hAnsi="Aptos" w:cs="Arial"/>
        </w:rPr>
      </w:pPr>
      <w:r w:rsidRPr="003A27C5">
        <w:rPr>
          <w:rFonts w:ascii="Aptos" w:hAnsi="Aptos" w:cs="Arial"/>
        </w:rPr>
        <w:t xml:space="preserve">Within the National Health Service, workforce pressures have intensified significantly, exacerbated by the COVID-19 pandemic, rising patient acuity and persistent recruitment challenges. The General Medical Council (2022) reports that a substantial proportion of doctors are at high risk of burnout, with many expressing intentions to reduce hours or leave practice. Empirical evidence links clinician burnout to increased medical errors, reduced patient satisfaction and compromised safety culture (Hall et al., 2016; </w:t>
      </w:r>
      <w:proofErr w:type="spellStart"/>
      <w:r w:rsidRPr="003A27C5">
        <w:rPr>
          <w:rFonts w:ascii="Aptos" w:hAnsi="Aptos" w:cs="Arial"/>
        </w:rPr>
        <w:t>Panagioti</w:t>
      </w:r>
      <w:proofErr w:type="spellEnd"/>
      <w:r w:rsidRPr="003A27C5">
        <w:rPr>
          <w:rFonts w:ascii="Aptos" w:hAnsi="Aptos" w:cs="Arial"/>
        </w:rPr>
        <w:t xml:space="preserve"> et al., 2018).</w:t>
      </w:r>
      <w:r w:rsidR="003C30EA">
        <w:rPr>
          <w:rFonts w:ascii="Aptos" w:hAnsi="Aptos" w:cs="Arial"/>
        </w:rPr>
        <w:t xml:space="preserve"> </w:t>
      </w:r>
      <w:r w:rsidRPr="003A27C5">
        <w:rPr>
          <w:rFonts w:ascii="Aptos" w:hAnsi="Aptos" w:cs="Arial"/>
        </w:rPr>
        <w:t>However, policy responses frequently emphasise individual resilience training rather than systemic reform. This reflects a critical tension between personal coping strategies and organisational accountability. Addressing burnout as a structural workforce crisis rather than an individual failing is essential to safeguarding patient care and ensuring long-term NHS sustainability.</w:t>
      </w:r>
    </w:p>
    <w:p w14:paraId="64BF4189" w14:textId="77777777" w:rsidR="003C30EA" w:rsidRDefault="003C30EA" w:rsidP="003A27C5">
      <w:pPr>
        <w:spacing w:line="360" w:lineRule="auto"/>
        <w:rPr>
          <w:rFonts w:ascii="Aptos" w:hAnsi="Aptos" w:cs="Arial"/>
        </w:rPr>
      </w:pPr>
    </w:p>
    <w:p w14:paraId="459293DA" w14:textId="25D875E7" w:rsidR="003A27C5" w:rsidRPr="003A27C5" w:rsidRDefault="003A27C5" w:rsidP="003A27C5">
      <w:pPr>
        <w:spacing w:line="360" w:lineRule="auto"/>
        <w:rPr>
          <w:rFonts w:ascii="Aptos" w:hAnsi="Aptos" w:cs="Arial"/>
        </w:rPr>
      </w:pPr>
      <w:r w:rsidRPr="003A27C5">
        <w:rPr>
          <w:rFonts w:ascii="Aptos" w:hAnsi="Aptos" w:cs="Arial"/>
        </w:rPr>
        <w:t>Methods</w:t>
      </w:r>
    </w:p>
    <w:p w14:paraId="01B4F153" w14:textId="4F298091" w:rsidR="003A27C5" w:rsidRPr="003A27C5" w:rsidRDefault="003A27C5" w:rsidP="003A27C5">
      <w:pPr>
        <w:spacing w:line="360" w:lineRule="auto"/>
        <w:rPr>
          <w:rFonts w:ascii="Aptos" w:hAnsi="Aptos" w:cs="Arial"/>
        </w:rPr>
      </w:pPr>
      <w:r w:rsidRPr="003A27C5">
        <w:rPr>
          <w:rFonts w:ascii="Aptos" w:hAnsi="Aptos" w:cs="Arial"/>
        </w:rPr>
        <w:t>This project will utilise a structured secondary research methodology. Peer-reviewed literature will be sourced from PubMed, PsycINFO and CINAHL, alongside UK workforce reports and policy documents published within the last decade. Inclusion criteria will prioritise systematic reviews, meta-analyses, large-scale cohort studies and UK-specific workforce data.</w:t>
      </w:r>
      <w:r w:rsidR="003C30EA">
        <w:rPr>
          <w:rFonts w:ascii="Aptos" w:hAnsi="Aptos" w:cs="Arial"/>
        </w:rPr>
        <w:t xml:space="preserve"> </w:t>
      </w:r>
      <w:r w:rsidRPr="003A27C5">
        <w:rPr>
          <w:rFonts w:ascii="Aptos" w:hAnsi="Aptos" w:cs="Arial"/>
        </w:rPr>
        <w:t>A thematic synthesis approach (Braun and Clarke, 2006) will be undertaken to identify key themes relating to determinants, patient safety implications and retention outcomes. Evidence will be critically appraised using methodological quality indicators, including study design, sample representativeness and bias assessment.</w:t>
      </w:r>
      <w:r w:rsidR="003C30EA">
        <w:rPr>
          <w:rFonts w:ascii="Aptos" w:hAnsi="Aptos" w:cs="Arial"/>
        </w:rPr>
        <w:t xml:space="preserve"> </w:t>
      </w:r>
      <w:r w:rsidRPr="003A27C5">
        <w:rPr>
          <w:rFonts w:ascii="Aptos" w:hAnsi="Aptos" w:cs="Arial"/>
        </w:rPr>
        <w:t>Contradictory findings will be analysed to ensure balanced conclusions, demonstrating independent judgement. Academic integrity will be upheld through rigorous Harvard referencing and transparent reporting of limitations.</w:t>
      </w:r>
    </w:p>
    <w:p w14:paraId="159AB31B" w14:textId="1424F22F" w:rsidR="003A27C5" w:rsidRDefault="003A27C5" w:rsidP="003A27C5">
      <w:pPr>
        <w:spacing w:line="360" w:lineRule="auto"/>
        <w:rPr>
          <w:rFonts w:ascii="Aptos" w:hAnsi="Aptos" w:cs="Arial"/>
        </w:rPr>
      </w:pPr>
    </w:p>
    <w:p w14:paraId="686BBD01" w14:textId="083EB798" w:rsidR="00BF431E" w:rsidRDefault="00BF431E" w:rsidP="003A27C5">
      <w:pPr>
        <w:spacing w:line="360" w:lineRule="auto"/>
        <w:rPr>
          <w:rFonts w:ascii="Aptos" w:hAnsi="Aptos" w:cs="Arial"/>
        </w:rPr>
      </w:pPr>
    </w:p>
    <w:p w14:paraId="6915E8BB" w14:textId="77777777" w:rsidR="00BF431E" w:rsidRPr="003A27C5" w:rsidRDefault="00BF431E" w:rsidP="003A27C5">
      <w:pPr>
        <w:spacing w:line="360" w:lineRule="auto"/>
        <w:rPr>
          <w:rFonts w:ascii="Aptos" w:hAnsi="Aptos" w:cs="Arial"/>
        </w:rPr>
      </w:pPr>
    </w:p>
    <w:p w14:paraId="24E2D5AE" w14:textId="60F7674F" w:rsidR="003A27C5" w:rsidRPr="003A27C5" w:rsidRDefault="003A27C5" w:rsidP="003A27C5">
      <w:pPr>
        <w:spacing w:line="360" w:lineRule="auto"/>
        <w:rPr>
          <w:rFonts w:ascii="Aptos" w:hAnsi="Aptos" w:cs="Arial"/>
        </w:rPr>
      </w:pPr>
      <w:r w:rsidRPr="003A27C5">
        <w:rPr>
          <w:rFonts w:ascii="Aptos" w:hAnsi="Aptos" w:cs="Arial"/>
        </w:rPr>
        <w:lastRenderedPageBreak/>
        <w:t xml:space="preserve">Resources </w:t>
      </w:r>
    </w:p>
    <w:p w14:paraId="167EE8A0" w14:textId="31F7589E" w:rsidR="003A27C5" w:rsidRPr="003C30EA" w:rsidRDefault="003A27C5" w:rsidP="003A27C5">
      <w:pPr>
        <w:pStyle w:val="ListParagraph"/>
        <w:numPr>
          <w:ilvl w:val="0"/>
          <w:numId w:val="8"/>
        </w:numPr>
        <w:spacing w:line="360" w:lineRule="auto"/>
        <w:rPr>
          <w:rFonts w:ascii="Aptos" w:hAnsi="Aptos" w:cs="Arial"/>
        </w:rPr>
      </w:pPr>
      <w:r w:rsidRPr="003C30EA">
        <w:rPr>
          <w:rFonts w:ascii="Aptos" w:hAnsi="Aptos" w:cs="Arial"/>
        </w:rPr>
        <w:t>PubMed, CINAHL, PsycINFO</w:t>
      </w:r>
    </w:p>
    <w:p w14:paraId="5AF1738C" w14:textId="3A738ED9" w:rsidR="003A27C5" w:rsidRPr="003C30EA" w:rsidRDefault="003A27C5" w:rsidP="003A27C5">
      <w:pPr>
        <w:pStyle w:val="ListParagraph"/>
        <w:numPr>
          <w:ilvl w:val="0"/>
          <w:numId w:val="8"/>
        </w:numPr>
        <w:spacing w:line="360" w:lineRule="auto"/>
        <w:rPr>
          <w:rFonts w:ascii="Aptos" w:hAnsi="Aptos" w:cs="Arial"/>
        </w:rPr>
      </w:pPr>
      <w:r w:rsidRPr="003C30EA">
        <w:rPr>
          <w:rFonts w:ascii="Aptos" w:hAnsi="Aptos" w:cs="Arial"/>
        </w:rPr>
        <w:t>NHS England workforce datasets</w:t>
      </w:r>
    </w:p>
    <w:p w14:paraId="76970354" w14:textId="02AA084D" w:rsidR="003A27C5" w:rsidRPr="003C30EA" w:rsidRDefault="003A27C5" w:rsidP="003A27C5">
      <w:pPr>
        <w:pStyle w:val="ListParagraph"/>
        <w:numPr>
          <w:ilvl w:val="0"/>
          <w:numId w:val="8"/>
        </w:numPr>
        <w:spacing w:line="360" w:lineRule="auto"/>
        <w:rPr>
          <w:rFonts w:ascii="Aptos" w:hAnsi="Aptos" w:cs="Arial"/>
        </w:rPr>
      </w:pPr>
      <w:r w:rsidRPr="003C30EA">
        <w:rPr>
          <w:rFonts w:ascii="Aptos" w:hAnsi="Aptos" w:cs="Arial"/>
        </w:rPr>
        <w:t>GMC annual workforce reports</w:t>
      </w:r>
    </w:p>
    <w:p w14:paraId="156C4A02" w14:textId="170CCBE9" w:rsidR="003A27C5" w:rsidRPr="00BF431E" w:rsidRDefault="003A27C5" w:rsidP="003A27C5">
      <w:pPr>
        <w:pStyle w:val="ListParagraph"/>
        <w:numPr>
          <w:ilvl w:val="0"/>
          <w:numId w:val="8"/>
        </w:numPr>
        <w:spacing w:line="360" w:lineRule="auto"/>
        <w:rPr>
          <w:rFonts w:ascii="Aptos" w:hAnsi="Aptos" w:cs="Arial"/>
        </w:rPr>
      </w:pPr>
      <w:r w:rsidRPr="003C30EA">
        <w:rPr>
          <w:rFonts w:ascii="Aptos" w:hAnsi="Aptos" w:cs="Arial"/>
        </w:rPr>
        <w:t>Zotero reference management software</w:t>
      </w:r>
    </w:p>
    <w:p w14:paraId="5A3BB69E" w14:textId="76A682FF" w:rsidR="003A27C5" w:rsidRPr="003A27C5" w:rsidRDefault="003A27C5" w:rsidP="003A27C5">
      <w:pPr>
        <w:spacing w:line="360" w:lineRule="auto"/>
        <w:rPr>
          <w:rFonts w:ascii="Aptos" w:hAnsi="Aptos" w:cs="Arial"/>
        </w:rPr>
      </w:pPr>
      <w:r w:rsidRPr="003A27C5">
        <w:rPr>
          <w:rFonts w:ascii="Aptos" w:hAnsi="Aptos" w:cs="Arial"/>
        </w:rPr>
        <w:t xml:space="preserve">Timescale </w:t>
      </w:r>
    </w:p>
    <w:p w14:paraId="3FD9B6C5" w14:textId="77777777" w:rsidR="003A27C5" w:rsidRPr="003C30EA" w:rsidRDefault="003A27C5" w:rsidP="003C30EA">
      <w:pPr>
        <w:pStyle w:val="ListParagraph"/>
        <w:numPr>
          <w:ilvl w:val="0"/>
          <w:numId w:val="9"/>
        </w:numPr>
        <w:spacing w:line="360" w:lineRule="auto"/>
        <w:rPr>
          <w:rFonts w:ascii="Aptos" w:hAnsi="Aptos" w:cs="Arial"/>
        </w:rPr>
      </w:pPr>
      <w:r w:rsidRPr="003C30EA">
        <w:rPr>
          <w:rFonts w:ascii="Aptos" w:hAnsi="Aptos" w:cs="Arial"/>
        </w:rPr>
        <w:t>Weeks 1–2: Comprehensive literature search and screening</w:t>
      </w:r>
    </w:p>
    <w:p w14:paraId="1E458892" w14:textId="77777777" w:rsidR="003A27C5" w:rsidRPr="003C30EA" w:rsidRDefault="003A27C5" w:rsidP="003C30EA">
      <w:pPr>
        <w:pStyle w:val="ListParagraph"/>
        <w:numPr>
          <w:ilvl w:val="0"/>
          <w:numId w:val="9"/>
        </w:numPr>
        <w:spacing w:line="360" w:lineRule="auto"/>
        <w:rPr>
          <w:rFonts w:ascii="Aptos" w:hAnsi="Aptos" w:cs="Arial"/>
        </w:rPr>
      </w:pPr>
      <w:r w:rsidRPr="003C30EA">
        <w:rPr>
          <w:rFonts w:ascii="Aptos" w:hAnsi="Aptos" w:cs="Arial"/>
        </w:rPr>
        <w:t>Weeks 3–4: Critical appraisal and thematic synthesis</w:t>
      </w:r>
    </w:p>
    <w:p w14:paraId="6C951D2E" w14:textId="77777777" w:rsidR="003A27C5" w:rsidRPr="003C30EA" w:rsidRDefault="003A27C5" w:rsidP="003C30EA">
      <w:pPr>
        <w:pStyle w:val="ListParagraph"/>
        <w:numPr>
          <w:ilvl w:val="0"/>
          <w:numId w:val="9"/>
        </w:numPr>
        <w:spacing w:line="360" w:lineRule="auto"/>
        <w:rPr>
          <w:rFonts w:ascii="Aptos" w:hAnsi="Aptos" w:cs="Arial"/>
        </w:rPr>
      </w:pPr>
      <w:r w:rsidRPr="003C30EA">
        <w:rPr>
          <w:rFonts w:ascii="Aptos" w:hAnsi="Aptos" w:cs="Arial"/>
        </w:rPr>
        <w:t>Week 5: Structured drafting</w:t>
      </w:r>
    </w:p>
    <w:p w14:paraId="2F8D6D3D" w14:textId="77777777" w:rsidR="003A27C5" w:rsidRPr="003C30EA" w:rsidRDefault="003A27C5" w:rsidP="003C30EA">
      <w:pPr>
        <w:pStyle w:val="ListParagraph"/>
        <w:numPr>
          <w:ilvl w:val="0"/>
          <w:numId w:val="9"/>
        </w:numPr>
        <w:spacing w:line="360" w:lineRule="auto"/>
        <w:rPr>
          <w:rFonts w:ascii="Aptos" w:hAnsi="Aptos" w:cs="Arial"/>
        </w:rPr>
      </w:pPr>
      <w:r w:rsidRPr="003C30EA">
        <w:rPr>
          <w:rFonts w:ascii="Aptos" w:hAnsi="Aptos" w:cs="Arial"/>
        </w:rPr>
        <w:t>Week 6: Refinement, referencing and submission</w:t>
      </w:r>
    </w:p>
    <w:p w14:paraId="5FA49CFE" w14:textId="77777777" w:rsidR="003A27C5" w:rsidRPr="003A27C5" w:rsidRDefault="003A27C5" w:rsidP="003A27C5">
      <w:pPr>
        <w:spacing w:line="360" w:lineRule="auto"/>
        <w:rPr>
          <w:rFonts w:ascii="Aptos" w:hAnsi="Aptos" w:cs="Arial"/>
        </w:rPr>
      </w:pPr>
    </w:p>
    <w:p w14:paraId="108B3321" w14:textId="4255CE58" w:rsidR="003A27C5" w:rsidRPr="003A27C5" w:rsidRDefault="003A27C5" w:rsidP="003A27C5">
      <w:pPr>
        <w:spacing w:line="360" w:lineRule="auto"/>
        <w:rPr>
          <w:rFonts w:ascii="Aptos" w:hAnsi="Aptos" w:cs="Arial"/>
        </w:rPr>
      </w:pPr>
      <w:proofErr w:type="spellStart"/>
      <w:r w:rsidRPr="003A27C5">
        <w:rPr>
          <w:rFonts w:ascii="Aptos" w:hAnsi="Aptos" w:cs="Arial"/>
        </w:rPr>
        <w:t>Self</w:t>
      </w:r>
      <w:r w:rsidR="00BF431E">
        <w:rPr>
          <w:rFonts w:ascii="Aptos" w:hAnsi="Aptos" w:cs="Arial"/>
        </w:rPr>
        <w:t xml:space="preserve"> </w:t>
      </w:r>
      <w:r w:rsidRPr="003A27C5">
        <w:rPr>
          <w:rFonts w:ascii="Aptos" w:hAnsi="Aptos" w:cs="Arial"/>
        </w:rPr>
        <w:t>Reflection</w:t>
      </w:r>
      <w:proofErr w:type="spellEnd"/>
      <w:r w:rsidRPr="003A27C5">
        <w:rPr>
          <w:rFonts w:ascii="Aptos" w:hAnsi="Aptos" w:cs="Arial"/>
        </w:rPr>
        <w:t xml:space="preserve"> as Researcher </w:t>
      </w:r>
    </w:p>
    <w:p w14:paraId="47353ED2" w14:textId="0A6AF371" w:rsidR="003A27C5" w:rsidRPr="003A27C5" w:rsidRDefault="003A27C5" w:rsidP="003A27C5">
      <w:pPr>
        <w:spacing w:line="360" w:lineRule="auto"/>
        <w:rPr>
          <w:rFonts w:ascii="Aptos" w:hAnsi="Aptos" w:cs="Arial"/>
        </w:rPr>
      </w:pPr>
      <w:r w:rsidRPr="003A27C5">
        <w:rPr>
          <w:rFonts w:ascii="Aptos" w:hAnsi="Aptos" w:cs="Arial"/>
        </w:rPr>
        <w:t xml:space="preserve">As a healthcare </w:t>
      </w:r>
      <w:r w:rsidR="003C30EA">
        <w:rPr>
          <w:rFonts w:ascii="Aptos" w:hAnsi="Aptos" w:cs="Arial"/>
        </w:rPr>
        <w:t>student</w:t>
      </w:r>
      <w:r w:rsidRPr="003A27C5">
        <w:rPr>
          <w:rFonts w:ascii="Aptos" w:hAnsi="Aptos" w:cs="Arial"/>
        </w:rPr>
        <w:t xml:space="preserve"> I bring contextual insight and strong critical appraisal skills. However, personal proximity to the topic necessitates conscious reflexivity to maintain analytical objectivity. I aim to strengthen advanced synthesis capabilities, deepen engagement with occupational health theory and further develop policy critique skills to ensure scholarly rigour and professional neutrality.</w:t>
      </w:r>
    </w:p>
    <w:p w14:paraId="60B7E337" w14:textId="61F555DF" w:rsidR="003A27C5" w:rsidRDefault="003A27C5" w:rsidP="003A27C5">
      <w:pPr>
        <w:spacing w:line="360" w:lineRule="auto"/>
        <w:rPr>
          <w:rFonts w:ascii="Aptos" w:hAnsi="Aptos" w:cs="Arial"/>
        </w:rPr>
      </w:pPr>
    </w:p>
    <w:p w14:paraId="1BEC36B6" w14:textId="4FFBB0C5" w:rsidR="003C30EA" w:rsidRDefault="003C30EA" w:rsidP="003A27C5">
      <w:pPr>
        <w:spacing w:line="360" w:lineRule="auto"/>
        <w:rPr>
          <w:rFonts w:ascii="Aptos" w:hAnsi="Aptos" w:cs="Arial"/>
        </w:rPr>
      </w:pPr>
    </w:p>
    <w:p w14:paraId="05B94871" w14:textId="301CC67B" w:rsidR="003C30EA" w:rsidRDefault="003C30EA" w:rsidP="003A27C5">
      <w:pPr>
        <w:spacing w:line="360" w:lineRule="auto"/>
        <w:rPr>
          <w:rFonts w:ascii="Aptos" w:hAnsi="Aptos" w:cs="Arial"/>
        </w:rPr>
      </w:pPr>
    </w:p>
    <w:p w14:paraId="5AF735B2" w14:textId="58D3E5C6" w:rsidR="003C30EA" w:rsidRDefault="003C30EA" w:rsidP="003A27C5">
      <w:pPr>
        <w:spacing w:line="360" w:lineRule="auto"/>
        <w:rPr>
          <w:rFonts w:ascii="Aptos" w:hAnsi="Aptos" w:cs="Arial"/>
        </w:rPr>
      </w:pPr>
    </w:p>
    <w:p w14:paraId="5422BD49" w14:textId="53C489FC" w:rsidR="003C30EA" w:rsidRDefault="003C30EA" w:rsidP="003A27C5">
      <w:pPr>
        <w:spacing w:line="360" w:lineRule="auto"/>
        <w:rPr>
          <w:rFonts w:ascii="Aptos" w:hAnsi="Aptos" w:cs="Arial"/>
        </w:rPr>
      </w:pPr>
    </w:p>
    <w:p w14:paraId="35EE7B0A" w14:textId="18F2F717" w:rsidR="003C30EA" w:rsidRDefault="003C30EA" w:rsidP="003A27C5">
      <w:pPr>
        <w:spacing w:line="360" w:lineRule="auto"/>
        <w:rPr>
          <w:rFonts w:ascii="Aptos" w:hAnsi="Aptos" w:cs="Arial"/>
        </w:rPr>
      </w:pPr>
    </w:p>
    <w:p w14:paraId="3BFDF9A2" w14:textId="195E923F" w:rsidR="003C30EA" w:rsidRDefault="003C30EA" w:rsidP="003A27C5">
      <w:pPr>
        <w:spacing w:line="360" w:lineRule="auto"/>
        <w:rPr>
          <w:rFonts w:ascii="Aptos" w:hAnsi="Aptos" w:cs="Arial"/>
        </w:rPr>
      </w:pPr>
    </w:p>
    <w:p w14:paraId="7CC8802B" w14:textId="32E9EF6D" w:rsidR="003C30EA" w:rsidRDefault="003C30EA" w:rsidP="003A27C5">
      <w:pPr>
        <w:spacing w:line="360" w:lineRule="auto"/>
        <w:rPr>
          <w:rFonts w:ascii="Aptos" w:hAnsi="Aptos" w:cs="Arial"/>
        </w:rPr>
      </w:pPr>
    </w:p>
    <w:p w14:paraId="53930189" w14:textId="77777777" w:rsidR="003C30EA" w:rsidRPr="003A27C5" w:rsidRDefault="003C30EA" w:rsidP="003A27C5">
      <w:pPr>
        <w:spacing w:line="360" w:lineRule="auto"/>
        <w:rPr>
          <w:rFonts w:ascii="Aptos" w:hAnsi="Aptos" w:cs="Arial"/>
        </w:rPr>
      </w:pPr>
    </w:p>
    <w:p w14:paraId="0994A886" w14:textId="4B761008" w:rsidR="003A27C5" w:rsidRPr="003A27C5" w:rsidRDefault="003A27C5" w:rsidP="003A27C5">
      <w:pPr>
        <w:spacing w:line="360" w:lineRule="auto"/>
        <w:rPr>
          <w:rFonts w:ascii="Aptos" w:hAnsi="Aptos" w:cs="Arial"/>
        </w:rPr>
      </w:pPr>
      <w:r w:rsidRPr="003A27C5">
        <w:rPr>
          <w:rFonts w:ascii="Aptos" w:hAnsi="Aptos" w:cs="Arial"/>
        </w:rPr>
        <w:lastRenderedPageBreak/>
        <w:t xml:space="preserve">Reference List </w:t>
      </w:r>
    </w:p>
    <w:p w14:paraId="2711D39B" w14:textId="2D5E19BF" w:rsidR="003A27C5" w:rsidRDefault="0036291C" w:rsidP="003A27C5">
      <w:pPr>
        <w:spacing w:line="360" w:lineRule="auto"/>
        <w:rPr>
          <w:rFonts w:ascii="Aptos" w:hAnsi="Aptos" w:cs="Arial"/>
        </w:rPr>
      </w:pPr>
      <w:r w:rsidRPr="0036291C">
        <w:rPr>
          <w:rFonts w:ascii="Aptos" w:hAnsi="Aptos" w:cs="Arial"/>
        </w:rPr>
        <w:t xml:space="preserve">Andersson, G., </w:t>
      </w:r>
      <w:proofErr w:type="spellStart"/>
      <w:r w:rsidRPr="0036291C">
        <w:rPr>
          <w:rFonts w:ascii="Aptos" w:hAnsi="Aptos" w:cs="Arial"/>
        </w:rPr>
        <w:t>Carlbring</w:t>
      </w:r>
      <w:proofErr w:type="spellEnd"/>
      <w:r w:rsidRPr="0036291C">
        <w:rPr>
          <w:rFonts w:ascii="Aptos" w:hAnsi="Aptos" w:cs="Arial"/>
        </w:rPr>
        <w:t xml:space="preserve">, P., </w:t>
      </w:r>
      <w:proofErr w:type="spellStart"/>
      <w:r w:rsidRPr="0036291C">
        <w:rPr>
          <w:rFonts w:ascii="Aptos" w:hAnsi="Aptos" w:cs="Arial"/>
        </w:rPr>
        <w:t>Titov</w:t>
      </w:r>
      <w:proofErr w:type="spellEnd"/>
      <w:r w:rsidRPr="0036291C">
        <w:rPr>
          <w:rFonts w:ascii="Aptos" w:hAnsi="Aptos" w:cs="Arial"/>
        </w:rPr>
        <w:t xml:space="preserve">, N. and </w:t>
      </w:r>
      <w:proofErr w:type="spellStart"/>
      <w:r w:rsidRPr="0036291C">
        <w:rPr>
          <w:rFonts w:ascii="Aptos" w:hAnsi="Aptos" w:cs="Arial"/>
        </w:rPr>
        <w:t>Lindefors</w:t>
      </w:r>
      <w:proofErr w:type="spellEnd"/>
      <w:r w:rsidRPr="0036291C">
        <w:rPr>
          <w:rFonts w:ascii="Aptos" w:hAnsi="Aptos" w:cs="Arial"/>
        </w:rPr>
        <w:t xml:space="preserve">, N. (2019) ‘Internet interventions for adults with anxiety and mood disorders: a narrative umbrella review’, </w:t>
      </w:r>
      <w:r w:rsidRPr="0036291C">
        <w:rPr>
          <w:rFonts w:ascii="Aptos" w:hAnsi="Aptos" w:cs="Arial"/>
          <w:i/>
          <w:iCs/>
        </w:rPr>
        <w:t>Canadian Journal of Psychiatry</w:t>
      </w:r>
      <w:r w:rsidRPr="0036291C">
        <w:rPr>
          <w:rFonts w:ascii="Aptos" w:hAnsi="Aptos" w:cs="Arial"/>
        </w:rPr>
        <w:t>, 64(7), pp. 465–470.</w:t>
      </w:r>
    </w:p>
    <w:p w14:paraId="5FA3F68B" w14:textId="77777777" w:rsidR="0036291C" w:rsidRPr="0036291C" w:rsidRDefault="0036291C" w:rsidP="0036291C">
      <w:pPr>
        <w:spacing w:line="360" w:lineRule="auto"/>
        <w:rPr>
          <w:rFonts w:ascii="Aptos" w:hAnsi="Aptos" w:cs="Arial"/>
        </w:rPr>
      </w:pPr>
      <w:r w:rsidRPr="0036291C">
        <w:rPr>
          <w:rFonts w:ascii="Aptos" w:hAnsi="Aptos" w:cs="Arial"/>
        </w:rPr>
        <w:t xml:space="preserve">Berger, T. (2017) ‘The therapeutic alliance in internet interventions: a narrative review’, </w:t>
      </w:r>
      <w:r w:rsidRPr="0036291C">
        <w:rPr>
          <w:rFonts w:ascii="Aptos" w:hAnsi="Aptos" w:cs="Arial"/>
          <w:i/>
          <w:iCs/>
        </w:rPr>
        <w:t>Internet Interventions</w:t>
      </w:r>
      <w:r w:rsidRPr="0036291C">
        <w:rPr>
          <w:rFonts w:ascii="Aptos" w:hAnsi="Aptos" w:cs="Arial"/>
        </w:rPr>
        <w:t>, 12, pp. 1–10.</w:t>
      </w:r>
    </w:p>
    <w:p w14:paraId="0E0E8F81" w14:textId="2572A62F" w:rsidR="0036291C" w:rsidRPr="003A27C5" w:rsidRDefault="0036291C" w:rsidP="003A27C5">
      <w:pPr>
        <w:spacing w:line="360" w:lineRule="auto"/>
        <w:rPr>
          <w:rFonts w:ascii="Aptos" w:hAnsi="Aptos" w:cs="Arial"/>
        </w:rPr>
      </w:pPr>
      <w:r w:rsidRPr="0036291C">
        <w:rPr>
          <w:rFonts w:ascii="Aptos" w:hAnsi="Aptos" w:cs="Arial"/>
        </w:rPr>
        <w:t xml:space="preserve">Bower, P. and </w:t>
      </w:r>
      <w:proofErr w:type="spellStart"/>
      <w:r w:rsidRPr="0036291C">
        <w:rPr>
          <w:rFonts w:ascii="Aptos" w:hAnsi="Aptos" w:cs="Arial"/>
        </w:rPr>
        <w:t>Gilbody</w:t>
      </w:r>
      <w:proofErr w:type="spellEnd"/>
      <w:r w:rsidRPr="0036291C">
        <w:rPr>
          <w:rFonts w:ascii="Aptos" w:hAnsi="Aptos" w:cs="Arial"/>
        </w:rPr>
        <w:t xml:space="preserve">, S. (2005) ‘Stepped care in psychological therapies: access, effectiveness and efficiency’, </w:t>
      </w:r>
      <w:r w:rsidRPr="0036291C">
        <w:rPr>
          <w:rFonts w:ascii="Aptos" w:hAnsi="Aptos" w:cs="Arial"/>
          <w:i/>
          <w:iCs/>
        </w:rPr>
        <w:t>British Journal of Psychiatry</w:t>
      </w:r>
      <w:r w:rsidRPr="0036291C">
        <w:rPr>
          <w:rFonts w:ascii="Aptos" w:hAnsi="Aptos" w:cs="Arial"/>
        </w:rPr>
        <w:t>, 186(1), pp. 11–17.</w:t>
      </w:r>
    </w:p>
    <w:p w14:paraId="0FFD8B41" w14:textId="2750CE8A" w:rsidR="003A27C5" w:rsidRDefault="003A27C5" w:rsidP="003A27C5">
      <w:pPr>
        <w:spacing w:line="360" w:lineRule="auto"/>
        <w:rPr>
          <w:rFonts w:ascii="Aptos" w:hAnsi="Aptos" w:cs="Arial"/>
        </w:rPr>
      </w:pPr>
      <w:r w:rsidRPr="003A27C5">
        <w:rPr>
          <w:rFonts w:ascii="Aptos" w:hAnsi="Aptos" w:cs="Arial"/>
        </w:rPr>
        <w:t>Braun, V. and Clarke, V. (2006) ‘Using thematic analysis in psychology’, Qualitative Research in Psychology, 3(2), pp. 77–101.</w:t>
      </w:r>
    </w:p>
    <w:p w14:paraId="23886977" w14:textId="77777777" w:rsidR="0036291C" w:rsidRPr="0036291C" w:rsidRDefault="0036291C" w:rsidP="0036291C">
      <w:pPr>
        <w:spacing w:line="360" w:lineRule="auto"/>
        <w:rPr>
          <w:rFonts w:ascii="Aptos" w:hAnsi="Aptos" w:cs="Arial"/>
        </w:rPr>
      </w:pPr>
      <w:proofErr w:type="spellStart"/>
      <w:r w:rsidRPr="0036291C">
        <w:rPr>
          <w:rFonts w:ascii="Aptos" w:hAnsi="Aptos" w:cs="Arial"/>
        </w:rPr>
        <w:t>Carlbring</w:t>
      </w:r>
      <w:proofErr w:type="spellEnd"/>
      <w:r w:rsidRPr="0036291C">
        <w:rPr>
          <w:rFonts w:ascii="Aptos" w:hAnsi="Aptos" w:cs="Arial"/>
        </w:rPr>
        <w:t xml:space="preserve">, P., Andersson, G., </w:t>
      </w:r>
      <w:proofErr w:type="spellStart"/>
      <w:r w:rsidRPr="0036291C">
        <w:rPr>
          <w:rFonts w:ascii="Aptos" w:hAnsi="Aptos" w:cs="Arial"/>
        </w:rPr>
        <w:t>Cuijpers</w:t>
      </w:r>
      <w:proofErr w:type="spellEnd"/>
      <w:r w:rsidRPr="0036291C">
        <w:rPr>
          <w:rFonts w:ascii="Aptos" w:hAnsi="Aptos" w:cs="Arial"/>
        </w:rPr>
        <w:t xml:space="preserve">, P., Riper, H. and </w:t>
      </w:r>
      <w:proofErr w:type="spellStart"/>
      <w:r w:rsidRPr="0036291C">
        <w:rPr>
          <w:rFonts w:ascii="Aptos" w:hAnsi="Aptos" w:cs="Arial"/>
        </w:rPr>
        <w:t>Hedman-Lagerlöf</w:t>
      </w:r>
      <w:proofErr w:type="spellEnd"/>
      <w:r w:rsidRPr="0036291C">
        <w:rPr>
          <w:rFonts w:ascii="Aptos" w:hAnsi="Aptos" w:cs="Arial"/>
        </w:rPr>
        <w:t xml:space="preserve">, E. (2018) ‘Internet-based vs. face-to-face CBT’, </w:t>
      </w:r>
      <w:r w:rsidRPr="0036291C">
        <w:rPr>
          <w:rFonts w:ascii="Aptos" w:hAnsi="Aptos" w:cs="Arial"/>
          <w:i/>
          <w:iCs/>
        </w:rPr>
        <w:t>Cognitive Behaviour Therapy</w:t>
      </w:r>
      <w:r w:rsidRPr="0036291C">
        <w:rPr>
          <w:rFonts w:ascii="Aptos" w:hAnsi="Aptos" w:cs="Arial"/>
        </w:rPr>
        <w:t>, 47(1), pp. 1–18.</w:t>
      </w:r>
    </w:p>
    <w:p w14:paraId="621039DB" w14:textId="747597BA" w:rsidR="0036291C" w:rsidRPr="003A27C5" w:rsidRDefault="0036291C" w:rsidP="003A27C5">
      <w:pPr>
        <w:spacing w:line="360" w:lineRule="auto"/>
        <w:rPr>
          <w:rFonts w:ascii="Aptos" w:hAnsi="Aptos" w:cs="Arial"/>
        </w:rPr>
      </w:pPr>
      <w:r w:rsidRPr="0036291C">
        <w:rPr>
          <w:rFonts w:ascii="Aptos" w:hAnsi="Aptos" w:cs="Arial"/>
        </w:rPr>
        <w:t>Ekman, I. et al. (2011) ‘Person-</w:t>
      </w:r>
      <w:proofErr w:type="spellStart"/>
      <w:r w:rsidRPr="0036291C">
        <w:rPr>
          <w:rFonts w:ascii="Aptos" w:hAnsi="Aptos" w:cs="Arial"/>
        </w:rPr>
        <w:t>centered</w:t>
      </w:r>
      <w:proofErr w:type="spellEnd"/>
      <w:r w:rsidRPr="0036291C">
        <w:rPr>
          <w:rFonts w:ascii="Aptos" w:hAnsi="Aptos" w:cs="Arial"/>
        </w:rPr>
        <w:t xml:space="preserve"> care — ready for prime time’, </w:t>
      </w:r>
      <w:r w:rsidRPr="0036291C">
        <w:rPr>
          <w:rFonts w:ascii="Aptos" w:hAnsi="Aptos" w:cs="Arial"/>
          <w:i/>
          <w:iCs/>
        </w:rPr>
        <w:t>European Journal of Cardiovascular Nursing</w:t>
      </w:r>
      <w:r w:rsidRPr="0036291C">
        <w:rPr>
          <w:rFonts w:ascii="Aptos" w:hAnsi="Aptos" w:cs="Arial"/>
        </w:rPr>
        <w:t>, 10(4), pp. 248–251.</w:t>
      </w:r>
    </w:p>
    <w:p w14:paraId="3A88EA33" w14:textId="49AED5E9" w:rsidR="003A27C5" w:rsidRPr="003A27C5" w:rsidRDefault="003A27C5" w:rsidP="003A27C5">
      <w:pPr>
        <w:spacing w:line="360" w:lineRule="auto"/>
        <w:rPr>
          <w:rFonts w:ascii="Aptos" w:hAnsi="Aptos" w:cs="Arial"/>
        </w:rPr>
      </w:pPr>
      <w:r w:rsidRPr="003A27C5">
        <w:rPr>
          <w:rFonts w:ascii="Aptos" w:hAnsi="Aptos" w:cs="Arial"/>
        </w:rPr>
        <w:t>General Medical Council (2022) The state of medical education and practice in the UK. London: GMC.</w:t>
      </w:r>
    </w:p>
    <w:p w14:paraId="1B7FB376" w14:textId="5351301F" w:rsidR="003A27C5" w:rsidRPr="003A27C5" w:rsidRDefault="003A27C5" w:rsidP="003A27C5">
      <w:pPr>
        <w:spacing w:line="360" w:lineRule="auto"/>
        <w:rPr>
          <w:rFonts w:ascii="Aptos" w:hAnsi="Aptos" w:cs="Arial"/>
        </w:rPr>
      </w:pPr>
      <w:r w:rsidRPr="003A27C5">
        <w:rPr>
          <w:rFonts w:ascii="Aptos" w:hAnsi="Aptos" w:cs="Arial"/>
        </w:rPr>
        <w:t xml:space="preserve">Hall, L.H., Johnson, J., Watt, I., </w:t>
      </w:r>
      <w:proofErr w:type="spellStart"/>
      <w:r w:rsidRPr="003A27C5">
        <w:rPr>
          <w:rFonts w:ascii="Aptos" w:hAnsi="Aptos" w:cs="Arial"/>
        </w:rPr>
        <w:t>Tsipa</w:t>
      </w:r>
      <w:proofErr w:type="spellEnd"/>
      <w:r w:rsidRPr="003A27C5">
        <w:rPr>
          <w:rFonts w:ascii="Aptos" w:hAnsi="Aptos" w:cs="Arial"/>
        </w:rPr>
        <w:t>, A. and O’Connor, D.B. (2016) ‘Healthcare staff wellbeing, burnout, and patient safety: a systematic review’, PLOS ONE, 11(7), e0159015.</w:t>
      </w:r>
    </w:p>
    <w:p w14:paraId="66DFFB2F" w14:textId="6CB0055A" w:rsidR="003A27C5" w:rsidRPr="003A27C5" w:rsidRDefault="003A27C5" w:rsidP="003A27C5">
      <w:pPr>
        <w:spacing w:line="360" w:lineRule="auto"/>
        <w:rPr>
          <w:rFonts w:ascii="Aptos" w:hAnsi="Aptos" w:cs="Arial"/>
        </w:rPr>
      </w:pPr>
      <w:r w:rsidRPr="003A27C5">
        <w:rPr>
          <w:rFonts w:ascii="Aptos" w:hAnsi="Aptos" w:cs="Arial"/>
        </w:rPr>
        <w:t xml:space="preserve">Maslach, C. and Jackson, S.E. (1981) ‘The measurement of experienced burnout’, Journal of Occupational </w:t>
      </w:r>
      <w:proofErr w:type="spellStart"/>
      <w:r w:rsidRPr="003A27C5">
        <w:rPr>
          <w:rFonts w:ascii="Aptos" w:hAnsi="Aptos" w:cs="Arial"/>
        </w:rPr>
        <w:t>Behavior</w:t>
      </w:r>
      <w:proofErr w:type="spellEnd"/>
      <w:r w:rsidRPr="003A27C5">
        <w:rPr>
          <w:rFonts w:ascii="Aptos" w:hAnsi="Aptos" w:cs="Arial"/>
        </w:rPr>
        <w:t>, 2(2), pp. 99–113.</w:t>
      </w:r>
    </w:p>
    <w:p w14:paraId="51914E73" w14:textId="37CA43B5" w:rsidR="003A27C5" w:rsidRPr="003A27C5" w:rsidRDefault="003A27C5" w:rsidP="003A27C5">
      <w:pPr>
        <w:spacing w:line="360" w:lineRule="auto"/>
        <w:rPr>
          <w:rFonts w:ascii="Aptos" w:hAnsi="Aptos" w:cs="Arial"/>
        </w:rPr>
      </w:pPr>
      <w:proofErr w:type="spellStart"/>
      <w:r w:rsidRPr="003A27C5">
        <w:rPr>
          <w:rFonts w:ascii="Aptos" w:hAnsi="Aptos" w:cs="Arial"/>
        </w:rPr>
        <w:t>Panagioti</w:t>
      </w:r>
      <w:proofErr w:type="spellEnd"/>
      <w:r w:rsidRPr="003A27C5">
        <w:rPr>
          <w:rFonts w:ascii="Aptos" w:hAnsi="Aptos" w:cs="Arial"/>
        </w:rPr>
        <w:t xml:space="preserve">, M., Geraghty, K., Johnson, J., Zhou, A., </w:t>
      </w:r>
      <w:proofErr w:type="spellStart"/>
      <w:r w:rsidRPr="003A27C5">
        <w:rPr>
          <w:rFonts w:ascii="Aptos" w:hAnsi="Aptos" w:cs="Arial"/>
        </w:rPr>
        <w:t>Panagopoulou</w:t>
      </w:r>
      <w:proofErr w:type="spellEnd"/>
      <w:r w:rsidRPr="003A27C5">
        <w:rPr>
          <w:rFonts w:ascii="Aptos" w:hAnsi="Aptos" w:cs="Arial"/>
        </w:rPr>
        <w:t xml:space="preserve">, E., Chew-Graham, C., Peters, D., Hodkinson, A., Riley, R. and </w:t>
      </w:r>
      <w:proofErr w:type="spellStart"/>
      <w:r w:rsidRPr="003A27C5">
        <w:rPr>
          <w:rFonts w:ascii="Aptos" w:hAnsi="Aptos" w:cs="Arial"/>
        </w:rPr>
        <w:t>Esmail</w:t>
      </w:r>
      <w:proofErr w:type="spellEnd"/>
      <w:r w:rsidRPr="003A27C5">
        <w:rPr>
          <w:rFonts w:ascii="Aptos" w:hAnsi="Aptos" w:cs="Arial"/>
        </w:rPr>
        <w:t>, A. (2018) ‘Association between physician burnout and patient safety’, JAMA Internal Medicine, 178(10), pp. 1317–1331.</w:t>
      </w:r>
    </w:p>
    <w:p w14:paraId="5BC91157" w14:textId="641702D2" w:rsidR="00545684" w:rsidRDefault="003A27C5" w:rsidP="003A27C5">
      <w:pPr>
        <w:spacing w:line="360" w:lineRule="auto"/>
        <w:rPr>
          <w:rFonts w:ascii="Aptos" w:hAnsi="Aptos" w:cs="Arial"/>
        </w:rPr>
      </w:pPr>
      <w:r w:rsidRPr="003A27C5">
        <w:rPr>
          <w:rFonts w:ascii="Aptos" w:hAnsi="Aptos" w:cs="Arial"/>
        </w:rPr>
        <w:t xml:space="preserve">West, C.P., </w:t>
      </w:r>
      <w:proofErr w:type="spellStart"/>
      <w:r w:rsidRPr="003A27C5">
        <w:rPr>
          <w:rFonts w:ascii="Aptos" w:hAnsi="Aptos" w:cs="Arial"/>
        </w:rPr>
        <w:t>Dyrbye</w:t>
      </w:r>
      <w:proofErr w:type="spellEnd"/>
      <w:r w:rsidRPr="003A27C5">
        <w:rPr>
          <w:rFonts w:ascii="Aptos" w:hAnsi="Aptos" w:cs="Arial"/>
        </w:rPr>
        <w:t xml:space="preserve">, L.N. and </w:t>
      </w:r>
      <w:proofErr w:type="spellStart"/>
      <w:r w:rsidRPr="003A27C5">
        <w:rPr>
          <w:rFonts w:ascii="Aptos" w:hAnsi="Aptos" w:cs="Arial"/>
        </w:rPr>
        <w:t>Shanafelt</w:t>
      </w:r>
      <w:proofErr w:type="spellEnd"/>
      <w:r w:rsidRPr="003A27C5">
        <w:rPr>
          <w:rFonts w:ascii="Aptos" w:hAnsi="Aptos" w:cs="Arial"/>
        </w:rPr>
        <w:t>, T.D. (2018) ‘Physician burnout: contributors, consequences and solutions’, Journal of Internal Medicine, 283(6), pp. 516–529.</w:t>
      </w:r>
    </w:p>
    <w:p w14:paraId="1C4468B5" w14:textId="77777777" w:rsidR="0036291C" w:rsidRPr="003A2FDF" w:rsidRDefault="0036291C" w:rsidP="003A27C5">
      <w:pPr>
        <w:spacing w:line="360" w:lineRule="auto"/>
        <w:rPr>
          <w:rFonts w:ascii="Aptos" w:hAnsi="Aptos" w:cs="Arial"/>
        </w:rPr>
      </w:pPr>
    </w:p>
    <w:sectPr w:rsidR="0036291C"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B81A6F" w14:textId="77777777" w:rsidR="001323E4" w:rsidRDefault="001323E4" w:rsidP="00545684">
      <w:pPr>
        <w:spacing w:after="0" w:line="240" w:lineRule="auto"/>
      </w:pPr>
      <w:r>
        <w:separator/>
      </w:r>
    </w:p>
  </w:endnote>
  <w:endnote w:type="continuationSeparator" w:id="0">
    <w:p w14:paraId="3EB94C68" w14:textId="77777777" w:rsidR="001323E4" w:rsidRDefault="001323E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BE6715" w14:textId="77777777" w:rsidR="001323E4" w:rsidRDefault="001323E4" w:rsidP="00545684">
      <w:pPr>
        <w:spacing w:after="0" w:line="240" w:lineRule="auto"/>
      </w:pPr>
      <w:r>
        <w:separator/>
      </w:r>
    </w:p>
  </w:footnote>
  <w:footnote w:type="continuationSeparator" w:id="0">
    <w:p w14:paraId="7F3E8730" w14:textId="77777777" w:rsidR="001323E4" w:rsidRDefault="001323E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C39E3"/>
    <w:multiLevelType w:val="hybridMultilevel"/>
    <w:tmpl w:val="D5A0F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0299D"/>
    <w:multiLevelType w:val="hybridMultilevel"/>
    <w:tmpl w:val="4D402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0631FC"/>
    <w:multiLevelType w:val="hybridMultilevel"/>
    <w:tmpl w:val="A6DA8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B5416F"/>
    <w:multiLevelType w:val="hybridMultilevel"/>
    <w:tmpl w:val="16C6E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2"/>
  </w:num>
  <w:num w:numId="4">
    <w:abstractNumId w:val="6"/>
  </w:num>
  <w:num w:numId="5">
    <w:abstractNumId w:val="7"/>
  </w:num>
  <w:num w:numId="6">
    <w:abstractNumId w:val="0"/>
  </w:num>
  <w:num w:numId="7">
    <w:abstractNumId w:val="5"/>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323E4"/>
    <w:rsid w:val="0020643B"/>
    <w:rsid w:val="00216C85"/>
    <w:rsid w:val="00245A44"/>
    <w:rsid w:val="00260277"/>
    <w:rsid w:val="00273EDD"/>
    <w:rsid w:val="002A15DA"/>
    <w:rsid w:val="002C3965"/>
    <w:rsid w:val="003018F0"/>
    <w:rsid w:val="00321C4C"/>
    <w:rsid w:val="00331F5A"/>
    <w:rsid w:val="0036291C"/>
    <w:rsid w:val="003A27C5"/>
    <w:rsid w:val="003A2FDF"/>
    <w:rsid w:val="003B5B7F"/>
    <w:rsid w:val="003C30EA"/>
    <w:rsid w:val="003C472D"/>
    <w:rsid w:val="004631A4"/>
    <w:rsid w:val="004903AA"/>
    <w:rsid w:val="004E6C3B"/>
    <w:rsid w:val="00545684"/>
    <w:rsid w:val="0061260B"/>
    <w:rsid w:val="00646B10"/>
    <w:rsid w:val="006D298C"/>
    <w:rsid w:val="00715990"/>
    <w:rsid w:val="00784670"/>
    <w:rsid w:val="00866B7B"/>
    <w:rsid w:val="008E5015"/>
    <w:rsid w:val="009D1D1E"/>
    <w:rsid w:val="00A035FD"/>
    <w:rsid w:val="00A276A0"/>
    <w:rsid w:val="00A332BB"/>
    <w:rsid w:val="00A6153D"/>
    <w:rsid w:val="00BF431E"/>
    <w:rsid w:val="00C54573"/>
    <w:rsid w:val="00D025CA"/>
    <w:rsid w:val="00D769F0"/>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A27C5"/>
    <w:pPr>
      <w:keepNext/>
      <w:keepLines/>
      <w:spacing w:before="240" w:after="0" w:line="360" w:lineRule="auto"/>
      <w:jc w:val="center"/>
      <w:outlineLvl w:val="0"/>
    </w:pPr>
    <w:rPr>
      <w:rFonts w:ascii="Aptos" w:eastAsiaTheme="majorEastAsia" w:hAnsi="Aptos" w:cstheme="majorBidi"/>
      <w:bCs/>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7C5"/>
    <w:rPr>
      <w:rFonts w:ascii="Aptos" w:eastAsiaTheme="majorEastAsia" w:hAnsi="Aptos" w:cstheme="majorBidi"/>
      <w:bCs/>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449058408">
      <w:bodyDiv w:val="1"/>
      <w:marLeft w:val="0"/>
      <w:marRight w:val="0"/>
      <w:marTop w:val="0"/>
      <w:marBottom w:val="0"/>
      <w:divBdr>
        <w:top w:val="none" w:sz="0" w:space="0" w:color="auto"/>
        <w:left w:val="none" w:sz="0" w:space="0" w:color="auto"/>
        <w:bottom w:val="none" w:sz="0" w:space="0" w:color="auto"/>
        <w:right w:val="none" w:sz="0" w:space="0" w:color="auto"/>
      </w:divBdr>
    </w:div>
    <w:div w:id="841116959">
      <w:bodyDiv w:val="1"/>
      <w:marLeft w:val="0"/>
      <w:marRight w:val="0"/>
      <w:marTop w:val="0"/>
      <w:marBottom w:val="0"/>
      <w:divBdr>
        <w:top w:val="none" w:sz="0" w:space="0" w:color="auto"/>
        <w:left w:val="none" w:sz="0" w:space="0" w:color="auto"/>
        <w:bottom w:val="none" w:sz="0" w:space="0" w:color="auto"/>
        <w:right w:val="none" w:sz="0" w:space="0" w:color="auto"/>
      </w:divBdr>
    </w:div>
    <w:div w:id="878905976">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11033962">
      <w:bodyDiv w:val="1"/>
      <w:marLeft w:val="0"/>
      <w:marRight w:val="0"/>
      <w:marTop w:val="0"/>
      <w:marBottom w:val="0"/>
      <w:divBdr>
        <w:top w:val="none" w:sz="0" w:space="0" w:color="auto"/>
        <w:left w:val="none" w:sz="0" w:space="0" w:color="auto"/>
        <w:bottom w:val="none" w:sz="0" w:space="0" w:color="auto"/>
        <w:right w:val="none" w:sz="0" w:space="0" w:color="auto"/>
      </w:divBdr>
    </w:div>
    <w:div w:id="1565943353">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948</Words>
  <Characters>5406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kohinoor sultan</cp:lastModifiedBy>
  <cp:revision>8</cp:revision>
  <dcterms:created xsi:type="dcterms:W3CDTF">2026-02-27T09:37:00Z</dcterms:created>
  <dcterms:modified xsi:type="dcterms:W3CDTF">2026-02-27T10:04:00Z</dcterms:modified>
</cp:coreProperties>
</file>