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CAE00" w14:textId="77777777" w:rsidR="00F2458D" w:rsidRDefault="00F2458D" w:rsidP="00F2458D">
      <w:pPr>
        <w:spacing w:line="360" w:lineRule="auto"/>
        <w:jc w:val="center"/>
        <w:rPr>
          <w:rFonts w:ascii="Times New Roman" w:hAnsi="Times New Roman" w:cs="Times New Roman"/>
          <w:b/>
          <w:bCs/>
          <w:color w:val="000000"/>
          <w:sz w:val="40"/>
          <w:szCs w:val="40"/>
        </w:rPr>
      </w:pPr>
    </w:p>
    <w:p w14:paraId="30A141C0" w14:textId="77777777" w:rsidR="00F2458D" w:rsidRDefault="00F2458D" w:rsidP="00F2458D">
      <w:pPr>
        <w:spacing w:line="360" w:lineRule="auto"/>
        <w:jc w:val="center"/>
        <w:rPr>
          <w:rFonts w:ascii="Times New Roman" w:hAnsi="Times New Roman" w:cs="Times New Roman"/>
          <w:b/>
          <w:bCs/>
          <w:color w:val="000000"/>
          <w:sz w:val="40"/>
          <w:szCs w:val="40"/>
        </w:rPr>
      </w:pPr>
    </w:p>
    <w:p w14:paraId="5ECBFD2D" w14:textId="77777777" w:rsidR="00F2458D" w:rsidRDefault="00F2458D" w:rsidP="00F2458D">
      <w:pPr>
        <w:spacing w:line="360" w:lineRule="auto"/>
        <w:jc w:val="center"/>
        <w:rPr>
          <w:rFonts w:ascii="Times New Roman" w:hAnsi="Times New Roman" w:cs="Times New Roman"/>
          <w:b/>
          <w:bCs/>
          <w:color w:val="000000"/>
          <w:sz w:val="40"/>
          <w:szCs w:val="40"/>
        </w:rPr>
      </w:pPr>
    </w:p>
    <w:p w14:paraId="2747227F" w14:textId="77777777" w:rsidR="00F2458D" w:rsidRDefault="00F2458D" w:rsidP="00F2458D">
      <w:pPr>
        <w:spacing w:line="360" w:lineRule="auto"/>
        <w:jc w:val="center"/>
        <w:rPr>
          <w:rFonts w:ascii="Times New Roman" w:hAnsi="Times New Roman" w:cs="Times New Roman"/>
          <w:b/>
          <w:bCs/>
          <w:color w:val="000000"/>
          <w:sz w:val="40"/>
          <w:szCs w:val="40"/>
        </w:rPr>
      </w:pPr>
    </w:p>
    <w:p w14:paraId="37E3EE83" w14:textId="77777777" w:rsidR="009369DD" w:rsidRPr="00BC5437" w:rsidRDefault="009369DD" w:rsidP="00F2458D">
      <w:pPr>
        <w:spacing w:line="360" w:lineRule="auto"/>
        <w:jc w:val="center"/>
        <w:rPr>
          <w:rFonts w:ascii="Arial" w:hAnsi="Arial" w:cs="Arial"/>
          <w:b/>
          <w:bCs/>
          <w:color w:val="000000"/>
          <w:sz w:val="24"/>
          <w:szCs w:val="24"/>
        </w:rPr>
      </w:pPr>
      <w:r w:rsidRPr="00BC5437">
        <w:rPr>
          <w:rFonts w:ascii="Arial" w:hAnsi="Arial" w:cs="Arial"/>
          <w:b/>
          <w:bCs/>
          <w:color w:val="000000"/>
          <w:sz w:val="24"/>
          <w:szCs w:val="24"/>
        </w:rPr>
        <w:t>Personnel Resourcing and Development</w:t>
      </w:r>
    </w:p>
    <w:p w14:paraId="336D65BF" w14:textId="77777777" w:rsidR="009369DD" w:rsidRPr="00BC5437" w:rsidRDefault="009369DD" w:rsidP="00F2458D">
      <w:pPr>
        <w:spacing w:line="360" w:lineRule="auto"/>
        <w:jc w:val="center"/>
        <w:rPr>
          <w:rFonts w:ascii="Arial" w:hAnsi="Arial" w:cs="Arial"/>
          <w:b/>
          <w:bCs/>
          <w:color w:val="000000"/>
          <w:sz w:val="24"/>
          <w:szCs w:val="24"/>
        </w:rPr>
      </w:pPr>
      <w:r w:rsidRPr="00BC5437">
        <w:rPr>
          <w:rFonts w:ascii="Arial" w:hAnsi="Arial" w:cs="Arial"/>
          <w:b/>
          <w:bCs/>
          <w:color w:val="000000"/>
          <w:sz w:val="24"/>
          <w:szCs w:val="24"/>
        </w:rPr>
        <w:t>BMIH5005</w:t>
      </w:r>
    </w:p>
    <w:p w14:paraId="512EDC9F" w14:textId="37E97EFE" w:rsidR="00F2458D" w:rsidRPr="00BC5437" w:rsidRDefault="00AF733C" w:rsidP="00F2458D">
      <w:pPr>
        <w:spacing w:line="360" w:lineRule="auto"/>
        <w:jc w:val="center"/>
        <w:rPr>
          <w:rFonts w:ascii="Arial" w:hAnsi="Arial" w:cs="Arial"/>
          <w:b/>
          <w:bCs/>
          <w:color w:val="000000"/>
          <w:sz w:val="24"/>
          <w:szCs w:val="24"/>
        </w:rPr>
      </w:pPr>
      <w:r w:rsidRPr="00BC5437">
        <w:rPr>
          <w:rFonts w:ascii="Arial" w:hAnsi="Arial" w:cs="Arial"/>
          <w:b/>
          <w:bCs/>
          <w:color w:val="000000"/>
          <w:sz w:val="24"/>
          <w:szCs w:val="24"/>
        </w:rPr>
        <w:t>L</w:t>
      </w:r>
      <w:r w:rsidR="00F2458D" w:rsidRPr="00BC5437">
        <w:rPr>
          <w:rFonts w:ascii="Arial" w:hAnsi="Arial" w:cs="Arial"/>
          <w:b/>
          <w:bCs/>
          <w:color w:val="000000"/>
          <w:sz w:val="24"/>
          <w:szCs w:val="24"/>
        </w:rPr>
        <w:t xml:space="preserve">ecturer’s </w:t>
      </w:r>
      <w:proofErr w:type="spellStart"/>
      <w:r w:rsidR="00F2458D" w:rsidRPr="00BC5437">
        <w:rPr>
          <w:rFonts w:ascii="Arial" w:hAnsi="Arial" w:cs="Arial"/>
          <w:b/>
          <w:bCs/>
          <w:color w:val="000000"/>
          <w:sz w:val="24"/>
          <w:szCs w:val="24"/>
        </w:rPr>
        <w:t>name</w:t>
      </w:r>
      <w:r w:rsidR="009369DD" w:rsidRPr="00BC5437">
        <w:rPr>
          <w:rFonts w:ascii="Arial" w:hAnsi="Arial" w:cs="Arial"/>
          <w:b/>
          <w:bCs/>
          <w:color w:val="000000"/>
          <w:sz w:val="24"/>
          <w:szCs w:val="24"/>
        </w:rPr>
        <w:t>:</w:t>
      </w:r>
      <w:r w:rsidRPr="00BC5437">
        <w:rPr>
          <w:rFonts w:ascii="Arial" w:hAnsi="Arial" w:cs="Arial"/>
          <w:b/>
          <w:bCs/>
          <w:color w:val="000000"/>
          <w:sz w:val="24"/>
          <w:szCs w:val="24"/>
        </w:rPr>
        <w:t>Helen</w:t>
      </w:r>
      <w:proofErr w:type="spellEnd"/>
      <w:r w:rsidRPr="00BC5437">
        <w:rPr>
          <w:rFonts w:ascii="Arial" w:hAnsi="Arial" w:cs="Arial"/>
          <w:b/>
          <w:bCs/>
          <w:color w:val="000000"/>
          <w:sz w:val="24"/>
          <w:szCs w:val="24"/>
        </w:rPr>
        <w:t xml:space="preserve"> Lee</w:t>
      </w:r>
    </w:p>
    <w:p w14:paraId="0DD28F30" w14:textId="7B18A670" w:rsidR="00F2458D" w:rsidRPr="00BC5437" w:rsidRDefault="00AF733C" w:rsidP="00F2458D">
      <w:pPr>
        <w:spacing w:line="360" w:lineRule="auto"/>
        <w:jc w:val="center"/>
        <w:rPr>
          <w:rFonts w:ascii="Arial" w:hAnsi="Arial" w:cs="Arial"/>
          <w:b/>
          <w:bCs/>
          <w:color w:val="000000"/>
          <w:sz w:val="24"/>
          <w:szCs w:val="24"/>
        </w:rPr>
      </w:pPr>
      <w:r w:rsidRPr="00BC5437">
        <w:rPr>
          <w:rFonts w:ascii="Arial" w:hAnsi="Arial" w:cs="Arial"/>
          <w:b/>
          <w:bCs/>
          <w:color w:val="000000"/>
          <w:sz w:val="24"/>
          <w:szCs w:val="24"/>
        </w:rPr>
        <w:t>N</w:t>
      </w:r>
      <w:r w:rsidR="00F2458D" w:rsidRPr="00BC5437">
        <w:rPr>
          <w:rFonts w:ascii="Arial" w:hAnsi="Arial" w:cs="Arial"/>
          <w:b/>
          <w:bCs/>
          <w:color w:val="000000"/>
          <w:sz w:val="24"/>
          <w:szCs w:val="24"/>
        </w:rPr>
        <w:t xml:space="preserve">ame in </w:t>
      </w:r>
      <w:proofErr w:type="spellStart"/>
      <w:r w:rsidR="00F2458D" w:rsidRPr="00BC5437">
        <w:rPr>
          <w:rFonts w:ascii="Arial" w:hAnsi="Arial" w:cs="Arial"/>
          <w:b/>
          <w:bCs/>
          <w:color w:val="000000"/>
          <w:sz w:val="24"/>
          <w:szCs w:val="24"/>
        </w:rPr>
        <w:t>full</w:t>
      </w:r>
      <w:r w:rsidR="009369DD" w:rsidRPr="00BC5437">
        <w:rPr>
          <w:rFonts w:ascii="Arial" w:hAnsi="Arial" w:cs="Arial"/>
          <w:b/>
          <w:bCs/>
          <w:color w:val="000000"/>
          <w:sz w:val="24"/>
          <w:szCs w:val="24"/>
        </w:rPr>
        <w:t>:</w:t>
      </w:r>
      <w:r w:rsidRPr="00BC5437">
        <w:rPr>
          <w:rFonts w:ascii="Arial" w:hAnsi="Arial" w:cs="Arial"/>
          <w:b/>
          <w:bCs/>
          <w:color w:val="000000"/>
          <w:sz w:val="24"/>
          <w:szCs w:val="24"/>
        </w:rPr>
        <w:t>Florin</w:t>
      </w:r>
      <w:proofErr w:type="spellEnd"/>
      <w:r w:rsidRPr="00BC5437">
        <w:rPr>
          <w:rFonts w:ascii="Arial" w:hAnsi="Arial" w:cs="Arial"/>
          <w:b/>
          <w:bCs/>
          <w:color w:val="000000"/>
          <w:sz w:val="24"/>
          <w:szCs w:val="24"/>
        </w:rPr>
        <w:t xml:space="preserve"> Dragomir</w:t>
      </w:r>
    </w:p>
    <w:p w14:paraId="4F74DF60" w14:textId="3D23183C" w:rsidR="002835D7" w:rsidRPr="00BC5437" w:rsidRDefault="00AF733C" w:rsidP="00F2458D">
      <w:pPr>
        <w:spacing w:line="360" w:lineRule="auto"/>
        <w:jc w:val="center"/>
        <w:rPr>
          <w:rFonts w:ascii="Arial" w:eastAsia="Times New Roman" w:hAnsi="Arial" w:cs="Arial"/>
          <w:b/>
          <w:bCs/>
          <w:color w:val="000000"/>
          <w:sz w:val="24"/>
          <w:szCs w:val="24"/>
          <w:lang w:eastAsia="en-GB"/>
        </w:rPr>
      </w:pPr>
      <w:r w:rsidRPr="00BC5437">
        <w:rPr>
          <w:rFonts w:ascii="Arial" w:hAnsi="Arial" w:cs="Arial"/>
          <w:b/>
          <w:bCs/>
          <w:color w:val="000000"/>
          <w:sz w:val="24"/>
          <w:szCs w:val="24"/>
        </w:rPr>
        <w:t>S</w:t>
      </w:r>
      <w:r w:rsidR="00F2458D" w:rsidRPr="00BC5437">
        <w:rPr>
          <w:rFonts w:ascii="Arial" w:hAnsi="Arial" w:cs="Arial"/>
          <w:b/>
          <w:bCs/>
          <w:color w:val="000000"/>
          <w:sz w:val="24"/>
          <w:szCs w:val="24"/>
        </w:rPr>
        <w:t>tudent ID</w:t>
      </w:r>
      <w:r w:rsidR="009369DD" w:rsidRPr="00BC5437">
        <w:rPr>
          <w:rFonts w:ascii="Arial" w:hAnsi="Arial" w:cs="Arial"/>
          <w:b/>
          <w:bCs/>
          <w:color w:val="000000"/>
          <w:sz w:val="24"/>
          <w:szCs w:val="24"/>
        </w:rPr>
        <w:t>:</w:t>
      </w:r>
      <w:r w:rsidRPr="00BC5437">
        <w:rPr>
          <w:rFonts w:ascii="Arial" w:hAnsi="Arial" w:cs="Arial"/>
          <w:b/>
          <w:bCs/>
          <w:color w:val="000000"/>
          <w:sz w:val="24"/>
          <w:szCs w:val="24"/>
        </w:rPr>
        <w:t>2227451</w:t>
      </w:r>
      <w:r w:rsidR="002835D7" w:rsidRPr="00BC5437">
        <w:rPr>
          <w:rFonts w:ascii="Arial" w:hAnsi="Arial" w:cs="Arial"/>
          <w:b/>
          <w:bCs/>
          <w:color w:val="000000"/>
          <w:sz w:val="24"/>
          <w:szCs w:val="24"/>
        </w:rPr>
        <w:br w:type="page"/>
      </w:r>
    </w:p>
    <w:sdt>
      <w:sdtPr>
        <w:rPr>
          <w:rFonts w:ascii="Arial" w:eastAsiaTheme="minorHAnsi" w:hAnsi="Arial" w:cs="Arial"/>
          <w:color w:val="auto"/>
          <w:sz w:val="24"/>
          <w:szCs w:val="24"/>
          <w:lang w:val="en-GB"/>
        </w:rPr>
        <w:id w:val="1924446342"/>
        <w:docPartObj>
          <w:docPartGallery w:val="Table of Contents"/>
          <w:docPartUnique/>
        </w:docPartObj>
      </w:sdtPr>
      <w:sdtEndPr>
        <w:rPr>
          <w:b/>
          <w:bCs/>
          <w:noProof/>
        </w:rPr>
      </w:sdtEndPr>
      <w:sdtContent>
        <w:p w14:paraId="7FE2E7F2" w14:textId="4FDC6ADF" w:rsidR="00F2458D" w:rsidRPr="00BC5437" w:rsidRDefault="00F2458D" w:rsidP="00F2458D">
          <w:pPr>
            <w:pStyle w:val="TOCHeading"/>
            <w:spacing w:line="360" w:lineRule="auto"/>
            <w:jc w:val="center"/>
            <w:rPr>
              <w:rFonts w:ascii="Arial" w:hAnsi="Arial" w:cs="Arial"/>
              <w:b/>
              <w:bCs/>
              <w:color w:val="auto"/>
              <w:sz w:val="24"/>
              <w:szCs w:val="24"/>
            </w:rPr>
          </w:pPr>
          <w:r w:rsidRPr="00BC5437">
            <w:rPr>
              <w:rFonts w:ascii="Arial" w:hAnsi="Arial" w:cs="Arial"/>
              <w:b/>
              <w:bCs/>
              <w:color w:val="auto"/>
              <w:sz w:val="24"/>
              <w:szCs w:val="24"/>
            </w:rPr>
            <w:t>Table of Contents</w:t>
          </w:r>
        </w:p>
        <w:p w14:paraId="0F7792D4" w14:textId="2EAE49A1" w:rsidR="00A73048" w:rsidRPr="00BC5437" w:rsidRDefault="00F2458D" w:rsidP="00A73048">
          <w:pPr>
            <w:pStyle w:val="TOC1"/>
            <w:tabs>
              <w:tab w:val="right" w:leader="dot" w:pos="9350"/>
            </w:tabs>
            <w:spacing w:line="360" w:lineRule="auto"/>
            <w:jc w:val="both"/>
            <w:rPr>
              <w:rFonts w:ascii="Arial" w:eastAsiaTheme="minorEastAsia" w:hAnsi="Arial" w:cs="Arial"/>
              <w:noProof/>
              <w:kern w:val="2"/>
              <w:sz w:val="24"/>
              <w:szCs w:val="24"/>
              <w:lang w:val="en-IN" w:eastAsia="en-IN"/>
            </w:rPr>
          </w:pPr>
          <w:r w:rsidRPr="00BC5437">
            <w:rPr>
              <w:rFonts w:ascii="Arial" w:hAnsi="Arial" w:cs="Arial"/>
              <w:sz w:val="24"/>
              <w:szCs w:val="24"/>
            </w:rPr>
            <w:fldChar w:fldCharType="begin"/>
          </w:r>
          <w:r w:rsidRPr="00BC5437">
            <w:rPr>
              <w:rFonts w:ascii="Arial" w:hAnsi="Arial" w:cs="Arial"/>
              <w:sz w:val="24"/>
              <w:szCs w:val="24"/>
            </w:rPr>
            <w:instrText xml:space="preserve"> TOC \o "1-3" \h \z \u </w:instrText>
          </w:r>
          <w:r w:rsidRPr="00BC5437">
            <w:rPr>
              <w:rFonts w:ascii="Arial" w:hAnsi="Arial" w:cs="Arial"/>
              <w:sz w:val="24"/>
              <w:szCs w:val="24"/>
            </w:rPr>
            <w:fldChar w:fldCharType="separate"/>
          </w:r>
          <w:hyperlink w:anchor="_Toc158989084" w:history="1">
            <w:r w:rsidR="00A73048" w:rsidRPr="00BC5437">
              <w:rPr>
                <w:rStyle w:val="Hyperlink"/>
                <w:rFonts w:ascii="Arial" w:hAnsi="Arial" w:cs="Arial"/>
                <w:noProof/>
                <w:sz w:val="24"/>
                <w:szCs w:val="24"/>
              </w:rPr>
              <w:t>Introduction and Background</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_Toc158989084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2</w:t>
            </w:r>
            <w:r w:rsidR="00A73048" w:rsidRPr="00BC5437">
              <w:rPr>
                <w:rFonts w:ascii="Arial" w:hAnsi="Arial" w:cs="Arial"/>
                <w:noProof/>
                <w:webHidden/>
                <w:sz w:val="24"/>
                <w:szCs w:val="24"/>
              </w:rPr>
              <w:fldChar w:fldCharType="end"/>
            </w:r>
          </w:hyperlink>
        </w:p>
        <w:p w14:paraId="794892E6" w14:textId="67C6E718" w:rsidR="00A73048" w:rsidRPr="00BC5437" w:rsidRDefault="00000000" w:rsidP="00A73048">
          <w:pPr>
            <w:pStyle w:val="TOC1"/>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85" w:history="1">
            <w:r w:rsidR="00A73048" w:rsidRPr="00BC5437">
              <w:rPr>
                <w:rStyle w:val="Hyperlink"/>
                <w:rFonts w:ascii="Arial" w:hAnsi="Arial" w:cs="Arial"/>
                <w:noProof/>
                <w:sz w:val="24"/>
                <w:szCs w:val="24"/>
              </w:rPr>
              <w:t>Discussion and Literature Review</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_Toc158989085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3</w:t>
            </w:r>
            <w:r w:rsidR="00A73048" w:rsidRPr="00BC5437">
              <w:rPr>
                <w:rFonts w:ascii="Arial" w:hAnsi="Arial" w:cs="Arial"/>
                <w:noProof/>
                <w:webHidden/>
                <w:sz w:val="24"/>
                <w:szCs w:val="24"/>
              </w:rPr>
              <w:fldChar w:fldCharType="end"/>
            </w:r>
          </w:hyperlink>
        </w:p>
        <w:p w14:paraId="7038711F" w14:textId="4D83C967" w:rsidR="00A73048" w:rsidRPr="00BC5437" w:rsidRDefault="00000000" w:rsidP="00A73048">
          <w:pPr>
            <w:pStyle w:val="TOC2"/>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86" w:history="1">
            <w:r w:rsidR="00A73048" w:rsidRPr="00BC5437">
              <w:rPr>
                <w:rStyle w:val="Hyperlink"/>
                <w:rFonts w:ascii="Arial" w:hAnsi="Arial" w:cs="Arial"/>
                <w:noProof/>
                <w:sz w:val="24"/>
                <w:szCs w:val="24"/>
              </w:rPr>
              <w:t>Review of Socio-Economic Factors - PESTLE Analysis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_Toc158989086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3</w:t>
            </w:r>
            <w:r w:rsidR="00A73048" w:rsidRPr="00BC5437">
              <w:rPr>
                <w:rFonts w:ascii="Arial" w:hAnsi="Arial" w:cs="Arial"/>
                <w:noProof/>
                <w:webHidden/>
                <w:sz w:val="24"/>
                <w:szCs w:val="24"/>
              </w:rPr>
              <w:fldChar w:fldCharType="end"/>
            </w:r>
          </w:hyperlink>
        </w:p>
        <w:p w14:paraId="40589DEF" w14:textId="1AC680D3"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87" w:history="1">
            <w:r w:rsidR="00A73048" w:rsidRPr="00BC5437">
              <w:rPr>
                <w:rStyle w:val="Hyperlink"/>
                <w:rFonts w:ascii="Arial" w:hAnsi="Arial" w:cs="Arial"/>
                <w:noProof/>
                <w:sz w:val="24"/>
                <w:szCs w:val="24"/>
              </w:rPr>
              <w:t>Political Factors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_Toc158989087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3</w:t>
            </w:r>
            <w:r w:rsidR="00A73048" w:rsidRPr="00BC5437">
              <w:rPr>
                <w:rFonts w:ascii="Arial" w:hAnsi="Arial" w:cs="Arial"/>
                <w:noProof/>
                <w:webHidden/>
                <w:sz w:val="24"/>
                <w:szCs w:val="24"/>
              </w:rPr>
              <w:fldChar w:fldCharType="end"/>
            </w:r>
          </w:hyperlink>
        </w:p>
        <w:p w14:paraId="22AFB46A" w14:textId="3825B15F"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88" w:history="1">
            <w:r w:rsidR="00A73048" w:rsidRPr="00BC5437">
              <w:rPr>
                <w:rStyle w:val="Hyperlink"/>
                <w:rFonts w:ascii="Arial" w:hAnsi="Arial" w:cs="Arial"/>
                <w:noProof/>
                <w:sz w:val="24"/>
                <w:szCs w:val="24"/>
              </w:rPr>
              <w:t>Economic Factors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_Toc158989088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3</w:t>
            </w:r>
            <w:r w:rsidR="00A73048" w:rsidRPr="00BC5437">
              <w:rPr>
                <w:rFonts w:ascii="Arial" w:hAnsi="Arial" w:cs="Arial"/>
                <w:noProof/>
                <w:webHidden/>
                <w:sz w:val="24"/>
                <w:szCs w:val="24"/>
              </w:rPr>
              <w:fldChar w:fldCharType="end"/>
            </w:r>
          </w:hyperlink>
        </w:p>
        <w:p w14:paraId="49A91123" w14:textId="24684D61"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89" w:history="1">
            <w:r w:rsidR="00A73048" w:rsidRPr="00BC5437">
              <w:rPr>
                <w:rStyle w:val="Hyperlink"/>
                <w:rFonts w:ascii="Arial" w:hAnsi="Arial" w:cs="Arial"/>
                <w:noProof/>
                <w:sz w:val="24"/>
                <w:szCs w:val="24"/>
              </w:rPr>
              <w:t>Social Factors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_Toc158989089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3</w:t>
            </w:r>
            <w:r w:rsidR="00A73048" w:rsidRPr="00BC5437">
              <w:rPr>
                <w:rFonts w:ascii="Arial" w:hAnsi="Arial" w:cs="Arial"/>
                <w:noProof/>
                <w:webHidden/>
                <w:sz w:val="24"/>
                <w:szCs w:val="24"/>
              </w:rPr>
              <w:fldChar w:fldCharType="end"/>
            </w:r>
          </w:hyperlink>
        </w:p>
        <w:p w14:paraId="76034241" w14:textId="5646319F"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0" w:history="1">
            <w:r w:rsidR="00A73048" w:rsidRPr="00BC5437">
              <w:rPr>
                <w:rStyle w:val="Hyperlink"/>
                <w:rFonts w:ascii="Arial" w:hAnsi="Arial" w:cs="Arial"/>
                <w:noProof/>
                <w:sz w:val="24"/>
                <w:szCs w:val="24"/>
              </w:rPr>
              <w:t>Technological Factors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_Toc158989090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4</w:t>
            </w:r>
            <w:r w:rsidR="00A73048" w:rsidRPr="00BC5437">
              <w:rPr>
                <w:rFonts w:ascii="Arial" w:hAnsi="Arial" w:cs="Arial"/>
                <w:noProof/>
                <w:webHidden/>
                <w:sz w:val="24"/>
                <w:szCs w:val="24"/>
              </w:rPr>
              <w:fldChar w:fldCharType="end"/>
            </w:r>
          </w:hyperlink>
        </w:p>
        <w:p w14:paraId="7611AFF2" w14:textId="473D3611"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1" w:history="1">
            <w:r w:rsidR="00A73048" w:rsidRPr="00BC5437">
              <w:rPr>
                <w:rStyle w:val="Hyperlink"/>
                <w:rFonts w:ascii="Arial" w:hAnsi="Arial" w:cs="Arial"/>
                <w:noProof/>
                <w:sz w:val="24"/>
                <w:szCs w:val="24"/>
              </w:rPr>
              <w:t>Environmental Factors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_Toc158989091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4</w:t>
            </w:r>
            <w:r w:rsidR="00A73048" w:rsidRPr="00BC5437">
              <w:rPr>
                <w:rFonts w:ascii="Arial" w:hAnsi="Arial" w:cs="Arial"/>
                <w:noProof/>
                <w:webHidden/>
                <w:sz w:val="24"/>
                <w:szCs w:val="24"/>
              </w:rPr>
              <w:fldChar w:fldCharType="end"/>
            </w:r>
          </w:hyperlink>
        </w:p>
        <w:p w14:paraId="1F97CC54" w14:textId="01F4B84D"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2" w:history="1">
            <w:r w:rsidR="00A73048" w:rsidRPr="00BC5437">
              <w:rPr>
                <w:rStyle w:val="Hyperlink"/>
                <w:rFonts w:ascii="Arial" w:hAnsi="Arial" w:cs="Arial"/>
                <w:noProof/>
                <w:sz w:val="24"/>
                <w:szCs w:val="24"/>
              </w:rPr>
              <w:t>Legal Factors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_Toc158989092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4</w:t>
            </w:r>
            <w:r w:rsidR="00A73048" w:rsidRPr="00BC5437">
              <w:rPr>
                <w:rFonts w:ascii="Arial" w:hAnsi="Arial" w:cs="Arial"/>
                <w:noProof/>
                <w:webHidden/>
                <w:sz w:val="24"/>
                <w:szCs w:val="24"/>
              </w:rPr>
              <w:fldChar w:fldCharType="end"/>
            </w:r>
          </w:hyperlink>
        </w:p>
        <w:p w14:paraId="1D867E45" w14:textId="70AF9687" w:rsidR="00A73048" w:rsidRPr="00BC5437" w:rsidRDefault="00000000" w:rsidP="00A73048">
          <w:pPr>
            <w:pStyle w:val="TOC2"/>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3" w:history="1">
            <w:r w:rsidR="00A73048" w:rsidRPr="00BC5437">
              <w:rPr>
                <w:rStyle w:val="Hyperlink"/>
                <w:rFonts w:ascii="Arial" w:hAnsi="Arial" w:cs="Arial"/>
                <w:noProof/>
                <w:sz w:val="24"/>
                <w:szCs w:val="24"/>
              </w:rPr>
              <w:t>Industry Trends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_Toc158989093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5</w:t>
            </w:r>
            <w:r w:rsidR="00A73048" w:rsidRPr="00BC5437">
              <w:rPr>
                <w:rFonts w:ascii="Arial" w:hAnsi="Arial" w:cs="Arial"/>
                <w:noProof/>
                <w:webHidden/>
                <w:sz w:val="24"/>
                <w:szCs w:val="24"/>
              </w:rPr>
              <w:fldChar w:fldCharType="end"/>
            </w:r>
          </w:hyperlink>
        </w:p>
        <w:p w14:paraId="4BA6E90B" w14:textId="08051E0F"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4" w:history="1">
            <w:r w:rsidR="00A73048" w:rsidRPr="00BC5437">
              <w:rPr>
                <w:rStyle w:val="Hyperlink"/>
                <w:rFonts w:ascii="Arial" w:hAnsi="Arial" w:cs="Arial"/>
                <w:noProof/>
                <w:sz w:val="24"/>
                <w:szCs w:val="24"/>
              </w:rPr>
              <w:t>Changes in turnover Rates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_Toc158989094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5</w:t>
            </w:r>
            <w:r w:rsidR="00A73048" w:rsidRPr="00BC5437">
              <w:rPr>
                <w:rFonts w:ascii="Arial" w:hAnsi="Arial" w:cs="Arial"/>
                <w:noProof/>
                <w:webHidden/>
                <w:sz w:val="24"/>
                <w:szCs w:val="24"/>
              </w:rPr>
              <w:fldChar w:fldCharType="end"/>
            </w:r>
          </w:hyperlink>
        </w:p>
        <w:p w14:paraId="5D472BE0" w14:textId="7470DEDF"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5" w:history="1">
            <w:r w:rsidR="00A73048" w:rsidRPr="00BC5437">
              <w:rPr>
                <w:rStyle w:val="Hyperlink"/>
                <w:rFonts w:ascii="Arial" w:hAnsi="Arial" w:cs="Arial"/>
                <w:noProof/>
                <w:sz w:val="24"/>
                <w:szCs w:val="24"/>
              </w:rPr>
              <w:t>Retention Rates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_Toc158989095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5</w:t>
            </w:r>
            <w:r w:rsidR="00A73048" w:rsidRPr="00BC5437">
              <w:rPr>
                <w:rFonts w:ascii="Arial" w:hAnsi="Arial" w:cs="Arial"/>
                <w:noProof/>
                <w:webHidden/>
                <w:sz w:val="24"/>
                <w:szCs w:val="24"/>
              </w:rPr>
              <w:fldChar w:fldCharType="end"/>
            </w:r>
          </w:hyperlink>
        </w:p>
        <w:p w14:paraId="0E6B2B43" w14:textId="6FD61944" w:rsidR="00A73048" w:rsidRPr="00BC5437" w:rsidRDefault="00000000" w:rsidP="00A73048">
          <w:pPr>
            <w:pStyle w:val="TOC2"/>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6" w:history="1">
            <w:r w:rsidR="00A73048" w:rsidRPr="00BC5437">
              <w:rPr>
                <w:rStyle w:val="Hyperlink"/>
                <w:rFonts w:ascii="Arial" w:hAnsi="Arial" w:cs="Arial"/>
                <w:noProof/>
                <w:sz w:val="24"/>
                <w:szCs w:val="24"/>
              </w:rPr>
              <w:t>Emergence of Different Work Modes in the Hospitality Industry</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_Toc158989096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6</w:t>
            </w:r>
            <w:r w:rsidR="00A73048" w:rsidRPr="00BC5437">
              <w:rPr>
                <w:rFonts w:ascii="Arial" w:hAnsi="Arial" w:cs="Arial"/>
                <w:noProof/>
                <w:webHidden/>
                <w:sz w:val="24"/>
                <w:szCs w:val="24"/>
              </w:rPr>
              <w:fldChar w:fldCharType="end"/>
            </w:r>
          </w:hyperlink>
        </w:p>
        <w:p w14:paraId="4067589F" w14:textId="52E97E4E"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7" w:history="1">
            <w:r w:rsidR="00A73048" w:rsidRPr="00BC5437">
              <w:rPr>
                <w:rStyle w:val="Hyperlink"/>
                <w:rFonts w:ascii="Arial" w:hAnsi="Arial" w:cs="Arial"/>
                <w:noProof/>
                <w:sz w:val="24"/>
                <w:szCs w:val="24"/>
              </w:rPr>
              <w:t>Office Work Arrangement</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_Toc158989097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6</w:t>
            </w:r>
            <w:r w:rsidR="00A73048" w:rsidRPr="00BC5437">
              <w:rPr>
                <w:rFonts w:ascii="Arial" w:hAnsi="Arial" w:cs="Arial"/>
                <w:noProof/>
                <w:webHidden/>
                <w:sz w:val="24"/>
                <w:szCs w:val="24"/>
              </w:rPr>
              <w:fldChar w:fldCharType="end"/>
            </w:r>
          </w:hyperlink>
        </w:p>
        <w:p w14:paraId="57BF96D7" w14:textId="4A7E2436"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8" w:history="1">
            <w:r w:rsidR="00A73048" w:rsidRPr="00BC5437">
              <w:rPr>
                <w:rStyle w:val="Hyperlink"/>
                <w:rFonts w:ascii="Arial" w:hAnsi="Arial" w:cs="Arial"/>
                <w:noProof/>
                <w:sz w:val="24"/>
                <w:szCs w:val="24"/>
              </w:rPr>
              <w:t>Flexible Work Mode</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_Toc158989098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6</w:t>
            </w:r>
            <w:r w:rsidR="00A73048" w:rsidRPr="00BC5437">
              <w:rPr>
                <w:rFonts w:ascii="Arial" w:hAnsi="Arial" w:cs="Arial"/>
                <w:noProof/>
                <w:webHidden/>
                <w:sz w:val="24"/>
                <w:szCs w:val="24"/>
              </w:rPr>
              <w:fldChar w:fldCharType="end"/>
            </w:r>
          </w:hyperlink>
        </w:p>
        <w:p w14:paraId="6C0A9018" w14:textId="620268B3"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099" w:history="1">
            <w:r w:rsidR="00A73048" w:rsidRPr="00BC5437">
              <w:rPr>
                <w:rStyle w:val="Hyperlink"/>
                <w:rFonts w:ascii="Arial" w:hAnsi="Arial" w:cs="Arial"/>
                <w:noProof/>
                <w:sz w:val="24"/>
                <w:szCs w:val="24"/>
              </w:rPr>
              <w:t>Hybrid Work Mode</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_Toc158989099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6</w:t>
            </w:r>
            <w:r w:rsidR="00A73048" w:rsidRPr="00BC5437">
              <w:rPr>
                <w:rFonts w:ascii="Arial" w:hAnsi="Arial" w:cs="Arial"/>
                <w:noProof/>
                <w:webHidden/>
                <w:sz w:val="24"/>
                <w:szCs w:val="24"/>
              </w:rPr>
              <w:fldChar w:fldCharType="end"/>
            </w:r>
          </w:hyperlink>
        </w:p>
        <w:p w14:paraId="6C46C853" w14:textId="783381E8" w:rsidR="00A73048" w:rsidRPr="00BC5437" w:rsidRDefault="00000000" w:rsidP="00A73048">
          <w:pPr>
            <w:pStyle w:val="TOC2"/>
            <w:tabs>
              <w:tab w:val="right" w:leader="dot" w:pos="9350"/>
            </w:tabs>
            <w:spacing w:line="360" w:lineRule="auto"/>
            <w:jc w:val="both"/>
            <w:rPr>
              <w:rFonts w:ascii="Arial" w:eastAsiaTheme="minorEastAsia" w:hAnsi="Arial" w:cs="Arial"/>
              <w:noProof/>
              <w:kern w:val="2"/>
              <w:sz w:val="24"/>
              <w:szCs w:val="24"/>
              <w:lang w:val="en-IN" w:eastAsia="en-IN"/>
            </w:rPr>
          </w:pPr>
          <w:hyperlink w:anchor="_Toc158989100" w:history="1">
            <w:r w:rsidR="00A73048" w:rsidRPr="00BC5437">
              <w:rPr>
                <w:rStyle w:val="Hyperlink"/>
                <w:rFonts w:ascii="Arial" w:hAnsi="Arial" w:cs="Arial"/>
                <w:noProof/>
                <w:sz w:val="24"/>
                <w:szCs w:val="24"/>
              </w:rPr>
              <w:t>Case Studies of International Hotel Brands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_Toc158989100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7</w:t>
            </w:r>
            <w:r w:rsidR="00A73048" w:rsidRPr="00BC5437">
              <w:rPr>
                <w:rFonts w:ascii="Arial" w:hAnsi="Arial" w:cs="Arial"/>
                <w:noProof/>
                <w:webHidden/>
                <w:sz w:val="24"/>
                <w:szCs w:val="24"/>
              </w:rPr>
              <w:fldChar w:fldCharType="end"/>
            </w:r>
          </w:hyperlink>
        </w:p>
        <w:p w14:paraId="72800FA9" w14:textId="71EEAD95"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101" w:history="1">
            <w:r w:rsidR="00A73048" w:rsidRPr="00BC5437">
              <w:rPr>
                <w:rStyle w:val="Hyperlink"/>
                <w:rFonts w:ascii="Arial" w:hAnsi="Arial" w:cs="Arial"/>
                <w:noProof/>
                <w:sz w:val="24"/>
                <w:szCs w:val="24"/>
              </w:rPr>
              <w:t>Marriott</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_Toc158989101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7</w:t>
            </w:r>
            <w:r w:rsidR="00A73048" w:rsidRPr="00BC5437">
              <w:rPr>
                <w:rFonts w:ascii="Arial" w:hAnsi="Arial" w:cs="Arial"/>
                <w:noProof/>
                <w:webHidden/>
                <w:sz w:val="24"/>
                <w:szCs w:val="24"/>
              </w:rPr>
              <w:fldChar w:fldCharType="end"/>
            </w:r>
          </w:hyperlink>
        </w:p>
        <w:p w14:paraId="35E5BBCF" w14:textId="00510CFB"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102" w:history="1">
            <w:r w:rsidR="00A73048" w:rsidRPr="00BC5437">
              <w:rPr>
                <w:rStyle w:val="Hyperlink"/>
                <w:rFonts w:ascii="Arial" w:hAnsi="Arial" w:cs="Arial"/>
                <w:noProof/>
                <w:sz w:val="24"/>
                <w:szCs w:val="24"/>
              </w:rPr>
              <w:t>Premier Inn</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_Toc158989102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7</w:t>
            </w:r>
            <w:r w:rsidR="00A73048" w:rsidRPr="00BC5437">
              <w:rPr>
                <w:rFonts w:ascii="Arial" w:hAnsi="Arial" w:cs="Arial"/>
                <w:noProof/>
                <w:webHidden/>
                <w:sz w:val="24"/>
                <w:szCs w:val="24"/>
              </w:rPr>
              <w:fldChar w:fldCharType="end"/>
            </w:r>
          </w:hyperlink>
        </w:p>
        <w:p w14:paraId="4962BFF4" w14:textId="720A3B64" w:rsidR="00A73048" w:rsidRPr="00BC5437" w:rsidRDefault="00000000" w:rsidP="00A73048">
          <w:pPr>
            <w:pStyle w:val="TOC3"/>
            <w:tabs>
              <w:tab w:val="right" w:leader="dot" w:pos="9350"/>
            </w:tabs>
            <w:spacing w:line="360" w:lineRule="auto"/>
            <w:jc w:val="both"/>
            <w:rPr>
              <w:rFonts w:ascii="Arial" w:eastAsiaTheme="minorEastAsia" w:hAnsi="Arial" w:cs="Arial"/>
              <w:noProof/>
              <w:kern w:val="2"/>
              <w:sz w:val="24"/>
              <w:szCs w:val="24"/>
              <w:lang w:val="en-IN" w:eastAsia="en-IN"/>
            </w:rPr>
          </w:pPr>
          <w:hyperlink w:anchor="_Toc158989103" w:history="1">
            <w:r w:rsidR="00A73048" w:rsidRPr="00BC5437">
              <w:rPr>
                <w:rStyle w:val="Hyperlink"/>
                <w:rFonts w:ascii="Arial" w:hAnsi="Arial" w:cs="Arial"/>
                <w:noProof/>
                <w:sz w:val="24"/>
                <w:szCs w:val="24"/>
              </w:rPr>
              <w:t>Hilton</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_Toc158989103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7</w:t>
            </w:r>
            <w:r w:rsidR="00A73048" w:rsidRPr="00BC5437">
              <w:rPr>
                <w:rFonts w:ascii="Arial" w:hAnsi="Arial" w:cs="Arial"/>
                <w:noProof/>
                <w:webHidden/>
                <w:sz w:val="24"/>
                <w:szCs w:val="24"/>
              </w:rPr>
              <w:fldChar w:fldCharType="end"/>
            </w:r>
          </w:hyperlink>
        </w:p>
        <w:p w14:paraId="6C6ABF9E" w14:textId="50C2C28D" w:rsidR="00A73048" w:rsidRPr="00BC5437" w:rsidRDefault="00000000" w:rsidP="00A73048">
          <w:pPr>
            <w:pStyle w:val="TOC1"/>
            <w:tabs>
              <w:tab w:val="right" w:leader="dot" w:pos="9350"/>
            </w:tabs>
            <w:spacing w:line="360" w:lineRule="auto"/>
            <w:jc w:val="both"/>
            <w:rPr>
              <w:rFonts w:ascii="Arial" w:eastAsiaTheme="minorEastAsia" w:hAnsi="Arial" w:cs="Arial"/>
              <w:noProof/>
              <w:kern w:val="2"/>
              <w:sz w:val="24"/>
              <w:szCs w:val="24"/>
              <w:lang w:val="en-IN" w:eastAsia="en-IN"/>
            </w:rPr>
          </w:pPr>
          <w:hyperlink w:anchor="_Toc158989104" w:history="1">
            <w:r w:rsidR="00A73048" w:rsidRPr="00BC5437">
              <w:rPr>
                <w:rStyle w:val="Hyperlink"/>
                <w:rFonts w:ascii="Arial" w:hAnsi="Arial" w:cs="Arial"/>
                <w:noProof/>
                <w:sz w:val="24"/>
                <w:szCs w:val="24"/>
              </w:rPr>
              <w:t>Monitoring and Managing Employees in Different Work Modes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_Toc158989104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7</w:t>
            </w:r>
            <w:r w:rsidR="00A73048" w:rsidRPr="00BC5437">
              <w:rPr>
                <w:rFonts w:ascii="Arial" w:hAnsi="Arial" w:cs="Arial"/>
                <w:noProof/>
                <w:webHidden/>
                <w:sz w:val="24"/>
                <w:szCs w:val="24"/>
              </w:rPr>
              <w:fldChar w:fldCharType="end"/>
            </w:r>
          </w:hyperlink>
        </w:p>
        <w:p w14:paraId="5645F148" w14:textId="34C87993" w:rsidR="00A73048" w:rsidRPr="00BC5437" w:rsidRDefault="00000000" w:rsidP="00A73048">
          <w:pPr>
            <w:pStyle w:val="TOC1"/>
            <w:tabs>
              <w:tab w:val="right" w:leader="dot" w:pos="9350"/>
            </w:tabs>
            <w:spacing w:line="360" w:lineRule="auto"/>
            <w:jc w:val="both"/>
            <w:rPr>
              <w:rFonts w:ascii="Arial" w:eastAsiaTheme="minorEastAsia" w:hAnsi="Arial" w:cs="Arial"/>
              <w:noProof/>
              <w:kern w:val="2"/>
              <w:sz w:val="24"/>
              <w:szCs w:val="24"/>
              <w:lang w:val="en-IN" w:eastAsia="en-IN"/>
            </w:rPr>
          </w:pPr>
          <w:hyperlink w:anchor="_Toc158989105" w:history="1">
            <w:r w:rsidR="00A73048" w:rsidRPr="00BC5437">
              <w:rPr>
                <w:rStyle w:val="Hyperlink"/>
                <w:rFonts w:ascii="Arial" w:hAnsi="Arial" w:cs="Arial"/>
                <w:noProof/>
                <w:sz w:val="24"/>
                <w:szCs w:val="24"/>
              </w:rPr>
              <w:t>Potential Solutions and Best Practices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_Toc158989105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8</w:t>
            </w:r>
            <w:r w:rsidR="00A73048" w:rsidRPr="00BC5437">
              <w:rPr>
                <w:rFonts w:ascii="Arial" w:hAnsi="Arial" w:cs="Arial"/>
                <w:noProof/>
                <w:webHidden/>
                <w:sz w:val="24"/>
                <w:szCs w:val="24"/>
              </w:rPr>
              <w:fldChar w:fldCharType="end"/>
            </w:r>
          </w:hyperlink>
        </w:p>
        <w:p w14:paraId="54462BC0" w14:textId="27717E03" w:rsidR="00A73048" w:rsidRPr="00BC5437" w:rsidRDefault="00000000" w:rsidP="00A73048">
          <w:pPr>
            <w:pStyle w:val="TOC1"/>
            <w:tabs>
              <w:tab w:val="right" w:leader="dot" w:pos="9350"/>
            </w:tabs>
            <w:spacing w:line="360" w:lineRule="auto"/>
            <w:jc w:val="both"/>
            <w:rPr>
              <w:rFonts w:ascii="Arial" w:eastAsiaTheme="minorEastAsia" w:hAnsi="Arial" w:cs="Arial"/>
              <w:noProof/>
              <w:kern w:val="2"/>
              <w:sz w:val="24"/>
              <w:szCs w:val="24"/>
              <w:lang w:val="en-IN" w:eastAsia="en-IN"/>
            </w:rPr>
          </w:pPr>
          <w:hyperlink w:anchor="_Toc158989106" w:history="1">
            <w:r w:rsidR="00A73048" w:rsidRPr="00BC5437">
              <w:rPr>
                <w:rStyle w:val="Hyperlink"/>
                <w:rFonts w:ascii="Arial" w:hAnsi="Arial" w:cs="Arial"/>
                <w:noProof/>
                <w:sz w:val="24"/>
                <w:szCs w:val="24"/>
              </w:rPr>
              <w:t>Evaluation and Conclusion</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_Toc158989106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8</w:t>
            </w:r>
            <w:r w:rsidR="00A73048" w:rsidRPr="00BC5437">
              <w:rPr>
                <w:rFonts w:ascii="Arial" w:hAnsi="Arial" w:cs="Arial"/>
                <w:noProof/>
                <w:webHidden/>
                <w:sz w:val="24"/>
                <w:szCs w:val="24"/>
              </w:rPr>
              <w:fldChar w:fldCharType="end"/>
            </w:r>
          </w:hyperlink>
        </w:p>
        <w:p w14:paraId="2309415D" w14:textId="334B2105" w:rsidR="00A73048" w:rsidRPr="00BC5437" w:rsidRDefault="00000000" w:rsidP="00A73048">
          <w:pPr>
            <w:pStyle w:val="TOC1"/>
            <w:tabs>
              <w:tab w:val="right" w:leader="dot" w:pos="9350"/>
            </w:tabs>
            <w:spacing w:line="360" w:lineRule="auto"/>
            <w:jc w:val="both"/>
            <w:rPr>
              <w:rFonts w:ascii="Arial" w:eastAsiaTheme="minorEastAsia" w:hAnsi="Arial" w:cs="Arial"/>
              <w:noProof/>
              <w:kern w:val="2"/>
              <w:sz w:val="24"/>
              <w:szCs w:val="24"/>
              <w:lang w:val="en-IN" w:eastAsia="en-IN"/>
            </w:rPr>
          </w:pPr>
          <w:hyperlink w:anchor="_Toc158989107" w:history="1">
            <w:r w:rsidR="00A73048" w:rsidRPr="00BC5437">
              <w:rPr>
                <w:rStyle w:val="Hyperlink"/>
                <w:rFonts w:ascii="Arial" w:hAnsi="Arial" w:cs="Arial"/>
                <w:noProof/>
                <w:sz w:val="24"/>
                <w:szCs w:val="24"/>
              </w:rPr>
              <w:t>References</w:t>
            </w:r>
            <w:r w:rsidR="00A73048" w:rsidRPr="00BC5437">
              <w:rPr>
                <w:rFonts w:ascii="Arial" w:hAnsi="Arial" w:cs="Arial"/>
                <w:noProof/>
                <w:webHidden/>
                <w:sz w:val="24"/>
                <w:szCs w:val="24"/>
              </w:rPr>
              <w:tab/>
            </w:r>
            <w:r w:rsidR="00A73048" w:rsidRPr="00BC5437">
              <w:rPr>
                <w:rFonts w:ascii="Arial" w:hAnsi="Arial" w:cs="Arial"/>
                <w:noProof/>
                <w:webHidden/>
                <w:sz w:val="24"/>
                <w:szCs w:val="24"/>
              </w:rPr>
              <w:fldChar w:fldCharType="begin"/>
            </w:r>
            <w:r w:rsidR="00A73048" w:rsidRPr="00BC5437">
              <w:rPr>
                <w:rFonts w:ascii="Arial" w:hAnsi="Arial" w:cs="Arial"/>
                <w:noProof/>
                <w:webHidden/>
                <w:sz w:val="24"/>
                <w:szCs w:val="24"/>
              </w:rPr>
              <w:instrText xml:space="preserve"> PAGEREF _Toc158989107 \h </w:instrText>
            </w:r>
            <w:r w:rsidR="00A73048" w:rsidRPr="00BC5437">
              <w:rPr>
                <w:rFonts w:ascii="Arial" w:hAnsi="Arial" w:cs="Arial"/>
                <w:noProof/>
                <w:webHidden/>
                <w:sz w:val="24"/>
                <w:szCs w:val="24"/>
              </w:rPr>
            </w:r>
            <w:r w:rsidR="00A73048" w:rsidRPr="00BC5437">
              <w:rPr>
                <w:rFonts w:ascii="Arial" w:hAnsi="Arial" w:cs="Arial"/>
                <w:noProof/>
                <w:webHidden/>
                <w:sz w:val="24"/>
                <w:szCs w:val="24"/>
              </w:rPr>
              <w:fldChar w:fldCharType="separate"/>
            </w:r>
            <w:r w:rsidR="00A73048" w:rsidRPr="00BC5437">
              <w:rPr>
                <w:rFonts w:ascii="Arial" w:hAnsi="Arial" w:cs="Arial"/>
                <w:noProof/>
                <w:webHidden/>
                <w:sz w:val="24"/>
                <w:szCs w:val="24"/>
              </w:rPr>
              <w:t>9</w:t>
            </w:r>
            <w:r w:rsidR="00A73048" w:rsidRPr="00BC5437">
              <w:rPr>
                <w:rFonts w:ascii="Arial" w:hAnsi="Arial" w:cs="Arial"/>
                <w:noProof/>
                <w:webHidden/>
                <w:sz w:val="24"/>
                <w:szCs w:val="24"/>
              </w:rPr>
              <w:fldChar w:fldCharType="end"/>
            </w:r>
          </w:hyperlink>
        </w:p>
        <w:p w14:paraId="0E35404F" w14:textId="351D53BE" w:rsidR="002835D7" w:rsidRPr="00BC5437" w:rsidRDefault="00F2458D" w:rsidP="00F2458D">
          <w:pPr>
            <w:spacing w:line="360" w:lineRule="auto"/>
            <w:jc w:val="both"/>
            <w:rPr>
              <w:rFonts w:ascii="Arial" w:hAnsi="Arial" w:cs="Arial"/>
              <w:sz w:val="24"/>
              <w:szCs w:val="24"/>
            </w:rPr>
          </w:pPr>
          <w:r w:rsidRPr="00BC5437">
            <w:rPr>
              <w:rFonts w:ascii="Arial" w:hAnsi="Arial" w:cs="Arial"/>
              <w:b/>
              <w:bCs/>
              <w:noProof/>
              <w:sz w:val="24"/>
              <w:szCs w:val="24"/>
            </w:rPr>
            <w:lastRenderedPageBreak/>
            <w:fldChar w:fldCharType="end"/>
          </w:r>
        </w:p>
      </w:sdtContent>
    </w:sdt>
    <w:p w14:paraId="6D3A1346" w14:textId="3A9E72E3" w:rsidR="002835D7" w:rsidRPr="00BC5437" w:rsidRDefault="002835D7" w:rsidP="00F2458D">
      <w:pPr>
        <w:pStyle w:val="Heading1"/>
        <w:spacing w:line="360" w:lineRule="auto"/>
        <w:rPr>
          <w:rFonts w:ascii="Arial" w:hAnsi="Arial" w:cs="Arial"/>
          <w:sz w:val="24"/>
          <w:szCs w:val="24"/>
        </w:rPr>
      </w:pPr>
      <w:bookmarkStart w:id="0" w:name="_Toc158989084"/>
      <w:r w:rsidRPr="00BC5437">
        <w:rPr>
          <w:rFonts w:ascii="Arial" w:hAnsi="Arial" w:cs="Arial"/>
          <w:sz w:val="24"/>
          <w:szCs w:val="24"/>
        </w:rPr>
        <w:t>Introduction and Background</w:t>
      </w:r>
      <w:bookmarkEnd w:id="0"/>
    </w:p>
    <w:p w14:paraId="680261DC" w14:textId="7BF068E9"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InterContinental Hotels Group (IHG) is one of the world’s leading hotel companies, operating more than 5,900 hotels in 100 countries (Agarwal and Farndale, 2022). IHG owns prestigious hospitality brands such as Holiday Inn, Crowne Plaza, and InterContinental. As the hospitality industry embraces new business models during the pandemic, including remote and hybrid systems. IHG faces challenges in managing and monitoring employee performance across multiple business lines. This report for IHG, through the lens of PESTLE analysis, examines the impact of socio-economic development on human resource management and makes recommendations for improving performance management in the organisation.</w:t>
      </w:r>
    </w:p>
    <w:p w14:paraId="3E711175" w14:textId="77777777" w:rsidR="002835D7" w:rsidRPr="00BC5437" w:rsidRDefault="002835D7" w:rsidP="00F2458D">
      <w:pPr>
        <w:pStyle w:val="Heading1"/>
        <w:spacing w:line="360" w:lineRule="auto"/>
        <w:rPr>
          <w:rFonts w:ascii="Arial" w:hAnsi="Arial" w:cs="Arial"/>
          <w:sz w:val="24"/>
          <w:szCs w:val="24"/>
        </w:rPr>
      </w:pPr>
      <w:bookmarkStart w:id="1" w:name="_Toc158989085"/>
      <w:r w:rsidRPr="00BC5437">
        <w:rPr>
          <w:rFonts w:ascii="Arial" w:hAnsi="Arial" w:cs="Arial"/>
          <w:sz w:val="24"/>
          <w:szCs w:val="24"/>
        </w:rPr>
        <w:t>Discussion and Literature Review</w:t>
      </w:r>
      <w:bookmarkEnd w:id="1"/>
      <w:r w:rsidRPr="00BC5437">
        <w:rPr>
          <w:rFonts w:ascii="Arial" w:hAnsi="Arial" w:cs="Arial"/>
          <w:sz w:val="24"/>
          <w:szCs w:val="24"/>
        </w:rPr>
        <w:t> </w:t>
      </w:r>
    </w:p>
    <w:p w14:paraId="12B79BDC" w14:textId="03C81920" w:rsidR="002835D7" w:rsidRPr="00BC5437" w:rsidRDefault="002835D7" w:rsidP="00F2458D">
      <w:pPr>
        <w:pStyle w:val="Heading2"/>
        <w:spacing w:line="360" w:lineRule="auto"/>
        <w:rPr>
          <w:rFonts w:ascii="Arial" w:hAnsi="Arial" w:cs="Arial"/>
          <w:sz w:val="24"/>
          <w:szCs w:val="24"/>
        </w:rPr>
      </w:pPr>
      <w:bookmarkStart w:id="2" w:name="_Toc158989086"/>
      <w:r w:rsidRPr="00BC5437">
        <w:rPr>
          <w:rFonts w:ascii="Arial" w:hAnsi="Arial" w:cs="Arial"/>
          <w:sz w:val="24"/>
          <w:szCs w:val="24"/>
        </w:rPr>
        <w:t>Review of Socio-Economic Factors - PESTLE Analysis</w:t>
      </w:r>
      <w:bookmarkEnd w:id="2"/>
    </w:p>
    <w:p w14:paraId="28E2FF0B" w14:textId="77777777" w:rsidR="002835D7" w:rsidRPr="00BC5437" w:rsidRDefault="002835D7" w:rsidP="00F2458D">
      <w:pPr>
        <w:pStyle w:val="Heading3"/>
        <w:spacing w:line="360" w:lineRule="auto"/>
        <w:rPr>
          <w:rFonts w:ascii="Arial" w:hAnsi="Arial" w:cs="Arial"/>
        </w:rPr>
      </w:pPr>
      <w:bookmarkStart w:id="3" w:name="_Toc158989087"/>
      <w:r w:rsidRPr="00BC5437">
        <w:rPr>
          <w:rFonts w:ascii="Arial" w:hAnsi="Arial" w:cs="Arial"/>
        </w:rPr>
        <w:t>Political Factors</w:t>
      </w:r>
      <w:bookmarkEnd w:id="3"/>
      <w:r w:rsidRPr="00BC5437">
        <w:rPr>
          <w:rFonts w:ascii="Arial" w:hAnsi="Arial" w:cs="Arial"/>
        </w:rPr>
        <w:t> </w:t>
      </w:r>
    </w:p>
    <w:p w14:paraId="275F24B6" w14:textId="77777777"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Key political issues affecting IHG's HR management include changing laws regarding telecommuting and flexible policies in different states and provinces. As governments introduce new laws giving employees the right to request telework options, IHG ensures compliance in its global operations. In addition, visa and immigration policies may affect the available talent pool from which IHG sources employees (Bibi, Ahmad, and Majid, 2021). Trade linkages such as those enabled by the EU also facilitate the movement of workers. Understanding the political system is important when IHG adopts new strategies. Continuous monitoring of political developments should be incorporated within the direction of the HR policies and business strategy of the organisation.</w:t>
      </w:r>
    </w:p>
    <w:p w14:paraId="08101A2F" w14:textId="77777777" w:rsidR="002835D7" w:rsidRPr="00BC5437" w:rsidRDefault="002835D7" w:rsidP="00F2458D">
      <w:pPr>
        <w:pStyle w:val="Heading3"/>
        <w:spacing w:line="360" w:lineRule="auto"/>
        <w:rPr>
          <w:rFonts w:ascii="Arial" w:hAnsi="Arial" w:cs="Arial"/>
        </w:rPr>
      </w:pPr>
      <w:bookmarkStart w:id="4" w:name="_Toc158989088"/>
      <w:r w:rsidRPr="00BC5437">
        <w:rPr>
          <w:rFonts w:ascii="Arial" w:hAnsi="Arial" w:cs="Arial"/>
        </w:rPr>
        <w:t>Economic Factors</w:t>
      </w:r>
      <w:bookmarkEnd w:id="4"/>
      <w:r w:rsidRPr="00BC5437">
        <w:rPr>
          <w:rFonts w:ascii="Arial" w:hAnsi="Arial" w:cs="Arial"/>
        </w:rPr>
        <w:t> </w:t>
      </w:r>
    </w:p>
    <w:p w14:paraId="6CC93C29" w14:textId="77777777"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 xml:space="preserve">Key economic factors affecting IHG's HR management include labour market conditions, talent availability, compensation, and broader economic growth. Strong labour market, talent shortages, high-performance labour, supply of recruitment and retention costs are the factors that have the potential to affect the HR management of IHG (De Abreu Dos Reis, 2021). The hospitality industry experienced high levels of resignations and personnel challenges, especially for the highly customer centric approach of the industry. </w:t>
      </w:r>
      <w:r w:rsidRPr="00BC5437">
        <w:rPr>
          <w:rFonts w:ascii="Arial" w:hAnsi="Arial" w:cs="Arial"/>
          <w:color w:val="000000"/>
        </w:rPr>
        <w:lastRenderedPageBreak/>
        <w:t>The downturn in the economy of the UK is also affecting the hotel industry. By monitoring metrics such as GDP growth, unemployment rates, customer confidence indicators, and business performance, IHG can proactively adapt HR strategies to attract, reward and retain top talent in an economic climate as it fluctuates in its business cycle.</w:t>
      </w:r>
    </w:p>
    <w:p w14:paraId="7F15EED8" w14:textId="77777777" w:rsidR="002835D7" w:rsidRPr="00BC5437" w:rsidRDefault="002835D7" w:rsidP="00F2458D">
      <w:pPr>
        <w:pStyle w:val="Heading3"/>
        <w:spacing w:line="360" w:lineRule="auto"/>
        <w:rPr>
          <w:rFonts w:ascii="Arial" w:hAnsi="Arial" w:cs="Arial"/>
        </w:rPr>
      </w:pPr>
      <w:bookmarkStart w:id="5" w:name="_Toc158989089"/>
      <w:r w:rsidRPr="00BC5437">
        <w:rPr>
          <w:rFonts w:ascii="Arial" w:hAnsi="Arial" w:cs="Arial"/>
        </w:rPr>
        <w:t>Social Factors</w:t>
      </w:r>
      <w:bookmarkEnd w:id="5"/>
      <w:r w:rsidRPr="00BC5437">
        <w:rPr>
          <w:rFonts w:ascii="Arial" w:hAnsi="Arial" w:cs="Arial"/>
        </w:rPr>
        <w:t> </w:t>
      </w:r>
    </w:p>
    <w:p w14:paraId="0778E1B6" w14:textId="391474FE"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Key social factors shaping IHG’s HR management strategies include employee demographics and perceptions of work-life balance and the flexibility of the work environment. In the UK, millennials, and younger generations of workers such as Gen Z are showing a greater preference for remote/hybrid career options over traditional on-site roles. In addition, priorities related to work-life integration, career advancement opportunities, and company culture influence employee experience, retention, and turnover rates (Dixit, and Prakash, 2022). Generation differences and social changes can lead to progressive workforce strategies that meet the needs of multi-generational workers across all countries where IHG operates. This approach can help manage talent across multiple career paths within the organisation.</w:t>
      </w:r>
    </w:p>
    <w:p w14:paraId="4377C5BB" w14:textId="77777777" w:rsidR="002835D7" w:rsidRPr="00BC5437" w:rsidRDefault="002835D7" w:rsidP="00F2458D">
      <w:pPr>
        <w:pStyle w:val="Heading3"/>
        <w:spacing w:line="360" w:lineRule="auto"/>
        <w:rPr>
          <w:rFonts w:ascii="Arial" w:hAnsi="Arial" w:cs="Arial"/>
        </w:rPr>
      </w:pPr>
      <w:bookmarkStart w:id="6" w:name="_Toc158989090"/>
      <w:r w:rsidRPr="00BC5437">
        <w:rPr>
          <w:rFonts w:ascii="Arial" w:hAnsi="Arial" w:cs="Arial"/>
        </w:rPr>
        <w:t>Technological Factors</w:t>
      </w:r>
      <w:bookmarkEnd w:id="6"/>
      <w:r w:rsidRPr="00BC5437">
        <w:rPr>
          <w:rFonts w:ascii="Arial" w:hAnsi="Arial" w:cs="Arial"/>
        </w:rPr>
        <w:t> </w:t>
      </w:r>
    </w:p>
    <w:p w14:paraId="64E95CC4" w14:textId="77777777"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The adoption of new digital tools and technologies is key to enabling effective remote and hybrid business planning at IHG hotels. Solutions such as cloud-based collaboration platforms, employee management software, virtual training, mobile self-service portals, and data analytics help engage hybrid/remote employees. Investing in digital infrastructure to manage, communicate, and generate team dispersion is effective (</w:t>
      </w:r>
      <w:proofErr w:type="spellStart"/>
      <w:r w:rsidRPr="00BC5437">
        <w:rPr>
          <w:rFonts w:ascii="Arial" w:hAnsi="Arial" w:cs="Arial"/>
          <w:color w:val="000000"/>
        </w:rPr>
        <w:t>Gerdenitsch</w:t>
      </w:r>
      <w:proofErr w:type="spellEnd"/>
      <w:r w:rsidRPr="00BC5437">
        <w:rPr>
          <w:rFonts w:ascii="Arial" w:hAnsi="Arial" w:cs="Arial"/>
          <w:color w:val="000000"/>
        </w:rPr>
        <w:t xml:space="preserve"> </w:t>
      </w:r>
      <w:r w:rsidRPr="00BC5437">
        <w:rPr>
          <w:rFonts w:ascii="Arial" w:hAnsi="Arial" w:cs="Arial"/>
          <w:i/>
          <w:iCs/>
          <w:color w:val="000000"/>
        </w:rPr>
        <w:t xml:space="preserve">et al. </w:t>
      </w:r>
      <w:r w:rsidRPr="00BC5437">
        <w:rPr>
          <w:rFonts w:ascii="Arial" w:hAnsi="Arial" w:cs="Arial"/>
          <w:color w:val="000000"/>
        </w:rPr>
        <w:t>2022). Technologies such as automation and AI are also helping to solve labour shortages by improving job quality. Staying updated about technological innovation is critical to IHG’s talent management success across various locations within the UK.</w:t>
      </w:r>
    </w:p>
    <w:p w14:paraId="6798B021" w14:textId="77777777" w:rsidR="002835D7" w:rsidRPr="00BC5437" w:rsidRDefault="002835D7" w:rsidP="00F2458D">
      <w:pPr>
        <w:pStyle w:val="Heading3"/>
        <w:spacing w:line="360" w:lineRule="auto"/>
        <w:rPr>
          <w:rFonts w:ascii="Arial" w:hAnsi="Arial" w:cs="Arial"/>
        </w:rPr>
      </w:pPr>
      <w:bookmarkStart w:id="7" w:name="_Toc158989091"/>
      <w:r w:rsidRPr="00BC5437">
        <w:rPr>
          <w:rFonts w:ascii="Arial" w:hAnsi="Arial" w:cs="Arial"/>
        </w:rPr>
        <w:t>Environmental Factors</w:t>
      </w:r>
      <w:bookmarkEnd w:id="7"/>
      <w:r w:rsidRPr="00BC5437">
        <w:rPr>
          <w:rFonts w:ascii="Arial" w:hAnsi="Arial" w:cs="Arial"/>
        </w:rPr>
        <w:t> </w:t>
      </w:r>
    </w:p>
    <w:p w14:paraId="67A9D587" w14:textId="7168B234"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 xml:space="preserve">Key environmental issues affecting IHG's HR strategy include sustainability goals, climate change strategy, and environmental awareness of the employees of the organisation. IHG aims to achieve zero carbon emissions of the organisation by 2050. To achieve this, aim the company has deployed effective environment friendly projects like effective waste management. Energy storage, renewable energy use, recycling and measurable ESG </w:t>
      </w:r>
      <w:r w:rsidRPr="00BC5437">
        <w:rPr>
          <w:rFonts w:ascii="Arial" w:hAnsi="Arial" w:cs="Arial"/>
          <w:color w:val="000000"/>
        </w:rPr>
        <w:lastRenderedPageBreak/>
        <w:t>initiatives are attracting millennials and investors (</w:t>
      </w:r>
      <w:proofErr w:type="spellStart"/>
      <w:r w:rsidRPr="00BC5437">
        <w:rPr>
          <w:rFonts w:ascii="Arial" w:hAnsi="Arial" w:cs="Arial"/>
          <w:color w:val="000000"/>
        </w:rPr>
        <w:t>Indrasari</w:t>
      </w:r>
      <w:proofErr w:type="spellEnd"/>
      <w:r w:rsidRPr="00BC5437">
        <w:rPr>
          <w:rFonts w:ascii="Arial" w:hAnsi="Arial" w:cs="Arial"/>
          <w:color w:val="000000"/>
        </w:rPr>
        <w:t xml:space="preserve"> </w:t>
      </w:r>
      <w:r w:rsidRPr="00BC5437">
        <w:rPr>
          <w:rFonts w:ascii="Arial" w:hAnsi="Arial" w:cs="Arial"/>
          <w:i/>
          <w:iCs/>
          <w:color w:val="000000"/>
        </w:rPr>
        <w:t xml:space="preserve">et al. </w:t>
      </w:r>
      <w:r w:rsidRPr="00BC5437">
        <w:rPr>
          <w:rFonts w:ascii="Arial" w:hAnsi="Arial" w:cs="Arial"/>
          <w:color w:val="000000"/>
        </w:rPr>
        <w:t>2021). Everyday transportation emissions are further reduced by allowable remote operations. Eco-friendly brands also have large talent pools. However, for customer centric activities, on-site presence is still important for the employees of the hospitality industry. Balancing environmental commitments with business requirements is important in designing policies.</w:t>
      </w:r>
    </w:p>
    <w:p w14:paraId="79717953" w14:textId="77777777" w:rsidR="002835D7" w:rsidRPr="00BC5437" w:rsidRDefault="002835D7" w:rsidP="00F2458D">
      <w:pPr>
        <w:pStyle w:val="Heading3"/>
        <w:spacing w:line="360" w:lineRule="auto"/>
        <w:rPr>
          <w:rFonts w:ascii="Arial" w:hAnsi="Arial" w:cs="Arial"/>
        </w:rPr>
      </w:pPr>
      <w:bookmarkStart w:id="8" w:name="_Toc158989092"/>
      <w:r w:rsidRPr="00BC5437">
        <w:rPr>
          <w:rFonts w:ascii="Arial" w:hAnsi="Arial" w:cs="Arial"/>
        </w:rPr>
        <w:t>Legal Factors</w:t>
      </w:r>
      <w:bookmarkEnd w:id="8"/>
    </w:p>
    <w:p w14:paraId="11486AD4" w14:textId="77777777"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Complying with business laws and regulations in many countries is important because IHG operates with flexible business processes worldwide. These include data protection laws, telecommuting eligibility, overtime pay, access to health care, as well as policies related to parental leave. Violations of these policies can have negative impacts on the operations of the organisation. Clear company policies and a strong human resource management system are critical for IGH to prevent labour violations (Karia, 2021). Local regulatory developments regarding remote work opportunities and flexible arrangements must be continuously monitored effectively for IHG to comply with regulations. Consulting with provincial legal authorities can help the organisation in mitigating the risks associated with changing laws that apply to new business models.</w:t>
      </w:r>
    </w:p>
    <w:p w14:paraId="2236FC4B" w14:textId="2575E0F2" w:rsidR="002835D7" w:rsidRPr="00BC5437" w:rsidRDefault="002835D7" w:rsidP="00F2458D">
      <w:pPr>
        <w:pStyle w:val="Heading2"/>
        <w:spacing w:line="360" w:lineRule="auto"/>
        <w:rPr>
          <w:rFonts w:ascii="Arial" w:hAnsi="Arial" w:cs="Arial"/>
          <w:sz w:val="24"/>
          <w:szCs w:val="24"/>
        </w:rPr>
      </w:pPr>
      <w:bookmarkStart w:id="9" w:name="_Toc158989093"/>
      <w:r w:rsidRPr="00BC5437">
        <w:rPr>
          <w:rFonts w:ascii="Arial" w:hAnsi="Arial" w:cs="Arial"/>
          <w:sz w:val="24"/>
          <w:szCs w:val="24"/>
        </w:rPr>
        <w:t>Industry Trends</w:t>
      </w:r>
      <w:bookmarkEnd w:id="9"/>
    </w:p>
    <w:p w14:paraId="2F42639A" w14:textId="49AC9BF1" w:rsidR="00A73048" w:rsidRPr="00BC5437" w:rsidRDefault="00A73048" w:rsidP="00A73048">
      <w:pPr>
        <w:pStyle w:val="Heading3"/>
        <w:spacing w:line="360" w:lineRule="auto"/>
        <w:rPr>
          <w:rFonts w:ascii="Arial" w:hAnsi="Arial" w:cs="Arial"/>
        </w:rPr>
      </w:pPr>
      <w:bookmarkStart w:id="10" w:name="_Toc158989094"/>
      <w:r w:rsidRPr="00BC5437">
        <w:rPr>
          <w:rFonts w:ascii="Arial" w:hAnsi="Arial" w:cs="Arial"/>
        </w:rPr>
        <w:t>Changes in turnover Rates</w:t>
      </w:r>
      <w:bookmarkEnd w:id="10"/>
      <w:r w:rsidRPr="00BC5437">
        <w:rPr>
          <w:rFonts w:ascii="Arial" w:hAnsi="Arial" w:cs="Arial"/>
        </w:rPr>
        <w:t> </w:t>
      </w:r>
    </w:p>
    <w:p w14:paraId="75C55B09" w14:textId="4785C5BA" w:rsidR="00A73048" w:rsidRPr="00BC5437" w:rsidRDefault="00A73048" w:rsidP="00A73048">
      <w:pPr>
        <w:pStyle w:val="NormalWeb"/>
        <w:spacing w:before="0" w:beforeAutospacing="0" w:after="0" w:afterAutospacing="0" w:line="360" w:lineRule="auto"/>
        <w:jc w:val="both"/>
        <w:rPr>
          <w:rFonts w:ascii="Arial" w:hAnsi="Arial" w:cs="Arial"/>
        </w:rPr>
      </w:pPr>
      <w:r w:rsidRPr="00BC5437">
        <w:rPr>
          <w:rFonts w:ascii="Arial" w:hAnsi="Arial" w:cs="Arial"/>
          <w:color w:val="000000"/>
        </w:rPr>
        <w:t xml:space="preserve">The hotel industry recently experienced an all-time high in revenue, with some segments seeing developments as high as 150%. Turnover at IHG was also up nearly 20% during the last few years. High attrition is extremely disruptive and costly for recruitment, and onboarding processes. Pressures from consumer-centric roles, including higher wages, better work-life balance, and career advancement offered by other employers, are among the main factors regarding employee retention within an organisation (Mone, Ning, and </w:t>
      </w:r>
      <w:proofErr w:type="spellStart"/>
      <w:r w:rsidRPr="00BC5437">
        <w:rPr>
          <w:rFonts w:ascii="Arial" w:hAnsi="Arial" w:cs="Arial"/>
          <w:color w:val="000000"/>
        </w:rPr>
        <w:t>Bodalbhai</w:t>
      </w:r>
      <w:proofErr w:type="spellEnd"/>
      <w:r w:rsidRPr="00BC5437">
        <w:rPr>
          <w:rFonts w:ascii="Arial" w:hAnsi="Arial" w:cs="Arial"/>
          <w:color w:val="000000"/>
        </w:rPr>
        <w:t>, 2022). As expectations for talent evolve, priorities around culture, acceptance, decentralisation, and internal mobility will become increasingly important for IHG to retain top performers longer so that the quality of the productivity of the organisation can be developed.</w:t>
      </w:r>
    </w:p>
    <w:p w14:paraId="32798258" w14:textId="3C2515E2" w:rsidR="002835D7" w:rsidRPr="00BC5437" w:rsidRDefault="002835D7" w:rsidP="00F2458D">
      <w:pPr>
        <w:pStyle w:val="Heading3"/>
        <w:spacing w:line="360" w:lineRule="auto"/>
        <w:rPr>
          <w:rFonts w:ascii="Arial" w:hAnsi="Arial" w:cs="Arial"/>
        </w:rPr>
      </w:pPr>
      <w:bookmarkStart w:id="11" w:name="_Toc158989095"/>
      <w:r w:rsidRPr="00BC5437">
        <w:rPr>
          <w:rFonts w:ascii="Arial" w:hAnsi="Arial" w:cs="Arial"/>
        </w:rPr>
        <w:lastRenderedPageBreak/>
        <w:t>Retention Rates</w:t>
      </w:r>
      <w:bookmarkEnd w:id="11"/>
      <w:r w:rsidRPr="00BC5437">
        <w:rPr>
          <w:rFonts w:ascii="Arial" w:hAnsi="Arial" w:cs="Arial"/>
        </w:rPr>
        <w:t> </w:t>
      </w:r>
    </w:p>
    <w:p w14:paraId="7A8A2D2D" w14:textId="066FB5A6"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 xml:space="preserve">The hospitality industry has faced significant retention challenges exacerbated by the COVID-19 pandemic, which has resulted in an increase in staffing levels and talent shortages in various roles pre-pandemic levels of up to 60 cases %, but now it is down to 50%. IHG’s retention data reveals significant industry trends of attrition, especially for customer centric, front-line employees. Reasons for leaving include health and safety concerns, instability, low career advancement, pay and benefits disproportionate to workload, and work life imbalance. Employees who retain their competence are essential to maintaining service and brand reputation (Kusuma, and </w:t>
      </w:r>
      <w:proofErr w:type="spellStart"/>
      <w:r w:rsidRPr="00BC5437">
        <w:rPr>
          <w:rFonts w:ascii="Arial" w:hAnsi="Arial" w:cs="Arial"/>
          <w:color w:val="000000"/>
        </w:rPr>
        <w:t>Sukawati</w:t>
      </w:r>
      <w:proofErr w:type="spellEnd"/>
      <w:r w:rsidRPr="00BC5437">
        <w:rPr>
          <w:rFonts w:ascii="Arial" w:hAnsi="Arial" w:cs="Arial"/>
          <w:color w:val="000000"/>
        </w:rPr>
        <w:t>, 2022). Hotels are struggling to retain top performers due to intense competition for talent, especially in a turbulent economic climate and tight labour market. To deal with the rising attrition rates, companies like IHG are prioritising employee experience, flexibility, wellbeing, training, incentives, and culture. But innovative interventions are critical to build professionalism and provide a consistent customer experience.</w:t>
      </w:r>
    </w:p>
    <w:p w14:paraId="7370A968" w14:textId="71F98B3D" w:rsidR="002835D7" w:rsidRPr="00BC5437" w:rsidRDefault="002835D7" w:rsidP="00F2458D">
      <w:pPr>
        <w:pStyle w:val="Heading2"/>
        <w:spacing w:line="360" w:lineRule="auto"/>
        <w:rPr>
          <w:rFonts w:ascii="Arial" w:hAnsi="Arial" w:cs="Arial"/>
          <w:sz w:val="24"/>
          <w:szCs w:val="24"/>
        </w:rPr>
      </w:pPr>
      <w:bookmarkStart w:id="12" w:name="_Toc158989096"/>
      <w:r w:rsidRPr="00BC5437">
        <w:rPr>
          <w:rFonts w:ascii="Arial" w:hAnsi="Arial" w:cs="Arial"/>
          <w:sz w:val="24"/>
          <w:szCs w:val="24"/>
        </w:rPr>
        <w:t>Emergence of Different Work Modes in the Hospitality Industry</w:t>
      </w:r>
      <w:bookmarkEnd w:id="12"/>
    </w:p>
    <w:p w14:paraId="767F08AF" w14:textId="77777777" w:rsidR="002835D7" w:rsidRPr="00BC5437" w:rsidRDefault="002835D7" w:rsidP="00F2458D">
      <w:pPr>
        <w:pStyle w:val="Heading3"/>
        <w:spacing w:line="360" w:lineRule="auto"/>
        <w:rPr>
          <w:rFonts w:ascii="Arial" w:hAnsi="Arial" w:cs="Arial"/>
        </w:rPr>
      </w:pPr>
      <w:bookmarkStart w:id="13" w:name="_Toc158989097"/>
      <w:r w:rsidRPr="00BC5437">
        <w:rPr>
          <w:rFonts w:ascii="Arial" w:hAnsi="Arial" w:cs="Arial"/>
        </w:rPr>
        <w:t>Office Work Arrangement</w:t>
      </w:r>
      <w:bookmarkEnd w:id="13"/>
      <w:r w:rsidRPr="00BC5437">
        <w:rPr>
          <w:rFonts w:ascii="Arial" w:hAnsi="Arial" w:cs="Arial"/>
        </w:rPr>
        <w:t> </w:t>
      </w:r>
    </w:p>
    <w:p w14:paraId="027D0981" w14:textId="706E0FC9"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On-site office business planning remains a priority for many departments in IHG hotel operations that interact closely with each other - sales, events, kitchens, housekeeping, etc. Along with this, communication strategy enables better collaboration. Real-time effective communication can have a positive impact on faster customer service, and better brand quality management (</w:t>
      </w:r>
      <w:proofErr w:type="spellStart"/>
      <w:r w:rsidRPr="00BC5437">
        <w:rPr>
          <w:rFonts w:ascii="Arial" w:hAnsi="Arial" w:cs="Arial"/>
          <w:color w:val="000000"/>
        </w:rPr>
        <w:t>Owlia</w:t>
      </w:r>
      <w:proofErr w:type="spellEnd"/>
      <w:r w:rsidRPr="00BC5437">
        <w:rPr>
          <w:rFonts w:ascii="Arial" w:hAnsi="Arial" w:cs="Arial"/>
          <w:color w:val="000000"/>
        </w:rPr>
        <w:t>, 2021). However, factors such as safety concerns, childcare services, or disabilities can prevent a work environment. IHG can help create appropriate workplace design across franchises to balance employee needs and productivity by tracking on-site productivity, team development, office costs and employee morale.</w:t>
      </w:r>
    </w:p>
    <w:p w14:paraId="11E24AF2" w14:textId="77777777" w:rsidR="002835D7" w:rsidRPr="00BC5437" w:rsidRDefault="002835D7" w:rsidP="00F2458D">
      <w:pPr>
        <w:pStyle w:val="Heading3"/>
        <w:spacing w:line="360" w:lineRule="auto"/>
        <w:rPr>
          <w:rFonts w:ascii="Arial" w:hAnsi="Arial" w:cs="Arial"/>
        </w:rPr>
      </w:pPr>
      <w:bookmarkStart w:id="14" w:name="_Toc158989098"/>
      <w:r w:rsidRPr="00BC5437">
        <w:rPr>
          <w:rFonts w:ascii="Arial" w:hAnsi="Arial" w:cs="Arial"/>
        </w:rPr>
        <w:t>Flexible Work Mode</w:t>
      </w:r>
      <w:bookmarkEnd w:id="14"/>
    </w:p>
    <w:p w14:paraId="3161D86B" w14:textId="349A3B23" w:rsidR="002835D7" w:rsidRPr="00BC5437" w:rsidRDefault="002835D7" w:rsidP="00F2458D">
      <w:pPr>
        <w:pStyle w:val="NormalWeb"/>
        <w:spacing w:before="0" w:beforeAutospacing="0" w:after="0" w:afterAutospacing="0" w:line="360" w:lineRule="auto"/>
        <w:jc w:val="both"/>
        <w:rPr>
          <w:rFonts w:ascii="Arial" w:hAnsi="Arial" w:cs="Arial"/>
          <w:color w:val="000000"/>
        </w:rPr>
      </w:pPr>
      <w:r w:rsidRPr="00BC5437">
        <w:rPr>
          <w:rFonts w:ascii="Arial" w:hAnsi="Arial" w:cs="Arial"/>
          <w:color w:val="000000"/>
        </w:rPr>
        <w:t xml:space="preserve">Flexibility of work including flexible schedules, compressed weeks, water changes and part-time roles has become popular in hospitality. IHG has increased scheduling flexibility for some relevant activities such as marketing, HR and accounting to help retain employee needs around health and family (Pang, and Lu, 2018). However, customer demand, business activities such as inventory, and peak periods require on-site </w:t>
      </w:r>
      <w:r w:rsidRPr="00BC5437">
        <w:rPr>
          <w:rFonts w:ascii="Arial" w:hAnsi="Arial" w:cs="Arial"/>
          <w:color w:val="000000"/>
        </w:rPr>
        <w:lastRenderedPageBreak/>
        <w:t>structured personnel. System updates, manager training, digitization and automation are needed to integrate seamless processes without compromising the guest experience (Putra, Cho, and Liu, 2022). Establishing clear, mutually agreed criteria for change activities can help IHG facilitate such tiered processes without difficulties. </w:t>
      </w:r>
    </w:p>
    <w:p w14:paraId="5161ABA0" w14:textId="77777777" w:rsidR="00A73048" w:rsidRPr="00BC5437" w:rsidRDefault="00A73048" w:rsidP="00A73048">
      <w:pPr>
        <w:pStyle w:val="Heading3"/>
        <w:spacing w:line="360" w:lineRule="auto"/>
        <w:rPr>
          <w:rFonts w:ascii="Arial" w:hAnsi="Arial" w:cs="Arial"/>
        </w:rPr>
      </w:pPr>
      <w:bookmarkStart w:id="15" w:name="_Toc158989099"/>
      <w:r w:rsidRPr="00BC5437">
        <w:rPr>
          <w:rFonts w:ascii="Arial" w:hAnsi="Arial" w:cs="Arial"/>
        </w:rPr>
        <w:t>Hybrid Work Mode</w:t>
      </w:r>
      <w:bookmarkEnd w:id="15"/>
      <w:r w:rsidRPr="00BC5437">
        <w:rPr>
          <w:rFonts w:ascii="Arial" w:hAnsi="Arial" w:cs="Arial"/>
        </w:rPr>
        <w:t> </w:t>
      </w:r>
    </w:p>
    <w:p w14:paraId="7B71AF33" w14:textId="07AFBE6E" w:rsidR="00A73048" w:rsidRPr="00BC5437" w:rsidRDefault="00A73048"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 xml:space="preserve">Hybrid work combining on-site, and remote work has gained effective development in the post-pandemic hospitality sector. IHG and luxury hotels have begun to facilitate the creation of blended programs for corporate and work from home functions where physical presence is not always necessary (Müller </w:t>
      </w:r>
      <w:r w:rsidRPr="00BC5437">
        <w:rPr>
          <w:rFonts w:ascii="Arial" w:hAnsi="Arial" w:cs="Arial"/>
          <w:i/>
          <w:iCs/>
          <w:color w:val="000000"/>
        </w:rPr>
        <w:t xml:space="preserve">et al. </w:t>
      </w:r>
      <w:r w:rsidRPr="00BC5437">
        <w:rPr>
          <w:rFonts w:ascii="Arial" w:hAnsi="Arial" w:cs="Arial"/>
          <w:color w:val="000000"/>
        </w:rPr>
        <w:t>2020). This gives employees greater flexibility and autonomy. Key benefits include broader talent diversity, ongoing collaboration, and team integration. However, frontline customer-centric activities still require on-site personnel to be effective (</w:t>
      </w:r>
      <w:proofErr w:type="spellStart"/>
      <w:r w:rsidRPr="00BC5437">
        <w:rPr>
          <w:rFonts w:ascii="Arial" w:hAnsi="Arial" w:cs="Arial"/>
          <w:color w:val="000000"/>
        </w:rPr>
        <w:t>Osabiya</w:t>
      </w:r>
      <w:proofErr w:type="spellEnd"/>
      <w:r w:rsidRPr="00BC5437">
        <w:rPr>
          <w:rFonts w:ascii="Arial" w:hAnsi="Arial" w:cs="Arial"/>
          <w:color w:val="000000"/>
        </w:rPr>
        <w:t>, 2022). While the expansion of hybrid strategies helps solve problems of work retention and attrition, IHG must enhance new business ideas, improve digitization efforts, and change business processes through the implementation of hybrid business ethics.</w:t>
      </w:r>
    </w:p>
    <w:p w14:paraId="11B85BB0" w14:textId="12F101B1" w:rsidR="002835D7" w:rsidRPr="00BC5437" w:rsidRDefault="002835D7" w:rsidP="00F2458D">
      <w:pPr>
        <w:pStyle w:val="Heading2"/>
        <w:spacing w:line="360" w:lineRule="auto"/>
        <w:rPr>
          <w:rFonts w:ascii="Arial" w:hAnsi="Arial" w:cs="Arial"/>
          <w:sz w:val="24"/>
          <w:szCs w:val="24"/>
        </w:rPr>
      </w:pPr>
      <w:bookmarkStart w:id="16" w:name="_Toc158989100"/>
      <w:r w:rsidRPr="00BC5437">
        <w:rPr>
          <w:rFonts w:ascii="Arial" w:hAnsi="Arial" w:cs="Arial"/>
          <w:sz w:val="24"/>
          <w:szCs w:val="24"/>
        </w:rPr>
        <w:t>Case Studies of International Hotel Brands</w:t>
      </w:r>
      <w:bookmarkEnd w:id="16"/>
    </w:p>
    <w:p w14:paraId="68A2281B" w14:textId="77777777" w:rsidR="002835D7" w:rsidRPr="00BC5437" w:rsidRDefault="002835D7" w:rsidP="00F2458D">
      <w:pPr>
        <w:pStyle w:val="Heading3"/>
        <w:spacing w:line="360" w:lineRule="auto"/>
        <w:rPr>
          <w:rFonts w:ascii="Arial" w:hAnsi="Arial" w:cs="Arial"/>
        </w:rPr>
      </w:pPr>
      <w:bookmarkStart w:id="17" w:name="_Toc158989101"/>
      <w:r w:rsidRPr="00BC5437">
        <w:rPr>
          <w:rFonts w:ascii="Arial" w:hAnsi="Arial" w:cs="Arial"/>
        </w:rPr>
        <w:t>Marriott</w:t>
      </w:r>
      <w:bookmarkEnd w:id="17"/>
      <w:r w:rsidRPr="00BC5437">
        <w:rPr>
          <w:rFonts w:ascii="Arial" w:hAnsi="Arial" w:cs="Arial"/>
        </w:rPr>
        <w:t> </w:t>
      </w:r>
    </w:p>
    <w:p w14:paraId="2FE9845A" w14:textId="549A3126"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Marriott International has introduced flexible remote work opportunities starting in 2021, now formalised under its Connect with Flex corporate initiative. Spanning more than 55,000 roles across finance, technology and HR, the program gives team members the flexibility to work entirely remotely, hybrid or on-premises following a managerial consultation. To help with communications, Marriott focuses on processes rather than tracking hours, offers virtual collaboration tools, uses AI to collect employee feedback, and makes changes in performance appraisal standards This strategic agility has expanded their talent pool and enabled retention (Reis, 2021). </w:t>
      </w:r>
    </w:p>
    <w:p w14:paraId="328AFD48" w14:textId="77777777" w:rsidR="002835D7" w:rsidRPr="00BC5437" w:rsidRDefault="002835D7" w:rsidP="00F2458D">
      <w:pPr>
        <w:pStyle w:val="Heading3"/>
        <w:spacing w:line="360" w:lineRule="auto"/>
        <w:rPr>
          <w:rFonts w:ascii="Arial" w:hAnsi="Arial" w:cs="Arial"/>
        </w:rPr>
      </w:pPr>
      <w:bookmarkStart w:id="18" w:name="_Toc158989102"/>
      <w:r w:rsidRPr="00BC5437">
        <w:rPr>
          <w:rFonts w:ascii="Arial" w:hAnsi="Arial" w:cs="Arial"/>
        </w:rPr>
        <w:t>Premier Inn</w:t>
      </w:r>
      <w:bookmarkEnd w:id="18"/>
      <w:r w:rsidRPr="00BC5437">
        <w:rPr>
          <w:rFonts w:ascii="Arial" w:hAnsi="Arial" w:cs="Arial"/>
        </w:rPr>
        <w:t> </w:t>
      </w:r>
    </w:p>
    <w:p w14:paraId="19238608" w14:textId="77777777" w:rsidR="002835D7" w:rsidRPr="00BC5437" w:rsidRDefault="002835D7" w:rsidP="00F2458D">
      <w:pPr>
        <w:pStyle w:val="NormalWeb"/>
        <w:spacing w:before="0" w:beforeAutospacing="0" w:after="0" w:afterAutospacing="0" w:line="360" w:lineRule="auto"/>
        <w:jc w:val="both"/>
        <w:rPr>
          <w:rFonts w:ascii="Arial" w:hAnsi="Arial" w:cs="Arial"/>
          <w:color w:val="000000"/>
        </w:rPr>
      </w:pPr>
      <w:r w:rsidRPr="00BC5437">
        <w:rPr>
          <w:rFonts w:ascii="Arial" w:hAnsi="Arial" w:cs="Arial"/>
          <w:color w:val="000000"/>
        </w:rPr>
        <w:t xml:space="preserve">As the UK’s largest hotel brand, Premier Inn quickly adapted to a flexible business model for corporate management staff during the COVID-19 era with shortened hours for customer interaction and hotel driver roles (Suter-Riedmiller, 2021). The organisation management uses direct feedback and performance indicators to monitor variable </w:t>
      </w:r>
      <w:r w:rsidRPr="00BC5437">
        <w:rPr>
          <w:rFonts w:ascii="Arial" w:hAnsi="Arial" w:cs="Arial"/>
          <w:color w:val="000000"/>
        </w:rPr>
        <w:lastRenderedPageBreak/>
        <w:t>performance outcomes. Although smaller in size than Marriott or Hilton, Premier Inn’s lean business model has been shown to hold growth of 10-15%.</w:t>
      </w:r>
    </w:p>
    <w:p w14:paraId="7F888F6A" w14:textId="77777777" w:rsidR="00A73048" w:rsidRPr="00BC5437" w:rsidRDefault="00A73048" w:rsidP="00A73048">
      <w:pPr>
        <w:pStyle w:val="Heading3"/>
        <w:spacing w:line="360" w:lineRule="auto"/>
        <w:rPr>
          <w:rFonts w:ascii="Arial" w:hAnsi="Arial" w:cs="Arial"/>
        </w:rPr>
      </w:pPr>
      <w:bookmarkStart w:id="19" w:name="_Toc158989103"/>
      <w:r w:rsidRPr="00BC5437">
        <w:rPr>
          <w:rFonts w:ascii="Arial" w:hAnsi="Arial" w:cs="Arial"/>
        </w:rPr>
        <w:t>Hilton</w:t>
      </w:r>
      <w:bookmarkEnd w:id="19"/>
      <w:r w:rsidRPr="00BC5437">
        <w:rPr>
          <w:rFonts w:ascii="Arial" w:hAnsi="Arial" w:cs="Arial"/>
        </w:rPr>
        <w:t> </w:t>
      </w:r>
    </w:p>
    <w:p w14:paraId="1558CCB0" w14:textId="621D42F3" w:rsidR="00A73048" w:rsidRPr="00BC5437" w:rsidRDefault="00A73048"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Hilton empowers team members to work from home or anywhere they can access convenient offices, organised under its flexible framework. Introduced in 2020 for roles in IT, digital, marketing, the program offers compressed hours, seasonal hours, part-time scheduling and job sharing (Shekhar, 2022). System data is also tracked through manager reports. During the post-pandemic situation, Hilton’s flexible schedule resulted in 10% more employee retention, highlighting the virtues of work-life balance and autonomy.</w:t>
      </w:r>
    </w:p>
    <w:p w14:paraId="02D99057" w14:textId="5156B2B6" w:rsidR="002835D7" w:rsidRPr="00BC5437" w:rsidRDefault="002835D7" w:rsidP="00F2458D">
      <w:pPr>
        <w:pStyle w:val="Heading1"/>
        <w:spacing w:line="360" w:lineRule="auto"/>
        <w:rPr>
          <w:rFonts w:ascii="Arial" w:hAnsi="Arial" w:cs="Arial"/>
          <w:sz w:val="24"/>
          <w:szCs w:val="24"/>
        </w:rPr>
      </w:pPr>
      <w:bookmarkStart w:id="20" w:name="_Toc158989104"/>
      <w:r w:rsidRPr="00BC5437">
        <w:rPr>
          <w:rFonts w:ascii="Arial" w:hAnsi="Arial" w:cs="Arial"/>
          <w:sz w:val="24"/>
          <w:szCs w:val="24"/>
        </w:rPr>
        <w:t>Monitoring and Managing Employees in Different Work Modes</w:t>
      </w:r>
      <w:bookmarkEnd w:id="20"/>
    </w:p>
    <w:p w14:paraId="6F830C41" w14:textId="08B06376"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At IHG, effective oversight of on-site, hybrid and remote work processes requires a multi-pronged approach. Employee training is essential so that leaders can set clear expectations, provide actionable feedback, and track the performance of in-house and contractor employees. Performance indicators tailored to each role and application should be collectively developed for clarity (Wang, Li, and Barnes, 2022). Additionally, despite having dispersed teams through tools such as Slack, Microsoft Teams, Yammer, and centralised databases, IHG needs to actively promote open communication and collaboration. Virtual all-hands meetings, digital bulletin boards, and employee recognition can also drive engagement (Zhong, 2022). Periodic sensory monitoring via pulse analysis allows IHG to measure exposure levels and address pain points. By training people managers, choosing the right metrics, streamlining digitization efforts, and developing a culture, IHG can enhance management practices that align with enterprises.</w:t>
      </w:r>
    </w:p>
    <w:p w14:paraId="117A11BB" w14:textId="77777777" w:rsidR="002835D7" w:rsidRPr="00BC5437" w:rsidRDefault="002835D7" w:rsidP="00F2458D">
      <w:pPr>
        <w:pStyle w:val="Heading1"/>
        <w:spacing w:line="360" w:lineRule="auto"/>
        <w:rPr>
          <w:rFonts w:ascii="Arial" w:hAnsi="Arial" w:cs="Arial"/>
          <w:sz w:val="24"/>
          <w:szCs w:val="24"/>
        </w:rPr>
      </w:pPr>
      <w:bookmarkStart w:id="21" w:name="_Toc158989105"/>
      <w:r w:rsidRPr="00BC5437">
        <w:rPr>
          <w:rFonts w:ascii="Arial" w:hAnsi="Arial" w:cs="Arial"/>
          <w:sz w:val="24"/>
          <w:szCs w:val="24"/>
        </w:rPr>
        <w:t>Potential Solutions and Best Practices</w:t>
      </w:r>
      <w:bookmarkEnd w:id="21"/>
    </w:p>
    <w:p w14:paraId="1306DD92" w14:textId="77777777"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Some best practices IHG can adopt to manage performance across projects include clearly defining the right mix of remote services, using collaborative collaboration tools to make it transparent, and using employee analytics to gain employee insights. Setting up structured onboarding and regular check-ins for onsite and virtual employees also helps with engagement (</w:t>
      </w:r>
      <w:proofErr w:type="spellStart"/>
      <w:r w:rsidRPr="00BC5437">
        <w:rPr>
          <w:rFonts w:ascii="Arial" w:hAnsi="Arial" w:cs="Arial"/>
          <w:color w:val="000000"/>
        </w:rPr>
        <w:t>Zineldin</w:t>
      </w:r>
      <w:proofErr w:type="spellEnd"/>
      <w:r w:rsidRPr="00BC5437">
        <w:rPr>
          <w:rFonts w:ascii="Arial" w:hAnsi="Arial" w:cs="Arial"/>
          <w:color w:val="000000"/>
        </w:rPr>
        <w:t xml:space="preserve">, 2021). Establishes accountability by training employees and managers to deliver excellent service in transition. Publicly highlighting accomplishments </w:t>
      </w:r>
      <w:r w:rsidRPr="00BC5437">
        <w:rPr>
          <w:rFonts w:ascii="Arial" w:hAnsi="Arial" w:cs="Arial"/>
          <w:color w:val="000000"/>
        </w:rPr>
        <w:lastRenderedPageBreak/>
        <w:t>also provides peer recognition and motivation. A combination of automation and AI for business transformation provides to prevent labour shortages. By emulating such best practices, IHG can increase experience and productivity across its diverse and multi-local team.</w:t>
      </w:r>
    </w:p>
    <w:p w14:paraId="096EEB15" w14:textId="089D162F" w:rsidR="002835D7" w:rsidRPr="00BC5437" w:rsidRDefault="002835D7" w:rsidP="00F2458D">
      <w:pPr>
        <w:pStyle w:val="Heading1"/>
        <w:spacing w:line="360" w:lineRule="auto"/>
        <w:rPr>
          <w:rFonts w:ascii="Arial" w:hAnsi="Arial" w:cs="Arial"/>
          <w:sz w:val="24"/>
          <w:szCs w:val="24"/>
        </w:rPr>
      </w:pPr>
      <w:bookmarkStart w:id="22" w:name="_Toc158989106"/>
      <w:r w:rsidRPr="00BC5437">
        <w:rPr>
          <w:rFonts w:ascii="Arial" w:hAnsi="Arial" w:cs="Arial"/>
          <w:sz w:val="24"/>
          <w:szCs w:val="24"/>
        </w:rPr>
        <w:t>Evaluation and Conclusion</w:t>
      </w:r>
      <w:bookmarkEnd w:id="22"/>
    </w:p>
    <w:p w14:paraId="7F3D2B37" w14:textId="632CD525" w:rsidR="002835D7" w:rsidRPr="00BC5437" w:rsidRDefault="002835D7" w:rsidP="00F2458D">
      <w:pPr>
        <w:pStyle w:val="NormalWeb"/>
        <w:spacing w:before="0" w:beforeAutospacing="0" w:after="0" w:afterAutospacing="0" w:line="360" w:lineRule="auto"/>
        <w:jc w:val="both"/>
        <w:rPr>
          <w:rFonts w:ascii="Arial" w:hAnsi="Arial" w:cs="Arial"/>
        </w:rPr>
      </w:pPr>
      <w:r w:rsidRPr="00BC5437">
        <w:rPr>
          <w:rFonts w:ascii="Arial" w:hAnsi="Arial" w:cs="Arial"/>
          <w:color w:val="000000"/>
        </w:rPr>
        <w:t>In conclusion, the hospitality industry is facing severe challenges as new business models emerge, requiring new approaches in large chains such as IHG to manage employee performance. The main external factors affecting HR management come from politics regulations on remote work to a growing mindset of talent and customers. Internally, retaining top performers and stabilising the increasing flow of employees remains a priority. As the epidemic demonstrates, providing appropriately flexible systems and hybrid models facilitates stability without compromising performance for customer-facing activities. Open and transparent culture explicit investment in new technologies in dispersed teams also improves care in dispersed teams. Through holistic planning that considers external socio-economic forces and internal management expectations, IHG can improve efficiency across different business lines. The solutions presented are a framework to help IHG’s global businesses thrive now and beyond the pandemic.</w:t>
      </w:r>
    </w:p>
    <w:p w14:paraId="0F2FBEB6" w14:textId="77777777" w:rsidR="002835D7" w:rsidRPr="00BC5437" w:rsidRDefault="002835D7" w:rsidP="00F2458D">
      <w:pPr>
        <w:spacing w:line="360" w:lineRule="auto"/>
        <w:rPr>
          <w:rFonts w:ascii="Arial" w:eastAsia="Times New Roman" w:hAnsi="Arial" w:cs="Arial"/>
          <w:b/>
          <w:bCs/>
          <w:color w:val="000000"/>
          <w:sz w:val="24"/>
          <w:szCs w:val="24"/>
          <w:lang w:eastAsia="en-GB"/>
        </w:rPr>
      </w:pPr>
      <w:r w:rsidRPr="00BC5437">
        <w:rPr>
          <w:rFonts w:ascii="Arial" w:hAnsi="Arial" w:cs="Arial"/>
          <w:b/>
          <w:bCs/>
          <w:color w:val="000000"/>
          <w:sz w:val="24"/>
          <w:szCs w:val="24"/>
        </w:rPr>
        <w:br w:type="page"/>
      </w:r>
    </w:p>
    <w:p w14:paraId="68AFCBB9" w14:textId="49F9CCB9" w:rsidR="002835D7" w:rsidRDefault="002835D7" w:rsidP="00F2458D">
      <w:pPr>
        <w:pStyle w:val="Heading1"/>
        <w:spacing w:line="360" w:lineRule="auto"/>
      </w:pPr>
      <w:bookmarkStart w:id="23" w:name="_Toc158989107"/>
      <w:r>
        <w:lastRenderedPageBreak/>
        <w:t>References</w:t>
      </w:r>
      <w:bookmarkEnd w:id="23"/>
    </w:p>
    <w:p w14:paraId="3DA2D57E" w14:textId="77777777" w:rsidR="002835D7" w:rsidRDefault="002835D7" w:rsidP="00F2458D">
      <w:pPr>
        <w:pStyle w:val="NormalWeb"/>
        <w:spacing w:before="0" w:beforeAutospacing="0" w:after="0" w:afterAutospacing="0" w:line="360" w:lineRule="auto"/>
        <w:jc w:val="both"/>
      </w:pPr>
      <w:r>
        <w:rPr>
          <w:color w:val="222222"/>
          <w:shd w:val="clear" w:color="auto" w:fill="FFFFFF"/>
        </w:rPr>
        <w:t>Agarwal, P. and Farndale, E., 2022. Corporate social responsibility and the role of HR in employee responses: a workplace flexibility perspective. Human Resource Management Journal.</w:t>
      </w:r>
    </w:p>
    <w:p w14:paraId="2AE50B61" w14:textId="77777777" w:rsidR="002835D7" w:rsidRDefault="002835D7" w:rsidP="00F2458D">
      <w:pPr>
        <w:pStyle w:val="NormalWeb"/>
        <w:spacing w:before="0" w:beforeAutospacing="0" w:after="0" w:afterAutospacing="0" w:line="360" w:lineRule="auto"/>
        <w:jc w:val="both"/>
      </w:pPr>
      <w:r>
        <w:rPr>
          <w:color w:val="222222"/>
          <w:shd w:val="clear" w:color="auto" w:fill="FFFFFF"/>
        </w:rPr>
        <w:t>Bibi, P., Ahmad, A. and Majid, A.H.A., 2021. The impact of HR practices on employee retention: The mediating role of employee motivation. SAGE Open, 11(3), p.21582440211032587.</w:t>
      </w:r>
    </w:p>
    <w:p w14:paraId="2FF26274" w14:textId="77777777" w:rsidR="002835D7" w:rsidRDefault="002835D7" w:rsidP="00F2458D">
      <w:pPr>
        <w:pStyle w:val="NormalWeb"/>
        <w:spacing w:before="0" w:beforeAutospacing="0" w:after="0" w:afterAutospacing="0" w:line="360" w:lineRule="auto"/>
        <w:jc w:val="both"/>
      </w:pPr>
      <w:r>
        <w:rPr>
          <w:color w:val="222222"/>
          <w:shd w:val="clear" w:color="auto" w:fill="FFFFFF"/>
        </w:rPr>
        <w:t>De Abreu Dos Reis, F., 2021. Impacts of Working from Home on the Future of Work. Journal of Information Systems Engineering &amp; Management, 6(2), pp.em0144.</w:t>
      </w:r>
    </w:p>
    <w:p w14:paraId="00B7CA4C" w14:textId="77777777" w:rsidR="002835D7" w:rsidRPr="00AF733C" w:rsidRDefault="002835D7" w:rsidP="00F2458D">
      <w:pPr>
        <w:pStyle w:val="NormalWeb"/>
        <w:spacing w:before="0" w:beforeAutospacing="0" w:after="0" w:afterAutospacing="0" w:line="360" w:lineRule="auto"/>
        <w:jc w:val="both"/>
        <w:rPr>
          <w:lang w:val="de-DE"/>
        </w:rPr>
      </w:pPr>
      <w:r>
        <w:rPr>
          <w:color w:val="222222"/>
          <w:shd w:val="clear" w:color="auto" w:fill="FFFFFF"/>
        </w:rPr>
        <w:t xml:space="preserve">Dixit, A. and Prakash, M., 2022. Study of Flexible Working Hours, Work Life Balance, Employee Productivity-Pre Covid &amp; Covid-19 Pandemic. </w:t>
      </w:r>
      <w:r w:rsidRPr="00AF733C">
        <w:rPr>
          <w:color w:val="222222"/>
          <w:shd w:val="clear" w:color="auto" w:fill="FFFFFF"/>
          <w:lang w:val="de-DE"/>
        </w:rPr>
        <w:t>STEM Fellowship Journal, 2(5), pp.38-46.</w:t>
      </w:r>
    </w:p>
    <w:p w14:paraId="25D86408" w14:textId="77777777" w:rsidR="002835D7" w:rsidRDefault="002835D7" w:rsidP="00F2458D">
      <w:pPr>
        <w:pStyle w:val="NormalWeb"/>
        <w:spacing w:before="0" w:beforeAutospacing="0" w:after="0" w:afterAutospacing="0" w:line="360" w:lineRule="auto"/>
        <w:jc w:val="both"/>
      </w:pPr>
      <w:proofErr w:type="spellStart"/>
      <w:r w:rsidRPr="00AF733C">
        <w:rPr>
          <w:color w:val="222222"/>
          <w:shd w:val="clear" w:color="auto" w:fill="FFFFFF"/>
          <w:lang w:val="de-DE"/>
        </w:rPr>
        <w:t>Gerdenitsch</w:t>
      </w:r>
      <w:proofErr w:type="spellEnd"/>
      <w:r w:rsidRPr="00AF733C">
        <w:rPr>
          <w:color w:val="222222"/>
          <w:shd w:val="clear" w:color="auto" w:fill="FFFFFF"/>
          <w:lang w:val="de-DE"/>
        </w:rPr>
        <w:t xml:space="preserve">, C., Scheel, T.E., Andorfer, J. and </w:t>
      </w:r>
      <w:proofErr w:type="spellStart"/>
      <w:r w:rsidRPr="00AF733C">
        <w:rPr>
          <w:color w:val="222222"/>
          <w:shd w:val="clear" w:color="auto" w:fill="FFFFFF"/>
          <w:lang w:val="de-DE"/>
        </w:rPr>
        <w:t>Korunka</w:t>
      </w:r>
      <w:proofErr w:type="spellEnd"/>
      <w:r w:rsidRPr="00AF733C">
        <w:rPr>
          <w:color w:val="222222"/>
          <w:shd w:val="clear" w:color="auto" w:fill="FFFFFF"/>
          <w:lang w:val="de-DE"/>
        </w:rPr>
        <w:t xml:space="preserve">, C., 2022. </w:t>
      </w:r>
      <w:r>
        <w:rPr>
          <w:color w:val="222222"/>
          <w:shd w:val="clear" w:color="auto" w:fill="FFFFFF"/>
        </w:rPr>
        <w:t>Coworking spaces: A source of social support for digital nomads?. Human Relations.</w:t>
      </w:r>
    </w:p>
    <w:p w14:paraId="79825701" w14:textId="77777777" w:rsidR="002835D7" w:rsidRDefault="002835D7" w:rsidP="00F2458D">
      <w:pPr>
        <w:pStyle w:val="NormalWeb"/>
        <w:spacing w:before="0" w:beforeAutospacing="0" w:after="0" w:afterAutospacing="0" w:line="360" w:lineRule="auto"/>
        <w:jc w:val="both"/>
      </w:pPr>
      <w:proofErr w:type="spellStart"/>
      <w:r>
        <w:rPr>
          <w:color w:val="222222"/>
          <w:shd w:val="clear" w:color="auto" w:fill="FFFFFF"/>
        </w:rPr>
        <w:t>Indrasari</w:t>
      </w:r>
      <w:proofErr w:type="spellEnd"/>
      <w:r>
        <w:rPr>
          <w:color w:val="222222"/>
          <w:shd w:val="clear" w:color="auto" w:fill="FFFFFF"/>
        </w:rPr>
        <w:t xml:space="preserve">, M., </w:t>
      </w:r>
      <w:proofErr w:type="spellStart"/>
      <w:r>
        <w:rPr>
          <w:color w:val="222222"/>
          <w:shd w:val="clear" w:color="auto" w:fill="FFFFFF"/>
        </w:rPr>
        <w:t>Syamsudin</w:t>
      </w:r>
      <w:proofErr w:type="spellEnd"/>
      <w:r>
        <w:rPr>
          <w:color w:val="222222"/>
          <w:shd w:val="clear" w:color="auto" w:fill="FFFFFF"/>
        </w:rPr>
        <w:t xml:space="preserve">, N.A., </w:t>
      </w:r>
      <w:proofErr w:type="spellStart"/>
      <w:r>
        <w:rPr>
          <w:color w:val="222222"/>
          <w:shd w:val="clear" w:color="auto" w:fill="FFFFFF"/>
        </w:rPr>
        <w:t>Siringoringo</w:t>
      </w:r>
      <w:proofErr w:type="spellEnd"/>
      <w:r>
        <w:rPr>
          <w:color w:val="222222"/>
          <w:shd w:val="clear" w:color="auto" w:fill="FFFFFF"/>
        </w:rPr>
        <w:t>, H., Kusuma, C.B. and Nainggolan, B., 2021. Work flexibility: does it increase work engagement and affective commitment?. Journal of Asia Business Studies.</w:t>
      </w:r>
    </w:p>
    <w:p w14:paraId="1850AD60" w14:textId="77777777" w:rsidR="002835D7" w:rsidRDefault="002835D7" w:rsidP="00F2458D">
      <w:pPr>
        <w:pStyle w:val="NormalWeb"/>
        <w:spacing w:before="0" w:beforeAutospacing="0" w:after="0" w:afterAutospacing="0" w:line="360" w:lineRule="auto"/>
        <w:jc w:val="both"/>
      </w:pPr>
      <w:r>
        <w:rPr>
          <w:color w:val="222222"/>
          <w:shd w:val="clear" w:color="auto" w:fill="FFFFFF"/>
        </w:rPr>
        <w:t>Karia, N., 2021. flexible working revolution: just a dream or future reality?. Development and Learning in Organizations: An International Journal.</w:t>
      </w:r>
    </w:p>
    <w:p w14:paraId="6A17FC3C" w14:textId="77777777" w:rsidR="002835D7" w:rsidRDefault="002835D7" w:rsidP="00F2458D">
      <w:pPr>
        <w:pStyle w:val="NormalWeb"/>
        <w:spacing w:before="0" w:beforeAutospacing="0" w:after="0" w:afterAutospacing="0" w:line="360" w:lineRule="auto"/>
        <w:jc w:val="both"/>
      </w:pPr>
      <w:r>
        <w:rPr>
          <w:color w:val="222222"/>
          <w:shd w:val="clear" w:color="auto" w:fill="FFFFFF"/>
        </w:rPr>
        <w:t xml:space="preserve">Kusuma, I.G.A.D. and </w:t>
      </w:r>
      <w:proofErr w:type="spellStart"/>
      <w:r>
        <w:rPr>
          <w:color w:val="222222"/>
          <w:shd w:val="clear" w:color="auto" w:fill="FFFFFF"/>
        </w:rPr>
        <w:t>Sukawati</w:t>
      </w:r>
      <w:proofErr w:type="spellEnd"/>
      <w:r>
        <w:rPr>
          <w:color w:val="222222"/>
          <w:shd w:val="clear" w:color="auto" w:fill="FFFFFF"/>
        </w:rPr>
        <w:t>, T.G.R., 2022. Employee engagement increases job satisfaction in hospitality industries. International research journal of management, IT and social sciences, 9(1), pp.1-6.</w:t>
      </w:r>
    </w:p>
    <w:p w14:paraId="35348B20" w14:textId="77777777" w:rsidR="002835D7" w:rsidRDefault="002835D7" w:rsidP="00F2458D">
      <w:pPr>
        <w:pStyle w:val="NormalWeb"/>
        <w:spacing w:before="0" w:beforeAutospacing="0" w:after="0" w:afterAutospacing="0" w:line="360" w:lineRule="auto"/>
        <w:jc w:val="both"/>
      </w:pPr>
      <w:r>
        <w:rPr>
          <w:color w:val="222222"/>
          <w:shd w:val="clear" w:color="auto" w:fill="FFFFFF"/>
        </w:rPr>
        <w:t xml:space="preserve">Mone, E.M., Ning, N. and </w:t>
      </w:r>
      <w:proofErr w:type="spellStart"/>
      <w:r>
        <w:rPr>
          <w:color w:val="222222"/>
          <w:shd w:val="clear" w:color="auto" w:fill="FFFFFF"/>
        </w:rPr>
        <w:t>Bodalbhai</w:t>
      </w:r>
      <w:proofErr w:type="spellEnd"/>
      <w:r>
        <w:rPr>
          <w:color w:val="222222"/>
          <w:shd w:val="clear" w:color="auto" w:fill="FFFFFF"/>
        </w:rPr>
        <w:t>, Q., 2022. “IT Monitoring” Versus Trust‐Based Management: Implications for Home‐Based Teleworkers’ Job Performance, Engagement, and Burnout. Human Resource Management.</w:t>
      </w:r>
    </w:p>
    <w:p w14:paraId="3BCA11BC" w14:textId="77777777" w:rsidR="002835D7" w:rsidRDefault="002835D7" w:rsidP="00F2458D">
      <w:pPr>
        <w:pStyle w:val="NormalWeb"/>
        <w:spacing w:before="0" w:beforeAutospacing="0" w:after="0" w:afterAutospacing="0" w:line="360" w:lineRule="auto"/>
        <w:jc w:val="both"/>
      </w:pPr>
      <w:r>
        <w:rPr>
          <w:color w:val="222222"/>
          <w:shd w:val="clear" w:color="auto" w:fill="FFFFFF"/>
        </w:rPr>
        <w:t>Müller, O., Junglas, I., Brocke, J. and Debortoli, S., 2020. Utilizing big data analytics for information systems research: challenges, promises and guidelines. European Journal of Information Systems, 25(4), pp.289-302.</w:t>
      </w:r>
    </w:p>
    <w:p w14:paraId="52171B3C" w14:textId="77777777" w:rsidR="002835D7" w:rsidRDefault="002835D7" w:rsidP="00F2458D">
      <w:pPr>
        <w:pStyle w:val="NormalWeb"/>
        <w:spacing w:before="0" w:beforeAutospacing="0" w:after="0" w:afterAutospacing="0" w:line="360" w:lineRule="auto"/>
        <w:jc w:val="both"/>
      </w:pPr>
      <w:proofErr w:type="spellStart"/>
      <w:r>
        <w:rPr>
          <w:color w:val="222222"/>
          <w:shd w:val="clear" w:color="auto" w:fill="FFFFFF"/>
        </w:rPr>
        <w:t>Osabiya</w:t>
      </w:r>
      <w:proofErr w:type="spellEnd"/>
      <w:r>
        <w:rPr>
          <w:color w:val="222222"/>
          <w:shd w:val="clear" w:color="auto" w:fill="FFFFFF"/>
        </w:rPr>
        <w:t>, B.J., 2022. The effect of work flexibility strategy on employee retention. Journal of Work-Applied Management.</w:t>
      </w:r>
    </w:p>
    <w:p w14:paraId="5B7CA0A4" w14:textId="77777777" w:rsidR="002835D7" w:rsidRDefault="002835D7" w:rsidP="00F2458D">
      <w:pPr>
        <w:pStyle w:val="NormalWeb"/>
        <w:spacing w:before="0" w:beforeAutospacing="0" w:after="0" w:afterAutospacing="0" w:line="360" w:lineRule="auto"/>
        <w:jc w:val="both"/>
      </w:pPr>
      <w:proofErr w:type="spellStart"/>
      <w:r>
        <w:rPr>
          <w:color w:val="222222"/>
          <w:shd w:val="clear" w:color="auto" w:fill="FFFFFF"/>
        </w:rPr>
        <w:t>Owlia</w:t>
      </w:r>
      <w:proofErr w:type="spellEnd"/>
      <w:r>
        <w:rPr>
          <w:color w:val="222222"/>
          <w:shd w:val="clear" w:color="auto" w:fill="FFFFFF"/>
        </w:rPr>
        <w:t>, M.S., 2021. A study of relationship between quality of work life and turnover intention: a case of hospitality industry. Tourism Review.</w:t>
      </w:r>
    </w:p>
    <w:p w14:paraId="572B973B" w14:textId="77777777" w:rsidR="002835D7" w:rsidRDefault="002835D7" w:rsidP="00F2458D">
      <w:pPr>
        <w:pStyle w:val="NormalWeb"/>
        <w:spacing w:before="0" w:beforeAutospacing="0" w:after="0" w:afterAutospacing="0" w:line="360" w:lineRule="auto"/>
        <w:jc w:val="both"/>
      </w:pPr>
      <w:r>
        <w:rPr>
          <w:color w:val="222222"/>
          <w:shd w:val="clear" w:color="auto" w:fill="FFFFFF"/>
        </w:rPr>
        <w:t>Pang, K. and Lu, C.C., 2018. Organizational motivation, employee job satisfaction and organizational performance. Maritime Business Review.</w:t>
      </w:r>
    </w:p>
    <w:p w14:paraId="3E55A29A" w14:textId="77777777" w:rsidR="002835D7" w:rsidRDefault="002835D7" w:rsidP="00F2458D">
      <w:pPr>
        <w:pStyle w:val="NormalWeb"/>
        <w:spacing w:before="0" w:beforeAutospacing="0" w:after="0" w:afterAutospacing="0" w:line="360" w:lineRule="auto"/>
        <w:jc w:val="both"/>
      </w:pPr>
      <w:r>
        <w:rPr>
          <w:color w:val="222222"/>
          <w:shd w:val="clear" w:color="auto" w:fill="FFFFFF"/>
        </w:rPr>
        <w:lastRenderedPageBreak/>
        <w:t>Putra, E.D., Cho, S. and Liu, J., 2022. Technology in tourism &amp; hospitality experience: A critical review. Tourism Review.</w:t>
      </w:r>
    </w:p>
    <w:p w14:paraId="764BC48F" w14:textId="77777777" w:rsidR="002835D7" w:rsidRDefault="002835D7" w:rsidP="00F2458D">
      <w:pPr>
        <w:pStyle w:val="NormalWeb"/>
        <w:spacing w:before="0" w:beforeAutospacing="0" w:after="0" w:afterAutospacing="0" w:line="360" w:lineRule="auto"/>
        <w:jc w:val="both"/>
      </w:pPr>
      <w:r>
        <w:rPr>
          <w:color w:val="222222"/>
          <w:shd w:val="clear" w:color="auto" w:fill="FFFFFF"/>
        </w:rPr>
        <w:t>Reis, D., 2021. Impacts of Working from Home on the Future of Work. Journal of Information Systems Engineering &amp; Management, 6(2), pp.em0144.</w:t>
      </w:r>
    </w:p>
    <w:p w14:paraId="53C0A140" w14:textId="77777777" w:rsidR="002835D7" w:rsidRDefault="002835D7" w:rsidP="00F2458D">
      <w:pPr>
        <w:pStyle w:val="NormalWeb"/>
        <w:spacing w:before="0" w:beforeAutospacing="0" w:after="0" w:afterAutospacing="0" w:line="360" w:lineRule="auto"/>
        <w:jc w:val="both"/>
      </w:pPr>
      <w:r>
        <w:rPr>
          <w:color w:val="222222"/>
          <w:shd w:val="clear" w:color="auto" w:fill="FFFFFF"/>
        </w:rPr>
        <w:t>Shekhar, S.A., 2022. Impact of Artificial Intelligence in the Hospitality Industry. International Journal for Research in Applied Science and Engineering Technology, 10(1), pp.621-628.</w:t>
      </w:r>
    </w:p>
    <w:p w14:paraId="1FF70578" w14:textId="77777777" w:rsidR="002835D7" w:rsidRDefault="002835D7" w:rsidP="00F2458D">
      <w:pPr>
        <w:pStyle w:val="NormalWeb"/>
        <w:spacing w:before="0" w:beforeAutospacing="0" w:after="0" w:afterAutospacing="0" w:line="360" w:lineRule="auto"/>
        <w:jc w:val="both"/>
      </w:pPr>
      <w:r>
        <w:rPr>
          <w:color w:val="222222"/>
          <w:shd w:val="clear" w:color="auto" w:fill="FFFFFF"/>
        </w:rPr>
        <w:t xml:space="preserve">Suter-Riedmiller, K., 2021. Additional </w:t>
      </w:r>
      <w:proofErr w:type="spellStart"/>
      <w:r>
        <w:rPr>
          <w:color w:val="222222"/>
          <w:shd w:val="clear" w:color="auto" w:fill="FFFFFF"/>
        </w:rPr>
        <w:t>labor</w:t>
      </w:r>
      <w:proofErr w:type="spellEnd"/>
      <w:r>
        <w:rPr>
          <w:color w:val="222222"/>
          <w:shd w:val="clear" w:color="auto" w:fill="FFFFFF"/>
        </w:rPr>
        <w:t xml:space="preserve"> supply: hospitality consultants as a supplement for personnel shortage in the hospitality industry. International Journal of Contemporary Hospitality Management.</w:t>
      </w:r>
    </w:p>
    <w:p w14:paraId="629991AD" w14:textId="77777777" w:rsidR="002835D7" w:rsidRDefault="002835D7" w:rsidP="00F2458D">
      <w:pPr>
        <w:pStyle w:val="NormalWeb"/>
        <w:spacing w:before="0" w:beforeAutospacing="0" w:after="0" w:afterAutospacing="0" w:line="360" w:lineRule="auto"/>
        <w:jc w:val="both"/>
      </w:pPr>
      <w:r>
        <w:rPr>
          <w:color w:val="222222"/>
          <w:shd w:val="clear" w:color="auto" w:fill="FFFFFF"/>
        </w:rPr>
        <w:t>Wang, C., Li, X. and Barnes, B.R., 2022. Post-COVID-19 remote work and hotel employee productivity: The role of organisational identification. International Journal of Hospitality Management, 100, p.103152.</w:t>
      </w:r>
    </w:p>
    <w:p w14:paraId="387685D2" w14:textId="77777777" w:rsidR="002835D7" w:rsidRDefault="002835D7" w:rsidP="00F2458D">
      <w:pPr>
        <w:pStyle w:val="NormalWeb"/>
        <w:spacing w:before="0" w:beforeAutospacing="0" w:after="0" w:afterAutospacing="0" w:line="360" w:lineRule="auto"/>
        <w:jc w:val="both"/>
      </w:pPr>
      <w:r>
        <w:rPr>
          <w:color w:val="222222"/>
          <w:shd w:val="clear" w:color="auto" w:fill="FFFFFF"/>
        </w:rPr>
        <w:t xml:space="preserve">Zhong, Y., 2022. An observational study of online hotel reviews—Exploring the impacts of ratings on different customer </w:t>
      </w:r>
      <w:proofErr w:type="spellStart"/>
      <w:r>
        <w:rPr>
          <w:color w:val="222222"/>
          <w:shd w:val="clear" w:color="auto" w:fill="FFFFFF"/>
        </w:rPr>
        <w:t>behavioral</w:t>
      </w:r>
      <w:proofErr w:type="spellEnd"/>
      <w:r>
        <w:rPr>
          <w:color w:val="222222"/>
          <w:shd w:val="clear" w:color="auto" w:fill="FFFFFF"/>
        </w:rPr>
        <w:t xml:space="preserve"> outcomes. Tourism Review.</w:t>
      </w:r>
    </w:p>
    <w:p w14:paraId="35F89950" w14:textId="77777777" w:rsidR="002835D7" w:rsidRDefault="002835D7" w:rsidP="00F2458D">
      <w:pPr>
        <w:pStyle w:val="NormalWeb"/>
        <w:spacing w:before="0" w:beforeAutospacing="0" w:after="0" w:afterAutospacing="0" w:line="360" w:lineRule="auto"/>
        <w:jc w:val="both"/>
      </w:pPr>
      <w:proofErr w:type="spellStart"/>
      <w:r>
        <w:rPr>
          <w:color w:val="222222"/>
          <w:shd w:val="clear" w:color="auto" w:fill="FFFFFF"/>
        </w:rPr>
        <w:t>Zineldin</w:t>
      </w:r>
      <w:proofErr w:type="spellEnd"/>
      <w:r>
        <w:rPr>
          <w:color w:val="222222"/>
          <w:shd w:val="clear" w:color="auto" w:fill="FFFFFF"/>
        </w:rPr>
        <w:t>, M.A., 2021. Hospitality hybrid management system: integration of artificial intelligence applications. International Journal of Contemporary Hospitality Management.</w:t>
      </w:r>
    </w:p>
    <w:p w14:paraId="59385E73" w14:textId="77777777" w:rsidR="00410E69" w:rsidRDefault="00410E69" w:rsidP="00F2458D">
      <w:pPr>
        <w:spacing w:line="360" w:lineRule="auto"/>
      </w:pPr>
    </w:p>
    <w:sectPr w:rsidR="00410E69" w:rsidSect="00182E7B">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2B69B" w14:textId="77777777" w:rsidR="00182E7B" w:rsidRDefault="00182E7B" w:rsidP="009369DD">
      <w:pPr>
        <w:spacing w:after="0" w:line="240" w:lineRule="auto"/>
      </w:pPr>
      <w:r>
        <w:separator/>
      </w:r>
    </w:p>
  </w:endnote>
  <w:endnote w:type="continuationSeparator" w:id="0">
    <w:p w14:paraId="6E73CB6C" w14:textId="77777777" w:rsidR="00182E7B" w:rsidRDefault="00182E7B" w:rsidP="00936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15170149"/>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6F507372" w14:textId="00113B77" w:rsidR="009369DD" w:rsidRPr="009369DD" w:rsidRDefault="009369DD">
            <w:pPr>
              <w:pStyle w:val="Footer"/>
              <w:jc w:val="right"/>
              <w:rPr>
                <w:rFonts w:ascii="Times New Roman" w:hAnsi="Times New Roman" w:cs="Times New Roman"/>
                <w:sz w:val="24"/>
                <w:szCs w:val="24"/>
              </w:rPr>
            </w:pPr>
            <w:r w:rsidRPr="009369DD">
              <w:rPr>
                <w:rFonts w:ascii="Times New Roman" w:hAnsi="Times New Roman" w:cs="Times New Roman"/>
                <w:sz w:val="24"/>
                <w:szCs w:val="24"/>
              </w:rPr>
              <w:t xml:space="preserve">Page </w:t>
            </w:r>
            <w:r w:rsidRPr="009369DD">
              <w:rPr>
                <w:rFonts w:ascii="Times New Roman" w:hAnsi="Times New Roman" w:cs="Times New Roman"/>
                <w:b/>
                <w:bCs/>
                <w:sz w:val="24"/>
                <w:szCs w:val="24"/>
              </w:rPr>
              <w:fldChar w:fldCharType="begin"/>
            </w:r>
            <w:r w:rsidRPr="009369DD">
              <w:rPr>
                <w:rFonts w:ascii="Times New Roman" w:hAnsi="Times New Roman" w:cs="Times New Roman"/>
                <w:b/>
                <w:bCs/>
                <w:sz w:val="24"/>
                <w:szCs w:val="24"/>
              </w:rPr>
              <w:instrText xml:space="preserve"> PAGE </w:instrText>
            </w:r>
            <w:r w:rsidRPr="009369DD">
              <w:rPr>
                <w:rFonts w:ascii="Times New Roman" w:hAnsi="Times New Roman" w:cs="Times New Roman"/>
                <w:b/>
                <w:bCs/>
                <w:sz w:val="24"/>
                <w:szCs w:val="24"/>
              </w:rPr>
              <w:fldChar w:fldCharType="separate"/>
            </w:r>
            <w:r w:rsidRPr="009369DD">
              <w:rPr>
                <w:rFonts w:ascii="Times New Roman" w:hAnsi="Times New Roman" w:cs="Times New Roman"/>
                <w:b/>
                <w:bCs/>
                <w:noProof/>
                <w:sz w:val="24"/>
                <w:szCs w:val="24"/>
              </w:rPr>
              <w:t>2</w:t>
            </w:r>
            <w:r w:rsidRPr="009369DD">
              <w:rPr>
                <w:rFonts w:ascii="Times New Roman" w:hAnsi="Times New Roman" w:cs="Times New Roman"/>
                <w:b/>
                <w:bCs/>
                <w:sz w:val="24"/>
                <w:szCs w:val="24"/>
              </w:rPr>
              <w:fldChar w:fldCharType="end"/>
            </w:r>
            <w:r w:rsidRPr="009369DD">
              <w:rPr>
                <w:rFonts w:ascii="Times New Roman" w:hAnsi="Times New Roman" w:cs="Times New Roman"/>
                <w:sz w:val="24"/>
                <w:szCs w:val="24"/>
              </w:rPr>
              <w:t xml:space="preserve"> of </w:t>
            </w:r>
            <w:r w:rsidRPr="009369DD">
              <w:rPr>
                <w:rFonts w:ascii="Times New Roman" w:hAnsi="Times New Roman" w:cs="Times New Roman"/>
                <w:b/>
                <w:bCs/>
                <w:sz w:val="24"/>
                <w:szCs w:val="24"/>
              </w:rPr>
              <w:fldChar w:fldCharType="begin"/>
            </w:r>
            <w:r w:rsidRPr="009369DD">
              <w:rPr>
                <w:rFonts w:ascii="Times New Roman" w:hAnsi="Times New Roman" w:cs="Times New Roman"/>
                <w:b/>
                <w:bCs/>
                <w:sz w:val="24"/>
                <w:szCs w:val="24"/>
              </w:rPr>
              <w:instrText xml:space="preserve"> NUMPAGES  </w:instrText>
            </w:r>
            <w:r w:rsidRPr="009369DD">
              <w:rPr>
                <w:rFonts w:ascii="Times New Roman" w:hAnsi="Times New Roman" w:cs="Times New Roman"/>
                <w:b/>
                <w:bCs/>
                <w:sz w:val="24"/>
                <w:szCs w:val="24"/>
              </w:rPr>
              <w:fldChar w:fldCharType="separate"/>
            </w:r>
            <w:r w:rsidRPr="009369DD">
              <w:rPr>
                <w:rFonts w:ascii="Times New Roman" w:hAnsi="Times New Roman" w:cs="Times New Roman"/>
                <w:b/>
                <w:bCs/>
                <w:noProof/>
                <w:sz w:val="24"/>
                <w:szCs w:val="24"/>
              </w:rPr>
              <w:t>2</w:t>
            </w:r>
            <w:r w:rsidRPr="009369DD">
              <w:rPr>
                <w:rFonts w:ascii="Times New Roman" w:hAnsi="Times New Roman" w:cs="Times New Roman"/>
                <w:b/>
                <w:bCs/>
                <w:sz w:val="24"/>
                <w:szCs w:val="24"/>
              </w:rPr>
              <w:fldChar w:fldCharType="end"/>
            </w:r>
          </w:p>
        </w:sdtContent>
      </w:sdt>
    </w:sdtContent>
  </w:sdt>
  <w:p w14:paraId="2F8393A9" w14:textId="77777777" w:rsidR="009369DD" w:rsidRDefault="00936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563C8" w14:textId="77777777" w:rsidR="00182E7B" w:rsidRDefault="00182E7B" w:rsidP="009369DD">
      <w:pPr>
        <w:spacing w:after="0" w:line="240" w:lineRule="auto"/>
      </w:pPr>
      <w:r>
        <w:separator/>
      </w:r>
    </w:p>
  </w:footnote>
  <w:footnote w:type="continuationSeparator" w:id="0">
    <w:p w14:paraId="387913BE" w14:textId="77777777" w:rsidR="00182E7B" w:rsidRDefault="00182E7B" w:rsidP="009369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D7"/>
    <w:rsid w:val="001267C8"/>
    <w:rsid w:val="00182E7B"/>
    <w:rsid w:val="002835D7"/>
    <w:rsid w:val="003864B6"/>
    <w:rsid w:val="00410E69"/>
    <w:rsid w:val="00533CC1"/>
    <w:rsid w:val="006927FB"/>
    <w:rsid w:val="009369DD"/>
    <w:rsid w:val="00A73048"/>
    <w:rsid w:val="00AF733C"/>
    <w:rsid w:val="00BC5437"/>
    <w:rsid w:val="00D96933"/>
    <w:rsid w:val="00F245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F4692"/>
  <w15:chartTrackingRefBased/>
  <w15:docId w15:val="{B05739C9-7950-47F5-A991-A3D8F1B4C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5D7"/>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2835D7"/>
    <w:pPr>
      <w:keepNext/>
      <w:keepLines/>
      <w:spacing w:before="40" w:after="0"/>
      <w:outlineLvl w:val="1"/>
    </w:pPr>
    <w:rPr>
      <w:rFonts w:ascii="Times New Roman" w:eastAsiaTheme="majorEastAsia" w:hAnsi="Times New Roman" w:cstheme="majorBidi"/>
      <w:b/>
      <w:i/>
      <w:sz w:val="26"/>
      <w:szCs w:val="26"/>
    </w:rPr>
  </w:style>
  <w:style w:type="paragraph" w:styleId="Heading3">
    <w:name w:val="heading 3"/>
    <w:basedOn w:val="Normal"/>
    <w:next w:val="Normal"/>
    <w:link w:val="Heading3Char"/>
    <w:uiPriority w:val="9"/>
    <w:unhideWhenUsed/>
    <w:qFormat/>
    <w:rsid w:val="002835D7"/>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35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835D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835D7"/>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rsid w:val="002835D7"/>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F2458D"/>
    <w:pPr>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F2458D"/>
    <w:pPr>
      <w:spacing w:after="100"/>
    </w:pPr>
  </w:style>
  <w:style w:type="paragraph" w:styleId="TOC2">
    <w:name w:val="toc 2"/>
    <w:basedOn w:val="Normal"/>
    <w:next w:val="Normal"/>
    <w:autoRedefine/>
    <w:uiPriority w:val="39"/>
    <w:unhideWhenUsed/>
    <w:rsid w:val="00F2458D"/>
    <w:pPr>
      <w:spacing w:after="100"/>
      <w:ind w:left="220"/>
    </w:pPr>
  </w:style>
  <w:style w:type="paragraph" w:styleId="TOC3">
    <w:name w:val="toc 3"/>
    <w:basedOn w:val="Normal"/>
    <w:next w:val="Normal"/>
    <w:autoRedefine/>
    <w:uiPriority w:val="39"/>
    <w:unhideWhenUsed/>
    <w:rsid w:val="00F2458D"/>
    <w:pPr>
      <w:spacing w:after="100"/>
      <w:ind w:left="440"/>
    </w:pPr>
  </w:style>
  <w:style w:type="character" w:styleId="Hyperlink">
    <w:name w:val="Hyperlink"/>
    <w:basedOn w:val="DefaultParagraphFont"/>
    <w:uiPriority w:val="99"/>
    <w:unhideWhenUsed/>
    <w:rsid w:val="00F2458D"/>
    <w:rPr>
      <w:color w:val="0000FF" w:themeColor="hyperlink"/>
      <w:u w:val="single"/>
    </w:rPr>
  </w:style>
  <w:style w:type="paragraph" w:styleId="Header">
    <w:name w:val="header"/>
    <w:basedOn w:val="Normal"/>
    <w:link w:val="HeaderChar"/>
    <w:uiPriority w:val="99"/>
    <w:unhideWhenUsed/>
    <w:rsid w:val="009369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9DD"/>
  </w:style>
  <w:style w:type="paragraph" w:styleId="Footer">
    <w:name w:val="footer"/>
    <w:basedOn w:val="Normal"/>
    <w:link w:val="FooterChar"/>
    <w:uiPriority w:val="99"/>
    <w:unhideWhenUsed/>
    <w:rsid w:val="009369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9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5757">
      <w:bodyDiv w:val="1"/>
      <w:marLeft w:val="0"/>
      <w:marRight w:val="0"/>
      <w:marTop w:val="0"/>
      <w:marBottom w:val="0"/>
      <w:divBdr>
        <w:top w:val="none" w:sz="0" w:space="0" w:color="auto"/>
        <w:left w:val="none" w:sz="0" w:space="0" w:color="auto"/>
        <w:bottom w:val="none" w:sz="0" w:space="0" w:color="auto"/>
        <w:right w:val="none" w:sz="0" w:space="0" w:color="auto"/>
      </w:divBdr>
    </w:div>
    <w:div w:id="819347520">
      <w:bodyDiv w:val="1"/>
      <w:marLeft w:val="0"/>
      <w:marRight w:val="0"/>
      <w:marTop w:val="0"/>
      <w:marBottom w:val="0"/>
      <w:divBdr>
        <w:top w:val="none" w:sz="0" w:space="0" w:color="auto"/>
        <w:left w:val="none" w:sz="0" w:space="0" w:color="auto"/>
        <w:bottom w:val="none" w:sz="0" w:space="0" w:color="auto"/>
        <w:right w:val="none" w:sz="0" w:space="0" w:color="auto"/>
      </w:divBdr>
    </w:div>
    <w:div w:id="122475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2DE5C-590F-4D4E-A1BA-5DFFE6D79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3067</Words>
  <Characters>17484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Dragomir (2227451)</cp:lastModifiedBy>
  <cp:revision>3</cp:revision>
  <dcterms:created xsi:type="dcterms:W3CDTF">2024-02-26T10:23:00Z</dcterms:created>
  <dcterms:modified xsi:type="dcterms:W3CDTF">2024-03-04T15:13:00Z</dcterms:modified>
</cp:coreProperties>
</file>