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78FCCA" w14:textId="77777777" w:rsidR="00FF0883" w:rsidRDefault="00FF0883" w:rsidP="00FF0883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0DDF5C1" w14:textId="2C273715" w:rsidR="00FF0883" w:rsidRPr="00CB1E9D" w:rsidRDefault="00FF0883" w:rsidP="00FF0883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CB1E9D">
        <w:rPr>
          <w:rFonts w:ascii="Times New Roman" w:hAnsi="Times New Roman" w:cs="Times New Roman"/>
          <w:b/>
          <w:bCs/>
          <w:sz w:val="32"/>
          <w:szCs w:val="32"/>
        </w:rPr>
        <w:t>Module:</w:t>
      </w:r>
      <w:r w:rsidRPr="00CB1E9D">
        <w:rPr>
          <w:rFonts w:ascii="Times New Roman" w:hAnsi="Times New Roman" w:cs="Times New Roman"/>
          <w:sz w:val="32"/>
          <w:szCs w:val="32"/>
        </w:rPr>
        <w:t xml:space="preserve"> International Meetings Management BMIH6007</w:t>
      </w:r>
    </w:p>
    <w:p w14:paraId="6E29CD52" w14:textId="77777777" w:rsidR="00FF0883" w:rsidRPr="00CB1E9D" w:rsidRDefault="00FF0883" w:rsidP="00FF088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CB1E9D">
        <w:rPr>
          <w:rFonts w:ascii="Times New Roman" w:hAnsi="Times New Roman" w:cs="Times New Roman"/>
          <w:b/>
          <w:bCs/>
          <w:sz w:val="28"/>
          <w:szCs w:val="28"/>
        </w:rPr>
        <w:t>Student Name:</w:t>
      </w:r>
      <w:r w:rsidRPr="00CB1E9D">
        <w:rPr>
          <w:rFonts w:ascii="Times New Roman" w:hAnsi="Times New Roman" w:cs="Times New Roman"/>
          <w:sz w:val="28"/>
          <w:szCs w:val="28"/>
        </w:rPr>
        <w:t xml:space="preserve"> Denis Buzdugan</w:t>
      </w:r>
    </w:p>
    <w:p w14:paraId="54B6A552" w14:textId="77777777" w:rsidR="00FF0883" w:rsidRPr="00CB1E9D" w:rsidRDefault="00FF0883" w:rsidP="00FF088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CB1E9D">
        <w:rPr>
          <w:rFonts w:ascii="Times New Roman" w:hAnsi="Times New Roman" w:cs="Times New Roman"/>
          <w:b/>
          <w:bCs/>
          <w:sz w:val="28"/>
          <w:szCs w:val="28"/>
        </w:rPr>
        <w:t>Student Number:</w:t>
      </w:r>
      <w:r w:rsidRPr="00CB1E9D">
        <w:rPr>
          <w:rFonts w:ascii="Times New Roman" w:hAnsi="Times New Roman" w:cs="Times New Roman"/>
          <w:sz w:val="28"/>
          <w:szCs w:val="28"/>
        </w:rPr>
        <w:t xml:space="preserve"> 2130036</w:t>
      </w:r>
    </w:p>
    <w:p w14:paraId="7DF10F3B" w14:textId="77777777" w:rsidR="00FF0883" w:rsidRPr="00CB1E9D" w:rsidRDefault="00FF0883" w:rsidP="00FF088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CB1E9D">
        <w:rPr>
          <w:rFonts w:ascii="Times New Roman" w:hAnsi="Times New Roman" w:cs="Times New Roman"/>
          <w:b/>
          <w:bCs/>
          <w:sz w:val="28"/>
          <w:szCs w:val="28"/>
        </w:rPr>
        <w:t>Lecturer:</w:t>
      </w:r>
      <w:r w:rsidRPr="00CB1E9D">
        <w:rPr>
          <w:rFonts w:ascii="Times New Roman" w:hAnsi="Times New Roman" w:cs="Times New Roman"/>
          <w:sz w:val="28"/>
          <w:szCs w:val="28"/>
        </w:rPr>
        <w:t xml:space="preserve"> Kathryn Flynn</w:t>
      </w:r>
    </w:p>
    <w:p w14:paraId="637E5437" w14:textId="77777777" w:rsidR="00FF0883" w:rsidRDefault="00FF0883" w:rsidP="002C56DC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2398A043" w14:textId="77777777" w:rsidR="00FF0883" w:rsidRDefault="00FF0883" w:rsidP="002C56DC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562738EE" w14:textId="77777777" w:rsidR="00FF0883" w:rsidRDefault="00FF0883" w:rsidP="002C56DC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1337D7BB" w14:textId="77777777" w:rsidR="00FF0883" w:rsidRDefault="00FF0883" w:rsidP="002C56DC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4057B624" w14:textId="77777777" w:rsidR="00FF0883" w:rsidRDefault="00FF0883" w:rsidP="002C56DC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3640750B" w14:textId="77777777" w:rsidR="00FF0883" w:rsidRDefault="00FF0883" w:rsidP="002C56DC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103C63EF" w14:textId="77777777" w:rsidR="00FF0883" w:rsidRDefault="00FF0883" w:rsidP="002C56DC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39A9D44F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6D632E5A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4C317F96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5312748B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5BFA5706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6ED6A3A5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2B70C7EB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70B72CC4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5352D1AB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2D88DC23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69278506" w14:textId="77777777" w:rsidR="00FF0883" w:rsidRDefault="00FF0883" w:rsidP="00FF0883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</w:p>
    <w:p w14:paraId="54CF55BD" w14:textId="705E3516" w:rsidR="002C56DC" w:rsidRPr="002C56DC" w:rsidRDefault="002C56DC" w:rsidP="00FF0883">
      <w:pPr>
        <w:rPr>
          <w:rFonts w:ascii="Times New Roman" w:hAnsi="Times New Roman" w:cs="Times New Roman"/>
          <w:sz w:val="36"/>
          <w:szCs w:val="36"/>
        </w:rPr>
      </w:pPr>
      <w:r w:rsidRPr="002C56DC">
        <w:rPr>
          <w:rFonts w:ascii="Times New Roman" w:hAnsi="Times New Roman" w:cs="Times New Roman"/>
          <w:b/>
          <w:bCs/>
          <w:sz w:val="36"/>
          <w:szCs w:val="36"/>
          <w:lang w:val="en-US"/>
        </w:rPr>
        <w:t>Frost Fair: A Winter MICE Extravaganza</w:t>
      </w:r>
    </w:p>
    <w:p w14:paraId="07298A1E" w14:textId="77777777" w:rsidR="002C56DC" w:rsidRPr="002C56DC" w:rsidRDefault="002C56DC" w:rsidP="002C56DC">
      <w:pPr>
        <w:numPr>
          <w:ilvl w:val="0"/>
          <w:numId w:val="1"/>
        </w:num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lang w:val="en-US"/>
        </w:rPr>
        <w:t>A three-day winter-themed MICE event</w:t>
      </w:r>
    </w:p>
    <w:p w14:paraId="5FA46588" w14:textId="77777777" w:rsidR="002C56DC" w:rsidRPr="002C56DC" w:rsidRDefault="002C56DC" w:rsidP="002C56DC">
      <w:pPr>
        <w:numPr>
          <w:ilvl w:val="0"/>
          <w:numId w:val="1"/>
        </w:num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lang w:val="en-US"/>
        </w:rPr>
        <w:t>Combining business networking with festive activities</w:t>
      </w:r>
    </w:p>
    <w:p w14:paraId="40D7FAEE" w14:textId="77777777" w:rsidR="002C56DC" w:rsidRPr="002C56DC" w:rsidRDefault="002C56DC" w:rsidP="002C56DC">
      <w:pPr>
        <w:numPr>
          <w:ilvl w:val="0"/>
          <w:numId w:val="1"/>
        </w:num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lang w:val="en-US"/>
        </w:rPr>
        <w:t>Inspired by historical London Frost Fairs</w:t>
      </w:r>
    </w:p>
    <w:p w14:paraId="38C26536" w14:textId="77777777" w:rsidR="002C56DC" w:rsidRPr="002C56DC" w:rsidRDefault="002C56DC" w:rsidP="002C56DC">
      <w:pPr>
        <w:numPr>
          <w:ilvl w:val="0"/>
          <w:numId w:val="1"/>
        </w:num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lang w:val="en-US"/>
        </w:rPr>
        <w:t xml:space="preserve">Venue: </w:t>
      </w:r>
      <w:proofErr w:type="spellStart"/>
      <w:r w:rsidRPr="002C56DC">
        <w:rPr>
          <w:rFonts w:ascii="Times New Roman" w:hAnsi="Times New Roman" w:cs="Times New Roman"/>
          <w:lang w:val="en-US"/>
        </w:rPr>
        <w:t>ExCeL</w:t>
      </w:r>
      <w:proofErr w:type="spellEnd"/>
      <w:r w:rsidRPr="002C56DC">
        <w:rPr>
          <w:rFonts w:ascii="Times New Roman" w:hAnsi="Times New Roman" w:cs="Times New Roman"/>
          <w:lang w:val="en-US"/>
        </w:rPr>
        <w:t xml:space="preserve"> London</w:t>
      </w:r>
    </w:p>
    <w:p w14:paraId="14B19FE9" w14:textId="77777777" w:rsidR="002C56DC" w:rsidRPr="002C56DC" w:rsidRDefault="002C56DC" w:rsidP="002C56DC">
      <w:pPr>
        <w:numPr>
          <w:ilvl w:val="0"/>
          <w:numId w:val="1"/>
        </w:num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lang w:val="en-US"/>
        </w:rPr>
        <w:t>Date: 15-17 December 2025</w:t>
      </w:r>
    </w:p>
    <w:p w14:paraId="7D507892" w14:textId="77777777" w:rsidR="002C56DC" w:rsidRPr="002C56DC" w:rsidRDefault="002C56DC" w:rsidP="002C56DC">
      <w:p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i/>
          <w:iCs/>
          <w:lang w:val="en-US"/>
        </w:rPr>
        <w:t>This event aligns with the growing trend of creating unique, experiential events in the MICE industry (Yeoman et al., 2014).</w:t>
      </w:r>
    </w:p>
    <w:p w14:paraId="6CEA645F" w14:textId="77777777" w:rsidR="002C56DC" w:rsidRPr="002C56DC" w:rsidRDefault="002C56DC" w:rsidP="002C56DC">
      <w:p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b/>
          <w:bCs/>
          <w:lang w:val="en-US"/>
        </w:rPr>
        <w:t>Presented by Denis Buzdugan</w:t>
      </w:r>
    </w:p>
    <w:p w14:paraId="62B2B867" w14:textId="77777777" w:rsidR="00BA0FD7" w:rsidRPr="00E308BC" w:rsidRDefault="00BA0FD7" w:rsidP="002C56DC">
      <w:pPr>
        <w:rPr>
          <w:rFonts w:ascii="Times New Roman" w:hAnsi="Times New Roman" w:cs="Times New Roman"/>
          <w:b/>
          <w:bCs/>
          <w:lang w:val="en-US"/>
        </w:rPr>
      </w:pPr>
    </w:p>
    <w:p w14:paraId="631ECEC7" w14:textId="60CAE4A7" w:rsidR="002C56DC" w:rsidRPr="002C56DC" w:rsidRDefault="002C56DC" w:rsidP="002C56DC">
      <w:pPr>
        <w:rPr>
          <w:rFonts w:ascii="Times New Roman" w:hAnsi="Times New Roman" w:cs="Times New Roman"/>
          <w:sz w:val="36"/>
          <w:szCs w:val="36"/>
        </w:rPr>
      </w:pPr>
      <w:r w:rsidRPr="002C56DC">
        <w:rPr>
          <w:rFonts w:ascii="Times New Roman" w:hAnsi="Times New Roman" w:cs="Times New Roman"/>
          <w:b/>
          <w:bCs/>
          <w:sz w:val="36"/>
          <w:szCs w:val="36"/>
          <w:lang w:val="en-US"/>
        </w:rPr>
        <w:t>Background Research</w:t>
      </w:r>
    </w:p>
    <w:p w14:paraId="2959E41A" w14:textId="77777777" w:rsidR="002C56DC" w:rsidRPr="002C56DC" w:rsidRDefault="002C56DC" w:rsidP="002C56DC">
      <w:p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b/>
          <w:bCs/>
          <w:lang w:val="en-US"/>
        </w:rPr>
        <w:t>Historical Inspiration</w:t>
      </w:r>
    </w:p>
    <w:p w14:paraId="04EA3C41" w14:textId="77777777" w:rsidR="002C56DC" w:rsidRPr="002C56DC" w:rsidRDefault="002C56DC" w:rsidP="002C56DC">
      <w:p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lang w:val="en-US"/>
        </w:rPr>
        <w:t>The concept of Frost Fair is inspired by the historical London Frost Fairs held on the frozen River Thames between the 15th and 19th centuries (Getz and Page, 2019)</w:t>
      </w:r>
    </w:p>
    <w:p w14:paraId="27F6E037" w14:textId="77777777" w:rsidR="002C56DC" w:rsidRPr="002C56DC" w:rsidRDefault="002C56DC" w:rsidP="002C56DC">
      <w:p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b/>
          <w:bCs/>
          <w:lang w:val="en-US"/>
        </w:rPr>
        <w:t>MICE Industry Growth</w:t>
      </w:r>
    </w:p>
    <w:p w14:paraId="347C946B" w14:textId="77777777" w:rsidR="002C56DC" w:rsidRPr="002C56DC" w:rsidRDefault="002C56DC" w:rsidP="002C56DC">
      <w:p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lang w:val="en-US"/>
        </w:rPr>
        <w:t>The MICE industry in the UK contributed £31.2 billion to the UK economy in 2020, with 1.3 million MICE events held annually pre-pandemic (BVEP, 2020)</w:t>
      </w:r>
    </w:p>
    <w:p w14:paraId="7F62A8F7" w14:textId="77777777" w:rsidR="002C56DC" w:rsidRPr="002C56DC" w:rsidRDefault="002C56DC" w:rsidP="002C56DC">
      <w:pPr>
        <w:rPr>
          <w:rFonts w:ascii="Times New Roman" w:hAnsi="Times New Roman" w:cs="Times New Roman"/>
        </w:rPr>
      </w:pPr>
      <w:r w:rsidRPr="002C56DC">
        <w:rPr>
          <w:rFonts w:ascii="Times New Roman" w:hAnsi="Times New Roman" w:cs="Times New Roman"/>
          <w:b/>
          <w:bCs/>
          <w:lang w:val="en-US"/>
        </w:rPr>
        <w:t>Projected Growth</w:t>
      </w:r>
    </w:p>
    <w:p w14:paraId="69A4EE5B" w14:textId="77777777" w:rsidR="00BA0FD7" w:rsidRPr="00BA0FD7" w:rsidRDefault="00BA0FD7" w:rsidP="00BA0FD7">
      <w:pPr>
        <w:rPr>
          <w:rFonts w:ascii="Times New Roman" w:hAnsi="Times New Roman" w:cs="Times New Roman"/>
        </w:rPr>
      </w:pPr>
      <w:r w:rsidRPr="00BA0FD7">
        <w:rPr>
          <w:rFonts w:ascii="Times New Roman" w:hAnsi="Times New Roman" w:cs="Times New Roman"/>
          <w:lang w:val="en-US"/>
        </w:rPr>
        <w:t>The MICE industry is projected to grow by 35% by 2025 (Smith, 2012)</w:t>
      </w:r>
    </w:p>
    <w:p w14:paraId="60B3C342" w14:textId="77777777" w:rsidR="00BA0FD7" w:rsidRPr="00E308BC" w:rsidRDefault="00BA0FD7" w:rsidP="00BA0FD7">
      <w:pPr>
        <w:rPr>
          <w:rFonts w:ascii="Times New Roman" w:hAnsi="Times New Roman" w:cs="Times New Roman"/>
          <w:b/>
          <w:bCs/>
          <w:lang w:val="en-US"/>
        </w:rPr>
      </w:pPr>
    </w:p>
    <w:p w14:paraId="204A9D36" w14:textId="7D592A2C" w:rsidR="00BA0FD7" w:rsidRPr="00BA0FD7" w:rsidRDefault="00BA0FD7" w:rsidP="00BA0FD7">
      <w:pPr>
        <w:rPr>
          <w:rFonts w:ascii="Times New Roman" w:hAnsi="Times New Roman" w:cs="Times New Roman"/>
          <w:sz w:val="36"/>
          <w:szCs w:val="36"/>
        </w:rPr>
      </w:pPr>
      <w:r w:rsidRPr="00BA0FD7">
        <w:rPr>
          <w:rFonts w:ascii="Times New Roman" w:hAnsi="Times New Roman" w:cs="Times New Roman"/>
          <w:b/>
          <w:bCs/>
          <w:sz w:val="36"/>
          <w:szCs w:val="36"/>
          <w:lang w:val="en-US"/>
        </w:rPr>
        <w:t>Event Content and Context</w:t>
      </w:r>
    </w:p>
    <w:p w14:paraId="227AF13F" w14:textId="77777777" w:rsidR="00BA0FD7" w:rsidRPr="00BA0FD7" w:rsidRDefault="00BA0FD7" w:rsidP="00BA0FD7">
      <w:pPr>
        <w:rPr>
          <w:rFonts w:ascii="Times New Roman" w:hAnsi="Times New Roman" w:cs="Times New Roman"/>
        </w:rPr>
      </w:pPr>
      <w:r w:rsidRPr="00BA0FD7">
        <w:rPr>
          <w:rFonts w:ascii="Times New Roman" w:hAnsi="Times New Roman" w:cs="Times New Roman"/>
          <w:b/>
          <w:bCs/>
          <w:lang w:val="en-US"/>
        </w:rPr>
        <w:t>Blending Business and Festivities</w:t>
      </w:r>
    </w:p>
    <w:p w14:paraId="5A55E1E7" w14:textId="77777777" w:rsidR="00BA0FD7" w:rsidRPr="00BA0FD7" w:rsidRDefault="00BA0FD7" w:rsidP="00BA0FD7">
      <w:pPr>
        <w:rPr>
          <w:rFonts w:ascii="Times New Roman" w:hAnsi="Times New Roman" w:cs="Times New Roman"/>
        </w:rPr>
      </w:pPr>
      <w:r w:rsidRPr="00BA0FD7">
        <w:rPr>
          <w:rFonts w:ascii="Times New Roman" w:hAnsi="Times New Roman" w:cs="Times New Roman"/>
          <w:lang w:val="en-US"/>
        </w:rPr>
        <w:t>Frost Fair will blend business networking with winter-themed experiences.</w:t>
      </w:r>
    </w:p>
    <w:p w14:paraId="32F68D80" w14:textId="77777777" w:rsidR="00BA0FD7" w:rsidRPr="00BA0FD7" w:rsidRDefault="00BA0FD7" w:rsidP="00BA0FD7">
      <w:pPr>
        <w:rPr>
          <w:rFonts w:ascii="Times New Roman" w:hAnsi="Times New Roman" w:cs="Times New Roman"/>
        </w:rPr>
      </w:pPr>
      <w:r w:rsidRPr="00BA0FD7">
        <w:rPr>
          <w:rFonts w:ascii="Times New Roman" w:hAnsi="Times New Roman" w:cs="Times New Roman"/>
          <w:b/>
          <w:bCs/>
          <w:lang w:val="en-US"/>
        </w:rPr>
        <w:t>Hybrid Event Format</w:t>
      </w:r>
    </w:p>
    <w:p w14:paraId="5A5C8DCD" w14:textId="77777777" w:rsidR="00BA0FD7" w:rsidRPr="00BA0FD7" w:rsidRDefault="00BA0FD7" w:rsidP="00BA0FD7">
      <w:pPr>
        <w:rPr>
          <w:rFonts w:ascii="Times New Roman" w:hAnsi="Times New Roman" w:cs="Times New Roman"/>
        </w:rPr>
      </w:pPr>
      <w:r w:rsidRPr="00BA0FD7">
        <w:rPr>
          <w:rFonts w:ascii="Times New Roman" w:hAnsi="Times New Roman" w:cs="Times New Roman"/>
          <w:lang w:val="en-US"/>
        </w:rPr>
        <w:t>The event will be a hybrid format, combining a trade show, conferences, and festive activities (The Meetings Show, 2021)</w:t>
      </w:r>
    </w:p>
    <w:p w14:paraId="6A1310C8" w14:textId="77777777" w:rsidR="00BA0FD7" w:rsidRPr="00BA0FD7" w:rsidRDefault="00BA0FD7" w:rsidP="00BA0FD7">
      <w:pPr>
        <w:rPr>
          <w:rFonts w:ascii="Times New Roman" w:hAnsi="Times New Roman" w:cs="Times New Roman"/>
        </w:rPr>
      </w:pPr>
      <w:r w:rsidRPr="00BA0FD7">
        <w:rPr>
          <w:rFonts w:ascii="Times New Roman" w:hAnsi="Times New Roman" w:cs="Times New Roman"/>
          <w:b/>
          <w:bCs/>
          <w:lang w:val="en-US"/>
        </w:rPr>
        <w:t>Key Features</w:t>
      </w:r>
    </w:p>
    <w:p w14:paraId="5F2A12F0" w14:textId="77777777" w:rsidR="00BA0FD7" w:rsidRPr="00BA0FD7" w:rsidRDefault="00BA0FD7" w:rsidP="00BA0FD7">
      <w:pPr>
        <w:rPr>
          <w:rFonts w:ascii="Times New Roman" w:hAnsi="Times New Roman" w:cs="Times New Roman"/>
        </w:rPr>
      </w:pPr>
      <w:r w:rsidRPr="00BA0FD7">
        <w:rPr>
          <w:rFonts w:ascii="Times New Roman" w:hAnsi="Times New Roman" w:cs="Times New Roman"/>
          <w:lang w:val="en-US"/>
        </w:rPr>
        <w:t>Frost Fair will feature an indoor ice rink, winter-themed product showcases, festive workshops, and a sustainable winter technology exhibition (Allen, 2009).</w:t>
      </w:r>
    </w:p>
    <w:p w14:paraId="6174CDB2" w14:textId="77777777" w:rsidR="00F53C70" w:rsidRPr="00F53C70" w:rsidRDefault="00F53C70" w:rsidP="00F53C70">
      <w:pPr>
        <w:rPr>
          <w:rFonts w:ascii="Times New Roman" w:hAnsi="Times New Roman" w:cs="Times New Roman"/>
        </w:rPr>
      </w:pPr>
      <w:r w:rsidRPr="00F53C70">
        <w:rPr>
          <w:rFonts w:ascii="Times New Roman" w:hAnsi="Times New Roman" w:cs="Times New Roman"/>
          <w:i/>
          <w:iCs/>
          <w:lang w:val="en-US"/>
        </w:rPr>
        <w:t xml:space="preserve">This multi-faceted approach aligns with the event portfolio paradigm discussed by </w:t>
      </w:r>
      <w:proofErr w:type="spellStart"/>
      <w:r w:rsidRPr="00F53C70">
        <w:rPr>
          <w:rFonts w:ascii="Times New Roman" w:hAnsi="Times New Roman" w:cs="Times New Roman"/>
          <w:i/>
          <w:iCs/>
          <w:lang w:val="en-US"/>
        </w:rPr>
        <w:t>Ziakas</w:t>
      </w:r>
      <w:proofErr w:type="spellEnd"/>
      <w:r w:rsidRPr="00F53C70">
        <w:rPr>
          <w:rFonts w:ascii="Times New Roman" w:hAnsi="Times New Roman" w:cs="Times New Roman"/>
          <w:i/>
          <w:iCs/>
          <w:lang w:val="en-US"/>
        </w:rPr>
        <w:t xml:space="preserve"> (2019), offering diverse experiences within a single event.</w:t>
      </w:r>
    </w:p>
    <w:p w14:paraId="237BF211" w14:textId="77777777" w:rsidR="00427D55" w:rsidRPr="00E308BC" w:rsidRDefault="00427D55">
      <w:pPr>
        <w:rPr>
          <w:rFonts w:ascii="Times New Roman" w:hAnsi="Times New Roman" w:cs="Times New Roman"/>
        </w:rPr>
      </w:pPr>
    </w:p>
    <w:p w14:paraId="59704D54" w14:textId="77777777" w:rsidR="0016175F" w:rsidRPr="0016175F" w:rsidRDefault="0016175F" w:rsidP="0016175F">
      <w:pPr>
        <w:rPr>
          <w:rFonts w:ascii="Times New Roman" w:hAnsi="Times New Roman" w:cs="Times New Roman"/>
          <w:sz w:val="36"/>
          <w:szCs w:val="36"/>
        </w:rPr>
      </w:pPr>
      <w:r w:rsidRPr="0016175F">
        <w:rPr>
          <w:rFonts w:ascii="Times New Roman" w:hAnsi="Times New Roman" w:cs="Times New Roman"/>
          <w:b/>
          <w:bCs/>
          <w:sz w:val="36"/>
          <w:szCs w:val="36"/>
          <w:lang w:val="en-US"/>
        </w:rPr>
        <w:lastRenderedPageBreak/>
        <w:t>Market Factors</w:t>
      </w:r>
    </w:p>
    <w:p w14:paraId="1A0FE166" w14:textId="77777777" w:rsidR="0016175F" w:rsidRPr="0016175F" w:rsidRDefault="0016175F" w:rsidP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b/>
          <w:bCs/>
          <w:lang w:val="en-US"/>
        </w:rPr>
        <w:t>Target Market</w:t>
      </w:r>
    </w:p>
    <w:p w14:paraId="6037809C" w14:textId="77777777" w:rsidR="0016175F" w:rsidRPr="0016175F" w:rsidRDefault="0016175F" w:rsidP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lang w:val="en-US"/>
        </w:rPr>
        <w:t>The target market includes corporate event planners, business executives, technology and sustainability innovators, and winter tourism operators (Shone and Parry, 2018)</w:t>
      </w:r>
    </w:p>
    <w:p w14:paraId="5DD3E080" w14:textId="77777777" w:rsidR="0016175F" w:rsidRPr="0016175F" w:rsidRDefault="0016175F" w:rsidP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b/>
          <w:bCs/>
          <w:lang w:val="en-US"/>
        </w:rPr>
        <w:t>Demand</w:t>
      </w:r>
    </w:p>
    <w:p w14:paraId="223024C1" w14:textId="77777777" w:rsidR="0016175F" w:rsidRPr="0016175F" w:rsidRDefault="0016175F" w:rsidP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lang w:val="en-US"/>
        </w:rPr>
        <w:t xml:space="preserve">There is high demand for innovative MICE events post-pandemic </w:t>
      </w:r>
      <w:r w:rsidRPr="0016175F">
        <w:rPr>
          <w:rFonts w:ascii="Times New Roman" w:hAnsi="Times New Roman" w:cs="Times New Roman"/>
        </w:rPr>
        <w:t>(Rogers and Wynn-Moylan, 2022).</w:t>
      </w:r>
    </w:p>
    <w:p w14:paraId="712F42DF" w14:textId="77777777" w:rsidR="0016175F" w:rsidRPr="0016175F" w:rsidRDefault="0016175F" w:rsidP="0016175F">
      <w:pPr>
        <w:rPr>
          <w:rFonts w:ascii="Times New Roman" w:hAnsi="Times New Roman" w:cs="Times New Roman"/>
          <w:sz w:val="36"/>
          <w:szCs w:val="36"/>
        </w:rPr>
      </w:pPr>
      <w:r w:rsidRPr="0016175F">
        <w:rPr>
          <w:rFonts w:ascii="Times New Roman" w:hAnsi="Times New Roman" w:cs="Times New Roman"/>
          <w:b/>
          <w:bCs/>
          <w:lang w:val="en-US"/>
        </w:rPr>
        <w:t>Competition</w:t>
      </w:r>
    </w:p>
    <w:p w14:paraId="16EFDA30" w14:textId="77777777" w:rsidR="0016175F" w:rsidRPr="0016175F" w:rsidRDefault="0016175F" w:rsidP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lang w:val="en-US"/>
        </w:rPr>
        <w:t>Frost Fair faces limited direct competition due to its unique concept, but indirect competition from traditional winter corporate events.</w:t>
      </w:r>
    </w:p>
    <w:p w14:paraId="0111520F" w14:textId="2CCD911E" w:rsidR="0016175F" w:rsidRPr="00E308BC" w:rsidRDefault="00F53C70" w:rsidP="0016175F">
      <w:pPr>
        <w:rPr>
          <w:rFonts w:ascii="Times New Roman" w:hAnsi="Times New Roman" w:cs="Times New Roman"/>
          <w:b/>
          <w:bCs/>
        </w:rPr>
      </w:pPr>
      <w:r w:rsidRPr="00F53C70">
        <w:rPr>
          <w:rFonts w:ascii="Times New Roman" w:hAnsi="Times New Roman" w:cs="Times New Roman"/>
          <w:b/>
          <w:bCs/>
          <w:i/>
          <w:iCs/>
          <w:lang w:val="en-US"/>
        </w:rPr>
        <w:t>Market research methods will follow best practices outlined by Fox et al. (2014) to ensure accurate demand assessment.</w:t>
      </w:r>
    </w:p>
    <w:p w14:paraId="2D91E746" w14:textId="308BDFB1" w:rsidR="0016175F" w:rsidRPr="0016175F" w:rsidRDefault="0016175F" w:rsidP="0016175F">
      <w:pPr>
        <w:rPr>
          <w:rFonts w:ascii="Times New Roman" w:hAnsi="Times New Roman" w:cs="Times New Roman"/>
          <w:sz w:val="36"/>
          <w:szCs w:val="36"/>
        </w:rPr>
      </w:pPr>
      <w:r w:rsidRPr="0016175F">
        <w:rPr>
          <w:rFonts w:ascii="Times New Roman" w:hAnsi="Times New Roman" w:cs="Times New Roman"/>
          <w:b/>
          <w:bCs/>
          <w:sz w:val="36"/>
          <w:szCs w:val="36"/>
          <w:lang w:val="en-US"/>
        </w:rPr>
        <w:t>Operational Factors</w:t>
      </w:r>
    </w:p>
    <w:p w14:paraId="74C899E3" w14:textId="67ACE892" w:rsidR="00BA0FD7" w:rsidRPr="00E308BC" w:rsidRDefault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b/>
          <w:bCs/>
          <w:lang w:val="en-US"/>
        </w:rPr>
        <w:t>Venue</w:t>
      </w:r>
    </w:p>
    <w:p w14:paraId="1C2D6E73" w14:textId="77777777" w:rsidR="0016175F" w:rsidRPr="0016175F" w:rsidRDefault="0016175F" w:rsidP="0016175F">
      <w:pPr>
        <w:rPr>
          <w:rFonts w:ascii="Times New Roman" w:hAnsi="Times New Roman" w:cs="Times New Roman"/>
        </w:rPr>
      </w:pPr>
      <w:proofErr w:type="spellStart"/>
      <w:r w:rsidRPr="0016175F">
        <w:rPr>
          <w:rFonts w:ascii="Times New Roman" w:hAnsi="Times New Roman" w:cs="Times New Roman"/>
          <w:lang w:val="en-US"/>
        </w:rPr>
        <w:t>ExCeL</w:t>
      </w:r>
      <w:proofErr w:type="spellEnd"/>
      <w:r w:rsidRPr="0016175F">
        <w:rPr>
          <w:rFonts w:ascii="Times New Roman" w:hAnsi="Times New Roman" w:cs="Times New Roman"/>
          <w:lang w:val="en-US"/>
        </w:rPr>
        <w:t xml:space="preserve"> London offers 100,000 m² of flexible event space, excellent transport links, and sustainability credentials that align with the event theme (Excel London, 2024).</w:t>
      </w:r>
    </w:p>
    <w:p w14:paraId="3005BA2C" w14:textId="77777777" w:rsidR="0016175F" w:rsidRPr="0016175F" w:rsidRDefault="0016175F" w:rsidP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b/>
          <w:bCs/>
          <w:lang w:val="en-US"/>
        </w:rPr>
        <w:t>Skills</w:t>
      </w:r>
    </w:p>
    <w:p w14:paraId="6E26D024" w14:textId="77777777" w:rsidR="0016175F" w:rsidRPr="0016175F" w:rsidRDefault="0016175F" w:rsidP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lang w:val="en-US"/>
        </w:rPr>
        <w:t>Frost Fair requires event management and logistics expertise, ice rink operations, sustainable technology expertise, and winter theming and décor specialists (Getz, 2019).</w:t>
      </w:r>
    </w:p>
    <w:p w14:paraId="66277513" w14:textId="77777777" w:rsidR="0016175F" w:rsidRPr="0016175F" w:rsidRDefault="0016175F" w:rsidP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b/>
          <w:bCs/>
          <w:lang w:val="en-US"/>
        </w:rPr>
        <w:t>Resources</w:t>
      </w:r>
    </w:p>
    <w:p w14:paraId="5C45F78F" w14:textId="54D3A535" w:rsidR="0016175F" w:rsidRPr="00E308BC" w:rsidRDefault="0016175F">
      <w:pPr>
        <w:rPr>
          <w:rFonts w:ascii="Times New Roman" w:hAnsi="Times New Roman" w:cs="Times New Roman"/>
        </w:rPr>
      </w:pPr>
      <w:r w:rsidRPr="0016175F">
        <w:rPr>
          <w:rFonts w:ascii="Times New Roman" w:hAnsi="Times New Roman" w:cs="Times New Roman"/>
          <w:lang w:val="en-US"/>
        </w:rPr>
        <w:t>The event will require catering, AV equipment, sustainable heating solutions, and ice rink installation (Cvent, 2023).</w:t>
      </w:r>
    </w:p>
    <w:p w14:paraId="268DCD64" w14:textId="4A2D0201" w:rsidR="00F53C70" w:rsidRPr="00E308BC" w:rsidRDefault="00F53C70">
      <w:pPr>
        <w:rPr>
          <w:rFonts w:ascii="Times New Roman" w:hAnsi="Times New Roman" w:cs="Times New Roman"/>
        </w:rPr>
      </w:pPr>
      <w:r w:rsidRPr="00F53C70">
        <w:rPr>
          <w:rFonts w:ascii="Times New Roman" w:hAnsi="Times New Roman" w:cs="Times New Roman"/>
          <w:i/>
          <w:iCs/>
          <w:lang w:val="en-US"/>
        </w:rPr>
        <w:t>Operational planning will follow the strategic approach outlined by O'Toole (2021) to ensure seamless execution.</w:t>
      </w:r>
    </w:p>
    <w:p w14:paraId="656E98A9" w14:textId="04D82408" w:rsidR="00D47ABC" w:rsidRPr="00E308BC" w:rsidRDefault="00D47ABC" w:rsidP="00D47ABC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  <w:r w:rsidRPr="00D47ABC">
        <w:rPr>
          <w:rFonts w:ascii="Times New Roman" w:hAnsi="Times New Roman" w:cs="Times New Roman"/>
          <w:b/>
          <w:bCs/>
          <w:sz w:val="36"/>
          <w:szCs w:val="36"/>
          <w:lang w:val="en-US"/>
        </w:rPr>
        <w:t>Financial Factors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53C70" w:rsidRPr="00E308BC" w14:paraId="6EDA64C5" w14:textId="77777777" w:rsidTr="00F53C70">
        <w:tc>
          <w:tcPr>
            <w:tcW w:w="4508" w:type="dxa"/>
          </w:tcPr>
          <w:p w14:paraId="0AEED2E0" w14:textId="23ECF2C6" w:rsidR="00F53C70" w:rsidRPr="00E308BC" w:rsidRDefault="00F53C70" w:rsidP="00D47ABC">
            <w:pPr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E308BC">
              <w:rPr>
                <w:rFonts w:ascii="Times New Roman" w:hAnsi="Times New Roman" w:cs="Times New Roman"/>
                <w:b/>
                <w:bCs/>
                <w:lang w:val="en-US"/>
              </w:rPr>
              <w:t>Income</w:t>
            </w:r>
          </w:p>
        </w:tc>
        <w:tc>
          <w:tcPr>
            <w:tcW w:w="4508" w:type="dxa"/>
          </w:tcPr>
          <w:p w14:paraId="071C9706" w14:textId="09157004" w:rsidR="00F53C70" w:rsidRPr="00E308BC" w:rsidRDefault="00F53C70" w:rsidP="00D47ABC">
            <w:pPr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E308BC">
              <w:rPr>
                <w:rFonts w:ascii="Times New Roman" w:hAnsi="Times New Roman" w:cs="Times New Roman"/>
                <w:b/>
                <w:bCs/>
                <w:lang w:val="en-US"/>
              </w:rPr>
              <w:t>Amount</w:t>
            </w:r>
          </w:p>
        </w:tc>
      </w:tr>
      <w:tr w:rsidR="00F53C70" w:rsidRPr="00E308BC" w14:paraId="76E017A2" w14:textId="77777777" w:rsidTr="00F53C70">
        <w:tc>
          <w:tcPr>
            <w:tcW w:w="4508" w:type="dxa"/>
          </w:tcPr>
          <w:p w14:paraId="4B58BE1F" w14:textId="4B95D5B5" w:rsidR="00F53C70" w:rsidRPr="00E308BC" w:rsidRDefault="00F53C70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Ticket Sales</w:t>
            </w:r>
          </w:p>
        </w:tc>
        <w:tc>
          <w:tcPr>
            <w:tcW w:w="4508" w:type="dxa"/>
          </w:tcPr>
          <w:p w14:paraId="26827C1C" w14:textId="1E28049E" w:rsidR="00F53C70" w:rsidRPr="00E308BC" w:rsidRDefault="00F53C70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750,000</w:t>
            </w:r>
          </w:p>
        </w:tc>
      </w:tr>
      <w:tr w:rsidR="00F53C70" w:rsidRPr="00E308BC" w14:paraId="194E5A85" w14:textId="77777777" w:rsidTr="00F53C70">
        <w:tc>
          <w:tcPr>
            <w:tcW w:w="4508" w:type="dxa"/>
          </w:tcPr>
          <w:p w14:paraId="0DF79D69" w14:textId="7D1ECDD1" w:rsidR="00F53C70" w:rsidRPr="00E308BC" w:rsidRDefault="00F53C70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Sponsorships</w:t>
            </w:r>
          </w:p>
        </w:tc>
        <w:tc>
          <w:tcPr>
            <w:tcW w:w="4508" w:type="dxa"/>
          </w:tcPr>
          <w:p w14:paraId="6F5E8CD9" w14:textId="48CCC242" w:rsidR="00F53C70" w:rsidRPr="00E308BC" w:rsidRDefault="00F53C70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500,000</w:t>
            </w:r>
          </w:p>
        </w:tc>
      </w:tr>
      <w:tr w:rsidR="00F53C70" w:rsidRPr="00E308BC" w14:paraId="57FFE749" w14:textId="77777777" w:rsidTr="00F53C70">
        <w:tc>
          <w:tcPr>
            <w:tcW w:w="4508" w:type="dxa"/>
          </w:tcPr>
          <w:p w14:paraId="6DF35331" w14:textId="580A1110" w:rsidR="00F53C70" w:rsidRPr="00E308BC" w:rsidRDefault="00F53C70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Exhibitor Fees</w:t>
            </w:r>
          </w:p>
        </w:tc>
        <w:tc>
          <w:tcPr>
            <w:tcW w:w="4508" w:type="dxa"/>
          </w:tcPr>
          <w:p w14:paraId="2ACB6574" w14:textId="1E063975" w:rsidR="00F53C70" w:rsidRPr="00E308BC" w:rsidRDefault="00F53C70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350,000</w:t>
            </w:r>
          </w:p>
        </w:tc>
      </w:tr>
      <w:tr w:rsidR="00F53C70" w:rsidRPr="00E308BC" w14:paraId="1B8A2518" w14:textId="77777777" w:rsidTr="00F53C70">
        <w:tc>
          <w:tcPr>
            <w:tcW w:w="4508" w:type="dxa"/>
          </w:tcPr>
          <w:p w14:paraId="0F58B4B0" w14:textId="404D0C2E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Total Income</w:t>
            </w:r>
          </w:p>
        </w:tc>
        <w:tc>
          <w:tcPr>
            <w:tcW w:w="4508" w:type="dxa"/>
          </w:tcPr>
          <w:p w14:paraId="59187D42" w14:textId="61F9187C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1,600,000</w:t>
            </w:r>
          </w:p>
        </w:tc>
      </w:tr>
      <w:tr w:rsidR="00F53C70" w:rsidRPr="00E308BC" w14:paraId="4C9B1105" w14:textId="77777777" w:rsidTr="00F53C70">
        <w:tc>
          <w:tcPr>
            <w:tcW w:w="4508" w:type="dxa"/>
          </w:tcPr>
          <w:p w14:paraId="1DBDD493" w14:textId="6FC4A431" w:rsidR="00F53C70" w:rsidRPr="00E308BC" w:rsidRDefault="00D7624A" w:rsidP="00D47ABC">
            <w:pPr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E308BC">
              <w:rPr>
                <w:rFonts w:ascii="Times New Roman" w:hAnsi="Times New Roman" w:cs="Times New Roman"/>
                <w:b/>
                <w:bCs/>
                <w:lang w:val="en-US"/>
              </w:rPr>
              <w:t>Expenditure</w:t>
            </w:r>
          </w:p>
        </w:tc>
        <w:tc>
          <w:tcPr>
            <w:tcW w:w="4508" w:type="dxa"/>
          </w:tcPr>
          <w:p w14:paraId="1690D07D" w14:textId="46FBCE13" w:rsidR="00F53C70" w:rsidRPr="00E308BC" w:rsidRDefault="00D7624A" w:rsidP="00D47ABC">
            <w:pPr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E308BC">
              <w:rPr>
                <w:rFonts w:ascii="Times New Roman" w:hAnsi="Times New Roman" w:cs="Times New Roman"/>
                <w:b/>
                <w:bCs/>
                <w:lang w:val="en-US"/>
              </w:rPr>
              <w:t>Amount</w:t>
            </w:r>
          </w:p>
        </w:tc>
      </w:tr>
      <w:tr w:rsidR="00F53C70" w:rsidRPr="00E308BC" w14:paraId="43925F2E" w14:textId="77777777" w:rsidTr="00F53C70">
        <w:tc>
          <w:tcPr>
            <w:tcW w:w="4508" w:type="dxa"/>
          </w:tcPr>
          <w:p w14:paraId="73E8BCD6" w14:textId="0F31633C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Venue Hire</w:t>
            </w:r>
          </w:p>
        </w:tc>
        <w:tc>
          <w:tcPr>
            <w:tcW w:w="4508" w:type="dxa"/>
          </w:tcPr>
          <w:p w14:paraId="42A15DA5" w14:textId="6D865595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400,000</w:t>
            </w:r>
          </w:p>
        </w:tc>
      </w:tr>
      <w:tr w:rsidR="00F53C70" w:rsidRPr="00E308BC" w14:paraId="42E751FF" w14:textId="77777777" w:rsidTr="00F53C70">
        <w:tc>
          <w:tcPr>
            <w:tcW w:w="4508" w:type="dxa"/>
          </w:tcPr>
          <w:p w14:paraId="615A3230" w14:textId="1E131C8D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Staff and Operations</w:t>
            </w:r>
          </w:p>
        </w:tc>
        <w:tc>
          <w:tcPr>
            <w:tcW w:w="4508" w:type="dxa"/>
          </w:tcPr>
          <w:p w14:paraId="5C444A68" w14:textId="2A5CF72C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300,000</w:t>
            </w:r>
          </w:p>
        </w:tc>
      </w:tr>
      <w:tr w:rsidR="00F53C70" w:rsidRPr="00E308BC" w14:paraId="27009CB9" w14:textId="77777777" w:rsidTr="00F53C70">
        <w:tc>
          <w:tcPr>
            <w:tcW w:w="4508" w:type="dxa"/>
          </w:tcPr>
          <w:p w14:paraId="3F4171CA" w14:textId="71989210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Marketing</w:t>
            </w:r>
          </w:p>
        </w:tc>
        <w:tc>
          <w:tcPr>
            <w:tcW w:w="4508" w:type="dxa"/>
          </w:tcPr>
          <w:p w14:paraId="4CB7172B" w14:textId="688E9BAF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200,000</w:t>
            </w:r>
          </w:p>
        </w:tc>
      </w:tr>
      <w:tr w:rsidR="00F53C70" w:rsidRPr="00E308BC" w14:paraId="29BDF18C" w14:textId="77777777" w:rsidTr="00F53C70">
        <w:tc>
          <w:tcPr>
            <w:tcW w:w="4508" w:type="dxa"/>
          </w:tcPr>
          <w:p w14:paraId="5D891F5A" w14:textId="4619F572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Equipment and Theming</w:t>
            </w:r>
          </w:p>
        </w:tc>
        <w:tc>
          <w:tcPr>
            <w:tcW w:w="4508" w:type="dxa"/>
          </w:tcPr>
          <w:p w14:paraId="708497BC" w14:textId="1FF18D80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350,000</w:t>
            </w:r>
          </w:p>
        </w:tc>
      </w:tr>
      <w:tr w:rsidR="00F53C70" w:rsidRPr="00E308BC" w14:paraId="6174699E" w14:textId="77777777" w:rsidTr="00F53C70">
        <w:tc>
          <w:tcPr>
            <w:tcW w:w="4508" w:type="dxa"/>
          </w:tcPr>
          <w:p w14:paraId="76E85136" w14:textId="2B62F430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Contingency</w:t>
            </w:r>
          </w:p>
        </w:tc>
        <w:tc>
          <w:tcPr>
            <w:tcW w:w="4508" w:type="dxa"/>
          </w:tcPr>
          <w:p w14:paraId="49807E27" w14:textId="05517EC6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100,000</w:t>
            </w:r>
          </w:p>
        </w:tc>
      </w:tr>
      <w:tr w:rsidR="00F53C70" w:rsidRPr="00E308BC" w14:paraId="439EFCB5" w14:textId="77777777" w:rsidTr="00F53C70">
        <w:tc>
          <w:tcPr>
            <w:tcW w:w="4508" w:type="dxa"/>
          </w:tcPr>
          <w:p w14:paraId="4A04CF3B" w14:textId="2E68CC4E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Total Expenditure</w:t>
            </w:r>
          </w:p>
        </w:tc>
        <w:tc>
          <w:tcPr>
            <w:tcW w:w="4508" w:type="dxa"/>
          </w:tcPr>
          <w:p w14:paraId="358ED570" w14:textId="59BA762C" w:rsidR="00F53C70" w:rsidRPr="00E308BC" w:rsidRDefault="00D7624A" w:rsidP="00D47ABC">
            <w:pPr>
              <w:rPr>
                <w:rFonts w:ascii="Times New Roman" w:hAnsi="Times New Roman" w:cs="Times New Roman"/>
                <w:lang w:val="en-US"/>
              </w:rPr>
            </w:pPr>
            <w:r w:rsidRPr="00E308BC">
              <w:rPr>
                <w:rFonts w:ascii="Times New Roman" w:hAnsi="Times New Roman" w:cs="Times New Roman"/>
                <w:lang w:val="en-US"/>
              </w:rPr>
              <w:t>1,350,000</w:t>
            </w:r>
          </w:p>
        </w:tc>
      </w:tr>
      <w:tr w:rsidR="00D7624A" w:rsidRPr="00E308BC" w14:paraId="7F50AFF9" w14:textId="77777777" w:rsidTr="00F53C70">
        <w:tc>
          <w:tcPr>
            <w:tcW w:w="4508" w:type="dxa"/>
          </w:tcPr>
          <w:p w14:paraId="2D821DA6" w14:textId="5A71E7D7" w:rsidR="00D7624A" w:rsidRPr="00E308BC" w:rsidRDefault="00D7624A" w:rsidP="00D47ABC">
            <w:pPr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E308BC">
              <w:rPr>
                <w:rFonts w:ascii="Times New Roman" w:hAnsi="Times New Roman" w:cs="Times New Roman"/>
                <w:b/>
                <w:bCs/>
                <w:lang w:val="en-US"/>
              </w:rPr>
              <w:t>Projected Profit</w:t>
            </w:r>
          </w:p>
        </w:tc>
        <w:tc>
          <w:tcPr>
            <w:tcW w:w="4508" w:type="dxa"/>
          </w:tcPr>
          <w:p w14:paraId="73B8458A" w14:textId="7D2FE574" w:rsidR="00D7624A" w:rsidRPr="00E308BC" w:rsidRDefault="00D7624A" w:rsidP="00D47ABC">
            <w:pPr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E308BC">
              <w:rPr>
                <w:rFonts w:ascii="Times New Roman" w:hAnsi="Times New Roman" w:cs="Times New Roman"/>
                <w:b/>
                <w:bCs/>
                <w:lang w:val="en-US"/>
              </w:rPr>
              <w:t>250,000</w:t>
            </w:r>
          </w:p>
        </w:tc>
      </w:tr>
    </w:tbl>
    <w:p w14:paraId="141AAFED" w14:textId="71090136" w:rsidR="00F53C70" w:rsidRPr="00E308BC" w:rsidRDefault="00D7624A" w:rsidP="00D47ABC">
      <w:pPr>
        <w:rPr>
          <w:rFonts w:ascii="Times New Roman" w:hAnsi="Times New Roman" w:cs="Times New Roman"/>
          <w:b/>
          <w:bCs/>
        </w:rPr>
      </w:pPr>
      <w:r w:rsidRPr="00D7624A">
        <w:rPr>
          <w:rFonts w:ascii="Times New Roman" w:hAnsi="Times New Roman" w:cs="Times New Roman"/>
          <w:b/>
          <w:bCs/>
          <w:i/>
          <w:iCs/>
          <w:lang w:val="en-US"/>
        </w:rPr>
        <w:t>According to Meredith et al. (2021), project management principles followed by financial planning is based on robust budgeting and cost control.</w:t>
      </w:r>
    </w:p>
    <w:p w14:paraId="17A5315A" w14:textId="77777777" w:rsidR="00D7457D" w:rsidRPr="00D7457D" w:rsidRDefault="00D7457D" w:rsidP="00D7457D">
      <w:pPr>
        <w:rPr>
          <w:rFonts w:ascii="Times New Roman" w:hAnsi="Times New Roman" w:cs="Times New Roman"/>
          <w:b/>
          <w:bCs/>
          <w:sz w:val="36"/>
          <w:szCs w:val="36"/>
        </w:rPr>
      </w:pPr>
      <w:r w:rsidRPr="00D7457D">
        <w:rPr>
          <w:rFonts w:ascii="Times New Roman" w:hAnsi="Times New Roman" w:cs="Times New Roman"/>
          <w:b/>
          <w:bCs/>
          <w:sz w:val="36"/>
          <w:szCs w:val="36"/>
          <w:lang w:val="en-US"/>
        </w:rPr>
        <w:lastRenderedPageBreak/>
        <w:t>Funding Sources and Revenue Generation</w:t>
      </w:r>
    </w:p>
    <w:p w14:paraId="3D956B4B" w14:textId="77777777" w:rsidR="00D7457D" w:rsidRPr="00D7457D" w:rsidRDefault="00D7457D" w:rsidP="00D7457D">
      <w:pPr>
        <w:rPr>
          <w:rFonts w:ascii="Times New Roman" w:hAnsi="Times New Roman" w:cs="Times New Roman"/>
          <w:b/>
          <w:bCs/>
        </w:rPr>
      </w:pPr>
      <w:r w:rsidRPr="00D7457D">
        <w:rPr>
          <w:rFonts w:ascii="Times New Roman" w:hAnsi="Times New Roman" w:cs="Times New Roman"/>
          <w:b/>
          <w:bCs/>
          <w:lang w:val="en-US"/>
        </w:rPr>
        <w:t>Funding Sources</w:t>
      </w:r>
    </w:p>
    <w:p w14:paraId="1E91DE98" w14:textId="77777777" w:rsidR="00D7457D" w:rsidRPr="00D7457D" w:rsidRDefault="00D7457D" w:rsidP="00D7457D">
      <w:pPr>
        <w:rPr>
          <w:rFonts w:ascii="Times New Roman" w:hAnsi="Times New Roman" w:cs="Times New Roman"/>
        </w:rPr>
      </w:pPr>
      <w:r w:rsidRPr="00D7457D">
        <w:rPr>
          <w:rFonts w:ascii="Times New Roman" w:hAnsi="Times New Roman" w:cs="Times New Roman"/>
          <w:lang w:val="en-US"/>
        </w:rPr>
        <w:t>Corporate sponsorships will pay for 40% of the funding at Frost Fair, ticket pre sales will bring in 30%, government grants for sustainable events will cover 20%, and the remaining 10% will be privately invested.</w:t>
      </w:r>
    </w:p>
    <w:p w14:paraId="7EC40533" w14:textId="77777777" w:rsidR="00D7457D" w:rsidRPr="00D7457D" w:rsidRDefault="00D7457D" w:rsidP="00D7457D">
      <w:pPr>
        <w:rPr>
          <w:rFonts w:ascii="Times New Roman" w:hAnsi="Times New Roman" w:cs="Times New Roman"/>
          <w:b/>
          <w:bCs/>
        </w:rPr>
      </w:pPr>
      <w:r w:rsidRPr="00D7457D">
        <w:rPr>
          <w:rFonts w:ascii="Times New Roman" w:hAnsi="Times New Roman" w:cs="Times New Roman"/>
          <w:b/>
          <w:bCs/>
          <w:lang w:val="en-US"/>
        </w:rPr>
        <w:t>Revenue Generation</w:t>
      </w:r>
    </w:p>
    <w:p w14:paraId="515ED0D0" w14:textId="77777777" w:rsidR="00D7457D" w:rsidRPr="00E308BC" w:rsidRDefault="00D7457D" w:rsidP="00D7457D">
      <w:pPr>
        <w:rPr>
          <w:rFonts w:ascii="Times New Roman" w:hAnsi="Times New Roman" w:cs="Times New Roman"/>
          <w:lang w:val="en-US"/>
        </w:rPr>
      </w:pPr>
      <w:r w:rsidRPr="00D7457D">
        <w:rPr>
          <w:rFonts w:ascii="Times New Roman" w:hAnsi="Times New Roman" w:cs="Times New Roman"/>
          <w:lang w:val="en-US"/>
        </w:rPr>
        <w:t>Tiered ticket pricing, exhibition space rentals and sponsored workshops and presentations will generate revenue, with options to attend virtually available (</w:t>
      </w:r>
      <w:proofErr w:type="spellStart"/>
      <w:r w:rsidRPr="00D7457D">
        <w:rPr>
          <w:rFonts w:ascii="Times New Roman" w:hAnsi="Times New Roman" w:cs="Times New Roman"/>
          <w:lang w:val="en-US"/>
        </w:rPr>
        <w:t>Bowdin</w:t>
      </w:r>
      <w:proofErr w:type="spellEnd"/>
      <w:r w:rsidRPr="00D7457D">
        <w:rPr>
          <w:rFonts w:ascii="Times New Roman" w:hAnsi="Times New Roman" w:cs="Times New Roman"/>
          <w:lang w:val="en-US"/>
        </w:rPr>
        <w:t xml:space="preserve"> et al., 2012)</w:t>
      </w:r>
    </w:p>
    <w:p w14:paraId="1A92AE38" w14:textId="4276B457" w:rsidR="00D7457D" w:rsidRPr="00E308BC" w:rsidRDefault="00D7457D" w:rsidP="00D7457D">
      <w:pPr>
        <w:rPr>
          <w:rFonts w:ascii="Times New Roman" w:hAnsi="Times New Roman" w:cs="Times New Roman"/>
        </w:rPr>
      </w:pPr>
      <w:r w:rsidRPr="00D7457D">
        <w:rPr>
          <w:rFonts w:ascii="Times New Roman" w:hAnsi="Times New Roman" w:cs="Times New Roman"/>
          <w:i/>
          <w:iCs/>
          <w:lang w:val="en-US"/>
        </w:rPr>
        <w:t>Consistent with strategies of sustainable event financing discussed by Liu et al. (2022), this diverse funding approach resonated.</w:t>
      </w:r>
    </w:p>
    <w:p w14:paraId="73A2AD06" w14:textId="77777777" w:rsidR="00D7457D" w:rsidRPr="00D7457D" w:rsidRDefault="00D7457D" w:rsidP="00D7457D">
      <w:pPr>
        <w:rPr>
          <w:rFonts w:ascii="Times New Roman" w:hAnsi="Times New Roman" w:cs="Times New Roman"/>
          <w:sz w:val="36"/>
          <w:szCs w:val="36"/>
        </w:rPr>
      </w:pPr>
      <w:r w:rsidRPr="00D7457D">
        <w:rPr>
          <w:rFonts w:ascii="Times New Roman" w:hAnsi="Times New Roman" w:cs="Times New Roman"/>
          <w:b/>
          <w:bCs/>
          <w:sz w:val="36"/>
          <w:szCs w:val="36"/>
          <w:lang w:val="en-US"/>
        </w:rPr>
        <w:t>Marketing Strategy and Risk Assessment</w:t>
      </w:r>
    </w:p>
    <w:p w14:paraId="34667AC0" w14:textId="77777777" w:rsidR="00D7457D" w:rsidRPr="00D7457D" w:rsidRDefault="00D7457D" w:rsidP="00D7457D">
      <w:pPr>
        <w:rPr>
          <w:rFonts w:ascii="Times New Roman" w:hAnsi="Times New Roman" w:cs="Times New Roman"/>
        </w:rPr>
      </w:pPr>
      <w:r w:rsidRPr="00D7457D">
        <w:rPr>
          <w:rFonts w:ascii="Times New Roman" w:hAnsi="Times New Roman" w:cs="Times New Roman"/>
          <w:b/>
          <w:bCs/>
          <w:lang w:val="en-US"/>
        </w:rPr>
        <w:t>Marketing Channels</w:t>
      </w:r>
    </w:p>
    <w:p w14:paraId="14108120" w14:textId="77777777" w:rsidR="00D7457D" w:rsidRPr="00D7457D" w:rsidRDefault="00D7457D" w:rsidP="00D7457D">
      <w:pPr>
        <w:rPr>
          <w:rFonts w:ascii="Times New Roman" w:hAnsi="Times New Roman" w:cs="Times New Roman"/>
        </w:rPr>
      </w:pPr>
      <w:r w:rsidRPr="00D7457D">
        <w:rPr>
          <w:rFonts w:ascii="Times New Roman" w:hAnsi="Times New Roman" w:cs="Times New Roman"/>
          <w:lang w:val="en-US"/>
        </w:rPr>
        <w:t>Social Media campaigns, industry partnerships, targeted email marketing, PR and media relations and content marketing will be utilized (Jobber and Chadwick, 2019).</w:t>
      </w:r>
    </w:p>
    <w:p w14:paraId="34E481CA" w14:textId="77777777" w:rsidR="00D7457D" w:rsidRPr="00D7457D" w:rsidRDefault="00D7457D" w:rsidP="00D7457D">
      <w:pPr>
        <w:rPr>
          <w:rFonts w:ascii="Times New Roman" w:hAnsi="Times New Roman" w:cs="Times New Roman"/>
        </w:rPr>
      </w:pPr>
      <w:r w:rsidRPr="00D7457D">
        <w:rPr>
          <w:rFonts w:ascii="Times New Roman" w:hAnsi="Times New Roman" w:cs="Times New Roman"/>
          <w:b/>
          <w:bCs/>
          <w:lang w:val="en-US"/>
        </w:rPr>
        <w:t>Unique Selling Points</w:t>
      </w:r>
    </w:p>
    <w:p w14:paraId="6232DD21" w14:textId="77777777" w:rsidR="00D7457D" w:rsidRPr="00D7457D" w:rsidRDefault="00D7457D" w:rsidP="00D7457D">
      <w:pPr>
        <w:rPr>
          <w:rFonts w:ascii="Times New Roman" w:hAnsi="Times New Roman" w:cs="Times New Roman"/>
        </w:rPr>
      </w:pPr>
      <w:r w:rsidRPr="00D7457D">
        <w:rPr>
          <w:rFonts w:ascii="Times New Roman" w:hAnsi="Times New Roman" w:cs="Times New Roman"/>
          <w:lang w:val="en-US"/>
        </w:rPr>
        <w:t>Frost Fair's unique selling points are: innovative, winter themed networking experiences, emphasis on sustainability, and a combination of business and festive atmospheres (UNEP, 2021).</w:t>
      </w:r>
    </w:p>
    <w:p w14:paraId="50F3D343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b/>
          <w:bCs/>
          <w:lang w:val="en-US"/>
        </w:rPr>
        <w:t>Risk Mitigation</w:t>
      </w:r>
    </w:p>
    <w:p w14:paraId="15ADAB42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lang w:val="en-US"/>
        </w:rPr>
        <w:t>Comprehensive strategies will be implemented by Frost Fair to mitigate risk related to weather disruption, lower than expected attendance, technical failure and health and safety (Silvers, 2009).</w:t>
      </w:r>
    </w:p>
    <w:p w14:paraId="243F9DB3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i/>
          <w:iCs/>
          <w:lang w:val="en-US"/>
        </w:rPr>
        <w:t xml:space="preserve">The occasions point of convergence additionally permits marketing </w:t>
      </w:r>
      <w:proofErr w:type="spellStart"/>
      <w:r w:rsidRPr="00E308BC">
        <w:rPr>
          <w:rFonts w:ascii="Times New Roman" w:hAnsi="Times New Roman" w:cs="Times New Roman"/>
          <w:i/>
          <w:iCs/>
          <w:lang w:val="en-US"/>
        </w:rPr>
        <w:t>endeavours</w:t>
      </w:r>
      <w:proofErr w:type="spellEnd"/>
      <w:r w:rsidRPr="00E308BC">
        <w:rPr>
          <w:rFonts w:ascii="Times New Roman" w:hAnsi="Times New Roman" w:cs="Times New Roman"/>
          <w:i/>
          <w:iCs/>
          <w:lang w:val="en-US"/>
        </w:rPr>
        <w:t xml:space="preserve"> to use the potential for urban recharging that Smith (2012) talks about and the positive impact of the event on London's winter economy.</w:t>
      </w:r>
    </w:p>
    <w:p w14:paraId="2E3CC2C0" w14:textId="543D6334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i/>
          <w:iCs/>
          <w:lang w:val="en-US"/>
        </w:rPr>
        <w:t xml:space="preserve">Based on best </w:t>
      </w:r>
      <w:proofErr w:type="spellStart"/>
      <w:r w:rsidRPr="00E308BC">
        <w:rPr>
          <w:rFonts w:ascii="Times New Roman" w:hAnsi="Times New Roman" w:cs="Times New Roman"/>
          <w:i/>
          <w:iCs/>
          <w:lang w:val="en-US"/>
        </w:rPr>
        <w:t>practises</w:t>
      </w:r>
      <w:proofErr w:type="spellEnd"/>
      <w:r w:rsidRPr="00E308BC">
        <w:rPr>
          <w:rFonts w:ascii="Times New Roman" w:hAnsi="Times New Roman" w:cs="Times New Roman"/>
          <w:i/>
          <w:iCs/>
          <w:lang w:val="en-US"/>
        </w:rPr>
        <w:t xml:space="preserve"> in event management (Getz and Page, 2019) and project management (Meredith et al., 2021), risk assessment and mitigation strategies are developed.</w:t>
      </w:r>
    </w:p>
    <w:p w14:paraId="14ED6DBD" w14:textId="14FFA3D4" w:rsidR="00E308BC" w:rsidRPr="00E308BC" w:rsidRDefault="00E308BC" w:rsidP="00E308BC">
      <w:pPr>
        <w:rPr>
          <w:rFonts w:ascii="Times New Roman" w:hAnsi="Times New Roman" w:cs="Times New Roman"/>
          <w:sz w:val="36"/>
          <w:szCs w:val="36"/>
        </w:rPr>
      </w:pPr>
      <w:r w:rsidRPr="00E308BC">
        <w:rPr>
          <w:rFonts w:ascii="Times New Roman" w:hAnsi="Times New Roman" w:cs="Times New Roman"/>
          <w:b/>
          <w:bCs/>
          <w:sz w:val="36"/>
          <w:szCs w:val="36"/>
          <w:lang w:val="en-US"/>
        </w:rPr>
        <w:t>Conclusion</w:t>
      </w:r>
    </w:p>
    <w:p w14:paraId="293A2AA8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b/>
          <w:bCs/>
          <w:lang w:val="en-US"/>
        </w:rPr>
        <w:t>Frost Fair: A Viable Opportunity</w:t>
      </w:r>
    </w:p>
    <w:p w14:paraId="1585DF3E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lang w:val="en-US"/>
        </w:rPr>
        <w:t>The feasibility study of the event shows that Frost Fair has a potential to take off and will have positive financial projections as well as a compelling value proposition.</w:t>
      </w:r>
    </w:p>
    <w:p w14:paraId="4DBF9A23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b/>
          <w:bCs/>
          <w:lang w:val="en-US"/>
        </w:rPr>
        <w:t>Key Success Factors</w:t>
      </w:r>
    </w:p>
    <w:p w14:paraId="195D6FED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lang w:val="en-US"/>
        </w:rPr>
        <w:t>All of these things, however, depend on strong partnerships, robust marketing campaigns, and effective risk mitigation strategies (VisitBritain, 2024).</w:t>
      </w:r>
    </w:p>
    <w:p w14:paraId="04A8B2A2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b/>
          <w:bCs/>
          <w:lang w:val="en-US"/>
        </w:rPr>
        <w:t>Recommendation</w:t>
      </w:r>
    </w:p>
    <w:p w14:paraId="657D7CF5" w14:textId="48CC1D4B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  <w:lang w:val="en-US"/>
        </w:rPr>
        <w:t>Based on our findings and insights, we suggest developing and deploying Frost Fair, while following the strategies presented in this presentation.</w:t>
      </w:r>
    </w:p>
    <w:p w14:paraId="3F44586B" w14:textId="068B8F4A" w:rsidR="00E308BC" w:rsidRPr="00E308BC" w:rsidRDefault="00E308BC" w:rsidP="00E308BC">
      <w:pPr>
        <w:rPr>
          <w:rFonts w:ascii="Times New Roman" w:hAnsi="Times New Roman" w:cs="Times New Roman"/>
          <w:sz w:val="36"/>
          <w:szCs w:val="36"/>
        </w:rPr>
      </w:pPr>
      <w:r w:rsidRPr="00E308BC">
        <w:rPr>
          <w:rFonts w:ascii="Times New Roman" w:hAnsi="Times New Roman" w:cs="Times New Roman"/>
          <w:b/>
          <w:bCs/>
          <w:sz w:val="36"/>
          <w:szCs w:val="36"/>
          <w:lang w:val="en-US"/>
        </w:rPr>
        <w:lastRenderedPageBreak/>
        <w:t>References</w:t>
      </w:r>
    </w:p>
    <w:p w14:paraId="3C00DFF5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Allen, J. (2009). </w:t>
      </w:r>
      <w:r w:rsidRPr="00E308BC">
        <w:rPr>
          <w:rFonts w:ascii="Times New Roman" w:hAnsi="Times New Roman" w:cs="Times New Roman"/>
          <w:i/>
          <w:iCs/>
        </w:rPr>
        <w:t>Event Planning: The Ultimate Guide to Successful Meetings, Corporate Events, Fundraising Galas, Conferences, Conventions, Incentives, and Other Special Events</w:t>
      </w:r>
      <w:r w:rsidRPr="00E308BC">
        <w:rPr>
          <w:rFonts w:ascii="Times New Roman" w:hAnsi="Times New Roman" w:cs="Times New Roman"/>
        </w:rPr>
        <w:t xml:space="preserve">. 3rd </w:t>
      </w:r>
      <w:proofErr w:type="spellStart"/>
      <w:r w:rsidRPr="00E308BC">
        <w:rPr>
          <w:rFonts w:ascii="Times New Roman" w:hAnsi="Times New Roman" w:cs="Times New Roman"/>
        </w:rPr>
        <w:t>edn</w:t>
      </w:r>
      <w:proofErr w:type="spellEnd"/>
      <w:r w:rsidRPr="00E308BC">
        <w:rPr>
          <w:rFonts w:ascii="Times New Roman" w:hAnsi="Times New Roman" w:cs="Times New Roman"/>
        </w:rPr>
        <w:t>. New Jersey: John Wiley &amp; Sons.</w:t>
      </w:r>
    </w:p>
    <w:p w14:paraId="089C80BD" w14:textId="77777777" w:rsidR="00E308BC" w:rsidRPr="00E308BC" w:rsidRDefault="00E308BC" w:rsidP="00E308BC">
      <w:pPr>
        <w:rPr>
          <w:rFonts w:ascii="Times New Roman" w:hAnsi="Times New Roman" w:cs="Times New Roman"/>
        </w:rPr>
      </w:pPr>
      <w:proofErr w:type="spellStart"/>
      <w:r w:rsidRPr="00E308BC">
        <w:rPr>
          <w:rFonts w:ascii="Times New Roman" w:hAnsi="Times New Roman" w:cs="Times New Roman"/>
        </w:rPr>
        <w:t>Bowdin</w:t>
      </w:r>
      <w:proofErr w:type="spellEnd"/>
      <w:r w:rsidRPr="00E308BC">
        <w:rPr>
          <w:rFonts w:ascii="Times New Roman" w:hAnsi="Times New Roman" w:cs="Times New Roman"/>
        </w:rPr>
        <w:t xml:space="preserve">, G. A. J., Allen, J., O’Toole, W., Harris, R. and McDonnell, I. (2012). </w:t>
      </w:r>
      <w:r w:rsidRPr="00E308BC">
        <w:rPr>
          <w:rFonts w:ascii="Times New Roman" w:hAnsi="Times New Roman" w:cs="Times New Roman"/>
          <w:i/>
          <w:iCs/>
        </w:rPr>
        <w:t>Events Management</w:t>
      </w:r>
      <w:r w:rsidRPr="00E308BC">
        <w:rPr>
          <w:rFonts w:ascii="Times New Roman" w:hAnsi="Times New Roman" w:cs="Times New Roman"/>
        </w:rPr>
        <w:t xml:space="preserve">. 3rd </w:t>
      </w:r>
      <w:proofErr w:type="spellStart"/>
      <w:r w:rsidRPr="00E308BC">
        <w:rPr>
          <w:rFonts w:ascii="Times New Roman" w:hAnsi="Times New Roman" w:cs="Times New Roman"/>
        </w:rPr>
        <w:t>edn</w:t>
      </w:r>
      <w:proofErr w:type="spellEnd"/>
      <w:r w:rsidRPr="00E308BC">
        <w:rPr>
          <w:rFonts w:ascii="Times New Roman" w:hAnsi="Times New Roman" w:cs="Times New Roman"/>
        </w:rPr>
        <w:t>. London: Routledge.</w:t>
      </w:r>
    </w:p>
    <w:p w14:paraId="7703981E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>BVEP (Business Visits and Events Partnership) (2020) The UK Events Report. Retrieved from https://www.excel.london/uploads/uk-events-report-2020---the-full-report.pdf (Accessed: 05.10.2024)</w:t>
      </w:r>
    </w:p>
    <w:p w14:paraId="5FEF9F59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Cvent (2023). </w:t>
      </w:r>
      <w:r w:rsidRPr="00E308BC">
        <w:rPr>
          <w:rFonts w:ascii="Times New Roman" w:hAnsi="Times New Roman" w:cs="Times New Roman"/>
          <w:i/>
          <w:iCs/>
        </w:rPr>
        <w:t>Creating Sustainable Events: 5 Steps for Success</w:t>
      </w:r>
      <w:r w:rsidRPr="00E308BC">
        <w:rPr>
          <w:rFonts w:ascii="Times New Roman" w:hAnsi="Times New Roman" w:cs="Times New Roman"/>
        </w:rPr>
        <w:t>. Available at: https://www.cvent.com/uk/blog/events/creating-sustainable-events (Accessed: 16 October 2024).</w:t>
      </w:r>
    </w:p>
    <w:p w14:paraId="06C0FB44" w14:textId="77777777" w:rsidR="00E308BC" w:rsidRPr="00E308BC" w:rsidRDefault="00E308BC" w:rsidP="00E308BC">
      <w:pPr>
        <w:rPr>
          <w:rFonts w:ascii="Times New Roman" w:hAnsi="Times New Roman" w:cs="Times New Roman"/>
        </w:rPr>
      </w:pPr>
      <w:proofErr w:type="spellStart"/>
      <w:r w:rsidRPr="00E308BC">
        <w:rPr>
          <w:rFonts w:ascii="Times New Roman" w:hAnsi="Times New Roman" w:cs="Times New Roman"/>
        </w:rPr>
        <w:t>ExCeL</w:t>
      </w:r>
      <w:proofErr w:type="spellEnd"/>
      <w:r w:rsidRPr="00E308BC">
        <w:rPr>
          <w:rFonts w:ascii="Times New Roman" w:hAnsi="Times New Roman" w:cs="Times New Roman"/>
        </w:rPr>
        <w:t xml:space="preserve"> London (2024). </w:t>
      </w:r>
      <w:r w:rsidRPr="00E308BC">
        <w:rPr>
          <w:rFonts w:ascii="Times New Roman" w:hAnsi="Times New Roman" w:cs="Times New Roman"/>
          <w:i/>
          <w:iCs/>
        </w:rPr>
        <w:t>Venue Information</w:t>
      </w:r>
      <w:r w:rsidRPr="00E308BC">
        <w:rPr>
          <w:rFonts w:ascii="Times New Roman" w:hAnsi="Times New Roman" w:cs="Times New Roman"/>
        </w:rPr>
        <w:t>. Available at: https://www.excel.london/visitor/venue-guide (Accessed: 16 October 2024).</w:t>
      </w:r>
    </w:p>
    <w:p w14:paraId="347422B1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Fox, D., </w:t>
      </w:r>
      <w:proofErr w:type="spellStart"/>
      <w:r w:rsidRPr="00E308BC">
        <w:rPr>
          <w:rFonts w:ascii="Times New Roman" w:hAnsi="Times New Roman" w:cs="Times New Roman"/>
        </w:rPr>
        <w:t>Gouthro</w:t>
      </w:r>
      <w:proofErr w:type="spellEnd"/>
      <w:r w:rsidRPr="00E308BC">
        <w:rPr>
          <w:rFonts w:ascii="Times New Roman" w:hAnsi="Times New Roman" w:cs="Times New Roman"/>
        </w:rPr>
        <w:t xml:space="preserve">, M. B., </w:t>
      </w:r>
      <w:proofErr w:type="spellStart"/>
      <w:r w:rsidRPr="00E308BC">
        <w:rPr>
          <w:rFonts w:ascii="Times New Roman" w:hAnsi="Times New Roman" w:cs="Times New Roman"/>
        </w:rPr>
        <w:t>Morakabati</w:t>
      </w:r>
      <w:proofErr w:type="spellEnd"/>
      <w:r w:rsidRPr="00E308BC">
        <w:rPr>
          <w:rFonts w:ascii="Times New Roman" w:hAnsi="Times New Roman" w:cs="Times New Roman"/>
        </w:rPr>
        <w:t xml:space="preserve">, Y., &amp; </w:t>
      </w:r>
      <w:proofErr w:type="spellStart"/>
      <w:r w:rsidRPr="00E308BC">
        <w:rPr>
          <w:rFonts w:ascii="Times New Roman" w:hAnsi="Times New Roman" w:cs="Times New Roman"/>
        </w:rPr>
        <w:t>Brackstone</w:t>
      </w:r>
      <w:proofErr w:type="spellEnd"/>
      <w:r w:rsidRPr="00E308BC">
        <w:rPr>
          <w:rFonts w:ascii="Times New Roman" w:hAnsi="Times New Roman" w:cs="Times New Roman"/>
        </w:rPr>
        <w:t xml:space="preserve">, J. (2014) Doing events research: from theory to practice. Routledge. </w:t>
      </w:r>
    </w:p>
    <w:p w14:paraId="6663A29C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Getz, D. (2019). </w:t>
      </w:r>
      <w:r w:rsidRPr="00E308BC">
        <w:rPr>
          <w:rFonts w:ascii="Times New Roman" w:hAnsi="Times New Roman" w:cs="Times New Roman"/>
          <w:i/>
          <w:iCs/>
        </w:rPr>
        <w:t>Event Studies: Theory, Research and Policy for Planned Events</w:t>
      </w:r>
      <w:r w:rsidRPr="00E308BC">
        <w:rPr>
          <w:rFonts w:ascii="Times New Roman" w:hAnsi="Times New Roman" w:cs="Times New Roman"/>
        </w:rPr>
        <w:t xml:space="preserve">. 4th </w:t>
      </w:r>
      <w:proofErr w:type="spellStart"/>
      <w:r w:rsidRPr="00E308BC">
        <w:rPr>
          <w:rFonts w:ascii="Times New Roman" w:hAnsi="Times New Roman" w:cs="Times New Roman"/>
        </w:rPr>
        <w:t>edn</w:t>
      </w:r>
      <w:proofErr w:type="spellEnd"/>
      <w:r w:rsidRPr="00E308BC">
        <w:rPr>
          <w:rFonts w:ascii="Times New Roman" w:hAnsi="Times New Roman" w:cs="Times New Roman"/>
        </w:rPr>
        <w:t>. London: Routledge.</w:t>
      </w:r>
    </w:p>
    <w:p w14:paraId="1762315C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Getz, D., &amp; Page, S. J. (2019) Event studies: theory, research and policy for planned events. Routledge. </w:t>
      </w:r>
    </w:p>
    <w:p w14:paraId="2D0C6579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Jobber, D. and Chadwick, F. (2019). </w:t>
      </w:r>
      <w:r w:rsidRPr="00E308BC">
        <w:rPr>
          <w:rFonts w:ascii="Times New Roman" w:hAnsi="Times New Roman" w:cs="Times New Roman"/>
          <w:i/>
          <w:iCs/>
        </w:rPr>
        <w:t>Principles and Practice of Marketing</w:t>
      </w:r>
      <w:r w:rsidRPr="00E308BC">
        <w:rPr>
          <w:rFonts w:ascii="Times New Roman" w:hAnsi="Times New Roman" w:cs="Times New Roman"/>
        </w:rPr>
        <w:t xml:space="preserve">. 9th </w:t>
      </w:r>
      <w:proofErr w:type="spellStart"/>
      <w:r w:rsidRPr="00E308BC">
        <w:rPr>
          <w:rFonts w:ascii="Times New Roman" w:hAnsi="Times New Roman" w:cs="Times New Roman"/>
        </w:rPr>
        <w:t>edn</w:t>
      </w:r>
      <w:proofErr w:type="spellEnd"/>
      <w:r w:rsidRPr="00E308BC">
        <w:rPr>
          <w:rFonts w:ascii="Times New Roman" w:hAnsi="Times New Roman" w:cs="Times New Roman"/>
        </w:rPr>
        <w:t>. London: McGraw-Hill Education.</w:t>
      </w:r>
    </w:p>
    <w:p w14:paraId="4F9D9EA2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Liu, Y.; </w:t>
      </w:r>
      <w:proofErr w:type="spellStart"/>
      <w:r w:rsidRPr="00E308BC">
        <w:rPr>
          <w:rFonts w:ascii="Times New Roman" w:hAnsi="Times New Roman" w:cs="Times New Roman"/>
        </w:rPr>
        <w:t>Qiao</w:t>
      </w:r>
      <w:proofErr w:type="spellEnd"/>
      <w:r w:rsidRPr="00E308BC">
        <w:rPr>
          <w:rFonts w:ascii="Times New Roman" w:hAnsi="Times New Roman" w:cs="Times New Roman"/>
        </w:rPr>
        <w:t>, J.; Xiao, J.; Han, D.; Pan, T. (2022) Evaluation of the Effectiveness of Rural Revitalization and an Improvement Path: A Typical Old Revolutionary Cultural Area as an Example. Int. J. Environ. Res. Public Health, 19, 13494. https://doi.org/10.3390/ijerph192013494</w:t>
      </w:r>
    </w:p>
    <w:p w14:paraId="6CDB9839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Meredith, J. R., Shafer, S. M., &amp; Mantel Jr, S. J. (2021) Project management: a managerial approach. John Wiley &amp; Sons. </w:t>
      </w:r>
    </w:p>
    <w:p w14:paraId="3F6BA7B6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O'Toole, W. (2021) Events feasibility and development: from strategy to operations. Routledge. </w:t>
      </w:r>
    </w:p>
    <w:p w14:paraId="200DC544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Shone, A. and Parry, B. (2018). </w:t>
      </w:r>
      <w:r w:rsidRPr="00E308BC">
        <w:rPr>
          <w:rFonts w:ascii="Times New Roman" w:hAnsi="Times New Roman" w:cs="Times New Roman"/>
          <w:i/>
          <w:iCs/>
        </w:rPr>
        <w:t>Successful Event Management: A Practical Handbook</w:t>
      </w:r>
      <w:r w:rsidRPr="00E308BC">
        <w:rPr>
          <w:rFonts w:ascii="Times New Roman" w:hAnsi="Times New Roman" w:cs="Times New Roman"/>
        </w:rPr>
        <w:t xml:space="preserve">. 5th </w:t>
      </w:r>
      <w:proofErr w:type="spellStart"/>
      <w:r w:rsidRPr="00E308BC">
        <w:rPr>
          <w:rFonts w:ascii="Times New Roman" w:hAnsi="Times New Roman" w:cs="Times New Roman"/>
        </w:rPr>
        <w:t>edn</w:t>
      </w:r>
      <w:proofErr w:type="spellEnd"/>
      <w:r w:rsidRPr="00E308BC">
        <w:rPr>
          <w:rFonts w:ascii="Times New Roman" w:hAnsi="Times New Roman" w:cs="Times New Roman"/>
        </w:rPr>
        <w:t>. London: Cengage Learning.</w:t>
      </w:r>
    </w:p>
    <w:p w14:paraId="4B557481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Silvers, J. R. (2009). </w:t>
      </w:r>
      <w:r w:rsidRPr="00E308BC">
        <w:rPr>
          <w:rFonts w:ascii="Times New Roman" w:hAnsi="Times New Roman" w:cs="Times New Roman"/>
          <w:i/>
          <w:iCs/>
        </w:rPr>
        <w:t>Risk Management for Meetings and Events</w:t>
      </w:r>
      <w:r w:rsidRPr="00E308BC">
        <w:rPr>
          <w:rFonts w:ascii="Times New Roman" w:hAnsi="Times New Roman" w:cs="Times New Roman"/>
        </w:rPr>
        <w:t xml:space="preserve">. 2nd </w:t>
      </w:r>
      <w:proofErr w:type="spellStart"/>
      <w:r w:rsidRPr="00E308BC">
        <w:rPr>
          <w:rFonts w:ascii="Times New Roman" w:hAnsi="Times New Roman" w:cs="Times New Roman"/>
        </w:rPr>
        <w:t>edn</w:t>
      </w:r>
      <w:proofErr w:type="spellEnd"/>
      <w:r w:rsidRPr="00E308BC">
        <w:rPr>
          <w:rFonts w:ascii="Times New Roman" w:hAnsi="Times New Roman" w:cs="Times New Roman"/>
        </w:rPr>
        <w:t>. London: Routledge.</w:t>
      </w:r>
    </w:p>
    <w:p w14:paraId="2863588C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Smith, A. (2012) Events and urban regeneration: The strategic use of events to revitalise cities. Routledge. </w:t>
      </w:r>
    </w:p>
    <w:p w14:paraId="0648CAFB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The Meetings Show (2021). </w:t>
      </w:r>
      <w:r w:rsidRPr="00E308BC">
        <w:rPr>
          <w:rFonts w:ascii="Times New Roman" w:hAnsi="Times New Roman" w:cs="Times New Roman"/>
          <w:i/>
          <w:iCs/>
        </w:rPr>
        <w:t>The Meetings Show 2021 unveils new dates and venue</w:t>
      </w:r>
      <w:r w:rsidRPr="00E308BC">
        <w:rPr>
          <w:rFonts w:ascii="Times New Roman" w:hAnsi="Times New Roman" w:cs="Times New Roman"/>
        </w:rPr>
        <w:t xml:space="preserve">. Available at: </w:t>
      </w:r>
      <w:proofErr w:type="gramStart"/>
      <w:r w:rsidRPr="00E308BC">
        <w:rPr>
          <w:rFonts w:ascii="Times New Roman" w:hAnsi="Times New Roman" w:cs="Times New Roman"/>
        </w:rPr>
        <w:t>https://www.themeetingsshow.com/monthly-newsletter/the-meetings-show-2021-unveils-new-dates-and-venue  (</w:t>
      </w:r>
      <w:proofErr w:type="gramEnd"/>
      <w:r w:rsidRPr="00E308BC">
        <w:rPr>
          <w:rFonts w:ascii="Times New Roman" w:hAnsi="Times New Roman" w:cs="Times New Roman"/>
        </w:rPr>
        <w:t>Accessed: 16 October 2024).</w:t>
      </w:r>
    </w:p>
    <w:p w14:paraId="319FA3AD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UNEP (2021). </w:t>
      </w:r>
      <w:r w:rsidRPr="00E308BC">
        <w:rPr>
          <w:rFonts w:ascii="Times New Roman" w:hAnsi="Times New Roman" w:cs="Times New Roman"/>
          <w:i/>
          <w:iCs/>
        </w:rPr>
        <w:t>Environmental Policy for Events</w:t>
      </w:r>
      <w:r w:rsidRPr="00E308BC">
        <w:rPr>
          <w:rFonts w:ascii="Times New Roman" w:hAnsi="Times New Roman" w:cs="Times New Roman"/>
        </w:rPr>
        <w:t xml:space="preserve">. Available at: </w:t>
      </w:r>
      <w:proofErr w:type="gramStart"/>
      <w:r w:rsidRPr="00E308BC">
        <w:rPr>
          <w:rFonts w:ascii="Times New Roman" w:hAnsi="Times New Roman" w:cs="Times New Roman"/>
        </w:rPr>
        <w:t>https://ozone.unep.org/sites/default/files/Greening/22UNOzone_EMS_Policy.pdf  (</w:t>
      </w:r>
      <w:proofErr w:type="gramEnd"/>
      <w:r w:rsidRPr="00E308BC">
        <w:rPr>
          <w:rFonts w:ascii="Times New Roman" w:hAnsi="Times New Roman" w:cs="Times New Roman"/>
        </w:rPr>
        <w:t>Accessed: 16 October 2024).</w:t>
      </w:r>
    </w:p>
    <w:p w14:paraId="5456E8EE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t xml:space="preserve">VisitBritain (2024). </w:t>
      </w:r>
      <w:r w:rsidRPr="00E308BC">
        <w:rPr>
          <w:rFonts w:ascii="Times New Roman" w:hAnsi="Times New Roman" w:cs="Times New Roman"/>
          <w:i/>
          <w:iCs/>
        </w:rPr>
        <w:t>Understanding Business Visits to the UK</w:t>
      </w:r>
      <w:r w:rsidRPr="00E308BC">
        <w:rPr>
          <w:rFonts w:ascii="Times New Roman" w:hAnsi="Times New Roman" w:cs="Times New Roman"/>
        </w:rPr>
        <w:t>. Available at: https://www.visitbritain.org/media/2896/download?attachment (Accessed: 16 October 2024).</w:t>
      </w:r>
    </w:p>
    <w:p w14:paraId="2532DE6F" w14:textId="77777777" w:rsidR="00E308BC" w:rsidRPr="00E308BC" w:rsidRDefault="00E308BC" w:rsidP="00E308BC">
      <w:pPr>
        <w:rPr>
          <w:rFonts w:ascii="Times New Roman" w:hAnsi="Times New Roman" w:cs="Times New Roman"/>
        </w:rPr>
      </w:pPr>
      <w:r w:rsidRPr="00E308BC">
        <w:rPr>
          <w:rFonts w:ascii="Times New Roman" w:hAnsi="Times New Roman" w:cs="Times New Roman"/>
        </w:rPr>
        <w:lastRenderedPageBreak/>
        <w:t xml:space="preserve">Yeoman, I., Robertson, M., McMahon-Beattie, U., Smith, K. A., &amp; Backer, E. (Eds.). (2014) The future of events &amp; festivals. Routledge. </w:t>
      </w:r>
    </w:p>
    <w:p w14:paraId="2B8C1859" w14:textId="77777777" w:rsidR="00E308BC" w:rsidRPr="00E308BC" w:rsidRDefault="00E308BC" w:rsidP="00E308BC">
      <w:pPr>
        <w:rPr>
          <w:rFonts w:ascii="Times New Roman" w:hAnsi="Times New Roman" w:cs="Times New Roman"/>
        </w:rPr>
      </w:pPr>
      <w:proofErr w:type="spellStart"/>
      <w:r w:rsidRPr="00E308BC">
        <w:rPr>
          <w:rFonts w:ascii="Times New Roman" w:hAnsi="Times New Roman" w:cs="Times New Roman"/>
        </w:rPr>
        <w:t>Ziakas</w:t>
      </w:r>
      <w:proofErr w:type="spellEnd"/>
      <w:r w:rsidRPr="00E308BC">
        <w:rPr>
          <w:rFonts w:ascii="Times New Roman" w:hAnsi="Times New Roman" w:cs="Times New Roman"/>
        </w:rPr>
        <w:t xml:space="preserve">, V. (2019) Embracing the event portfolio paradigm in academic discourse and scholarship. Journal of Policy Research in Tourism, Leisure and Events, 11(sup1), s27-s33. </w:t>
      </w:r>
    </w:p>
    <w:p w14:paraId="66F960F7" w14:textId="77777777" w:rsidR="00D7457D" w:rsidRDefault="00D7457D" w:rsidP="00D7457D">
      <w:pPr>
        <w:rPr>
          <w:rFonts w:ascii="Times New Roman" w:hAnsi="Times New Roman" w:cs="Times New Roman"/>
        </w:rPr>
      </w:pPr>
    </w:p>
    <w:p w14:paraId="00CCB5DA" w14:textId="7E6DCBD9" w:rsidR="00E308BC" w:rsidRPr="00E308BC" w:rsidRDefault="006E7D0C" w:rsidP="00D7457D">
      <w:pPr>
        <w:rPr>
          <w:rFonts w:ascii="Times New Roman" w:hAnsi="Times New Roman" w:cs="Times New Roman"/>
        </w:rPr>
      </w:pPr>
      <w:r w:rsidRPr="006E7D0C">
        <w:rPr>
          <w:rFonts w:ascii="Times New Roman" w:hAnsi="Times New Roman" w:cs="Times New Roman"/>
          <w:noProof/>
        </w:rPr>
        <w:drawing>
          <wp:inline distT="0" distB="0" distL="0" distR="0" wp14:anchorId="55324395" wp14:editId="0234D345">
            <wp:extent cx="5731510" cy="3229610"/>
            <wp:effectExtent l="0" t="0" r="2540" b="8890"/>
            <wp:docPr id="984789414" name="Picture 1" descr="A group of people walking down a sidewal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789414" name="Picture 1" descr="A group of people walking down a sidewalk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9A6C85" w14:textId="7D649DAA" w:rsidR="00D7457D" w:rsidRPr="00D7457D" w:rsidRDefault="006E7D0C" w:rsidP="00D7457D">
      <w:pPr>
        <w:rPr>
          <w:rFonts w:ascii="Times New Roman" w:hAnsi="Times New Roman" w:cs="Times New Roman"/>
        </w:rPr>
      </w:pPr>
      <w:r w:rsidRPr="006E7D0C">
        <w:rPr>
          <w:rFonts w:ascii="Times New Roman" w:hAnsi="Times New Roman" w:cs="Times New Roman"/>
          <w:noProof/>
        </w:rPr>
        <w:drawing>
          <wp:inline distT="0" distB="0" distL="0" distR="0" wp14:anchorId="18017F11" wp14:editId="7DFE1AFA">
            <wp:extent cx="5731510" cy="3205480"/>
            <wp:effectExtent l="0" t="0" r="2540" b="0"/>
            <wp:docPr id="345822232" name="Picture 1" descr="A group of people walking in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822232" name="Picture 1" descr="A group of people walking in a city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AFB6D" w14:textId="1911B90E" w:rsidR="00D7457D" w:rsidRDefault="00BD22F9" w:rsidP="00D47ABC">
      <w:pPr>
        <w:rPr>
          <w:rFonts w:ascii="Times New Roman" w:hAnsi="Times New Roman" w:cs="Times New Roman"/>
        </w:rPr>
      </w:pPr>
      <w:r w:rsidRPr="00BD22F9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57F5090E" wp14:editId="0E6CB3DB">
            <wp:extent cx="5731510" cy="3217545"/>
            <wp:effectExtent l="0" t="0" r="2540" b="1905"/>
            <wp:docPr id="1233598887" name="Picture 1" descr="A group of people walking in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598887" name="Picture 1" descr="A group of people walking in a building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521E5" w14:textId="0A390AD9" w:rsidR="00BD22F9" w:rsidRDefault="00BD22F9" w:rsidP="00D47ABC">
      <w:pPr>
        <w:rPr>
          <w:rFonts w:ascii="Times New Roman" w:hAnsi="Times New Roman" w:cs="Times New Roman"/>
        </w:rPr>
      </w:pPr>
      <w:r w:rsidRPr="00BD22F9">
        <w:rPr>
          <w:rFonts w:ascii="Times New Roman" w:hAnsi="Times New Roman" w:cs="Times New Roman"/>
          <w:noProof/>
        </w:rPr>
        <w:drawing>
          <wp:inline distT="0" distB="0" distL="0" distR="0" wp14:anchorId="4961D2BD" wp14:editId="099EAE98">
            <wp:extent cx="5731510" cy="3211195"/>
            <wp:effectExtent l="0" t="0" r="2540" b="8255"/>
            <wp:docPr id="985147779" name="Picture 1" descr="A white background with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147779" name="Picture 1" descr="A white background with blue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63DA7" w14:textId="17D22793" w:rsidR="00BD22F9" w:rsidRDefault="00BD22F9" w:rsidP="00D47ABC">
      <w:pPr>
        <w:rPr>
          <w:rFonts w:ascii="Times New Roman" w:hAnsi="Times New Roman" w:cs="Times New Roman"/>
        </w:rPr>
      </w:pPr>
      <w:r w:rsidRPr="00BD22F9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444FA55" wp14:editId="32436BC9">
            <wp:extent cx="5731510" cy="3151505"/>
            <wp:effectExtent l="0" t="0" r="2540" b="0"/>
            <wp:docPr id="14369294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929484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1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B98F3" w14:textId="7A035ADD" w:rsidR="00EA48B1" w:rsidRDefault="00EA48B1" w:rsidP="00D47ABC">
      <w:pPr>
        <w:rPr>
          <w:rFonts w:ascii="Times New Roman" w:hAnsi="Times New Roman" w:cs="Times New Roman"/>
        </w:rPr>
      </w:pPr>
      <w:r w:rsidRPr="00EA48B1">
        <w:rPr>
          <w:rFonts w:ascii="Times New Roman" w:hAnsi="Times New Roman" w:cs="Times New Roman"/>
          <w:noProof/>
        </w:rPr>
        <w:drawing>
          <wp:inline distT="0" distB="0" distL="0" distR="0" wp14:anchorId="6DC1DBE0" wp14:editId="4780A627">
            <wp:extent cx="5731510" cy="3187065"/>
            <wp:effectExtent l="0" t="0" r="2540" b="0"/>
            <wp:docPr id="489191392" name="Picture 1" descr="A screenshot of a financial statist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191392" name="Picture 1" descr="A screenshot of a financial statistic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BCF3ED" w14:textId="003F5B3C" w:rsidR="00EA48B1" w:rsidRDefault="00EA48B1" w:rsidP="00D47ABC">
      <w:pPr>
        <w:rPr>
          <w:rFonts w:ascii="Times New Roman" w:hAnsi="Times New Roman" w:cs="Times New Roman"/>
        </w:rPr>
      </w:pPr>
      <w:r w:rsidRPr="00EA48B1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99BB449" wp14:editId="01D457A2">
            <wp:extent cx="5731510" cy="3187700"/>
            <wp:effectExtent l="0" t="0" r="2540" b="0"/>
            <wp:docPr id="596892340" name="Picture 1" descr="A close-up of a person's han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892340" name="Picture 1" descr="A close-up of a person's hand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C2AD1" w14:textId="36561818" w:rsidR="00EA48B1" w:rsidRDefault="00EA48B1" w:rsidP="00D47ABC">
      <w:pPr>
        <w:rPr>
          <w:rFonts w:ascii="Times New Roman" w:hAnsi="Times New Roman" w:cs="Times New Roman"/>
        </w:rPr>
      </w:pPr>
      <w:r w:rsidRPr="00EA48B1">
        <w:rPr>
          <w:rFonts w:ascii="Times New Roman" w:hAnsi="Times New Roman" w:cs="Times New Roman"/>
          <w:noProof/>
        </w:rPr>
        <w:drawing>
          <wp:inline distT="0" distB="0" distL="0" distR="0" wp14:anchorId="1FE71FC5" wp14:editId="2E04F920">
            <wp:extent cx="5731510" cy="3217545"/>
            <wp:effectExtent l="0" t="0" r="2540" b="1905"/>
            <wp:docPr id="1826534102" name="Picture 1" descr="A white board and a blue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534102" name="Picture 1" descr="A white board and a blue boar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C817BC" w14:textId="3B25610C" w:rsidR="001A5E76" w:rsidRDefault="001A5E76" w:rsidP="00D47ABC">
      <w:pPr>
        <w:rPr>
          <w:rFonts w:ascii="Times New Roman" w:hAnsi="Times New Roman" w:cs="Times New Roman"/>
        </w:rPr>
      </w:pPr>
      <w:r w:rsidRPr="001A5E76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408CCF2" wp14:editId="232DEC39">
            <wp:extent cx="5731510" cy="3210560"/>
            <wp:effectExtent l="0" t="0" r="2540" b="8890"/>
            <wp:docPr id="846107271" name="Picture 1" descr="A diagram of a compan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107271" name="Picture 1" descr="A diagram of a company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B3DE74" w14:textId="201ED433" w:rsidR="001A5E76" w:rsidRPr="00D47ABC" w:rsidRDefault="001A5E76" w:rsidP="00D47ABC">
      <w:pPr>
        <w:rPr>
          <w:rFonts w:ascii="Times New Roman" w:hAnsi="Times New Roman" w:cs="Times New Roman"/>
        </w:rPr>
      </w:pPr>
      <w:r w:rsidRPr="001A5E76">
        <w:rPr>
          <w:rFonts w:ascii="Times New Roman" w:hAnsi="Times New Roman" w:cs="Times New Roman"/>
          <w:noProof/>
        </w:rPr>
        <w:drawing>
          <wp:inline distT="0" distB="0" distL="0" distR="0" wp14:anchorId="59BF68F7" wp14:editId="31DE14BF">
            <wp:extent cx="5731510" cy="3148330"/>
            <wp:effectExtent l="0" t="0" r="2540" b="0"/>
            <wp:docPr id="9286185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618592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8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A5E76" w:rsidRPr="00D47A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13211"/>
    <w:multiLevelType w:val="hybridMultilevel"/>
    <w:tmpl w:val="E6841022"/>
    <w:lvl w:ilvl="0" w:tplc="299ED6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642E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F2B8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3E7D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99A3B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D9E83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023E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D0E1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148C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3F8"/>
    <w:rsid w:val="000123F8"/>
    <w:rsid w:val="0016175F"/>
    <w:rsid w:val="001A5E76"/>
    <w:rsid w:val="0022745F"/>
    <w:rsid w:val="002C56DC"/>
    <w:rsid w:val="00427D55"/>
    <w:rsid w:val="00462337"/>
    <w:rsid w:val="00497700"/>
    <w:rsid w:val="006E7D0C"/>
    <w:rsid w:val="00BA0FD7"/>
    <w:rsid w:val="00BD22F9"/>
    <w:rsid w:val="00C26F72"/>
    <w:rsid w:val="00D446BD"/>
    <w:rsid w:val="00D47ABC"/>
    <w:rsid w:val="00D7457D"/>
    <w:rsid w:val="00D7624A"/>
    <w:rsid w:val="00DE3EEA"/>
    <w:rsid w:val="00E308BC"/>
    <w:rsid w:val="00EA48B1"/>
    <w:rsid w:val="00F53C70"/>
    <w:rsid w:val="00FF08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D82C5"/>
  <w15:chartTrackingRefBased/>
  <w15:docId w15:val="{B2D19254-5D70-42C6-9C68-AE3630D97C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745F"/>
    <w:pPr>
      <w:keepNext/>
      <w:keepLines/>
      <w:spacing w:before="240" w:after="120"/>
      <w:ind w:left="720"/>
      <w:jc w:val="both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745F"/>
    <w:pPr>
      <w:keepNext/>
      <w:keepLines/>
      <w:spacing w:after="0"/>
      <w:jc w:val="both"/>
      <w:outlineLvl w:val="1"/>
    </w:pPr>
    <w:rPr>
      <w:rFonts w:ascii="Times New Roman" w:eastAsiaTheme="majorEastAsia" w:hAnsi="Times New Roman" w:cstheme="majorBidi"/>
      <w:b/>
      <w:color w:val="000000" w:themeColor="text1"/>
      <w:sz w:val="26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23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23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23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23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23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23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23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745F"/>
    <w:rPr>
      <w:rFonts w:ascii="Times New Roman" w:eastAsiaTheme="majorEastAsia" w:hAnsi="Times New Roman" w:cstheme="majorBidi"/>
      <w:b/>
      <w:color w:val="000000" w:themeColor="tex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745F"/>
    <w:rPr>
      <w:rFonts w:ascii="Times New Roman" w:eastAsiaTheme="majorEastAsia" w:hAnsi="Times New Roman" w:cstheme="majorBidi"/>
      <w:b/>
      <w:color w:val="000000" w:themeColor="text1"/>
      <w:sz w:val="2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23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23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23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23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23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23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23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23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23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23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23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23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23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23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23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23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23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23F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53C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2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1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1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4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9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9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0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95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0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37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86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9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8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4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5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7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6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9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4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6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02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8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4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4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2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1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2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6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0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2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9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9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24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5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8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69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1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4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4566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2985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8133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8077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2384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18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5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86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1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1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10</Pages>
  <Words>1254</Words>
  <Characters>7151</Characters>
  <Application>Microsoft Office Word</Application>
  <DocSecurity>0</DocSecurity>
  <Lines>59</Lines>
  <Paragraphs>16</Paragraphs>
  <ScaleCrop>false</ScaleCrop>
  <Company/>
  <LinksUpToDate>false</LinksUpToDate>
  <CharactersWithSpaces>8389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Buzdugan</dc:creator>
  <cp:keywords/>
  <dc:description/>
  <cp:lastModifiedBy>Denis Buzdugan (2130036)</cp:lastModifiedBy>
  <cp:revision>14</cp:revision>
  <dcterms:created xsi:type="dcterms:W3CDTF">2024-10-16T19:45:00Z</dcterms:created>
  <dcterms:modified xsi:type="dcterms:W3CDTF">2024-10-17T09:09:00Z</dcterms:modified>
</cp:coreProperties>
</file>