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34281916"/>
        <w:docPartObj>
          <w:docPartGallery w:val="Cover Pages"/>
          <w:docPartUnique/>
        </w:docPartObj>
      </w:sdtPr>
      <w:sdtEndPr>
        <w:rPr>
          <w:rFonts w:ascii="Arial" w:hAnsi="Arial" w:cs="Arial"/>
          <w:sz w:val="24"/>
          <w:szCs w:val="24"/>
        </w:rPr>
      </w:sdtEndPr>
      <w:sdtContent>
        <w:p w14:paraId="3C9664B4" w14:textId="13C9CBC8" w:rsidR="007F7410" w:rsidRDefault="007F7410"/>
        <w:p w14:paraId="52555B75" w14:textId="4FDF5B09" w:rsidR="007F7410" w:rsidRDefault="007F7410">
          <w:pPr>
            <w:rPr>
              <w:rFonts w:ascii="Arial" w:hAnsi="Arial" w:cs="Arial"/>
              <w:sz w:val="24"/>
              <w:szCs w:val="24"/>
            </w:rPr>
          </w:pPr>
          <w:r>
            <w:rPr>
              <w:noProof/>
            </w:rPr>
            <mc:AlternateContent>
              <mc:Choice Requires="wps">
                <w:drawing>
                  <wp:anchor distT="0" distB="0" distL="182880" distR="182880" simplePos="0" relativeHeight="251660288" behindDoc="0" locked="0" layoutInCell="1" allowOverlap="1" wp14:anchorId="160D2806" wp14:editId="11C5360A">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957223" w14:textId="4A81D577" w:rsidR="007F7410" w:rsidRDefault="007269B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F7410">
                                      <w:rPr>
                                        <w:color w:val="4472C4" w:themeColor="accent1"/>
                                        <w:sz w:val="72"/>
                                        <w:szCs w:val="72"/>
                                      </w:rPr>
                                      <w:t>Criminal Law assignment 2</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EndPr/>
                                <w:sdtContent>
                                  <w:p w14:paraId="514857EB" w14:textId="4604AF5F" w:rsidR="007F7410" w:rsidRDefault="007F7410">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F61BCD8" w14:textId="3235C068" w:rsidR="007F7410" w:rsidRDefault="007F7410">
                                    <w:pPr>
                                      <w:pStyle w:val="NoSpacing"/>
                                      <w:spacing w:before="80" w:after="40"/>
                                      <w:rPr>
                                        <w:caps/>
                                        <w:color w:val="5B9BD5" w:themeColor="accent5"/>
                                        <w:sz w:val="24"/>
                                        <w:szCs w:val="24"/>
                                      </w:rPr>
                                    </w:pPr>
                                    <w:r>
                                      <w:rPr>
                                        <w:caps/>
                                        <w:color w:val="5B9BD5" w:themeColor="accent5"/>
                                        <w:sz w:val="24"/>
                                        <w:szCs w:val="24"/>
                                      </w:rPr>
                                      <w:t>Jamie Parry</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60D2806"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05957223" w14:textId="4A81D577" w:rsidR="007F7410" w:rsidRDefault="007F741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Criminal Law assignment 2</w:t>
                              </w:r>
                            </w:sdtContent>
                          </w:sdt>
                        </w:p>
                        <w:sdt>
                          <w:sdtPr>
                            <w:rPr>
                              <w:caps/>
                              <w:color w:val="1F4E79" w:themeColor="accent5" w:themeShade="80"/>
                              <w:sz w:val="28"/>
                              <w:szCs w:val="28"/>
                            </w:rPr>
                            <w:alias w:val="Subtitle"/>
                            <w:tag w:val=""/>
                            <w:id w:val="-2090151685"/>
                            <w:showingPlcHdr/>
                            <w:dataBinding w:prefixMappings="xmlns:ns0='http://purl.org/dc/elements/1.1/' xmlns:ns1='http://schemas.openxmlformats.org/package/2006/metadata/core-properties' " w:xpath="/ns1:coreProperties[1]/ns0:subject[1]" w:storeItemID="{6C3C8BC8-F283-45AE-878A-BAB7291924A1}"/>
                            <w:text/>
                          </w:sdtPr>
                          <w:sdtContent>
                            <w:p w14:paraId="514857EB" w14:textId="4604AF5F" w:rsidR="007F7410" w:rsidRDefault="007F7410">
                              <w:pPr>
                                <w:pStyle w:val="NoSpacing"/>
                                <w:spacing w:before="40" w:after="40"/>
                                <w:rPr>
                                  <w:caps/>
                                  <w:color w:val="1F4E79" w:themeColor="accent5" w:themeShade="80"/>
                                  <w:sz w:val="28"/>
                                  <w:szCs w:val="28"/>
                                </w:rPr>
                              </w:pPr>
                              <w:r>
                                <w:rPr>
                                  <w:caps/>
                                  <w:color w:val="1F4E79" w:themeColor="accent5" w:themeShade="80"/>
                                  <w:sz w:val="28"/>
                                  <w:szCs w:val="28"/>
                                </w:rPr>
                                <w:t xml:space="preserve">     </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F61BCD8" w14:textId="3235C068" w:rsidR="007F7410" w:rsidRDefault="007F7410">
                              <w:pPr>
                                <w:pStyle w:val="NoSpacing"/>
                                <w:spacing w:before="80" w:after="40"/>
                                <w:rPr>
                                  <w:caps/>
                                  <w:color w:val="5B9BD5" w:themeColor="accent5"/>
                                  <w:sz w:val="24"/>
                                  <w:szCs w:val="24"/>
                                </w:rPr>
                              </w:pPr>
                              <w:r>
                                <w:rPr>
                                  <w:caps/>
                                  <w:color w:val="5B9BD5" w:themeColor="accent5"/>
                                  <w:sz w:val="24"/>
                                  <w:szCs w:val="24"/>
                                </w:rPr>
                                <w:t>Jamie Parry</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55B6D887" wp14:editId="629D840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1027501" w14:textId="72FCD4CD" w:rsidR="007F7410" w:rsidRDefault="007F7410">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5B6D887"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01027501" w14:textId="72FCD4CD" w:rsidR="007F7410" w:rsidRDefault="007F7410">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Pr>
              <w:rFonts w:ascii="Arial" w:hAnsi="Arial" w:cs="Arial"/>
              <w:sz w:val="24"/>
              <w:szCs w:val="24"/>
            </w:rPr>
            <w:br w:type="page"/>
          </w:r>
        </w:p>
      </w:sdtContent>
    </w:sdt>
    <w:p w14:paraId="67D3FD7B" w14:textId="69969EC2" w:rsidR="0037587D" w:rsidRDefault="00B33607">
      <w:pPr>
        <w:rPr>
          <w:rFonts w:ascii="Arial" w:hAnsi="Arial" w:cs="Arial"/>
          <w:sz w:val="24"/>
          <w:szCs w:val="24"/>
        </w:rPr>
      </w:pPr>
      <w:r>
        <w:rPr>
          <w:rFonts w:ascii="Arial" w:hAnsi="Arial" w:cs="Arial"/>
          <w:sz w:val="24"/>
          <w:szCs w:val="24"/>
        </w:rPr>
        <w:lastRenderedPageBreak/>
        <w:t xml:space="preserve">Both Paula and Harriet could be </w:t>
      </w:r>
      <w:r w:rsidR="007025F9">
        <w:rPr>
          <w:rFonts w:ascii="Arial" w:hAnsi="Arial" w:cs="Arial"/>
          <w:sz w:val="24"/>
          <w:szCs w:val="24"/>
        </w:rPr>
        <w:t xml:space="preserve">convicted of crimes providing they hold the required actus reus and mens rea elements while having no defences.  </w:t>
      </w:r>
      <w:r w:rsidR="00FC42C9">
        <w:rPr>
          <w:rFonts w:ascii="Arial" w:hAnsi="Arial" w:cs="Arial"/>
          <w:sz w:val="24"/>
          <w:szCs w:val="24"/>
        </w:rPr>
        <w:t>Th</w:t>
      </w:r>
      <w:r w:rsidR="00941D71">
        <w:rPr>
          <w:rFonts w:ascii="Arial" w:hAnsi="Arial" w:cs="Arial"/>
          <w:sz w:val="24"/>
          <w:szCs w:val="24"/>
        </w:rPr>
        <w:t xml:space="preserve">is is because </w:t>
      </w:r>
      <w:r w:rsidR="00357FEE">
        <w:rPr>
          <w:rFonts w:ascii="Arial" w:hAnsi="Arial" w:cs="Arial"/>
          <w:sz w:val="24"/>
          <w:szCs w:val="24"/>
        </w:rPr>
        <w:t xml:space="preserve">for a person to be criminally liable they must satisfy the equation, which is actus reus </w:t>
      </w:r>
      <w:r w:rsidR="00C273F2">
        <w:rPr>
          <w:rFonts w:ascii="Arial" w:hAnsi="Arial" w:cs="Arial"/>
          <w:sz w:val="24"/>
          <w:szCs w:val="24"/>
        </w:rPr>
        <w:t>+ mens rea + no defences = criminal liability.</w:t>
      </w:r>
      <w:r w:rsidR="00095DA6">
        <w:rPr>
          <w:rFonts w:ascii="Arial" w:hAnsi="Arial" w:cs="Arial"/>
          <w:sz w:val="24"/>
          <w:szCs w:val="24"/>
        </w:rPr>
        <w:t xml:space="preserve">  This report will look at the potential liability for </w:t>
      </w:r>
      <w:r w:rsidR="00774C4F">
        <w:rPr>
          <w:rFonts w:ascii="Arial" w:hAnsi="Arial" w:cs="Arial"/>
          <w:sz w:val="24"/>
          <w:szCs w:val="24"/>
        </w:rPr>
        <w:t>each person in turn</w:t>
      </w:r>
      <w:r w:rsidR="009C417D">
        <w:rPr>
          <w:rFonts w:ascii="Arial" w:hAnsi="Arial" w:cs="Arial"/>
          <w:sz w:val="24"/>
          <w:szCs w:val="24"/>
        </w:rPr>
        <w:t xml:space="preserve">, beginning with </w:t>
      </w:r>
      <w:r w:rsidR="00D11A73">
        <w:rPr>
          <w:rFonts w:ascii="Arial" w:hAnsi="Arial" w:cs="Arial"/>
          <w:sz w:val="24"/>
          <w:szCs w:val="24"/>
        </w:rPr>
        <w:t>Paula.</w:t>
      </w:r>
    </w:p>
    <w:p w14:paraId="63C5D801" w14:textId="1DEAD2FD" w:rsidR="00D11A73" w:rsidRDefault="004F22C3">
      <w:pPr>
        <w:rPr>
          <w:rFonts w:ascii="Arial" w:hAnsi="Arial" w:cs="Arial"/>
          <w:sz w:val="24"/>
          <w:szCs w:val="24"/>
        </w:rPr>
      </w:pPr>
      <w:r>
        <w:rPr>
          <w:rFonts w:ascii="Arial" w:hAnsi="Arial" w:cs="Arial"/>
          <w:sz w:val="24"/>
          <w:szCs w:val="24"/>
        </w:rPr>
        <w:t xml:space="preserve">The potential </w:t>
      </w:r>
      <w:r w:rsidR="00DC1D5B">
        <w:rPr>
          <w:rFonts w:ascii="Arial" w:hAnsi="Arial" w:cs="Arial"/>
          <w:sz w:val="24"/>
          <w:szCs w:val="24"/>
        </w:rPr>
        <w:t xml:space="preserve">crime Paula can be liable for is theft as she took the </w:t>
      </w:r>
      <w:r w:rsidR="00282AE9">
        <w:rPr>
          <w:rFonts w:ascii="Arial" w:hAnsi="Arial" w:cs="Arial"/>
          <w:sz w:val="24"/>
          <w:szCs w:val="24"/>
        </w:rPr>
        <w:t xml:space="preserve">designer handbag of which belonged to Christine.  </w:t>
      </w:r>
      <w:r w:rsidR="00757212">
        <w:rPr>
          <w:rFonts w:ascii="Arial" w:hAnsi="Arial" w:cs="Arial"/>
          <w:sz w:val="24"/>
          <w:szCs w:val="24"/>
        </w:rPr>
        <w:t xml:space="preserve">Section 1 (1) </w:t>
      </w:r>
      <w:r w:rsidR="00E347C7">
        <w:rPr>
          <w:rFonts w:ascii="Arial" w:hAnsi="Arial" w:cs="Arial"/>
          <w:sz w:val="24"/>
          <w:szCs w:val="24"/>
        </w:rPr>
        <w:t>of the Theft Act 1968 (TA 1968) ex</w:t>
      </w:r>
      <w:r w:rsidR="005767CC">
        <w:rPr>
          <w:rFonts w:ascii="Arial" w:hAnsi="Arial" w:cs="Arial"/>
          <w:sz w:val="24"/>
          <w:szCs w:val="24"/>
        </w:rPr>
        <w:t xml:space="preserve">plains that a person dishonestly appropriating property belonging to another with the intention of </w:t>
      </w:r>
      <w:r w:rsidR="003242CA">
        <w:rPr>
          <w:rFonts w:ascii="Arial" w:hAnsi="Arial" w:cs="Arial"/>
          <w:sz w:val="24"/>
          <w:szCs w:val="24"/>
        </w:rPr>
        <w:t xml:space="preserve">permanently depriving them of it is guilty of theft.  </w:t>
      </w:r>
      <w:r w:rsidR="00F5607C">
        <w:rPr>
          <w:rFonts w:ascii="Arial" w:hAnsi="Arial" w:cs="Arial"/>
          <w:sz w:val="24"/>
          <w:szCs w:val="24"/>
        </w:rPr>
        <w:t>As for the actus reus elements of theft, Paula must have firstly appropri</w:t>
      </w:r>
      <w:r w:rsidR="00AC7E4F">
        <w:rPr>
          <w:rFonts w:ascii="Arial" w:hAnsi="Arial" w:cs="Arial"/>
          <w:sz w:val="24"/>
          <w:szCs w:val="24"/>
        </w:rPr>
        <w:t>ated something</w:t>
      </w:r>
      <w:r w:rsidR="00D5062C">
        <w:rPr>
          <w:rFonts w:ascii="Arial" w:hAnsi="Arial" w:cs="Arial"/>
          <w:sz w:val="24"/>
          <w:szCs w:val="24"/>
        </w:rPr>
        <w:t xml:space="preserve">.  Section 3 (1) of </w:t>
      </w:r>
      <w:r w:rsidR="002210D5">
        <w:rPr>
          <w:rFonts w:ascii="Arial" w:hAnsi="Arial" w:cs="Arial"/>
          <w:sz w:val="24"/>
          <w:szCs w:val="24"/>
        </w:rPr>
        <w:t>(</w:t>
      </w:r>
      <w:r w:rsidR="0014635F">
        <w:rPr>
          <w:rFonts w:ascii="Arial" w:hAnsi="Arial" w:cs="Arial"/>
          <w:sz w:val="24"/>
          <w:szCs w:val="24"/>
        </w:rPr>
        <w:t>TA 1968</w:t>
      </w:r>
      <w:r w:rsidR="002210D5">
        <w:rPr>
          <w:rFonts w:ascii="Arial" w:hAnsi="Arial" w:cs="Arial"/>
          <w:sz w:val="24"/>
          <w:szCs w:val="24"/>
        </w:rPr>
        <w:t>)</w:t>
      </w:r>
      <w:r w:rsidR="0014635F">
        <w:rPr>
          <w:rFonts w:ascii="Arial" w:hAnsi="Arial" w:cs="Arial"/>
          <w:sz w:val="24"/>
          <w:szCs w:val="24"/>
        </w:rPr>
        <w:t xml:space="preserve"> descri</w:t>
      </w:r>
      <w:r w:rsidR="00277A3D">
        <w:rPr>
          <w:rFonts w:ascii="Arial" w:hAnsi="Arial" w:cs="Arial"/>
          <w:sz w:val="24"/>
          <w:szCs w:val="24"/>
        </w:rPr>
        <w:t xml:space="preserve">bes this as any assumption by someone </w:t>
      </w:r>
      <w:r w:rsidR="00EE16EF">
        <w:rPr>
          <w:rFonts w:ascii="Arial" w:hAnsi="Arial" w:cs="Arial"/>
          <w:sz w:val="24"/>
          <w:szCs w:val="24"/>
        </w:rPr>
        <w:t xml:space="preserve">of the rights of an owner </w:t>
      </w:r>
      <w:r w:rsidR="009A5185">
        <w:rPr>
          <w:rFonts w:ascii="Arial" w:hAnsi="Arial" w:cs="Arial"/>
          <w:sz w:val="24"/>
          <w:szCs w:val="24"/>
        </w:rPr>
        <w:t xml:space="preserve">to an appropriation, even </w:t>
      </w:r>
      <w:r w:rsidR="0018302D">
        <w:rPr>
          <w:rFonts w:ascii="Arial" w:hAnsi="Arial" w:cs="Arial"/>
          <w:sz w:val="24"/>
          <w:szCs w:val="24"/>
        </w:rPr>
        <w:t>when the person has come by the property without stealing it.</w:t>
      </w:r>
      <w:r w:rsidR="00B640E6">
        <w:rPr>
          <w:rFonts w:ascii="Arial" w:hAnsi="Arial" w:cs="Arial"/>
          <w:sz w:val="24"/>
          <w:szCs w:val="24"/>
        </w:rPr>
        <w:t xml:space="preserve">  </w:t>
      </w:r>
      <w:r w:rsidR="000B0F96">
        <w:rPr>
          <w:rFonts w:ascii="Arial" w:hAnsi="Arial" w:cs="Arial"/>
          <w:sz w:val="24"/>
          <w:szCs w:val="24"/>
        </w:rPr>
        <w:t xml:space="preserve">Cases such as </w:t>
      </w:r>
      <w:r w:rsidR="00742404">
        <w:rPr>
          <w:rFonts w:ascii="Arial" w:hAnsi="Arial" w:cs="Arial"/>
          <w:sz w:val="24"/>
          <w:szCs w:val="24"/>
        </w:rPr>
        <w:t>(Hirc</w:t>
      </w:r>
      <w:r w:rsidR="00183196">
        <w:rPr>
          <w:rFonts w:ascii="Arial" w:hAnsi="Arial" w:cs="Arial"/>
          <w:sz w:val="24"/>
          <w:szCs w:val="24"/>
        </w:rPr>
        <w:t xml:space="preserve">ock, 1978) and </w:t>
      </w:r>
      <w:r w:rsidR="00D001F4">
        <w:rPr>
          <w:rFonts w:ascii="Arial" w:hAnsi="Arial" w:cs="Arial"/>
          <w:sz w:val="24"/>
          <w:szCs w:val="24"/>
        </w:rPr>
        <w:t>(</w:t>
      </w:r>
      <w:r w:rsidR="00183196">
        <w:rPr>
          <w:rFonts w:ascii="Arial" w:hAnsi="Arial" w:cs="Arial"/>
          <w:sz w:val="24"/>
          <w:szCs w:val="24"/>
        </w:rPr>
        <w:t xml:space="preserve">Dipkaur V Chief </w:t>
      </w:r>
      <w:r w:rsidR="00D001F4">
        <w:rPr>
          <w:rFonts w:ascii="Arial" w:hAnsi="Arial" w:cs="Arial"/>
          <w:sz w:val="24"/>
          <w:szCs w:val="24"/>
        </w:rPr>
        <w:t xml:space="preserve">Constable, 1981) </w:t>
      </w:r>
      <w:r w:rsidR="00DA1F82">
        <w:rPr>
          <w:rFonts w:ascii="Arial" w:hAnsi="Arial" w:cs="Arial"/>
          <w:sz w:val="24"/>
          <w:szCs w:val="24"/>
        </w:rPr>
        <w:t xml:space="preserve">previously explained that all rights must be assumed.  However </w:t>
      </w:r>
      <w:r w:rsidR="005966EC">
        <w:rPr>
          <w:rFonts w:ascii="Arial" w:hAnsi="Arial" w:cs="Arial"/>
          <w:sz w:val="24"/>
          <w:szCs w:val="24"/>
        </w:rPr>
        <w:t xml:space="preserve">more recent cases including (Morris 1983) and </w:t>
      </w:r>
      <w:r w:rsidR="00A656F7">
        <w:rPr>
          <w:rFonts w:ascii="Arial" w:hAnsi="Arial" w:cs="Arial"/>
          <w:sz w:val="24"/>
          <w:szCs w:val="24"/>
        </w:rPr>
        <w:t>(Gomez 1993)</w:t>
      </w:r>
      <w:r w:rsidR="0019739D">
        <w:rPr>
          <w:rFonts w:ascii="Arial" w:hAnsi="Arial" w:cs="Arial"/>
          <w:sz w:val="24"/>
          <w:szCs w:val="24"/>
        </w:rPr>
        <w:t xml:space="preserve"> prove that it is sufficient that the defendant </w:t>
      </w:r>
      <w:r w:rsidR="00EB6732">
        <w:rPr>
          <w:rFonts w:ascii="Arial" w:hAnsi="Arial" w:cs="Arial"/>
          <w:sz w:val="24"/>
          <w:szCs w:val="24"/>
        </w:rPr>
        <w:t>assumes just a right of the owner.</w:t>
      </w:r>
      <w:r w:rsidR="0044056A">
        <w:rPr>
          <w:rFonts w:ascii="Arial" w:hAnsi="Arial" w:cs="Arial"/>
          <w:sz w:val="24"/>
          <w:szCs w:val="24"/>
        </w:rPr>
        <w:t xml:space="preserve">  Paula has satisfied this element by </w:t>
      </w:r>
      <w:r w:rsidR="00F325AF">
        <w:rPr>
          <w:rFonts w:ascii="Arial" w:hAnsi="Arial" w:cs="Arial"/>
          <w:sz w:val="24"/>
          <w:szCs w:val="24"/>
        </w:rPr>
        <w:t xml:space="preserve">appropriating the handbag.  The next element is property.  </w:t>
      </w:r>
      <w:r w:rsidR="006D2770">
        <w:rPr>
          <w:rFonts w:ascii="Arial" w:hAnsi="Arial" w:cs="Arial"/>
          <w:sz w:val="24"/>
          <w:szCs w:val="24"/>
        </w:rPr>
        <w:t xml:space="preserve">Under section 4 </w:t>
      </w:r>
      <w:r w:rsidR="002210D5">
        <w:rPr>
          <w:rFonts w:ascii="Arial" w:hAnsi="Arial" w:cs="Arial"/>
          <w:sz w:val="24"/>
          <w:szCs w:val="24"/>
        </w:rPr>
        <w:t>(1) of (TA 1968)</w:t>
      </w:r>
      <w:r w:rsidR="00795DF0">
        <w:rPr>
          <w:rFonts w:ascii="Arial" w:hAnsi="Arial" w:cs="Arial"/>
          <w:sz w:val="24"/>
          <w:szCs w:val="24"/>
        </w:rPr>
        <w:t xml:space="preserve"> property can include money, </w:t>
      </w:r>
      <w:r w:rsidR="00562E78">
        <w:rPr>
          <w:rFonts w:ascii="Arial" w:hAnsi="Arial" w:cs="Arial"/>
          <w:sz w:val="24"/>
          <w:szCs w:val="24"/>
        </w:rPr>
        <w:t>real or personal property and other intangible property.</w:t>
      </w:r>
      <w:r w:rsidR="003037E0">
        <w:rPr>
          <w:rFonts w:ascii="Arial" w:hAnsi="Arial" w:cs="Arial"/>
          <w:sz w:val="24"/>
          <w:szCs w:val="24"/>
        </w:rPr>
        <w:t xml:space="preserve">  The handbag was </w:t>
      </w:r>
      <w:r w:rsidR="00EC79A8">
        <w:rPr>
          <w:rFonts w:ascii="Arial" w:hAnsi="Arial" w:cs="Arial"/>
          <w:sz w:val="24"/>
          <w:szCs w:val="24"/>
        </w:rPr>
        <w:t xml:space="preserve">personal </w:t>
      </w:r>
      <w:r w:rsidR="003037E0">
        <w:rPr>
          <w:rFonts w:ascii="Arial" w:hAnsi="Arial" w:cs="Arial"/>
          <w:sz w:val="24"/>
          <w:szCs w:val="24"/>
        </w:rPr>
        <w:t>p</w:t>
      </w:r>
      <w:r w:rsidR="007D2B9A">
        <w:rPr>
          <w:rFonts w:ascii="Arial" w:hAnsi="Arial" w:cs="Arial"/>
          <w:sz w:val="24"/>
          <w:szCs w:val="24"/>
        </w:rPr>
        <w:t xml:space="preserve">roperty </w:t>
      </w:r>
      <w:r w:rsidR="00D20818">
        <w:rPr>
          <w:rFonts w:ascii="Arial" w:hAnsi="Arial" w:cs="Arial"/>
          <w:sz w:val="24"/>
          <w:szCs w:val="24"/>
        </w:rPr>
        <w:t>therefore satisfying this element.  The property must belong to another.</w:t>
      </w:r>
      <w:r w:rsidR="007A0E08">
        <w:rPr>
          <w:rFonts w:ascii="Arial" w:hAnsi="Arial" w:cs="Arial"/>
          <w:sz w:val="24"/>
          <w:szCs w:val="24"/>
        </w:rPr>
        <w:t xml:space="preserve">  </w:t>
      </w:r>
      <w:r w:rsidR="00DD5C4E">
        <w:rPr>
          <w:rFonts w:ascii="Arial" w:hAnsi="Arial" w:cs="Arial"/>
          <w:sz w:val="24"/>
          <w:szCs w:val="24"/>
        </w:rPr>
        <w:t xml:space="preserve">Section 5 (1) </w:t>
      </w:r>
      <w:r w:rsidR="00A93B83">
        <w:rPr>
          <w:rFonts w:ascii="Arial" w:hAnsi="Arial" w:cs="Arial"/>
          <w:sz w:val="24"/>
          <w:szCs w:val="24"/>
        </w:rPr>
        <w:t xml:space="preserve">of (TA 1968) emphasises that </w:t>
      </w:r>
      <w:r w:rsidR="00CE58A3">
        <w:rPr>
          <w:rFonts w:ascii="Arial" w:hAnsi="Arial" w:cs="Arial"/>
          <w:sz w:val="24"/>
          <w:szCs w:val="24"/>
        </w:rPr>
        <w:t xml:space="preserve">property shall be considered as belonging to the person </w:t>
      </w:r>
      <w:r w:rsidR="00BC2353">
        <w:rPr>
          <w:rFonts w:ascii="Arial" w:hAnsi="Arial" w:cs="Arial"/>
          <w:sz w:val="24"/>
          <w:szCs w:val="24"/>
        </w:rPr>
        <w:t xml:space="preserve">having possession of or control of </w:t>
      </w:r>
      <w:r w:rsidR="00E65CFF">
        <w:rPr>
          <w:rFonts w:ascii="Arial" w:hAnsi="Arial" w:cs="Arial"/>
          <w:sz w:val="24"/>
          <w:szCs w:val="24"/>
        </w:rPr>
        <w:t>it but</w:t>
      </w:r>
      <w:r w:rsidR="00BC2353">
        <w:rPr>
          <w:rFonts w:ascii="Arial" w:hAnsi="Arial" w:cs="Arial"/>
          <w:sz w:val="24"/>
          <w:szCs w:val="24"/>
        </w:rPr>
        <w:t xml:space="preserve"> can also </w:t>
      </w:r>
      <w:r w:rsidR="00354682">
        <w:rPr>
          <w:rFonts w:ascii="Arial" w:hAnsi="Arial" w:cs="Arial"/>
          <w:sz w:val="24"/>
          <w:szCs w:val="24"/>
        </w:rPr>
        <w:t xml:space="preserve">include having </w:t>
      </w:r>
      <w:r w:rsidR="004E310B">
        <w:rPr>
          <w:rFonts w:ascii="Arial" w:hAnsi="Arial" w:cs="Arial"/>
          <w:sz w:val="24"/>
          <w:szCs w:val="24"/>
        </w:rPr>
        <w:t>in</w:t>
      </w:r>
      <w:r w:rsidR="00354682">
        <w:rPr>
          <w:rFonts w:ascii="Arial" w:hAnsi="Arial" w:cs="Arial"/>
          <w:sz w:val="24"/>
          <w:szCs w:val="24"/>
        </w:rPr>
        <w:t xml:space="preserve"> it any proprietary rights or interest.  </w:t>
      </w:r>
      <w:r w:rsidR="00E65CFF">
        <w:rPr>
          <w:rFonts w:ascii="Arial" w:hAnsi="Arial" w:cs="Arial"/>
          <w:sz w:val="24"/>
          <w:szCs w:val="24"/>
        </w:rPr>
        <w:t xml:space="preserve">The handbag is newly property of </w:t>
      </w:r>
      <w:r w:rsidR="004E310B">
        <w:rPr>
          <w:rFonts w:ascii="Arial" w:hAnsi="Arial" w:cs="Arial"/>
          <w:sz w:val="24"/>
          <w:szCs w:val="24"/>
        </w:rPr>
        <w:t>Christine</w:t>
      </w:r>
      <w:r w:rsidR="00521922">
        <w:rPr>
          <w:rFonts w:ascii="Arial" w:hAnsi="Arial" w:cs="Arial"/>
          <w:sz w:val="24"/>
          <w:szCs w:val="24"/>
        </w:rPr>
        <w:t xml:space="preserve">, despite </w:t>
      </w:r>
      <w:r w:rsidR="00BE1A7D">
        <w:rPr>
          <w:rFonts w:ascii="Arial" w:hAnsi="Arial" w:cs="Arial"/>
          <w:sz w:val="24"/>
          <w:szCs w:val="24"/>
        </w:rPr>
        <w:t xml:space="preserve">not </w:t>
      </w:r>
      <w:r w:rsidR="00521922">
        <w:rPr>
          <w:rFonts w:ascii="Arial" w:hAnsi="Arial" w:cs="Arial"/>
          <w:sz w:val="24"/>
          <w:szCs w:val="24"/>
        </w:rPr>
        <w:t xml:space="preserve">having </w:t>
      </w:r>
      <w:r w:rsidR="00BE1A7D">
        <w:rPr>
          <w:rFonts w:ascii="Arial" w:hAnsi="Arial" w:cs="Arial"/>
          <w:sz w:val="24"/>
          <w:szCs w:val="24"/>
        </w:rPr>
        <w:t xml:space="preserve">physical </w:t>
      </w:r>
      <w:r w:rsidR="00521922">
        <w:rPr>
          <w:rFonts w:ascii="Arial" w:hAnsi="Arial" w:cs="Arial"/>
          <w:sz w:val="24"/>
          <w:szCs w:val="24"/>
        </w:rPr>
        <w:t xml:space="preserve">control of it </w:t>
      </w:r>
      <w:r w:rsidR="00BE1A7D">
        <w:rPr>
          <w:rFonts w:ascii="Arial" w:hAnsi="Arial" w:cs="Arial"/>
          <w:sz w:val="24"/>
          <w:szCs w:val="24"/>
        </w:rPr>
        <w:t>at the time Paula had taken it</w:t>
      </w:r>
      <w:r w:rsidR="00B57DC2">
        <w:rPr>
          <w:rFonts w:ascii="Arial" w:hAnsi="Arial" w:cs="Arial"/>
          <w:sz w:val="24"/>
          <w:szCs w:val="24"/>
        </w:rPr>
        <w:t>, the case of (Woodman, 1974</w:t>
      </w:r>
      <w:r w:rsidR="008C0288">
        <w:rPr>
          <w:rFonts w:ascii="Arial" w:hAnsi="Arial" w:cs="Arial"/>
          <w:sz w:val="24"/>
          <w:szCs w:val="24"/>
        </w:rPr>
        <w:t xml:space="preserve">) </w:t>
      </w:r>
      <w:r w:rsidR="00725D0D">
        <w:rPr>
          <w:rFonts w:ascii="Arial" w:hAnsi="Arial" w:cs="Arial"/>
          <w:sz w:val="24"/>
          <w:szCs w:val="24"/>
        </w:rPr>
        <w:t xml:space="preserve">makes it clear that </w:t>
      </w:r>
      <w:r w:rsidR="00F624A5">
        <w:rPr>
          <w:rFonts w:ascii="Arial" w:hAnsi="Arial" w:cs="Arial"/>
          <w:sz w:val="24"/>
          <w:szCs w:val="24"/>
        </w:rPr>
        <w:t xml:space="preserve">the property was belonging to another.  </w:t>
      </w:r>
      <w:r w:rsidR="00FB48A7">
        <w:rPr>
          <w:rFonts w:ascii="Arial" w:hAnsi="Arial" w:cs="Arial"/>
          <w:sz w:val="24"/>
          <w:szCs w:val="24"/>
        </w:rPr>
        <w:t>Therefore, Paula holds the actus reus for theft.  As for the mens rea</w:t>
      </w:r>
      <w:r w:rsidR="00CA1679">
        <w:rPr>
          <w:rFonts w:ascii="Arial" w:hAnsi="Arial" w:cs="Arial"/>
          <w:sz w:val="24"/>
          <w:szCs w:val="24"/>
        </w:rPr>
        <w:t>, it must have been taken dishonestly</w:t>
      </w:r>
      <w:r w:rsidR="00D34041">
        <w:rPr>
          <w:rFonts w:ascii="Arial" w:hAnsi="Arial" w:cs="Arial"/>
          <w:sz w:val="24"/>
          <w:szCs w:val="24"/>
        </w:rPr>
        <w:t xml:space="preserve">.  </w:t>
      </w:r>
      <w:r w:rsidR="00B60118">
        <w:rPr>
          <w:rFonts w:ascii="Arial" w:hAnsi="Arial" w:cs="Arial"/>
          <w:sz w:val="24"/>
          <w:szCs w:val="24"/>
        </w:rPr>
        <w:t>(TA 1968) doesn’t define dishonesty</w:t>
      </w:r>
      <w:r w:rsidR="00104894">
        <w:rPr>
          <w:rFonts w:ascii="Arial" w:hAnsi="Arial" w:cs="Arial"/>
          <w:sz w:val="24"/>
          <w:szCs w:val="24"/>
        </w:rPr>
        <w:t xml:space="preserve"> although it provides 3 situations in which the defendant is not dishonest, none of which apply to </w:t>
      </w:r>
      <w:r w:rsidR="00E25A9C">
        <w:rPr>
          <w:rFonts w:ascii="Arial" w:hAnsi="Arial" w:cs="Arial"/>
          <w:sz w:val="24"/>
          <w:szCs w:val="24"/>
        </w:rPr>
        <w:t>Paula, as she did not hold the right in law (Morgan 1976</w:t>
      </w:r>
      <w:r w:rsidR="00C226F0">
        <w:rPr>
          <w:rFonts w:ascii="Arial" w:hAnsi="Arial" w:cs="Arial"/>
          <w:sz w:val="24"/>
          <w:szCs w:val="24"/>
        </w:rPr>
        <w:t xml:space="preserve">), wouldn’t have had consent and </w:t>
      </w:r>
      <w:r w:rsidR="001F1984">
        <w:rPr>
          <w:rFonts w:ascii="Arial" w:hAnsi="Arial" w:cs="Arial"/>
          <w:sz w:val="24"/>
          <w:szCs w:val="24"/>
        </w:rPr>
        <w:t xml:space="preserve">Christine was discovered.  </w:t>
      </w:r>
      <w:r w:rsidR="00C044D8">
        <w:rPr>
          <w:rFonts w:ascii="Arial" w:hAnsi="Arial" w:cs="Arial"/>
          <w:sz w:val="24"/>
          <w:szCs w:val="24"/>
        </w:rPr>
        <w:t xml:space="preserve">To test for dishonesty, the case of </w:t>
      </w:r>
      <w:r w:rsidR="00DC0D4F">
        <w:rPr>
          <w:rFonts w:ascii="Arial" w:hAnsi="Arial" w:cs="Arial"/>
          <w:sz w:val="24"/>
          <w:szCs w:val="24"/>
        </w:rPr>
        <w:t>(</w:t>
      </w:r>
      <w:r w:rsidR="00C044D8">
        <w:rPr>
          <w:rFonts w:ascii="Arial" w:hAnsi="Arial" w:cs="Arial"/>
          <w:sz w:val="24"/>
          <w:szCs w:val="24"/>
        </w:rPr>
        <w:t>Ghosh</w:t>
      </w:r>
      <w:r w:rsidR="00DC0D4F">
        <w:rPr>
          <w:rFonts w:ascii="Arial" w:hAnsi="Arial" w:cs="Arial"/>
          <w:sz w:val="24"/>
          <w:szCs w:val="24"/>
        </w:rPr>
        <w:t>,</w:t>
      </w:r>
      <w:r w:rsidR="00C044D8">
        <w:rPr>
          <w:rFonts w:ascii="Arial" w:hAnsi="Arial" w:cs="Arial"/>
          <w:sz w:val="24"/>
          <w:szCs w:val="24"/>
        </w:rPr>
        <w:t xml:space="preserve"> </w:t>
      </w:r>
      <w:r w:rsidR="00DC0D4F">
        <w:rPr>
          <w:rFonts w:ascii="Arial" w:hAnsi="Arial" w:cs="Arial"/>
          <w:sz w:val="24"/>
          <w:szCs w:val="24"/>
        </w:rPr>
        <w:t xml:space="preserve">1982) meant that both an objective and subjective test were </w:t>
      </w:r>
      <w:r w:rsidR="00C63BF6">
        <w:rPr>
          <w:rFonts w:ascii="Arial" w:hAnsi="Arial" w:cs="Arial"/>
          <w:sz w:val="24"/>
          <w:szCs w:val="24"/>
        </w:rPr>
        <w:t xml:space="preserve">necessary, however common law has now adapted to using only </w:t>
      </w:r>
      <w:r w:rsidR="00205047">
        <w:rPr>
          <w:rFonts w:ascii="Arial" w:hAnsi="Arial" w:cs="Arial"/>
          <w:sz w:val="24"/>
          <w:szCs w:val="24"/>
        </w:rPr>
        <w:t>an objective test due to the case of (Ivey 2017)</w:t>
      </w:r>
      <w:r w:rsidR="00130C47">
        <w:rPr>
          <w:rFonts w:ascii="Arial" w:hAnsi="Arial" w:cs="Arial"/>
          <w:sz w:val="24"/>
          <w:szCs w:val="24"/>
        </w:rPr>
        <w:t>.</w:t>
      </w:r>
      <w:r w:rsidR="00111788">
        <w:rPr>
          <w:rFonts w:ascii="Arial" w:hAnsi="Arial" w:cs="Arial"/>
          <w:sz w:val="24"/>
          <w:szCs w:val="24"/>
        </w:rPr>
        <w:t xml:space="preserve">  The objective test involves looking through the perspective of a reasonable person</w:t>
      </w:r>
      <w:r w:rsidR="00E7541F">
        <w:rPr>
          <w:rFonts w:ascii="Arial" w:hAnsi="Arial" w:cs="Arial"/>
          <w:sz w:val="24"/>
          <w:szCs w:val="24"/>
        </w:rPr>
        <w:t xml:space="preserve">, </w:t>
      </w:r>
      <w:r w:rsidR="001B0718">
        <w:rPr>
          <w:rFonts w:ascii="Arial" w:hAnsi="Arial" w:cs="Arial"/>
          <w:sz w:val="24"/>
          <w:szCs w:val="24"/>
        </w:rPr>
        <w:t>Paula’s</w:t>
      </w:r>
      <w:r w:rsidR="00E7541F">
        <w:rPr>
          <w:rFonts w:ascii="Arial" w:hAnsi="Arial" w:cs="Arial"/>
          <w:sz w:val="24"/>
          <w:szCs w:val="24"/>
        </w:rPr>
        <w:t xml:space="preserve"> actions would </w:t>
      </w:r>
      <w:r w:rsidR="001B0718">
        <w:rPr>
          <w:rFonts w:ascii="Arial" w:hAnsi="Arial" w:cs="Arial"/>
          <w:sz w:val="24"/>
          <w:szCs w:val="24"/>
        </w:rPr>
        <w:t xml:space="preserve">not have been reasonable and therefore was dishonest.  </w:t>
      </w:r>
      <w:r w:rsidR="00425E0A">
        <w:rPr>
          <w:rFonts w:ascii="Arial" w:hAnsi="Arial" w:cs="Arial"/>
          <w:sz w:val="24"/>
          <w:szCs w:val="24"/>
        </w:rPr>
        <w:t xml:space="preserve">The final element of the mens rea is the </w:t>
      </w:r>
      <w:r w:rsidR="00026461">
        <w:rPr>
          <w:rFonts w:ascii="Arial" w:hAnsi="Arial" w:cs="Arial"/>
          <w:sz w:val="24"/>
          <w:szCs w:val="24"/>
        </w:rPr>
        <w:t>intention to permanently deprive</w:t>
      </w:r>
      <w:r w:rsidR="00431C96">
        <w:rPr>
          <w:rFonts w:ascii="Arial" w:hAnsi="Arial" w:cs="Arial"/>
          <w:sz w:val="24"/>
          <w:szCs w:val="24"/>
        </w:rPr>
        <w:t xml:space="preserve">.  </w:t>
      </w:r>
      <w:r w:rsidR="004C1DA0">
        <w:rPr>
          <w:rFonts w:ascii="Arial" w:hAnsi="Arial" w:cs="Arial"/>
          <w:sz w:val="24"/>
          <w:szCs w:val="24"/>
        </w:rPr>
        <w:t xml:space="preserve">This is for the jury to </w:t>
      </w:r>
      <w:r w:rsidR="00755E7A">
        <w:rPr>
          <w:rFonts w:ascii="Arial" w:hAnsi="Arial" w:cs="Arial"/>
          <w:sz w:val="24"/>
          <w:szCs w:val="24"/>
        </w:rPr>
        <w:t>decide,</w:t>
      </w:r>
      <w:r w:rsidR="004C1DA0">
        <w:rPr>
          <w:rFonts w:ascii="Arial" w:hAnsi="Arial" w:cs="Arial"/>
          <w:sz w:val="24"/>
          <w:szCs w:val="24"/>
        </w:rPr>
        <w:t xml:space="preserve"> and the </w:t>
      </w:r>
      <w:r w:rsidR="001F0678">
        <w:rPr>
          <w:rFonts w:ascii="Arial" w:hAnsi="Arial" w:cs="Arial"/>
          <w:sz w:val="24"/>
          <w:szCs w:val="24"/>
        </w:rPr>
        <w:t>defendant doesn’t have to succeed in such.</w:t>
      </w:r>
      <w:r w:rsidR="00EE6FF6">
        <w:rPr>
          <w:rFonts w:ascii="Arial" w:hAnsi="Arial" w:cs="Arial"/>
          <w:sz w:val="24"/>
          <w:szCs w:val="24"/>
        </w:rPr>
        <w:t xml:space="preserve">  Paula’s actions while taking the handbag are suggestive that she intends to perman</w:t>
      </w:r>
      <w:r w:rsidR="003A5CDF">
        <w:rPr>
          <w:rFonts w:ascii="Arial" w:hAnsi="Arial" w:cs="Arial"/>
          <w:sz w:val="24"/>
          <w:szCs w:val="24"/>
        </w:rPr>
        <w:t>ently deprive Christine of it.</w:t>
      </w:r>
      <w:r w:rsidR="00C24445">
        <w:rPr>
          <w:rFonts w:ascii="Arial" w:hAnsi="Arial" w:cs="Arial"/>
          <w:sz w:val="24"/>
          <w:szCs w:val="24"/>
        </w:rPr>
        <w:t xml:space="preserve">  There are no defences that can be applied </w:t>
      </w:r>
      <w:r w:rsidR="00797A30">
        <w:rPr>
          <w:rFonts w:ascii="Arial" w:hAnsi="Arial" w:cs="Arial"/>
          <w:sz w:val="24"/>
          <w:szCs w:val="24"/>
        </w:rPr>
        <w:t>in Paula’s defence.</w:t>
      </w:r>
    </w:p>
    <w:p w14:paraId="59AF0C30" w14:textId="28F675C0" w:rsidR="0050185C" w:rsidRDefault="00216177">
      <w:pPr>
        <w:rPr>
          <w:rFonts w:ascii="Arial" w:hAnsi="Arial" w:cs="Arial"/>
          <w:sz w:val="24"/>
          <w:szCs w:val="24"/>
        </w:rPr>
      </w:pPr>
      <w:r>
        <w:rPr>
          <w:rFonts w:ascii="Arial" w:hAnsi="Arial" w:cs="Arial"/>
          <w:sz w:val="24"/>
          <w:szCs w:val="24"/>
        </w:rPr>
        <w:t xml:space="preserve">Harriet could be criminally liable for both </w:t>
      </w:r>
      <w:r w:rsidR="003C1E7E">
        <w:rPr>
          <w:rFonts w:ascii="Arial" w:hAnsi="Arial" w:cs="Arial"/>
          <w:sz w:val="24"/>
          <w:szCs w:val="24"/>
        </w:rPr>
        <w:t xml:space="preserve">criminal damage and assault.  </w:t>
      </w:r>
      <w:r w:rsidR="009B45EB">
        <w:rPr>
          <w:rFonts w:ascii="Arial" w:hAnsi="Arial" w:cs="Arial"/>
          <w:sz w:val="24"/>
          <w:szCs w:val="24"/>
        </w:rPr>
        <w:t xml:space="preserve">As </w:t>
      </w:r>
      <w:r w:rsidR="00CB3686">
        <w:rPr>
          <w:rFonts w:ascii="Arial" w:hAnsi="Arial" w:cs="Arial"/>
          <w:sz w:val="24"/>
          <w:szCs w:val="24"/>
        </w:rPr>
        <w:t>Harriet</w:t>
      </w:r>
      <w:r w:rsidR="00E9478C">
        <w:rPr>
          <w:rFonts w:ascii="Arial" w:hAnsi="Arial" w:cs="Arial"/>
          <w:sz w:val="24"/>
          <w:szCs w:val="24"/>
        </w:rPr>
        <w:t xml:space="preserve">’s actions of </w:t>
      </w:r>
      <w:r w:rsidR="000A1AAE">
        <w:rPr>
          <w:rFonts w:ascii="Arial" w:hAnsi="Arial" w:cs="Arial"/>
          <w:sz w:val="24"/>
          <w:szCs w:val="24"/>
        </w:rPr>
        <w:t xml:space="preserve">smashing the large panes of glass in the doors wasn’t done with intent of endangering life, </w:t>
      </w:r>
      <w:r w:rsidR="00C2456B">
        <w:rPr>
          <w:rFonts w:ascii="Arial" w:hAnsi="Arial" w:cs="Arial"/>
          <w:sz w:val="24"/>
          <w:szCs w:val="24"/>
        </w:rPr>
        <w:t xml:space="preserve">the basic offence of criminal damage is more applicable to her.  </w:t>
      </w:r>
      <w:r w:rsidR="00A02C9D">
        <w:rPr>
          <w:rFonts w:ascii="Arial" w:hAnsi="Arial" w:cs="Arial"/>
          <w:sz w:val="24"/>
          <w:szCs w:val="24"/>
        </w:rPr>
        <w:t xml:space="preserve">Section 1 (1) of the Criminal Damage Act 1971 </w:t>
      </w:r>
      <w:r w:rsidR="005D5C94">
        <w:rPr>
          <w:rFonts w:ascii="Arial" w:hAnsi="Arial" w:cs="Arial"/>
          <w:sz w:val="24"/>
          <w:szCs w:val="24"/>
        </w:rPr>
        <w:t xml:space="preserve">(CDA 1971) describes this offence as a person without </w:t>
      </w:r>
      <w:r w:rsidR="00D2581C">
        <w:rPr>
          <w:rFonts w:ascii="Arial" w:hAnsi="Arial" w:cs="Arial"/>
          <w:sz w:val="24"/>
          <w:szCs w:val="24"/>
        </w:rPr>
        <w:t>lawful excuse damaging or destroying property belonging to another with intent or recklessness.</w:t>
      </w:r>
      <w:r w:rsidR="005E0E82">
        <w:rPr>
          <w:rFonts w:ascii="Arial" w:hAnsi="Arial" w:cs="Arial"/>
          <w:sz w:val="24"/>
          <w:szCs w:val="24"/>
        </w:rPr>
        <w:t xml:space="preserve">  Beginning with the actus reus elements </w:t>
      </w:r>
      <w:r w:rsidR="0015391E">
        <w:rPr>
          <w:rFonts w:ascii="Arial" w:hAnsi="Arial" w:cs="Arial"/>
          <w:sz w:val="24"/>
          <w:szCs w:val="24"/>
        </w:rPr>
        <w:t>of the offence, propert</w:t>
      </w:r>
      <w:r w:rsidR="00E92863">
        <w:rPr>
          <w:rFonts w:ascii="Arial" w:hAnsi="Arial" w:cs="Arial"/>
          <w:sz w:val="24"/>
          <w:szCs w:val="24"/>
        </w:rPr>
        <w:t xml:space="preserve">y includes tangible items of which the glass panes fall under.  </w:t>
      </w:r>
      <w:r w:rsidR="002479CF">
        <w:rPr>
          <w:rFonts w:ascii="Arial" w:hAnsi="Arial" w:cs="Arial"/>
          <w:sz w:val="24"/>
          <w:szCs w:val="24"/>
        </w:rPr>
        <w:t xml:space="preserve">Such </w:t>
      </w:r>
      <w:r w:rsidR="002479CF">
        <w:rPr>
          <w:rFonts w:ascii="Arial" w:hAnsi="Arial" w:cs="Arial"/>
          <w:sz w:val="24"/>
          <w:szCs w:val="24"/>
        </w:rPr>
        <w:lastRenderedPageBreak/>
        <w:t xml:space="preserve">items must belong to another, in which </w:t>
      </w:r>
      <w:r w:rsidR="00E63F1C">
        <w:rPr>
          <w:rFonts w:ascii="Arial" w:hAnsi="Arial" w:cs="Arial"/>
          <w:sz w:val="24"/>
          <w:szCs w:val="24"/>
        </w:rPr>
        <w:t xml:space="preserve">section 10 (1) </w:t>
      </w:r>
      <w:r w:rsidR="00C13C50">
        <w:rPr>
          <w:rFonts w:ascii="Arial" w:hAnsi="Arial" w:cs="Arial"/>
          <w:sz w:val="24"/>
          <w:szCs w:val="24"/>
        </w:rPr>
        <w:t xml:space="preserve">of the (CDA 1971) defines as </w:t>
      </w:r>
      <w:r w:rsidR="00046CA3">
        <w:rPr>
          <w:rFonts w:ascii="Arial" w:hAnsi="Arial" w:cs="Arial"/>
          <w:sz w:val="24"/>
          <w:szCs w:val="24"/>
        </w:rPr>
        <w:t xml:space="preserve">the someone having custody of it or having in it any proprietary </w:t>
      </w:r>
      <w:r w:rsidR="001F4930">
        <w:rPr>
          <w:rFonts w:ascii="Arial" w:hAnsi="Arial" w:cs="Arial"/>
          <w:sz w:val="24"/>
          <w:szCs w:val="24"/>
        </w:rPr>
        <w:t xml:space="preserve">rights or interest.  As the glass panes </w:t>
      </w:r>
      <w:r w:rsidR="00586D6A">
        <w:rPr>
          <w:rFonts w:ascii="Arial" w:hAnsi="Arial" w:cs="Arial"/>
          <w:sz w:val="24"/>
          <w:szCs w:val="24"/>
        </w:rPr>
        <w:t xml:space="preserve">are part of the household belonging to Christine, Christine currently has custody of them.  </w:t>
      </w:r>
      <w:r w:rsidR="007D2B6D">
        <w:rPr>
          <w:rFonts w:ascii="Arial" w:hAnsi="Arial" w:cs="Arial"/>
          <w:sz w:val="24"/>
          <w:szCs w:val="24"/>
        </w:rPr>
        <w:t>There must also have been conduct on the part of the defendant</w:t>
      </w:r>
      <w:r w:rsidR="004F556B">
        <w:rPr>
          <w:rFonts w:ascii="Arial" w:hAnsi="Arial" w:cs="Arial"/>
          <w:sz w:val="24"/>
          <w:szCs w:val="24"/>
        </w:rPr>
        <w:t>, whilst this doesn’t have to be a positive act as proven in (Miller</w:t>
      </w:r>
      <w:r w:rsidR="0017126D">
        <w:rPr>
          <w:rFonts w:ascii="Arial" w:hAnsi="Arial" w:cs="Arial"/>
          <w:sz w:val="24"/>
          <w:szCs w:val="24"/>
        </w:rPr>
        <w:t>,</w:t>
      </w:r>
      <w:r w:rsidR="004F556B">
        <w:rPr>
          <w:rFonts w:ascii="Arial" w:hAnsi="Arial" w:cs="Arial"/>
          <w:sz w:val="24"/>
          <w:szCs w:val="24"/>
        </w:rPr>
        <w:t xml:space="preserve"> 1983)</w:t>
      </w:r>
      <w:r w:rsidR="007C4A13">
        <w:rPr>
          <w:rFonts w:ascii="Arial" w:hAnsi="Arial" w:cs="Arial"/>
          <w:sz w:val="24"/>
          <w:szCs w:val="24"/>
        </w:rPr>
        <w:t xml:space="preserve">, it Is stated that Harriet </w:t>
      </w:r>
      <w:r w:rsidR="00680283">
        <w:rPr>
          <w:rFonts w:ascii="Arial" w:hAnsi="Arial" w:cs="Arial"/>
          <w:sz w:val="24"/>
          <w:szCs w:val="24"/>
        </w:rPr>
        <w:t xml:space="preserve">began smashing the panes of glass. </w:t>
      </w:r>
      <w:r w:rsidR="00E20F59">
        <w:rPr>
          <w:rFonts w:ascii="Arial" w:hAnsi="Arial" w:cs="Arial"/>
          <w:sz w:val="24"/>
          <w:szCs w:val="24"/>
        </w:rPr>
        <w:t xml:space="preserve"> </w:t>
      </w:r>
      <w:r w:rsidR="00680283">
        <w:rPr>
          <w:rFonts w:ascii="Arial" w:hAnsi="Arial" w:cs="Arial"/>
          <w:sz w:val="24"/>
          <w:szCs w:val="24"/>
        </w:rPr>
        <w:t xml:space="preserve"> </w:t>
      </w:r>
      <w:r w:rsidR="00731245">
        <w:rPr>
          <w:rFonts w:ascii="Arial" w:hAnsi="Arial" w:cs="Arial"/>
          <w:sz w:val="24"/>
          <w:szCs w:val="24"/>
        </w:rPr>
        <w:t>Destruction or some damage must have occurred, i</w:t>
      </w:r>
      <w:r w:rsidR="00E20F59">
        <w:rPr>
          <w:rFonts w:ascii="Arial" w:hAnsi="Arial" w:cs="Arial"/>
          <w:sz w:val="24"/>
          <w:szCs w:val="24"/>
        </w:rPr>
        <w:t xml:space="preserve">t is suggested </w:t>
      </w:r>
      <w:r w:rsidR="00731245">
        <w:rPr>
          <w:rFonts w:ascii="Arial" w:hAnsi="Arial" w:cs="Arial"/>
          <w:sz w:val="24"/>
          <w:szCs w:val="24"/>
        </w:rPr>
        <w:t xml:space="preserve">that </w:t>
      </w:r>
      <w:r w:rsidR="00FE3EBA">
        <w:rPr>
          <w:rFonts w:ascii="Arial" w:hAnsi="Arial" w:cs="Arial"/>
          <w:sz w:val="24"/>
          <w:szCs w:val="24"/>
        </w:rPr>
        <w:t>Harriet’s actions resulted in complete destruction of the glass panes however</w:t>
      </w:r>
      <w:r w:rsidR="00292C9C">
        <w:rPr>
          <w:rFonts w:ascii="Arial" w:hAnsi="Arial" w:cs="Arial"/>
          <w:sz w:val="24"/>
          <w:szCs w:val="24"/>
        </w:rPr>
        <w:t xml:space="preserve">, the case of </w:t>
      </w:r>
      <w:r w:rsidR="00372199">
        <w:rPr>
          <w:rFonts w:ascii="Arial" w:hAnsi="Arial" w:cs="Arial"/>
          <w:sz w:val="24"/>
          <w:szCs w:val="24"/>
        </w:rPr>
        <w:t xml:space="preserve">(Gayford V Chouler </w:t>
      </w:r>
      <w:r w:rsidR="009428DB">
        <w:rPr>
          <w:rFonts w:ascii="Arial" w:hAnsi="Arial" w:cs="Arial"/>
          <w:sz w:val="24"/>
          <w:szCs w:val="24"/>
        </w:rPr>
        <w:t>1898) shows th</w:t>
      </w:r>
      <w:r w:rsidR="00386476">
        <w:rPr>
          <w:rFonts w:ascii="Arial" w:hAnsi="Arial" w:cs="Arial"/>
          <w:sz w:val="24"/>
          <w:szCs w:val="24"/>
        </w:rPr>
        <w:t xml:space="preserve">at only slight damage can still result in conviction.  </w:t>
      </w:r>
      <w:r w:rsidR="00B83F37">
        <w:rPr>
          <w:rFonts w:ascii="Arial" w:hAnsi="Arial" w:cs="Arial"/>
          <w:sz w:val="24"/>
          <w:szCs w:val="24"/>
        </w:rPr>
        <w:t xml:space="preserve">The doors of which the glass panes </w:t>
      </w:r>
      <w:r w:rsidR="00B10521">
        <w:rPr>
          <w:rFonts w:ascii="Arial" w:hAnsi="Arial" w:cs="Arial"/>
          <w:sz w:val="24"/>
          <w:szCs w:val="24"/>
        </w:rPr>
        <w:t xml:space="preserve">were in can now be considered </w:t>
      </w:r>
      <w:r w:rsidR="00B1742C">
        <w:rPr>
          <w:rFonts w:ascii="Arial" w:hAnsi="Arial" w:cs="Arial"/>
          <w:sz w:val="24"/>
          <w:szCs w:val="24"/>
        </w:rPr>
        <w:t xml:space="preserve">unfit for purpose </w:t>
      </w:r>
      <w:r w:rsidR="00D25DD1">
        <w:rPr>
          <w:rFonts w:ascii="Arial" w:hAnsi="Arial" w:cs="Arial"/>
          <w:sz w:val="24"/>
          <w:szCs w:val="24"/>
        </w:rPr>
        <w:t xml:space="preserve">and the case of (Lloyd v DPP </w:t>
      </w:r>
      <w:r w:rsidR="00862561">
        <w:rPr>
          <w:rFonts w:ascii="Arial" w:hAnsi="Arial" w:cs="Arial"/>
          <w:sz w:val="24"/>
          <w:szCs w:val="24"/>
        </w:rPr>
        <w:t xml:space="preserve">1992) implies that this can be considered </w:t>
      </w:r>
      <w:r w:rsidR="00653EED">
        <w:rPr>
          <w:rFonts w:ascii="Arial" w:hAnsi="Arial" w:cs="Arial"/>
          <w:sz w:val="24"/>
          <w:szCs w:val="24"/>
        </w:rPr>
        <w:t>damage.  The case of (Roper v Knott</w:t>
      </w:r>
      <w:r w:rsidR="00B616CC">
        <w:rPr>
          <w:rFonts w:ascii="Arial" w:hAnsi="Arial" w:cs="Arial"/>
          <w:sz w:val="24"/>
          <w:szCs w:val="24"/>
        </w:rPr>
        <w:t xml:space="preserve"> 1898) can also </w:t>
      </w:r>
      <w:r w:rsidR="00BF14A8">
        <w:rPr>
          <w:rFonts w:ascii="Arial" w:hAnsi="Arial" w:cs="Arial"/>
          <w:sz w:val="24"/>
          <w:szCs w:val="24"/>
        </w:rPr>
        <w:t xml:space="preserve">be used to show that Christine’s house </w:t>
      </w:r>
      <w:r w:rsidR="002C5A0F">
        <w:rPr>
          <w:rFonts w:ascii="Arial" w:hAnsi="Arial" w:cs="Arial"/>
          <w:sz w:val="24"/>
          <w:szCs w:val="24"/>
        </w:rPr>
        <w:t xml:space="preserve">may now have suffered a loss of value as a result of the damage.  </w:t>
      </w:r>
      <w:r w:rsidR="00CD37AA">
        <w:rPr>
          <w:rFonts w:ascii="Arial" w:hAnsi="Arial" w:cs="Arial"/>
          <w:sz w:val="24"/>
          <w:szCs w:val="24"/>
        </w:rPr>
        <w:t xml:space="preserve">The final element </w:t>
      </w:r>
      <w:r w:rsidR="006F6AE0">
        <w:rPr>
          <w:rFonts w:ascii="Arial" w:hAnsi="Arial" w:cs="Arial"/>
          <w:sz w:val="24"/>
          <w:szCs w:val="24"/>
        </w:rPr>
        <w:t>i</w:t>
      </w:r>
      <w:r w:rsidR="00CD37AA">
        <w:rPr>
          <w:rFonts w:ascii="Arial" w:hAnsi="Arial" w:cs="Arial"/>
          <w:sz w:val="24"/>
          <w:szCs w:val="24"/>
        </w:rPr>
        <w:t xml:space="preserve">s </w:t>
      </w:r>
      <w:r w:rsidR="006F6AE0">
        <w:rPr>
          <w:rFonts w:ascii="Arial" w:hAnsi="Arial" w:cs="Arial"/>
          <w:sz w:val="24"/>
          <w:szCs w:val="24"/>
        </w:rPr>
        <w:t xml:space="preserve">that </w:t>
      </w:r>
      <w:r w:rsidR="005F3E7A">
        <w:rPr>
          <w:rFonts w:ascii="Arial" w:hAnsi="Arial" w:cs="Arial"/>
          <w:sz w:val="24"/>
          <w:szCs w:val="24"/>
        </w:rPr>
        <w:t>Harriet</w:t>
      </w:r>
      <w:r w:rsidR="006F6AE0">
        <w:rPr>
          <w:rFonts w:ascii="Arial" w:hAnsi="Arial" w:cs="Arial"/>
          <w:sz w:val="24"/>
          <w:szCs w:val="24"/>
        </w:rPr>
        <w:t xml:space="preserve"> </w:t>
      </w:r>
      <w:r w:rsidR="00156F45">
        <w:rPr>
          <w:rFonts w:ascii="Arial" w:hAnsi="Arial" w:cs="Arial"/>
          <w:sz w:val="24"/>
          <w:szCs w:val="24"/>
        </w:rPr>
        <w:t>committed her acts without lawful excuse</w:t>
      </w:r>
      <w:r w:rsidR="00CD37AA">
        <w:rPr>
          <w:rFonts w:ascii="Arial" w:hAnsi="Arial" w:cs="Arial"/>
          <w:sz w:val="24"/>
          <w:szCs w:val="24"/>
        </w:rPr>
        <w:t xml:space="preserve">.  </w:t>
      </w:r>
      <w:r w:rsidR="00FD2A2C">
        <w:rPr>
          <w:rFonts w:ascii="Arial" w:hAnsi="Arial" w:cs="Arial"/>
          <w:sz w:val="24"/>
          <w:szCs w:val="24"/>
        </w:rPr>
        <w:t>There are 2 defences that are often applied under (CDA 1971</w:t>
      </w:r>
      <w:r w:rsidR="00A51E11">
        <w:rPr>
          <w:rFonts w:ascii="Arial" w:hAnsi="Arial" w:cs="Arial"/>
          <w:sz w:val="24"/>
          <w:szCs w:val="24"/>
        </w:rPr>
        <w:t xml:space="preserve">) including where </w:t>
      </w:r>
      <w:r w:rsidR="00182A81">
        <w:rPr>
          <w:rFonts w:ascii="Arial" w:hAnsi="Arial" w:cs="Arial"/>
          <w:sz w:val="24"/>
          <w:szCs w:val="24"/>
        </w:rPr>
        <w:t xml:space="preserve">it is believed that the person entitled to consent to the damage </w:t>
      </w:r>
      <w:r w:rsidR="00027251">
        <w:rPr>
          <w:rFonts w:ascii="Arial" w:hAnsi="Arial" w:cs="Arial"/>
          <w:sz w:val="24"/>
          <w:szCs w:val="24"/>
        </w:rPr>
        <w:t xml:space="preserve">has consented or would have, or where the defendant believed that the property was in need of protection and </w:t>
      </w:r>
      <w:r w:rsidR="00FB61DB">
        <w:rPr>
          <w:rFonts w:ascii="Arial" w:hAnsi="Arial" w:cs="Arial"/>
          <w:sz w:val="24"/>
          <w:szCs w:val="24"/>
        </w:rPr>
        <w:t>committed the acts of damage to do so</w:t>
      </w:r>
      <w:r w:rsidR="00C04911">
        <w:rPr>
          <w:rFonts w:ascii="Arial" w:hAnsi="Arial" w:cs="Arial"/>
          <w:sz w:val="24"/>
          <w:szCs w:val="24"/>
        </w:rPr>
        <w:t xml:space="preserve">, this is applied in the case of </w:t>
      </w:r>
      <w:r w:rsidR="002F261C">
        <w:rPr>
          <w:rFonts w:ascii="Arial" w:hAnsi="Arial" w:cs="Arial"/>
          <w:sz w:val="24"/>
          <w:szCs w:val="24"/>
        </w:rPr>
        <w:t xml:space="preserve">(Hunt 1977), however the case </w:t>
      </w:r>
      <w:r w:rsidR="005F3AF0">
        <w:rPr>
          <w:rFonts w:ascii="Arial" w:hAnsi="Arial" w:cs="Arial"/>
          <w:sz w:val="24"/>
          <w:szCs w:val="24"/>
        </w:rPr>
        <w:t xml:space="preserve">of </w:t>
      </w:r>
      <w:r w:rsidR="00076BF0">
        <w:rPr>
          <w:rFonts w:ascii="Arial" w:hAnsi="Arial" w:cs="Arial"/>
          <w:sz w:val="24"/>
          <w:szCs w:val="24"/>
        </w:rPr>
        <w:t xml:space="preserve">(Cresswell V DPP; Currie V DPP 2006) </w:t>
      </w:r>
      <w:r w:rsidR="005F3E7A">
        <w:rPr>
          <w:rFonts w:ascii="Arial" w:hAnsi="Arial" w:cs="Arial"/>
          <w:sz w:val="24"/>
          <w:szCs w:val="24"/>
        </w:rPr>
        <w:t>implies that the means used must have been reasonable.  None of these defences apply to Harriet, meaning she holds the actus reus for the offence, as for the mean rea</w:t>
      </w:r>
      <w:r w:rsidR="006C70CF">
        <w:rPr>
          <w:rFonts w:ascii="Arial" w:hAnsi="Arial" w:cs="Arial"/>
          <w:sz w:val="24"/>
          <w:szCs w:val="24"/>
        </w:rPr>
        <w:t>, Harriet must have committed the offence with intent, of which can be direct or oblique</w:t>
      </w:r>
      <w:r w:rsidR="002F1F24">
        <w:rPr>
          <w:rFonts w:ascii="Arial" w:hAnsi="Arial" w:cs="Arial"/>
          <w:sz w:val="24"/>
          <w:szCs w:val="24"/>
        </w:rPr>
        <w:t>, or have committed it recklessly</w:t>
      </w:r>
      <w:r w:rsidR="00944CE6">
        <w:rPr>
          <w:rFonts w:ascii="Arial" w:hAnsi="Arial" w:cs="Arial"/>
          <w:sz w:val="24"/>
          <w:szCs w:val="24"/>
        </w:rPr>
        <w:t>, of which the case of (G and another 2003)</w:t>
      </w:r>
      <w:r w:rsidR="00092211">
        <w:rPr>
          <w:rFonts w:ascii="Arial" w:hAnsi="Arial" w:cs="Arial"/>
          <w:sz w:val="24"/>
          <w:szCs w:val="24"/>
        </w:rPr>
        <w:t xml:space="preserve"> means a subjective test would be used to test recklessness.  However, it is understood that Harriet smashed the glass panes with intent </w:t>
      </w:r>
      <w:r w:rsidR="00F43453">
        <w:rPr>
          <w:rFonts w:ascii="Arial" w:hAnsi="Arial" w:cs="Arial"/>
          <w:sz w:val="24"/>
          <w:szCs w:val="24"/>
        </w:rPr>
        <w:t>and therefore satisfies the mens rea for criminal damage.</w:t>
      </w:r>
      <w:r w:rsidR="00D84116">
        <w:rPr>
          <w:rFonts w:ascii="Arial" w:hAnsi="Arial" w:cs="Arial"/>
          <w:sz w:val="24"/>
          <w:szCs w:val="24"/>
        </w:rPr>
        <w:t xml:space="preserve">  As Harriet also hit Daniel in the face, she could be criminally liable for assault in addition to criminal damage.  The case of (Fagan V Metropolitan police commissioner 1968)</w:t>
      </w:r>
      <w:r w:rsidR="00892094">
        <w:rPr>
          <w:rFonts w:ascii="Arial" w:hAnsi="Arial" w:cs="Arial"/>
          <w:sz w:val="24"/>
          <w:szCs w:val="24"/>
        </w:rPr>
        <w:t xml:space="preserve"> allows assault to take place where the defendant intentionally or recklessly commits acts of immediate unlawful personal violence to the victim.  The elements of the actus reus include conduct on the part of the defendant as shown in </w:t>
      </w:r>
      <w:r w:rsidR="004C460D">
        <w:rPr>
          <w:rFonts w:ascii="Arial" w:hAnsi="Arial" w:cs="Arial"/>
          <w:sz w:val="24"/>
          <w:szCs w:val="24"/>
        </w:rPr>
        <w:t>(Meaede V Belt 1823), of which there was when Harriet struck Daniel.  This act also meant that Daniel suffered unlawful personal violence as hitting another person is known to be violent, therefore satisfying this element.  The case of (Thomas v National Union of Mineworkers 1986)</w:t>
      </w:r>
      <w:r w:rsidR="00597934">
        <w:rPr>
          <w:rFonts w:ascii="Arial" w:hAnsi="Arial" w:cs="Arial"/>
          <w:sz w:val="24"/>
          <w:szCs w:val="24"/>
        </w:rPr>
        <w:t xml:space="preserve"> shows that the violence suffered must have been immediate in which it was.  As all actus reus elements of the offence are satisfied, Harriet holds the actus reus for assault.  As for the mens rea, Harriet must have committed the act with either direct or indirect intention, or subjective recklessness as shown in the case of (Cunningham, 1957).</w:t>
      </w:r>
      <w:r w:rsidR="00145460">
        <w:rPr>
          <w:rFonts w:ascii="Arial" w:hAnsi="Arial" w:cs="Arial"/>
          <w:sz w:val="24"/>
          <w:szCs w:val="24"/>
        </w:rPr>
        <w:t xml:space="preserve">  It can be understood that Harriet held some intent in her actions and therefore satisfies the mens rea of the offence.</w:t>
      </w:r>
      <w:r w:rsidR="000C0F7A">
        <w:rPr>
          <w:rFonts w:ascii="Arial" w:hAnsi="Arial" w:cs="Arial"/>
          <w:sz w:val="24"/>
          <w:szCs w:val="24"/>
        </w:rPr>
        <w:t xml:space="preserve">  However, as Daniel suffered a broken cheek bone the offence can become </w:t>
      </w:r>
      <w:r w:rsidR="00F22CF3">
        <w:rPr>
          <w:rFonts w:ascii="Arial" w:hAnsi="Arial" w:cs="Arial"/>
          <w:sz w:val="24"/>
          <w:szCs w:val="24"/>
        </w:rPr>
        <w:t xml:space="preserve">assault occasioning to grievous bodily harm.  It can not be proved that it was Harriet’s aim or purpose to cause such grievous bodily harm and therefore could be convicted as inflicting grievous bodily harm without intent.  </w:t>
      </w:r>
      <w:r w:rsidR="000D1219">
        <w:rPr>
          <w:rFonts w:ascii="Arial" w:hAnsi="Arial" w:cs="Arial"/>
          <w:sz w:val="24"/>
          <w:szCs w:val="24"/>
        </w:rPr>
        <w:t>The difference under the Offences Against the Person Act 1861 (OAPA 1861) being that Harriet can be liable for imprisonment for up to 5 years.  The need for the victim to suffer wounding or grievous body harm</w:t>
      </w:r>
      <w:r w:rsidR="00333A0E">
        <w:rPr>
          <w:rFonts w:ascii="Arial" w:hAnsi="Arial" w:cs="Arial"/>
          <w:sz w:val="24"/>
          <w:szCs w:val="24"/>
        </w:rPr>
        <w:t xml:space="preserve">, of which is due to the defendant’s conduct is the difference for the actus reus of which </w:t>
      </w:r>
      <w:r w:rsidR="00333A0E">
        <w:rPr>
          <w:rFonts w:ascii="Arial" w:hAnsi="Arial" w:cs="Arial"/>
          <w:sz w:val="24"/>
          <w:szCs w:val="24"/>
        </w:rPr>
        <w:lastRenderedPageBreak/>
        <w:t>is satisfied due to the broken cheek bone.  What is classed as grievous bodily harm can be outlined with cases such as (Smith</w:t>
      </w:r>
      <w:r w:rsidR="00246889">
        <w:rPr>
          <w:rFonts w:ascii="Arial" w:hAnsi="Arial" w:cs="Arial"/>
          <w:sz w:val="24"/>
          <w:szCs w:val="24"/>
        </w:rPr>
        <w:t>,</w:t>
      </w:r>
      <w:r w:rsidR="00333A0E">
        <w:rPr>
          <w:rFonts w:ascii="Arial" w:hAnsi="Arial" w:cs="Arial"/>
          <w:sz w:val="24"/>
          <w:szCs w:val="24"/>
        </w:rPr>
        <w:t xml:space="preserve"> 1961</w:t>
      </w:r>
      <w:r w:rsidR="00246889">
        <w:rPr>
          <w:rFonts w:ascii="Arial" w:hAnsi="Arial" w:cs="Arial"/>
          <w:sz w:val="24"/>
          <w:szCs w:val="24"/>
        </w:rPr>
        <w:t xml:space="preserve">) and (Wood, 1830).  As for the mens rea, the House of Lords explain that the defendant must have foreseen that physical harm could have resulted from their actions, of which it is understood that Harriet should have foreseen that physical harm would have occurred from such actions.  </w:t>
      </w:r>
      <w:r w:rsidR="006E6123">
        <w:rPr>
          <w:rFonts w:ascii="Arial" w:hAnsi="Arial" w:cs="Arial"/>
          <w:sz w:val="24"/>
          <w:szCs w:val="24"/>
        </w:rPr>
        <w:t>In Harriet</w:t>
      </w:r>
      <w:r w:rsidR="008A500C">
        <w:rPr>
          <w:rFonts w:ascii="Arial" w:hAnsi="Arial" w:cs="Arial"/>
          <w:sz w:val="24"/>
          <w:szCs w:val="24"/>
        </w:rPr>
        <w:t>’</w:t>
      </w:r>
      <w:r w:rsidR="006E6123">
        <w:rPr>
          <w:rFonts w:ascii="Arial" w:hAnsi="Arial" w:cs="Arial"/>
          <w:sz w:val="24"/>
          <w:szCs w:val="24"/>
        </w:rPr>
        <w:t xml:space="preserve">s </w:t>
      </w:r>
      <w:r w:rsidR="008A500C">
        <w:rPr>
          <w:rFonts w:ascii="Arial" w:hAnsi="Arial" w:cs="Arial"/>
          <w:sz w:val="24"/>
          <w:szCs w:val="24"/>
        </w:rPr>
        <w:t>defence</w:t>
      </w:r>
      <w:r w:rsidR="00EE2898">
        <w:rPr>
          <w:rFonts w:ascii="Arial" w:hAnsi="Arial" w:cs="Arial"/>
          <w:sz w:val="24"/>
          <w:szCs w:val="24"/>
        </w:rPr>
        <w:t xml:space="preserve">, she had been spiked by </w:t>
      </w:r>
      <w:r w:rsidR="00B853D6">
        <w:rPr>
          <w:rFonts w:ascii="Arial" w:hAnsi="Arial" w:cs="Arial"/>
          <w:sz w:val="24"/>
          <w:szCs w:val="24"/>
        </w:rPr>
        <w:t xml:space="preserve">Leon.  </w:t>
      </w:r>
      <w:r w:rsidR="00391174">
        <w:rPr>
          <w:rFonts w:ascii="Arial" w:hAnsi="Arial" w:cs="Arial"/>
          <w:sz w:val="24"/>
          <w:szCs w:val="24"/>
        </w:rPr>
        <w:t xml:space="preserve">The defence of automatism can be applied </w:t>
      </w:r>
      <w:r w:rsidR="00CB1327">
        <w:rPr>
          <w:rFonts w:ascii="Arial" w:hAnsi="Arial" w:cs="Arial"/>
          <w:sz w:val="24"/>
          <w:szCs w:val="24"/>
        </w:rPr>
        <w:t>as her actions were caused by an external source.</w:t>
      </w:r>
      <w:r w:rsidR="004526CB">
        <w:rPr>
          <w:rFonts w:ascii="Arial" w:hAnsi="Arial" w:cs="Arial"/>
          <w:sz w:val="24"/>
          <w:szCs w:val="24"/>
        </w:rPr>
        <w:t xml:space="preserve">  </w:t>
      </w:r>
      <w:r w:rsidR="00FB7BA3">
        <w:rPr>
          <w:rFonts w:ascii="Arial" w:hAnsi="Arial" w:cs="Arial"/>
          <w:sz w:val="24"/>
          <w:szCs w:val="24"/>
        </w:rPr>
        <w:t>The case of (Falconer</w:t>
      </w:r>
      <w:r w:rsidR="00C1745F">
        <w:rPr>
          <w:rFonts w:ascii="Arial" w:hAnsi="Arial" w:cs="Arial"/>
          <w:sz w:val="24"/>
          <w:szCs w:val="24"/>
        </w:rPr>
        <w:t>,</w:t>
      </w:r>
      <w:r w:rsidR="00FB7BA3">
        <w:rPr>
          <w:rFonts w:ascii="Arial" w:hAnsi="Arial" w:cs="Arial"/>
          <w:sz w:val="24"/>
          <w:szCs w:val="24"/>
        </w:rPr>
        <w:t xml:space="preserve"> 1990) shows that </w:t>
      </w:r>
      <w:r w:rsidR="00665924">
        <w:rPr>
          <w:rFonts w:ascii="Arial" w:hAnsi="Arial" w:cs="Arial"/>
          <w:sz w:val="24"/>
          <w:szCs w:val="24"/>
        </w:rPr>
        <w:t xml:space="preserve">an external factor must have resulted in the </w:t>
      </w:r>
      <w:r w:rsidR="00AD5F74">
        <w:rPr>
          <w:rFonts w:ascii="Arial" w:hAnsi="Arial" w:cs="Arial"/>
          <w:sz w:val="24"/>
          <w:szCs w:val="24"/>
        </w:rPr>
        <w:t>defendants’</w:t>
      </w:r>
      <w:r w:rsidR="00665924">
        <w:rPr>
          <w:rFonts w:ascii="Arial" w:hAnsi="Arial" w:cs="Arial"/>
          <w:sz w:val="24"/>
          <w:szCs w:val="24"/>
        </w:rPr>
        <w:t xml:space="preserve"> actions</w:t>
      </w:r>
      <w:r w:rsidR="000950A1">
        <w:rPr>
          <w:rFonts w:ascii="Arial" w:hAnsi="Arial" w:cs="Arial"/>
          <w:sz w:val="24"/>
          <w:szCs w:val="24"/>
        </w:rPr>
        <w:t>, meaning the defendant is not at fault.</w:t>
      </w:r>
      <w:r w:rsidR="00FC5EC9">
        <w:rPr>
          <w:rFonts w:ascii="Arial" w:hAnsi="Arial" w:cs="Arial"/>
          <w:sz w:val="24"/>
          <w:szCs w:val="24"/>
        </w:rPr>
        <w:t xml:space="preserve">  For this defence to be applicable the defendant </w:t>
      </w:r>
      <w:r w:rsidR="00AD5F74">
        <w:rPr>
          <w:rFonts w:ascii="Arial" w:hAnsi="Arial" w:cs="Arial"/>
          <w:sz w:val="24"/>
          <w:szCs w:val="24"/>
        </w:rPr>
        <w:t>must have been unconscious or in a state of impaired consciousness</w:t>
      </w:r>
      <w:r w:rsidR="00702F38">
        <w:rPr>
          <w:rFonts w:ascii="Arial" w:hAnsi="Arial" w:cs="Arial"/>
          <w:sz w:val="24"/>
          <w:szCs w:val="24"/>
        </w:rPr>
        <w:t xml:space="preserve">, it is suggested that Harriet suffered impaired consciousness.  </w:t>
      </w:r>
      <w:r w:rsidR="004F5629">
        <w:rPr>
          <w:rFonts w:ascii="Arial" w:hAnsi="Arial" w:cs="Arial"/>
          <w:sz w:val="24"/>
          <w:szCs w:val="24"/>
        </w:rPr>
        <w:t>However, as intoxication caused the intoxication, the relevant defence would be i</w:t>
      </w:r>
      <w:r w:rsidR="00E7690E">
        <w:rPr>
          <w:rFonts w:ascii="Arial" w:hAnsi="Arial" w:cs="Arial"/>
          <w:sz w:val="24"/>
          <w:szCs w:val="24"/>
        </w:rPr>
        <w:t>ntoxication, as shown in (Lipman, 1970)</w:t>
      </w:r>
      <w:r w:rsidR="00C3095E">
        <w:rPr>
          <w:rFonts w:ascii="Arial" w:hAnsi="Arial" w:cs="Arial"/>
          <w:sz w:val="24"/>
          <w:szCs w:val="24"/>
        </w:rPr>
        <w:t xml:space="preserve">.  </w:t>
      </w:r>
      <w:r w:rsidR="00DB7266">
        <w:rPr>
          <w:rFonts w:ascii="Arial" w:hAnsi="Arial" w:cs="Arial"/>
          <w:sz w:val="24"/>
          <w:szCs w:val="24"/>
        </w:rPr>
        <w:t>For Harriet, involuntary intoxication.</w:t>
      </w:r>
      <w:r w:rsidR="00983612">
        <w:rPr>
          <w:rFonts w:ascii="Arial" w:hAnsi="Arial" w:cs="Arial"/>
          <w:sz w:val="24"/>
          <w:szCs w:val="24"/>
        </w:rPr>
        <w:t xml:space="preserve">  </w:t>
      </w:r>
      <w:r w:rsidR="002F080C">
        <w:rPr>
          <w:rFonts w:ascii="Arial" w:hAnsi="Arial" w:cs="Arial"/>
          <w:sz w:val="24"/>
          <w:szCs w:val="24"/>
        </w:rPr>
        <w:t xml:space="preserve">The case of (Kingston, 1994) implies that </w:t>
      </w:r>
      <w:r w:rsidR="00F34DB9">
        <w:rPr>
          <w:rFonts w:ascii="Arial" w:hAnsi="Arial" w:cs="Arial"/>
          <w:sz w:val="24"/>
          <w:szCs w:val="24"/>
        </w:rPr>
        <w:t>Harriet can use this as a complete defence</w:t>
      </w:r>
      <w:r w:rsidR="008D3F16">
        <w:rPr>
          <w:rFonts w:ascii="Arial" w:hAnsi="Arial" w:cs="Arial"/>
          <w:sz w:val="24"/>
          <w:szCs w:val="24"/>
        </w:rPr>
        <w:t>, although (DPP V Beard, 1920)</w:t>
      </w:r>
      <w:r w:rsidR="005D1A10">
        <w:rPr>
          <w:rFonts w:ascii="Arial" w:hAnsi="Arial" w:cs="Arial"/>
          <w:sz w:val="24"/>
          <w:szCs w:val="24"/>
        </w:rPr>
        <w:t xml:space="preserve"> implies that she must lack the mens rea.</w:t>
      </w:r>
      <w:r w:rsidR="005734FA">
        <w:rPr>
          <w:rFonts w:ascii="Arial" w:hAnsi="Arial" w:cs="Arial"/>
          <w:sz w:val="24"/>
          <w:szCs w:val="24"/>
        </w:rPr>
        <w:t xml:space="preserve">  Although Harriet holds the mens rea for her actions, it is unlikely that she </w:t>
      </w:r>
      <w:r w:rsidR="00E80C15">
        <w:rPr>
          <w:rFonts w:ascii="Arial" w:hAnsi="Arial" w:cs="Arial"/>
          <w:sz w:val="24"/>
          <w:szCs w:val="24"/>
        </w:rPr>
        <w:t>was</w:t>
      </w:r>
      <w:r w:rsidR="005734FA">
        <w:rPr>
          <w:rFonts w:ascii="Arial" w:hAnsi="Arial" w:cs="Arial"/>
          <w:sz w:val="24"/>
          <w:szCs w:val="24"/>
        </w:rPr>
        <w:t xml:space="preserve"> to </w:t>
      </w:r>
      <w:r w:rsidR="00E80C15">
        <w:rPr>
          <w:rFonts w:ascii="Arial" w:hAnsi="Arial" w:cs="Arial"/>
          <w:sz w:val="24"/>
          <w:szCs w:val="24"/>
        </w:rPr>
        <w:t>satisfy the mens rea had she not been intoxicated.  Therefore, the defence can be applied.</w:t>
      </w:r>
    </w:p>
    <w:p w14:paraId="0DA58AB7" w14:textId="0FD37460" w:rsidR="00E80C15" w:rsidRDefault="007E0928">
      <w:pPr>
        <w:rPr>
          <w:rFonts w:ascii="Arial" w:hAnsi="Arial" w:cs="Arial"/>
          <w:sz w:val="24"/>
          <w:szCs w:val="24"/>
        </w:rPr>
      </w:pPr>
      <w:r>
        <w:rPr>
          <w:rFonts w:ascii="Arial" w:hAnsi="Arial" w:cs="Arial"/>
          <w:sz w:val="24"/>
          <w:szCs w:val="24"/>
        </w:rPr>
        <w:t>To conclude</w:t>
      </w:r>
      <w:r w:rsidR="00E37206">
        <w:rPr>
          <w:rFonts w:ascii="Arial" w:hAnsi="Arial" w:cs="Arial"/>
          <w:sz w:val="24"/>
          <w:szCs w:val="24"/>
        </w:rPr>
        <w:t>, Paula can be found criminally liable for the offence of theft,</w:t>
      </w:r>
      <w:r w:rsidR="00F63578">
        <w:rPr>
          <w:rFonts w:ascii="Arial" w:hAnsi="Arial" w:cs="Arial"/>
          <w:sz w:val="24"/>
          <w:szCs w:val="24"/>
        </w:rPr>
        <w:t xml:space="preserve"> as the satisfies both the actus reus and mens rea for the offence and has no defences.  W</w:t>
      </w:r>
      <w:r w:rsidR="00E37206">
        <w:rPr>
          <w:rFonts w:ascii="Arial" w:hAnsi="Arial" w:cs="Arial"/>
          <w:sz w:val="24"/>
          <w:szCs w:val="24"/>
        </w:rPr>
        <w:t>hereas</w:t>
      </w:r>
      <w:r w:rsidR="00F63578">
        <w:rPr>
          <w:rFonts w:ascii="Arial" w:hAnsi="Arial" w:cs="Arial"/>
          <w:sz w:val="24"/>
          <w:szCs w:val="24"/>
        </w:rPr>
        <w:t xml:space="preserve"> </w:t>
      </w:r>
      <w:r w:rsidR="00CC14B6">
        <w:rPr>
          <w:rFonts w:ascii="Arial" w:hAnsi="Arial" w:cs="Arial"/>
          <w:sz w:val="24"/>
          <w:szCs w:val="24"/>
        </w:rPr>
        <w:t xml:space="preserve">Harriet’s defence can </w:t>
      </w:r>
      <w:r w:rsidR="009F51C7">
        <w:rPr>
          <w:rFonts w:ascii="Arial" w:hAnsi="Arial" w:cs="Arial"/>
          <w:sz w:val="24"/>
          <w:szCs w:val="24"/>
        </w:rPr>
        <w:t>lead to her being cleare</w:t>
      </w:r>
      <w:r w:rsidR="00CA039C">
        <w:rPr>
          <w:rFonts w:ascii="Arial" w:hAnsi="Arial" w:cs="Arial"/>
          <w:sz w:val="24"/>
          <w:szCs w:val="24"/>
        </w:rPr>
        <w:t>d of criminal damage and grievous bodily harm despite satisfying the actus reus and mens rea.</w:t>
      </w:r>
    </w:p>
    <w:p w14:paraId="767AD15E" w14:textId="77777777" w:rsidR="007F7410" w:rsidRDefault="007F7410">
      <w:pPr>
        <w:rPr>
          <w:rFonts w:ascii="Arial" w:hAnsi="Arial" w:cs="Arial"/>
          <w:sz w:val="24"/>
          <w:szCs w:val="24"/>
        </w:rPr>
      </w:pPr>
    </w:p>
    <w:p w14:paraId="1A6C2B65" w14:textId="67A0A6F9" w:rsidR="007F7410" w:rsidRDefault="007F7410">
      <w:pPr>
        <w:rPr>
          <w:rFonts w:ascii="Arial" w:hAnsi="Arial" w:cs="Arial"/>
          <w:sz w:val="24"/>
          <w:szCs w:val="24"/>
        </w:rPr>
      </w:pPr>
      <w:r>
        <w:rPr>
          <w:rFonts w:ascii="Arial" w:hAnsi="Arial" w:cs="Arial"/>
          <w:sz w:val="24"/>
          <w:szCs w:val="24"/>
        </w:rPr>
        <w:t>References:</w:t>
      </w:r>
    </w:p>
    <w:p w14:paraId="1D76ECBD" w14:textId="77777777" w:rsidR="005818D7" w:rsidRDefault="005818D7">
      <w:pPr>
        <w:rPr>
          <w:rFonts w:ascii="Arial" w:hAnsi="Arial" w:cs="Arial"/>
          <w:sz w:val="24"/>
          <w:szCs w:val="24"/>
        </w:rPr>
      </w:pPr>
      <w:r>
        <w:rPr>
          <w:rFonts w:ascii="Arial" w:hAnsi="Arial" w:cs="Arial"/>
          <w:sz w:val="24"/>
          <w:szCs w:val="24"/>
        </w:rPr>
        <w:t>Cresswell v DPP: Currie v DPP (2006)</w:t>
      </w:r>
    </w:p>
    <w:p w14:paraId="7664C0B6" w14:textId="77777777" w:rsidR="005818D7" w:rsidRDefault="005818D7">
      <w:pPr>
        <w:rPr>
          <w:rFonts w:ascii="Arial" w:hAnsi="Arial" w:cs="Arial"/>
          <w:sz w:val="24"/>
          <w:szCs w:val="24"/>
        </w:rPr>
      </w:pPr>
      <w:r>
        <w:rPr>
          <w:rFonts w:ascii="Arial" w:hAnsi="Arial" w:cs="Arial"/>
          <w:sz w:val="24"/>
          <w:szCs w:val="24"/>
        </w:rPr>
        <w:t>Criminal Defence Act (1971)</w:t>
      </w:r>
    </w:p>
    <w:p w14:paraId="1241ECD9" w14:textId="77777777" w:rsidR="005818D7" w:rsidRDefault="005818D7">
      <w:pPr>
        <w:rPr>
          <w:rFonts w:ascii="Arial" w:hAnsi="Arial" w:cs="Arial"/>
          <w:sz w:val="24"/>
          <w:szCs w:val="24"/>
        </w:rPr>
      </w:pPr>
      <w:r>
        <w:rPr>
          <w:rFonts w:ascii="Arial" w:hAnsi="Arial" w:cs="Arial"/>
          <w:sz w:val="24"/>
          <w:szCs w:val="24"/>
        </w:rPr>
        <w:t>Cunningham (1957)</w:t>
      </w:r>
    </w:p>
    <w:p w14:paraId="0627F583" w14:textId="77777777" w:rsidR="005818D7" w:rsidRDefault="005818D7">
      <w:pPr>
        <w:rPr>
          <w:rFonts w:ascii="Arial" w:hAnsi="Arial" w:cs="Arial"/>
          <w:sz w:val="24"/>
          <w:szCs w:val="24"/>
        </w:rPr>
      </w:pPr>
      <w:r>
        <w:rPr>
          <w:rFonts w:ascii="Arial" w:hAnsi="Arial" w:cs="Arial"/>
          <w:sz w:val="24"/>
          <w:szCs w:val="24"/>
        </w:rPr>
        <w:t>Dipkaur V Chief Constable (1981)</w:t>
      </w:r>
    </w:p>
    <w:p w14:paraId="46024A4D" w14:textId="77777777" w:rsidR="005818D7" w:rsidRPr="0021053F" w:rsidRDefault="005818D7">
      <w:pPr>
        <w:rPr>
          <w:rFonts w:ascii="Arial" w:hAnsi="Arial" w:cs="Arial"/>
          <w:sz w:val="24"/>
          <w:szCs w:val="24"/>
        </w:rPr>
      </w:pPr>
      <w:r>
        <w:rPr>
          <w:rFonts w:ascii="Arial" w:hAnsi="Arial" w:cs="Arial"/>
          <w:sz w:val="24"/>
          <w:szCs w:val="24"/>
        </w:rPr>
        <w:t>DPP v Beard (1920)</w:t>
      </w:r>
    </w:p>
    <w:p w14:paraId="60E95026" w14:textId="77777777" w:rsidR="005818D7" w:rsidRDefault="005818D7">
      <w:pPr>
        <w:rPr>
          <w:rFonts w:ascii="Arial" w:hAnsi="Arial" w:cs="Arial"/>
          <w:sz w:val="24"/>
          <w:szCs w:val="24"/>
        </w:rPr>
      </w:pPr>
      <w:r>
        <w:rPr>
          <w:rFonts w:ascii="Arial" w:hAnsi="Arial" w:cs="Arial"/>
          <w:sz w:val="24"/>
          <w:szCs w:val="24"/>
        </w:rPr>
        <w:t>Fagan v Police Commissioner (1968)</w:t>
      </w:r>
    </w:p>
    <w:p w14:paraId="71B4BC62" w14:textId="77777777" w:rsidR="005818D7" w:rsidRDefault="005818D7">
      <w:pPr>
        <w:rPr>
          <w:rFonts w:ascii="Arial" w:hAnsi="Arial" w:cs="Arial"/>
          <w:sz w:val="24"/>
          <w:szCs w:val="24"/>
        </w:rPr>
      </w:pPr>
      <w:r>
        <w:rPr>
          <w:rFonts w:ascii="Arial" w:hAnsi="Arial" w:cs="Arial"/>
          <w:sz w:val="24"/>
          <w:szCs w:val="24"/>
        </w:rPr>
        <w:t>Falconer (1990)</w:t>
      </w:r>
    </w:p>
    <w:p w14:paraId="3DAC0219" w14:textId="77777777" w:rsidR="005818D7" w:rsidRDefault="005818D7">
      <w:pPr>
        <w:rPr>
          <w:rFonts w:ascii="Arial" w:hAnsi="Arial" w:cs="Arial"/>
          <w:sz w:val="24"/>
          <w:szCs w:val="24"/>
        </w:rPr>
      </w:pPr>
      <w:r>
        <w:rPr>
          <w:rFonts w:ascii="Arial" w:hAnsi="Arial" w:cs="Arial"/>
          <w:sz w:val="24"/>
          <w:szCs w:val="24"/>
        </w:rPr>
        <w:t>G and Another (2003)</w:t>
      </w:r>
    </w:p>
    <w:p w14:paraId="0AD954B9" w14:textId="77777777" w:rsidR="005818D7" w:rsidRDefault="005818D7">
      <w:pPr>
        <w:rPr>
          <w:rFonts w:ascii="Arial" w:hAnsi="Arial" w:cs="Arial"/>
          <w:sz w:val="24"/>
          <w:szCs w:val="24"/>
        </w:rPr>
      </w:pPr>
      <w:r>
        <w:rPr>
          <w:rFonts w:ascii="Arial" w:hAnsi="Arial" w:cs="Arial"/>
          <w:sz w:val="24"/>
          <w:szCs w:val="24"/>
        </w:rPr>
        <w:t>Gayford v Chouler (1898)</w:t>
      </w:r>
    </w:p>
    <w:p w14:paraId="4E93F64D" w14:textId="77777777" w:rsidR="005818D7" w:rsidRDefault="005818D7">
      <w:pPr>
        <w:rPr>
          <w:rFonts w:ascii="Arial" w:hAnsi="Arial" w:cs="Arial"/>
          <w:sz w:val="24"/>
          <w:szCs w:val="24"/>
        </w:rPr>
      </w:pPr>
      <w:r>
        <w:rPr>
          <w:rFonts w:ascii="Arial" w:hAnsi="Arial" w:cs="Arial"/>
          <w:sz w:val="24"/>
          <w:szCs w:val="24"/>
        </w:rPr>
        <w:t>Ghosh (1982)</w:t>
      </w:r>
    </w:p>
    <w:p w14:paraId="1D5CD18D" w14:textId="77777777" w:rsidR="005818D7" w:rsidRDefault="005818D7">
      <w:pPr>
        <w:rPr>
          <w:rFonts w:ascii="Arial" w:hAnsi="Arial" w:cs="Arial"/>
          <w:sz w:val="24"/>
          <w:szCs w:val="24"/>
        </w:rPr>
      </w:pPr>
      <w:r>
        <w:rPr>
          <w:rFonts w:ascii="Arial" w:hAnsi="Arial" w:cs="Arial"/>
          <w:sz w:val="24"/>
          <w:szCs w:val="24"/>
        </w:rPr>
        <w:t>Gomez (1993)</w:t>
      </w:r>
    </w:p>
    <w:p w14:paraId="0CDFBF14" w14:textId="77777777" w:rsidR="005818D7" w:rsidRDefault="005818D7">
      <w:pPr>
        <w:rPr>
          <w:rFonts w:ascii="Arial" w:hAnsi="Arial" w:cs="Arial"/>
          <w:sz w:val="24"/>
          <w:szCs w:val="24"/>
        </w:rPr>
      </w:pPr>
      <w:r>
        <w:rPr>
          <w:rFonts w:ascii="Arial" w:hAnsi="Arial" w:cs="Arial"/>
          <w:sz w:val="24"/>
          <w:szCs w:val="24"/>
        </w:rPr>
        <w:t>Hircock (1978)</w:t>
      </w:r>
    </w:p>
    <w:p w14:paraId="7EB22639" w14:textId="77777777" w:rsidR="005818D7" w:rsidRDefault="005818D7">
      <w:pPr>
        <w:rPr>
          <w:rFonts w:ascii="Arial" w:hAnsi="Arial" w:cs="Arial"/>
          <w:sz w:val="24"/>
          <w:szCs w:val="24"/>
        </w:rPr>
      </w:pPr>
      <w:r>
        <w:rPr>
          <w:rFonts w:ascii="Arial" w:hAnsi="Arial" w:cs="Arial"/>
          <w:sz w:val="24"/>
          <w:szCs w:val="24"/>
        </w:rPr>
        <w:t>Hunt (1977)</w:t>
      </w:r>
    </w:p>
    <w:p w14:paraId="13714F3F" w14:textId="77777777" w:rsidR="005818D7" w:rsidRDefault="005818D7">
      <w:pPr>
        <w:rPr>
          <w:rFonts w:ascii="Arial" w:hAnsi="Arial" w:cs="Arial"/>
          <w:sz w:val="24"/>
          <w:szCs w:val="24"/>
        </w:rPr>
      </w:pPr>
      <w:r>
        <w:rPr>
          <w:rFonts w:ascii="Arial" w:hAnsi="Arial" w:cs="Arial"/>
          <w:sz w:val="24"/>
          <w:szCs w:val="24"/>
        </w:rPr>
        <w:t>Ivey (2017)</w:t>
      </w:r>
    </w:p>
    <w:p w14:paraId="7CF9E525" w14:textId="77777777" w:rsidR="005818D7" w:rsidRDefault="005818D7">
      <w:pPr>
        <w:rPr>
          <w:rFonts w:ascii="Arial" w:hAnsi="Arial" w:cs="Arial"/>
          <w:sz w:val="24"/>
          <w:szCs w:val="24"/>
        </w:rPr>
      </w:pPr>
      <w:r>
        <w:rPr>
          <w:rFonts w:ascii="Arial" w:hAnsi="Arial" w:cs="Arial"/>
          <w:sz w:val="24"/>
          <w:szCs w:val="24"/>
        </w:rPr>
        <w:lastRenderedPageBreak/>
        <w:t>Kingston (1994)</w:t>
      </w:r>
    </w:p>
    <w:p w14:paraId="19D8C4AA" w14:textId="77777777" w:rsidR="005818D7" w:rsidRDefault="005818D7">
      <w:pPr>
        <w:rPr>
          <w:rFonts w:ascii="Arial" w:hAnsi="Arial" w:cs="Arial"/>
          <w:sz w:val="24"/>
          <w:szCs w:val="24"/>
        </w:rPr>
      </w:pPr>
      <w:r>
        <w:rPr>
          <w:rFonts w:ascii="Arial" w:hAnsi="Arial" w:cs="Arial"/>
          <w:sz w:val="24"/>
          <w:szCs w:val="24"/>
        </w:rPr>
        <w:t>Lipman (1970)</w:t>
      </w:r>
    </w:p>
    <w:p w14:paraId="2BFD69ED" w14:textId="77777777" w:rsidR="005818D7" w:rsidRDefault="005818D7">
      <w:pPr>
        <w:rPr>
          <w:rFonts w:ascii="Arial" w:hAnsi="Arial" w:cs="Arial"/>
          <w:sz w:val="24"/>
          <w:szCs w:val="24"/>
        </w:rPr>
      </w:pPr>
      <w:r>
        <w:rPr>
          <w:rFonts w:ascii="Arial" w:hAnsi="Arial" w:cs="Arial"/>
          <w:sz w:val="24"/>
          <w:szCs w:val="24"/>
        </w:rPr>
        <w:t>Lloyd v DPP (1992)</w:t>
      </w:r>
    </w:p>
    <w:p w14:paraId="33D57D78" w14:textId="77777777" w:rsidR="005818D7" w:rsidRDefault="005818D7">
      <w:pPr>
        <w:rPr>
          <w:rFonts w:ascii="Arial" w:hAnsi="Arial" w:cs="Arial"/>
          <w:sz w:val="24"/>
          <w:szCs w:val="24"/>
        </w:rPr>
      </w:pPr>
      <w:r>
        <w:rPr>
          <w:rFonts w:ascii="Arial" w:hAnsi="Arial" w:cs="Arial"/>
          <w:sz w:val="24"/>
          <w:szCs w:val="24"/>
        </w:rPr>
        <w:t>Meade v Belt (1823)</w:t>
      </w:r>
    </w:p>
    <w:p w14:paraId="203B2C4D" w14:textId="77777777" w:rsidR="005818D7" w:rsidRDefault="005818D7">
      <w:pPr>
        <w:rPr>
          <w:rFonts w:ascii="Arial" w:hAnsi="Arial" w:cs="Arial"/>
          <w:sz w:val="24"/>
          <w:szCs w:val="24"/>
        </w:rPr>
      </w:pPr>
      <w:r>
        <w:rPr>
          <w:rFonts w:ascii="Arial" w:hAnsi="Arial" w:cs="Arial"/>
          <w:sz w:val="24"/>
          <w:szCs w:val="24"/>
        </w:rPr>
        <w:t>Miller (1983)</w:t>
      </w:r>
    </w:p>
    <w:p w14:paraId="191F594C" w14:textId="77777777" w:rsidR="005818D7" w:rsidRDefault="005818D7">
      <w:pPr>
        <w:rPr>
          <w:rFonts w:ascii="Arial" w:hAnsi="Arial" w:cs="Arial"/>
          <w:sz w:val="24"/>
          <w:szCs w:val="24"/>
        </w:rPr>
      </w:pPr>
      <w:r>
        <w:rPr>
          <w:rFonts w:ascii="Arial" w:hAnsi="Arial" w:cs="Arial"/>
          <w:sz w:val="24"/>
          <w:szCs w:val="24"/>
        </w:rPr>
        <w:t>Morgan (1976)</w:t>
      </w:r>
    </w:p>
    <w:p w14:paraId="62B16B7C" w14:textId="77777777" w:rsidR="005818D7" w:rsidRDefault="005818D7">
      <w:pPr>
        <w:rPr>
          <w:rFonts w:ascii="Arial" w:hAnsi="Arial" w:cs="Arial"/>
          <w:sz w:val="24"/>
          <w:szCs w:val="24"/>
        </w:rPr>
      </w:pPr>
      <w:r>
        <w:rPr>
          <w:rFonts w:ascii="Arial" w:hAnsi="Arial" w:cs="Arial"/>
          <w:sz w:val="24"/>
          <w:szCs w:val="24"/>
        </w:rPr>
        <w:t>Morris (1983)</w:t>
      </w:r>
    </w:p>
    <w:p w14:paraId="4B755AB3" w14:textId="77777777" w:rsidR="005818D7" w:rsidRDefault="005818D7">
      <w:pPr>
        <w:rPr>
          <w:rFonts w:ascii="Arial" w:hAnsi="Arial" w:cs="Arial"/>
          <w:sz w:val="24"/>
          <w:szCs w:val="24"/>
        </w:rPr>
      </w:pPr>
      <w:r>
        <w:rPr>
          <w:rFonts w:ascii="Arial" w:hAnsi="Arial" w:cs="Arial"/>
          <w:sz w:val="24"/>
          <w:szCs w:val="24"/>
        </w:rPr>
        <w:t>Offences Against the Person Act (1861)</w:t>
      </w:r>
    </w:p>
    <w:p w14:paraId="70255905" w14:textId="77777777" w:rsidR="005818D7" w:rsidRDefault="005818D7">
      <w:pPr>
        <w:rPr>
          <w:rFonts w:ascii="Arial" w:hAnsi="Arial" w:cs="Arial"/>
          <w:sz w:val="24"/>
          <w:szCs w:val="24"/>
        </w:rPr>
      </w:pPr>
      <w:r>
        <w:rPr>
          <w:rFonts w:ascii="Arial" w:hAnsi="Arial" w:cs="Arial"/>
          <w:sz w:val="24"/>
          <w:szCs w:val="24"/>
        </w:rPr>
        <w:t>Roper v Knott (1898)</w:t>
      </w:r>
    </w:p>
    <w:p w14:paraId="63D50668" w14:textId="77777777" w:rsidR="005818D7" w:rsidRDefault="005818D7">
      <w:pPr>
        <w:rPr>
          <w:rFonts w:ascii="Arial" w:hAnsi="Arial" w:cs="Arial"/>
          <w:sz w:val="24"/>
          <w:szCs w:val="24"/>
        </w:rPr>
      </w:pPr>
      <w:r>
        <w:rPr>
          <w:rFonts w:ascii="Arial" w:hAnsi="Arial" w:cs="Arial"/>
          <w:sz w:val="24"/>
          <w:szCs w:val="24"/>
        </w:rPr>
        <w:t>Smith (1961)</w:t>
      </w:r>
    </w:p>
    <w:p w14:paraId="7E63ABB4" w14:textId="77777777" w:rsidR="005818D7" w:rsidRDefault="005818D7">
      <w:pPr>
        <w:rPr>
          <w:rFonts w:ascii="Arial" w:hAnsi="Arial" w:cs="Arial"/>
          <w:sz w:val="24"/>
          <w:szCs w:val="24"/>
        </w:rPr>
      </w:pPr>
      <w:r>
        <w:rPr>
          <w:rFonts w:ascii="Arial" w:hAnsi="Arial" w:cs="Arial"/>
          <w:sz w:val="24"/>
          <w:szCs w:val="24"/>
        </w:rPr>
        <w:t>Theft Act (1968)</w:t>
      </w:r>
    </w:p>
    <w:p w14:paraId="50BF161F" w14:textId="77777777" w:rsidR="005818D7" w:rsidRDefault="005818D7">
      <w:pPr>
        <w:rPr>
          <w:rFonts w:ascii="Arial" w:hAnsi="Arial" w:cs="Arial"/>
          <w:sz w:val="24"/>
          <w:szCs w:val="24"/>
        </w:rPr>
      </w:pPr>
      <w:r>
        <w:rPr>
          <w:rFonts w:ascii="Arial" w:hAnsi="Arial" w:cs="Arial"/>
          <w:sz w:val="24"/>
          <w:szCs w:val="24"/>
        </w:rPr>
        <w:t>Thomas v National Union of Mineworkers (1986)</w:t>
      </w:r>
    </w:p>
    <w:p w14:paraId="4DC0754F" w14:textId="77777777" w:rsidR="005818D7" w:rsidRDefault="005818D7">
      <w:pPr>
        <w:rPr>
          <w:rFonts w:ascii="Arial" w:hAnsi="Arial" w:cs="Arial"/>
          <w:sz w:val="24"/>
          <w:szCs w:val="24"/>
        </w:rPr>
      </w:pPr>
      <w:r>
        <w:rPr>
          <w:rFonts w:ascii="Arial" w:hAnsi="Arial" w:cs="Arial"/>
          <w:sz w:val="24"/>
          <w:szCs w:val="24"/>
        </w:rPr>
        <w:t>Wood (1830)</w:t>
      </w:r>
    </w:p>
    <w:p w14:paraId="6B612D91" w14:textId="77777777" w:rsidR="005818D7" w:rsidRDefault="005818D7">
      <w:pPr>
        <w:rPr>
          <w:rFonts w:ascii="Arial" w:hAnsi="Arial" w:cs="Arial"/>
          <w:sz w:val="24"/>
          <w:szCs w:val="24"/>
        </w:rPr>
      </w:pPr>
      <w:r>
        <w:rPr>
          <w:rFonts w:ascii="Arial" w:hAnsi="Arial" w:cs="Arial"/>
          <w:sz w:val="24"/>
          <w:szCs w:val="24"/>
        </w:rPr>
        <w:t>Woodman (1974)</w:t>
      </w:r>
    </w:p>
    <w:sectPr w:rsidR="005818D7" w:rsidSect="007F741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E88"/>
    <w:rsid w:val="00026461"/>
    <w:rsid w:val="00027251"/>
    <w:rsid w:val="00046CA3"/>
    <w:rsid w:val="00073966"/>
    <w:rsid w:val="00076BF0"/>
    <w:rsid w:val="00092211"/>
    <w:rsid w:val="000950A1"/>
    <w:rsid w:val="00095DA6"/>
    <w:rsid w:val="000A1AAE"/>
    <w:rsid w:val="000B0F96"/>
    <w:rsid w:val="000C0F7A"/>
    <w:rsid w:val="000D1219"/>
    <w:rsid w:val="00104894"/>
    <w:rsid w:val="00111788"/>
    <w:rsid w:val="00130C47"/>
    <w:rsid w:val="00145460"/>
    <w:rsid w:val="0014635F"/>
    <w:rsid w:val="0015391E"/>
    <w:rsid w:val="00156F45"/>
    <w:rsid w:val="0017126D"/>
    <w:rsid w:val="00182A81"/>
    <w:rsid w:val="0018302D"/>
    <w:rsid w:val="00183196"/>
    <w:rsid w:val="0019739D"/>
    <w:rsid w:val="001B0718"/>
    <w:rsid w:val="001E7D32"/>
    <w:rsid w:val="001F0678"/>
    <w:rsid w:val="001F1984"/>
    <w:rsid w:val="001F4930"/>
    <w:rsid w:val="00205047"/>
    <w:rsid w:val="00206C7F"/>
    <w:rsid w:val="0021053F"/>
    <w:rsid w:val="00210D7F"/>
    <w:rsid w:val="00216177"/>
    <w:rsid w:val="002210D5"/>
    <w:rsid w:val="00246889"/>
    <w:rsid w:val="002479CF"/>
    <w:rsid w:val="00277A3D"/>
    <w:rsid w:val="00282AE9"/>
    <w:rsid w:val="00292C9C"/>
    <w:rsid w:val="002C5A0F"/>
    <w:rsid w:val="002F080C"/>
    <w:rsid w:val="002F1F24"/>
    <w:rsid w:val="002F261C"/>
    <w:rsid w:val="003037E0"/>
    <w:rsid w:val="0031671C"/>
    <w:rsid w:val="003242CA"/>
    <w:rsid w:val="00333A0E"/>
    <w:rsid w:val="00354682"/>
    <w:rsid w:val="00357FEE"/>
    <w:rsid w:val="00372199"/>
    <w:rsid w:val="0037587D"/>
    <w:rsid w:val="00386476"/>
    <w:rsid w:val="00391174"/>
    <w:rsid w:val="003A5CDF"/>
    <w:rsid w:val="003C1E7E"/>
    <w:rsid w:val="00425E0A"/>
    <w:rsid w:val="00431C96"/>
    <w:rsid w:val="0044056A"/>
    <w:rsid w:val="004526CB"/>
    <w:rsid w:val="004A5511"/>
    <w:rsid w:val="004C1DA0"/>
    <w:rsid w:val="004C460D"/>
    <w:rsid w:val="004D2E47"/>
    <w:rsid w:val="004E310B"/>
    <w:rsid w:val="004F22C3"/>
    <w:rsid w:val="004F556B"/>
    <w:rsid w:val="004F5629"/>
    <w:rsid w:val="0050185C"/>
    <w:rsid w:val="00521922"/>
    <w:rsid w:val="00562E78"/>
    <w:rsid w:val="005734FA"/>
    <w:rsid w:val="005767CC"/>
    <w:rsid w:val="005818D7"/>
    <w:rsid w:val="00586D6A"/>
    <w:rsid w:val="005966EC"/>
    <w:rsid w:val="00597934"/>
    <w:rsid w:val="005C19D9"/>
    <w:rsid w:val="005D1A10"/>
    <w:rsid w:val="005D5C94"/>
    <w:rsid w:val="005E0E82"/>
    <w:rsid w:val="005F3AF0"/>
    <w:rsid w:val="005F3E7A"/>
    <w:rsid w:val="00642BCF"/>
    <w:rsid w:val="00653EED"/>
    <w:rsid w:val="00665924"/>
    <w:rsid w:val="00680283"/>
    <w:rsid w:val="006C70CF"/>
    <w:rsid w:val="006D2770"/>
    <w:rsid w:val="006E6123"/>
    <w:rsid w:val="006F6AE0"/>
    <w:rsid w:val="007025F9"/>
    <w:rsid w:val="00702F38"/>
    <w:rsid w:val="00725D0D"/>
    <w:rsid w:val="007269BC"/>
    <w:rsid w:val="00731245"/>
    <w:rsid w:val="00742404"/>
    <w:rsid w:val="00755E7A"/>
    <w:rsid w:val="00757212"/>
    <w:rsid w:val="00774C4F"/>
    <w:rsid w:val="00792087"/>
    <w:rsid w:val="00795DF0"/>
    <w:rsid w:val="00797A30"/>
    <w:rsid w:val="007A0E08"/>
    <w:rsid w:val="007C4A13"/>
    <w:rsid w:val="007D2B6D"/>
    <w:rsid w:val="007D2B9A"/>
    <w:rsid w:val="007E0928"/>
    <w:rsid w:val="007F7410"/>
    <w:rsid w:val="00820256"/>
    <w:rsid w:val="008425C0"/>
    <w:rsid w:val="00845535"/>
    <w:rsid w:val="00862561"/>
    <w:rsid w:val="00892094"/>
    <w:rsid w:val="008A500C"/>
    <w:rsid w:val="008C0288"/>
    <w:rsid w:val="008D3F16"/>
    <w:rsid w:val="008D6857"/>
    <w:rsid w:val="009019B2"/>
    <w:rsid w:val="00941D71"/>
    <w:rsid w:val="009428DB"/>
    <w:rsid w:val="00944CE6"/>
    <w:rsid w:val="00983612"/>
    <w:rsid w:val="00997EFD"/>
    <w:rsid w:val="009A5185"/>
    <w:rsid w:val="009B45EB"/>
    <w:rsid w:val="009C417D"/>
    <w:rsid w:val="009C43D0"/>
    <w:rsid w:val="009F51C7"/>
    <w:rsid w:val="00A0072E"/>
    <w:rsid w:val="00A02C9D"/>
    <w:rsid w:val="00A46E88"/>
    <w:rsid w:val="00A51E11"/>
    <w:rsid w:val="00A656F7"/>
    <w:rsid w:val="00A93B83"/>
    <w:rsid w:val="00A93C8A"/>
    <w:rsid w:val="00AC32CD"/>
    <w:rsid w:val="00AC7E4F"/>
    <w:rsid w:val="00AD5F74"/>
    <w:rsid w:val="00B10521"/>
    <w:rsid w:val="00B1742C"/>
    <w:rsid w:val="00B3359B"/>
    <w:rsid w:val="00B33607"/>
    <w:rsid w:val="00B41165"/>
    <w:rsid w:val="00B57DC2"/>
    <w:rsid w:val="00B60118"/>
    <w:rsid w:val="00B616CC"/>
    <w:rsid w:val="00B640E6"/>
    <w:rsid w:val="00B83F37"/>
    <w:rsid w:val="00B853D6"/>
    <w:rsid w:val="00BC2353"/>
    <w:rsid w:val="00BC7A39"/>
    <w:rsid w:val="00BE1A7D"/>
    <w:rsid w:val="00BF07BF"/>
    <w:rsid w:val="00BF14A8"/>
    <w:rsid w:val="00C044D8"/>
    <w:rsid w:val="00C04911"/>
    <w:rsid w:val="00C13C50"/>
    <w:rsid w:val="00C1745F"/>
    <w:rsid w:val="00C226F0"/>
    <w:rsid w:val="00C24445"/>
    <w:rsid w:val="00C2456B"/>
    <w:rsid w:val="00C273F2"/>
    <w:rsid w:val="00C3095E"/>
    <w:rsid w:val="00C63BF6"/>
    <w:rsid w:val="00CA039C"/>
    <w:rsid w:val="00CA1679"/>
    <w:rsid w:val="00CB1327"/>
    <w:rsid w:val="00CB3686"/>
    <w:rsid w:val="00CC14B6"/>
    <w:rsid w:val="00CD37AA"/>
    <w:rsid w:val="00CE58A3"/>
    <w:rsid w:val="00D001F4"/>
    <w:rsid w:val="00D11A73"/>
    <w:rsid w:val="00D1388A"/>
    <w:rsid w:val="00D20818"/>
    <w:rsid w:val="00D2581C"/>
    <w:rsid w:val="00D25DD1"/>
    <w:rsid w:val="00D34041"/>
    <w:rsid w:val="00D5062C"/>
    <w:rsid w:val="00D84116"/>
    <w:rsid w:val="00DA1F82"/>
    <w:rsid w:val="00DB7266"/>
    <w:rsid w:val="00DC0D4F"/>
    <w:rsid w:val="00DC1D5B"/>
    <w:rsid w:val="00DD5C4E"/>
    <w:rsid w:val="00E20F59"/>
    <w:rsid w:val="00E25A9C"/>
    <w:rsid w:val="00E347C7"/>
    <w:rsid w:val="00E37206"/>
    <w:rsid w:val="00E63F1C"/>
    <w:rsid w:val="00E65CFF"/>
    <w:rsid w:val="00E7541F"/>
    <w:rsid w:val="00E7690E"/>
    <w:rsid w:val="00E80C15"/>
    <w:rsid w:val="00E92863"/>
    <w:rsid w:val="00E9478C"/>
    <w:rsid w:val="00EB1D4A"/>
    <w:rsid w:val="00EB6732"/>
    <w:rsid w:val="00EC79A8"/>
    <w:rsid w:val="00EE16EF"/>
    <w:rsid w:val="00EE286D"/>
    <w:rsid w:val="00EE2898"/>
    <w:rsid w:val="00EE6FF6"/>
    <w:rsid w:val="00F03B52"/>
    <w:rsid w:val="00F22CF3"/>
    <w:rsid w:val="00F325AF"/>
    <w:rsid w:val="00F34DB9"/>
    <w:rsid w:val="00F43453"/>
    <w:rsid w:val="00F5607C"/>
    <w:rsid w:val="00F624A5"/>
    <w:rsid w:val="00F63578"/>
    <w:rsid w:val="00F84461"/>
    <w:rsid w:val="00FB48A7"/>
    <w:rsid w:val="00FB61DB"/>
    <w:rsid w:val="00FB7BA3"/>
    <w:rsid w:val="00FC42C9"/>
    <w:rsid w:val="00FC5EC9"/>
    <w:rsid w:val="00FD2A2C"/>
    <w:rsid w:val="00FE3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F3A30"/>
  <w15:chartTrackingRefBased/>
  <w15:docId w15:val="{5EB8EEE7-31CC-48F3-AFA8-A8B4F1E5B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74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741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5</Pages>
  <Words>1451</Words>
  <Characters>8271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 assignment 2</dc:title>
  <dc:subject/>
  <dc:creator>Jamie Parry</dc:creator>
  <cp:keywords/>
  <dc:description/>
  <cp:lastModifiedBy>Jamie Parry</cp:lastModifiedBy>
  <cp:revision>61</cp:revision>
  <dcterms:created xsi:type="dcterms:W3CDTF">2021-11-28T17:18:00Z</dcterms:created>
  <dcterms:modified xsi:type="dcterms:W3CDTF">2022-01-04T10:56:00Z</dcterms:modified>
</cp:coreProperties>
</file>