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4950D38" w14:textId="55EF0320" w:rsidR="00262EA1" w:rsidRDefault="182A91B1" w:rsidP="77045F06">
      <w:pPr>
        <w:spacing w:line="360" w:lineRule="auto"/>
        <w:rPr>
          <w:color w:val="000000" w:themeColor="text1"/>
          <w:sz w:val="22"/>
          <w:szCs w:val="22"/>
        </w:rPr>
      </w:pPr>
      <w:r w:rsidRPr="77045F06">
        <w:rPr>
          <w:color w:val="000000" w:themeColor="text1"/>
          <w:sz w:val="22"/>
          <w:szCs w:val="22"/>
        </w:rPr>
        <w:t>Nina Mya</w:t>
      </w:r>
    </w:p>
    <w:p w14:paraId="3B0670AB" w14:textId="698ED56E" w:rsidR="00262EA1" w:rsidRDefault="182A91B1" w:rsidP="77045F06">
      <w:pPr>
        <w:spacing w:line="360" w:lineRule="auto"/>
        <w:rPr>
          <w:color w:val="000000" w:themeColor="text1"/>
          <w:sz w:val="22"/>
          <w:szCs w:val="22"/>
        </w:rPr>
      </w:pPr>
      <w:r w:rsidRPr="77045F06">
        <w:rPr>
          <w:color w:val="000000" w:themeColor="text1"/>
          <w:sz w:val="22"/>
          <w:szCs w:val="22"/>
        </w:rPr>
        <w:t>Student Number: 2328173</w:t>
      </w:r>
    </w:p>
    <w:p w14:paraId="6F02BB3D" w14:textId="672F2614" w:rsidR="00262EA1" w:rsidRDefault="182A91B1" w:rsidP="77045F06">
      <w:pPr>
        <w:spacing w:line="360" w:lineRule="auto"/>
        <w:rPr>
          <w:color w:val="000000" w:themeColor="text1"/>
          <w:sz w:val="22"/>
          <w:szCs w:val="22"/>
        </w:rPr>
      </w:pPr>
      <w:r w:rsidRPr="77045F06">
        <w:rPr>
          <w:color w:val="000000" w:themeColor="text1"/>
          <w:sz w:val="22"/>
          <w:szCs w:val="22"/>
        </w:rPr>
        <w:t>Module Code: BMHP5016</w:t>
      </w:r>
    </w:p>
    <w:p w14:paraId="747A48CA" w14:textId="725A3524" w:rsidR="00262EA1" w:rsidRDefault="182A91B1" w:rsidP="77045F06">
      <w:pPr>
        <w:spacing w:line="360" w:lineRule="auto"/>
        <w:rPr>
          <w:color w:val="000000" w:themeColor="text1"/>
          <w:sz w:val="22"/>
          <w:szCs w:val="22"/>
        </w:rPr>
      </w:pPr>
      <w:r w:rsidRPr="77045F06">
        <w:rPr>
          <w:color w:val="000000" w:themeColor="text1"/>
          <w:sz w:val="22"/>
          <w:szCs w:val="22"/>
        </w:rPr>
        <w:t>Assignment Title: Component 1: Written assignment Reflective Report</w:t>
      </w:r>
    </w:p>
    <w:p w14:paraId="1E426045" w14:textId="4C104DFF" w:rsidR="00262EA1" w:rsidRDefault="00262EA1" w:rsidP="77045F06">
      <w:pPr>
        <w:spacing w:line="360" w:lineRule="auto"/>
        <w:rPr>
          <w:color w:val="000000" w:themeColor="text1"/>
          <w:sz w:val="22"/>
          <w:szCs w:val="22"/>
        </w:rPr>
      </w:pPr>
    </w:p>
    <w:p w14:paraId="0AB2A8E6" w14:textId="6BD66C83" w:rsidR="00262EA1" w:rsidRDefault="00262EA1" w:rsidP="77045F06">
      <w:pPr>
        <w:spacing w:line="360" w:lineRule="auto"/>
        <w:rPr>
          <w:color w:val="000000" w:themeColor="text1"/>
          <w:sz w:val="22"/>
          <w:szCs w:val="22"/>
        </w:rPr>
      </w:pPr>
    </w:p>
    <w:p w14:paraId="28382C95" w14:textId="49F38D84" w:rsidR="00262EA1" w:rsidRDefault="00262EA1" w:rsidP="77045F06">
      <w:pPr>
        <w:spacing w:line="360" w:lineRule="auto"/>
        <w:rPr>
          <w:color w:val="000000" w:themeColor="text1"/>
          <w:sz w:val="22"/>
          <w:szCs w:val="22"/>
        </w:rPr>
      </w:pPr>
    </w:p>
    <w:p w14:paraId="33B00155" w14:textId="2DF285A2" w:rsidR="00262EA1" w:rsidRDefault="00262EA1" w:rsidP="77045F06">
      <w:pPr>
        <w:spacing w:line="360" w:lineRule="auto"/>
        <w:rPr>
          <w:color w:val="000000" w:themeColor="text1"/>
          <w:sz w:val="22"/>
          <w:szCs w:val="22"/>
        </w:rPr>
      </w:pPr>
    </w:p>
    <w:p w14:paraId="43DC94D0" w14:textId="7369022B" w:rsidR="00262EA1" w:rsidRDefault="00262EA1" w:rsidP="77045F06">
      <w:pPr>
        <w:spacing w:line="360" w:lineRule="auto"/>
        <w:rPr>
          <w:color w:val="000000" w:themeColor="text1"/>
          <w:sz w:val="22"/>
          <w:szCs w:val="22"/>
        </w:rPr>
      </w:pPr>
    </w:p>
    <w:p w14:paraId="5692D660" w14:textId="39CE23D7" w:rsidR="00262EA1" w:rsidRDefault="00262EA1" w:rsidP="77045F06">
      <w:pPr>
        <w:spacing w:line="360" w:lineRule="auto"/>
        <w:rPr>
          <w:color w:val="000000" w:themeColor="text1"/>
          <w:sz w:val="22"/>
          <w:szCs w:val="22"/>
        </w:rPr>
      </w:pPr>
    </w:p>
    <w:p w14:paraId="0FE63A31" w14:textId="7145D100" w:rsidR="00262EA1" w:rsidRDefault="00262EA1" w:rsidP="77045F06">
      <w:pPr>
        <w:spacing w:after="0" w:line="360" w:lineRule="auto"/>
        <w:rPr>
          <w:color w:val="000000" w:themeColor="text1"/>
          <w:sz w:val="22"/>
          <w:szCs w:val="22"/>
        </w:rPr>
      </w:pPr>
    </w:p>
    <w:p w14:paraId="2E13C287" w14:textId="1499825D" w:rsidR="00262EA1" w:rsidRDefault="00262EA1" w:rsidP="77045F06">
      <w:pPr>
        <w:spacing w:after="0" w:line="360" w:lineRule="auto"/>
        <w:rPr>
          <w:color w:val="000000" w:themeColor="text1"/>
          <w:sz w:val="22"/>
          <w:szCs w:val="22"/>
        </w:rPr>
      </w:pPr>
    </w:p>
    <w:p w14:paraId="2AAE6638" w14:textId="1E22D298" w:rsidR="00262EA1" w:rsidRDefault="00262EA1" w:rsidP="77045F06">
      <w:pPr>
        <w:spacing w:after="0" w:line="360" w:lineRule="auto"/>
        <w:rPr>
          <w:color w:val="000000" w:themeColor="text1"/>
          <w:sz w:val="22"/>
          <w:szCs w:val="22"/>
        </w:rPr>
      </w:pPr>
    </w:p>
    <w:p w14:paraId="5BAA38D7" w14:textId="41FF7699" w:rsidR="00262EA1" w:rsidRDefault="00262EA1" w:rsidP="77045F06">
      <w:pPr>
        <w:spacing w:after="0" w:line="360" w:lineRule="auto"/>
        <w:rPr>
          <w:color w:val="000000" w:themeColor="text1"/>
          <w:sz w:val="22"/>
          <w:szCs w:val="22"/>
        </w:rPr>
      </w:pPr>
    </w:p>
    <w:p w14:paraId="71E5D4D7" w14:textId="729A6BB5" w:rsidR="00262EA1" w:rsidRDefault="00262EA1" w:rsidP="77045F06">
      <w:pPr>
        <w:spacing w:after="0" w:line="360" w:lineRule="auto"/>
        <w:rPr>
          <w:color w:val="000000" w:themeColor="text1"/>
          <w:sz w:val="22"/>
          <w:szCs w:val="22"/>
        </w:rPr>
      </w:pPr>
    </w:p>
    <w:p w14:paraId="0EDEBD13" w14:textId="77777777" w:rsidR="00B81411" w:rsidRDefault="00B81411" w:rsidP="77045F06">
      <w:pPr>
        <w:spacing w:after="0" w:line="360" w:lineRule="auto"/>
        <w:rPr>
          <w:color w:val="000000" w:themeColor="text1"/>
          <w:sz w:val="22"/>
          <w:szCs w:val="22"/>
        </w:rPr>
      </w:pPr>
    </w:p>
    <w:p w14:paraId="6358B4DA" w14:textId="77777777" w:rsidR="00B81411" w:rsidRDefault="00B81411" w:rsidP="77045F06">
      <w:pPr>
        <w:spacing w:after="0" w:line="360" w:lineRule="auto"/>
        <w:rPr>
          <w:color w:val="000000" w:themeColor="text1"/>
          <w:sz w:val="22"/>
          <w:szCs w:val="22"/>
        </w:rPr>
      </w:pPr>
    </w:p>
    <w:p w14:paraId="0903ABBC" w14:textId="77777777" w:rsidR="00B81411" w:rsidRDefault="00B81411" w:rsidP="77045F06">
      <w:pPr>
        <w:spacing w:after="0" w:line="360" w:lineRule="auto"/>
        <w:rPr>
          <w:color w:val="000000" w:themeColor="text1"/>
          <w:sz w:val="22"/>
          <w:szCs w:val="22"/>
        </w:rPr>
      </w:pPr>
    </w:p>
    <w:p w14:paraId="67B9898C" w14:textId="77777777" w:rsidR="00B81411" w:rsidRDefault="00B81411" w:rsidP="77045F06">
      <w:pPr>
        <w:spacing w:after="0" w:line="360" w:lineRule="auto"/>
        <w:rPr>
          <w:color w:val="000000" w:themeColor="text1"/>
          <w:sz w:val="22"/>
          <w:szCs w:val="22"/>
        </w:rPr>
      </w:pPr>
    </w:p>
    <w:p w14:paraId="23137C24" w14:textId="77777777" w:rsidR="00B81411" w:rsidRDefault="00B81411" w:rsidP="77045F06">
      <w:pPr>
        <w:spacing w:after="0" w:line="360" w:lineRule="auto"/>
        <w:rPr>
          <w:color w:val="000000" w:themeColor="text1"/>
          <w:sz w:val="22"/>
          <w:szCs w:val="22"/>
        </w:rPr>
      </w:pPr>
    </w:p>
    <w:p w14:paraId="1608349E" w14:textId="77777777" w:rsidR="00B81411" w:rsidRDefault="00B81411" w:rsidP="77045F06">
      <w:pPr>
        <w:spacing w:after="0" w:line="360" w:lineRule="auto"/>
        <w:rPr>
          <w:color w:val="000000" w:themeColor="text1"/>
          <w:sz w:val="22"/>
          <w:szCs w:val="22"/>
        </w:rPr>
      </w:pPr>
    </w:p>
    <w:p w14:paraId="041E1B30" w14:textId="77777777" w:rsidR="00B81411" w:rsidRDefault="00B81411" w:rsidP="77045F06">
      <w:pPr>
        <w:spacing w:after="0" w:line="360" w:lineRule="auto"/>
        <w:rPr>
          <w:color w:val="000000" w:themeColor="text1"/>
          <w:sz w:val="22"/>
          <w:szCs w:val="22"/>
        </w:rPr>
      </w:pPr>
    </w:p>
    <w:p w14:paraId="02468D7E" w14:textId="77777777" w:rsidR="00B81411" w:rsidRDefault="00B81411" w:rsidP="77045F06">
      <w:pPr>
        <w:spacing w:after="0" w:line="360" w:lineRule="auto"/>
        <w:rPr>
          <w:color w:val="000000" w:themeColor="text1"/>
          <w:sz w:val="22"/>
          <w:szCs w:val="22"/>
        </w:rPr>
      </w:pPr>
    </w:p>
    <w:p w14:paraId="35B2DB60" w14:textId="77777777" w:rsidR="00B81411" w:rsidRDefault="00B81411" w:rsidP="77045F06">
      <w:pPr>
        <w:spacing w:after="0" w:line="360" w:lineRule="auto"/>
        <w:rPr>
          <w:color w:val="000000" w:themeColor="text1"/>
          <w:sz w:val="22"/>
          <w:szCs w:val="22"/>
        </w:rPr>
      </w:pPr>
    </w:p>
    <w:p w14:paraId="1A56CE8B" w14:textId="77777777" w:rsidR="00B81411" w:rsidRDefault="00B81411" w:rsidP="77045F06">
      <w:pPr>
        <w:spacing w:after="0" w:line="360" w:lineRule="auto"/>
        <w:rPr>
          <w:color w:val="000000" w:themeColor="text1"/>
          <w:sz w:val="22"/>
          <w:szCs w:val="22"/>
        </w:rPr>
      </w:pPr>
    </w:p>
    <w:p w14:paraId="65CA9516" w14:textId="77777777" w:rsidR="00B81411" w:rsidRDefault="00B81411" w:rsidP="77045F06">
      <w:pPr>
        <w:spacing w:after="0" w:line="360" w:lineRule="auto"/>
        <w:rPr>
          <w:color w:val="000000" w:themeColor="text1"/>
          <w:sz w:val="22"/>
          <w:szCs w:val="22"/>
        </w:rPr>
      </w:pPr>
    </w:p>
    <w:p w14:paraId="7E1679D9" w14:textId="77777777" w:rsidR="00B81411" w:rsidRDefault="00B81411" w:rsidP="77045F06">
      <w:pPr>
        <w:spacing w:after="0" w:line="360" w:lineRule="auto"/>
        <w:rPr>
          <w:color w:val="000000" w:themeColor="text1"/>
          <w:sz w:val="22"/>
          <w:szCs w:val="22"/>
        </w:rPr>
      </w:pPr>
    </w:p>
    <w:p w14:paraId="1897B0BB" w14:textId="77777777" w:rsidR="00B81411" w:rsidRDefault="00B81411" w:rsidP="77045F06">
      <w:pPr>
        <w:spacing w:after="0" w:line="360" w:lineRule="auto"/>
        <w:rPr>
          <w:color w:val="000000" w:themeColor="text1"/>
          <w:sz w:val="22"/>
          <w:szCs w:val="22"/>
        </w:rPr>
      </w:pPr>
    </w:p>
    <w:p w14:paraId="22D6B6C1" w14:textId="77777777" w:rsidR="00B81411" w:rsidRDefault="00B81411" w:rsidP="77045F06">
      <w:pPr>
        <w:spacing w:after="0" w:line="360" w:lineRule="auto"/>
        <w:rPr>
          <w:color w:val="000000" w:themeColor="text1"/>
          <w:sz w:val="22"/>
          <w:szCs w:val="22"/>
        </w:rPr>
      </w:pPr>
    </w:p>
    <w:p w14:paraId="53B48EA6" w14:textId="77777777" w:rsidR="00B81411" w:rsidRDefault="00B81411" w:rsidP="77045F06">
      <w:pPr>
        <w:spacing w:after="0" w:line="360" w:lineRule="auto"/>
        <w:rPr>
          <w:color w:val="000000" w:themeColor="text1"/>
          <w:sz w:val="22"/>
          <w:szCs w:val="22"/>
        </w:rPr>
      </w:pPr>
    </w:p>
    <w:p w14:paraId="0D159DEA" w14:textId="77777777" w:rsidR="00B81411" w:rsidRDefault="00B81411" w:rsidP="77045F06">
      <w:pPr>
        <w:spacing w:after="0" w:line="360" w:lineRule="auto"/>
        <w:rPr>
          <w:color w:val="000000" w:themeColor="text1"/>
          <w:sz w:val="22"/>
          <w:szCs w:val="22"/>
        </w:rPr>
      </w:pPr>
    </w:p>
    <w:p w14:paraId="1F4D3BEC" w14:textId="77777777" w:rsidR="00B81411" w:rsidRDefault="00B81411" w:rsidP="77045F06">
      <w:pPr>
        <w:spacing w:after="0" w:line="360" w:lineRule="auto"/>
        <w:rPr>
          <w:color w:val="000000" w:themeColor="text1"/>
          <w:sz w:val="22"/>
          <w:szCs w:val="22"/>
        </w:rPr>
      </w:pPr>
    </w:p>
    <w:p w14:paraId="4BC8433B" w14:textId="45F33BE3" w:rsidR="00262EA1" w:rsidRDefault="182A91B1" w:rsidP="77045F06">
      <w:pPr>
        <w:spacing w:after="0" w:line="360" w:lineRule="auto"/>
        <w:rPr>
          <w:color w:val="000000" w:themeColor="text1"/>
          <w:sz w:val="22"/>
          <w:szCs w:val="22"/>
        </w:rPr>
      </w:pPr>
      <w:r w:rsidRPr="77045F06">
        <w:rPr>
          <w:color w:val="000000" w:themeColor="text1"/>
          <w:sz w:val="22"/>
          <w:szCs w:val="22"/>
        </w:rPr>
        <w:lastRenderedPageBreak/>
        <w:t xml:space="preserve">Introduction </w:t>
      </w:r>
      <w:r>
        <w:rPr>
          <w:noProof/>
        </w:rPr>
        <w:drawing>
          <wp:inline distT="0" distB="0" distL="0" distR="0" wp14:anchorId="62B02C7B" wp14:editId="22C7CBC3">
            <wp:extent cx="9525" cy="9525"/>
            <wp:effectExtent l="0" t="0" r="0" b="0"/>
            <wp:docPr id="26506157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061575" name="Picture 265061575"/>
                    <pic:cNvPicPr/>
                  </pic:nvPicPr>
                  <pic:blipFill>
                    <a:blip r:embed="rId6">
                      <a:extLst>
                        <a:ext uri="{28A0092B-C50C-407E-A947-70E740481C1C}">
                          <a14:useLocalDpi xmlns:a14="http://schemas.microsoft.com/office/drawing/2010/main"/>
                        </a:ext>
                      </a:extLst>
                    </a:blip>
                    <a:stretch>
                      <a:fillRect/>
                    </a:stretch>
                  </pic:blipFill>
                  <pic:spPr>
                    <a:xfrm>
                      <a:off x="0" y="0"/>
                      <a:ext cx="9525" cy="9525"/>
                    </a:xfrm>
                    <a:prstGeom prst="rect">
                      <a:avLst/>
                    </a:prstGeom>
                  </pic:spPr>
                </pic:pic>
              </a:graphicData>
            </a:graphic>
          </wp:inline>
        </w:drawing>
      </w:r>
    </w:p>
    <w:p w14:paraId="2E6620C1" w14:textId="35F0ADA6" w:rsidR="00262EA1" w:rsidRDefault="182A91B1" w:rsidP="77045F06">
      <w:pPr>
        <w:spacing w:before="240" w:after="240" w:line="360" w:lineRule="auto"/>
        <w:rPr>
          <w:color w:val="000000" w:themeColor="text1"/>
          <w:sz w:val="22"/>
          <w:szCs w:val="22"/>
        </w:rPr>
      </w:pPr>
      <w:r w:rsidRPr="77045F06">
        <w:rPr>
          <w:color w:val="000000" w:themeColor="text1"/>
          <w:sz w:val="22"/>
          <w:szCs w:val="22"/>
        </w:rPr>
        <w:t>High</w:t>
      </w:r>
      <w:r w:rsidR="00B81411">
        <w:t xml:space="preserve"> </w:t>
      </w:r>
      <w:r w:rsidRPr="77045F06">
        <w:rPr>
          <w:color w:val="000000" w:themeColor="text1"/>
          <w:sz w:val="22"/>
          <w:szCs w:val="22"/>
        </w:rPr>
        <w:t>quality health and social care should promote dignity, independence, safety and wellbeing while recognising each person’s individual circumstances, preferences and rights. Person</w:t>
      </w:r>
      <w:r w:rsidR="00800090">
        <w:t xml:space="preserve"> </w:t>
      </w:r>
      <w:r w:rsidRPr="77045F06">
        <w:rPr>
          <w:color w:val="000000" w:themeColor="text1"/>
          <w:sz w:val="22"/>
          <w:szCs w:val="22"/>
        </w:rPr>
        <w:t>centred care, partnership working and ethical practice are interconnected principles that support these outcomes, but applying them can be challenging when individuals have complex needs or limited resources. This report critically examines these principles, evaluates their application to Robyn’s case study and reflects on my professional development using Gibbs (1988) reflective cycle. My experience across domestic abuse services, supported living and a homeless hostel has shaped my understanding of how person</w:t>
      </w:r>
      <w:r w:rsidR="00DE6B17">
        <w:noBreakHyphen/>
      </w:r>
      <w:r w:rsidRPr="77045F06">
        <w:rPr>
          <w:color w:val="000000" w:themeColor="text1"/>
          <w:sz w:val="22"/>
          <w:szCs w:val="22"/>
        </w:rPr>
        <w:t>centred practice improves outcomes when combined with professional judgement and safeguarding.</w:t>
      </w:r>
    </w:p>
    <w:p w14:paraId="4B74A24A" w14:textId="2EBE9C82" w:rsidR="00262EA1" w:rsidRDefault="182A91B1" w:rsidP="77045F06">
      <w:pPr>
        <w:keepNext/>
        <w:keepLines/>
        <w:spacing w:line="360" w:lineRule="auto"/>
        <w:rPr>
          <w:color w:val="000000" w:themeColor="text1"/>
          <w:sz w:val="22"/>
          <w:szCs w:val="22"/>
        </w:rPr>
      </w:pPr>
      <w:r w:rsidRPr="77045F06">
        <w:rPr>
          <w:color w:val="000000" w:themeColor="text1"/>
          <w:sz w:val="22"/>
          <w:szCs w:val="22"/>
        </w:rPr>
        <w:t>Task 1: Critically reflect on person</w:t>
      </w:r>
      <w:r w:rsidR="00DE6B17">
        <w:noBreakHyphen/>
      </w:r>
      <w:r w:rsidRPr="77045F06">
        <w:rPr>
          <w:color w:val="000000" w:themeColor="text1"/>
          <w:sz w:val="22"/>
          <w:szCs w:val="22"/>
        </w:rPr>
        <w:t>centred care, partnership working and ethical practice</w:t>
      </w:r>
    </w:p>
    <w:p w14:paraId="474C62BB" w14:textId="6125F7D3" w:rsidR="00262EA1" w:rsidRDefault="182A91B1" w:rsidP="77045F06">
      <w:pPr>
        <w:spacing w:before="240" w:after="240" w:line="360" w:lineRule="auto"/>
        <w:rPr>
          <w:color w:val="000000" w:themeColor="text1"/>
          <w:sz w:val="22"/>
          <w:szCs w:val="22"/>
        </w:rPr>
      </w:pPr>
      <w:r w:rsidRPr="77045F06">
        <w:rPr>
          <w:color w:val="000000" w:themeColor="text1"/>
          <w:sz w:val="22"/>
          <w:szCs w:val="22"/>
        </w:rPr>
        <w:t>Person</w:t>
      </w:r>
      <w:r w:rsidR="00C97C0C">
        <w:t xml:space="preserve"> </w:t>
      </w:r>
      <w:r w:rsidRPr="77045F06">
        <w:rPr>
          <w:color w:val="000000" w:themeColor="text1"/>
          <w:sz w:val="22"/>
          <w:szCs w:val="22"/>
        </w:rPr>
        <w:t>centred care involves recognising individuals as people with their own identities, values, strengths and aspirations, rather than defining them by a diagnosis or support need. McCormack and McCance (2017) emphasise relationships, shared decision</w:t>
      </w:r>
      <w:r w:rsidR="3AECC88B" w:rsidRPr="77045F06">
        <w:rPr>
          <w:color w:val="000000" w:themeColor="text1"/>
          <w:sz w:val="22"/>
          <w:szCs w:val="22"/>
        </w:rPr>
        <w:t xml:space="preserve"> </w:t>
      </w:r>
      <w:r w:rsidRPr="77045F06">
        <w:rPr>
          <w:color w:val="000000" w:themeColor="text1"/>
          <w:sz w:val="22"/>
          <w:szCs w:val="22"/>
        </w:rPr>
        <w:t>making and care environments that enable person</w:t>
      </w:r>
      <w:r w:rsidR="009D1896">
        <w:t xml:space="preserve"> </w:t>
      </w:r>
      <w:r w:rsidRPr="77045F06">
        <w:rPr>
          <w:color w:val="000000" w:themeColor="text1"/>
          <w:sz w:val="22"/>
          <w:szCs w:val="22"/>
        </w:rPr>
        <w:t>centred practice. This approach supports dignity and autonomy by involving people in decisions affecting their lives. Regulation 9 of the Health and Social Care Act 2008 requires care to reflect people’s needs and preferences, while the Care Act 2014 places wellbeing at the centre of adult social care.</w:t>
      </w:r>
    </w:p>
    <w:p w14:paraId="7E2E1AE7" w14:textId="084C1A8C" w:rsidR="00262EA1" w:rsidRDefault="182A91B1" w:rsidP="77045F06">
      <w:pPr>
        <w:spacing w:before="240" w:after="240" w:line="360" w:lineRule="auto"/>
        <w:rPr>
          <w:color w:val="000000" w:themeColor="text1"/>
          <w:sz w:val="22"/>
          <w:szCs w:val="22"/>
        </w:rPr>
      </w:pPr>
      <w:r w:rsidRPr="77045F06">
        <w:rPr>
          <w:color w:val="000000" w:themeColor="text1"/>
          <w:sz w:val="22"/>
          <w:szCs w:val="22"/>
        </w:rPr>
        <w:t>Person</w:t>
      </w:r>
      <w:r w:rsidR="00BA2031">
        <w:t xml:space="preserve"> </w:t>
      </w:r>
      <w:r w:rsidRPr="77045F06">
        <w:rPr>
          <w:color w:val="000000" w:themeColor="text1"/>
          <w:sz w:val="22"/>
          <w:szCs w:val="22"/>
        </w:rPr>
        <w:t>centred care requires more than asking what someone wants. Practitioners must consider communication needs, capacity, risks and available resources. Preferences may involve risk, and automatically preventing activities can unnecessarily restrict independence. Equally, agreeing to every request without assessing foreseeable harm is unsafe. Proportionate risk assessment, accessible information and shared decision</w:t>
      </w:r>
      <w:r w:rsidR="00DE6B17">
        <w:noBreakHyphen/>
      </w:r>
      <w:r w:rsidRPr="77045F06">
        <w:rPr>
          <w:color w:val="000000" w:themeColor="text1"/>
          <w:sz w:val="22"/>
          <w:szCs w:val="22"/>
        </w:rPr>
        <w:t>making help balance autonomy with safeguarding.</w:t>
      </w:r>
    </w:p>
    <w:p w14:paraId="0D91604D" w14:textId="30EF8F83" w:rsidR="00262EA1" w:rsidRDefault="182A91B1" w:rsidP="77045F06">
      <w:pPr>
        <w:spacing w:before="240" w:after="240" w:line="360" w:lineRule="auto"/>
      </w:pPr>
      <w:r w:rsidRPr="77045F06">
        <w:rPr>
          <w:color w:val="000000" w:themeColor="text1"/>
          <w:sz w:val="22"/>
          <w:szCs w:val="22"/>
        </w:rPr>
        <w:t>My</w:t>
      </w:r>
      <w:r w:rsidR="7D7C1D6B" w:rsidRPr="77045F06">
        <w:rPr>
          <w:color w:val="000000" w:themeColor="text1"/>
          <w:sz w:val="22"/>
          <w:szCs w:val="22"/>
        </w:rPr>
        <w:t xml:space="preserve"> experience working in</w:t>
      </w:r>
      <w:r w:rsidRPr="77045F06">
        <w:rPr>
          <w:color w:val="000000" w:themeColor="text1"/>
          <w:sz w:val="22"/>
          <w:szCs w:val="22"/>
        </w:rPr>
        <w:t xml:space="preserve"> </w:t>
      </w:r>
      <w:r w:rsidR="7FBA877D" w:rsidRPr="77045F06">
        <w:rPr>
          <w:color w:val="000000" w:themeColor="text1"/>
          <w:sz w:val="22"/>
          <w:szCs w:val="22"/>
        </w:rPr>
        <w:t xml:space="preserve">a </w:t>
      </w:r>
      <w:r w:rsidRPr="77045F06">
        <w:rPr>
          <w:color w:val="000000" w:themeColor="text1"/>
          <w:sz w:val="22"/>
          <w:szCs w:val="22"/>
        </w:rPr>
        <w:t>supported</w:t>
      </w:r>
      <w:r w:rsidR="4204B9B3" w:rsidRPr="77045F06">
        <w:rPr>
          <w:color w:val="000000" w:themeColor="text1"/>
          <w:sz w:val="22"/>
          <w:szCs w:val="22"/>
        </w:rPr>
        <w:t xml:space="preserve"> </w:t>
      </w:r>
      <w:r w:rsidRPr="77045F06">
        <w:rPr>
          <w:color w:val="000000" w:themeColor="text1"/>
          <w:sz w:val="22"/>
          <w:szCs w:val="22"/>
        </w:rPr>
        <w:t xml:space="preserve">living </w:t>
      </w:r>
      <w:r w:rsidR="4DE8057C" w:rsidRPr="77045F06">
        <w:rPr>
          <w:color w:val="000000" w:themeColor="text1"/>
          <w:sz w:val="22"/>
          <w:szCs w:val="22"/>
        </w:rPr>
        <w:t>environment</w:t>
      </w:r>
      <w:r w:rsidRPr="77045F06">
        <w:rPr>
          <w:color w:val="000000" w:themeColor="text1"/>
          <w:sz w:val="22"/>
          <w:szCs w:val="22"/>
        </w:rPr>
        <w:t xml:space="preserve"> demonstrated why this principal matters. I supported a young woman with learning disabilities and paranoid schizophrenia who could display aggression. Although situations were sometimes frightening, I developed a positive relationship by recognising her interests rather than focusing solely on her diagnoses. We shared an interest in history, and supporting her to participate in activities she valued, including museum visits</w:t>
      </w:r>
      <w:r w:rsidR="0E74D89E" w:rsidRPr="77045F06">
        <w:rPr>
          <w:color w:val="000000" w:themeColor="text1"/>
          <w:sz w:val="22"/>
          <w:szCs w:val="22"/>
        </w:rPr>
        <w:t xml:space="preserve"> which</w:t>
      </w:r>
      <w:r w:rsidRPr="77045F06">
        <w:rPr>
          <w:color w:val="000000" w:themeColor="text1"/>
          <w:sz w:val="22"/>
          <w:szCs w:val="22"/>
        </w:rPr>
        <w:t xml:space="preserve"> promoted inclusion and engagement. </w:t>
      </w:r>
    </w:p>
    <w:p w14:paraId="146D5283" w14:textId="4EB82FD5" w:rsidR="00262EA1" w:rsidRDefault="182A91B1" w:rsidP="77045F06">
      <w:pPr>
        <w:spacing w:before="240" w:after="240" w:line="360" w:lineRule="auto"/>
        <w:rPr>
          <w:color w:val="000000" w:themeColor="text1"/>
          <w:sz w:val="22"/>
          <w:szCs w:val="22"/>
        </w:rPr>
      </w:pPr>
      <w:r w:rsidRPr="77045F06">
        <w:rPr>
          <w:color w:val="000000" w:themeColor="text1"/>
          <w:sz w:val="22"/>
          <w:szCs w:val="22"/>
        </w:rPr>
        <w:lastRenderedPageBreak/>
        <w:t>This highlighted that behaviour may communicate distress or unmet needs rather than simply being “challenging”.</w:t>
      </w:r>
    </w:p>
    <w:p w14:paraId="2FC3A5C3" w14:textId="722D565D" w:rsidR="00262EA1" w:rsidRDefault="182A91B1" w:rsidP="77045F06">
      <w:pPr>
        <w:spacing w:before="240" w:after="240" w:line="360" w:lineRule="auto"/>
        <w:rPr>
          <w:color w:val="000000" w:themeColor="text1"/>
          <w:sz w:val="22"/>
          <w:szCs w:val="22"/>
        </w:rPr>
      </w:pPr>
      <w:r w:rsidRPr="77045F06">
        <w:rPr>
          <w:color w:val="000000" w:themeColor="text1"/>
          <w:sz w:val="22"/>
          <w:szCs w:val="22"/>
        </w:rPr>
        <w:t>Partnership working complements person</w:t>
      </w:r>
      <w:r w:rsidR="003A3FBC">
        <w:t xml:space="preserve"> </w:t>
      </w:r>
      <w:r w:rsidRPr="77045F06">
        <w:rPr>
          <w:color w:val="000000" w:themeColor="text1"/>
          <w:sz w:val="22"/>
          <w:szCs w:val="22"/>
        </w:rPr>
        <w:t>centred care by bringing individuals, families, social care staff and health professionals together. The Care Act 2014 promotes cooperation between local authorities and partners, while the Health and Care Act 2022 supports integrated working. Collaboration can reduce fragmented support and improve consistency. For example, staff supporting a person with learning disabilities may need to work with clinicians and social workers to understand communication preferences and triggers.</w:t>
      </w:r>
    </w:p>
    <w:p w14:paraId="31303AEC" w14:textId="5EC23295" w:rsidR="00262EA1" w:rsidRDefault="182A91B1" w:rsidP="77045F06">
      <w:pPr>
        <w:spacing w:before="240" w:after="240" w:line="360" w:lineRule="auto"/>
        <w:rPr>
          <w:color w:val="000000" w:themeColor="text1"/>
          <w:sz w:val="22"/>
          <w:szCs w:val="22"/>
        </w:rPr>
      </w:pPr>
      <w:r w:rsidRPr="77045F06">
        <w:rPr>
          <w:color w:val="000000" w:themeColor="text1"/>
          <w:sz w:val="22"/>
          <w:szCs w:val="22"/>
        </w:rPr>
        <w:t>However, partnership working is not automatically effective. Conflicting priorities, unclear responsibilities and poor communication can undermine collaboration. Information</w:t>
      </w:r>
      <w:r w:rsidR="0703768A" w:rsidRPr="77045F06">
        <w:rPr>
          <w:color w:val="000000" w:themeColor="text1"/>
          <w:sz w:val="22"/>
          <w:szCs w:val="22"/>
        </w:rPr>
        <w:t xml:space="preserve"> </w:t>
      </w:r>
      <w:r w:rsidRPr="77045F06">
        <w:rPr>
          <w:color w:val="000000" w:themeColor="text1"/>
          <w:sz w:val="22"/>
          <w:szCs w:val="22"/>
        </w:rPr>
        <w:t>sharing may threaten privacy if excessive or lacking a lawful basis. The Data Protection Act 2018 and UK GDPR require personal information to be handled lawfully and proportionately. Effective partnership requires clear responsibilities, consent where appropriate and meaningful involvement of the individual.</w:t>
      </w:r>
    </w:p>
    <w:p w14:paraId="5FCF15B4" w14:textId="705FF3D0" w:rsidR="00262EA1" w:rsidRDefault="182A91B1" w:rsidP="77045F06">
      <w:pPr>
        <w:spacing w:before="240" w:after="240" w:line="360" w:lineRule="auto"/>
        <w:rPr>
          <w:color w:val="000000" w:themeColor="text1"/>
          <w:sz w:val="22"/>
          <w:szCs w:val="22"/>
        </w:rPr>
      </w:pPr>
      <w:r w:rsidRPr="77045F06">
        <w:rPr>
          <w:color w:val="000000" w:themeColor="text1"/>
          <w:sz w:val="22"/>
          <w:szCs w:val="22"/>
        </w:rPr>
        <w:t>Ethical practice provides a framework for managing competing demands. Beauchamp and Childress (2019) identify autonomy, beneficence, non</w:t>
      </w:r>
      <w:r w:rsidR="000E29FC">
        <w:t>-</w:t>
      </w:r>
      <w:r w:rsidRPr="77045F06">
        <w:rPr>
          <w:color w:val="000000" w:themeColor="text1"/>
          <w:sz w:val="22"/>
          <w:szCs w:val="22"/>
        </w:rPr>
        <w:t>maleficence and justice as key principles. These can conflict supporting an activity may promote autonomy and wellbeing while presenting risk. Ethical responses should consider wishes, likelihood and severity of harm, safeguards and less restrictive alternatives.</w:t>
      </w:r>
    </w:p>
    <w:p w14:paraId="4B2FF570" w14:textId="1214FD34" w:rsidR="00262EA1" w:rsidRDefault="182A91B1" w:rsidP="77045F06">
      <w:pPr>
        <w:spacing w:before="240" w:after="240" w:line="360" w:lineRule="auto"/>
        <w:rPr>
          <w:color w:val="000000" w:themeColor="text1"/>
          <w:sz w:val="22"/>
          <w:szCs w:val="22"/>
        </w:rPr>
      </w:pPr>
      <w:r w:rsidRPr="77045F06">
        <w:rPr>
          <w:color w:val="000000" w:themeColor="text1"/>
          <w:sz w:val="22"/>
          <w:szCs w:val="22"/>
        </w:rPr>
        <w:t>The Mental Capacity Act 2005 provides a legal framework requiring a presumption of capacity, practicable support to help individuals decide and recognition that unwise decisions do not indicate incapacity. Where capacity is lacking, decisions must follow the best</w:t>
      </w:r>
      <w:r w:rsidR="00DE6B17">
        <w:noBreakHyphen/>
      </w:r>
      <w:r w:rsidRPr="77045F06">
        <w:rPr>
          <w:color w:val="000000" w:themeColor="text1"/>
          <w:sz w:val="22"/>
          <w:szCs w:val="22"/>
        </w:rPr>
        <w:t>interests framework and consider less restrictive options. The Equality Act 2010 protects disabled people from discrimination and requires reasonable adjustments.</w:t>
      </w:r>
    </w:p>
    <w:p w14:paraId="4E9A3110" w14:textId="65C38F7C" w:rsidR="00262EA1" w:rsidRDefault="182A91B1" w:rsidP="77045F06">
      <w:pPr>
        <w:spacing w:before="240" w:after="240" w:line="360" w:lineRule="auto"/>
        <w:rPr>
          <w:color w:val="000000" w:themeColor="text1"/>
          <w:sz w:val="22"/>
          <w:szCs w:val="22"/>
        </w:rPr>
      </w:pPr>
      <w:r w:rsidRPr="77045F06">
        <w:rPr>
          <w:color w:val="000000" w:themeColor="text1"/>
          <w:sz w:val="22"/>
          <w:szCs w:val="22"/>
        </w:rPr>
        <w:t>Overall, person</w:t>
      </w:r>
      <w:r w:rsidR="002A03C4">
        <w:t xml:space="preserve"> </w:t>
      </w:r>
      <w:r w:rsidRPr="77045F06">
        <w:rPr>
          <w:color w:val="000000" w:themeColor="text1"/>
          <w:sz w:val="22"/>
          <w:szCs w:val="22"/>
        </w:rPr>
        <w:t>centred care, partnership working and ethical practice are mutually reinforcing. They depend on listening, critical judgement and professional accountability, ensuring people are protected from harm without being reduced to risks to be managed.</w:t>
      </w:r>
    </w:p>
    <w:p w14:paraId="68583F18" w14:textId="77777777" w:rsidR="0061044F" w:rsidRDefault="0061044F" w:rsidP="77045F06">
      <w:pPr>
        <w:keepNext/>
        <w:keepLines/>
        <w:spacing w:line="360" w:lineRule="auto"/>
        <w:rPr>
          <w:color w:val="000000" w:themeColor="text1"/>
          <w:sz w:val="22"/>
          <w:szCs w:val="22"/>
        </w:rPr>
      </w:pPr>
    </w:p>
    <w:p w14:paraId="0A6FD1B7" w14:textId="77777777" w:rsidR="0061044F" w:rsidRDefault="0061044F" w:rsidP="77045F06">
      <w:pPr>
        <w:keepNext/>
        <w:keepLines/>
        <w:spacing w:line="360" w:lineRule="auto"/>
        <w:rPr>
          <w:color w:val="000000" w:themeColor="text1"/>
          <w:sz w:val="22"/>
          <w:szCs w:val="22"/>
        </w:rPr>
      </w:pPr>
    </w:p>
    <w:p w14:paraId="6B32959C" w14:textId="6CA17E1B" w:rsidR="00262EA1" w:rsidRDefault="182A91B1" w:rsidP="77045F06">
      <w:pPr>
        <w:keepNext/>
        <w:keepLines/>
        <w:spacing w:line="360" w:lineRule="auto"/>
        <w:rPr>
          <w:color w:val="000000" w:themeColor="text1"/>
          <w:sz w:val="22"/>
          <w:szCs w:val="22"/>
        </w:rPr>
      </w:pPr>
      <w:r w:rsidRPr="77045F06">
        <w:rPr>
          <w:color w:val="000000" w:themeColor="text1"/>
          <w:sz w:val="22"/>
          <w:szCs w:val="22"/>
        </w:rPr>
        <w:t>Task 2: Evaluate person</w:t>
      </w:r>
      <w:r w:rsidR="0061044F">
        <w:t xml:space="preserve"> </w:t>
      </w:r>
      <w:r w:rsidRPr="77045F06">
        <w:rPr>
          <w:color w:val="000000" w:themeColor="text1"/>
          <w:sz w:val="22"/>
          <w:szCs w:val="22"/>
        </w:rPr>
        <w:t>centred care, partnership working and ethical practice in Robyn’s case</w:t>
      </w:r>
    </w:p>
    <w:p w14:paraId="023677AE" w14:textId="34C1B859" w:rsidR="00262EA1" w:rsidRDefault="182A91B1" w:rsidP="77045F06">
      <w:pPr>
        <w:spacing w:before="240" w:after="240" w:line="360" w:lineRule="auto"/>
        <w:rPr>
          <w:color w:val="000000" w:themeColor="text1"/>
          <w:sz w:val="22"/>
          <w:szCs w:val="22"/>
        </w:rPr>
      </w:pPr>
      <w:r w:rsidRPr="77045F06">
        <w:rPr>
          <w:color w:val="000000" w:themeColor="text1"/>
          <w:sz w:val="22"/>
          <w:szCs w:val="22"/>
        </w:rPr>
        <w:t>Robyn sustained a spinal injury in 2006, aged 21, resulting in tetraplegia and the need for 2</w:t>
      </w:r>
      <w:r w:rsidR="00412137">
        <w:rPr>
          <w:color w:val="000000" w:themeColor="text1"/>
          <w:sz w:val="22"/>
          <w:szCs w:val="22"/>
        </w:rPr>
        <w:t xml:space="preserve">4 </w:t>
      </w:r>
      <w:r w:rsidRPr="77045F06">
        <w:rPr>
          <w:color w:val="000000" w:themeColor="text1"/>
          <w:sz w:val="22"/>
          <w:szCs w:val="22"/>
        </w:rPr>
        <w:t>hour support. Her experience shows how a care package can meet physical needs while failing to support independence, continuity and meaningful participation. The agency arrangement involved high staff turnover, with 36 personal assistants supporting her during 2014. Some staff were unsuitable due to allergies, fear of animals or inability to drive, affecting her ability to access her ponies and maintain her lifestyle. This demonstrates that the presence of a care service does not guarantee person</w:t>
      </w:r>
      <w:r w:rsidR="00DE6B17">
        <w:noBreakHyphen/>
      </w:r>
      <w:r w:rsidRPr="77045F06">
        <w:rPr>
          <w:color w:val="000000" w:themeColor="text1"/>
          <w:sz w:val="22"/>
          <w:szCs w:val="22"/>
        </w:rPr>
        <w:t>centred support.</w:t>
      </w:r>
    </w:p>
    <w:p w14:paraId="0D5240A0" w14:textId="0EB3FCA7" w:rsidR="00262EA1" w:rsidRDefault="182A91B1" w:rsidP="77045F06">
      <w:pPr>
        <w:spacing w:before="240" w:after="240" w:line="360" w:lineRule="auto"/>
        <w:rPr>
          <w:color w:val="000000" w:themeColor="text1"/>
          <w:sz w:val="22"/>
          <w:szCs w:val="22"/>
        </w:rPr>
      </w:pPr>
      <w:r w:rsidRPr="77045F06">
        <w:rPr>
          <w:color w:val="000000" w:themeColor="text1"/>
          <w:sz w:val="22"/>
          <w:szCs w:val="22"/>
        </w:rPr>
        <w:t>Person</w:t>
      </w:r>
      <w:r w:rsidR="00412137">
        <w:t xml:space="preserve"> </w:t>
      </w:r>
      <w:r w:rsidRPr="77045F06">
        <w:rPr>
          <w:color w:val="000000" w:themeColor="text1"/>
          <w:sz w:val="22"/>
          <w:szCs w:val="22"/>
        </w:rPr>
        <w:t>centred care should consider the whole person, including relationships, interests and community participation. Robyn’s interest in animals and desire to remain active were central to her quality of life. The agency model created a mismatch between the support provided and the life she wanted. Frequent staff changes affected trust, communication and consistency. Ethically, this raises questions about autonomy and justice: physical support needs should not create unnecessary barriers to meaningful activities.</w:t>
      </w:r>
    </w:p>
    <w:p w14:paraId="2DDD39F4" w14:textId="7AB8CBC7" w:rsidR="00262EA1" w:rsidRDefault="182A91B1" w:rsidP="77045F06">
      <w:pPr>
        <w:spacing w:before="240" w:after="240" w:line="360" w:lineRule="auto"/>
        <w:rPr>
          <w:color w:val="000000" w:themeColor="text1"/>
          <w:sz w:val="22"/>
          <w:szCs w:val="22"/>
        </w:rPr>
      </w:pPr>
      <w:r w:rsidRPr="77045F06">
        <w:rPr>
          <w:color w:val="000000" w:themeColor="text1"/>
          <w:sz w:val="22"/>
          <w:szCs w:val="22"/>
        </w:rPr>
        <w:t>It is inaccurate to assume agency care is inherently unsuitable. Agencies can offer recruitment, supervision and emergency cover when well managed. The issue was the mismatch between the arrangement and Robyn’s needs. Person</w:t>
      </w:r>
      <w:r w:rsidR="00E2470B">
        <w:t xml:space="preserve"> </w:t>
      </w:r>
      <w:r w:rsidRPr="77045F06">
        <w:rPr>
          <w:color w:val="000000" w:themeColor="text1"/>
          <w:sz w:val="22"/>
          <w:szCs w:val="22"/>
        </w:rPr>
        <w:t>centred practice should evaluate whether a service works for the individual rather than assume one model is always better.</w:t>
      </w:r>
    </w:p>
    <w:p w14:paraId="1210CC2A" w14:textId="63D70F85" w:rsidR="00262EA1" w:rsidRDefault="182A91B1" w:rsidP="77045F06">
      <w:pPr>
        <w:spacing w:before="240" w:after="240" w:line="360" w:lineRule="auto"/>
        <w:rPr>
          <w:color w:val="000000" w:themeColor="text1"/>
          <w:sz w:val="22"/>
          <w:szCs w:val="22"/>
        </w:rPr>
      </w:pPr>
      <w:r w:rsidRPr="77045F06">
        <w:rPr>
          <w:color w:val="000000" w:themeColor="text1"/>
          <w:sz w:val="22"/>
          <w:szCs w:val="22"/>
        </w:rPr>
        <w:t>Robyn pursued a personal health budget (PHB), working with a PHB nurse and Personal Budget Support Service. The process took around 18 months, and her early plan was insufficiently personalised. Delays and poor communication undermined autonomy. Offering a personal budget does not automatically produce choice; the process must be accessible and responsive.</w:t>
      </w:r>
    </w:p>
    <w:p w14:paraId="7BC661BA" w14:textId="1CC06232" w:rsidR="00262EA1" w:rsidRDefault="182A91B1" w:rsidP="77045F06">
      <w:pPr>
        <w:spacing w:before="240" w:after="240" w:line="360" w:lineRule="auto"/>
        <w:rPr>
          <w:color w:val="000000" w:themeColor="text1"/>
          <w:sz w:val="22"/>
          <w:szCs w:val="22"/>
        </w:rPr>
      </w:pPr>
      <w:r w:rsidRPr="77045F06">
        <w:rPr>
          <w:color w:val="000000" w:themeColor="text1"/>
          <w:sz w:val="22"/>
          <w:szCs w:val="22"/>
        </w:rPr>
        <w:t>Later changes aligned more closely with person</w:t>
      </w:r>
      <w:r w:rsidR="00DE6B17">
        <w:noBreakHyphen/>
      </w:r>
      <w:r w:rsidRPr="77045F06">
        <w:rPr>
          <w:color w:val="000000" w:themeColor="text1"/>
          <w:sz w:val="22"/>
          <w:szCs w:val="22"/>
        </w:rPr>
        <w:t>centred principles. Robyn rewrote her plan, employed two full</w:t>
      </w:r>
      <w:r w:rsidR="655188EE" w:rsidRPr="77045F06">
        <w:rPr>
          <w:color w:val="000000" w:themeColor="text1"/>
          <w:sz w:val="22"/>
          <w:szCs w:val="22"/>
        </w:rPr>
        <w:t xml:space="preserve"> </w:t>
      </w:r>
      <w:r w:rsidRPr="77045F06">
        <w:rPr>
          <w:color w:val="000000" w:themeColor="text1"/>
          <w:sz w:val="22"/>
          <w:szCs w:val="22"/>
        </w:rPr>
        <w:t>time live</w:t>
      </w:r>
      <w:r w:rsidR="004A27A4">
        <w:t>-</w:t>
      </w:r>
      <w:r w:rsidR="004A27A4">
        <w:rPr>
          <w:sz w:val="22"/>
          <w:szCs w:val="22"/>
        </w:rPr>
        <w:t>in</w:t>
      </w:r>
      <w:r w:rsidR="004A27A4" w:rsidRPr="77045F06">
        <w:rPr>
          <w:color w:val="000000" w:themeColor="text1"/>
          <w:sz w:val="22"/>
          <w:szCs w:val="22"/>
        </w:rPr>
        <w:t xml:space="preserve"> personal</w:t>
      </w:r>
      <w:r w:rsidRPr="77045F06">
        <w:rPr>
          <w:color w:val="000000" w:themeColor="text1"/>
          <w:sz w:val="22"/>
          <w:szCs w:val="22"/>
        </w:rPr>
        <w:t xml:space="preserve"> assistants, organised a rota and arranged backup support. The number of assistants fell to five during the third year. Greater continuity enabled her to pursue work with animals, carriage driving and social activities, and </w:t>
      </w:r>
      <w:r w:rsidRPr="77045F06">
        <w:rPr>
          <w:color w:val="000000" w:themeColor="text1"/>
          <w:sz w:val="22"/>
          <w:szCs w:val="22"/>
        </w:rPr>
        <w:lastRenderedPageBreak/>
        <w:t>contribute to NHS England’s Personalised Care Group. Support designed around her priorities helped her exercise greater control and participate in community life.</w:t>
      </w:r>
    </w:p>
    <w:p w14:paraId="7B0F40F7" w14:textId="7CEFBAE9" w:rsidR="00262EA1" w:rsidRDefault="182A91B1" w:rsidP="77045F06">
      <w:pPr>
        <w:spacing w:before="240" w:after="240" w:line="360" w:lineRule="auto"/>
        <w:rPr>
          <w:color w:val="000000" w:themeColor="text1"/>
          <w:sz w:val="22"/>
          <w:szCs w:val="22"/>
        </w:rPr>
      </w:pPr>
      <w:r w:rsidRPr="77045F06">
        <w:rPr>
          <w:color w:val="000000" w:themeColor="text1"/>
          <w:sz w:val="22"/>
          <w:szCs w:val="22"/>
        </w:rPr>
        <w:t>Partnership working was essential. Robyn engaged with health professionals, budget support services and people assisting with employment responsibilities. Professionals provided expertise, but meaningful involvement ensured her priorities shaped the plan. Treating people as active partners supports autonomy and effective care.</w:t>
      </w:r>
    </w:p>
    <w:p w14:paraId="5F6C428D" w14:textId="1D717A97" w:rsidR="00262EA1" w:rsidRDefault="182A91B1" w:rsidP="77045F06">
      <w:pPr>
        <w:spacing w:before="240" w:after="240" w:line="360" w:lineRule="auto"/>
        <w:rPr>
          <w:color w:val="000000" w:themeColor="text1"/>
          <w:sz w:val="22"/>
          <w:szCs w:val="22"/>
        </w:rPr>
      </w:pPr>
      <w:r w:rsidRPr="77045F06">
        <w:rPr>
          <w:color w:val="000000" w:themeColor="text1"/>
          <w:sz w:val="22"/>
          <w:szCs w:val="22"/>
        </w:rPr>
        <w:t>However, PHBs can transfer significant responsibility to individuals. Recruiting staff, managing rotas and meeting employment obligations can be stressful. Personalised funding must be accompanied by practical support and contingency planning otherwise, choice may exist in theory but be difficult to exercise.</w:t>
      </w:r>
    </w:p>
    <w:p w14:paraId="3A63968A" w14:textId="6B1A9837" w:rsidR="00262EA1" w:rsidRDefault="182A91B1" w:rsidP="77045F06">
      <w:pPr>
        <w:spacing w:before="240" w:after="240" w:line="360" w:lineRule="auto"/>
        <w:rPr>
          <w:color w:val="000000" w:themeColor="text1"/>
          <w:sz w:val="22"/>
          <w:szCs w:val="22"/>
        </w:rPr>
      </w:pPr>
      <w:r w:rsidRPr="77045F06">
        <w:rPr>
          <w:color w:val="000000" w:themeColor="text1"/>
          <w:sz w:val="22"/>
          <w:szCs w:val="22"/>
        </w:rPr>
        <w:t>Ethically, Robyn’s case reflects autonomy, beneficence and justice. Greater control respected her right to shape her life, while continuity supported wellbeing. Justice requires meaningful opportunities for participation, not just basic physical support. The Equality Act 2010 and Care Act 2014 support the argument that care should enable a meaningful life.</w:t>
      </w:r>
    </w:p>
    <w:p w14:paraId="671C757A" w14:textId="36A0FA51" w:rsidR="00262EA1" w:rsidRDefault="182A91B1" w:rsidP="77045F06">
      <w:pPr>
        <w:spacing w:before="240" w:after="240" w:line="360" w:lineRule="auto"/>
        <w:rPr>
          <w:color w:val="000000" w:themeColor="text1"/>
          <w:sz w:val="22"/>
          <w:szCs w:val="22"/>
        </w:rPr>
      </w:pPr>
      <w:r w:rsidRPr="77045F06">
        <w:rPr>
          <w:color w:val="000000" w:themeColor="text1"/>
          <w:sz w:val="22"/>
          <w:szCs w:val="22"/>
        </w:rPr>
        <w:t>Overall, Robyn’s experience shows that effective person</w:t>
      </w:r>
      <w:r w:rsidR="002F0C0B">
        <w:t xml:space="preserve"> </w:t>
      </w:r>
      <w:r w:rsidRPr="77045F06">
        <w:rPr>
          <w:color w:val="000000" w:themeColor="text1"/>
          <w:sz w:val="22"/>
          <w:szCs w:val="22"/>
        </w:rPr>
        <w:t>centred care requires genuine control, responsive partnership and ethical attention to outcomes. Improvement depended on tailoring the plan to her priorities and supporting implementation.</w:t>
      </w:r>
    </w:p>
    <w:p w14:paraId="0D6A53BC" w14:textId="57F9DFA5" w:rsidR="00262EA1" w:rsidRDefault="182A91B1" w:rsidP="77045F06">
      <w:pPr>
        <w:keepNext/>
        <w:keepLines/>
        <w:spacing w:line="360" w:lineRule="auto"/>
        <w:rPr>
          <w:color w:val="000000" w:themeColor="text1"/>
          <w:sz w:val="22"/>
          <w:szCs w:val="22"/>
        </w:rPr>
      </w:pPr>
      <w:r w:rsidRPr="77045F06">
        <w:rPr>
          <w:color w:val="000000" w:themeColor="text1"/>
          <w:sz w:val="22"/>
          <w:szCs w:val="22"/>
        </w:rPr>
        <w:t>Task 3: Reflect on myself as a health and social care professional</w:t>
      </w:r>
    </w:p>
    <w:p w14:paraId="2C761D10" w14:textId="0923F8E7" w:rsidR="00262EA1" w:rsidRDefault="182A91B1" w:rsidP="77045F06">
      <w:pPr>
        <w:spacing w:before="240" w:after="240" w:line="360" w:lineRule="auto"/>
        <w:rPr>
          <w:color w:val="000000" w:themeColor="text1"/>
          <w:sz w:val="22"/>
          <w:szCs w:val="22"/>
        </w:rPr>
      </w:pPr>
      <w:r w:rsidRPr="77045F06">
        <w:rPr>
          <w:color w:val="000000" w:themeColor="text1"/>
          <w:sz w:val="22"/>
          <w:szCs w:val="22"/>
        </w:rPr>
        <w:t>Gibbs (1988) reflective cycle provides a structured way to examine professional experiences. Reflection is important because experience alone does not guarantee learning. My work across a domestic violence refuge, supported living and a homeless hostel has exposed me to people experiencing trauma, homelessness, mental health difficulties, substance use and learning disabilities, reinforcing the importance of dignity, boundaries and individualised support.</w:t>
      </w:r>
    </w:p>
    <w:p w14:paraId="79AF7E71" w14:textId="43E0252B" w:rsidR="00262EA1" w:rsidRDefault="182A91B1" w:rsidP="77045F06">
      <w:pPr>
        <w:spacing w:before="240" w:after="240" w:line="360" w:lineRule="auto"/>
        <w:rPr>
          <w:color w:val="000000" w:themeColor="text1"/>
          <w:sz w:val="22"/>
          <w:szCs w:val="22"/>
        </w:rPr>
      </w:pPr>
      <w:r w:rsidRPr="77045F06">
        <w:rPr>
          <w:color w:val="000000" w:themeColor="text1"/>
          <w:sz w:val="22"/>
          <w:szCs w:val="22"/>
        </w:rPr>
        <w:t>One significant experience occurred in supported living with a young woman with learning disabilities and paranoid schizophrenia. She could display aggression, and some situations felt frightening. I developed a positive relationship by recognising her interests and what mattered to her. Supporting activities she valued, including museum visits, promoted participation in ordinary community life.</w:t>
      </w:r>
    </w:p>
    <w:p w14:paraId="1C77AA34" w14:textId="34B7FAD3" w:rsidR="00262EA1" w:rsidRDefault="182A91B1" w:rsidP="77045F06">
      <w:pPr>
        <w:spacing w:before="240" w:after="240" w:line="360" w:lineRule="auto"/>
        <w:rPr>
          <w:color w:val="000000" w:themeColor="text1"/>
          <w:sz w:val="22"/>
          <w:szCs w:val="22"/>
        </w:rPr>
      </w:pPr>
      <w:r w:rsidRPr="77045F06">
        <w:rPr>
          <w:color w:val="000000" w:themeColor="text1"/>
          <w:sz w:val="22"/>
          <w:szCs w:val="22"/>
        </w:rPr>
        <w:t xml:space="preserve">Balancing my feelings about safety with respectful practice was essential. Feeling frightened was understandable, but I needed to avoid allowing it to determine how I viewed or treated </w:t>
      </w:r>
      <w:r w:rsidRPr="77045F06">
        <w:rPr>
          <w:color w:val="000000" w:themeColor="text1"/>
          <w:sz w:val="22"/>
          <w:szCs w:val="22"/>
        </w:rPr>
        <w:lastRenderedPageBreak/>
        <w:t>her. Using approaches appropriate to her support needs, including redirection strategies, helped maintain dignity and safety.</w:t>
      </w:r>
    </w:p>
    <w:p w14:paraId="1DE7F72C" w14:textId="0C60DE9A" w:rsidR="00262EA1" w:rsidRDefault="182A91B1" w:rsidP="77045F06">
      <w:pPr>
        <w:spacing w:before="240" w:after="240" w:line="360" w:lineRule="auto"/>
        <w:rPr>
          <w:color w:val="000000" w:themeColor="text1"/>
          <w:sz w:val="22"/>
          <w:szCs w:val="22"/>
        </w:rPr>
      </w:pPr>
      <w:r w:rsidRPr="77045F06">
        <w:rPr>
          <w:color w:val="000000" w:themeColor="text1"/>
          <w:sz w:val="22"/>
          <w:szCs w:val="22"/>
        </w:rPr>
        <w:t>A strength in my practice was building rapport and identifying common ground. Supporting meaningful activities recognised her identity beyond the care environment and reflected person</w:t>
      </w:r>
      <w:r w:rsidR="00D27FA9">
        <w:t xml:space="preserve"> </w:t>
      </w:r>
      <w:r w:rsidRPr="77045F06">
        <w:rPr>
          <w:color w:val="000000" w:themeColor="text1"/>
          <w:sz w:val="22"/>
          <w:szCs w:val="22"/>
        </w:rPr>
        <w:t>centred care. Another strength was taking initiative while remaining mindful of support strategies. However, a good relationship is not enough on its own staff must follow procedures, communicate concerns and seek support when risks arise.</w:t>
      </w:r>
    </w:p>
    <w:p w14:paraId="38289E34" w14:textId="277D58AC" w:rsidR="00262EA1" w:rsidRDefault="182A91B1" w:rsidP="77045F06">
      <w:pPr>
        <w:spacing w:before="240" w:after="240" w:line="360" w:lineRule="auto"/>
        <w:rPr>
          <w:color w:val="000000" w:themeColor="text1"/>
          <w:sz w:val="22"/>
          <w:szCs w:val="22"/>
        </w:rPr>
      </w:pPr>
      <w:r w:rsidRPr="77045F06">
        <w:rPr>
          <w:color w:val="000000" w:themeColor="text1"/>
          <w:sz w:val="22"/>
          <w:szCs w:val="22"/>
        </w:rPr>
        <w:t>This experience deepened my understanding of person</w:t>
      </w:r>
      <w:r w:rsidR="00D27FA9">
        <w:t xml:space="preserve"> </w:t>
      </w:r>
      <w:r w:rsidRPr="77045F06">
        <w:rPr>
          <w:color w:val="000000" w:themeColor="text1"/>
          <w:sz w:val="22"/>
          <w:szCs w:val="22"/>
        </w:rPr>
        <w:t>centred care. It involves understanding what makes life meaningful and supporting participation. It also challenged assumptions that diagnoses explain behaviour. Behaviour can reflect distress, communication difficulties or environmental pressures. NICE (2015) emphasises understanding the function of behaviour and considering personal and environmental factors. Positive behaviour support can help identify patterns and prevent avoidable distress.</w:t>
      </w:r>
    </w:p>
    <w:p w14:paraId="286DA6D3" w14:textId="0551A906" w:rsidR="00262EA1" w:rsidRDefault="182A91B1" w:rsidP="77045F06">
      <w:pPr>
        <w:spacing w:before="240" w:after="240" w:line="360" w:lineRule="auto"/>
        <w:rPr>
          <w:color w:val="000000" w:themeColor="text1"/>
          <w:sz w:val="22"/>
          <w:szCs w:val="22"/>
        </w:rPr>
      </w:pPr>
      <w:r w:rsidRPr="77045F06">
        <w:rPr>
          <w:color w:val="000000" w:themeColor="text1"/>
          <w:sz w:val="22"/>
          <w:szCs w:val="22"/>
        </w:rPr>
        <w:t>Ethical principles were relevant. Beneficence involved supporting wellbeing, non</w:t>
      </w:r>
      <w:r w:rsidR="00DE6B17">
        <w:noBreakHyphen/>
      </w:r>
      <w:r w:rsidRPr="77045F06">
        <w:rPr>
          <w:color w:val="000000" w:themeColor="text1"/>
          <w:sz w:val="22"/>
          <w:szCs w:val="22"/>
        </w:rPr>
        <w:t>maleficence required considering safety and autonomy involved respecting preferences. These principles can come into tension when activities appear risky. Proportionate risk assessment and exploring safer alternatives help avoid unnecessary restrictions. The Mental Capacity Act 2005 reminds practitioners that capacity is decision</w:t>
      </w:r>
      <w:r w:rsidR="4A607224" w:rsidRPr="77045F06">
        <w:rPr>
          <w:color w:val="000000" w:themeColor="text1"/>
          <w:sz w:val="22"/>
          <w:szCs w:val="22"/>
        </w:rPr>
        <w:t xml:space="preserve"> </w:t>
      </w:r>
      <w:r w:rsidRPr="77045F06">
        <w:rPr>
          <w:color w:val="000000" w:themeColor="text1"/>
          <w:sz w:val="22"/>
          <w:szCs w:val="22"/>
        </w:rPr>
        <w:t>specific and unwise decisions do not indicate incapacity.</w:t>
      </w:r>
    </w:p>
    <w:p w14:paraId="360B7D9A" w14:textId="5A165F75" w:rsidR="00262EA1" w:rsidRDefault="182A91B1" w:rsidP="77045F06">
      <w:pPr>
        <w:spacing w:before="240" w:after="240" w:line="360" w:lineRule="auto"/>
        <w:rPr>
          <w:color w:val="000000" w:themeColor="text1"/>
          <w:sz w:val="22"/>
          <w:szCs w:val="22"/>
        </w:rPr>
      </w:pPr>
      <w:r w:rsidRPr="77045F06">
        <w:rPr>
          <w:color w:val="000000" w:themeColor="text1"/>
          <w:sz w:val="22"/>
          <w:szCs w:val="22"/>
        </w:rPr>
        <w:t>Consistency and partnership also matter. Information about preferences and effective strategies must be shared appropriately to ensure consistent support. This requires accurate records, professional communication and respect for confidentiality under the Data Protection Act 2018 and UK GDPR. Partnership working supports consistency, although staff must still exercise judgement.</w:t>
      </w:r>
    </w:p>
    <w:p w14:paraId="2A49F9CB" w14:textId="4848D824" w:rsidR="00262EA1" w:rsidRDefault="182A91B1" w:rsidP="77045F06">
      <w:pPr>
        <w:spacing w:before="240" w:after="240" w:line="360" w:lineRule="auto"/>
        <w:rPr>
          <w:color w:val="000000" w:themeColor="text1"/>
          <w:sz w:val="22"/>
          <w:szCs w:val="22"/>
        </w:rPr>
      </w:pPr>
      <w:r w:rsidRPr="77045F06">
        <w:rPr>
          <w:color w:val="000000" w:themeColor="text1"/>
          <w:sz w:val="22"/>
          <w:szCs w:val="22"/>
        </w:rPr>
        <w:t>My work in domestic violence and homelessness reinforced the importance of understanding behaviour within wider contexts. Trauma, unstable housing and mental health needs affect trust and engagement. Compassion must be balanced with boundaries and safeguarding responsibilities.</w:t>
      </w:r>
    </w:p>
    <w:p w14:paraId="73BF4C3B" w14:textId="28BC4EC8" w:rsidR="00262EA1" w:rsidRDefault="182A91B1" w:rsidP="77045F06">
      <w:pPr>
        <w:spacing w:before="240" w:after="240" w:line="360" w:lineRule="auto"/>
        <w:rPr>
          <w:color w:val="000000" w:themeColor="text1"/>
          <w:sz w:val="22"/>
          <w:szCs w:val="22"/>
        </w:rPr>
      </w:pPr>
      <w:r w:rsidRPr="77045F06">
        <w:rPr>
          <w:color w:val="000000" w:themeColor="text1"/>
          <w:sz w:val="22"/>
          <w:szCs w:val="22"/>
        </w:rPr>
        <w:t>Reflecting on this experience, I recognise relationship</w:t>
      </w:r>
      <w:r w:rsidR="2F114B88" w:rsidRPr="77045F06">
        <w:rPr>
          <w:color w:val="000000" w:themeColor="text1"/>
          <w:sz w:val="22"/>
          <w:szCs w:val="22"/>
        </w:rPr>
        <w:t xml:space="preserve"> </w:t>
      </w:r>
      <w:r w:rsidRPr="77045F06">
        <w:rPr>
          <w:color w:val="000000" w:themeColor="text1"/>
          <w:sz w:val="22"/>
          <w:szCs w:val="22"/>
        </w:rPr>
        <w:t>building, patience and initiative as strengths. I also recognise that frightening situations require careful professional responses. I need to continue developing my ability to explain decisions, evaluate outcomes and seek advice when risks exceed my knowledge.</w:t>
      </w:r>
    </w:p>
    <w:p w14:paraId="4A54BBA3" w14:textId="319B21CA" w:rsidR="00262EA1" w:rsidRDefault="182A91B1" w:rsidP="77045F06">
      <w:pPr>
        <w:spacing w:before="240" w:after="240" w:line="360" w:lineRule="auto"/>
        <w:rPr>
          <w:color w:val="000000" w:themeColor="text1"/>
          <w:sz w:val="22"/>
          <w:szCs w:val="22"/>
        </w:rPr>
      </w:pPr>
      <w:r w:rsidRPr="77045F06">
        <w:rPr>
          <w:color w:val="000000" w:themeColor="text1"/>
          <w:sz w:val="22"/>
          <w:szCs w:val="22"/>
        </w:rPr>
        <w:lastRenderedPageBreak/>
        <w:t>To improve my practice, I will continue developing my understanding of person</w:t>
      </w:r>
      <w:r w:rsidR="00303984">
        <w:t xml:space="preserve"> </w:t>
      </w:r>
      <w:r w:rsidRPr="77045F06">
        <w:rPr>
          <w:color w:val="000000" w:themeColor="text1"/>
          <w:sz w:val="22"/>
          <w:szCs w:val="22"/>
        </w:rPr>
        <w:t>centred care and positive behaviour support, using supervision to reflect on difficult situations. I will ensure records are factual and respectful, share information appropriately and review care plans before activities. I will seek training and feedback to support ongoing professional development.</w:t>
      </w:r>
    </w:p>
    <w:p w14:paraId="23C427E1" w14:textId="7138FB84" w:rsidR="00262EA1" w:rsidRDefault="182A91B1" w:rsidP="77045F06">
      <w:pPr>
        <w:keepNext/>
        <w:keepLines/>
        <w:spacing w:line="360" w:lineRule="auto"/>
        <w:rPr>
          <w:color w:val="000000" w:themeColor="text1"/>
          <w:sz w:val="22"/>
          <w:szCs w:val="22"/>
        </w:rPr>
      </w:pPr>
      <w:r w:rsidRPr="77045F06">
        <w:rPr>
          <w:color w:val="000000" w:themeColor="text1"/>
          <w:sz w:val="22"/>
          <w:szCs w:val="22"/>
        </w:rPr>
        <w:t>Conclusion</w:t>
      </w:r>
    </w:p>
    <w:p w14:paraId="6DF08908" w14:textId="739214D8" w:rsidR="00262EA1" w:rsidRDefault="182A91B1" w:rsidP="77045F06">
      <w:pPr>
        <w:spacing w:before="240" w:after="240" w:line="360" w:lineRule="auto"/>
        <w:rPr>
          <w:color w:val="000000" w:themeColor="text1"/>
          <w:sz w:val="22"/>
          <w:szCs w:val="22"/>
        </w:rPr>
      </w:pPr>
      <w:r w:rsidRPr="77045F06">
        <w:rPr>
          <w:color w:val="000000" w:themeColor="text1"/>
          <w:sz w:val="22"/>
          <w:szCs w:val="22"/>
        </w:rPr>
        <w:t>This report has demonstrated that person</w:t>
      </w:r>
      <w:r w:rsidR="00DE6B17">
        <w:noBreakHyphen/>
      </w:r>
      <w:r w:rsidRPr="77045F06">
        <w:rPr>
          <w:color w:val="000000" w:themeColor="text1"/>
          <w:sz w:val="22"/>
          <w:szCs w:val="22"/>
        </w:rPr>
        <w:t>centred care, partnership working and ethical practice are essential to effective health and social care. Robyn’s case shows that personalised support improves autonomy and participation when systems respond to individual priorities. My own experience highlights the importance of dignity, meaningful relationships, proportionate risk management and reflection. Ongoing professional development will help me combine compassion with evidence</w:t>
      </w:r>
      <w:r w:rsidR="581DC3C5" w:rsidRPr="77045F06">
        <w:rPr>
          <w:color w:val="000000" w:themeColor="text1"/>
          <w:sz w:val="22"/>
          <w:szCs w:val="22"/>
        </w:rPr>
        <w:t xml:space="preserve"> </w:t>
      </w:r>
      <w:r w:rsidRPr="77045F06">
        <w:rPr>
          <w:color w:val="000000" w:themeColor="text1"/>
          <w:sz w:val="22"/>
          <w:szCs w:val="22"/>
        </w:rPr>
        <w:t>informed practice, safeguarding and accountability.</w:t>
      </w:r>
    </w:p>
    <w:p w14:paraId="50BCDA72" w14:textId="42D4D35A" w:rsidR="00262EA1" w:rsidRDefault="00262EA1" w:rsidP="77045F06">
      <w:pPr>
        <w:spacing w:before="240" w:after="240" w:line="360" w:lineRule="auto"/>
        <w:rPr>
          <w:color w:val="000000" w:themeColor="text1"/>
          <w:sz w:val="22"/>
          <w:szCs w:val="22"/>
        </w:rPr>
      </w:pPr>
    </w:p>
    <w:p w14:paraId="1EF89830" w14:textId="1295DB67" w:rsidR="00262EA1" w:rsidRDefault="182A91B1" w:rsidP="77045F06">
      <w:pPr>
        <w:keepNext/>
        <w:keepLines/>
        <w:spacing w:line="360" w:lineRule="auto"/>
        <w:rPr>
          <w:color w:val="000000" w:themeColor="text1"/>
          <w:sz w:val="22"/>
          <w:szCs w:val="22"/>
        </w:rPr>
      </w:pPr>
      <w:r w:rsidRPr="77045F06">
        <w:rPr>
          <w:color w:val="000000" w:themeColor="text1"/>
          <w:sz w:val="22"/>
          <w:szCs w:val="22"/>
        </w:rPr>
        <w:t xml:space="preserve">Reference list </w:t>
      </w:r>
    </w:p>
    <w:p w14:paraId="6CDD8D9E" w14:textId="43329A24" w:rsidR="00262EA1" w:rsidRDefault="182A91B1" w:rsidP="77045F06">
      <w:pPr>
        <w:spacing w:before="240" w:after="240" w:line="360" w:lineRule="auto"/>
        <w:rPr>
          <w:color w:val="000000" w:themeColor="text1"/>
          <w:sz w:val="22"/>
          <w:szCs w:val="22"/>
        </w:rPr>
      </w:pPr>
      <w:r w:rsidRPr="77045F06">
        <w:rPr>
          <w:color w:val="000000" w:themeColor="text1"/>
          <w:sz w:val="22"/>
          <w:szCs w:val="22"/>
        </w:rPr>
        <w:t xml:space="preserve">Beauchamp, T.L. and Childress, J.F. (2019) </w:t>
      </w:r>
      <w:r w:rsidRPr="77045F06">
        <w:rPr>
          <w:i/>
          <w:iCs/>
          <w:color w:val="000000" w:themeColor="text1"/>
          <w:sz w:val="22"/>
          <w:szCs w:val="22"/>
        </w:rPr>
        <w:t>Principles of Biomedical Ethics</w:t>
      </w:r>
      <w:r w:rsidRPr="77045F06">
        <w:rPr>
          <w:color w:val="000000" w:themeColor="text1"/>
          <w:sz w:val="22"/>
          <w:szCs w:val="22"/>
        </w:rPr>
        <w:t>. 8th edn. New York: Oxford University Press.</w:t>
      </w:r>
    </w:p>
    <w:p w14:paraId="7E8AB025" w14:textId="0F1E505C" w:rsidR="00262EA1" w:rsidRDefault="182A91B1" w:rsidP="77045F06">
      <w:pPr>
        <w:spacing w:before="240" w:after="240" w:line="360" w:lineRule="auto"/>
        <w:rPr>
          <w:color w:val="000000" w:themeColor="text1"/>
          <w:sz w:val="22"/>
          <w:szCs w:val="22"/>
        </w:rPr>
      </w:pPr>
      <w:r w:rsidRPr="77045F06">
        <w:rPr>
          <w:color w:val="000000" w:themeColor="text1"/>
          <w:sz w:val="22"/>
          <w:szCs w:val="22"/>
        </w:rPr>
        <w:t xml:space="preserve">Department of Health (2005). </w:t>
      </w:r>
      <w:r w:rsidRPr="77045F06">
        <w:rPr>
          <w:i/>
          <w:iCs/>
          <w:color w:val="000000" w:themeColor="text1"/>
          <w:sz w:val="22"/>
          <w:szCs w:val="22"/>
        </w:rPr>
        <w:t>Mental capacity act 2005</w:t>
      </w:r>
      <w:r w:rsidRPr="77045F06">
        <w:rPr>
          <w:color w:val="000000" w:themeColor="text1"/>
          <w:sz w:val="22"/>
          <w:szCs w:val="22"/>
        </w:rPr>
        <w:t xml:space="preserve">. [online] Available at: </w:t>
      </w:r>
      <w:hyperlink r:id="rId7">
        <w:r w:rsidRPr="77045F06">
          <w:rPr>
            <w:rStyle w:val="Hyperlink"/>
            <w:sz w:val="22"/>
            <w:szCs w:val="22"/>
          </w:rPr>
          <w:t>https://www.legislation.gov.uk/ukpga/2005/9/pdfs/ukpga_20050009_en.pdf</w:t>
        </w:r>
      </w:hyperlink>
      <w:r w:rsidRPr="77045F06">
        <w:rPr>
          <w:color w:val="000000" w:themeColor="text1"/>
          <w:sz w:val="22"/>
          <w:szCs w:val="22"/>
        </w:rPr>
        <w:t xml:space="preserve"> (Accessed 11 October. 2026).</w:t>
      </w:r>
    </w:p>
    <w:p w14:paraId="4B8CAAC1" w14:textId="23687733" w:rsidR="00262EA1" w:rsidRDefault="182A91B1" w:rsidP="77045F06">
      <w:pPr>
        <w:spacing w:after="0" w:line="360" w:lineRule="auto"/>
        <w:rPr>
          <w:color w:val="000000" w:themeColor="text1"/>
          <w:sz w:val="22"/>
          <w:szCs w:val="22"/>
        </w:rPr>
      </w:pPr>
      <w:r w:rsidRPr="77045F06">
        <w:rPr>
          <w:color w:val="000000" w:themeColor="text1"/>
          <w:sz w:val="22"/>
          <w:szCs w:val="22"/>
        </w:rPr>
        <w:t xml:space="preserve">England, N. (n.d.). </w:t>
      </w:r>
      <w:r w:rsidRPr="77045F06">
        <w:rPr>
          <w:i/>
          <w:iCs/>
          <w:color w:val="000000" w:themeColor="text1"/>
          <w:sz w:val="22"/>
          <w:szCs w:val="22"/>
        </w:rPr>
        <w:t>NHS England » Robyn’s story</w:t>
      </w:r>
      <w:r w:rsidRPr="77045F06">
        <w:rPr>
          <w:color w:val="000000" w:themeColor="text1"/>
          <w:sz w:val="22"/>
          <w:szCs w:val="22"/>
        </w:rPr>
        <w:t xml:space="preserve">. [online] England.nhs.uk. Available at: </w:t>
      </w:r>
      <w:hyperlink r:id="rId8">
        <w:r w:rsidRPr="77045F06">
          <w:rPr>
            <w:rStyle w:val="Hyperlink"/>
            <w:sz w:val="22"/>
            <w:szCs w:val="22"/>
          </w:rPr>
          <w:t>https://www.england.nhs.uk/personalisedcare/comprehensive-model/case-studies/robyns-story/</w:t>
        </w:r>
      </w:hyperlink>
      <w:r w:rsidRPr="77045F06">
        <w:rPr>
          <w:color w:val="000000" w:themeColor="text1"/>
          <w:sz w:val="22"/>
          <w:szCs w:val="22"/>
        </w:rPr>
        <w:t xml:space="preserve"> (Accessed 9 October. 2026).</w:t>
      </w:r>
    </w:p>
    <w:p w14:paraId="6EC0E190" w14:textId="1C422FFB" w:rsidR="00262EA1" w:rsidRDefault="182A91B1" w:rsidP="77045F06">
      <w:pPr>
        <w:spacing w:before="240" w:after="240" w:line="360" w:lineRule="auto"/>
        <w:rPr>
          <w:color w:val="000000" w:themeColor="text1"/>
          <w:sz w:val="22"/>
          <w:szCs w:val="22"/>
        </w:rPr>
      </w:pPr>
      <w:r w:rsidRPr="77045F06">
        <w:rPr>
          <w:color w:val="000000" w:themeColor="text1"/>
          <w:sz w:val="22"/>
          <w:szCs w:val="22"/>
        </w:rPr>
        <w:t xml:space="preserve">Gibbs, G. (1988) </w:t>
      </w:r>
      <w:r w:rsidRPr="77045F06">
        <w:rPr>
          <w:i/>
          <w:iCs/>
          <w:color w:val="000000" w:themeColor="text1"/>
          <w:sz w:val="22"/>
          <w:szCs w:val="22"/>
        </w:rPr>
        <w:t>Learning by Doing: A Guide to Teaching and Learning Methods</w:t>
      </w:r>
      <w:r w:rsidRPr="77045F06">
        <w:rPr>
          <w:color w:val="000000" w:themeColor="text1"/>
          <w:sz w:val="22"/>
          <w:szCs w:val="22"/>
        </w:rPr>
        <w:t>. Oxford: Further Education Unit, Oxford Polytechnic.</w:t>
      </w:r>
    </w:p>
    <w:p w14:paraId="229D440A" w14:textId="163ED499" w:rsidR="00262EA1" w:rsidRDefault="182A91B1" w:rsidP="77045F06">
      <w:pPr>
        <w:spacing w:before="240" w:after="240" w:line="360" w:lineRule="auto"/>
        <w:rPr>
          <w:color w:val="000000" w:themeColor="text1"/>
          <w:sz w:val="22"/>
          <w:szCs w:val="22"/>
        </w:rPr>
      </w:pPr>
      <w:r w:rsidRPr="77045F06">
        <w:rPr>
          <w:color w:val="000000" w:themeColor="text1"/>
          <w:sz w:val="22"/>
          <w:szCs w:val="22"/>
        </w:rPr>
        <w:t xml:space="preserve">GOV.UK (2018). </w:t>
      </w:r>
      <w:r w:rsidRPr="77045F06">
        <w:rPr>
          <w:i/>
          <w:iCs/>
          <w:color w:val="000000" w:themeColor="text1"/>
          <w:sz w:val="22"/>
          <w:szCs w:val="22"/>
        </w:rPr>
        <w:t>Data protection act 2018</w:t>
      </w:r>
      <w:r w:rsidRPr="77045F06">
        <w:rPr>
          <w:color w:val="000000" w:themeColor="text1"/>
          <w:sz w:val="22"/>
          <w:szCs w:val="22"/>
        </w:rPr>
        <w:t xml:space="preserve">. [online] legislation.gov.uk. Available at: </w:t>
      </w:r>
      <w:hyperlink r:id="rId9">
        <w:r w:rsidRPr="77045F06">
          <w:rPr>
            <w:rStyle w:val="Hyperlink"/>
            <w:sz w:val="22"/>
            <w:szCs w:val="22"/>
          </w:rPr>
          <w:t>https://www.legislation.gov.uk/ukpga/2018/12/contents</w:t>
        </w:r>
      </w:hyperlink>
      <w:r w:rsidRPr="77045F06">
        <w:rPr>
          <w:color w:val="000000" w:themeColor="text1"/>
          <w:sz w:val="22"/>
          <w:szCs w:val="22"/>
        </w:rPr>
        <w:t xml:space="preserve"> (Accessed 11 October. 2026).</w:t>
      </w:r>
    </w:p>
    <w:p w14:paraId="5A7F187B" w14:textId="233562F9" w:rsidR="00262EA1" w:rsidRDefault="182A91B1" w:rsidP="77045F06">
      <w:pPr>
        <w:spacing w:after="0" w:line="360" w:lineRule="auto"/>
        <w:rPr>
          <w:color w:val="000000" w:themeColor="text1"/>
          <w:sz w:val="22"/>
          <w:szCs w:val="22"/>
        </w:rPr>
      </w:pPr>
      <w:r w:rsidRPr="77045F06">
        <w:rPr>
          <w:color w:val="000000" w:themeColor="text1"/>
          <w:sz w:val="22"/>
          <w:szCs w:val="22"/>
        </w:rPr>
        <w:t xml:space="preserve">GOV.UK (2010). </w:t>
      </w:r>
      <w:r w:rsidRPr="77045F06">
        <w:rPr>
          <w:i/>
          <w:iCs/>
          <w:color w:val="000000" w:themeColor="text1"/>
          <w:sz w:val="22"/>
          <w:szCs w:val="22"/>
        </w:rPr>
        <w:t>Equality act 2010</w:t>
      </w:r>
      <w:r w:rsidRPr="77045F06">
        <w:rPr>
          <w:color w:val="000000" w:themeColor="text1"/>
          <w:sz w:val="22"/>
          <w:szCs w:val="22"/>
        </w:rPr>
        <w:t xml:space="preserve">. [online] Legislation.gov.uk. Available at: </w:t>
      </w:r>
      <w:hyperlink r:id="rId10">
        <w:r w:rsidRPr="77045F06">
          <w:rPr>
            <w:rStyle w:val="Hyperlink"/>
            <w:sz w:val="22"/>
            <w:szCs w:val="22"/>
          </w:rPr>
          <w:t>https://www.legislation.gov.uk/ukpga/2010/15/contents</w:t>
        </w:r>
      </w:hyperlink>
      <w:r w:rsidRPr="77045F06">
        <w:rPr>
          <w:color w:val="000000" w:themeColor="text1"/>
          <w:sz w:val="22"/>
          <w:szCs w:val="22"/>
        </w:rPr>
        <w:t xml:space="preserve"> [Accessed 11 October. 2026].</w:t>
      </w:r>
    </w:p>
    <w:p w14:paraId="351B3EFC" w14:textId="2AFFC81F" w:rsidR="00262EA1" w:rsidRDefault="00262EA1" w:rsidP="77045F06">
      <w:pPr>
        <w:spacing w:after="0" w:line="360" w:lineRule="auto"/>
        <w:rPr>
          <w:color w:val="000000" w:themeColor="text1"/>
          <w:sz w:val="22"/>
          <w:szCs w:val="22"/>
        </w:rPr>
      </w:pPr>
    </w:p>
    <w:p w14:paraId="6C01C989" w14:textId="0218F232" w:rsidR="00262EA1" w:rsidRDefault="182A91B1" w:rsidP="77045F06">
      <w:pPr>
        <w:spacing w:after="0" w:line="360" w:lineRule="auto"/>
        <w:rPr>
          <w:color w:val="000000" w:themeColor="text1"/>
          <w:sz w:val="22"/>
          <w:szCs w:val="22"/>
        </w:rPr>
      </w:pPr>
      <w:r w:rsidRPr="77045F06">
        <w:rPr>
          <w:color w:val="000000" w:themeColor="text1"/>
          <w:sz w:val="22"/>
          <w:szCs w:val="22"/>
        </w:rPr>
        <w:lastRenderedPageBreak/>
        <w:t xml:space="preserve">Health and Care Act (2022). </w:t>
      </w:r>
      <w:r w:rsidRPr="77045F06">
        <w:rPr>
          <w:i/>
          <w:iCs/>
          <w:color w:val="000000" w:themeColor="text1"/>
          <w:sz w:val="22"/>
          <w:szCs w:val="22"/>
        </w:rPr>
        <w:t>Health and care act 2022</w:t>
      </w:r>
      <w:r w:rsidRPr="77045F06">
        <w:rPr>
          <w:color w:val="000000" w:themeColor="text1"/>
          <w:sz w:val="22"/>
          <w:szCs w:val="22"/>
        </w:rPr>
        <w:t xml:space="preserve">. [online] Legislation.gov.uk. Available at: </w:t>
      </w:r>
      <w:hyperlink r:id="rId11">
        <w:r w:rsidRPr="77045F06">
          <w:rPr>
            <w:rStyle w:val="Hyperlink"/>
            <w:sz w:val="22"/>
            <w:szCs w:val="22"/>
          </w:rPr>
          <w:t>https://www.legislation.gov.uk/ukpga/2022/31/contents</w:t>
        </w:r>
      </w:hyperlink>
      <w:r w:rsidRPr="77045F06">
        <w:rPr>
          <w:color w:val="000000" w:themeColor="text1"/>
          <w:sz w:val="22"/>
          <w:szCs w:val="22"/>
        </w:rPr>
        <w:t xml:space="preserve"> [Accessed 14 October. 2026].</w:t>
      </w:r>
    </w:p>
    <w:p w14:paraId="64A95F58" w14:textId="1CDCA810" w:rsidR="00262EA1" w:rsidRDefault="00262EA1" w:rsidP="77045F06">
      <w:pPr>
        <w:spacing w:after="0" w:line="360" w:lineRule="auto"/>
        <w:rPr>
          <w:color w:val="000000" w:themeColor="text1"/>
          <w:sz w:val="22"/>
          <w:szCs w:val="22"/>
        </w:rPr>
      </w:pPr>
    </w:p>
    <w:p w14:paraId="44DB679A" w14:textId="3CAD74DB" w:rsidR="00262EA1" w:rsidRDefault="182A91B1" w:rsidP="77045F06">
      <w:pPr>
        <w:spacing w:after="0" w:line="360" w:lineRule="auto"/>
        <w:rPr>
          <w:color w:val="000000" w:themeColor="text1"/>
          <w:sz w:val="22"/>
          <w:szCs w:val="22"/>
        </w:rPr>
      </w:pPr>
      <w:r w:rsidRPr="77045F06">
        <w:rPr>
          <w:color w:val="000000" w:themeColor="text1"/>
          <w:sz w:val="22"/>
          <w:szCs w:val="22"/>
        </w:rPr>
        <w:t xml:space="preserve">Legislation.gov.uk (2014). </w:t>
      </w:r>
      <w:r w:rsidRPr="77045F06">
        <w:rPr>
          <w:i/>
          <w:iCs/>
          <w:color w:val="000000" w:themeColor="text1"/>
          <w:sz w:val="22"/>
          <w:szCs w:val="22"/>
        </w:rPr>
        <w:t>The health and social care act 2008 (regulated activities) regulations 2014</w:t>
      </w:r>
      <w:r w:rsidRPr="77045F06">
        <w:rPr>
          <w:color w:val="000000" w:themeColor="text1"/>
          <w:sz w:val="22"/>
          <w:szCs w:val="22"/>
        </w:rPr>
        <w:t xml:space="preserve">. [online] Legislation.gov.uk. Available at: </w:t>
      </w:r>
      <w:hyperlink r:id="rId12">
        <w:r w:rsidRPr="77045F06">
          <w:rPr>
            <w:rStyle w:val="Hyperlink"/>
            <w:sz w:val="22"/>
            <w:szCs w:val="22"/>
          </w:rPr>
          <w:t>https://www.legislation.gov.uk/uksi/2014/2936/contents</w:t>
        </w:r>
      </w:hyperlink>
      <w:r w:rsidRPr="77045F06">
        <w:rPr>
          <w:color w:val="000000" w:themeColor="text1"/>
          <w:sz w:val="22"/>
          <w:szCs w:val="22"/>
        </w:rPr>
        <w:t xml:space="preserve"> [Accessed 14 Oct. 2026].</w:t>
      </w:r>
    </w:p>
    <w:p w14:paraId="04429722" w14:textId="51713825" w:rsidR="00262EA1" w:rsidRDefault="00262EA1" w:rsidP="77045F06">
      <w:pPr>
        <w:spacing w:after="0" w:line="360" w:lineRule="auto"/>
        <w:rPr>
          <w:color w:val="000000" w:themeColor="text1"/>
          <w:sz w:val="22"/>
          <w:szCs w:val="22"/>
        </w:rPr>
      </w:pPr>
    </w:p>
    <w:p w14:paraId="42AFF3B5" w14:textId="3EC9CC06" w:rsidR="00262EA1" w:rsidRDefault="182A91B1" w:rsidP="77045F06">
      <w:pPr>
        <w:spacing w:after="0" w:line="360" w:lineRule="auto"/>
        <w:rPr>
          <w:color w:val="000000" w:themeColor="text1"/>
          <w:sz w:val="22"/>
          <w:szCs w:val="22"/>
        </w:rPr>
      </w:pPr>
      <w:r w:rsidRPr="77045F06">
        <w:rPr>
          <w:color w:val="000000" w:themeColor="text1"/>
          <w:sz w:val="22"/>
          <w:szCs w:val="22"/>
        </w:rPr>
        <w:t xml:space="preserve">McCormack, B. and McCance, T. (2017) </w:t>
      </w:r>
      <w:r w:rsidRPr="77045F06">
        <w:rPr>
          <w:i/>
          <w:iCs/>
          <w:color w:val="000000" w:themeColor="text1"/>
          <w:sz w:val="22"/>
          <w:szCs w:val="22"/>
        </w:rPr>
        <w:t>Person</w:t>
      </w:r>
      <w:r w:rsidR="00DE6B17">
        <w:noBreakHyphen/>
      </w:r>
      <w:r w:rsidRPr="77045F06">
        <w:rPr>
          <w:i/>
          <w:iCs/>
          <w:color w:val="000000" w:themeColor="text1"/>
          <w:sz w:val="22"/>
          <w:szCs w:val="22"/>
        </w:rPr>
        <w:t>Centred Practice in Nursing and Health Care: Theory and Practice</w:t>
      </w:r>
      <w:r w:rsidRPr="77045F06">
        <w:rPr>
          <w:color w:val="000000" w:themeColor="text1"/>
          <w:sz w:val="22"/>
          <w:szCs w:val="22"/>
        </w:rPr>
        <w:t>. 2nd edn. Chichester: Wiley</w:t>
      </w:r>
      <w:r w:rsidR="00DE6B17">
        <w:noBreakHyphen/>
      </w:r>
      <w:r w:rsidRPr="77045F06">
        <w:rPr>
          <w:color w:val="000000" w:themeColor="text1"/>
          <w:sz w:val="22"/>
          <w:szCs w:val="22"/>
        </w:rPr>
        <w:t>Blackwell.</w:t>
      </w:r>
    </w:p>
    <w:p w14:paraId="419B63F2" w14:textId="2740A98B" w:rsidR="00262EA1" w:rsidRDefault="182A91B1" w:rsidP="77045F06">
      <w:pPr>
        <w:spacing w:after="0" w:line="360" w:lineRule="auto"/>
        <w:rPr>
          <w:color w:val="000000" w:themeColor="text1"/>
          <w:sz w:val="22"/>
          <w:szCs w:val="22"/>
        </w:rPr>
      </w:pPr>
      <w:r w:rsidRPr="77045F06">
        <w:rPr>
          <w:color w:val="000000" w:themeColor="text1"/>
          <w:sz w:val="22"/>
          <w:szCs w:val="22"/>
        </w:rPr>
        <w:t xml:space="preserve">NICE (2015). </w:t>
      </w:r>
      <w:r w:rsidRPr="77045F06">
        <w:rPr>
          <w:i/>
          <w:iCs/>
          <w:color w:val="000000" w:themeColor="text1"/>
          <w:sz w:val="22"/>
          <w:szCs w:val="22"/>
        </w:rPr>
        <w:t>Overview | challenging behaviour and learning disabilities: Prevention and interventions for people with learning disabilities whose behaviour challenges | guidance | NICE</w:t>
      </w:r>
      <w:r w:rsidRPr="77045F06">
        <w:rPr>
          <w:color w:val="000000" w:themeColor="text1"/>
          <w:sz w:val="22"/>
          <w:szCs w:val="22"/>
        </w:rPr>
        <w:t xml:space="preserve">. [online] Nice.org.uk. Available at: </w:t>
      </w:r>
      <w:hyperlink r:id="rId13">
        <w:r w:rsidRPr="77045F06">
          <w:rPr>
            <w:rStyle w:val="Hyperlink"/>
            <w:sz w:val="22"/>
            <w:szCs w:val="22"/>
          </w:rPr>
          <w:t>https://www.nice.org.uk/guidance/ng11</w:t>
        </w:r>
      </w:hyperlink>
      <w:r w:rsidRPr="77045F06">
        <w:rPr>
          <w:color w:val="000000" w:themeColor="text1"/>
          <w:sz w:val="22"/>
          <w:szCs w:val="22"/>
        </w:rPr>
        <w:t xml:space="preserve"> (Accessed 9 October. 2026).</w:t>
      </w:r>
    </w:p>
    <w:p w14:paraId="11378DE2" w14:textId="3198BA30" w:rsidR="00262EA1" w:rsidRDefault="182A91B1" w:rsidP="77045F06">
      <w:pPr>
        <w:spacing w:before="240" w:after="240" w:line="360" w:lineRule="auto"/>
        <w:rPr>
          <w:color w:val="000000" w:themeColor="text1"/>
          <w:sz w:val="22"/>
          <w:szCs w:val="22"/>
        </w:rPr>
      </w:pPr>
      <w:r w:rsidRPr="77045F06">
        <w:rPr>
          <w:color w:val="000000" w:themeColor="text1"/>
          <w:sz w:val="22"/>
          <w:szCs w:val="22"/>
        </w:rPr>
        <w:t xml:space="preserve">UK Government (2025). </w:t>
      </w:r>
      <w:r w:rsidRPr="77045F06">
        <w:rPr>
          <w:i/>
          <w:iCs/>
          <w:color w:val="000000" w:themeColor="text1"/>
          <w:sz w:val="22"/>
          <w:szCs w:val="22"/>
        </w:rPr>
        <w:t>Data protection act</w:t>
      </w:r>
      <w:r w:rsidRPr="77045F06">
        <w:rPr>
          <w:color w:val="000000" w:themeColor="text1"/>
          <w:sz w:val="22"/>
          <w:szCs w:val="22"/>
        </w:rPr>
        <w:t xml:space="preserve">. [online] Gov.uk. Available at: </w:t>
      </w:r>
      <w:hyperlink r:id="rId14">
        <w:r w:rsidRPr="77045F06">
          <w:rPr>
            <w:rStyle w:val="Hyperlink"/>
            <w:sz w:val="22"/>
            <w:szCs w:val="22"/>
          </w:rPr>
          <w:t>https://www.gov.uk/data-protection</w:t>
        </w:r>
      </w:hyperlink>
      <w:r w:rsidRPr="77045F06">
        <w:rPr>
          <w:color w:val="000000" w:themeColor="text1"/>
          <w:sz w:val="22"/>
          <w:szCs w:val="22"/>
        </w:rPr>
        <w:t xml:space="preserve"> (Accessed 9 October. 2026).</w:t>
      </w:r>
    </w:p>
    <w:p w14:paraId="0C73EEB3" w14:textId="62D6BC0F" w:rsidR="00262EA1" w:rsidRDefault="00262EA1" w:rsidP="77045F06">
      <w:pPr>
        <w:spacing w:before="240" w:after="240" w:line="360" w:lineRule="auto"/>
        <w:rPr>
          <w:rFonts w:ascii="Arial" w:eastAsia="Arial" w:hAnsi="Arial" w:cs="Arial"/>
          <w:color w:val="000000" w:themeColor="text1"/>
          <w:sz w:val="22"/>
          <w:szCs w:val="22"/>
        </w:rPr>
      </w:pPr>
    </w:p>
    <w:p w14:paraId="4BBABF64" w14:textId="3A632375" w:rsidR="00262EA1" w:rsidRDefault="00262EA1" w:rsidP="77045F06">
      <w:pPr>
        <w:rPr>
          <w:rFonts w:ascii="Arial" w:eastAsia="Arial" w:hAnsi="Arial" w:cs="Arial"/>
          <w:color w:val="000000" w:themeColor="text1"/>
        </w:rPr>
      </w:pPr>
    </w:p>
    <w:p w14:paraId="5E5787A5" w14:textId="12239F07" w:rsidR="00262EA1" w:rsidRDefault="00262EA1"/>
    <w:sectPr w:rsidR="00262EA1">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0D9BA04" w14:textId="77777777" w:rsidR="0052768B" w:rsidRDefault="0052768B" w:rsidP="0052768B">
      <w:pPr>
        <w:spacing w:after="0" w:line="240" w:lineRule="auto"/>
      </w:pPr>
      <w:r>
        <w:separator/>
      </w:r>
    </w:p>
  </w:endnote>
  <w:endnote w:type="continuationSeparator" w:id="0">
    <w:p w14:paraId="31610DEB" w14:textId="77777777" w:rsidR="0052768B" w:rsidRDefault="0052768B" w:rsidP="005276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46D8FD6" w14:textId="77777777" w:rsidR="0052768B" w:rsidRDefault="0052768B" w:rsidP="0052768B">
      <w:pPr>
        <w:spacing w:after="0" w:line="240" w:lineRule="auto"/>
      </w:pPr>
      <w:r>
        <w:separator/>
      </w:r>
    </w:p>
  </w:footnote>
  <w:footnote w:type="continuationSeparator" w:id="0">
    <w:p w14:paraId="70A6DB4F" w14:textId="77777777" w:rsidR="0052768B" w:rsidRDefault="0052768B" w:rsidP="0052768B">
      <w:pPr>
        <w:spacing w:after="0" w:line="240" w:lineRule="auto"/>
      </w:pPr>
      <w:r>
        <w:continuationSeparator/>
      </w:r>
    </w:p>
  </w:footnote>
</w:footnote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2"/>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46CBBB8"/>
    <w:rsid w:val="000E29FC"/>
    <w:rsid w:val="00262EA1"/>
    <w:rsid w:val="002A03C4"/>
    <w:rsid w:val="002D54FC"/>
    <w:rsid w:val="002F0C0B"/>
    <w:rsid w:val="00303984"/>
    <w:rsid w:val="003A3FBC"/>
    <w:rsid w:val="00412137"/>
    <w:rsid w:val="004A27A4"/>
    <w:rsid w:val="0052768B"/>
    <w:rsid w:val="00596BEA"/>
    <w:rsid w:val="0061044F"/>
    <w:rsid w:val="00800090"/>
    <w:rsid w:val="009D1896"/>
    <w:rsid w:val="00B81411"/>
    <w:rsid w:val="00BA2031"/>
    <w:rsid w:val="00BE1A5C"/>
    <w:rsid w:val="00C97C0C"/>
    <w:rsid w:val="00D27FA9"/>
    <w:rsid w:val="00DA7126"/>
    <w:rsid w:val="00DE6B17"/>
    <w:rsid w:val="00E2470B"/>
    <w:rsid w:val="00ED3318"/>
    <w:rsid w:val="0113FDD3"/>
    <w:rsid w:val="0703768A"/>
    <w:rsid w:val="0A5BFA6F"/>
    <w:rsid w:val="0E74D89E"/>
    <w:rsid w:val="11948514"/>
    <w:rsid w:val="182A91B1"/>
    <w:rsid w:val="19A5BA58"/>
    <w:rsid w:val="2C4B4716"/>
    <w:rsid w:val="2F114B88"/>
    <w:rsid w:val="3A188CCF"/>
    <w:rsid w:val="3AECC88B"/>
    <w:rsid w:val="3F81FB2F"/>
    <w:rsid w:val="4204B9B3"/>
    <w:rsid w:val="4A607224"/>
    <w:rsid w:val="4D564565"/>
    <w:rsid w:val="4DE8057C"/>
    <w:rsid w:val="53CEF523"/>
    <w:rsid w:val="581DC3C5"/>
    <w:rsid w:val="58873026"/>
    <w:rsid w:val="5E256211"/>
    <w:rsid w:val="646CBBB8"/>
    <w:rsid w:val="655188EE"/>
    <w:rsid w:val="6F35499A"/>
    <w:rsid w:val="77045F06"/>
    <w:rsid w:val="7D7C1D6B"/>
    <w:rsid w:val="7FBA87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5F9CC9"/>
  <w15:chartTrackingRefBased/>
  <w15:docId w15:val="{A66CDCF3-C7D1-4B35-AF45-284D54647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77045F06"/>
    <w:rPr>
      <w:color w:val="467886"/>
      <w:u w:val="single"/>
    </w:rPr>
  </w:style>
  <w:style w:type="paragraph" w:styleId="Header">
    <w:name w:val="header"/>
    <w:basedOn w:val="Normal"/>
    <w:link w:val="HeaderChar"/>
    <w:uiPriority w:val="99"/>
    <w:unhideWhenUsed/>
    <w:rsid w:val="005276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768B"/>
  </w:style>
  <w:style w:type="paragraph" w:styleId="Footer">
    <w:name w:val="footer"/>
    <w:basedOn w:val="Normal"/>
    <w:link w:val="FooterChar"/>
    <w:uiPriority w:val="99"/>
    <w:unhideWhenUsed/>
    <w:rsid w:val="005276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76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gland.nhs.uk/personalisedcare/comprehensive-model/case-studies/robyns-story/" TargetMode="External"/><Relationship Id="rId13" Type="http://schemas.openxmlformats.org/officeDocument/2006/relationships/hyperlink" Target="https://www.nice.org.uk/guidance/ng11" TargetMode="External"/><Relationship Id="rId3" Type="http://schemas.openxmlformats.org/officeDocument/2006/relationships/webSettings" Target="webSettings.xml"/><Relationship Id="rId7" Type="http://schemas.openxmlformats.org/officeDocument/2006/relationships/hyperlink" Target="https://www.legislation.gov.uk/ukpga/2005/9/pdfs/ukpga_20050009_en.pdf" TargetMode="External"/><Relationship Id="rId12" Type="http://schemas.openxmlformats.org/officeDocument/2006/relationships/hyperlink" Target="https://www.legislation.gov.uk/uksi/2014/2936/contents"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legislation.gov.uk/ukpga/2022/31/contents"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www.legislation.gov.uk/ukpga/2010/15/contents" TargetMode="External"/><Relationship Id="rId4" Type="http://schemas.openxmlformats.org/officeDocument/2006/relationships/footnotes" Target="footnotes.xml"/><Relationship Id="rId9" Type="http://schemas.openxmlformats.org/officeDocument/2006/relationships/hyperlink" Target="https://www.legislation.gov.uk/ukpga/2018/12/contents" TargetMode="External"/><Relationship Id="rId14" Type="http://schemas.openxmlformats.org/officeDocument/2006/relationships/hyperlink" Target="https://www.gov.uk/data-protec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2337</Words>
  <Characters>13324</Characters>
  <Application>Microsoft Office Word</Application>
  <DocSecurity>0</DocSecurity>
  <Lines>111</Lines>
  <Paragraphs>31</Paragraphs>
  <ScaleCrop>false</ScaleCrop>
  <Company/>
  <LinksUpToDate>false</LinksUpToDate>
  <CharactersWithSpaces>15630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Nina Mya (2328173)</dc:creator>
  <cp:keywords/>
  <dc:description/>
  <cp:lastModifiedBy>Nina Mya (2328173)</cp:lastModifiedBy>
  <cp:revision>2</cp:revision>
  <dcterms:created xsi:type="dcterms:W3CDTF">2026-10-16T12:50:00Z</dcterms:created>
  <dcterms:modified xsi:type="dcterms:W3CDTF">2026-10-16T12:50:00Z</dcterms:modified>
</cp:coreProperties>
</file>