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F3CF2" w14:textId="5980EBAB" w:rsidR="009D4695" w:rsidRPr="00390868" w:rsidRDefault="00A619DC" w:rsidP="00905241">
      <w:pPr>
        <w:spacing w:line="360" w:lineRule="auto"/>
        <w:rPr>
          <w:rFonts w:ascii="Arial" w:hAnsi="Arial" w:cs="Arial"/>
        </w:rPr>
      </w:pPr>
      <w:bookmarkStart w:id="0" w:name="_Toc217830815"/>
      <w:r w:rsidRPr="00390868">
        <w:rPr>
          <w:rFonts w:ascii="Arial" w:hAnsi="Arial" w:cs="Arial"/>
          <w:noProof/>
        </w:rPr>
        <w:drawing>
          <wp:anchor distT="0" distB="0" distL="114300" distR="114300" simplePos="0" relativeHeight="251660288" behindDoc="0" locked="0" layoutInCell="1" allowOverlap="1" wp14:anchorId="41DDE300" wp14:editId="0624C06F">
            <wp:simplePos x="0" y="0"/>
            <wp:positionH relativeFrom="column">
              <wp:posOffset>-765314</wp:posOffset>
            </wp:positionH>
            <wp:positionV relativeFrom="paragraph">
              <wp:posOffset>-775252</wp:posOffset>
            </wp:positionV>
            <wp:extent cx="2454965" cy="1092835"/>
            <wp:effectExtent l="0" t="0" r="2540" b="0"/>
            <wp:wrapNone/>
            <wp:docPr id="670986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86579" name="Picture 67098657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68369" cy="1098802"/>
                    </a:xfrm>
                    <a:prstGeom prst="rect">
                      <a:avLst/>
                    </a:prstGeom>
                  </pic:spPr>
                </pic:pic>
              </a:graphicData>
            </a:graphic>
            <wp14:sizeRelH relativeFrom="margin">
              <wp14:pctWidth>0</wp14:pctWidth>
            </wp14:sizeRelH>
            <wp14:sizeRelV relativeFrom="margin">
              <wp14:pctHeight>0</wp14:pctHeight>
            </wp14:sizeRelV>
          </wp:anchor>
        </w:drawing>
      </w:r>
    </w:p>
    <w:p w14:paraId="2321F764" w14:textId="77777777" w:rsidR="009D4695" w:rsidRPr="00390868" w:rsidRDefault="009D4695" w:rsidP="00905241">
      <w:pPr>
        <w:spacing w:line="360" w:lineRule="auto"/>
        <w:rPr>
          <w:rFonts w:ascii="Arial" w:hAnsi="Arial" w:cs="Arial"/>
        </w:rPr>
      </w:pPr>
    </w:p>
    <w:p w14:paraId="691C8B3F" w14:textId="77777777" w:rsidR="009D4695" w:rsidRPr="00390868" w:rsidRDefault="009D4695" w:rsidP="00905241">
      <w:pPr>
        <w:spacing w:line="360" w:lineRule="auto"/>
        <w:rPr>
          <w:rFonts w:ascii="Arial" w:hAnsi="Arial" w:cs="Arial"/>
        </w:rPr>
      </w:pPr>
    </w:p>
    <w:p w14:paraId="0716DA83" w14:textId="77777777" w:rsidR="009D4695" w:rsidRPr="00390868" w:rsidRDefault="009D4695" w:rsidP="00905241">
      <w:pPr>
        <w:spacing w:line="360" w:lineRule="auto"/>
        <w:rPr>
          <w:rFonts w:ascii="Arial" w:hAnsi="Arial" w:cs="Arial"/>
        </w:rPr>
      </w:pPr>
    </w:p>
    <w:p w14:paraId="264CA9A8" w14:textId="77777777" w:rsidR="009D4695" w:rsidRPr="00390868" w:rsidRDefault="009D4695" w:rsidP="00905241">
      <w:pPr>
        <w:spacing w:line="360" w:lineRule="auto"/>
        <w:rPr>
          <w:rFonts w:ascii="Arial" w:hAnsi="Arial" w:cs="Arial"/>
        </w:rPr>
      </w:pPr>
    </w:p>
    <w:p w14:paraId="66154834" w14:textId="49B10866" w:rsidR="009D4695" w:rsidRPr="00390868" w:rsidRDefault="009D4695" w:rsidP="00905241">
      <w:pPr>
        <w:spacing w:line="360" w:lineRule="auto"/>
        <w:jc w:val="center"/>
        <w:rPr>
          <w:rFonts w:ascii="Arial" w:hAnsi="Arial" w:cs="Arial"/>
          <w:b/>
          <w:bCs/>
          <w:sz w:val="40"/>
          <w:szCs w:val="40"/>
        </w:rPr>
      </w:pPr>
      <w:r w:rsidRPr="00390868">
        <w:rPr>
          <w:rFonts w:ascii="Arial" w:hAnsi="Arial" w:cs="Arial"/>
          <w:b/>
          <w:bCs/>
          <w:sz w:val="40"/>
          <w:szCs w:val="40"/>
        </w:rPr>
        <w:t>Business Development Proposal</w:t>
      </w:r>
      <w:r w:rsidR="00267FCE" w:rsidRPr="00390868">
        <w:rPr>
          <w:rFonts w:ascii="Arial" w:hAnsi="Arial" w:cs="Arial"/>
          <w:b/>
          <w:bCs/>
          <w:sz w:val="40"/>
          <w:szCs w:val="40"/>
        </w:rPr>
        <w:t xml:space="preserve"> For 1 Station Ltd</w:t>
      </w:r>
    </w:p>
    <w:p w14:paraId="597FD93E" w14:textId="77777777" w:rsidR="009D4695" w:rsidRPr="00390868" w:rsidRDefault="009D4695" w:rsidP="00905241">
      <w:pPr>
        <w:spacing w:line="360" w:lineRule="auto"/>
        <w:rPr>
          <w:rFonts w:ascii="Arial" w:hAnsi="Arial" w:cs="Arial"/>
        </w:rPr>
      </w:pPr>
    </w:p>
    <w:p w14:paraId="18BDFE03" w14:textId="77777777" w:rsidR="009D4695" w:rsidRPr="00390868" w:rsidRDefault="009D4695" w:rsidP="00905241">
      <w:pPr>
        <w:spacing w:line="360" w:lineRule="auto"/>
        <w:rPr>
          <w:rFonts w:ascii="Arial" w:hAnsi="Arial" w:cs="Arial"/>
        </w:rPr>
      </w:pPr>
    </w:p>
    <w:p w14:paraId="4BC66E70" w14:textId="77777777" w:rsidR="009D4695" w:rsidRPr="00390868" w:rsidRDefault="009D4695" w:rsidP="00905241">
      <w:pPr>
        <w:spacing w:line="360" w:lineRule="auto"/>
        <w:rPr>
          <w:rFonts w:ascii="Arial" w:hAnsi="Arial" w:cs="Arial"/>
        </w:rPr>
      </w:pPr>
    </w:p>
    <w:p w14:paraId="076761C7" w14:textId="77777777" w:rsidR="004C424C" w:rsidRPr="00390868" w:rsidRDefault="004C424C" w:rsidP="00905241">
      <w:pPr>
        <w:spacing w:line="360" w:lineRule="auto"/>
        <w:rPr>
          <w:rFonts w:ascii="Arial" w:hAnsi="Arial" w:cs="Arial"/>
        </w:rPr>
      </w:pPr>
    </w:p>
    <w:p w14:paraId="1687A51E" w14:textId="77777777" w:rsidR="009D4695" w:rsidRPr="00390868" w:rsidRDefault="009D4695" w:rsidP="00905241">
      <w:pPr>
        <w:spacing w:line="360" w:lineRule="auto"/>
        <w:rPr>
          <w:rFonts w:ascii="Arial" w:hAnsi="Arial" w:cs="Arial"/>
        </w:rPr>
      </w:pPr>
    </w:p>
    <w:p w14:paraId="6CD62EFC" w14:textId="77777777" w:rsidR="009D4695" w:rsidRPr="00390868" w:rsidRDefault="009D4695" w:rsidP="00905241">
      <w:pPr>
        <w:spacing w:line="360" w:lineRule="auto"/>
        <w:rPr>
          <w:rFonts w:ascii="Arial" w:hAnsi="Arial" w:cs="Arial"/>
        </w:rPr>
      </w:pPr>
    </w:p>
    <w:p w14:paraId="6FD57780"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Student Name: Samir Mhanna</w:t>
      </w:r>
    </w:p>
    <w:p w14:paraId="6B565060"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Student Number: 2119514</w:t>
      </w:r>
    </w:p>
    <w:p w14:paraId="69565BD9"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 xml:space="preserve">Supervisor Name: Masud Ibrahim </w:t>
      </w:r>
    </w:p>
    <w:p w14:paraId="310E801B"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Module Name: Business Development Proposal</w:t>
      </w:r>
    </w:p>
    <w:p w14:paraId="14555158"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Module Code: LCMB7037</w:t>
      </w:r>
    </w:p>
    <w:p w14:paraId="281E6607" w14:textId="77777777" w:rsidR="009D4695" w:rsidRPr="00390868" w:rsidRDefault="009D4695" w:rsidP="00905241">
      <w:pPr>
        <w:spacing w:line="360" w:lineRule="auto"/>
        <w:jc w:val="center"/>
        <w:rPr>
          <w:rFonts w:ascii="Arial" w:hAnsi="Arial" w:cs="Arial"/>
          <w:sz w:val="28"/>
          <w:szCs w:val="28"/>
        </w:rPr>
      </w:pPr>
      <w:r w:rsidRPr="00390868">
        <w:rPr>
          <w:rFonts w:ascii="Arial" w:hAnsi="Arial" w:cs="Arial"/>
          <w:sz w:val="28"/>
          <w:szCs w:val="28"/>
        </w:rPr>
        <w:t>Course Name: Master of Business Administration</w:t>
      </w:r>
    </w:p>
    <w:p w14:paraId="313CD1D7" w14:textId="77777777" w:rsidR="009D4695" w:rsidRPr="00390868" w:rsidRDefault="009D4695" w:rsidP="00905241">
      <w:pPr>
        <w:spacing w:line="360" w:lineRule="auto"/>
        <w:rPr>
          <w:rFonts w:ascii="Arial" w:hAnsi="Arial" w:cs="Arial"/>
        </w:rPr>
      </w:pPr>
    </w:p>
    <w:p w14:paraId="054B00E6" w14:textId="77777777" w:rsidR="009D4695" w:rsidRPr="00390868" w:rsidRDefault="009D4695" w:rsidP="00905241">
      <w:pPr>
        <w:spacing w:line="360" w:lineRule="auto"/>
        <w:rPr>
          <w:rFonts w:ascii="Arial" w:hAnsi="Arial" w:cs="Arial"/>
        </w:rPr>
      </w:pPr>
    </w:p>
    <w:p w14:paraId="296E183A" w14:textId="77777777" w:rsidR="009D4695" w:rsidRPr="00390868" w:rsidRDefault="009D4695" w:rsidP="00905241">
      <w:pPr>
        <w:spacing w:line="360" w:lineRule="auto"/>
        <w:rPr>
          <w:rFonts w:ascii="Arial" w:hAnsi="Arial" w:cs="Arial"/>
        </w:rPr>
      </w:pPr>
    </w:p>
    <w:p w14:paraId="7FA42409" w14:textId="77777777" w:rsidR="009D4695" w:rsidRPr="00390868" w:rsidRDefault="009D4695" w:rsidP="00905241">
      <w:pPr>
        <w:spacing w:line="360" w:lineRule="auto"/>
        <w:rPr>
          <w:rFonts w:ascii="Arial" w:hAnsi="Arial" w:cs="Arial"/>
        </w:rPr>
      </w:pPr>
    </w:p>
    <w:p w14:paraId="52B7B003" w14:textId="77777777" w:rsidR="009D4695" w:rsidRPr="00390868" w:rsidRDefault="009D4695" w:rsidP="00905241">
      <w:pPr>
        <w:spacing w:line="360" w:lineRule="auto"/>
        <w:jc w:val="center"/>
        <w:rPr>
          <w:rFonts w:ascii="Arial" w:hAnsi="Arial" w:cs="Arial"/>
        </w:rPr>
      </w:pPr>
      <w:r w:rsidRPr="00390868">
        <w:rPr>
          <w:rFonts w:ascii="Arial" w:hAnsi="Arial" w:cs="Arial"/>
        </w:rPr>
        <w:t>2026</w:t>
      </w:r>
    </w:p>
    <w:p w14:paraId="15268256" w14:textId="77777777" w:rsidR="00A15D62" w:rsidRPr="004176E1" w:rsidRDefault="001636E8" w:rsidP="00A15D62">
      <w:pPr>
        <w:spacing w:line="360" w:lineRule="auto"/>
        <w:rPr>
          <w:rFonts w:ascii="Arial" w:hAnsi="Arial" w:cs="Arial"/>
          <w:b/>
          <w:bCs/>
        </w:rPr>
      </w:pPr>
      <w:r w:rsidRPr="00390868">
        <w:rPr>
          <w:rFonts w:ascii="Arial" w:hAnsi="Arial" w:cs="Arial"/>
          <w:b/>
          <w:bCs/>
        </w:rPr>
        <w:lastRenderedPageBreak/>
        <w:t xml:space="preserve"> </w:t>
      </w:r>
      <w:r w:rsidR="00A15D62" w:rsidRPr="00145690">
        <w:rPr>
          <w:rFonts w:ascii="Arial" w:hAnsi="Arial" w:cs="Arial"/>
          <w:b/>
          <w:bCs/>
        </w:rPr>
        <w:t>Declaration</w:t>
      </w:r>
      <w:r w:rsidR="00A15D62" w:rsidRPr="004176E1">
        <w:rPr>
          <w:rFonts w:ascii="Arial" w:hAnsi="Arial" w:cs="Arial"/>
          <w:b/>
          <w:bCs/>
        </w:rPr>
        <w:t xml:space="preserve">: </w:t>
      </w:r>
    </w:p>
    <w:p w14:paraId="0162E8C7" w14:textId="77777777" w:rsidR="00A15D62" w:rsidRPr="004176E1" w:rsidRDefault="00A15D62" w:rsidP="00A15D62">
      <w:pPr>
        <w:spacing w:line="360" w:lineRule="auto"/>
        <w:rPr>
          <w:rFonts w:ascii="Arial" w:hAnsi="Arial" w:cs="Arial"/>
        </w:rPr>
      </w:pPr>
      <w:r w:rsidRPr="004176E1">
        <w:rPr>
          <w:rFonts w:ascii="Arial" w:hAnsi="Arial" w:cs="Arial"/>
        </w:rPr>
        <w:t>I, Samir Mahanna declare that this Business Development Proposal has been composed by myself, that the work contained herein is entirely my own except where explicitly stated otherwise in the text, and that this work has not been submitted for any other degree or qualification, in whole or in part, except as specified. </w:t>
      </w:r>
    </w:p>
    <w:p w14:paraId="4A88C201" w14:textId="77777777" w:rsidR="00A15D62" w:rsidRPr="004176E1" w:rsidRDefault="00A15D62" w:rsidP="00A15D62">
      <w:pPr>
        <w:spacing w:line="360" w:lineRule="auto"/>
        <w:rPr>
          <w:rFonts w:ascii="Arial" w:hAnsi="Arial" w:cs="Arial"/>
        </w:rPr>
      </w:pPr>
      <w:r w:rsidRPr="004176E1">
        <w:rPr>
          <w:rFonts w:ascii="Arial" w:hAnsi="Arial" w:cs="Arial"/>
        </w:rPr>
        <w:t>Signature Samir Mahanna </w:t>
      </w:r>
    </w:p>
    <w:p w14:paraId="7B87848A" w14:textId="030EBA97" w:rsidR="00A15D62" w:rsidRPr="004176E1" w:rsidRDefault="00A15D62" w:rsidP="00A15D62">
      <w:pPr>
        <w:spacing w:line="360" w:lineRule="auto"/>
        <w:rPr>
          <w:rFonts w:ascii="Arial" w:hAnsi="Arial" w:cs="Arial"/>
        </w:rPr>
      </w:pPr>
      <w:r w:rsidRPr="004176E1">
        <w:rPr>
          <w:rFonts w:ascii="Arial" w:hAnsi="Arial" w:cs="Arial"/>
        </w:rPr>
        <w:t xml:space="preserve">Date: </w:t>
      </w:r>
      <w:r w:rsidR="007C1450">
        <w:rPr>
          <w:rFonts w:ascii="Arial" w:hAnsi="Arial" w:cs="Arial"/>
        </w:rPr>
        <w:t>0</w:t>
      </w:r>
      <w:r w:rsidRPr="004176E1">
        <w:rPr>
          <w:rFonts w:ascii="Arial" w:hAnsi="Arial" w:cs="Arial"/>
        </w:rPr>
        <w:t>6/ 0</w:t>
      </w:r>
      <w:r w:rsidR="007C1450">
        <w:rPr>
          <w:rFonts w:ascii="Arial" w:hAnsi="Arial" w:cs="Arial"/>
        </w:rPr>
        <w:t>1</w:t>
      </w:r>
      <w:r w:rsidRPr="004176E1">
        <w:rPr>
          <w:rFonts w:ascii="Arial" w:hAnsi="Arial" w:cs="Arial"/>
        </w:rPr>
        <w:t>/202</w:t>
      </w:r>
      <w:r w:rsidR="007C1450">
        <w:rPr>
          <w:rFonts w:ascii="Arial" w:hAnsi="Arial" w:cs="Arial"/>
        </w:rPr>
        <w:t>6</w:t>
      </w:r>
    </w:p>
    <w:p w14:paraId="18F4A82F" w14:textId="77777777" w:rsidR="00A15D62" w:rsidRPr="00145690" w:rsidRDefault="00A15D62" w:rsidP="00A15D62">
      <w:pPr>
        <w:spacing w:line="360" w:lineRule="auto"/>
        <w:rPr>
          <w:rFonts w:ascii="Arial" w:hAnsi="Arial" w:cs="Arial"/>
        </w:rPr>
      </w:pPr>
    </w:p>
    <w:p w14:paraId="7CE4C4E6" w14:textId="77777777" w:rsidR="00A15D62" w:rsidRPr="00145690" w:rsidRDefault="00A15D62" w:rsidP="00A15D62">
      <w:pPr>
        <w:spacing w:line="360" w:lineRule="auto"/>
        <w:rPr>
          <w:rFonts w:ascii="Arial" w:hAnsi="Arial" w:cs="Arial"/>
          <w:b/>
          <w:bCs/>
        </w:rPr>
      </w:pPr>
      <w:r w:rsidRPr="00145690">
        <w:rPr>
          <w:rFonts w:ascii="Arial" w:hAnsi="Arial" w:cs="Arial"/>
          <w:b/>
          <w:bCs/>
        </w:rPr>
        <w:t>Acknowledgements</w:t>
      </w:r>
    </w:p>
    <w:p w14:paraId="33623848" w14:textId="3413205D" w:rsidR="00971382" w:rsidRDefault="00B747A2" w:rsidP="00B747A2">
      <w:pPr>
        <w:spacing w:line="360" w:lineRule="auto"/>
        <w:rPr>
          <w:rFonts w:ascii="Arial" w:hAnsi="Arial" w:cs="Arial"/>
          <w:b/>
          <w:bCs/>
        </w:rPr>
      </w:pPr>
      <w:r w:rsidRPr="00B747A2">
        <w:rPr>
          <w:rFonts w:ascii="Arial" w:hAnsi="Arial" w:cs="Arial"/>
        </w:rPr>
        <w:t xml:space="preserve">I </w:t>
      </w:r>
      <w:r>
        <w:rPr>
          <w:rFonts w:ascii="Arial" w:hAnsi="Arial" w:cs="Arial"/>
        </w:rPr>
        <w:t xml:space="preserve">am </w:t>
      </w:r>
      <w:r w:rsidRPr="00B747A2">
        <w:rPr>
          <w:rFonts w:ascii="Arial" w:hAnsi="Arial" w:cs="Arial"/>
        </w:rPr>
        <w:t>grateful to Allah for giving me the courage and determination to continue my studies during an unbearably difficult period.</w:t>
      </w:r>
    </w:p>
    <w:p w14:paraId="541659F8" w14:textId="77777777" w:rsidR="00A15D62" w:rsidRDefault="00A15D62" w:rsidP="00905241">
      <w:pPr>
        <w:spacing w:line="360" w:lineRule="auto"/>
        <w:rPr>
          <w:rFonts w:ascii="Arial" w:hAnsi="Arial" w:cs="Arial"/>
          <w:b/>
          <w:bCs/>
        </w:rPr>
      </w:pPr>
    </w:p>
    <w:p w14:paraId="544E0329" w14:textId="77777777" w:rsidR="00A15D62" w:rsidRDefault="00A15D62" w:rsidP="00905241">
      <w:pPr>
        <w:spacing w:line="360" w:lineRule="auto"/>
        <w:rPr>
          <w:rFonts w:ascii="Arial" w:hAnsi="Arial" w:cs="Arial"/>
          <w:b/>
          <w:bCs/>
        </w:rPr>
      </w:pPr>
    </w:p>
    <w:p w14:paraId="4A4E928E" w14:textId="77777777" w:rsidR="00A15D62" w:rsidRDefault="00A15D62" w:rsidP="00905241">
      <w:pPr>
        <w:spacing w:line="360" w:lineRule="auto"/>
        <w:rPr>
          <w:rFonts w:ascii="Arial" w:hAnsi="Arial" w:cs="Arial"/>
          <w:b/>
          <w:bCs/>
        </w:rPr>
      </w:pPr>
    </w:p>
    <w:p w14:paraId="77855609" w14:textId="77777777" w:rsidR="00A15D62" w:rsidRDefault="00A15D62" w:rsidP="00905241">
      <w:pPr>
        <w:spacing w:line="360" w:lineRule="auto"/>
        <w:rPr>
          <w:rFonts w:ascii="Arial" w:hAnsi="Arial" w:cs="Arial"/>
          <w:b/>
          <w:bCs/>
        </w:rPr>
      </w:pPr>
    </w:p>
    <w:p w14:paraId="7FC8B095" w14:textId="77777777" w:rsidR="00A15D62" w:rsidRDefault="00A15D62" w:rsidP="00905241">
      <w:pPr>
        <w:spacing w:line="360" w:lineRule="auto"/>
        <w:rPr>
          <w:rFonts w:ascii="Arial" w:hAnsi="Arial" w:cs="Arial"/>
          <w:b/>
          <w:bCs/>
        </w:rPr>
      </w:pPr>
    </w:p>
    <w:p w14:paraId="05B80DBC" w14:textId="77777777" w:rsidR="00A15D62" w:rsidRDefault="00A15D62" w:rsidP="00905241">
      <w:pPr>
        <w:spacing w:line="360" w:lineRule="auto"/>
        <w:rPr>
          <w:rFonts w:ascii="Arial" w:hAnsi="Arial" w:cs="Arial"/>
          <w:b/>
          <w:bCs/>
        </w:rPr>
      </w:pPr>
    </w:p>
    <w:p w14:paraId="1A7569E9" w14:textId="77777777" w:rsidR="00A15D62" w:rsidRDefault="00A15D62" w:rsidP="00905241">
      <w:pPr>
        <w:spacing w:line="360" w:lineRule="auto"/>
        <w:rPr>
          <w:rFonts w:ascii="Arial" w:hAnsi="Arial" w:cs="Arial"/>
          <w:b/>
          <w:bCs/>
        </w:rPr>
      </w:pPr>
    </w:p>
    <w:p w14:paraId="57AEC322" w14:textId="77777777" w:rsidR="00A15D62" w:rsidRDefault="00A15D62" w:rsidP="00905241">
      <w:pPr>
        <w:spacing w:line="360" w:lineRule="auto"/>
        <w:rPr>
          <w:rFonts w:ascii="Arial" w:hAnsi="Arial" w:cs="Arial"/>
          <w:b/>
          <w:bCs/>
        </w:rPr>
      </w:pPr>
    </w:p>
    <w:p w14:paraId="7827422D" w14:textId="77777777" w:rsidR="00A15D62" w:rsidRDefault="00A15D62" w:rsidP="00905241">
      <w:pPr>
        <w:spacing w:line="360" w:lineRule="auto"/>
        <w:rPr>
          <w:rFonts w:ascii="Arial" w:hAnsi="Arial" w:cs="Arial"/>
          <w:b/>
          <w:bCs/>
        </w:rPr>
      </w:pPr>
    </w:p>
    <w:p w14:paraId="6CC1B0FD" w14:textId="77777777" w:rsidR="00A15D62" w:rsidRDefault="00A15D62" w:rsidP="00905241">
      <w:pPr>
        <w:spacing w:line="360" w:lineRule="auto"/>
        <w:rPr>
          <w:rFonts w:ascii="Arial" w:hAnsi="Arial" w:cs="Arial"/>
          <w:b/>
          <w:bCs/>
        </w:rPr>
      </w:pPr>
    </w:p>
    <w:p w14:paraId="3CE24CA2" w14:textId="77777777" w:rsidR="00A15D62" w:rsidRDefault="00A15D62" w:rsidP="00905241">
      <w:pPr>
        <w:spacing w:line="360" w:lineRule="auto"/>
        <w:rPr>
          <w:rFonts w:ascii="Arial" w:hAnsi="Arial" w:cs="Arial"/>
          <w:b/>
          <w:bCs/>
        </w:rPr>
      </w:pPr>
    </w:p>
    <w:p w14:paraId="0C0E5C6B" w14:textId="77777777" w:rsidR="00A15D62" w:rsidRDefault="00A15D62" w:rsidP="00905241">
      <w:pPr>
        <w:spacing w:line="360" w:lineRule="auto"/>
        <w:rPr>
          <w:rFonts w:ascii="Arial" w:hAnsi="Arial" w:cs="Arial"/>
          <w:b/>
          <w:bCs/>
        </w:rPr>
      </w:pPr>
    </w:p>
    <w:p w14:paraId="6F50FCBB" w14:textId="77777777" w:rsidR="00A15D62" w:rsidRDefault="00A15D62" w:rsidP="00905241">
      <w:pPr>
        <w:spacing w:line="360" w:lineRule="auto"/>
        <w:rPr>
          <w:rFonts w:ascii="Arial" w:hAnsi="Arial" w:cs="Arial"/>
          <w:b/>
          <w:bCs/>
        </w:rPr>
      </w:pPr>
    </w:p>
    <w:p w14:paraId="44653BB3" w14:textId="77777777" w:rsidR="00A15D62" w:rsidRDefault="00A15D62" w:rsidP="00905241">
      <w:pPr>
        <w:spacing w:line="360" w:lineRule="auto"/>
        <w:rPr>
          <w:rFonts w:ascii="Arial" w:hAnsi="Arial" w:cs="Arial"/>
          <w:b/>
          <w:bCs/>
        </w:rPr>
      </w:pPr>
    </w:p>
    <w:p w14:paraId="52FE703D" w14:textId="77777777" w:rsidR="00A15D62" w:rsidRPr="00390868" w:rsidRDefault="00A15D62" w:rsidP="00905241">
      <w:pPr>
        <w:spacing w:line="360" w:lineRule="auto"/>
        <w:rPr>
          <w:rFonts w:ascii="Arial" w:hAnsi="Arial" w:cs="Arial"/>
          <w:b/>
          <w:bCs/>
        </w:rPr>
      </w:pPr>
    </w:p>
    <w:sdt>
      <w:sdtPr>
        <w:rPr>
          <w:rFonts w:ascii="Arial" w:eastAsiaTheme="minorHAnsi" w:hAnsi="Arial" w:cs="Arial"/>
          <w:color w:val="auto"/>
          <w:kern w:val="2"/>
          <w:sz w:val="22"/>
          <w:szCs w:val="22"/>
          <w:lang w:val="en-GB"/>
          <w14:ligatures w14:val="standardContextual"/>
        </w:rPr>
        <w:id w:val="201516701"/>
        <w:docPartObj>
          <w:docPartGallery w:val="Table of Contents"/>
          <w:docPartUnique/>
        </w:docPartObj>
      </w:sdtPr>
      <w:sdtEndPr>
        <w:rPr>
          <w:b/>
          <w:bCs/>
          <w:noProof/>
        </w:rPr>
      </w:sdtEndPr>
      <w:sdtContent>
        <w:p w14:paraId="21EF57EA" w14:textId="0B1E48C5" w:rsidR="004C424C" w:rsidRPr="00390868" w:rsidRDefault="004C424C" w:rsidP="00905241">
          <w:pPr>
            <w:pStyle w:val="TOCHeading"/>
            <w:spacing w:line="360" w:lineRule="auto"/>
            <w:rPr>
              <w:rFonts w:ascii="Arial" w:hAnsi="Arial" w:cs="Arial"/>
            </w:rPr>
          </w:pPr>
          <w:r w:rsidRPr="00390868">
            <w:rPr>
              <w:rFonts w:ascii="Arial" w:hAnsi="Arial" w:cs="Arial"/>
            </w:rPr>
            <w:t>Contents</w:t>
          </w:r>
        </w:p>
        <w:p w14:paraId="179D742F" w14:textId="4368C3A8" w:rsidR="007C1450" w:rsidRDefault="004C424C">
          <w:pPr>
            <w:pStyle w:val="TOC1"/>
            <w:tabs>
              <w:tab w:val="right" w:leader="dot" w:pos="9016"/>
            </w:tabs>
            <w:rPr>
              <w:rFonts w:eastAsiaTheme="minorEastAsia"/>
              <w:noProof/>
              <w:sz w:val="24"/>
              <w:szCs w:val="24"/>
              <w:lang w:eastAsia="en-GB"/>
            </w:rPr>
          </w:pPr>
          <w:r w:rsidRPr="00390868">
            <w:rPr>
              <w:rFonts w:ascii="Arial" w:hAnsi="Arial" w:cs="Arial"/>
            </w:rPr>
            <w:fldChar w:fldCharType="begin"/>
          </w:r>
          <w:r w:rsidRPr="00390868">
            <w:rPr>
              <w:rFonts w:ascii="Arial" w:hAnsi="Arial" w:cs="Arial"/>
            </w:rPr>
            <w:instrText xml:space="preserve"> TOC \o "1-3" \h \z \u </w:instrText>
          </w:r>
          <w:r w:rsidRPr="00390868">
            <w:rPr>
              <w:rFonts w:ascii="Arial" w:hAnsi="Arial" w:cs="Arial"/>
            </w:rPr>
            <w:fldChar w:fldCharType="separate"/>
          </w:r>
          <w:hyperlink w:anchor="_Toc218629224" w:history="1">
            <w:r w:rsidR="007C1450" w:rsidRPr="006901FD">
              <w:rPr>
                <w:rStyle w:val="Hyperlink"/>
                <w:rFonts w:ascii="Arial" w:hAnsi="Arial" w:cs="Arial"/>
                <w:noProof/>
              </w:rPr>
              <w:t>1. Executive Summary</w:t>
            </w:r>
            <w:r w:rsidR="007C1450">
              <w:rPr>
                <w:noProof/>
                <w:webHidden/>
              </w:rPr>
              <w:tab/>
            </w:r>
            <w:r w:rsidR="007C1450">
              <w:rPr>
                <w:noProof/>
                <w:webHidden/>
              </w:rPr>
              <w:fldChar w:fldCharType="begin"/>
            </w:r>
            <w:r w:rsidR="007C1450">
              <w:rPr>
                <w:noProof/>
                <w:webHidden/>
              </w:rPr>
              <w:instrText xml:space="preserve"> PAGEREF _Toc218629224 \h </w:instrText>
            </w:r>
            <w:r w:rsidR="007C1450">
              <w:rPr>
                <w:noProof/>
                <w:webHidden/>
              </w:rPr>
            </w:r>
            <w:r w:rsidR="007C1450">
              <w:rPr>
                <w:noProof/>
                <w:webHidden/>
              </w:rPr>
              <w:fldChar w:fldCharType="separate"/>
            </w:r>
            <w:r w:rsidR="007C1450">
              <w:rPr>
                <w:noProof/>
                <w:webHidden/>
              </w:rPr>
              <w:t>5</w:t>
            </w:r>
            <w:r w:rsidR="007C1450">
              <w:rPr>
                <w:noProof/>
                <w:webHidden/>
              </w:rPr>
              <w:fldChar w:fldCharType="end"/>
            </w:r>
          </w:hyperlink>
        </w:p>
        <w:p w14:paraId="0E7EE866" w14:textId="6050F7B7" w:rsidR="007C1450" w:rsidRDefault="007C1450">
          <w:pPr>
            <w:pStyle w:val="TOC1"/>
            <w:tabs>
              <w:tab w:val="right" w:leader="dot" w:pos="9016"/>
            </w:tabs>
            <w:rPr>
              <w:rFonts w:eastAsiaTheme="minorEastAsia"/>
              <w:noProof/>
              <w:sz w:val="24"/>
              <w:szCs w:val="24"/>
              <w:lang w:eastAsia="en-GB"/>
            </w:rPr>
          </w:pPr>
          <w:hyperlink w:anchor="_Toc218629225" w:history="1">
            <w:r w:rsidRPr="006901FD">
              <w:rPr>
                <w:rStyle w:val="Hyperlink"/>
                <w:rFonts w:ascii="Arial" w:hAnsi="Arial" w:cs="Arial"/>
                <w:noProof/>
              </w:rPr>
              <w:t>2. Company Description – 1 STATION Ltd</w:t>
            </w:r>
            <w:r>
              <w:rPr>
                <w:noProof/>
                <w:webHidden/>
              </w:rPr>
              <w:tab/>
            </w:r>
            <w:r>
              <w:rPr>
                <w:noProof/>
                <w:webHidden/>
              </w:rPr>
              <w:fldChar w:fldCharType="begin"/>
            </w:r>
            <w:r>
              <w:rPr>
                <w:noProof/>
                <w:webHidden/>
              </w:rPr>
              <w:instrText xml:space="preserve"> PAGEREF _Toc218629225 \h </w:instrText>
            </w:r>
            <w:r>
              <w:rPr>
                <w:noProof/>
                <w:webHidden/>
              </w:rPr>
            </w:r>
            <w:r>
              <w:rPr>
                <w:noProof/>
                <w:webHidden/>
              </w:rPr>
              <w:fldChar w:fldCharType="separate"/>
            </w:r>
            <w:r>
              <w:rPr>
                <w:noProof/>
                <w:webHidden/>
              </w:rPr>
              <w:t>7</w:t>
            </w:r>
            <w:r>
              <w:rPr>
                <w:noProof/>
                <w:webHidden/>
              </w:rPr>
              <w:fldChar w:fldCharType="end"/>
            </w:r>
          </w:hyperlink>
        </w:p>
        <w:p w14:paraId="35A642CF" w14:textId="24449EDB" w:rsidR="007C1450" w:rsidRDefault="007C1450">
          <w:pPr>
            <w:pStyle w:val="TOC2"/>
            <w:rPr>
              <w:rFonts w:asciiTheme="minorHAnsi" w:eastAsiaTheme="minorEastAsia" w:hAnsiTheme="minorHAnsi" w:cstheme="minorBidi"/>
              <w:sz w:val="24"/>
              <w:szCs w:val="24"/>
              <w:lang w:eastAsia="en-GB"/>
            </w:rPr>
          </w:pPr>
          <w:hyperlink w:anchor="_Toc218629226" w:history="1">
            <w:r w:rsidRPr="006901FD">
              <w:rPr>
                <w:rStyle w:val="Hyperlink"/>
              </w:rPr>
              <w:t>2.1 Brand Identity and Strategic Positioning</w:t>
            </w:r>
            <w:r>
              <w:rPr>
                <w:webHidden/>
              </w:rPr>
              <w:tab/>
            </w:r>
            <w:r>
              <w:rPr>
                <w:webHidden/>
              </w:rPr>
              <w:fldChar w:fldCharType="begin"/>
            </w:r>
            <w:r>
              <w:rPr>
                <w:webHidden/>
              </w:rPr>
              <w:instrText xml:space="preserve"> PAGEREF _Toc218629226 \h </w:instrText>
            </w:r>
            <w:r>
              <w:rPr>
                <w:webHidden/>
              </w:rPr>
            </w:r>
            <w:r>
              <w:rPr>
                <w:webHidden/>
              </w:rPr>
              <w:fldChar w:fldCharType="separate"/>
            </w:r>
            <w:r>
              <w:rPr>
                <w:webHidden/>
              </w:rPr>
              <w:t>7</w:t>
            </w:r>
            <w:r>
              <w:rPr>
                <w:webHidden/>
              </w:rPr>
              <w:fldChar w:fldCharType="end"/>
            </w:r>
          </w:hyperlink>
        </w:p>
        <w:p w14:paraId="465DCA0D" w14:textId="44FD5A59" w:rsidR="007C1450" w:rsidRDefault="007C1450">
          <w:pPr>
            <w:pStyle w:val="TOC2"/>
            <w:rPr>
              <w:rFonts w:asciiTheme="minorHAnsi" w:eastAsiaTheme="minorEastAsia" w:hAnsiTheme="minorHAnsi" w:cstheme="minorBidi"/>
              <w:sz w:val="24"/>
              <w:szCs w:val="24"/>
              <w:lang w:eastAsia="en-GB"/>
            </w:rPr>
          </w:pPr>
          <w:hyperlink w:anchor="_Toc218629227" w:history="1">
            <w:r w:rsidRPr="006901FD">
              <w:rPr>
                <w:rStyle w:val="Hyperlink"/>
              </w:rPr>
              <w:t>2.2 Legal Structure and Governance</w:t>
            </w:r>
            <w:r>
              <w:rPr>
                <w:webHidden/>
              </w:rPr>
              <w:tab/>
            </w:r>
            <w:r>
              <w:rPr>
                <w:webHidden/>
              </w:rPr>
              <w:fldChar w:fldCharType="begin"/>
            </w:r>
            <w:r>
              <w:rPr>
                <w:webHidden/>
              </w:rPr>
              <w:instrText xml:space="preserve"> PAGEREF _Toc218629227 \h </w:instrText>
            </w:r>
            <w:r>
              <w:rPr>
                <w:webHidden/>
              </w:rPr>
            </w:r>
            <w:r>
              <w:rPr>
                <w:webHidden/>
              </w:rPr>
              <w:fldChar w:fldCharType="separate"/>
            </w:r>
            <w:r>
              <w:rPr>
                <w:webHidden/>
              </w:rPr>
              <w:t>8</w:t>
            </w:r>
            <w:r>
              <w:rPr>
                <w:webHidden/>
              </w:rPr>
              <w:fldChar w:fldCharType="end"/>
            </w:r>
          </w:hyperlink>
        </w:p>
        <w:p w14:paraId="171D402C" w14:textId="35BAE523" w:rsidR="007C1450" w:rsidRDefault="007C1450">
          <w:pPr>
            <w:pStyle w:val="TOC2"/>
            <w:rPr>
              <w:rFonts w:asciiTheme="minorHAnsi" w:eastAsiaTheme="minorEastAsia" w:hAnsiTheme="minorHAnsi" w:cstheme="minorBidi"/>
              <w:sz w:val="24"/>
              <w:szCs w:val="24"/>
              <w:lang w:eastAsia="en-GB"/>
            </w:rPr>
          </w:pPr>
          <w:hyperlink w:anchor="_Toc218629228" w:history="1">
            <w:r w:rsidRPr="006901FD">
              <w:rPr>
                <w:rStyle w:val="Hyperlink"/>
              </w:rPr>
              <w:t>2.3 Founder Insight and Concept Genesis</w:t>
            </w:r>
            <w:r>
              <w:rPr>
                <w:webHidden/>
              </w:rPr>
              <w:tab/>
            </w:r>
            <w:r>
              <w:rPr>
                <w:webHidden/>
              </w:rPr>
              <w:fldChar w:fldCharType="begin"/>
            </w:r>
            <w:r>
              <w:rPr>
                <w:webHidden/>
              </w:rPr>
              <w:instrText xml:space="preserve"> PAGEREF _Toc218629228 \h </w:instrText>
            </w:r>
            <w:r>
              <w:rPr>
                <w:webHidden/>
              </w:rPr>
            </w:r>
            <w:r>
              <w:rPr>
                <w:webHidden/>
              </w:rPr>
              <w:fldChar w:fldCharType="separate"/>
            </w:r>
            <w:r>
              <w:rPr>
                <w:webHidden/>
              </w:rPr>
              <w:t>9</w:t>
            </w:r>
            <w:r>
              <w:rPr>
                <w:webHidden/>
              </w:rPr>
              <w:fldChar w:fldCharType="end"/>
            </w:r>
          </w:hyperlink>
        </w:p>
        <w:p w14:paraId="58339D97" w14:textId="23FCF650" w:rsidR="007C1450" w:rsidRDefault="007C1450">
          <w:pPr>
            <w:pStyle w:val="TOC2"/>
            <w:rPr>
              <w:rFonts w:asciiTheme="minorHAnsi" w:eastAsiaTheme="minorEastAsia" w:hAnsiTheme="minorHAnsi" w:cstheme="minorBidi"/>
              <w:sz w:val="24"/>
              <w:szCs w:val="24"/>
              <w:lang w:eastAsia="en-GB"/>
            </w:rPr>
          </w:pPr>
          <w:hyperlink w:anchor="_Toc218629229" w:history="1">
            <w:r w:rsidRPr="006901FD">
              <w:rPr>
                <w:rStyle w:val="Hyperlink"/>
              </w:rPr>
              <w:t>2.4 Strategic Objectives and Key Performance Indicators (KPIs)</w:t>
            </w:r>
            <w:r>
              <w:rPr>
                <w:webHidden/>
              </w:rPr>
              <w:tab/>
            </w:r>
            <w:r>
              <w:rPr>
                <w:webHidden/>
              </w:rPr>
              <w:fldChar w:fldCharType="begin"/>
            </w:r>
            <w:r>
              <w:rPr>
                <w:webHidden/>
              </w:rPr>
              <w:instrText xml:space="preserve"> PAGEREF _Toc218629229 \h </w:instrText>
            </w:r>
            <w:r>
              <w:rPr>
                <w:webHidden/>
              </w:rPr>
            </w:r>
            <w:r>
              <w:rPr>
                <w:webHidden/>
              </w:rPr>
              <w:fldChar w:fldCharType="separate"/>
            </w:r>
            <w:r>
              <w:rPr>
                <w:webHidden/>
              </w:rPr>
              <w:t>10</w:t>
            </w:r>
            <w:r>
              <w:rPr>
                <w:webHidden/>
              </w:rPr>
              <w:fldChar w:fldCharType="end"/>
            </w:r>
          </w:hyperlink>
        </w:p>
        <w:p w14:paraId="4F31A03E" w14:textId="300655A9" w:rsidR="007C1450" w:rsidRDefault="007C1450">
          <w:pPr>
            <w:pStyle w:val="TOC2"/>
            <w:rPr>
              <w:rFonts w:asciiTheme="minorHAnsi" w:eastAsiaTheme="minorEastAsia" w:hAnsiTheme="minorHAnsi" w:cstheme="minorBidi"/>
              <w:sz w:val="24"/>
              <w:szCs w:val="24"/>
              <w:lang w:eastAsia="en-GB"/>
            </w:rPr>
          </w:pPr>
          <w:hyperlink w:anchor="_Toc218629230" w:history="1">
            <w:r w:rsidRPr="006901FD">
              <w:rPr>
                <w:rStyle w:val="Hyperlink"/>
              </w:rPr>
              <w:t>2.5 Integrated Service Portfolio</w:t>
            </w:r>
            <w:r>
              <w:rPr>
                <w:webHidden/>
              </w:rPr>
              <w:tab/>
            </w:r>
            <w:r>
              <w:rPr>
                <w:webHidden/>
              </w:rPr>
              <w:fldChar w:fldCharType="begin"/>
            </w:r>
            <w:r>
              <w:rPr>
                <w:webHidden/>
              </w:rPr>
              <w:instrText xml:space="preserve"> PAGEREF _Toc218629230 \h </w:instrText>
            </w:r>
            <w:r>
              <w:rPr>
                <w:webHidden/>
              </w:rPr>
            </w:r>
            <w:r>
              <w:rPr>
                <w:webHidden/>
              </w:rPr>
              <w:fldChar w:fldCharType="separate"/>
            </w:r>
            <w:r>
              <w:rPr>
                <w:webHidden/>
              </w:rPr>
              <w:t>11</w:t>
            </w:r>
            <w:r>
              <w:rPr>
                <w:webHidden/>
              </w:rPr>
              <w:fldChar w:fldCharType="end"/>
            </w:r>
          </w:hyperlink>
        </w:p>
        <w:p w14:paraId="3DDD4410" w14:textId="6DACB8DD" w:rsidR="007C1450" w:rsidRDefault="007C1450">
          <w:pPr>
            <w:pStyle w:val="TOC2"/>
            <w:rPr>
              <w:rFonts w:asciiTheme="minorHAnsi" w:eastAsiaTheme="minorEastAsia" w:hAnsiTheme="minorHAnsi" w:cstheme="minorBidi"/>
              <w:sz w:val="24"/>
              <w:szCs w:val="24"/>
              <w:lang w:eastAsia="en-GB"/>
            </w:rPr>
          </w:pPr>
          <w:hyperlink w:anchor="_Toc218629231" w:history="1">
            <w:r w:rsidRPr="006901FD">
              <w:rPr>
                <w:rStyle w:val="Hyperlink"/>
              </w:rPr>
              <w:t>2.6 Economic and Social Contribution</w:t>
            </w:r>
            <w:r>
              <w:rPr>
                <w:webHidden/>
              </w:rPr>
              <w:tab/>
            </w:r>
            <w:r>
              <w:rPr>
                <w:webHidden/>
              </w:rPr>
              <w:fldChar w:fldCharType="begin"/>
            </w:r>
            <w:r>
              <w:rPr>
                <w:webHidden/>
              </w:rPr>
              <w:instrText xml:space="preserve"> PAGEREF _Toc218629231 \h </w:instrText>
            </w:r>
            <w:r>
              <w:rPr>
                <w:webHidden/>
              </w:rPr>
            </w:r>
            <w:r>
              <w:rPr>
                <w:webHidden/>
              </w:rPr>
              <w:fldChar w:fldCharType="separate"/>
            </w:r>
            <w:r>
              <w:rPr>
                <w:webHidden/>
              </w:rPr>
              <w:t>12</w:t>
            </w:r>
            <w:r>
              <w:rPr>
                <w:webHidden/>
              </w:rPr>
              <w:fldChar w:fldCharType="end"/>
            </w:r>
          </w:hyperlink>
        </w:p>
        <w:p w14:paraId="6C88F5F9" w14:textId="3C5E646F" w:rsidR="007C1450" w:rsidRDefault="007C1450">
          <w:pPr>
            <w:pStyle w:val="TOC2"/>
            <w:rPr>
              <w:rFonts w:asciiTheme="minorHAnsi" w:eastAsiaTheme="minorEastAsia" w:hAnsiTheme="minorHAnsi" w:cstheme="minorBidi"/>
              <w:sz w:val="24"/>
              <w:szCs w:val="24"/>
              <w:lang w:eastAsia="en-GB"/>
            </w:rPr>
          </w:pPr>
          <w:hyperlink w:anchor="_Toc218629232" w:history="1">
            <w:r w:rsidRPr="006901FD">
              <w:rPr>
                <w:rStyle w:val="Hyperlink"/>
              </w:rPr>
              <w:t>2.7 Revenue and Growth Potential</w:t>
            </w:r>
            <w:r>
              <w:rPr>
                <w:webHidden/>
              </w:rPr>
              <w:tab/>
            </w:r>
            <w:r>
              <w:rPr>
                <w:webHidden/>
              </w:rPr>
              <w:fldChar w:fldCharType="begin"/>
            </w:r>
            <w:r>
              <w:rPr>
                <w:webHidden/>
              </w:rPr>
              <w:instrText xml:space="preserve"> PAGEREF _Toc218629232 \h </w:instrText>
            </w:r>
            <w:r>
              <w:rPr>
                <w:webHidden/>
              </w:rPr>
            </w:r>
            <w:r>
              <w:rPr>
                <w:webHidden/>
              </w:rPr>
              <w:fldChar w:fldCharType="separate"/>
            </w:r>
            <w:r>
              <w:rPr>
                <w:webHidden/>
              </w:rPr>
              <w:t>13</w:t>
            </w:r>
            <w:r>
              <w:rPr>
                <w:webHidden/>
              </w:rPr>
              <w:fldChar w:fldCharType="end"/>
            </w:r>
          </w:hyperlink>
        </w:p>
        <w:p w14:paraId="5D513B54" w14:textId="04BD687B" w:rsidR="007C1450" w:rsidRDefault="007C1450">
          <w:pPr>
            <w:pStyle w:val="TOC1"/>
            <w:tabs>
              <w:tab w:val="right" w:leader="dot" w:pos="9016"/>
            </w:tabs>
            <w:rPr>
              <w:rFonts w:eastAsiaTheme="minorEastAsia"/>
              <w:noProof/>
              <w:sz w:val="24"/>
              <w:szCs w:val="24"/>
              <w:lang w:eastAsia="en-GB"/>
            </w:rPr>
          </w:pPr>
          <w:hyperlink w:anchor="_Toc218629233" w:history="1">
            <w:r w:rsidRPr="006901FD">
              <w:rPr>
                <w:rStyle w:val="Hyperlink"/>
                <w:rFonts w:ascii="Arial" w:hAnsi="Arial" w:cs="Arial"/>
                <w:noProof/>
              </w:rPr>
              <w:t>3. Market Research and Validation</w:t>
            </w:r>
            <w:r>
              <w:rPr>
                <w:noProof/>
                <w:webHidden/>
              </w:rPr>
              <w:tab/>
            </w:r>
            <w:r>
              <w:rPr>
                <w:noProof/>
                <w:webHidden/>
              </w:rPr>
              <w:fldChar w:fldCharType="begin"/>
            </w:r>
            <w:r>
              <w:rPr>
                <w:noProof/>
                <w:webHidden/>
              </w:rPr>
              <w:instrText xml:space="preserve"> PAGEREF _Toc218629233 \h </w:instrText>
            </w:r>
            <w:r>
              <w:rPr>
                <w:noProof/>
                <w:webHidden/>
              </w:rPr>
            </w:r>
            <w:r>
              <w:rPr>
                <w:noProof/>
                <w:webHidden/>
              </w:rPr>
              <w:fldChar w:fldCharType="separate"/>
            </w:r>
            <w:r>
              <w:rPr>
                <w:noProof/>
                <w:webHidden/>
              </w:rPr>
              <w:t>13</w:t>
            </w:r>
            <w:r>
              <w:rPr>
                <w:noProof/>
                <w:webHidden/>
              </w:rPr>
              <w:fldChar w:fldCharType="end"/>
            </w:r>
          </w:hyperlink>
        </w:p>
        <w:p w14:paraId="105DF8AF" w14:textId="3A2C613B" w:rsidR="007C1450" w:rsidRDefault="007C1450">
          <w:pPr>
            <w:pStyle w:val="TOC2"/>
            <w:rPr>
              <w:rFonts w:asciiTheme="minorHAnsi" w:eastAsiaTheme="minorEastAsia" w:hAnsiTheme="minorHAnsi" w:cstheme="minorBidi"/>
              <w:sz w:val="24"/>
              <w:szCs w:val="24"/>
              <w:lang w:eastAsia="en-GB"/>
            </w:rPr>
          </w:pPr>
          <w:hyperlink w:anchor="_Toc218629234" w:history="1">
            <w:r w:rsidRPr="006901FD">
              <w:rPr>
                <w:rStyle w:val="Hyperlink"/>
              </w:rPr>
              <w:t>3.1 National Market Context</w:t>
            </w:r>
            <w:r>
              <w:rPr>
                <w:webHidden/>
              </w:rPr>
              <w:tab/>
            </w:r>
            <w:r>
              <w:rPr>
                <w:webHidden/>
              </w:rPr>
              <w:fldChar w:fldCharType="begin"/>
            </w:r>
            <w:r>
              <w:rPr>
                <w:webHidden/>
              </w:rPr>
              <w:instrText xml:space="preserve"> PAGEREF _Toc218629234 \h </w:instrText>
            </w:r>
            <w:r>
              <w:rPr>
                <w:webHidden/>
              </w:rPr>
            </w:r>
            <w:r>
              <w:rPr>
                <w:webHidden/>
              </w:rPr>
              <w:fldChar w:fldCharType="separate"/>
            </w:r>
            <w:r>
              <w:rPr>
                <w:webHidden/>
              </w:rPr>
              <w:t>13</w:t>
            </w:r>
            <w:r>
              <w:rPr>
                <w:webHidden/>
              </w:rPr>
              <w:fldChar w:fldCharType="end"/>
            </w:r>
          </w:hyperlink>
        </w:p>
        <w:p w14:paraId="001A0C06" w14:textId="7AC7B8AF" w:rsidR="007C1450" w:rsidRDefault="007C1450">
          <w:pPr>
            <w:pStyle w:val="TOC2"/>
            <w:rPr>
              <w:rFonts w:asciiTheme="minorHAnsi" w:eastAsiaTheme="minorEastAsia" w:hAnsiTheme="minorHAnsi" w:cstheme="minorBidi"/>
              <w:sz w:val="24"/>
              <w:szCs w:val="24"/>
              <w:lang w:eastAsia="en-GB"/>
            </w:rPr>
          </w:pPr>
          <w:hyperlink w:anchor="_Toc218629235" w:history="1">
            <w:r w:rsidRPr="006901FD">
              <w:rPr>
                <w:rStyle w:val="Hyperlink"/>
              </w:rPr>
              <w:t>3.2 Regional and Local Market: Sandwell</w:t>
            </w:r>
            <w:r>
              <w:rPr>
                <w:webHidden/>
              </w:rPr>
              <w:tab/>
            </w:r>
            <w:r>
              <w:rPr>
                <w:webHidden/>
              </w:rPr>
              <w:fldChar w:fldCharType="begin"/>
            </w:r>
            <w:r>
              <w:rPr>
                <w:webHidden/>
              </w:rPr>
              <w:instrText xml:space="preserve"> PAGEREF _Toc218629235 \h </w:instrText>
            </w:r>
            <w:r>
              <w:rPr>
                <w:webHidden/>
              </w:rPr>
            </w:r>
            <w:r>
              <w:rPr>
                <w:webHidden/>
              </w:rPr>
              <w:fldChar w:fldCharType="separate"/>
            </w:r>
            <w:r>
              <w:rPr>
                <w:webHidden/>
              </w:rPr>
              <w:t>15</w:t>
            </w:r>
            <w:r>
              <w:rPr>
                <w:webHidden/>
              </w:rPr>
              <w:fldChar w:fldCharType="end"/>
            </w:r>
          </w:hyperlink>
        </w:p>
        <w:p w14:paraId="024BE95F" w14:textId="6AAAA681" w:rsidR="007C1450" w:rsidRDefault="007C1450">
          <w:pPr>
            <w:pStyle w:val="TOC2"/>
            <w:rPr>
              <w:rFonts w:asciiTheme="minorHAnsi" w:eastAsiaTheme="minorEastAsia" w:hAnsiTheme="minorHAnsi" w:cstheme="minorBidi"/>
              <w:sz w:val="24"/>
              <w:szCs w:val="24"/>
              <w:lang w:eastAsia="en-GB"/>
            </w:rPr>
          </w:pPr>
          <w:hyperlink w:anchor="_Toc218629236" w:history="1">
            <w:r w:rsidRPr="006901FD">
              <w:rPr>
                <w:rStyle w:val="Hyperlink"/>
              </w:rPr>
              <w:t>3.3 Service-by-Service Demand Analysis</w:t>
            </w:r>
            <w:r>
              <w:rPr>
                <w:webHidden/>
              </w:rPr>
              <w:tab/>
            </w:r>
            <w:r>
              <w:rPr>
                <w:webHidden/>
              </w:rPr>
              <w:fldChar w:fldCharType="begin"/>
            </w:r>
            <w:r>
              <w:rPr>
                <w:webHidden/>
              </w:rPr>
              <w:instrText xml:space="preserve"> PAGEREF _Toc218629236 \h </w:instrText>
            </w:r>
            <w:r>
              <w:rPr>
                <w:webHidden/>
              </w:rPr>
            </w:r>
            <w:r>
              <w:rPr>
                <w:webHidden/>
              </w:rPr>
              <w:fldChar w:fldCharType="separate"/>
            </w:r>
            <w:r>
              <w:rPr>
                <w:webHidden/>
              </w:rPr>
              <w:t>17</w:t>
            </w:r>
            <w:r>
              <w:rPr>
                <w:webHidden/>
              </w:rPr>
              <w:fldChar w:fldCharType="end"/>
            </w:r>
          </w:hyperlink>
        </w:p>
        <w:p w14:paraId="354494EA" w14:textId="58F974B8" w:rsidR="007C1450" w:rsidRDefault="007C1450">
          <w:pPr>
            <w:pStyle w:val="TOC3"/>
            <w:tabs>
              <w:tab w:val="right" w:leader="dot" w:pos="9016"/>
            </w:tabs>
            <w:rPr>
              <w:rFonts w:eastAsiaTheme="minorEastAsia"/>
              <w:noProof/>
              <w:sz w:val="24"/>
              <w:szCs w:val="24"/>
              <w:lang w:eastAsia="en-GB"/>
            </w:rPr>
          </w:pPr>
          <w:hyperlink w:anchor="_Toc218629237" w:history="1">
            <w:r w:rsidRPr="006901FD">
              <w:rPr>
                <w:rStyle w:val="Hyperlink"/>
                <w:rFonts w:ascii="Arial" w:hAnsi="Arial" w:cs="Arial"/>
                <w:noProof/>
              </w:rPr>
              <w:t>3.3.1 Maintenance and Repair (SIC 45200)</w:t>
            </w:r>
            <w:r>
              <w:rPr>
                <w:noProof/>
                <w:webHidden/>
              </w:rPr>
              <w:tab/>
            </w:r>
            <w:r>
              <w:rPr>
                <w:noProof/>
                <w:webHidden/>
              </w:rPr>
              <w:fldChar w:fldCharType="begin"/>
            </w:r>
            <w:r>
              <w:rPr>
                <w:noProof/>
                <w:webHidden/>
              </w:rPr>
              <w:instrText xml:space="preserve"> PAGEREF _Toc218629237 \h </w:instrText>
            </w:r>
            <w:r>
              <w:rPr>
                <w:noProof/>
                <w:webHidden/>
              </w:rPr>
            </w:r>
            <w:r>
              <w:rPr>
                <w:noProof/>
                <w:webHidden/>
              </w:rPr>
              <w:fldChar w:fldCharType="separate"/>
            </w:r>
            <w:r>
              <w:rPr>
                <w:noProof/>
                <w:webHidden/>
              </w:rPr>
              <w:t>17</w:t>
            </w:r>
            <w:r>
              <w:rPr>
                <w:noProof/>
                <w:webHidden/>
              </w:rPr>
              <w:fldChar w:fldCharType="end"/>
            </w:r>
          </w:hyperlink>
        </w:p>
        <w:p w14:paraId="2311AE17" w14:textId="0AAF0323" w:rsidR="007C1450" w:rsidRDefault="007C1450">
          <w:pPr>
            <w:pStyle w:val="TOC3"/>
            <w:tabs>
              <w:tab w:val="right" w:leader="dot" w:pos="9016"/>
            </w:tabs>
            <w:rPr>
              <w:rFonts w:eastAsiaTheme="minorEastAsia"/>
              <w:noProof/>
              <w:sz w:val="24"/>
              <w:szCs w:val="24"/>
              <w:lang w:eastAsia="en-GB"/>
            </w:rPr>
          </w:pPr>
          <w:hyperlink w:anchor="_Toc218629238" w:history="1">
            <w:r w:rsidRPr="006901FD">
              <w:rPr>
                <w:rStyle w:val="Hyperlink"/>
                <w:rFonts w:ascii="Arial" w:hAnsi="Arial" w:cs="Arial"/>
                <w:noProof/>
              </w:rPr>
              <w:t>3.3.2 MOT Testing</w:t>
            </w:r>
            <w:r>
              <w:rPr>
                <w:noProof/>
                <w:webHidden/>
              </w:rPr>
              <w:tab/>
            </w:r>
            <w:r>
              <w:rPr>
                <w:noProof/>
                <w:webHidden/>
              </w:rPr>
              <w:fldChar w:fldCharType="begin"/>
            </w:r>
            <w:r>
              <w:rPr>
                <w:noProof/>
                <w:webHidden/>
              </w:rPr>
              <w:instrText xml:space="preserve"> PAGEREF _Toc218629238 \h </w:instrText>
            </w:r>
            <w:r>
              <w:rPr>
                <w:noProof/>
                <w:webHidden/>
              </w:rPr>
            </w:r>
            <w:r>
              <w:rPr>
                <w:noProof/>
                <w:webHidden/>
              </w:rPr>
              <w:fldChar w:fldCharType="separate"/>
            </w:r>
            <w:r>
              <w:rPr>
                <w:noProof/>
                <w:webHidden/>
              </w:rPr>
              <w:t>17</w:t>
            </w:r>
            <w:r>
              <w:rPr>
                <w:noProof/>
                <w:webHidden/>
              </w:rPr>
              <w:fldChar w:fldCharType="end"/>
            </w:r>
          </w:hyperlink>
        </w:p>
        <w:p w14:paraId="78505AD1" w14:textId="73448A84" w:rsidR="007C1450" w:rsidRDefault="007C1450">
          <w:pPr>
            <w:pStyle w:val="TOC3"/>
            <w:tabs>
              <w:tab w:val="right" w:leader="dot" w:pos="9016"/>
            </w:tabs>
            <w:rPr>
              <w:rFonts w:eastAsiaTheme="minorEastAsia"/>
              <w:noProof/>
              <w:sz w:val="24"/>
              <w:szCs w:val="24"/>
              <w:lang w:eastAsia="en-GB"/>
            </w:rPr>
          </w:pPr>
          <w:hyperlink w:anchor="_Toc218629239" w:history="1">
            <w:r w:rsidRPr="006901FD">
              <w:rPr>
                <w:rStyle w:val="Hyperlink"/>
                <w:rFonts w:ascii="Arial" w:hAnsi="Arial" w:cs="Arial"/>
                <w:noProof/>
              </w:rPr>
              <w:t>3.3.3 Tyre Fitting and Repair</w:t>
            </w:r>
            <w:r>
              <w:rPr>
                <w:noProof/>
                <w:webHidden/>
              </w:rPr>
              <w:tab/>
            </w:r>
            <w:r>
              <w:rPr>
                <w:noProof/>
                <w:webHidden/>
              </w:rPr>
              <w:fldChar w:fldCharType="begin"/>
            </w:r>
            <w:r>
              <w:rPr>
                <w:noProof/>
                <w:webHidden/>
              </w:rPr>
              <w:instrText xml:space="preserve"> PAGEREF _Toc218629239 \h </w:instrText>
            </w:r>
            <w:r>
              <w:rPr>
                <w:noProof/>
                <w:webHidden/>
              </w:rPr>
            </w:r>
            <w:r>
              <w:rPr>
                <w:noProof/>
                <w:webHidden/>
              </w:rPr>
              <w:fldChar w:fldCharType="separate"/>
            </w:r>
            <w:r>
              <w:rPr>
                <w:noProof/>
                <w:webHidden/>
              </w:rPr>
              <w:t>18</w:t>
            </w:r>
            <w:r>
              <w:rPr>
                <w:noProof/>
                <w:webHidden/>
              </w:rPr>
              <w:fldChar w:fldCharType="end"/>
            </w:r>
          </w:hyperlink>
        </w:p>
        <w:p w14:paraId="3DB8FDCC" w14:textId="6515CA00" w:rsidR="007C1450" w:rsidRDefault="007C1450">
          <w:pPr>
            <w:pStyle w:val="TOC3"/>
            <w:tabs>
              <w:tab w:val="right" w:leader="dot" w:pos="9016"/>
            </w:tabs>
            <w:rPr>
              <w:rFonts w:eastAsiaTheme="minorEastAsia"/>
              <w:noProof/>
              <w:sz w:val="24"/>
              <w:szCs w:val="24"/>
              <w:lang w:eastAsia="en-GB"/>
            </w:rPr>
          </w:pPr>
          <w:hyperlink w:anchor="_Toc218629240" w:history="1">
            <w:r w:rsidRPr="006901FD">
              <w:rPr>
                <w:rStyle w:val="Hyperlink"/>
                <w:rFonts w:ascii="Arial" w:hAnsi="Arial" w:cs="Arial"/>
                <w:noProof/>
              </w:rPr>
              <w:t>3.3.4 Bodywork and Paint Restoration</w:t>
            </w:r>
            <w:r>
              <w:rPr>
                <w:noProof/>
                <w:webHidden/>
              </w:rPr>
              <w:tab/>
            </w:r>
            <w:r>
              <w:rPr>
                <w:noProof/>
                <w:webHidden/>
              </w:rPr>
              <w:fldChar w:fldCharType="begin"/>
            </w:r>
            <w:r>
              <w:rPr>
                <w:noProof/>
                <w:webHidden/>
              </w:rPr>
              <w:instrText xml:space="preserve"> PAGEREF _Toc218629240 \h </w:instrText>
            </w:r>
            <w:r>
              <w:rPr>
                <w:noProof/>
                <w:webHidden/>
              </w:rPr>
            </w:r>
            <w:r>
              <w:rPr>
                <w:noProof/>
                <w:webHidden/>
              </w:rPr>
              <w:fldChar w:fldCharType="separate"/>
            </w:r>
            <w:r>
              <w:rPr>
                <w:noProof/>
                <w:webHidden/>
              </w:rPr>
              <w:t>19</w:t>
            </w:r>
            <w:r>
              <w:rPr>
                <w:noProof/>
                <w:webHidden/>
              </w:rPr>
              <w:fldChar w:fldCharType="end"/>
            </w:r>
          </w:hyperlink>
        </w:p>
        <w:p w14:paraId="7CED52B2" w14:textId="02FD8541" w:rsidR="007C1450" w:rsidRDefault="007C1450">
          <w:pPr>
            <w:pStyle w:val="TOC3"/>
            <w:tabs>
              <w:tab w:val="right" w:leader="dot" w:pos="9016"/>
            </w:tabs>
            <w:rPr>
              <w:rFonts w:eastAsiaTheme="minorEastAsia"/>
              <w:noProof/>
              <w:sz w:val="24"/>
              <w:szCs w:val="24"/>
              <w:lang w:eastAsia="en-GB"/>
            </w:rPr>
          </w:pPr>
          <w:hyperlink w:anchor="_Toc218629241" w:history="1">
            <w:r w:rsidRPr="006901FD">
              <w:rPr>
                <w:rStyle w:val="Hyperlink"/>
                <w:rFonts w:ascii="Arial" w:hAnsi="Arial" w:cs="Arial"/>
                <w:noProof/>
              </w:rPr>
              <w:t>3.3.5 EV and Hybrid Servicing</w:t>
            </w:r>
            <w:r>
              <w:rPr>
                <w:noProof/>
                <w:webHidden/>
              </w:rPr>
              <w:tab/>
            </w:r>
            <w:r>
              <w:rPr>
                <w:noProof/>
                <w:webHidden/>
              </w:rPr>
              <w:fldChar w:fldCharType="begin"/>
            </w:r>
            <w:r>
              <w:rPr>
                <w:noProof/>
                <w:webHidden/>
              </w:rPr>
              <w:instrText xml:space="preserve"> PAGEREF _Toc218629241 \h </w:instrText>
            </w:r>
            <w:r>
              <w:rPr>
                <w:noProof/>
                <w:webHidden/>
              </w:rPr>
            </w:r>
            <w:r>
              <w:rPr>
                <w:noProof/>
                <w:webHidden/>
              </w:rPr>
              <w:fldChar w:fldCharType="separate"/>
            </w:r>
            <w:r>
              <w:rPr>
                <w:noProof/>
                <w:webHidden/>
              </w:rPr>
              <w:t>20</w:t>
            </w:r>
            <w:r>
              <w:rPr>
                <w:noProof/>
                <w:webHidden/>
              </w:rPr>
              <w:fldChar w:fldCharType="end"/>
            </w:r>
          </w:hyperlink>
        </w:p>
        <w:p w14:paraId="378A83D4" w14:textId="04E5AD6C" w:rsidR="007C1450" w:rsidRDefault="007C1450">
          <w:pPr>
            <w:pStyle w:val="TOC3"/>
            <w:tabs>
              <w:tab w:val="right" w:leader="dot" w:pos="9016"/>
            </w:tabs>
            <w:rPr>
              <w:rFonts w:eastAsiaTheme="minorEastAsia"/>
              <w:noProof/>
              <w:sz w:val="24"/>
              <w:szCs w:val="24"/>
              <w:lang w:eastAsia="en-GB"/>
            </w:rPr>
          </w:pPr>
          <w:hyperlink w:anchor="_Toc218629242" w:history="1">
            <w:r w:rsidRPr="006901FD">
              <w:rPr>
                <w:rStyle w:val="Hyperlink"/>
                <w:rFonts w:ascii="Arial" w:hAnsi="Arial" w:cs="Arial"/>
                <w:noProof/>
              </w:rPr>
              <w:t>3.3.6 Car Wash and Detailing</w:t>
            </w:r>
            <w:r>
              <w:rPr>
                <w:noProof/>
                <w:webHidden/>
              </w:rPr>
              <w:tab/>
            </w:r>
            <w:r>
              <w:rPr>
                <w:noProof/>
                <w:webHidden/>
              </w:rPr>
              <w:fldChar w:fldCharType="begin"/>
            </w:r>
            <w:r>
              <w:rPr>
                <w:noProof/>
                <w:webHidden/>
              </w:rPr>
              <w:instrText xml:space="preserve"> PAGEREF _Toc218629242 \h </w:instrText>
            </w:r>
            <w:r>
              <w:rPr>
                <w:noProof/>
                <w:webHidden/>
              </w:rPr>
            </w:r>
            <w:r>
              <w:rPr>
                <w:noProof/>
                <w:webHidden/>
              </w:rPr>
              <w:fldChar w:fldCharType="separate"/>
            </w:r>
            <w:r>
              <w:rPr>
                <w:noProof/>
                <w:webHidden/>
              </w:rPr>
              <w:t>21</w:t>
            </w:r>
            <w:r>
              <w:rPr>
                <w:noProof/>
                <w:webHidden/>
              </w:rPr>
              <w:fldChar w:fldCharType="end"/>
            </w:r>
          </w:hyperlink>
        </w:p>
        <w:p w14:paraId="57F03DF2" w14:textId="3C622E38" w:rsidR="007C1450" w:rsidRDefault="007C1450">
          <w:pPr>
            <w:pStyle w:val="TOC3"/>
            <w:tabs>
              <w:tab w:val="right" w:leader="dot" w:pos="9016"/>
            </w:tabs>
            <w:rPr>
              <w:rFonts w:eastAsiaTheme="minorEastAsia"/>
              <w:noProof/>
              <w:sz w:val="24"/>
              <w:szCs w:val="24"/>
              <w:lang w:eastAsia="en-GB"/>
            </w:rPr>
          </w:pPr>
          <w:hyperlink w:anchor="_Toc218629243" w:history="1">
            <w:r w:rsidRPr="006901FD">
              <w:rPr>
                <w:rStyle w:val="Hyperlink"/>
                <w:rFonts w:ascii="Arial" w:hAnsi="Arial" w:cs="Arial"/>
                <w:noProof/>
              </w:rPr>
              <w:t>3.3.7 Tinting Services</w:t>
            </w:r>
            <w:r>
              <w:rPr>
                <w:noProof/>
                <w:webHidden/>
              </w:rPr>
              <w:tab/>
            </w:r>
            <w:r>
              <w:rPr>
                <w:noProof/>
                <w:webHidden/>
              </w:rPr>
              <w:fldChar w:fldCharType="begin"/>
            </w:r>
            <w:r>
              <w:rPr>
                <w:noProof/>
                <w:webHidden/>
              </w:rPr>
              <w:instrText xml:space="preserve"> PAGEREF _Toc218629243 \h </w:instrText>
            </w:r>
            <w:r>
              <w:rPr>
                <w:noProof/>
                <w:webHidden/>
              </w:rPr>
            </w:r>
            <w:r>
              <w:rPr>
                <w:noProof/>
                <w:webHidden/>
              </w:rPr>
              <w:fldChar w:fldCharType="separate"/>
            </w:r>
            <w:r>
              <w:rPr>
                <w:noProof/>
                <w:webHidden/>
              </w:rPr>
              <w:t>21</w:t>
            </w:r>
            <w:r>
              <w:rPr>
                <w:noProof/>
                <w:webHidden/>
              </w:rPr>
              <w:fldChar w:fldCharType="end"/>
            </w:r>
          </w:hyperlink>
        </w:p>
        <w:p w14:paraId="36855644" w14:textId="4D9E9CAE" w:rsidR="007C1450" w:rsidRDefault="007C1450">
          <w:pPr>
            <w:pStyle w:val="TOC3"/>
            <w:tabs>
              <w:tab w:val="right" w:leader="dot" w:pos="9016"/>
            </w:tabs>
            <w:rPr>
              <w:rFonts w:eastAsiaTheme="minorEastAsia"/>
              <w:noProof/>
              <w:sz w:val="24"/>
              <w:szCs w:val="24"/>
              <w:lang w:eastAsia="en-GB"/>
            </w:rPr>
          </w:pPr>
          <w:hyperlink w:anchor="_Toc218629244" w:history="1">
            <w:r w:rsidRPr="006901FD">
              <w:rPr>
                <w:rStyle w:val="Hyperlink"/>
                <w:rFonts w:ascii="Arial" w:hAnsi="Arial" w:cs="Arial"/>
                <w:noProof/>
              </w:rPr>
              <w:t>3.3.8 Auto-Electrical Services</w:t>
            </w:r>
            <w:r>
              <w:rPr>
                <w:noProof/>
                <w:webHidden/>
              </w:rPr>
              <w:tab/>
            </w:r>
            <w:r>
              <w:rPr>
                <w:noProof/>
                <w:webHidden/>
              </w:rPr>
              <w:fldChar w:fldCharType="begin"/>
            </w:r>
            <w:r>
              <w:rPr>
                <w:noProof/>
                <w:webHidden/>
              </w:rPr>
              <w:instrText xml:space="preserve"> PAGEREF _Toc218629244 \h </w:instrText>
            </w:r>
            <w:r>
              <w:rPr>
                <w:noProof/>
                <w:webHidden/>
              </w:rPr>
            </w:r>
            <w:r>
              <w:rPr>
                <w:noProof/>
                <w:webHidden/>
              </w:rPr>
              <w:fldChar w:fldCharType="separate"/>
            </w:r>
            <w:r>
              <w:rPr>
                <w:noProof/>
                <w:webHidden/>
              </w:rPr>
              <w:t>22</w:t>
            </w:r>
            <w:r>
              <w:rPr>
                <w:noProof/>
                <w:webHidden/>
              </w:rPr>
              <w:fldChar w:fldCharType="end"/>
            </w:r>
          </w:hyperlink>
        </w:p>
        <w:p w14:paraId="344B3104" w14:textId="2F2F0CB9" w:rsidR="007C1450" w:rsidRDefault="007C1450">
          <w:pPr>
            <w:pStyle w:val="TOC2"/>
            <w:rPr>
              <w:rFonts w:asciiTheme="minorHAnsi" w:eastAsiaTheme="minorEastAsia" w:hAnsiTheme="minorHAnsi" w:cstheme="minorBidi"/>
              <w:sz w:val="24"/>
              <w:szCs w:val="24"/>
              <w:lang w:eastAsia="en-GB"/>
            </w:rPr>
          </w:pPr>
          <w:hyperlink w:anchor="_Toc218629245" w:history="1">
            <w:r w:rsidRPr="006901FD">
              <w:rPr>
                <w:rStyle w:val="Hyperlink"/>
              </w:rPr>
              <w:t>3.4 Market Validation</w:t>
            </w:r>
            <w:r>
              <w:rPr>
                <w:webHidden/>
              </w:rPr>
              <w:tab/>
            </w:r>
            <w:r>
              <w:rPr>
                <w:webHidden/>
              </w:rPr>
              <w:fldChar w:fldCharType="begin"/>
            </w:r>
            <w:r>
              <w:rPr>
                <w:webHidden/>
              </w:rPr>
              <w:instrText xml:space="preserve"> PAGEREF _Toc218629245 \h </w:instrText>
            </w:r>
            <w:r>
              <w:rPr>
                <w:webHidden/>
              </w:rPr>
            </w:r>
            <w:r>
              <w:rPr>
                <w:webHidden/>
              </w:rPr>
              <w:fldChar w:fldCharType="separate"/>
            </w:r>
            <w:r>
              <w:rPr>
                <w:webHidden/>
              </w:rPr>
              <w:t>22</w:t>
            </w:r>
            <w:r>
              <w:rPr>
                <w:webHidden/>
              </w:rPr>
              <w:fldChar w:fldCharType="end"/>
            </w:r>
          </w:hyperlink>
        </w:p>
        <w:p w14:paraId="43A436C7" w14:textId="375114BA" w:rsidR="007C1450" w:rsidRDefault="007C1450">
          <w:pPr>
            <w:pStyle w:val="TOC3"/>
            <w:tabs>
              <w:tab w:val="right" w:leader="dot" w:pos="9016"/>
            </w:tabs>
            <w:rPr>
              <w:rFonts w:eastAsiaTheme="minorEastAsia"/>
              <w:noProof/>
              <w:sz w:val="24"/>
              <w:szCs w:val="24"/>
              <w:lang w:eastAsia="en-GB"/>
            </w:rPr>
          </w:pPr>
          <w:hyperlink w:anchor="_Toc218629246" w:history="1">
            <w:r w:rsidRPr="006901FD">
              <w:rPr>
                <w:rStyle w:val="Hyperlink"/>
                <w:rFonts w:ascii="Arial" w:hAnsi="Arial" w:cs="Arial"/>
                <w:noProof/>
              </w:rPr>
              <w:t>3.4.1 Evidence and Contradictions in Market Data</w:t>
            </w:r>
            <w:r>
              <w:rPr>
                <w:noProof/>
                <w:webHidden/>
              </w:rPr>
              <w:tab/>
            </w:r>
            <w:r>
              <w:rPr>
                <w:noProof/>
                <w:webHidden/>
              </w:rPr>
              <w:fldChar w:fldCharType="begin"/>
            </w:r>
            <w:r>
              <w:rPr>
                <w:noProof/>
                <w:webHidden/>
              </w:rPr>
              <w:instrText xml:space="preserve"> PAGEREF _Toc218629246 \h </w:instrText>
            </w:r>
            <w:r>
              <w:rPr>
                <w:noProof/>
                <w:webHidden/>
              </w:rPr>
            </w:r>
            <w:r>
              <w:rPr>
                <w:noProof/>
                <w:webHidden/>
              </w:rPr>
              <w:fldChar w:fldCharType="separate"/>
            </w:r>
            <w:r>
              <w:rPr>
                <w:noProof/>
                <w:webHidden/>
              </w:rPr>
              <w:t>22</w:t>
            </w:r>
            <w:r>
              <w:rPr>
                <w:noProof/>
                <w:webHidden/>
              </w:rPr>
              <w:fldChar w:fldCharType="end"/>
            </w:r>
          </w:hyperlink>
        </w:p>
        <w:p w14:paraId="0DD63F59" w14:textId="38B3CEDF" w:rsidR="007C1450" w:rsidRDefault="007C1450">
          <w:pPr>
            <w:pStyle w:val="TOC3"/>
            <w:tabs>
              <w:tab w:val="right" w:leader="dot" w:pos="9016"/>
            </w:tabs>
            <w:rPr>
              <w:rFonts w:eastAsiaTheme="minorEastAsia"/>
              <w:noProof/>
              <w:sz w:val="24"/>
              <w:szCs w:val="24"/>
              <w:lang w:eastAsia="en-GB"/>
            </w:rPr>
          </w:pPr>
          <w:hyperlink w:anchor="_Toc218629247" w:history="1">
            <w:r w:rsidRPr="006901FD">
              <w:rPr>
                <w:rStyle w:val="Hyperlink"/>
                <w:rFonts w:ascii="Arial" w:hAnsi="Arial" w:cs="Arial"/>
                <w:noProof/>
              </w:rPr>
              <w:t>3.4.2 Strategic Feasibility and Validation for 1 STATION Ltd</w:t>
            </w:r>
            <w:r>
              <w:rPr>
                <w:noProof/>
                <w:webHidden/>
              </w:rPr>
              <w:tab/>
            </w:r>
            <w:r>
              <w:rPr>
                <w:noProof/>
                <w:webHidden/>
              </w:rPr>
              <w:fldChar w:fldCharType="begin"/>
            </w:r>
            <w:r>
              <w:rPr>
                <w:noProof/>
                <w:webHidden/>
              </w:rPr>
              <w:instrText xml:space="preserve"> PAGEREF _Toc218629247 \h </w:instrText>
            </w:r>
            <w:r>
              <w:rPr>
                <w:noProof/>
                <w:webHidden/>
              </w:rPr>
            </w:r>
            <w:r>
              <w:rPr>
                <w:noProof/>
                <w:webHidden/>
              </w:rPr>
              <w:fldChar w:fldCharType="separate"/>
            </w:r>
            <w:r>
              <w:rPr>
                <w:noProof/>
                <w:webHidden/>
              </w:rPr>
              <w:t>23</w:t>
            </w:r>
            <w:r>
              <w:rPr>
                <w:noProof/>
                <w:webHidden/>
              </w:rPr>
              <w:fldChar w:fldCharType="end"/>
            </w:r>
          </w:hyperlink>
        </w:p>
        <w:p w14:paraId="6F48DEA5" w14:textId="4F28F0F0" w:rsidR="007C1450" w:rsidRDefault="007C1450">
          <w:pPr>
            <w:pStyle w:val="TOC1"/>
            <w:tabs>
              <w:tab w:val="right" w:leader="dot" w:pos="9016"/>
            </w:tabs>
            <w:rPr>
              <w:rFonts w:eastAsiaTheme="minorEastAsia"/>
              <w:noProof/>
              <w:sz w:val="24"/>
              <w:szCs w:val="24"/>
              <w:lang w:eastAsia="en-GB"/>
            </w:rPr>
          </w:pPr>
          <w:hyperlink w:anchor="_Toc218629248" w:history="1">
            <w:r w:rsidRPr="006901FD">
              <w:rPr>
                <w:rStyle w:val="Hyperlink"/>
                <w:rFonts w:ascii="Arial" w:hAnsi="Arial" w:cs="Arial"/>
                <w:noProof/>
              </w:rPr>
              <w:t>4. Business Model Canvas (BMC)</w:t>
            </w:r>
            <w:r>
              <w:rPr>
                <w:noProof/>
                <w:webHidden/>
              </w:rPr>
              <w:tab/>
            </w:r>
            <w:r>
              <w:rPr>
                <w:noProof/>
                <w:webHidden/>
              </w:rPr>
              <w:fldChar w:fldCharType="begin"/>
            </w:r>
            <w:r>
              <w:rPr>
                <w:noProof/>
                <w:webHidden/>
              </w:rPr>
              <w:instrText xml:space="preserve"> PAGEREF _Toc218629248 \h </w:instrText>
            </w:r>
            <w:r>
              <w:rPr>
                <w:noProof/>
                <w:webHidden/>
              </w:rPr>
            </w:r>
            <w:r>
              <w:rPr>
                <w:noProof/>
                <w:webHidden/>
              </w:rPr>
              <w:fldChar w:fldCharType="separate"/>
            </w:r>
            <w:r>
              <w:rPr>
                <w:noProof/>
                <w:webHidden/>
              </w:rPr>
              <w:t>24</w:t>
            </w:r>
            <w:r>
              <w:rPr>
                <w:noProof/>
                <w:webHidden/>
              </w:rPr>
              <w:fldChar w:fldCharType="end"/>
            </w:r>
          </w:hyperlink>
        </w:p>
        <w:p w14:paraId="59924B50" w14:textId="29750E9E" w:rsidR="007C1450" w:rsidRDefault="007C1450">
          <w:pPr>
            <w:pStyle w:val="TOC2"/>
            <w:rPr>
              <w:rFonts w:asciiTheme="minorHAnsi" w:eastAsiaTheme="minorEastAsia" w:hAnsiTheme="minorHAnsi" w:cstheme="minorBidi"/>
              <w:sz w:val="24"/>
              <w:szCs w:val="24"/>
              <w:lang w:eastAsia="en-GB"/>
            </w:rPr>
          </w:pPr>
          <w:hyperlink w:anchor="_Toc218629249" w:history="1">
            <w:r w:rsidRPr="006901FD">
              <w:rPr>
                <w:rStyle w:val="Hyperlink"/>
              </w:rPr>
              <w:t>4.1 Key Partners</w:t>
            </w:r>
            <w:r>
              <w:rPr>
                <w:webHidden/>
              </w:rPr>
              <w:tab/>
            </w:r>
            <w:r>
              <w:rPr>
                <w:webHidden/>
              </w:rPr>
              <w:fldChar w:fldCharType="begin"/>
            </w:r>
            <w:r>
              <w:rPr>
                <w:webHidden/>
              </w:rPr>
              <w:instrText xml:space="preserve"> PAGEREF _Toc218629249 \h </w:instrText>
            </w:r>
            <w:r>
              <w:rPr>
                <w:webHidden/>
              </w:rPr>
            </w:r>
            <w:r>
              <w:rPr>
                <w:webHidden/>
              </w:rPr>
              <w:fldChar w:fldCharType="separate"/>
            </w:r>
            <w:r>
              <w:rPr>
                <w:webHidden/>
              </w:rPr>
              <w:t>25</w:t>
            </w:r>
            <w:r>
              <w:rPr>
                <w:webHidden/>
              </w:rPr>
              <w:fldChar w:fldCharType="end"/>
            </w:r>
          </w:hyperlink>
        </w:p>
        <w:p w14:paraId="5C602124" w14:textId="4878BA52" w:rsidR="007C1450" w:rsidRDefault="007C1450">
          <w:pPr>
            <w:pStyle w:val="TOC2"/>
            <w:rPr>
              <w:rFonts w:asciiTheme="minorHAnsi" w:eastAsiaTheme="minorEastAsia" w:hAnsiTheme="minorHAnsi" w:cstheme="minorBidi"/>
              <w:sz w:val="24"/>
              <w:szCs w:val="24"/>
              <w:lang w:eastAsia="en-GB"/>
            </w:rPr>
          </w:pPr>
          <w:hyperlink w:anchor="_Toc218629250" w:history="1">
            <w:r w:rsidRPr="006901FD">
              <w:rPr>
                <w:rStyle w:val="Hyperlink"/>
              </w:rPr>
              <w:t>4.2 Key Activities</w:t>
            </w:r>
            <w:r>
              <w:rPr>
                <w:webHidden/>
              </w:rPr>
              <w:tab/>
            </w:r>
            <w:r>
              <w:rPr>
                <w:webHidden/>
              </w:rPr>
              <w:fldChar w:fldCharType="begin"/>
            </w:r>
            <w:r>
              <w:rPr>
                <w:webHidden/>
              </w:rPr>
              <w:instrText xml:space="preserve"> PAGEREF _Toc218629250 \h </w:instrText>
            </w:r>
            <w:r>
              <w:rPr>
                <w:webHidden/>
              </w:rPr>
            </w:r>
            <w:r>
              <w:rPr>
                <w:webHidden/>
              </w:rPr>
              <w:fldChar w:fldCharType="separate"/>
            </w:r>
            <w:r>
              <w:rPr>
                <w:webHidden/>
              </w:rPr>
              <w:t>26</w:t>
            </w:r>
            <w:r>
              <w:rPr>
                <w:webHidden/>
              </w:rPr>
              <w:fldChar w:fldCharType="end"/>
            </w:r>
          </w:hyperlink>
        </w:p>
        <w:p w14:paraId="6EE43D30" w14:textId="7EE4D884" w:rsidR="007C1450" w:rsidRDefault="007C1450">
          <w:pPr>
            <w:pStyle w:val="TOC2"/>
            <w:rPr>
              <w:rFonts w:asciiTheme="minorHAnsi" w:eastAsiaTheme="minorEastAsia" w:hAnsiTheme="minorHAnsi" w:cstheme="minorBidi"/>
              <w:sz w:val="24"/>
              <w:szCs w:val="24"/>
              <w:lang w:eastAsia="en-GB"/>
            </w:rPr>
          </w:pPr>
          <w:hyperlink w:anchor="_Toc218629251" w:history="1">
            <w:r w:rsidRPr="006901FD">
              <w:rPr>
                <w:rStyle w:val="Hyperlink"/>
              </w:rPr>
              <w:t>4.3 Key Resources</w:t>
            </w:r>
            <w:r>
              <w:rPr>
                <w:webHidden/>
              </w:rPr>
              <w:tab/>
            </w:r>
            <w:r>
              <w:rPr>
                <w:webHidden/>
              </w:rPr>
              <w:fldChar w:fldCharType="begin"/>
            </w:r>
            <w:r>
              <w:rPr>
                <w:webHidden/>
              </w:rPr>
              <w:instrText xml:space="preserve"> PAGEREF _Toc218629251 \h </w:instrText>
            </w:r>
            <w:r>
              <w:rPr>
                <w:webHidden/>
              </w:rPr>
            </w:r>
            <w:r>
              <w:rPr>
                <w:webHidden/>
              </w:rPr>
              <w:fldChar w:fldCharType="separate"/>
            </w:r>
            <w:r>
              <w:rPr>
                <w:webHidden/>
              </w:rPr>
              <w:t>26</w:t>
            </w:r>
            <w:r>
              <w:rPr>
                <w:webHidden/>
              </w:rPr>
              <w:fldChar w:fldCharType="end"/>
            </w:r>
          </w:hyperlink>
        </w:p>
        <w:p w14:paraId="450C55D8" w14:textId="10021998" w:rsidR="007C1450" w:rsidRDefault="007C1450">
          <w:pPr>
            <w:pStyle w:val="TOC2"/>
            <w:rPr>
              <w:rFonts w:asciiTheme="minorHAnsi" w:eastAsiaTheme="minorEastAsia" w:hAnsiTheme="minorHAnsi" w:cstheme="minorBidi"/>
              <w:sz w:val="24"/>
              <w:szCs w:val="24"/>
              <w:lang w:eastAsia="en-GB"/>
            </w:rPr>
          </w:pPr>
          <w:hyperlink w:anchor="_Toc218629252" w:history="1">
            <w:r w:rsidRPr="006901FD">
              <w:rPr>
                <w:rStyle w:val="Hyperlink"/>
              </w:rPr>
              <w:t>4.4 Value Proposition</w:t>
            </w:r>
            <w:r>
              <w:rPr>
                <w:webHidden/>
              </w:rPr>
              <w:tab/>
            </w:r>
            <w:r>
              <w:rPr>
                <w:webHidden/>
              </w:rPr>
              <w:fldChar w:fldCharType="begin"/>
            </w:r>
            <w:r>
              <w:rPr>
                <w:webHidden/>
              </w:rPr>
              <w:instrText xml:space="preserve"> PAGEREF _Toc218629252 \h </w:instrText>
            </w:r>
            <w:r>
              <w:rPr>
                <w:webHidden/>
              </w:rPr>
            </w:r>
            <w:r>
              <w:rPr>
                <w:webHidden/>
              </w:rPr>
              <w:fldChar w:fldCharType="separate"/>
            </w:r>
            <w:r>
              <w:rPr>
                <w:webHidden/>
              </w:rPr>
              <w:t>27</w:t>
            </w:r>
            <w:r>
              <w:rPr>
                <w:webHidden/>
              </w:rPr>
              <w:fldChar w:fldCharType="end"/>
            </w:r>
          </w:hyperlink>
        </w:p>
        <w:p w14:paraId="05461F9B" w14:textId="7FB497AB" w:rsidR="007C1450" w:rsidRDefault="007C1450">
          <w:pPr>
            <w:pStyle w:val="TOC2"/>
            <w:rPr>
              <w:rFonts w:asciiTheme="minorHAnsi" w:eastAsiaTheme="minorEastAsia" w:hAnsiTheme="minorHAnsi" w:cstheme="minorBidi"/>
              <w:sz w:val="24"/>
              <w:szCs w:val="24"/>
              <w:lang w:eastAsia="en-GB"/>
            </w:rPr>
          </w:pPr>
          <w:hyperlink w:anchor="_Toc218629253" w:history="1">
            <w:r w:rsidRPr="006901FD">
              <w:rPr>
                <w:rStyle w:val="Hyperlink"/>
              </w:rPr>
              <w:t>4.5 Competitive Advantage and Defensibility</w:t>
            </w:r>
            <w:r>
              <w:rPr>
                <w:webHidden/>
              </w:rPr>
              <w:tab/>
            </w:r>
            <w:r>
              <w:rPr>
                <w:webHidden/>
              </w:rPr>
              <w:fldChar w:fldCharType="begin"/>
            </w:r>
            <w:r>
              <w:rPr>
                <w:webHidden/>
              </w:rPr>
              <w:instrText xml:space="preserve"> PAGEREF _Toc218629253 \h </w:instrText>
            </w:r>
            <w:r>
              <w:rPr>
                <w:webHidden/>
              </w:rPr>
            </w:r>
            <w:r>
              <w:rPr>
                <w:webHidden/>
              </w:rPr>
              <w:fldChar w:fldCharType="separate"/>
            </w:r>
            <w:r>
              <w:rPr>
                <w:webHidden/>
              </w:rPr>
              <w:t>28</w:t>
            </w:r>
            <w:r>
              <w:rPr>
                <w:webHidden/>
              </w:rPr>
              <w:fldChar w:fldCharType="end"/>
            </w:r>
          </w:hyperlink>
        </w:p>
        <w:p w14:paraId="6E373281" w14:textId="7699C023" w:rsidR="007C1450" w:rsidRDefault="007C1450">
          <w:pPr>
            <w:pStyle w:val="TOC2"/>
            <w:rPr>
              <w:rFonts w:asciiTheme="minorHAnsi" w:eastAsiaTheme="minorEastAsia" w:hAnsiTheme="minorHAnsi" w:cstheme="minorBidi"/>
              <w:sz w:val="24"/>
              <w:szCs w:val="24"/>
              <w:lang w:eastAsia="en-GB"/>
            </w:rPr>
          </w:pPr>
          <w:hyperlink w:anchor="_Toc218629254" w:history="1">
            <w:r w:rsidRPr="006901FD">
              <w:rPr>
                <w:rStyle w:val="Hyperlink"/>
              </w:rPr>
              <w:t>4.6 Customer Relationships</w:t>
            </w:r>
            <w:r>
              <w:rPr>
                <w:webHidden/>
              </w:rPr>
              <w:tab/>
            </w:r>
            <w:r>
              <w:rPr>
                <w:webHidden/>
              </w:rPr>
              <w:fldChar w:fldCharType="begin"/>
            </w:r>
            <w:r>
              <w:rPr>
                <w:webHidden/>
              </w:rPr>
              <w:instrText xml:space="preserve"> PAGEREF _Toc218629254 \h </w:instrText>
            </w:r>
            <w:r>
              <w:rPr>
                <w:webHidden/>
              </w:rPr>
            </w:r>
            <w:r>
              <w:rPr>
                <w:webHidden/>
              </w:rPr>
              <w:fldChar w:fldCharType="separate"/>
            </w:r>
            <w:r>
              <w:rPr>
                <w:webHidden/>
              </w:rPr>
              <w:t>28</w:t>
            </w:r>
            <w:r>
              <w:rPr>
                <w:webHidden/>
              </w:rPr>
              <w:fldChar w:fldCharType="end"/>
            </w:r>
          </w:hyperlink>
        </w:p>
        <w:p w14:paraId="56997DB7" w14:textId="083CE688" w:rsidR="007C1450" w:rsidRDefault="007C1450">
          <w:pPr>
            <w:pStyle w:val="TOC2"/>
            <w:rPr>
              <w:rFonts w:asciiTheme="minorHAnsi" w:eastAsiaTheme="minorEastAsia" w:hAnsiTheme="minorHAnsi" w:cstheme="minorBidi"/>
              <w:sz w:val="24"/>
              <w:szCs w:val="24"/>
              <w:lang w:eastAsia="en-GB"/>
            </w:rPr>
          </w:pPr>
          <w:hyperlink w:anchor="_Toc218629255" w:history="1">
            <w:r w:rsidRPr="006901FD">
              <w:rPr>
                <w:rStyle w:val="Hyperlink"/>
              </w:rPr>
              <w:t>4.7 Channels</w:t>
            </w:r>
            <w:r>
              <w:rPr>
                <w:webHidden/>
              </w:rPr>
              <w:tab/>
            </w:r>
            <w:r>
              <w:rPr>
                <w:webHidden/>
              </w:rPr>
              <w:fldChar w:fldCharType="begin"/>
            </w:r>
            <w:r>
              <w:rPr>
                <w:webHidden/>
              </w:rPr>
              <w:instrText xml:space="preserve"> PAGEREF _Toc218629255 \h </w:instrText>
            </w:r>
            <w:r>
              <w:rPr>
                <w:webHidden/>
              </w:rPr>
            </w:r>
            <w:r>
              <w:rPr>
                <w:webHidden/>
              </w:rPr>
              <w:fldChar w:fldCharType="separate"/>
            </w:r>
            <w:r>
              <w:rPr>
                <w:webHidden/>
              </w:rPr>
              <w:t>28</w:t>
            </w:r>
            <w:r>
              <w:rPr>
                <w:webHidden/>
              </w:rPr>
              <w:fldChar w:fldCharType="end"/>
            </w:r>
          </w:hyperlink>
        </w:p>
        <w:p w14:paraId="5978C340" w14:textId="67AC9F8E" w:rsidR="007C1450" w:rsidRDefault="007C1450">
          <w:pPr>
            <w:pStyle w:val="TOC2"/>
            <w:rPr>
              <w:rFonts w:asciiTheme="minorHAnsi" w:eastAsiaTheme="minorEastAsia" w:hAnsiTheme="minorHAnsi" w:cstheme="minorBidi"/>
              <w:sz w:val="24"/>
              <w:szCs w:val="24"/>
              <w:lang w:eastAsia="en-GB"/>
            </w:rPr>
          </w:pPr>
          <w:hyperlink w:anchor="_Toc218629256" w:history="1">
            <w:r w:rsidRPr="006901FD">
              <w:rPr>
                <w:rStyle w:val="Hyperlink"/>
              </w:rPr>
              <w:t>4.8 Customer Segments</w:t>
            </w:r>
            <w:r>
              <w:rPr>
                <w:webHidden/>
              </w:rPr>
              <w:tab/>
            </w:r>
            <w:r>
              <w:rPr>
                <w:webHidden/>
              </w:rPr>
              <w:fldChar w:fldCharType="begin"/>
            </w:r>
            <w:r>
              <w:rPr>
                <w:webHidden/>
              </w:rPr>
              <w:instrText xml:space="preserve"> PAGEREF _Toc218629256 \h </w:instrText>
            </w:r>
            <w:r>
              <w:rPr>
                <w:webHidden/>
              </w:rPr>
            </w:r>
            <w:r>
              <w:rPr>
                <w:webHidden/>
              </w:rPr>
              <w:fldChar w:fldCharType="separate"/>
            </w:r>
            <w:r>
              <w:rPr>
                <w:webHidden/>
              </w:rPr>
              <w:t>29</w:t>
            </w:r>
            <w:r>
              <w:rPr>
                <w:webHidden/>
              </w:rPr>
              <w:fldChar w:fldCharType="end"/>
            </w:r>
          </w:hyperlink>
        </w:p>
        <w:p w14:paraId="08E74C10" w14:textId="0337BA09" w:rsidR="007C1450" w:rsidRDefault="007C1450">
          <w:pPr>
            <w:pStyle w:val="TOC2"/>
            <w:rPr>
              <w:rFonts w:asciiTheme="minorHAnsi" w:eastAsiaTheme="minorEastAsia" w:hAnsiTheme="minorHAnsi" w:cstheme="minorBidi"/>
              <w:sz w:val="24"/>
              <w:szCs w:val="24"/>
              <w:lang w:eastAsia="en-GB"/>
            </w:rPr>
          </w:pPr>
          <w:hyperlink w:anchor="_Toc218629257" w:history="1">
            <w:r w:rsidRPr="006901FD">
              <w:rPr>
                <w:rStyle w:val="Hyperlink"/>
              </w:rPr>
              <w:t>4.9 Cost Structure</w:t>
            </w:r>
            <w:r>
              <w:rPr>
                <w:webHidden/>
              </w:rPr>
              <w:tab/>
            </w:r>
            <w:r>
              <w:rPr>
                <w:webHidden/>
              </w:rPr>
              <w:fldChar w:fldCharType="begin"/>
            </w:r>
            <w:r>
              <w:rPr>
                <w:webHidden/>
              </w:rPr>
              <w:instrText xml:space="preserve"> PAGEREF _Toc218629257 \h </w:instrText>
            </w:r>
            <w:r>
              <w:rPr>
                <w:webHidden/>
              </w:rPr>
            </w:r>
            <w:r>
              <w:rPr>
                <w:webHidden/>
              </w:rPr>
              <w:fldChar w:fldCharType="separate"/>
            </w:r>
            <w:r>
              <w:rPr>
                <w:webHidden/>
              </w:rPr>
              <w:t>29</w:t>
            </w:r>
            <w:r>
              <w:rPr>
                <w:webHidden/>
              </w:rPr>
              <w:fldChar w:fldCharType="end"/>
            </w:r>
          </w:hyperlink>
        </w:p>
        <w:p w14:paraId="2C5DC52D" w14:textId="784F5DD7" w:rsidR="007C1450" w:rsidRDefault="007C1450">
          <w:pPr>
            <w:pStyle w:val="TOC2"/>
            <w:rPr>
              <w:rFonts w:asciiTheme="minorHAnsi" w:eastAsiaTheme="minorEastAsia" w:hAnsiTheme="minorHAnsi" w:cstheme="minorBidi"/>
              <w:sz w:val="24"/>
              <w:szCs w:val="24"/>
              <w:lang w:eastAsia="en-GB"/>
            </w:rPr>
          </w:pPr>
          <w:hyperlink w:anchor="_Toc218629258" w:history="1">
            <w:r w:rsidRPr="006901FD">
              <w:rPr>
                <w:rStyle w:val="Hyperlink"/>
              </w:rPr>
              <w:t>4.10 Revenue Streams</w:t>
            </w:r>
            <w:r>
              <w:rPr>
                <w:webHidden/>
              </w:rPr>
              <w:tab/>
            </w:r>
            <w:r>
              <w:rPr>
                <w:webHidden/>
              </w:rPr>
              <w:fldChar w:fldCharType="begin"/>
            </w:r>
            <w:r>
              <w:rPr>
                <w:webHidden/>
              </w:rPr>
              <w:instrText xml:space="preserve"> PAGEREF _Toc218629258 \h </w:instrText>
            </w:r>
            <w:r>
              <w:rPr>
                <w:webHidden/>
              </w:rPr>
            </w:r>
            <w:r>
              <w:rPr>
                <w:webHidden/>
              </w:rPr>
              <w:fldChar w:fldCharType="separate"/>
            </w:r>
            <w:r>
              <w:rPr>
                <w:webHidden/>
              </w:rPr>
              <w:t>29</w:t>
            </w:r>
            <w:r>
              <w:rPr>
                <w:webHidden/>
              </w:rPr>
              <w:fldChar w:fldCharType="end"/>
            </w:r>
          </w:hyperlink>
        </w:p>
        <w:p w14:paraId="24620E24" w14:textId="1FBDC13B" w:rsidR="007C1450" w:rsidRDefault="007C1450">
          <w:pPr>
            <w:pStyle w:val="TOC1"/>
            <w:tabs>
              <w:tab w:val="right" w:leader="dot" w:pos="9016"/>
            </w:tabs>
            <w:rPr>
              <w:rFonts w:eastAsiaTheme="minorEastAsia"/>
              <w:noProof/>
              <w:sz w:val="24"/>
              <w:szCs w:val="24"/>
              <w:lang w:eastAsia="en-GB"/>
            </w:rPr>
          </w:pPr>
          <w:hyperlink w:anchor="_Toc218629259" w:history="1">
            <w:r w:rsidRPr="006901FD">
              <w:rPr>
                <w:rStyle w:val="Hyperlink"/>
                <w:rFonts w:ascii="Arial" w:hAnsi="Arial" w:cs="Arial"/>
                <w:noProof/>
              </w:rPr>
              <w:t>5. Marketing and Sales Strategy</w:t>
            </w:r>
            <w:r>
              <w:rPr>
                <w:noProof/>
                <w:webHidden/>
              </w:rPr>
              <w:tab/>
            </w:r>
            <w:r>
              <w:rPr>
                <w:noProof/>
                <w:webHidden/>
              </w:rPr>
              <w:fldChar w:fldCharType="begin"/>
            </w:r>
            <w:r>
              <w:rPr>
                <w:noProof/>
                <w:webHidden/>
              </w:rPr>
              <w:instrText xml:space="preserve"> PAGEREF _Toc218629259 \h </w:instrText>
            </w:r>
            <w:r>
              <w:rPr>
                <w:noProof/>
                <w:webHidden/>
              </w:rPr>
            </w:r>
            <w:r>
              <w:rPr>
                <w:noProof/>
                <w:webHidden/>
              </w:rPr>
              <w:fldChar w:fldCharType="separate"/>
            </w:r>
            <w:r>
              <w:rPr>
                <w:noProof/>
                <w:webHidden/>
              </w:rPr>
              <w:t>30</w:t>
            </w:r>
            <w:r>
              <w:rPr>
                <w:noProof/>
                <w:webHidden/>
              </w:rPr>
              <w:fldChar w:fldCharType="end"/>
            </w:r>
          </w:hyperlink>
        </w:p>
        <w:p w14:paraId="60C536CB" w14:textId="2C08CCFE" w:rsidR="007C1450" w:rsidRDefault="007C1450">
          <w:pPr>
            <w:pStyle w:val="TOC2"/>
            <w:rPr>
              <w:rFonts w:asciiTheme="minorHAnsi" w:eastAsiaTheme="minorEastAsia" w:hAnsiTheme="minorHAnsi" w:cstheme="minorBidi"/>
              <w:sz w:val="24"/>
              <w:szCs w:val="24"/>
              <w:lang w:eastAsia="en-GB"/>
            </w:rPr>
          </w:pPr>
          <w:hyperlink w:anchor="_Toc218629260" w:history="1">
            <w:r w:rsidRPr="006901FD">
              <w:rPr>
                <w:rStyle w:val="Hyperlink"/>
              </w:rPr>
              <w:t>5.1 Strategic Marketing Foundations and Objectives</w:t>
            </w:r>
            <w:r>
              <w:rPr>
                <w:webHidden/>
              </w:rPr>
              <w:tab/>
            </w:r>
            <w:r>
              <w:rPr>
                <w:webHidden/>
              </w:rPr>
              <w:fldChar w:fldCharType="begin"/>
            </w:r>
            <w:r>
              <w:rPr>
                <w:webHidden/>
              </w:rPr>
              <w:instrText xml:space="preserve"> PAGEREF _Toc218629260 \h </w:instrText>
            </w:r>
            <w:r>
              <w:rPr>
                <w:webHidden/>
              </w:rPr>
            </w:r>
            <w:r>
              <w:rPr>
                <w:webHidden/>
              </w:rPr>
              <w:fldChar w:fldCharType="separate"/>
            </w:r>
            <w:r>
              <w:rPr>
                <w:webHidden/>
              </w:rPr>
              <w:t>30</w:t>
            </w:r>
            <w:r>
              <w:rPr>
                <w:webHidden/>
              </w:rPr>
              <w:fldChar w:fldCharType="end"/>
            </w:r>
          </w:hyperlink>
        </w:p>
        <w:p w14:paraId="08D40109" w14:textId="4E2CD699" w:rsidR="007C1450" w:rsidRDefault="007C1450">
          <w:pPr>
            <w:pStyle w:val="TOC2"/>
            <w:rPr>
              <w:rFonts w:asciiTheme="minorHAnsi" w:eastAsiaTheme="minorEastAsia" w:hAnsiTheme="minorHAnsi" w:cstheme="minorBidi"/>
              <w:sz w:val="24"/>
              <w:szCs w:val="24"/>
              <w:lang w:eastAsia="en-GB"/>
            </w:rPr>
          </w:pPr>
          <w:hyperlink w:anchor="_Toc218629261" w:history="1">
            <w:r w:rsidRPr="006901FD">
              <w:rPr>
                <w:rStyle w:val="Hyperlink"/>
              </w:rPr>
              <w:t>5.2 Integrated Marketing Mix: Execution Through the 7Ps</w:t>
            </w:r>
            <w:r>
              <w:rPr>
                <w:webHidden/>
              </w:rPr>
              <w:tab/>
            </w:r>
            <w:r>
              <w:rPr>
                <w:webHidden/>
              </w:rPr>
              <w:fldChar w:fldCharType="begin"/>
            </w:r>
            <w:r>
              <w:rPr>
                <w:webHidden/>
              </w:rPr>
              <w:instrText xml:space="preserve"> PAGEREF _Toc218629261 \h </w:instrText>
            </w:r>
            <w:r>
              <w:rPr>
                <w:webHidden/>
              </w:rPr>
            </w:r>
            <w:r>
              <w:rPr>
                <w:webHidden/>
              </w:rPr>
              <w:fldChar w:fldCharType="separate"/>
            </w:r>
            <w:r>
              <w:rPr>
                <w:webHidden/>
              </w:rPr>
              <w:t>31</w:t>
            </w:r>
            <w:r>
              <w:rPr>
                <w:webHidden/>
              </w:rPr>
              <w:fldChar w:fldCharType="end"/>
            </w:r>
          </w:hyperlink>
        </w:p>
        <w:p w14:paraId="48387057" w14:textId="6D2E6284" w:rsidR="007C1450" w:rsidRDefault="007C1450">
          <w:pPr>
            <w:pStyle w:val="TOC2"/>
            <w:rPr>
              <w:rFonts w:asciiTheme="minorHAnsi" w:eastAsiaTheme="minorEastAsia" w:hAnsiTheme="minorHAnsi" w:cstheme="minorBidi"/>
              <w:sz w:val="24"/>
              <w:szCs w:val="24"/>
              <w:lang w:eastAsia="en-GB"/>
            </w:rPr>
          </w:pPr>
          <w:hyperlink w:anchor="_Toc218629262" w:history="1">
            <w:r w:rsidRPr="006901FD">
              <w:rPr>
                <w:rStyle w:val="Hyperlink"/>
              </w:rPr>
              <w:t>5.3 Competitive Forces and Strategic Implications for Customer Acquisition</w:t>
            </w:r>
            <w:r>
              <w:rPr>
                <w:webHidden/>
              </w:rPr>
              <w:tab/>
            </w:r>
            <w:r>
              <w:rPr>
                <w:webHidden/>
              </w:rPr>
              <w:fldChar w:fldCharType="begin"/>
            </w:r>
            <w:r>
              <w:rPr>
                <w:webHidden/>
              </w:rPr>
              <w:instrText xml:space="preserve"> PAGEREF _Toc218629262 \h </w:instrText>
            </w:r>
            <w:r>
              <w:rPr>
                <w:webHidden/>
              </w:rPr>
            </w:r>
            <w:r>
              <w:rPr>
                <w:webHidden/>
              </w:rPr>
              <w:fldChar w:fldCharType="separate"/>
            </w:r>
            <w:r>
              <w:rPr>
                <w:webHidden/>
              </w:rPr>
              <w:t>32</w:t>
            </w:r>
            <w:r>
              <w:rPr>
                <w:webHidden/>
              </w:rPr>
              <w:fldChar w:fldCharType="end"/>
            </w:r>
          </w:hyperlink>
        </w:p>
        <w:p w14:paraId="383A8AAE" w14:textId="64DE7ED6" w:rsidR="007C1450" w:rsidRDefault="007C1450">
          <w:pPr>
            <w:pStyle w:val="TOC2"/>
            <w:rPr>
              <w:rFonts w:asciiTheme="minorHAnsi" w:eastAsiaTheme="minorEastAsia" w:hAnsiTheme="minorHAnsi" w:cstheme="minorBidi"/>
              <w:sz w:val="24"/>
              <w:szCs w:val="24"/>
              <w:lang w:eastAsia="en-GB"/>
            </w:rPr>
          </w:pPr>
          <w:hyperlink w:anchor="_Toc218629263" w:history="1">
            <w:r w:rsidRPr="006901FD">
              <w:rPr>
                <w:rStyle w:val="Hyperlink"/>
              </w:rPr>
              <w:t>5.4 Customer Journey and Conversion Funnel</w:t>
            </w:r>
            <w:r>
              <w:rPr>
                <w:webHidden/>
              </w:rPr>
              <w:tab/>
            </w:r>
            <w:r>
              <w:rPr>
                <w:webHidden/>
              </w:rPr>
              <w:fldChar w:fldCharType="begin"/>
            </w:r>
            <w:r>
              <w:rPr>
                <w:webHidden/>
              </w:rPr>
              <w:instrText xml:space="preserve"> PAGEREF _Toc218629263 \h </w:instrText>
            </w:r>
            <w:r>
              <w:rPr>
                <w:webHidden/>
              </w:rPr>
            </w:r>
            <w:r>
              <w:rPr>
                <w:webHidden/>
              </w:rPr>
              <w:fldChar w:fldCharType="separate"/>
            </w:r>
            <w:r>
              <w:rPr>
                <w:webHidden/>
              </w:rPr>
              <w:t>33</w:t>
            </w:r>
            <w:r>
              <w:rPr>
                <w:webHidden/>
              </w:rPr>
              <w:fldChar w:fldCharType="end"/>
            </w:r>
          </w:hyperlink>
        </w:p>
        <w:p w14:paraId="38E6FD38" w14:textId="2120E3DC" w:rsidR="007C1450" w:rsidRDefault="007C1450">
          <w:pPr>
            <w:pStyle w:val="TOC2"/>
            <w:rPr>
              <w:rFonts w:asciiTheme="minorHAnsi" w:eastAsiaTheme="minorEastAsia" w:hAnsiTheme="minorHAnsi" w:cstheme="minorBidi"/>
              <w:sz w:val="24"/>
              <w:szCs w:val="24"/>
              <w:lang w:eastAsia="en-GB"/>
            </w:rPr>
          </w:pPr>
          <w:hyperlink w:anchor="_Toc218629264" w:history="1">
            <w:r w:rsidRPr="006901FD">
              <w:rPr>
                <w:rStyle w:val="Hyperlink"/>
              </w:rPr>
              <w:t>5.5 Marketing Action Plan and 12-Month Implementation Roadmap</w:t>
            </w:r>
            <w:r>
              <w:rPr>
                <w:webHidden/>
              </w:rPr>
              <w:tab/>
            </w:r>
            <w:r>
              <w:rPr>
                <w:webHidden/>
              </w:rPr>
              <w:fldChar w:fldCharType="begin"/>
            </w:r>
            <w:r>
              <w:rPr>
                <w:webHidden/>
              </w:rPr>
              <w:instrText xml:space="preserve"> PAGEREF _Toc218629264 \h </w:instrText>
            </w:r>
            <w:r>
              <w:rPr>
                <w:webHidden/>
              </w:rPr>
            </w:r>
            <w:r>
              <w:rPr>
                <w:webHidden/>
              </w:rPr>
              <w:fldChar w:fldCharType="separate"/>
            </w:r>
            <w:r>
              <w:rPr>
                <w:webHidden/>
              </w:rPr>
              <w:t>34</w:t>
            </w:r>
            <w:r>
              <w:rPr>
                <w:webHidden/>
              </w:rPr>
              <w:fldChar w:fldCharType="end"/>
            </w:r>
          </w:hyperlink>
        </w:p>
        <w:p w14:paraId="108D162D" w14:textId="6975D51D" w:rsidR="007C1450" w:rsidRDefault="007C1450">
          <w:pPr>
            <w:pStyle w:val="TOC2"/>
            <w:rPr>
              <w:rFonts w:asciiTheme="minorHAnsi" w:eastAsiaTheme="minorEastAsia" w:hAnsiTheme="minorHAnsi" w:cstheme="minorBidi"/>
              <w:sz w:val="24"/>
              <w:szCs w:val="24"/>
              <w:lang w:eastAsia="en-GB"/>
            </w:rPr>
          </w:pPr>
          <w:hyperlink w:anchor="_Toc218629265" w:history="1">
            <w:r w:rsidRPr="006901FD">
              <w:rPr>
                <w:rStyle w:val="Hyperlink"/>
              </w:rPr>
              <w:t>5.6 Strategic Fit and Commercial Contribution</w:t>
            </w:r>
            <w:r>
              <w:rPr>
                <w:webHidden/>
              </w:rPr>
              <w:tab/>
            </w:r>
            <w:r>
              <w:rPr>
                <w:webHidden/>
              </w:rPr>
              <w:fldChar w:fldCharType="begin"/>
            </w:r>
            <w:r>
              <w:rPr>
                <w:webHidden/>
              </w:rPr>
              <w:instrText xml:space="preserve"> PAGEREF _Toc218629265 \h </w:instrText>
            </w:r>
            <w:r>
              <w:rPr>
                <w:webHidden/>
              </w:rPr>
            </w:r>
            <w:r>
              <w:rPr>
                <w:webHidden/>
              </w:rPr>
              <w:fldChar w:fldCharType="separate"/>
            </w:r>
            <w:r>
              <w:rPr>
                <w:webHidden/>
              </w:rPr>
              <w:t>36</w:t>
            </w:r>
            <w:r>
              <w:rPr>
                <w:webHidden/>
              </w:rPr>
              <w:fldChar w:fldCharType="end"/>
            </w:r>
          </w:hyperlink>
        </w:p>
        <w:p w14:paraId="0F98851B" w14:textId="3654A6FC" w:rsidR="007C1450" w:rsidRDefault="007C1450">
          <w:pPr>
            <w:pStyle w:val="TOC1"/>
            <w:tabs>
              <w:tab w:val="right" w:leader="dot" w:pos="9016"/>
            </w:tabs>
            <w:rPr>
              <w:rFonts w:eastAsiaTheme="minorEastAsia"/>
              <w:noProof/>
              <w:sz w:val="24"/>
              <w:szCs w:val="24"/>
              <w:lang w:eastAsia="en-GB"/>
            </w:rPr>
          </w:pPr>
          <w:hyperlink w:anchor="_Toc218629266" w:history="1">
            <w:r w:rsidRPr="006901FD">
              <w:rPr>
                <w:rStyle w:val="Hyperlink"/>
                <w:rFonts w:ascii="Arial" w:hAnsi="Arial" w:cs="Arial"/>
                <w:noProof/>
              </w:rPr>
              <w:t>6. Operations Plan</w:t>
            </w:r>
            <w:r>
              <w:rPr>
                <w:noProof/>
                <w:webHidden/>
              </w:rPr>
              <w:tab/>
            </w:r>
            <w:r>
              <w:rPr>
                <w:noProof/>
                <w:webHidden/>
              </w:rPr>
              <w:fldChar w:fldCharType="begin"/>
            </w:r>
            <w:r>
              <w:rPr>
                <w:noProof/>
                <w:webHidden/>
              </w:rPr>
              <w:instrText xml:space="preserve"> PAGEREF _Toc218629266 \h </w:instrText>
            </w:r>
            <w:r>
              <w:rPr>
                <w:noProof/>
                <w:webHidden/>
              </w:rPr>
            </w:r>
            <w:r>
              <w:rPr>
                <w:noProof/>
                <w:webHidden/>
              </w:rPr>
              <w:fldChar w:fldCharType="separate"/>
            </w:r>
            <w:r>
              <w:rPr>
                <w:noProof/>
                <w:webHidden/>
              </w:rPr>
              <w:t>37</w:t>
            </w:r>
            <w:r>
              <w:rPr>
                <w:noProof/>
                <w:webHidden/>
              </w:rPr>
              <w:fldChar w:fldCharType="end"/>
            </w:r>
          </w:hyperlink>
        </w:p>
        <w:p w14:paraId="69371E98" w14:textId="0049ECB8" w:rsidR="007C1450" w:rsidRDefault="007C1450">
          <w:pPr>
            <w:pStyle w:val="TOC2"/>
            <w:rPr>
              <w:rFonts w:asciiTheme="minorHAnsi" w:eastAsiaTheme="minorEastAsia" w:hAnsiTheme="minorHAnsi" w:cstheme="minorBidi"/>
              <w:sz w:val="24"/>
              <w:szCs w:val="24"/>
              <w:lang w:eastAsia="en-GB"/>
            </w:rPr>
          </w:pPr>
          <w:hyperlink w:anchor="_Toc218629267" w:history="1">
            <w:r w:rsidRPr="006901FD">
              <w:rPr>
                <w:rStyle w:val="Hyperlink"/>
              </w:rPr>
              <w:t>6.1 The Integrated Operational Model and Service Workflow</w:t>
            </w:r>
            <w:r>
              <w:rPr>
                <w:webHidden/>
              </w:rPr>
              <w:tab/>
            </w:r>
            <w:r>
              <w:rPr>
                <w:webHidden/>
              </w:rPr>
              <w:fldChar w:fldCharType="begin"/>
            </w:r>
            <w:r>
              <w:rPr>
                <w:webHidden/>
              </w:rPr>
              <w:instrText xml:space="preserve"> PAGEREF _Toc218629267 \h </w:instrText>
            </w:r>
            <w:r>
              <w:rPr>
                <w:webHidden/>
              </w:rPr>
            </w:r>
            <w:r>
              <w:rPr>
                <w:webHidden/>
              </w:rPr>
              <w:fldChar w:fldCharType="separate"/>
            </w:r>
            <w:r>
              <w:rPr>
                <w:webHidden/>
              </w:rPr>
              <w:t>37</w:t>
            </w:r>
            <w:r>
              <w:rPr>
                <w:webHidden/>
              </w:rPr>
              <w:fldChar w:fldCharType="end"/>
            </w:r>
          </w:hyperlink>
        </w:p>
        <w:p w14:paraId="029D997F" w14:textId="549B7301" w:rsidR="007C1450" w:rsidRDefault="007C1450">
          <w:pPr>
            <w:pStyle w:val="TOC2"/>
            <w:rPr>
              <w:rFonts w:asciiTheme="minorHAnsi" w:eastAsiaTheme="minorEastAsia" w:hAnsiTheme="minorHAnsi" w:cstheme="minorBidi"/>
              <w:sz w:val="24"/>
              <w:szCs w:val="24"/>
              <w:lang w:eastAsia="en-GB"/>
            </w:rPr>
          </w:pPr>
          <w:hyperlink w:anchor="_Toc218629268" w:history="1">
            <w:r w:rsidRPr="006901FD">
              <w:rPr>
                <w:rStyle w:val="Hyperlink"/>
              </w:rPr>
              <w:t>6.2 Facility Layout, Site Design, and Physical Infrastructure</w:t>
            </w:r>
            <w:r>
              <w:rPr>
                <w:webHidden/>
              </w:rPr>
              <w:tab/>
            </w:r>
            <w:r>
              <w:rPr>
                <w:webHidden/>
              </w:rPr>
              <w:fldChar w:fldCharType="begin"/>
            </w:r>
            <w:r>
              <w:rPr>
                <w:webHidden/>
              </w:rPr>
              <w:instrText xml:space="preserve"> PAGEREF _Toc218629268 \h </w:instrText>
            </w:r>
            <w:r>
              <w:rPr>
                <w:webHidden/>
              </w:rPr>
            </w:r>
            <w:r>
              <w:rPr>
                <w:webHidden/>
              </w:rPr>
              <w:fldChar w:fldCharType="separate"/>
            </w:r>
            <w:r>
              <w:rPr>
                <w:webHidden/>
              </w:rPr>
              <w:t>38</w:t>
            </w:r>
            <w:r>
              <w:rPr>
                <w:webHidden/>
              </w:rPr>
              <w:fldChar w:fldCharType="end"/>
            </w:r>
          </w:hyperlink>
        </w:p>
        <w:p w14:paraId="73163C4E" w14:textId="5D9C3239" w:rsidR="007C1450" w:rsidRDefault="007C1450">
          <w:pPr>
            <w:pStyle w:val="TOC2"/>
            <w:rPr>
              <w:rFonts w:asciiTheme="minorHAnsi" w:eastAsiaTheme="minorEastAsia" w:hAnsiTheme="minorHAnsi" w:cstheme="minorBidi"/>
              <w:sz w:val="24"/>
              <w:szCs w:val="24"/>
              <w:lang w:eastAsia="en-GB"/>
            </w:rPr>
          </w:pPr>
          <w:hyperlink w:anchor="_Toc218629269" w:history="1">
            <w:r w:rsidRPr="006901FD">
              <w:rPr>
                <w:rStyle w:val="Hyperlink"/>
              </w:rPr>
              <w:t>6.3 Equipment, Resource Requirements, and Technology Stack</w:t>
            </w:r>
            <w:r>
              <w:rPr>
                <w:webHidden/>
              </w:rPr>
              <w:tab/>
            </w:r>
            <w:r>
              <w:rPr>
                <w:webHidden/>
              </w:rPr>
              <w:fldChar w:fldCharType="begin"/>
            </w:r>
            <w:r>
              <w:rPr>
                <w:webHidden/>
              </w:rPr>
              <w:instrText xml:space="preserve"> PAGEREF _Toc218629269 \h </w:instrText>
            </w:r>
            <w:r>
              <w:rPr>
                <w:webHidden/>
              </w:rPr>
            </w:r>
            <w:r>
              <w:rPr>
                <w:webHidden/>
              </w:rPr>
              <w:fldChar w:fldCharType="separate"/>
            </w:r>
            <w:r>
              <w:rPr>
                <w:webHidden/>
              </w:rPr>
              <w:t>40</w:t>
            </w:r>
            <w:r>
              <w:rPr>
                <w:webHidden/>
              </w:rPr>
              <w:fldChar w:fldCharType="end"/>
            </w:r>
          </w:hyperlink>
        </w:p>
        <w:p w14:paraId="37146BC2" w14:textId="3ED07113" w:rsidR="007C1450" w:rsidRDefault="007C1450">
          <w:pPr>
            <w:pStyle w:val="TOC2"/>
            <w:rPr>
              <w:rFonts w:asciiTheme="minorHAnsi" w:eastAsiaTheme="minorEastAsia" w:hAnsiTheme="minorHAnsi" w:cstheme="minorBidi"/>
              <w:sz w:val="24"/>
              <w:szCs w:val="24"/>
              <w:lang w:eastAsia="en-GB"/>
            </w:rPr>
          </w:pPr>
          <w:hyperlink w:anchor="_Toc218629270" w:history="1">
            <w:r w:rsidRPr="006901FD">
              <w:rPr>
                <w:rStyle w:val="Hyperlink"/>
              </w:rPr>
              <w:t>6.4 Human Resource Strategy and Workforce Architecture</w:t>
            </w:r>
            <w:r>
              <w:rPr>
                <w:webHidden/>
              </w:rPr>
              <w:tab/>
            </w:r>
            <w:r>
              <w:rPr>
                <w:webHidden/>
              </w:rPr>
              <w:fldChar w:fldCharType="begin"/>
            </w:r>
            <w:r>
              <w:rPr>
                <w:webHidden/>
              </w:rPr>
              <w:instrText xml:space="preserve"> PAGEREF _Toc218629270 \h </w:instrText>
            </w:r>
            <w:r>
              <w:rPr>
                <w:webHidden/>
              </w:rPr>
            </w:r>
            <w:r>
              <w:rPr>
                <w:webHidden/>
              </w:rPr>
              <w:fldChar w:fldCharType="separate"/>
            </w:r>
            <w:r>
              <w:rPr>
                <w:webHidden/>
              </w:rPr>
              <w:t>42</w:t>
            </w:r>
            <w:r>
              <w:rPr>
                <w:webHidden/>
              </w:rPr>
              <w:fldChar w:fldCharType="end"/>
            </w:r>
          </w:hyperlink>
        </w:p>
        <w:p w14:paraId="2576BFC7" w14:textId="456AAFB5" w:rsidR="007C1450" w:rsidRDefault="007C1450">
          <w:pPr>
            <w:pStyle w:val="TOC2"/>
            <w:rPr>
              <w:rFonts w:asciiTheme="minorHAnsi" w:eastAsiaTheme="minorEastAsia" w:hAnsiTheme="minorHAnsi" w:cstheme="minorBidi"/>
              <w:sz w:val="24"/>
              <w:szCs w:val="24"/>
              <w:lang w:eastAsia="en-GB"/>
            </w:rPr>
          </w:pPr>
          <w:hyperlink w:anchor="_Toc218629271" w:history="1">
            <w:r w:rsidRPr="006901FD">
              <w:rPr>
                <w:rStyle w:val="Hyperlink"/>
              </w:rPr>
              <w:t>6.5 Supply Chain, Inventory, and Logistics Management</w:t>
            </w:r>
            <w:r>
              <w:rPr>
                <w:webHidden/>
              </w:rPr>
              <w:tab/>
            </w:r>
            <w:r>
              <w:rPr>
                <w:webHidden/>
              </w:rPr>
              <w:fldChar w:fldCharType="begin"/>
            </w:r>
            <w:r>
              <w:rPr>
                <w:webHidden/>
              </w:rPr>
              <w:instrText xml:space="preserve"> PAGEREF _Toc218629271 \h </w:instrText>
            </w:r>
            <w:r>
              <w:rPr>
                <w:webHidden/>
              </w:rPr>
            </w:r>
            <w:r>
              <w:rPr>
                <w:webHidden/>
              </w:rPr>
              <w:fldChar w:fldCharType="separate"/>
            </w:r>
            <w:r>
              <w:rPr>
                <w:webHidden/>
              </w:rPr>
              <w:t>43</w:t>
            </w:r>
            <w:r>
              <w:rPr>
                <w:webHidden/>
              </w:rPr>
              <w:fldChar w:fldCharType="end"/>
            </w:r>
          </w:hyperlink>
        </w:p>
        <w:p w14:paraId="57A80803" w14:textId="3DF704FC" w:rsidR="007C1450" w:rsidRDefault="007C1450">
          <w:pPr>
            <w:pStyle w:val="TOC2"/>
            <w:rPr>
              <w:rFonts w:asciiTheme="minorHAnsi" w:eastAsiaTheme="minorEastAsia" w:hAnsiTheme="minorHAnsi" w:cstheme="minorBidi"/>
              <w:sz w:val="24"/>
              <w:szCs w:val="24"/>
              <w:lang w:eastAsia="en-GB"/>
            </w:rPr>
          </w:pPr>
          <w:hyperlink w:anchor="_Toc218629272" w:history="1">
            <w:r w:rsidRPr="006901FD">
              <w:rPr>
                <w:rStyle w:val="Hyperlink"/>
              </w:rPr>
              <w:t>6.6 Integrated Data-Driven Management</w:t>
            </w:r>
            <w:r>
              <w:rPr>
                <w:webHidden/>
              </w:rPr>
              <w:tab/>
            </w:r>
            <w:r>
              <w:rPr>
                <w:webHidden/>
              </w:rPr>
              <w:fldChar w:fldCharType="begin"/>
            </w:r>
            <w:r>
              <w:rPr>
                <w:webHidden/>
              </w:rPr>
              <w:instrText xml:space="preserve"> PAGEREF _Toc218629272 \h </w:instrText>
            </w:r>
            <w:r>
              <w:rPr>
                <w:webHidden/>
              </w:rPr>
            </w:r>
            <w:r>
              <w:rPr>
                <w:webHidden/>
              </w:rPr>
              <w:fldChar w:fldCharType="separate"/>
            </w:r>
            <w:r>
              <w:rPr>
                <w:webHidden/>
              </w:rPr>
              <w:t>43</w:t>
            </w:r>
            <w:r>
              <w:rPr>
                <w:webHidden/>
              </w:rPr>
              <w:fldChar w:fldCharType="end"/>
            </w:r>
          </w:hyperlink>
        </w:p>
        <w:p w14:paraId="6448494F" w14:textId="7F684381" w:rsidR="007C1450" w:rsidRDefault="007C1450">
          <w:pPr>
            <w:pStyle w:val="TOC2"/>
            <w:rPr>
              <w:rFonts w:asciiTheme="minorHAnsi" w:eastAsiaTheme="minorEastAsia" w:hAnsiTheme="minorHAnsi" w:cstheme="minorBidi"/>
              <w:sz w:val="24"/>
              <w:szCs w:val="24"/>
              <w:lang w:eastAsia="en-GB"/>
            </w:rPr>
          </w:pPr>
          <w:hyperlink w:anchor="_Toc218629273" w:history="1">
            <w:r w:rsidRPr="006901FD">
              <w:rPr>
                <w:rStyle w:val="Hyperlink"/>
              </w:rPr>
              <w:t>6.7 Quality Assurance, Compliance, and Risk</w:t>
            </w:r>
            <w:r>
              <w:rPr>
                <w:webHidden/>
              </w:rPr>
              <w:tab/>
            </w:r>
            <w:r>
              <w:rPr>
                <w:webHidden/>
              </w:rPr>
              <w:fldChar w:fldCharType="begin"/>
            </w:r>
            <w:r>
              <w:rPr>
                <w:webHidden/>
              </w:rPr>
              <w:instrText xml:space="preserve"> PAGEREF _Toc218629273 \h </w:instrText>
            </w:r>
            <w:r>
              <w:rPr>
                <w:webHidden/>
              </w:rPr>
            </w:r>
            <w:r>
              <w:rPr>
                <w:webHidden/>
              </w:rPr>
              <w:fldChar w:fldCharType="separate"/>
            </w:r>
            <w:r>
              <w:rPr>
                <w:webHidden/>
              </w:rPr>
              <w:t>44</w:t>
            </w:r>
            <w:r>
              <w:rPr>
                <w:webHidden/>
              </w:rPr>
              <w:fldChar w:fldCharType="end"/>
            </w:r>
          </w:hyperlink>
        </w:p>
        <w:p w14:paraId="44313CF5" w14:textId="43B6E35E" w:rsidR="007C1450" w:rsidRDefault="007C1450">
          <w:pPr>
            <w:pStyle w:val="TOC2"/>
            <w:rPr>
              <w:rFonts w:asciiTheme="minorHAnsi" w:eastAsiaTheme="minorEastAsia" w:hAnsiTheme="minorHAnsi" w:cstheme="minorBidi"/>
              <w:sz w:val="24"/>
              <w:szCs w:val="24"/>
              <w:lang w:eastAsia="en-GB"/>
            </w:rPr>
          </w:pPr>
          <w:hyperlink w:anchor="_Toc218629274" w:history="1">
            <w:r w:rsidRPr="006901FD">
              <w:rPr>
                <w:rStyle w:val="Hyperlink"/>
              </w:rPr>
              <w:t>6.8 Financial Architecture: Start-Up Investment and Operational Cost Model</w:t>
            </w:r>
            <w:r>
              <w:rPr>
                <w:webHidden/>
              </w:rPr>
              <w:tab/>
            </w:r>
            <w:r>
              <w:rPr>
                <w:webHidden/>
              </w:rPr>
              <w:fldChar w:fldCharType="begin"/>
            </w:r>
            <w:r>
              <w:rPr>
                <w:webHidden/>
              </w:rPr>
              <w:instrText xml:space="preserve"> PAGEREF _Toc218629274 \h </w:instrText>
            </w:r>
            <w:r>
              <w:rPr>
                <w:webHidden/>
              </w:rPr>
            </w:r>
            <w:r>
              <w:rPr>
                <w:webHidden/>
              </w:rPr>
              <w:fldChar w:fldCharType="separate"/>
            </w:r>
            <w:r>
              <w:rPr>
                <w:webHidden/>
              </w:rPr>
              <w:t>45</w:t>
            </w:r>
            <w:r>
              <w:rPr>
                <w:webHidden/>
              </w:rPr>
              <w:fldChar w:fldCharType="end"/>
            </w:r>
          </w:hyperlink>
        </w:p>
        <w:p w14:paraId="2FFC5401" w14:textId="7E128732" w:rsidR="007C1450" w:rsidRDefault="007C1450">
          <w:pPr>
            <w:pStyle w:val="TOC3"/>
            <w:tabs>
              <w:tab w:val="right" w:leader="dot" w:pos="9016"/>
            </w:tabs>
            <w:rPr>
              <w:rFonts w:eastAsiaTheme="minorEastAsia"/>
              <w:noProof/>
              <w:sz w:val="24"/>
              <w:szCs w:val="24"/>
              <w:lang w:eastAsia="en-GB"/>
            </w:rPr>
          </w:pPr>
          <w:hyperlink w:anchor="_Toc218629275" w:history="1">
            <w:r w:rsidRPr="006901FD">
              <w:rPr>
                <w:rStyle w:val="Hyperlink"/>
                <w:rFonts w:ascii="Arial" w:hAnsi="Arial" w:cs="Arial"/>
                <w:noProof/>
              </w:rPr>
              <w:t>6.8.1 Capital Expenditure (CapEx) Breakdown</w:t>
            </w:r>
            <w:r>
              <w:rPr>
                <w:noProof/>
                <w:webHidden/>
              </w:rPr>
              <w:tab/>
            </w:r>
            <w:r>
              <w:rPr>
                <w:noProof/>
                <w:webHidden/>
              </w:rPr>
              <w:fldChar w:fldCharType="begin"/>
            </w:r>
            <w:r>
              <w:rPr>
                <w:noProof/>
                <w:webHidden/>
              </w:rPr>
              <w:instrText xml:space="preserve"> PAGEREF _Toc218629275 \h </w:instrText>
            </w:r>
            <w:r>
              <w:rPr>
                <w:noProof/>
                <w:webHidden/>
              </w:rPr>
            </w:r>
            <w:r>
              <w:rPr>
                <w:noProof/>
                <w:webHidden/>
              </w:rPr>
              <w:fldChar w:fldCharType="separate"/>
            </w:r>
            <w:r>
              <w:rPr>
                <w:noProof/>
                <w:webHidden/>
              </w:rPr>
              <w:t>45</w:t>
            </w:r>
            <w:r>
              <w:rPr>
                <w:noProof/>
                <w:webHidden/>
              </w:rPr>
              <w:fldChar w:fldCharType="end"/>
            </w:r>
          </w:hyperlink>
        </w:p>
        <w:p w14:paraId="7E2F6B66" w14:textId="5D19281B" w:rsidR="007C1450" w:rsidRDefault="007C1450">
          <w:pPr>
            <w:pStyle w:val="TOC3"/>
            <w:tabs>
              <w:tab w:val="right" w:leader="dot" w:pos="9016"/>
            </w:tabs>
            <w:rPr>
              <w:rFonts w:eastAsiaTheme="minorEastAsia"/>
              <w:noProof/>
              <w:sz w:val="24"/>
              <w:szCs w:val="24"/>
              <w:lang w:eastAsia="en-GB"/>
            </w:rPr>
          </w:pPr>
          <w:hyperlink w:anchor="_Toc218629276" w:history="1">
            <w:r w:rsidRPr="006901FD">
              <w:rPr>
                <w:rStyle w:val="Hyperlink"/>
                <w:rFonts w:ascii="Arial" w:hAnsi="Arial" w:cs="Arial"/>
                <w:noProof/>
              </w:rPr>
              <w:t>6.8.2 Operational Expenditure (OpEx) Profile</w:t>
            </w:r>
            <w:r>
              <w:rPr>
                <w:noProof/>
                <w:webHidden/>
              </w:rPr>
              <w:tab/>
            </w:r>
            <w:r>
              <w:rPr>
                <w:noProof/>
                <w:webHidden/>
              </w:rPr>
              <w:fldChar w:fldCharType="begin"/>
            </w:r>
            <w:r>
              <w:rPr>
                <w:noProof/>
                <w:webHidden/>
              </w:rPr>
              <w:instrText xml:space="preserve"> PAGEREF _Toc218629276 \h </w:instrText>
            </w:r>
            <w:r>
              <w:rPr>
                <w:noProof/>
                <w:webHidden/>
              </w:rPr>
            </w:r>
            <w:r>
              <w:rPr>
                <w:noProof/>
                <w:webHidden/>
              </w:rPr>
              <w:fldChar w:fldCharType="separate"/>
            </w:r>
            <w:r>
              <w:rPr>
                <w:noProof/>
                <w:webHidden/>
              </w:rPr>
              <w:t>47</w:t>
            </w:r>
            <w:r>
              <w:rPr>
                <w:noProof/>
                <w:webHidden/>
              </w:rPr>
              <w:fldChar w:fldCharType="end"/>
            </w:r>
          </w:hyperlink>
        </w:p>
        <w:p w14:paraId="7C381B5E" w14:textId="79523FA6" w:rsidR="007C1450" w:rsidRDefault="007C1450">
          <w:pPr>
            <w:pStyle w:val="TOC3"/>
            <w:tabs>
              <w:tab w:val="right" w:leader="dot" w:pos="9016"/>
            </w:tabs>
            <w:rPr>
              <w:rFonts w:eastAsiaTheme="minorEastAsia"/>
              <w:noProof/>
              <w:sz w:val="24"/>
              <w:szCs w:val="24"/>
              <w:lang w:eastAsia="en-GB"/>
            </w:rPr>
          </w:pPr>
          <w:hyperlink w:anchor="_Toc218629277" w:history="1">
            <w:r w:rsidRPr="006901FD">
              <w:rPr>
                <w:rStyle w:val="Hyperlink"/>
                <w:rFonts w:ascii="Arial" w:hAnsi="Arial" w:cs="Arial"/>
                <w:noProof/>
              </w:rPr>
              <w:t>6.8.3 Working Capital Requirement</w:t>
            </w:r>
            <w:r>
              <w:rPr>
                <w:noProof/>
                <w:webHidden/>
              </w:rPr>
              <w:tab/>
            </w:r>
            <w:r>
              <w:rPr>
                <w:noProof/>
                <w:webHidden/>
              </w:rPr>
              <w:fldChar w:fldCharType="begin"/>
            </w:r>
            <w:r>
              <w:rPr>
                <w:noProof/>
                <w:webHidden/>
              </w:rPr>
              <w:instrText xml:space="preserve"> PAGEREF _Toc218629277 \h </w:instrText>
            </w:r>
            <w:r>
              <w:rPr>
                <w:noProof/>
                <w:webHidden/>
              </w:rPr>
            </w:r>
            <w:r>
              <w:rPr>
                <w:noProof/>
                <w:webHidden/>
              </w:rPr>
              <w:fldChar w:fldCharType="separate"/>
            </w:r>
            <w:r>
              <w:rPr>
                <w:noProof/>
                <w:webHidden/>
              </w:rPr>
              <w:t>48</w:t>
            </w:r>
            <w:r>
              <w:rPr>
                <w:noProof/>
                <w:webHidden/>
              </w:rPr>
              <w:fldChar w:fldCharType="end"/>
            </w:r>
          </w:hyperlink>
        </w:p>
        <w:p w14:paraId="0F7ED3F8" w14:textId="123C03C6" w:rsidR="007C1450" w:rsidRDefault="007C1450">
          <w:pPr>
            <w:pStyle w:val="TOC3"/>
            <w:tabs>
              <w:tab w:val="right" w:leader="dot" w:pos="9016"/>
            </w:tabs>
            <w:rPr>
              <w:rFonts w:eastAsiaTheme="minorEastAsia"/>
              <w:noProof/>
              <w:sz w:val="24"/>
              <w:szCs w:val="24"/>
              <w:lang w:eastAsia="en-GB"/>
            </w:rPr>
          </w:pPr>
          <w:hyperlink w:anchor="_Toc218629278" w:history="1">
            <w:r w:rsidRPr="006901FD">
              <w:rPr>
                <w:rStyle w:val="Hyperlink"/>
                <w:rFonts w:ascii="Arial" w:hAnsi="Arial" w:cs="Arial"/>
                <w:noProof/>
              </w:rPr>
              <w:t>6.8.4 Total Start-Up Funding Requirement</w:t>
            </w:r>
            <w:r>
              <w:rPr>
                <w:noProof/>
                <w:webHidden/>
              </w:rPr>
              <w:tab/>
            </w:r>
            <w:r>
              <w:rPr>
                <w:noProof/>
                <w:webHidden/>
              </w:rPr>
              <w:fldChar w:fldCharType="begin"/>
            </w:r>
            <w:r>
              <w:rPr>
                <w:noProof/>
                <w:webHidden/>
              </w:rPr>
              <w:instrText xml:space="preserve"> PAGEREF _Toc218629278 \h </w:instrText>
            </w:r>
            <w:r>
              <w:rPr>
                <w:noProof/>
                <w:webHidden/>
              </w:rPr>
            </w:r>
            <w:r>
              <w:rPr>
                <w:noProof/>
                <w:webHidden/>
              </w:rPr>
              <w:fldChar w:fldCharType="separate"/>
            </w:r>
            <w:r>
              <w:rPr>
                <w:noProof/>
                <w:webHidden/>
              </w:rPr>
              <w:t>48</w:t>
            </w:r>
            <w:r>
              <w:rPr>
                <w:noProof/>
                <w:webHidden/>
              </w:rPr>
              <w:fldChar w:fldCharType="end"/>
            </w:r>
          </w:hyperlink>
        </w:p>
        <w:p w14:paraId="0F969D73" w14:textId="1F40ED58" w:rsidR="007C1450" w:rsidRDefault="007C1450">
          <w:pPr>
            <w:pStyle w:val="TOC2"/>
            <w:rPr>
              <w:rFonts w:asciiTheme="minorHAnsi" w:eastAsiaTheme="minorEastAsia" w:hAnsiTheme="minorHAnsi" w:cstheme="minorBidi"/>
              <w:sz w:val="24"/>
              <w:szCs w:val="24"/>
              <w:lang w:eastAsia="en-GB"/>
            </w:rPr>
          </w:pPr>
          <w:hyperlink w:anchor="_Toc218629279" w:history="1">
            <w:r w:rsidRPr="006901FD">
              <w:rPr>
                <w:rStyle w:val="Hyperlink"/>
              </w:rPr>
              <w:t>6.9 Operational Financial Management and Control</w:t>
            </w:r>
            <w:r>
              <w:rPr>
                <w:webHidden/>
              </w:rPr>
              <w:tab/>
            </w:r>
            <w:r>
              <w:rPr>
                <w:webHidden/>
              </w:rPr>
              <w:fldChar w:fldCharType="begin"/>
            </w:r>
            <w:r>
              <w:rPr>
                <w:webHidden/>
              </w:rPr>
              <w:instrText xml:space="preserve"> PAGEREF _Toc218629279 \h </w:instrText>
            </w:r>
            <w:r>
              <w:rPr>
                <w:webHidden/>
              </w:rPr>
            </w:r>
            <w:r>
              <w:rPr>
                <w:webHidden/>
              </w:rPr>
              <w:fldChar w:fldCharType="separate"/>
            </w:r>
            <w:r>
              <w:rPr>
                <w:webHidden/>
              </w:rPr>
              <w:t>49</w:t>
            </w:r>
            <w:r>
              <w:rPr>
                <w:webHidden/>
              </w:rPr>
              <w:fldChar w:fldCharType="end"/>
            </w:r>
          </w:hyperlink>
        </w:p>
        <w:p w14:paraId="2022FBC7" w14:textId="1A46AF44" w:rsidR="007C1450" w:rsidRDefault="007C1450">
          <w:pPr>
            <w:pStyle w:val="TOC1"/>
            <w:tabs>
              <w:tab w:val="right" w:leader="dot" w:pos="9016"/>
            </w:tabs>
            <w:rPr>
              <w:rFonts w:eastAsiaTheme="minorEastAsia"/>
              <w:noProof/>
              <w:sz w:val="24"/>
              <w:szCs w:val="24"/>
              <w:lang w:eastAsia="en-GB"/>
            </w:rPr>
          </w:pPr>
          <w:hyperlink w:anchor="_Toc218629280" w:history="1">
            <w:r w:rsidRPr="006901FD">
              <w:rPr>
                <w:rStyle w:val="Hyperlink"/>
                <w:rFonts w:ascii="Arial" w:hAnsi="Arial" w:cs="Arial"/>
                <w:b/>
                <w:bCs/>
                <w:noProof/>
              </w:rPr>
              <w:t>7. Human Resource Capital Allocation</w:t>
            </w:r>
            <w:r>
              <w:rPr>
                <w:noProof/>
                <w:webHidden/>
              </w:rPr>
              <w:tab/>
            </w:r>
            <w:r>
              <w:rPr>
                <w:noProof/>
                <w:webHidden/>
              </w:rPr>
              <w:fldChar w:fldCharType="begin"/>
            </w:r>
            <w:r>
              <w:rPr>
                <w:noProof/>
                <w:webHidden/>
              </w:rPr>
              <w:instrText xml:space="preserve"> PAGEREF _Toc218629280 \h </w:instrText>
            </w:r>
            <w:r>
              <w:rPr>
                <w:noProof/>
                <w:webHidden/>
              </w:rPr>
            </w:r>
            <w:r>
              <w:rPr>
                <w:noProof/>
                <w:webHidden/>
              </w:rPr>
              <w:fldChar w:fldCharType="separate"/>
            </w:r>
            <w:r>
              <w:rPr>
                <w:noProof/>
                <w:webHidden/>
              </w:rPr>
              <w:t>49</w:t>
            </w:r>
            <w:r>
              <w:rPr>
                <w:noProof/>
                <w:webHidden/>
              </w:rPr>
              <w:fldChar w:fldCharType="end"/>
            </w:r>
          </w:hyperlink>
        </w:p>
        <w:p w14:paraId="7921C134" w14:textId="3B4501FE" w:rsidR="007C1450" w:rsidRDefault="007C1450">
          <w:pPr>
            <w:pStyle w:val="TOC2"/>
            <w:rPr>
              <w:rFonts w:asciiTheme="minorHAnsi" w:eastAsiaTheme="minorEastAsia" w:hAnsiTheme="minorHAnsi" w:cstheme="minorBidi"/>
              <w:sz w:val="24"/>
              <w:szCs w:val="24"/>
              <w:lang w:eastAsia="en-GB"/>
            </w:rPr>
          </w:pPr>
          <w:hyperlink w:anchor="_Toc218629281" w:history="1">
            <w:r w:rsidRPr="006901FD">
              <w:rPr>
                <w:rStyle w:val="Hyperlink"/>
                <w:b/>
                <w:bCs/>
              </w:rPr>
              <w:t>7.1 Human Resource Strategy and Phased Workforce Model</w:t>
            </w:r>
            <w:r>
              <w:rPr>
                <w:webHidden/>
              </w:rPr>
              <w:tab/>
            </w:r>
            <w:r>
              <w:rPr>
                <w:webHidden/>
              </w:rPr>
              <w:fldChar w:fldCharType="begin"/>
            </w:r>
            <w:r>
              <w:rPr>
                <w:webHidden/>
              </w:rPr>
              <w:instrText xml:space="preserve"> PAGEREF _Toc218629281 \h </w:instrText>
            </w:r>
            <w:r>
              <w:rPr>
                <w:webHidden/>
              </w:rPr>
            </w:r>
            <w:r>
              <w:rPr>
                <w:webHidden/>
              </w:rPr>
              <w:fldChar w:fldCharType="separate"/>
            </w:r>
            <w:r>
              <w:rPr>
                <w:webHidden/>
              </w:rPr>
              <w:t>50</w:t>
            </w:r>
            <w:r>
              <w:rPr>
                <w:webHidden/>
              </w:rPr>
              <w:fldChar w:fldCharType="end"/>
            </w:r>
          </w:hyperlink>
        </w:p>
        <w:p w14:paraId="1EFDE5C6" w14:textId="4664C7A1" w:rsidR="007C1450" w:rsidRDefault="007C1450">
          <w:pPr>
            <w:pStyle w:val="TOC3"/>
            <w:tabs>
              <w:tab w:val="right" w:leader="dot" w:pos="9016"/>
            </w:tabs>
            <w:rPr>
              <w:rFonts w:eastAsiaTheme="minorEastAsia"/>
              <w:noProof/>
              <w:sz w:val="24"/>
              <w:szCs w:val="24"/>
              <w:lang w:eastAsia="en-GB"/>
            </w:rPr>
          </w:pPr>
          <w:hyperlink w:anchor="_Toc218629282" w:history="1">
            <w:r w:rsidRPr="006901FD">
              <w:rPr>
                <w:rStyle w:val="Hyperlink"/>
                <w:rFonts w:ascii="Arial" w:hAnsi="Arial" w:cs="Arial"/>
                <w:b/>
                <w:bCs/>
                <w:noProof/>
              </w:rPr>
              <w:t>Phase 1: Launch Phase (Months 1–6 – Pre-Revenue)</w:t>
            </w:r>
            <w:r>
              <w:rPr>
                <w:noProof/>
                <w:webHidden/>
              </w:rPr>
              <w:tab/>
            </w:r>
            <w:r>
              <w:rPr>
                <w:noProof/>
                <w:webHidden/>
              </w:rPr>
              <w:fldChar w:fldCharType="begin"/>
            </w:r>
            <w:r>
              <w:rPr>
                <w:noProof/>
                <w:webHidden/>
              </w:rPr>
              <w:instrText xml:space="preserve"> PAGEREF _Toc218629282 \h </w:instrText>
            </w:r>
            <w:r>
              <w:rPr>
                <w:noProof/>
                <w:webHidden/>
              </w:rPr>
            </w:r>
            <w:r>
              <w:rPr>
                <w:noProof/>
                <w:webHidden/>
              </w:rPr>
              <w:fldChar w:fldCharType="separate"/>
            </w:r>
            <w:r>
              <w:rPr>
                <w:noProof/>
                <w:webHidden/>
              </w:rPr>
              <w:t>51</w:t>
            </w:r>
            <w:r>
              <w:rPr>
                <w:noProof/>
                <w:webHidden/>
              </w:rPr>
              <w:fldChar w:fldCharType="end"/>
            </w:r>
          </w:hyperlink>
        </w:p>
        <w:p w14:paraId="0D649667" w14:textId="18032C76" w:rsidR="007C1450" w:rsidRDefault="007C1450">
          <w:pPr>
            <w:pStyle w:val="TOC3"/>
            <w:tabs>
              <w:tab w:val="right" w:leader="dot" w:pos="9016"/>
            </w:tabs>
            <w:rPr>
              <w:rFonts w:eastAsiaTheme="minorEastAsia"/>
              <w:noProof/>
              <w:sz w:val="24"/>
              <w:szCs w:val="24"/>
              <w:lang w:eastAsia="en-GB"/>
            </w:rPr>
          </w:pPr>
          <w:hyperlink w:anchor="_Toc218629283" w:history="1">
            <w:r w:rsidRPr="006901FD">
              <w:rPr>
                <w:rStyle w:val="Hyperlink"/>
                <w:rFonts w:ascii="Arial" w:hAnsi="Arial" w:cs="Arial"/>
                <w:b/>
                <w:bCs/>
                <w:noProof/>
              </w:rPr>
              <w:t>Phase 2: Test Operations Phase (Months 7–9)</w:t>
            </w:r>
            <w:r>
              <w:rPr>
                <w:noProof/>
                <w:webHidden/>
              </w:rPr>
              <w:tab/>
            </w:r>
            <w:r>
              <w:rPr>
                <w:noProof/>
                <w:webHidden/>
              </w:rPr>
              <w:fldChar w:fldCharType="begin"/>
            </w:r>
            <w:r>
              <w:rPr>
                <w:noProof/>
                <w:webHidden/>
              </w:rPr>
              <w:instrText xml:space="preserve"> PAGEREF _Toc218629283 \h </w:instrText>
            </w:r>
            <w:r>
              <w:rPr>
                <w:noProof/>
                <w:webHidden/>
              </w:rPr>
            </w:r>
            <w:r>
              <w:rPr>
                <w:noProof/>
                <w:webHidden/>
              </w:rPr>
              <w:fldChar w:fldCharType="separate"/>
            </w:r>
            <w:r>
              <w:rPr>
                <w:noProof/>
                <w:webHidden/>
              </w:rPr>
              <w:t>51</w:t>
            </w:r>
            <w:r>
              <w:rPr>
                <w:noProof/>
                <w:webHidden/>
              </w:rPr>
              <w:fldChar w:fldCharType="end"/>
            </w:r>
          </w:hyperlink>
        </w:p>
        <w:p w14:paraId="66EAAD1B" w14:textId="7DA08806" w:rsidR="007C1450" w:rsidRDefault="007C1450">
          <w:pPr>
            <w:pStyle w:val="TOC3"/>
            <w:tabs>
              <w:tab w:val="right" w:leader="dot" w:pos="9016"/>
            </w:tabs>
            <w:rPr>
              <w:rFonts w:eastAsiaTheme="minorEastAsia"/>
              <w:noProof/>
              <w:sz w:val="24"/>
              <w:szCs w:val="24"/>
              <w:lang w:eastAsia="en-GB"/>
            </w:rPr>
          </w:pPr>
          <w:hyperlink w:anchor="_Toc218629284" w:history="1">
            <w:r w:rsidRPr="006901FD">
              <w:rPr>
                <w:rStyle w:val="Hyperlink"/>
                <w:rFonts w:ascii="Arial" w:hAnsi="Arial" w:cs="Arial"/>
                <w:b/>
                <w:bCs/>
                <w:noProof/>
              </w:rPr>
              <w:t>Phase 3: Full Operations (Month 10 Onwards)</w:t>
            </w:r>
            <w:r>
              <w:rPr>
                <w:noProof/>
                <w:webHidden/>
              </w:rPr>
              <w:tab/>
            </w:r>
            <w:r>
              <w:rPr>
                <w:noProof/>
                <w:webHidden/>
              </w:rPr>
              <w:fldChar w:fldCharType="begin"/>
            </w:r>
            <w:r>
              <w:rPr>
                <w:noProof/>
                <w:webHidden/>
              </w:rPr>
              <w:instrText xml:space="preserve"> PAGEREF _Toc218629284 \h </w:instrText>
            </w:r>
            <w:r>
              <w:rPr>
                <w:noProof/>
                <w:webHidden/>
              </w:rPr>
            </w:r>
            <w:r>
              <w:rPr>
                <w:noProof/>
                <w:webHidden/>
              </w:rPr>
              <w:fldChar w:fldCharType="separate"/>
            </w:r>
            <w:r>
              <w:rPr>
                <w:noProof/>
                <w:webHidden/>
              </w:rPr>
              <w:t>52</w:t>
            </w:r>
            <w:r>
              <w:rPr>
                <w:noProof/>
                <w:webHidden/>
              </w:rPr>
              <w:fldChar w:fldCharType="end"/>
            </w:r>
          </w:hyperlink>
        </w:p>
        <w:p w14:paraId="53FFCDC8" w14:textId="2087E2DD" w:rsidR="007C1450" w:rsidRDefault="007C1450">
          <w:pPr>
            <w:pStyle w:val="TOC2"/>
            <w:rPr>
              <w:rFonts w:asciiTheme="minorHAnsi" w:eastAsiaTheme="minorEastAsia" w:hAnsiTheme="minorHAnsi" w:cstheme="minorBidi"/>
              <w:sz w:val="24"/>
              <w:szCs w:val="24"/>
              <w:lang w:eastAsia="en-GB"/>
            </w:rPr>
          </w:pPr>
          <w:hyperlink w:anchor="_Toc218629285" w:history="1">
            <w:r w:rsidRPr="006901FD">
              <w:rPr>
                <w:rStyle w:val="Hyperlink"/>
                <w:b/>
                <w:bCs/>
              </w:rPr>
              <w:t>7.2 Workforce Structure and Role Allocation (Steady-State Model)</w:t>
            </w:r>
            <w:r>
              <w:rPr>
                <w:webHidden/>
              </w:rPr>
              <w:tab/>
            </w:r>
            <w:r>
              <w:rPr>
                <w:webHidden/>
              </w:rPr>
              <w:fldChar w:fldCharType="begin"/>
            </w:r>
            <w:r>
              <w:rPr>
                <w:webHidden/>
              </w:rPr>
              <w:instrText xml:space="preserve"> PAGEREF _Toc218629285 \h </w:instrText>
            </w:r>
            <w:r>
              <w:rPr>
                <w:webHidden/>
              </w:rPr>
            </w:r>
            <w:r>
              <w:rPr>
                <w:webHidden/>
              </w:rPr>
              <w:fldChar w:fldCharType="separate"/>
            </w:r>
            <w:r>
              <w:rPr>
                <w:webHidden/>
              </w:rPr>
              <w:t>52</w:t>
            </w:r>
            <w:r>
              <w:rPr>
                <w:webHidden/>
              </w:rPr>
              <w:fldChar w:fldCharType="end"/>
            </w:r>
          </w:hyperlink>
        </w:p>
        <w:p w14:paraId="17865DDB" w14:textId="43EEF789" w:rsidR="007C1450" w:rsidRDefault="007C1450">
          <w:pPr>
            <w:pStyle w:val="TOC2"/>
            <w:rPr>
              <w:rFonts w:asciiTheme="minorHAnsi" w:eastAsiaTheme="minorEastAsia" w:hAnsiTheme="minorHAnsi" w:cstheme="minorBidi"/>
              <w:sz w:val="24"/>
              <w:szCs w:val="24"/>
              <w:lang w:eastAsia="en-GB"/>
            </w:rPr>
          </w:pPr>
          <w:hyperlink w:anchor="_Toc218629286" w:history="1">
            <w:r w:rsidRPr="006901FD">
              <w:rPr>
                <w:rStyle w:val="Hyperlink"/>
                <w:b/>
                <w:bCs/>
              </w:rPr>
              <w:t>7.3 Roles, Responsibilities and Skills Requirements</w:t>
            </w:r>
            <w:r>
              <w:rPr>
                <w:webHidden/>
              </w:rPr>
              <w:tab/>
            </w:r>
            <w:r>
              <w:rPr>
                <w:webHidden/>
              </w:rPr>
              <w:fldChar w:fldCharType="begin"/>
            </w:r>
            <w:r>
              <w:rPr>
                <w:webHidden/>
              </w:rPr>
              <w:instrText xml:space="preserve"> PAGEREF _Toc218629286 \h </w:instrText>
            </w:r>
            <w:r>
              <w:rPr>
                <w:webHidden/>
              </w:rPr>
            </w:r>
            <w:r>
              <w:rPr>
                <w:webHidden/>
              </w:rPr>
              <w:fldChar w:fldCharType="separate"/>
            </w:r>
            <w:r>
              <w:rPr>
                <w:webHidden/>
              </w:rPr>
              <w:t>53</w:t>
            </w:r>
            <w:r>
              <w:rPr>
                <w:webHidden/>
              </w:rPr>
              <w:fldChar w:fldCharType="end"/>
            </w:r>
          </w:hyperlink>
        </w:p>
        <w:p w14:paraId="18CB5920" w14:textId="76F8BA97" w:rsidR="007C1450" w:rsidRDefault="007C1450">
          <w:pPr>
            <w:pStyle w:val="TOC2"/>
            <w:rPr>
              <w:rFonts w:asciiTheme="minorHAnsi" w:eastAsiaTheme="minorEastAsia" w:hAnsiTheme="minorHAnsi" w:cstheme="minorBidi"/>
              <w:sz w:val="24"/>
              <w:szCs w:val="24"/>
              <w:lang w:eastAsia="en-GB"/>
            </w:rPr>
          </w:pPr>
          <w:hyperlink w:anchor="_Toc218629287" w:history="1">
            <w:r w:rsidRPr="006901FD">
              <w:rPr>
                <w:rStyle w:val="Hyperlink"/>
                <w:b/>
                <w:bCs/>
              </w:rPr>
              <w:t>7.4 Recruitment, Training and Skills Development</w:t>
            </w:r>
            <w:r>
              <w:rPr>
                <w:webHidden/>
              </w:rPr>
              <w:tab/>
            </w:r>
            <w:r>
              <w:rPr>
                <w:webHidden/>
              </w:rPr>
              <w:fldChar w:fldCharType="begin"/>
            </w:r>
            <w:r>
              <w:rPr>
                <w:webHidden/>
              </w:rPr>
              <w:instrText xml:space="preserve"> PAGEREF _Toc218629287 \h </w:instrText>
            </w:r>
            <w:r>
              <w:rPr>
                <w:webHidden/>
              </w:rPr>
            </w:r>
            <w:r>
              <w:rPr>
                <w:webHidden/>
              </w:rPr>
              <w:fldChar w:fldCharType="separate"/>
            </w:r>
            <w:r>
              <w:rPr>
                <w:webHidden/>
              </w:rPr>
              <w:t>53</w:t>
            </w:r>
            <w:r>
              <w:rPr>
                <w:webHidden/>
              </w:rPr>
              <w:fldChar w:fldCharType="end"/>
            </w:r>
          </w:hyperlink>
        </w:p>
        <w:p w14:paraId="4C26EDCD" w14:textId="10C7C0AE" w:rsidR="007C1450" w:rsidRDefault="007C1450">
          <w:pPr>
            <w:pStyle w:val="TOC2"/>
            <w:rPr>
              <w:rFonts w:asciiTheme="minorHAnsi" w:eastAsiaTheme="minorEastAsia" w:hAnsiTheme="minorHAnsi" w:cstheme="minorBidi"/>
              <w:sz w:val="24"/>
              <w:szCs w:val="24"/>
              <w:lang w:eastAsia="en-GB"/>
            </w:rPr>
          </w:pPr>
          <w:hyperlink w:anchor="_Toc218629288" w:history="1">
            <w:r w:rsidRPr="006901FD">
              <w:rPr>
                <w:rStyle w:val="Hyperlink"/>
                <w:b/>
                <w:bCs/>
              </w:rPr>
              <w:t>7.5 Performance Management and Retention Strategy</w:t>
            </w:r>
            <w:r>
              <w:rPr>
                <w:webHidden/>
              </w:rPr>
              <w:tab/>
            </w:r>
            <w:r>
              <w:rPr>
                <w:webHidden/>
              </w:rPr>
              <w:fldChar w:fldCharType="begin"/>
            </w:r>
            <w:r>
              <w:rPr>
                <w:webHidden/>
              </w:rPr>
              <w:instrText xml:space="preserve"> PAGEREF _Toc218629288 \h </w:instrText>
            </w:r>
            <w:r>
              <w:rPr>
                <w:webHidden/>
              </w:rPr>
            </w:r>
            <w:r>
              <w:rPr>
                <w:webHidden/>
              </w:rPr>
              <w:fldChar w:fldCharType="separate"/>
            </w:r>
            <w:r>
              <w:rPr>
                <w:webHidden/>
              </w:rPr>
              <w:t>54</w:t>
            </w:r>
            <w:r>
              <w:rPr>
                <w:webHidden/>
              </w:rPr>
              <w:fldChar w:fldCharType="end"/>
            </w:r>
          </w:hyperlink>
        </w:p>
        <w:p w14:paraId="0C7DAEC3" w14:textId="2122697F" w:rsidR="007C1450" w:rsidRDefault="007C1450">
          <w:pPr>
            <w:pStyle w:val="TOC1"/>
            <w:tabs>
              <w:tab w:val="right" w:leader="dot" w:pos="9016"/>
            </w:tabs>
            <w:rPr>
              <w:rFonts w:eastAsiaTheme="minorEastAsia"/>
              <w:noProof/>
              <w:sz w:val="24"/>
              <w:szCs w:val="24"/>
              <w:lang w:eastAsia="en-GB"/>
            </w:rPr>
          </w:pPr>
          <w:hyperlink w:anchor="_Toc218629289" w:history="1">
            <w:r w:rsidRPr="006901FD">
              <w:rPr>
                <w:rStyle w:val="Hyperlink"/>
                <w:rFonts w:ascii="Arial" w:hAnsi="Arial" w:cs="Arial"/>
                <w:noProof/>
              </w:rPr>
              <w:t>8. Finance plan</w:t>
            </w:r>
            <w:r>
              <w:rPr>
                <w:noProof/>
                <w:webHidden/>
              </w:rPr>
              <w:tab/>
            </w:r>
            <w:r>
              <w:rPr>
                <w:noProof/>
                <w:webHidden/>
              </w:rPr>
              <w:fldChar w:fldCharType="begin"/>
            </w:r>
            <w:r>
              <w:rPr>
                <w:noProof/>
                <w:webHidden/>
              </w:rPr>
              <w:instrText xml:space="preserve"> PAGEREF _Toc218629289 \h </w:instrText>
            </w:r>
            <w:r>
              <w:rPr>
                <w:noProof/>
                <w:webHidden/>
              </w:rPr>
            </w:r>
            <w:r>
              <w:rPr>
                <w:noProof/>
                <w:webHidden/>
              </w:rPr>
              <w:fldChar w:fldCharType="separate"/>
            </w:r>
            <w:r>
              <w:rPr>
                <w:noProof/>
                <w:webHidden/>
              </w:rPr>
              <w:t>54</w:t>
            </w:r>
            <w:r>
              <w:rPr>
                <w:noProof/>
                <w:webHidden/>
              </w:rPr>
              <w:fldChar w:fldCharType="end"/>
            </w:r>
          </w:hyperlink>
        </w:p>
        <w:p w14:paraId="4CA627C9" w14:textId="7185EFB5" w:rsidR="007C1450" w:rsidRDefault="007C1450">
          <w:pPr>
            <w:pStyle w:val="TOC2"/>
            <w:rPr>
              <w:rFonts w:asciiTheme="minorHAnsi" w:eastAsiaTheme="minorEastAsia" w:hAnsiTheme="minorHAnsi" w:cstheme="minorBidi"/>
              <w:sz w:val="24"/>
              <w:szCs w:val="24"/>
              <w:lang w:eastAsia="en-GB"/>
            </w:rPr>
          </w:pPr>
          <w:hyperlink w:anchor="_Toc218629290" w:history="1">
            <w:r w:rsidRPr="006901FD">
              <w:rPr>
                <w:rStyle w:val="Hyperlink"/>
              </w:rPr>
              <w:t>8.1 Sales Forecast and Revenue Drivers</w:t>
            </w:r>
            <w:r>
              <w:rPr>
                <w:webHidden/>
              </w:rPr>
              <w:tab/>
            </w:r>
            <w:r>
              <w:rPr>
                <w:webHidden/>
              </w:rPr>
              <w:fldChar w:fldCharType="begin"/>
            </w:r>
            <w:r>
              <w:rPr>
                <w:webHidden/>
              </w:rPr>
              <w:instrText xml:space="preserve"> PAGEREF _Toc218629290 \h </w:instrText>
            </w:r>
            <w:r>
              <w:rPr>
                <w:webHidden/>
              </w:rPr>
            </w:r>
            <w:r>
              <w:rPr>
                <w:webHidden/>
              </w:rPr>
              <w:fldChar w:fldCharType="separate"/>
            </w:r>
            <w:r>
              <w:rPr>
                <w:webHidden/>
              </w:rPr>
              <w:t>56</w:t>
            </w:r>
            <w:r>
              <w:rPr>
                <w:webHidden/>
              </w:rPr>
              <w:fldChar w:fldCharType="end"/>
            </w:r>
          </w:hyperlink>
        </w:p>
        <w:p w14:paraId="1D5125A9" w14:textId="419B9718" w:rsidR="007C1450" w:rsidRDefault="007C1450">
          <w:pPr>
            <w:pStyle w:val="TOC2"/>
            <w:rPr>
              <w:rFonts w:asciiTheme="minorHAnsi" w:eastAsiaTheme="minorEastAsia" w:hAnsiTheme="minorHAnsi" w:cstheme="minorBidi"/>
              <w:sz w:val="24"/>
              <w:szCs w:val="24"/>
              <w:lang w:eastAsia="en-GB"/>
            </w:rPr>
          </w:pPr>
          <w:hyperlink w:anchor="_Toc218629291" w:history="1">
            <w:r w:rsidRPr="006901FD">
              <w:rPr>
                <w:rStyle w:val="Hyperlink"/>
              </w:rPr>
              <w:t>8.2 Pro-Forma Income Statement (P&amp;L)</w:t>
            </w:r>
            <w:r>
              <w:rPr>
                <w:webHidden/>
              </w:rPr>
              <w:tab/>
            </w:r>
            <w:r>
              <w:rPr>
                <w:webHidden/>
              </w:rPr>
              <w:fldChar w:fldCharType="begin"/>
            </w:r>
            <w:r>
              <w:rPr>
                <w:webHidden/>
              </w:rPr>
              <w:instrText xml:space="preserve"> PAGEREF _Toc218629291 \h </w:instrText>
            </w:r>
            <w:r>
              <w:rPr>
                <w:webHidden/>
              </w:rPr>
            </w:r>
            <w:r>
              <w:rPr>
                <w:webHidden/>
              </w:rPr>
              <w:fldChar w:fldCharType="separate"/>
            </w:r>
            <w:r>
              <w:rPr>
                <w:webHidden/>
              </w:rPr>
              <w:t>57</w:t>
            </w:r>
            <w:r>
              <w:rPr>
                <w:webHidden/>
              </w:rPr>
              <w:fldChar w:fldCharType="end"/>
            </w:r>
          </w:hyperlink>
        </w:p>
        <w:p w14:paraId="4D1E7D7D" w14:textId="6B13DF79" w:rsidR="007C1450" w:rsidRDefault="007C1450">
          <w:pPr>
            <w:pStyle w:val="TOC2"/>
            <w:rPr>
              <w:rFonts w:asciiTheme="minorHAnsi" w:eastAsiaTheme="minorEastAsia" w:hAnsiTheme="minorHAnsi" w:cstheme="minorBidi"/>
              <w:sz w:val="24"/>
              <w:szCs w:val="24"/>
              <w:lang w:eastAsia="en-GB"/>
            </w:rPr>
          </w:pPr>
          <w:hyperlink w:anchor="_Toc218629292" w:history="1">
            <w:r w:rsidRPr="006901FD">
              <w:rPr>
                <w:rStyle w:val="Hyperlink"/>
              </w:rPr>
              <w:t>8.3 Cost Structure and Break-Even Analysis</w:t>
            </w:r>
            <w:r>
              <w:rPr>
                <w:webHidden/>
              </w:rPr>
              <w:tab/>
            </w:r>
            <w:r>
              <w:rPr>
                <w:webHidden/>
              </w:rPr>
              <w:fldChar w:fldCharType="begin"/>
            </w:r>
            <w:r>
              <w:rPr>
                <w:webHidden/>
              </w:rPr>
              <w:instrText xml:space="preserve"> PAGEREF _Toc218629292 \h </w:instrText>
            </w:r>
            <w:r>
              <w:rPr>
                <w:webHidden/>
              </w:rPr>
            </w:r>
            <w:r>
              <w:rPr>
                <w:webHidden/>
              </w:rPr>
              <w:fldChar w:fldCharType="separate"/>
            </w:r>
            <w:r>
              <w:rPr>
                <w:webHidden/>
              </w:rPr>
              <w:t>59</w:t>
            </w:r>
            <w:r>
              <w:rPr>
                <w:webHidden/>
              </w:rPr>
              <w:fldChar w:fldCharType="end"/>
            </w:r>
          </w:hyperlink>
        </w:p>
        <w:p w14:paraId="25C10DFC" w14:textId="31D6DCA6" w:rsidR="007C1450" w:rsidRDefault="007C1450">
          <w:pPr>
            <w:pStyle w:val="TOC2"/>
            <w:rPr>
              <w:rFonts w:asciiTheme="minorHAnsi" w:eastAsiaTheme="minorEastAsia" w:hAnsiTheme="minorHAnsi" w:cstheme="minorBidi"/>
              <w:sz w:val="24"/>
              <w:szCs w:val="24"/>
              <w:lang w:eastAsia="en-GB"/>
            </w:rPr>
          </w:pPr>
          <w:hyperlink w:anchor="_Toc218629293" w:history="1">
            <w:r w:rsidRPr="006901FD">
              <w:rPr>
                <w:rStyle w:val="Hyperlink"/>
              </w:rPr>
              <w:t>8.4 Funding Strategy, Cash Flow and Investment Summary</w:t>
            </w:r>
            <w:r>
              <w:rPr>
                <w:webHidden/>
              </w:rPr>
              <w:tab/>
            </w:r>
            <w:r>
              <w:rPr>
                <w:webHidden/>
              </w:rPr>
              <w:fldChar w:fldCharType="begin"/>
            </w:r>
            <w:r>
              <w:rPr>
                <w:webHidden/>
              </w:rPr>
              <w:instrText xml:space="preserve"> PAGEREF _Toc218629293 \h </w:instrText>
            </w:r>
            <w:r>
              <w:rPr>
                <w:webHidden/>
              </w:rPr>
            </w:r>
            <w:r>
              <w:rPr>
                <w:webHidden/>
              </w:rPr>
              <w:fldChar w:fldCharType="separate"/>
            </w:r>
            <w:r>
              <w:rPr>
                <w:webHidden/>
              </w:rPr>
              <w:t>60</w:t>
            </w:r>
            <w:r>
              <w:rPr>
                <w:webHidden/>
              </w:rPr>
              <w:fldChar w:fldCharType="end"/>
            </w:r>
          </w:hyperlink>
        </w:p>
        <w:p w14:paraId="7A4253C3" w14:textId="74A1CC38" w:rsidR="007C1450" w:rsidRDefault="007C1450">
          <w:pPr>
            <w:pStyle w:val="TOC2"/>
            <w:rPr>
              <w:rFonts w:asciiTheme="minorHAnsi" w:eastAsiaTheme="minorEastAsia" w:hAnsiTheme="minorHAnsi" w:cstheme="minorBidi"/>
              <w:sz w:val="24"/>
              <w:szCs w:val="24"/>
              <w:lang w:eastAsia="en-GB"/>
            </w:rPr>
          </w:pPr>
          <w:hyperlink w:anchor="_Toc218629294" w:history="1">
            <w:r w:rsidRPr="006901FD">
              <w:rPr>
                <w:rStyle w:val="Hyperlink"/>
              </w:rPr>
              <w:t>8.5 Sensitivity and Risk Analysis</w:t>
            </w:r>
            <w:r>
              <w:rPr>
                <w:webHidden/>
              </w:rPr>
              <w:tab/>
            </w:r>
            <w:r>
              <w:rPr>
                <w:webHidden/>
              </w:rPr>
              <w:fldChar w:fldCharType="begin"/>
            </w:r>
            <w:r>
              <w:rPr>
                <w:webHidden/>
              </w:rPr>
              <w:instrText xml:space="preserve"> PAGEREF _Toc218629294 \h </w:instrText>
            </w:r>
            <w:r>
              <w:rPr>
                <w:webHidden/>
              </w:rPr>
            </w:r>
            <w:r>
              <w:rPr>
                <w:webHidden/>
              </w:rPr>
              <w:fldChar w:fldCharType="separate"/>
            </w:r>
            <w:r>
              <w:rPr>
                <w:webHidden/>
              </w:rPr>
              <w:t>62</w:t>
            </w:r>
            <w:r>
              <w:rPr>
                <w:webHidden/>
              </w:rPr>
              <w:fldChar w:fldCharType="end"/>
            </w:r>
          </w:hyperlink>
        </w:p>
        <w:p w14:paraId="5D944A29" w14:textId="56732E7D" w:rsidR="007C1450" w:rsidRDefault="007C1450">
          <w:pPr>
            <w:pStyle w:val="TOC1"/>
            <w:tabs>
              <w:tab w:val="right" w:leader="dot" w:pos="9016"/>
            </w:tabs>
            <w:rPr>
              <w:rFonts w:eastAsiaTheme="minorEastAsia"/>
              <w:noProof/>
              <w:sz w:val="24"/>
              <w:szCs w:val="24"/>
              <w:lang w:eastAsia="en-GB"/>
            </w:rPr>
          </w:pPr>
          <w:hyperlink w:anchor="_Toc218629295" w:history="1">
            <w:r w:rsidRPr="006901FD">
              <w:rPr>
                <w:rStyle w:val="Hyperlink"/>
                <w:rFonts w:ascii="Arial" w:hAnsi="Arial" w:cs="Arial"/>
                <w:noProof/>
              </w:rPr>
              <w:t>9. Risk Analysis and Strategic Risk Management</w:t>
            </w:r>
            <w:r>
              <w:rPr>
                <w:noProof/>
                <w:webHidden/>
              </w:rPr>
              <w:tab/>
            </w:r>
            <w:r>
              <w:rPr>
                <w:noProof/>
                <w:webHidden/>
              </w:rPr>
              <w:fldChar w:fldCharType="begin"/>
            </w:r>
            <w:r>
              <w:rPr>
                <w:noProof/>
                <w:webHidden/>
              </w:rPr>
              <w:instrText xml:space="preserve"> PAGEREF _Toc218629295 \h </w:instrText>
            </w:r>
            <w:r>
              <w:rPr>
                <w:noProof/>
                <w:webHidden/>
              </w:rPr>
            </w:r>
            <w:r>
              <w:rPr>
                <w:noProof/>
                <w:webHidden/>
              </w:rPr>
              <w:fldChar w:fldCharType="separate"/>
            </w:r>
            <w:r>
              <w:rPr>
                <w:noProof/>
                <w:webHidden/>
              </w:rPr>
              <w:t>63</w:t>
            </w:r>
            <w:r>
              <w:rPr>
                <w:noProof/>
                <w:webHidden/>
              </w:rPr>
              <w:fldChar w:fldCharType="end"/>
            </w:r>
          </w:hyperlink>
        </w:p>
        <w:p w14:paraId="1CEDFD82" w14:textId="62E452F8" w:rsidR="007C1450" w:rsidRDefault="007C1450">
          <w:pPr>
            <w:pStyle w:val="TOC2"/>
            <w:rPr>
              <w:rFonts w:asciiTheme="minorHAnsi" w:eastAsiaTheme="minorEastAsia" w:hAnsiTheme="minorHAnsi" w:cstheme="minorBidi"/>
              <w:sz w:val="24"/>
              <w:szCs w:val="24"/>
              <w:lang w:eastAsia="en-GB"/>
            </w:rPr>
          </w:pPr>
          <w:hyperlink w:anchor="_Toc218629296" w:history="1">
            <w:r w:rsidRPr="006901FD">
              <w:rPr>
                <w:rStyle w:val="Hyperlink"/>
              </w:rPr>
              <w:t>9.1 Risk Management Approach and Methodological Basis</w:t>
            </w:r>
            <w:r>
              <w:rPr>
                <w:webHidden/>
              </w:rPr>
              <w:tab/>
            </w:r>
            <w:r>
              <w:rPr>
                <w:webHidden/>
              </w:rPr>
              <w:fldChar w:fldCharType="begin"/>
            </w:r>
            <w:r>
              <w:rPr>
                <w:webHidden/>
              </w:rPr>
              <w:instrText xml:space="preserve"> PAGEREF _Toc218629296 \h </w:instrText>
            </w:r>
            <w:r>
              <w:rPr>
                <w:webHidden/>
              </w:rPr>
            </w:r>
            <w:r>
              <w:rPr>
                <w:webHidden/>
              </w:rPr>
              <w:fldChar w:fldCharType="separate"/>
            </w:r>
            <w:r>
              <w:rPr>
                <w:webHidden/>
              </w:rPr>
              <w:t>63</w:t>
            </w:r>
            <w:r>
              <w:rPr>
                <w:webHidden/>
              </w:rPr>
              <w:fldChar w:fldCharType="end"/>
            </w:r>
          </w:hyperlink>
        </w:p>
        <w:p w14:paraId="71232C4E" w14:textId="4FFA74B3" w:rsidR="007C1450" w:rsidRDefault="007C1450">
          <w:pPr>
            <w:pStyle w:val="TOC2"/>
            <w:rPr>
              <w:rFonts w:asciiTheme="minorHAnsi" w:eastAsiaTheme="minorEastAsia" w:hAnsiTheme="minorHAnsi" w:cstheme="minorBidi"/>
              <w:sz w:val="24"/>
              <w:szCs w:val="24"/>
              <w:lang w:eastAsia="en-GB"/>
            </w:rPr>
          </w:pPr>
          <w:hyperlink w:anchor="_Toc218629297" w:history="1">
            <w:r w:rsidRPr="006901FD">
              <w:rPr>
                <w:rStyle w:val="Hyperlink"/>
              </w:rPr>
              <w:t>9.2 Integrated Risk Mapping Across the Business Model</w:t>
            </w:r>
            <w:r>
              <w:rPr>
                <w:webHidden/>
              </w:rPr>
              <w:tab/>
            </w:r>
            <w:r>
              <w:rPr>
                <w:webHidden/>
              </w:rPr>
              <w:fldChar w:fldCharType="begin"/>
            </w:r>
            <w:r>
              <w:rPr>
                <w:webHidden/>
              </w:rPr>
              <w:instrText xml:space="preserve"> PAGEREF _Toc218629297 \h </w:instrText>
            </w:r>
            <w:r>
              <w:rPr>
                <w:webHidden/>
              </w:rPr>
            </w:r>
            <w:r>
              <w:rPr>
                <w:webHidden/>
              </w:rPr>
              <w:fldChar w:fldCharType="separate"/>
            </w:r>
            <w:r>
              <w:rPr>
                <w:webHidden/>
              </w:rPr>
              <w:t>64</w:t>
            </w:r>
            <w:r>
              <w:rPr>
                <w:webHidden/>
              </w:rPr>
              <w:fldChar w:fldCharType="end"/>
            </w:r>
          </w:hyperlink>
        </w:p>
        <w:p w14:paraId="6D67A27F" w14:textId="1A0FB5D8" w:rsidR="007C1450" w:rsidRDefault="007C1450">
          <w:pPr>
            <w:pStyle w:val="TOC2"/>
            <w:rPr>
              <w:rFonts w:asciiTheme="minorHAnsi" w:eastAsiaTheme="minorEastAsia" w:hAnsiTheme="minorHAnsi" w:cstheme="minorBidi"/>
              <w:sz w:val="24"/>
              <w:szCs w:val="24"/>
              <w:lang w:eastAsia="en-GB"/>
            </w:rPr>
          </w:pPr>
          <w:hyperlink w:anchor="_Toc218629298" w:history="1">
            <w:r w:rsidRPr="006901FD">
              <w:rPr>
                <w:rStyle w:val="Hyperlink"/>
              </w:rPr>
              <w:t>9.3 Operational Risk Register and Control Framework</w:t>
            </w:r>
            <w:r>
              <w:rPr>
                <w:webHidden/>
              </w:rPr>
              <w:tab/>
            </w:r>
            <w:r>
              <w:rPr>
                <w:webHidden/>
              </w:rPr>
              <w:fldChar w:fldCharType="begin"/>
            </w:r>
            <w:r>
              <w:rPr>
                <w:webHidden/>
              </w:rPr>
              <w:instrText xml:space="preserve"> PAGEREF _Toc218629298 \h </w:instrText>
            </w:r>
            <w:r>
              <w:rPr>
                <w:webHidden/>
              </w:rPr>
            </w:r>
            <w:r>
              <w:rPr>
                <w:webHidden/>
              </w:rPr>
              <w:fldChar w:fldCharType="separate"/>
            </w:r>
            <w:r>
              <w:rPr>
                <w:webHidden/>
              </w:rPr>
              <w:t>65</w:t>
            </w:r>
            <w:r>
              <w:rPr>
                <w:webHidden/>
              </w:rPr>
              <w:fldChar w:fldCharType="end"/>
            </w:r>
          </w:hyperlink>
        </w:p>
        <w:p w14:paraId="3BD1CD36" w14:textId="445A279B" w:rsidR="007C1450" w:rsidRDefault="007C1450">
          <w:pPr>
            <w:pStyle w:val="TOC2"/>
            <w:rPr>
              <w:rFonts w:asciiTheme="minorHAnsi" w:eastAsiaTheme="minorEastAsia" w:hAnsiTheme="minorHAnsi" w:cstheme="minorBidi"/>
              <w:sz w:val="24"/>
              <w:szCs w:val="24"/>
              <w:lang w:eastAsia="en-GB"/>
            </w:rPr>
          </w:pPr>
          <w:hyperlink w:anchor="_Toc218629299" w:history="1">
            <w:r w:rsidRPr="006901FD">
              <w:rPr>
                <w:rStyle w:val="Hyperlink"/>
              </w:rPr>
              <w:t>9.4 Interpretation of the Risk Profile</w:t>
            </w:r>
            <w:r>
              <w:rPr>
                <w:webHidden/>
              </w:rPr>
              <w:tab/>
            </w:r>
            <w:r>
              <w:rPr>
                <w:webHidden/>
              </w:rPr>
              <w:fldChar w:fldCharType="begin"/>
            </w:r>
            <w:r>
              <w:rPr>
                <w:webHidden/>
              </w:rPr>
              <w:instrText xml:space="preserve"> PAGEREF _Toc218629299 \h </w:instrText>
            </w:r>
            <w:r>
              <w:rPr>
                <w:webHidden/>
              </w:rPr>
            </w:r>
            <w:r>
              <w:rPr>
                <w:webHidden/>
              </w:rPr>
              <w:fldChar w:fldCharType="separate"/>
            </w:r>
            <w:r>
              <w:rPr>
                <w:webHidden/>
              </w:rPr>
              <w:t>67</w:t>
            </w:r>
            <w:r>
              <w:rPr>
                <w:webHidden/>
              </w:rPr>
              <w:fldChar w:fldCharType="end"/>
            </w:r>
          </w:hyperlink>
        </w:p>
        <w:p w14:paraId="7ABA59D2" w14:textId="22B3FDC2" w:rsidR="007C1450" w:rsidRDefault="007C1450">
          <w:pPr>
            <w:pStyle w:val="TOC3"/>
            <w:tabs>
              <w:tab w:val="right" w:leader="dot" w:pos="9016"/>
            </w:tabs>
            <w:rPr>
              <w:rFonts w:eastAsiaTheme="minorEastAsia"/>
              <w:noProof/>
              <w:sz w:val="24"/>
              <w:szCs w:val="24"/>
              <w:lang w:eastAsia="en-GB"/>
            </w:rPr>
          </w:pPr>
          <w:hyperlink w:anchor="_Toc218629300" w:history="1">
            <w:r w:rsidRPr="006901FD">
              <w:rPr>
                <w:rStyle w:val="Hyperlink"/>
                <w:rFonts w:ascii="Arial" w:hAnsi="Arial" w:cs="Arial"/>
                <w:noProof/>
              </w:rPr>
              <w:t>9.4.1 Market and Revenue Risk: A Conversion Challenge</w:t>
            </w:r>
            <w:r>
              <w:rPr>
                <w:noProof/>
                <w:webHidden/>
              </w:rPr>
              <w:tab/>
            </w:r>
            <w:r>
              <w:rPr>
                <w:noProof/>
                <w:webHidden/>
              </w:rPr>
              <w:fldChar w:fldCharType="begin"/>
            </w:r>
            <w:r>
              <w:rPr>
                <w:noProof/>
                <w:webHidden/>
              </w:rPr>
              <w:instrText xml:space="preserve"> PAGEREF _Toc218629300 \h </w:instrText>
            </w:r>
            <w:r>
              <w:rPr>
                <w:noProof/>
                <w:webHidden/>
              </w:rPr>
            </w:r>
            <w:r>
              <w:rPr>
                <w:noProof/>
                <w:webHidden/>
              </w:rPr>
              <w:fldChar w:fldCharType="separate"/>
            </w:r>
            <w:r>
              <w:rPr>
                <w:noProof/>
                <w:webHidden/>
              </w:rPr>
              <w:t>67</w:t>
            </w:r>
            <w:r>
              <w:rPr>
                <w:noProof/>
                <w:webHidden/>
              </w:rPr>
              <w:fldChar w:fldCharType="end"/>
            </w:r>
          </w:hyperlink>
        </w:p>
        <w:p w14:paraId="5A14B8E3" w14:textId="1293C2D9" w:rsidR="007C1450" w:rsidRDefault="007C1450">
          <w:pPr>
            <w:pStyle w:val="TOC3"/>
            <w:tabs>
              <w:tab w:val="right" w:leader="dot" w:pos="9016"/>
            </w:tabs>
            <w:rPr>
              <w:rFonts w:eastAsiaTheme="minorEastAsia"/>
              <w:noProof/>
              <w:sz w:val="24"/>
              <w:szCs w:val="24"/>
              <w:lang w:eastAsia="en-GB"/>
            </w:rPr>
          </w:pPr>
          <w:hyperlink w:anchor="_Toc218629301" w:history="1">
            <w:r w:rsidRPr="006901FD">
              <w:rPr>
                <w:rStyle w:val="Hyperlink"/>
                <w:rFonts w:ascii="Arial" w:hAnsi="Arial" w:cs="Arial"/>
                <w:noProof/>
              </w:rPr>
              <w:t>9.4.2 Execution Complexity: The Systemic Risk of Integration</w:t>
            </w:r>
            <w:r>
              <w:rPr>
                <w:noProof/>
                <w:webHidden/>
              </w:rPr>
              <w:tab/>
            </w:r>
            <w:r>
              <w:rPr>
                <w:noProof/>
                <w:webHidden/>
              </w:rPr>
              <w:fldChar w:fldCharType="begin"/>
            </w:r>
            <w:r>
              <w:rPr>
                <w:noProof/>
                <w:webHidden/>
              </w:rPr>
              <w:instrText xml:space="preserve"> PAGEREF _Toc218629301 \h </w:instrText>
            </w:r>
            <w:r>
              <w:rPr>
                <w:noProof/>
                <w:webHidden/>
              </w:rPr>
            </w:r>
            <w:r>
              <w:rPr>
                <w:noProof/>
                <w:webHidden/>
              </w:rPr>
              <w:fldChar w:fldCharType="separate"/>
            </w:r>
            <w:r>
              <w:rPr>
                <w:noProof/>
                <w:webHidden/>
              </w:rPr>
              <w:t>68</w:t>
            </w:r>
            <w:r>
              <w:rPr>
                <w:noProof/>
                <w:webHidden/>
              </w:rPr>
              <w:fldChar w:fldCharType="end"/>
            </w:r>
          </w:hyperlink>
        </w:p>
        <w:p w14:paraId="6805B002" w14:textId="1BF94807" w:rsidR="007C1450" w:rsidRDefault="007C1450">
          <w:pPr>
            <w:pStyle w:val="TOC3"/>
            <w:tabs>
              <w:tab w:val="right" w:leader="dot" w:pos="9016"/>
            </w:tabs>
            <w:rPr>
              <w:rFonts w:eastAsiaTheme="minorEastAsia"/>
              <w:noProof/>
              <w:sz w:val="24"/>
              <w:szCs w:val="24"/>
              <w:lang w:eastAsia="en-GB"/>
            </w:rPr>
          </w:pPr>
          <w:hyperlink w:anchor="_Toc218629302" w:history="1">
            <w:r w:rsidRPr="006901FD">
              <w:rPr>
                <w:rStyle w:val="Hyperlink"/>
                <w:rFonts w:ascii="Arial" w:hAnsi="Arial" w:cs="Arial"/>
                <w:noProof/>
              </w:rPr>
              <w:t>9.4.3 Financial and Liquidity Risk: A Front-Loaded Exposure</w:t>
            </w:r>
            <w:r>
              <w:rPr>
                <w:noProof/>
                <w:webHidden/>
              </w:rPr>
              <w:tab/>
            </w:r>
            <w:r>
              <w:rPr>
                <w:noProof/>
                <w:webHidden/>
              </w:rPr>
              <w:fldChar w:fldCharType="begin"/>
            </w:r>
            <w:r>
              <w:rPr>
                <w:noProof/>
                <w:webHidden/>
              </w:rPr>
              <w:instrText xml:space="preserve"> PAGEREF _Toc218629302 \h </w:instrText>
            </w:r>
            <w:r>
              <w:rPr>
                <w:noProof/>
                <w:webHidden/>
              </w:rPr>
            </w:r>
            <w:r>
              <w:rPr>
                <w:noProof/>
                <w:webHidden/>
              </w:rPr>
              <w:fldChar w:fldCharType="separate"/>
            </w:r>
            <w:r>
              <w:rPr>
                <w:noProof/>
                <w:webHidden/>
              </w:rPr>
              <w:t>68</w:t>
            </w:r>
            <w:r>
              <w:rPr>
                <w:noProof/>
                <w:webHidden/>
              </w:rPr>
              <w:fldChar w:fldCharType="end"/>
            </w:r>
          </w:hyperlink>
        </w:p>
        <w:p w14:paraId="3D3E2ADF" w14:textId="34B27F5E" w:rsidR="007C1450" w:rsidRDefault="007C1450">
          <w:pPr>
            <w:pStyle w:val="TOC3"/>
            <w:tabs>
              <w:tab w:val="right" w:leader="dot" w:pos="9016"/>
            </w:tabs>
            <w:rPr>
              <w:rFonts w:eastAsiaTheme="minorEastAsia"/>
              <w:noProof/>
              <w:sz w:val="24"/>
              <w:szCs w:val="24"/>
              <w:lang w:eastAsia="en-GB"/>
            </w:rPr>
          </w:pPr>
          <w:hyperlink w:anchor="_Toc218629303" w:history="1">
            <w:r w:rsidRPr="006901FD">
              <w:rPr>
                <w:rStyle w:val="Hyperlink"/>
                <w:rFonts w:ascii="Arial" w:hAnsi="Arial" w:cs="Arial"/>
                <w:noProof/>
              </w:rPr>
              <w:t>9.4.4 Human Capital Risk: Transforming Scarcity into Capability</w:t>
            </w:r>
            <w:r>
              <w:rPr>
                <w:noProof/>
                <w:webHidden/>
              </w:rPr>
              <w:tab/>
            </w:r>
            <w:r>
              <w:rPr>
                <w:noProof/>
                <w:webHidden/>
              </w:rPr>
              <w:fldChar w:fldCharType="begin"/>
            </w:r>
            <w:r>
              <w:rPr>
                <w:noProof/>
                <w:webHidden/>
              </w:rPr>
              <w:instrText xml:space="preserve"> PAGEREF _Toc218629303 \h </w:instrText>
            </w:r>
            <w:r>
              <w:rPr>
                <w:noProof/>
                <w:webHidden/>
              </w:rPr>
            </w:r>
            <w:r>
              <w:rPr>
                <w:noProof/>
                <w:webHidden/>
              </w:rPr>
              <w:fldChar w:fldCharType="separate"/>
            </w:r>
            <w:r>
              <w:rPr>
                <w:noProof/>
                <w:webHidden/>
              </w:rPr>
              <w:t>68</w:t>
            </w:r>
            <w:r>
              <w:rPr>
                <w:noProof/>
                <w:webHidden/>
              </w:rPr>
              <w:fldChar w:fldCharType="end"/>
            </w:r>
          </w:hyperlink>
        </w:p>
        <w:p w14:paraId="14FF874E" w14:textId="5847F4A8" w:rsidR="007C1450" w:rsidRDefault="007C1450">
          <w:pPr>
            <w:pStyle w:val="TOC3"/>
            <w:tabs>
              <w:tab w:val="right" w:leader="dot" w:pos="9016"/>
            </w:tabs>
            <w:rPr>
              <w:rFonts w:eastAsiaTheme="minorEastAsia"/>
              <w:noProof/>
              <w:sz w:val="24"/>
              <w:szCs w:val="24"/>
              <w:lang w:eastAsia="en-GB"/>
            </w:rPr>
          </w:pPr>
          <w:hyperlink w:anchor="_Toc218629304" w:history="1">
            <w:r w:rsidRPr="006901FD">
              <w:rPr>
                <w:rStyle w:val="Hyperlink"/>
                <w:rFonts w:ascii="Arial" w:hAnsi="Arial" w:cs="Arial"/>
                <w:noProof/>
              </w:rPr>
              <w:t>9.4.5 Regulatory and Compliance Risk: Designed-In Conformance</w:t>
            </w:r>
            <w:r>
              <w:rPr>
                <w:noProof/>
                <w:webHidden/>
              </w:rPr>
              <w:tab/>
            </w:r>
            <w:r>
              <w:rPr>
                <w:noProof/>
                <w:webHidden/>
              </w:rPr>
              <w:fldChar w:fldCharType="begin"/>
            </w:r>
            <w:r>
              <w:rPr>
                <w:noProof/>
                <w:webHidden/>
              </w:rPr>
              <w:instrText xml:space="preserve"> PAGEREF _Toc218629304 \h </w:instrText>
            </w:r>
            <w:r>
              <w:rPr>
                <w:noProof/>
                <w:webHidden/>
              </w:rPr>
            </w:r>
            <w:r>
              <w:rPr>
                <w:noProof/>
                <w:webHidden/>
              </w:rPr>
              <w:fldChar w:fldCharType="separate"/>
            </w:r>
            <w:r>
              <w:rPr>
                <w:noProof/>
                <w:webHidden/>
              </w:rPr>
              <w:t>68</w:t>
            </w:r>
            <w:r>
              <w:rPr>
                <w:noProof/>
                <w:webHidden/>
              </w:rPr>
              <w:fldChar w:fldCharType="end"/>
            </w:r>
          </w:hyperlink>
        </w:p>
        <w:p w14:paraId="29F66A18" w14:textId="190938BD" w:rsidR="007C1450" w:rsidRDefault="007C1450">
          <w:pPr>
            <w:pStyle w:val="TOC2"/>
            <w:rPr>
              <w:rFonts w:asciiTheme="minorHAnsi" w:eastAsiaTheme="minorEastAsia" w:hAnsiTheme="minorHAnsi" w:cstheme="minorBidi"/>
              <w:sz w:val="24"/>
              <w:szCs w:val="24"/>
              <w:lang w:eastAsia="en-GB"/>
            </w:rPr>
          </w:pPr>
          <w:hyperlink w:anchor="_Toc218629305" w:history="1">
            <w:r w:rsidRPr="006901FD">
              <w:rPr>
                <w:rStyle w:val="Hyperlink"/>
              </w:rPr>
              <w:t>9.5 Overall Risk Posture and Strategic Governance</w:t>
            </w:r>
            <w:r>
              <w:rPr>
                <w:webHidden/>
              </w:rPr>
              <w:tab/>
            </w:r>
            <w:r>
              <w:rPr>
                <w:webHidden/>
              </w:rPr>
              <w:fldChar w:fldCharType="begin"/>
            </w:r>
            <w:r>
              <w:rPr>
                <w:webHidden/>
              </w:rPr>
              <w:instrText xml:space="preserve"> PAGEREF _Toc218629305 \h </w:instrText>
            </w:r>
            <w:r>
              <w:rPr>
                <w:webHidden/>
              </w:rPr>
            </w:r>
            <w:r>
              <w:rPr>
                <w:webHidden/>
              </w:rPr>
              <w:fldChar w:fldCharType="separate"/>
            </w:r>
            <w:r>
              <w:rPr>
                <w:webHidden/>
              </w:rPr>
              <w:t>69</w:t>
            </w:r>
            <w:r>
              <w:rPr>
                <w:webHidden/>
              </w:rPr>
              <w:fldChar w:fldCharType="end"/>
            </w:r>
          </w:hyperlink>
        </w:p>
        <w:p w14:paraId="6D50DB61" w14:textId="4EB73348" w:rsidR="007C1450" w:rsidRDefault="007C1450">
          <w:pPr>
            <w:pStyle w:val="TOC1"/>
            <w:tabs>
              <w:tab w:val="right" w:leader="dot" w:pos="9016"/>
            </w:tabs>
            <w:rPr>
              <w:rFonts w:eastAsiaTheme="minorEastAsia"/>
              <w:noProof/>
              <w:sz w:val="24"/>
              <w:szCs w:val="24"/>
              <w:lang w:eastAsia="en-GB"/>
            </w:rPr>
          </w:pPr>
          <w:hyperlink w:anchor="_Toc218629306" w:history="1">
            <w:r w:rsidRPr="006901FD">
              <w:rPr>
                <w:rStyle w:val="Hyperlink"/>
                <w:rFonts w:ascii="Arial" w:hAnsi="Arial" w:cs="Arial"/>
                <w:noProof/>
              </w:rPr>
              <w:t>10. Implementation Plan</w:t>
            </w:r>
            <w:r>
              <w:rPr>
                <w:noProof/>
                <w:webHidden/>
              </w:rPr>
              <w:tab/>
            </w:r>
            <w:r>
              <w:rPr>
                <w:noProof/>
                <w:webHidden/>
              </w:rPr>
              <w:fldChar w:fldCharType="begin"/>
            </w:r>
            <w:r>
              <w:rPr>
                <w:noProof/>
                <w:webHidden/>
              </w:rPr>
              <w:instrText xml:space="preserve"> PAGEREF _Toc218629306 \h </w:instrText>
            </w:r>
            <w:r>
              <w:rPr>
                <w:noProof/>
                <w:webHidden/>
              </w:rPr>
            </w:r>
            <w:r>
              <w:rPr>
                <w:noProof/>
                <w:webHidden/>
              </w:rPr>
              <w:fldChar w:fldCharType="separate"/>
            </w:r>
            <w:r>
              <w:rPr>
                <w:noProof/>
                <w:webHidden/>
              </w:rPr>
              <w:t>69</w:t>
            </w:r>
            <w:r>
              <w:rPr>
                <w:noProof/>
                <w:webHidden/>
              </w:rPr>
              <w:fldChar w:fldCharType="end"/>
            </w:r>
          </w:hyperlink>
        </w:p>
        <w:p w14:paraId="51FD0F13" w14:textId="12D4EF27" w:rsidR="007C1450" w:rsidRDefault="007C1450">
          <w:pPr>
            <w:pStyle w:val="TOC2"/>
            <w:rPr>
              <w:rFonts w:asciiTheme="minorHAnsi" w:eastAsiaTheme="minorEastAsia" w:hAnsiTheme="minorHAnsi" w:cstheme="minorBidi"/>
              <w:sz w:val="24"/>
              <w:szCs w:val="24"/>
              <w:lang w:eastAsia="en-GB"/>
            </w:rPr>
          </w:pPr>
          <w:hyperlink w:anchor="_Toc218629307" w:history="1">
            <w:r w:rsidRPr="006901FD">
              <w:rPr>
                <w:rStyle w:val="Hyperlink"/>
              </w:rPr>
              <w:t>10.1 Implementation Philosophy and Sequencing Logic</w:t>
            </w:r>
            <w:r>
              <w:rPr>
                <w:webHidden/>
              </w:rPr>
              <w:tab/>
            </w:r>
            <w:r>
              <w:rPr>
                <w:webHidden/>
              </w:rPr>
              <w:fldChar w:fldCharType="begin"/>
            </w:r>
            <w:r>
              <w:rPr>
                <w:webHidden/>
              </w:rPr>
              <w:instrText xml:space="preserve"> PAGEREF _Toc218629307 \h </w:instrText>
            </w:r>
            <w:r>
              <w:rPr>
                <w:webHidden/>
              </w:rPr>
            </w:r>
            <w:r>
              <w:rPr>
                <w:webHidden/>
              </w:rPr>
              <w:fldChar w:fldCharType="separate"/>
            </w:r>
            <w:r>
              <w:rPr>
                <w:webHidden/>
              </w:rPr>
              <w:t>70</w:t>
            </w:r>
            <w:r>
              <w:rPr>
                <w:webHidden/>
              </w:rPr>
              <w:fldChar w:fldCharType="end"/>
            </w:r>
          </w:hyperlink>
        </w:p>
        <w:p w14:paraId="74382909" w14:textId="029F152A" w:rsidR="007C1450" w:rsidRDefault="007C1450">
          <w:pPr>
            <w:pStyle w:val="TOC2"/>
            <w:rPr>
              <w:rFonts w:asciiTheme="minorHAnsi" w:eastAsiaTheme="minorEastAsia" w:hAnsiTheme="minorHAnsi" w:cstheme="minorBidi"/>
              <w:sz w:val="24"/>
              <w:szCs w:val="24"/>
              <w:lang w:eastAsia="en-GB"/>
            </w:rPr>
          </w:pPr>
          <w:hyperlink w:anchor="_Toc218629308" w:history="1">
            <w:r w:rsidRPr="006901FD">
              <w:rPr>
                <w:rStyle w:val="Hyperlink"/>
              </w:rPr>
              <w:t>10.2 Phased Implementation Structure</w:t>
            </w:r>
            <w:r>
              <w:rPr>
                <w:webHidden/>
              </w:rPr>
              <w:tab/>
            </w:r>
            <w:r>
              <w:rPr>
                <w:webHidden/>
              </w:rPr>
              <w:fldChar w:fldCharType="begin"/>
            </w:r>
            <w:r>
              <w:rPr>
                <w:webHidden/>
              </w:rPr>
              <w:instrText xml:space="preserve"> PAGEREF _Toc218629308 \h </w:instrText>
            </w:r>
            <w:r>
              <w:rPr>
                <w:webHidden/>
              </w:rPr>
            </w:r>
            <w:r>
              <w:rPr>
                <w:webHidden/>
              </w:rPr>
              <w:fldChar w:fldCharType="separate"/>
            </w:r>
            <w:r>
              <w:rPr>
                <w:webHidden/>
              </w:rPr>
              <w:t>70</w:t>
            </w:r>
            <w:r>
              <w:rPr>
                <w:webHidden/>
              </w:rPr>
              <w:fldChar w:fldCharType="end"/>
            </w:r>
          </w:hyperlink>
        </w:p>
        <w:p w14:paraId="298B3602" w14:textId="7136E96E" w:rsidR="007C1450" w:rsidRDefault="007C1450">
          <w:pPr>
            <w:pStyle w:val="TOC2"/>
            <w:rPr>
              <w:rFonts w:asciiTheme="minorHAnsi" w:eastAsiaTheme="minorEastAsia" w:hAnsiTheme="minorHAnsi" w:cstheme="minorBidi"/>
              <w:sz w:val="24"/>
              <w:szCs w:val="24"/>
              <w:lang w:eastAsia="en-GB"/>
            </w:rPr>
          </w:pPr>
          <w:hyperlink w:anchor="_Toc218629309" w:history="1">
            <w:r w:rsidRPr="006901FD">
              <w:rPr>
                <w:rStyle w:val="Hyperlink"/>
              </w:rPr>
              <w:t>10.3 Critical Path and Dependency Narrative</w:t>
            </w:r>
            <w:r>
              <w:rPr>
                <w:webHidden/>
              </w:rPr>
              <w:tab/>
            </w:r>
            <w:r>
              <w:rPr>
                <w:webHidden/>
              </w:rPr>
              <w:fldChar w:fldCharType="begin"/>
            </w:r>
            <w:r>
              <w:rPr>
                <w:webHidden/>
              </w:rPr>
              <w:instrText xml:space="preserve"> PAGEREF _Toc218629309 \h </w:instrText>
            </w:r>
            <w:r>
              <w:rPr>
                <w:webHidden/>
              </w:rPr>
            </w:r>
            <w:r>
              <w:rPr>
                <w:webHidden/>
              </w:rPr>
              <w:fldChar w:fldCharType="separate"/>
            </w:r>
            <w:r>
              <w:rPr>
                <w:webHidden/>
              </w:rPr>
              <w:t>72</w:t>
            </w:r>
            <w:r>
              <w:rPr>
                <w:webHidden/>
              </w:rPr>
              <w:fldChar w:fldCharType="end"/>
            </w:r>
          </w:hyperlink>
        </w:p>
        <w:p w14:paraId="5CA3A864" w14:textId="1A89B7A0" w:rsidR="007C1450" w:rsidRDefault="007C1450">
          <w:pPr>
            <w:pStyle w:val="TOC2"/>
            <w:rPr>
              <w:rFonts w:asciiTheme="minorHAnsi" w:eastAsiaTheme="minorEastAsia" w:hAnsiTheme="minorHAnsi" w:cstheme="minorBidi"/>
              <w:sz w:val="24"/>
              <w:szCs w:val="24"/>
              <w:lang w:eastAsia="en-GB"/>
            </w:rPr>
          </w:pPr>
          <w:hyperlink w:anchor="_Toc218629310" w:history="1">
            <w:r w:rsidRPr="006901FD">
              <w:rPr>
                <w:rStyle w:val="Hyperlink"/>
              </w:rPr>
              <w:t>10.4 Governance and Performance Dashboard</w:t>
            </w:r>
            <w:r>
              <w:rPr>
                <w:webHidden/>
              </w:rPr>
              <w:tab/>
            </w:r>
            <w:r>
              <w:rPr>
                <w:webHidden/>
              </w:rPr>
              <w:fldChar w:fldCharType="begin"/>
            </w:r>
            <w:r>
              <w:rPr>
                <w:webHidden/>
              </w:rPr>
              <w:instrText xml:space="preserve"> PAGEREF _Toc218629310 \h </w:instrText>
            </w:r>
            <w:r>
              <w:rPr>
                <w:webHidden/>
              </w:rPr>
            </w:r>
            <w:r>
              <w:rPr>
                <w:webHidden/>
              </w:rPr>
              <w:fldChar w:fldCharType="separate"/>
            </w:r>
            <w:r>
              <w:rPr>
                <w:webHidden/>
              </w:rPr>
              <w:t>73</w:t>
            </w:r>
            <w:r>
              <w:rPr>
                <w:webHidden/>
              </w:rPr>
              <w:fldChar w:fldCharType="end"/>
            </w:r>
          </w:hyperlink>
        </w:p>
        <w:p w14:paraId="0D7FF0FA" w14:textId="7629790D" w:rsidR="007C1450" w:rsidRDefault="007C1450">
          <w:pPr>
            <w:pStyle w:val="TOC2"/>
            <w:rPr>
              <w:rFonts w:asciiTheme="minorHAnsi" w:eastAsiaTheme="minorEastAsia" w:hAnsiTheme="minorHAnsi" w:cstheme="minorBidi"/>
              <w:sz w:val="24"/>
              <w:szCs w:val="24"/>
              <w:lang w:eastAsia="en-GB"/>
            </w:rPr>
          </w:pPr>
          <w:hyperlink w:anchor="_Toc218629311" w:history="1">
            <w:r w:rsidRPr="006901FD">
              <w:rPr>
                <w:rStyle w:val="Hyperlink"/>
              </w:rPr>
              <w:t>10.5 Risk-Contingency Activation Matrix</w:t>
            </w:r>
            <w:r>
              <w:rPr>
                <w:webHidden/>
              </w:rPr>
              <w:tab/>
            </w:r>
            <w:r>
              <w:rPr>
                <w:webHidden/>
              </w:rPr>
              <w:fldChar w:fldCharType="begin"/>
            </w:r>
            <w:r>
              <w:rPr>
                <w:webHidden/>
              </w:rPr>
              <w:instrText xml:space="preserve"> PAGEREF _Toc218629311 \h </w:instrText>
            </w:r>
            <w:r>
              <w:rPr>
                <w:webHidden/>
              </w:rPr>
            </w:r>
            <w:r>
              <w:rPr>
                <w:webHidden/>
              </w:rPr>
              <w:fldChar w:fldCharType="separate"/>
            </w:r>
            <w:r>
              <w:rPr>
                <w:webHidden/>
              </w:rPr>
              <w:t>73</w:t>
            </w:r>
            <w:r>
              <w:rPr>
                <w:webHidden/>
              </w:rPr>
              <w:fldChar w:fldCharType="end"/>
            </w:r>
          </w:hyperlink>
        </w:p>
        <w:p w14:paraId="004C68D6" w14:textId="52E826D9" w:rsidR="007C1450" w:rsidRDefault="007C1450">
          <w:pPr>
            <w:pStyle w:val="TOC2"/>
            <w:rPr>
              <w:rFonts w:asciiTheme="minorHAnsi" w:eastAsiaTheme="minorEastAsia" w:hAnsiTheme="minorHAnsi" w:cstheme="minorBidi"/>
              <w:sz w:val="24"/>
              <w:szCs w:val="24"/>
              <w:lang w:eastAsia="en-GB"/>
            </w:rPr>
          </w:pPr>
          <w:hyperlink w:anchor="_Toc218629312" w:history="1">
            <w:r w:rsidRPr="006901FD">
              <w:rPr>
                <w:rStyle w:val="Hyperlink"/>
              </w:rPr>
              <w:t>10.6 Conclusion: Proof-of-Concept and Scalability</w:t>
            </w:r>
            <w:r>
              <w:rPr>
                <w:webHidden/>
              </w:rPr>
              <w:tab/>
            </w:r>
            <w:r>
              <w:rPr>
                <w:webHidden/>
              </w:rPr>
              <w:fldChar w:fldCharType="begin"/>
            </w:r>
            <w:r>
              <w:rPr>
                <w:webHidden/>
              </w:rPr>
              <w:instrText xml:space="preserve"> PAGEREF _Toc218629312 \h </w:instrText>
            </w:r>
            <w:r>
              <w:rPr>
                <w:webHidden/>
              </w:rPr>
            </w:r>
            <w:r>
              <w:rPr>
                <w:webHidden/>
              </w:rPr>
              <w:fldChar w:fldCharType="separate"/>
            </w:r>
            <w:r>
              <w:rPr>
                <w:webHidden/>
              </w:rPr>
              <w:t>74</w:t>
            </w:r>
            <w:r>
              <w:rPr>
                <w:webHidden/>
              </w:rPr>
              <w:fldChar w:fldCharType="end"/>
            </w:r>
          </w:hyperlink>
        </w:p>
        <w:p w14:paraId="0E5E8E32" w14:textId="0D2031B4" w:rsidR="007C1450" w:rsidRDefault="007C1450">
          <w:pPr>
            <w:pStyle w:val="TOC1"/>
            <w:tabs>
              <w:tab w:val="right" w:leader="dot" w:pos="9016"/>
            </w:tabs>
            <w:rPr>
              <w:rFonts w:eastAsiaTheme="minorEastAsia"/>
              <w:noProof/>
              <w:sz w:val="24"/>
              <w:szCs w:val="24"/>
              <w:lang w:eastAsia="en-GB"/>
            </w:rPr>
          </w:pPr>
          <w:hyperlink w:anchor="_Toc218629313" w:history="1">
            <w:r w:rsidRPr="006901F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_Toc218629313 \h </w:instrText>
            </w:r>
            <w:r>
              <w:rPr>
                <w:noProof/>
                <w:webHidden/>
              </w:rPr>
            </w:r>
            <w:r>
              <w:rPr>
                <w:noProof/>
                <w:webHidden/>
              </w:rPr>
              <w:fldChar w:fldCharType="separate"/>
            </w:r>
            <w:r>
              <w:rPr>
                <w:noProof/>
                <w:webHidden/>
              </w:rPr>
              <w:t>74</w:t>
            </w:r>
            <w:r>
              <w:rPr>
                <w:noProof/>
                <w:webHidden/>
              </w:rPr>
              <w:fldChar w:fldCharType="end"/>
            </w:r>
          </w:hyperlink>
        </w:p>
        <w:p w14:paraId="5C81CD56" w14:textId="7D456ECF" w:rsidR="007C1450" w:rsidRDefault="007C1450">
          <w:pPr>
            <w:pStyle w:val="TOC1"/>
            <w:tabs>
              <w:tab w:val="right" w:leader="dot" w:pos="9016"/>
            </w:tabs>
            <w:rPr>
              <w:rFonts w:eastAsiaTheme="minorEastAsia"/>
              <w:noProof/>
              <w:sz w:val="24"/>
              <w:szCs w:val="24"/>
              <w:lang w:eastAsia="en-GB"/>
            </w:rPr>
          </w:pPr>
          <w:hyperlink w:anchor="_Toc218629314" w:history="1">
            <w:r w:rsidRPr="006901FD">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_Toc218629314 \h </w:instrText>
            </w:r>
            <w:r>
              <w:rPr>
                <w:noProof/>
                <w:webHidden/>
              </w:rPr>
            </w:r>
            <w:r>
              <w:rPr>
                <w:noProof/>
                <w:webHidden/>
              </w:rPr>
              <w:fldChar w:fldCharType="separate"/>
            </w:r>
            <w:r>
              <w:rPr>
                <w:noProof/>
                <w:webHidden/>
              </w:rPr>
              <w:t>80</w:t>
            </w:r>
            <w:r>
              <w:rPr>
                <w:noProof/>
                <w:webHidden/>
              </w:rPr>
              <w:fldChar w:fldCharType="end"/>
            </w:r>
          </w:hyperlink>
        </w:p>
        <w:p w14:paraId="7AAF34C9" w14:textId="31ED979D" w:rsidR="007C1450" w:rsidRDefault="007C1450">
          <w:pPr>
            <w:pStyle w:val="TOC2"/>
            <w:rPr>
              <w:rFonts w:asciiTheme="minorHAnsi" w:eastAsiaTheme="minorEastAsia" w:hAnsiTheme="minorHAnsi" w:cstheme="minorBidi"/>
              <w:sz w:val="24"/>
              <w:szCs w:val="24"/>
              <w:lang w:eastAsia="en-GB"/>
            </w:rPr>
          </w:pPr>
          <w:hyperlink w:anchor="_Toc218629315" w:history="1">
            <w:r w:rsidRPr="006901FD">
              <w:rPr>
                <w:rStyle w:val="Hyperlink"/>
              </w:rPr>
              <w:t>Appendix A: Site Layout and Facility Plans</w:t>
            </w:r>
            <w:r>
              <w:rPr>
                <w:webHidden/>
              </w:rPr>
              <w:tab/>
            </w:r>
            <w:r>
              <w:rPr>
                <w:webHidden/>
              </w:rPr>
              <w:fldChar w:fldCharType="begin"/>
            </w:r>
            <w:r>
              <w:rPr>
                <w:webHidden/>
              </w:rPr>
              <w:instrText xml:space="preserve"> PAGEREF _Toc218629315 \h </w:instrText>
            </w:r>
            <w:r>
              <w:rPr>
                <w:webHidden/>
              </w:rPr>
            </w:r>
            <w:r>
              <w:rPr>
                <w:webHidden/>
              </w:rPr>
              <w:fldChar w:fldCharType="separate"/>
            </w:r>
            <w:r>
              <w:rPr>
                <w:webHidden/>
              </w:rPr>
              <w:t>80</w:t>
            </w:r>
            <w:r>
              <w:rPr>
                <w:webHidden/>
              </w:rPr>
              <w:fldChar w:fldCharType="end"/>
            </w:r>
          </w:hyperlink>
        </w:p>
        <w:p w14:paraId="2E88FF8D" w14:textId="1FA974B5" w:rsidR="007C1450" w:rsidRDefault="007C1450">
          <w:pPr>
            <w:pStyle w:val="TOC2"/>
            <w:rPr>
              <w:rFonts w:asciiTheme="minorHAnsi" w:eastAsiaTheme="minorEastAsia" w:hAnsiTheme="minorHAnsi" w:cstheme="minorBidi"/>
              <w:sz w:val="24"/>
              <w:szCs w:val="24"/>
              <w:lang w:eastAsia="en-GB"/>
            </w:rPr>
          </w:pPr>
          <w:hyperlink w:anchor="_Toc218629316" w:history="1">
            <w:r w:rsidRPr="006901FD">
              <w:rPr>
                <w:rStyle w:val="Hyperlink"/>
              </w:rPr>
              <w:t>Appendix B: Secondary Market Research Data Sources</w:t>
            </w:r>
            <w:r>
              <w:rPr>
                <w:webHidden/>
              </w:rPr>
              <w:tab/>
            </w:r>
            <w:r>
              <w:rPr>
                <w:webHidden/>
              </w:rPr>
              <w:fldChar w:fldCharType="begin"/>
            </w:r>
            <w:r>
              <w:rPr>
                <w:webHidden/>
              </w:rPr>
              <w:instrText xml:space="preserve"> PAGEREF _Toc218629316 \h </w:instrText>
            </w:r>
            <w:r>
              <w:rPr>
                <w:webHidden/>
              </w:rPr>
            </w:r>
            <w:r>
              <w:rPr>
                <w:webHidden/>
              </w:rPr>
              <w:fldChar w:fldCharType="separate"/>
            </w:r>
            <w:r>
              <w:rPr>
                <w:webHidden/>
              </w:rPr>
              <w:t>81</w:t>
            </w:r>
            <w:r>
              <w:rPr>
                <w:webHidden/>
              </w:rPr>
              <w:fldChar w:fldCharType="end"/>
            </w:r>
          </w:hyperlink>
        </w:p>
        <w:p w14:paraId="58C099DD" w14:textId="690787A2" w:rsidR="007C1450" w:rsidRDefault="007C1450">
          <w:pPr>
            <w:pStyle w:val="TOC2"/>
            <w:rPr>
              <w:rFonts w:asciiTheme="minorHAnsi" w:eastAsiaTheme="minorEastAsia" w:hAnsiTheme="minorHAnsi" w:cstheme="minorBidi"/>
              <w:sz w:val="24"/>
              <w:szCs w:val="24"/>
              <w:lang w:eastAsia="en-GB"/>
            </w:rPr>
          </w:pPr>
          <w:hyperlink w:anchor="_Toc218629317" w:history="1">
            <w:r w:rsidRPr="006901FD">
              <w:rPr>
                <w:rStyle w:val="Hyperlink"/>
              </w:rPr>
              <w:t>Appendix C: Customer Journey and Conversion Funnel</w:t>
            </w:r>
            <w:r>
              <w:rPr>
                <w:webHidden/>
              </w:rPr>
              <w:tab/>
            </w:r>
            <w:r>
              <w:rPr>
                <w:webHidden/>
              </w:rPr>
              <w:fldChar w:fldCharType="begin"/>
            </w:r>
            <w:r>
              <w:rPr>
                <w:webHidden/>
              </w:rPr>
              <w:instrText xml:space="preserve"> PAGEREF _Toc218629317 \h </w:instrText>
            </w:r>
            <w:r>
              <w:rPr>
                <w:webHidden/>
              </w:rPr>
            </w:r>
            <w:r>
              <w:rPr>
                <w:webHidden/>
              </w:rPr>
              <w:fldChar w:fldCharType="separate"/>
            </w:r>
            <w:r>
              <w:rPr>
                <w:webHidden/>
              </w:rPr>
              <w:t>82</w:t>
            </w:r>
            <w:r>
              <w:rPr>
                <w:webHidden/>
              </w:rPr>
              <w:fldChar w:fldCharType="end"/>
            </w:r>
          </w:hyperlink>
        </w:p>
        <w:p w14:paraId="6FDBA4B9" w14:textId="3EB4D4E3" w:rsidR="007C1450" w:rsidRDefault="007C1450">
          <w:pPr>
            <w:pStyle w:val="TOC2"/>
            <w:rPr>
              <w:rFonts w:asciiTheme="minorHAnsi" w:eastAsiaTheme="minorEastAsia" w:hAnsiTheme="minorHAnsi" w:cstheme="minorBidi"/>
              <w:sz w:val="24"/>
              <w:szCs w:val="24"/>
              <w:lang w:eastAsia="en-GB"/>
            </w:rPr>
          </w:pPr>
          <w:hyperlink w:anchor="_Toc218629318" w:history="1">
            <w:r w:rsidRPr="006901FD">
              <w:rPr>
                <w:rStyle w:val="Hyperlink"/>
              </w:rPr>
              <w:t>Appendix D: Monthly Cash Flow Projections (Years 1–3)</w:t>
            </w:r>
            <w:r>
              <w:rPr>
                <w:webHidden/>
              </w:rPr>
              <w:tab/>
            </w:r>
            <w:r>
              <w:rPr>
                <w:webHidden/>
              </w:rPr>
              <w:fldChar w:fldCharType="begin"/>
            </w:r>
            <w:r>
              <w:rPr>
                <w:webHidden/>
              </w:rPr>
              <w:instrText xml:space="preserve"> PAGEREF _Toc218629318 \h </w:instrText>
            </w:r>
            <w:r>
              <w:rPr>
                <w:webHidden/>
              </w:rPr>
            </w:r>
            <w:r>
              <w:rPr>
                <w:webHidden/>
              </w:rPr>
              <w:fldChar w:fldCharType="separate"/>
            </w:r>
            <w:r>
              <w:rPr>
                <w:webHidden/>
              </w:rPr>
              <w:t>84</w:t>
            </w:r>
            <w:r>
              <w:rPr>
                <w:webHidden/>
              </w:rPr>
              <w:fldChar w:fldCharType="end"/>
            </w:r>
          </w:hyperlink>
        </w:p>
        <w:p w14:paraId="584B4D8F" w14:textId="591E75AB" w:rsidR="007C1450" w:rsidRDefault="007C1450">
          <w:pPr>
            <w:pStyle w:val="TOC2"/>
            <w:rPr>
              <w:rFonts w:asciiTheme="minorHAnsi" w:eastAsiaTheme="minorEastAsia" w:hAnsiTheme="minorHAnsi" w:cstheme="minorBidi"/>
              <w:sz w:val="24"/>
              <w:szCs w:val="24"/>
              <w:lang w:eastAsia="en-GB"/>
            </w:rPr>
          </w:pPr>
          <w:hyperlink w:anchor="_Toc218629319" w:history="1">
            <w:r w:rsidRPr="006901FD">
              <w:rPr>
                <w:rStyle w:val="Hyperlink"/>
              </w:rPr>
              <w:t>Appendix E: Financial Statements</w:t>
            </w:r>
            <w:r>
              <w:rPr>
                <w:webHidden/>
              </w:rPr>
              <w:tab/>
            </w:r>
            <w:r>
              <w:rPr>
                <w:webHidden/>
              </w:rPr>
              <w:fldChar w:fldCharType="begin"/>
            </w:r>
            <w:r>
              <w:rPr>
                <w:webHidden/>
              </w:rPr>
              <w:instrText xml:space="preserve"> PAGEREF _Toc218629319 \h </w:instrText>
            </w:r>
            <w:r>
              <w:rPr>
                <w:webHidden/>
              </w:rPr>
            </w:r>
            <w:r>
              <w:rPr>
                <w:webHidden/>
              </w:rPr>
              <w:fldChar w:fldCharType="separate"/>
            </w:r>
            <w:r>
              <w:rPr>
                <w:webHidden/>
              </w:rPr>
              <w:t>86</w:t>
            </w:r>
            <w:r>
              <w:rPr>
                <w:webHidden/>
              </w:rPr>
              <w:fldChar w:fldCharType="end"/>
            </w:r>
          </w:hyperlink>
        </w:p>
        <w:p w14:paraId="5BEB46A2" w14:textId="7296F10E" w:rsidR="007C1450" w:rsidRDefault="007C1450">
          <w:pPr>
            <w:pStyle w:val="TOC2"/>
            <w:rPr>
              <w:rFonts w:asciiTheme="minorHAnsi" w:eastAsiaTheme="minorEastAsia" w:hAnsiTheme="minorHAnsi" w:cstheme="minorBidi"/>
              <w:sz w:val="24"/>
              <w:szCs w:val="24"/>
              <w:lang w:eastAsia="en-GB"/>
            </w:rPr>
          </w:pPr>
          <w:hyperlink w:anchor="_Toc218629320" w:history="1">
            <w:r w:rsidRPr="006901FD">
              <w:rPr>
                <w:rStyle w:val="Hyperlink"/>
              </w:rPr>
              <w:t>Appendix F: Compliance and Regulatory Documentation</w:t>
            </w:r>
            <w:r>
              <w:rPr>
                <w:webHidden/>
              </w:rPr>
              <w:tab/>
            </w:r>
            <w:r>
              <w:rPr>
                <w:webHidden/>
              </w:rPr>
              <w:fldChar w:fldCharType="begin"/>
            </w:r>
            <w:r>
              <w:rPr>
                <w:webHidden/>
              </w:rPr>
              <w:instrText xml:space="preserve"> PAGEREF _Toc218629320 \h </w:instrText>
            </w:r>
            <w:r>
              <w:rPr>
                <w:webHidden/>
              </w:rPr>
            </w:r>
            <w:r>
              <w:rPr>
                <w:webHidden/>
              </w:rPr>
              <w:fldChar w:fldCharType="separate"/>
            </w:r>
            <w:r>
              <w:rPr>
                <w:webHidden/>
              </w:rPr>
              <w:t>89</w:t>
            </w:r>
            <w:r>
              <w:rPr>
                <w:webHidden/>
              </w:rPr>
              <w:fldChar w:fldCharType="end"/>
            </w:r>
          </w:hyperlink>
        </w:p>
        <w:p w14:paraId="77F191B4" w14:textId="6C018CF7" w:rsidR="00971382" w:rsidRPr="005F4218" w:rsidRDefault="004C424C" w:rsidP="005F4218">
          <w:pPr>
            <w:spacing w:line="360" w:lineRule="auto"/>
            <w:rPr>
              <w:rFonts w:ascii="Arial" w:hAnsi="Arial" w:cs="Arial"/>
            </w:rPr>
          </w:pPr>
          <w:r w:rsidRPr="00390868">
            <w:rPr>
              <w:rFonts w:ascii="Arial" w:hAnsi="Arial" w:cs="Arial"/>
              <w:b/>
              <w:bCs/>
              <w:noProof/>
            </w:rPr>
            <w:fldChar w:fldCharType="end"/>
          </w:r>
        </w:p>
      </w:sdtContent>
    </w:sdt>
    <w:p w14:paraId="4B0CF4E4" w14:textId="7965BEC4" w:rsidR="00971382" w:rsidRPr="00390868" w:rsidRDefault="00390868" w:rsidP="00905241">
      <w:pPr>
        <w:pStyle w:val="Heading1"/>
        <w:spacing w:line="360" w:lineRule="auto"/>
        <w:rPr>
          <w:rFonts w:ascii="Arial" w:hAnsi="Arial" w:cs="Arial"/>
        </w:rPr>
      </w:pPr>
      <w:bookmarkStart w:id="1" w:name="_Toc218629224"/>
      <w:r w:rsidRPr="00390868">
        <w:rPr>
          <w:rFonts w:ascii="Arial" w:hAnsi="Arial" w:cs="Arial"/>
        </w:rPr>
        <w:t xml:space="preserve">1. </w:t>
      </w:r>
      <w:r w:rsidR="00971382" w:rsidRPr="00390868">
        <w:rPr>
          <w:rFonts w:ascii="Arial" w:hAnsi="Arial" w:cs="Arial"/>
        </w:rPr>
        <w:t>Executive Summary</w:t>
      </w:r>
      <w:bookmarkEnd w:id="1"/>
    </w:p>
    <w:p w14:paraId="4B1BB315" w14:textId="77777777" w:rsidR="00971382" w:rsidRPr="00971382" w:rsidRDefault="00971382" w:rsidP="00905241">
      <w:pPr>
        <w:spacing w:line="360" w:lineRule="auto"/>
        <w:rPr>
          <w:rFonts w:ascii="Arial" w:hAnsi="Arial" w:cs="Arial"/>
        </w:rPr>
      </w:pPr>
      <w:r w:rsidRPr="00971382">
        <w:rPr>
          <w:rFonts w:ascii="Arial" w:hAnsi="Arial" w:cs="Arial"/>
        </w:rPr>
        <w:t>The UK automotive aftercare sector is structurally resilient yet operationally fragmented. While demand is sustained by statutory MOT requirements, vehicle ageing, and rising repair complexity, service provision remains dominated by small, single-function garages that force customers to coordinate multiple visits across different locations. This fragmentation imposes significant time, trust, and coordination costs on motorists and constrains service quality, transparency, and efficiency. 1 STATION Ltd is designed to address this structural inefficiency through the development of a single-site, integrated automotive service estate in Sandwell, West Midlands.</w:t>
      </w:r>
    </w:p>
    <w:p w14:paraId="00B207D2" w14:textId="77777777" w:rsidR="00971382" w:rsidRPr="00971382" w:rsidRDefault="00971382" w:rsidP="00905241">
      <w:pPr>
        <w:spacing w:line="360" w:lineRule="auto"/>
        <w:rPr>
          <w:rFonts w:ascii="Arial" w:hAnsi="Arial" w:cs="Arial"/>
        </w:rPr>
      </w:pPr>
      <w:r w:rsidRPr="00971382">
        <w:rPr>
          <w:rFonts w:ascii="Arial" w:hAnsi="Arial" w:cs="Arial"/>
        </w:rPr>
        <w:lastRenderedPageBreak/>
        <w:t>1 STATION Ltd proposes a 30,000–40,000 sq. ft. estate-based operating model that co-locates eight specialist automotive service units within one controlled-access site: MOT testing, mechanical servicing and diagnostics, auto-electrical services, EV and hybrid servicing, bodywork and respray, tyre fitting and alignment, wash and detailing, and vehicle tinting. All services are coordinated through a unified digital booking, workflow, and CRM system, enabling customers to complete multiple automotive needs in a single visit under transparent, fixed-price authorisation. This model directly reduces customer coordination costs while increasing operational efficiency and revenue capture.</w:t>
      </w:r>
    </w:p>
    <w:p w14:paraId="48E2B8F0" w14:textId="77777777" w:rsidR="00971382" w:rsidRPr="00971382" w:rsidRDefault="00971382" w:rsidP="00905241">
      <w:pPr>
        <w:spacing w:line="360" w:lineRule="auto"/>
        <w:rPr>
          <w:rFonts w:ascii="Arial" w:hAnsi="Arial" w:cs="Arial"/>
        </w:rPr>
      </w:pPr>
      <w:r w:rsidRPr="00971382">
        <w:rPr>
          <w:rFonts w:ascii="Arial" w:hAnsi="Arial" w:cs="Arial"/>
        </w:rPr>
        <w:t>The strategic logic of the project is capacity-led rather than demand-led. Market analysis confirms that demand for automotive aftercare in Sandwell is stable and non-discretionary, driven primarily by MOT compliance and routine maintenance. However, the commercial success of 1 STATION Ltd depends not on capturing market share through price competition, but on converting existing demand more efficiently through service bundling, workflow integration, and repeat visitation. Consequently, revenue growth is modelled as a function of estate utilisation, technician productivity, and cross-service conversion rather than aggressive pricing or speculative expansion.</w:t>
      </w:r>
    </w:p>
    <w:p w14:paraId="3CDDAB20" w14:textId="155F7306" w:rsidR="00971382" w:rsidRPr="00971382" w:rsidRDefault="00971382" w:rsidP="00905241">
      <w:pPr>
        <w:spacing w:line="360" w:lineRule="auto"/>
        <w:rPr>
          <w:rFonts w:ascii="Arial" w:hAnsi="Arial" w:cs="Arial"/>
        </w:rPr>
      </w:pPr>
      <w:r w:rsidRPr="00971382">
        <w:rPr>
          <w:rFonts w:ascii="Arial" w:hAnsi="Arial" w:cs="Arial"/>
        </w:rPr>
        <w:t xml:space="preserve">Operational execution is deliberately regulatory-first and phased. The estate is designed from inception to meet DVSA, HSE, environmental, and data protection requirements, with physical separation of high-risk activities such as EV servicing and paint operations. Implementation is structured across three controlled phases: a six-month pre-revenue setup focused on compliance and system readiness; a three-month controlled activation phase operating a </w:t>
      </w:r>
      <w:r w:rsidR="00703CD4" w:rsidRPr="00971382">
        <w:rPr>
          <w:rFonts w:ascii="Arial" w:hAnsi="Arial" w:cs="Arial"/>
        </w:rPr>
        <w:t>limited-service</w:t>
      </w:r>
      <w:r w:rsidRPr="00971382">
        <w:rPr>
          <w:rFonts w:ascii="Arial" w:hAnsi="Arial" w:cs="Arial"/>
        </w:rPr>
        <w:t xml:space="preserve"> set; and full estate activation from Month 10 onward. Capacity, staffing, and marketing intensity are released only when predefined utilisation, quality, and cash-flow thresholds are met, ensuring that scale follows control rather than optimism.</w:t>
      </w:r>
    </w:p>
    <w:p w14:paraId="1EFACB0F" w14:textId="77777777" w:rsidR="00971382" w:rsidRPr="00971382" w:rsidRDefault="00971382" w:rsidP="00905241">
      <w:pPr>
        <w:spacing w:line="360" w:lineRule="auto"/>
        <w:rPr>
          <w:rFonts w:ascii="Arial" w:hAnsi="Arial" w:cs="Arial"/>
        </w:rPr>
      </w:pPr>
      <w:r w:rsidRPr="00971382">
        <w:rPr>
          <w:rFonts w:ascii="Arial" w:hAnsi="Arial" w:cs="Arial"/>
        </w:rPr>
        <w:t>Human capital is treated as a strategic constraint rather than a variable input. The estate’s steady-state workforce of approximately 32 full-time employees is structured around technical specialisation supported by targeted cross-skilling to reduce bottlenecks and dependency risk. Recruitment and training are phased in line with operational activation, with EV and diagnostic capabilities expanded only once demand and utilisation justify the additional cost. This approach mitigates sector-wide skills shortages while protecting early-stage liquidity.</w:t>
      </w:r>
    </w:p>
    <w:p w14:paraId="164CCF86" w14:textId="2069458A" w:rsidR="00971382" w:rsidRPr="00971382" w:rsidRDefault="00971382" w:rsidP="00905241">
      <w:pPr>
        <w:spacing w:line="360" w:lineRule="auto"/>
        <w:rPr>
          <w:rFonts w:ascii="Arial" w:hAnsi="Arial" w:cs="Arial"/>
        </w:rPr>
      </w:pPr>
      <w:r w:rsidRPr="00971382">
        <w:rPr>
          <w:rFonts w:ascii="Arial" w:hAnsi="Arial" w:cs="Arial"/>
        </w:rPr>
        <w:t xml:space="preserve">The financial model reflects the asset- and labour-intensive nature of the estate. Total start-up funding required is approximately £950,000, comprising capital expenditure for fit-out, specialist equipment, and digital systems, alongside a working capital buffer to absorb pre-revenue burn and early trading volatility. The cost structure is characterised by high fixed </w:t>
      </w:r>
      <w:r w:rsidRPr="00971382">
        <w:rPr>
          <w:rFonts w:ascii="Arial" w:hAnsi="Arial" w:cs="Arial"/>
        </w:rPr>
        <w:lastRenderedPageBreak/>
        <w:t xml:space="preserve">costs, making utilisation discipline critical. Break-even is achieved at moderate estate utilisation rather than full capacity, after which incremental revenue contributes strongly to EBITDA due to a high contribution margin. The five-year forecast demonstrates a credible transition from start-up losses to sustainable profitability as operational stability and </w:t>
      </w:r>
      <w:r w:rsidR="00703CD4" w:rsidRPr="00971382">
        <w:rPr>
          <w:rFonts w:ascii="Arial" w:hAnsi="Arial" w:cs="Arial"/>
        </w:rPr>
        <w:t>repeats</w:t>
      </w:r>
      <w:r w:rsidRPr="00971382">
        <w:rPr>
          <w:rFonts w:ascii="Arial" w:hAnsi="Arial" w:cs="Arial"/>
        </w:rPr>
        <w:t xml:space="preserve"> demand </w:t>
      </w:r>
      <w:r w:rsidR="00703CD4" w:rsidRPr="00971382">
        <w:rPr>
          <w:rFonts w:ascii="Arial" w:hAnsi="Arial" w:cs="Arial"/>
        </w:rPr>
        <w:t>is</w:t>
      </w:r>
      <w:r w:rsidRPr="00971382">
        <w:rPr>
          <w:rFonts w:ascii="Arial" w:hAnsi="Arial" w:cs="Arial"/>
        </w:rPr>
        <w:t xml:space="preserve"> established.</w:t>
      </w:r>
    </w:p>
    <w:p w14:paraId="1BC20FB0" w14:textId="77777777" w:rsidR="00971382" w:rsidRPr="00971382" w:rsidRDefault="00971382" w:rsidP="00905241">
      <w:pPr>
        <w:spacing w:line="360" w:lineRule="auto"/>
        <w:rPr>
          <w:rFonts w:ascii="Arial" w:hAnsi="Arial" w:cs="Arial"/>
        </w:rPr>
      </w:pPr>
      <w:r w:rsidRPr="00971382">
        <w:rPr>
          <w:rFonts w:ascii="Arial" w:hAnsi="Arial" w:cs="Arial"/>
        </w:rPr>
        <w:t>Risk management is embedded through design rather than treated as an afterthought. The principal risks facing 1 STATION Ltd—under-utilisation, labour scarcity, operational complexity, regulatory compliance, and early-stage liquidity—are structural and endogenous. They are addressed through phased activation, asset-backed financing, conservative pricing assumptions, and trigger-based governance controls. Importantly, the plan deliberately excludes multi-site expansion within the forecast period, preventing compounding execution risk before the flagship estate reaches maturity.</w:t>
      </w:r>
    </w:p>
    <w:p w14:paraId="59BB10FE" w14:textId="2A7D485F" w:rsidR="00772E52" w:rsidRPr="00390868" w:rsidRDefault="00971382" w:rsidP="00703CD4">
      <w:pPr>
        <w:spacing w:line="360" w:lineRule="auto"/>
        <w:rPr>
          <w:rFonts w:ascii="Arial" w:hAnsi="Arial" w:cs="Arial"/>
        </w:rPr>
      </w:pPr>
      <w:r w:rsidRPr="00971382">
        <w:rPr>
          <w:rFonts w:ascii="Arial" w:hAnsi="Arial" w:cs="Arial"/>
        </w:rPr>
        <w:t>In summary, 1 STATION Ltd is not a conventional garage start-up, but a systemised automotive service platform designed for control, compliance, and scalable efficiency. By integrating multiple services within a single, professionally governed estate, the business converts an industry weakness—fragmentation—into a defensible competitive advantage. The project’s strength lies not in aspirational growth claims, but in disciplined execution, capacity-led economics, and a clearly defined path from launch to sustainable operation.</w:t>
      </w:r>
    </w:p>
    <w:p w14:paraId="1D8A7001" w14:textId="2BEA61EA" w:rsidR="0061272F" w:rsidRPr="00390868" w:rsidRDefault="0061272F" w:rsidP="00905241">
      <w:pPr>
        <w:pStyle w:val="Heading1"/>
        <w:spacing w:line="360" w:lineRule="auto"/>
        <w:rPr>
          <w:rFonts w:ascii="Arial" w:hAnsi="Arial" w:cs="Arial"/>
          <w:sz w:val="36"/>
          <w:szCs w:val="36"/>
        </w:rPr>
      </w:pPr>
      <w:bookmarkStart w:id="2" w:name="_Toc218629225"/>
      <w:r w:rsidRPr="00390868">
        <w:rPr>
          <w:rFonts w:ascii="Arial" w:hAnsi="Arial" w:cs="Arial"/>
          <w:sz w:val="36"/>
          <w:szCs w:val="36"/>
        </w:rPr>
        <w:t>2. Company Description – 1 STATION Ltd</w:t>
      </w:r>
      <w:bookmarkEnd w:id="0"/>
      <w:bookmarkEnd w:id="2"/>
    </w:p>
    <w:p w14:paraId="62F79680" w14:textId="77777777" w:rsidR="0061272F" w:rsidRDefault="0061272F" w:rsidP="00905241">
      <w:pPr>
        <w:pStyle w:val="Heading2"/>
        <w:spacing w:line="360" w:lineRule="auto"/>
        <w:rPr>
          <w:rFonts w:ascii="Arial" w:hAnsi="Arial" w:cs="Arial"/>
        </w:rPr>
      </w:pPr>
      <w:bookmarkStart w:id="3" w:name="_Toc217830816"/>
      <w:bookmarkStart w:id="4" w:name="_Toc218629226"/>
      <w:r w:rsidRPr="00390868">
        <w:rPr>
          <w:rFonts w:ascii="Arial" w:hAnsi="Arial" w:cs="Arial"/>
        </w:rPr>
        <w:t>2.1 Brand Identity and Strategic Positioning</w:t>
      </w:r>
      <w:bookmarkEnd w:id="3"/>
      <w:bookmarkEnd w:id="4"/>
    </w:p>
    <w:p w14:paraId="1EF93242" w14:textId="77777777" w:rsidR="0085148C" w:rsidRPr="0085148C" w:rsidRDefault="0085148C" w:rsidP="0085148C">
      <w:pPr>
        <w:rPr>
          <w:rFonts w:ascii="Arial" w:hAnsi="Arial" w:cs="Arial"/>
        </w:rPr>
      </w:pPr>
      <w:r w:rsidRPr="0085148C">
        <w:rPr>
          <w:rFonts w:ascii="Arial" w:hAnsi="Arial" w:cs="Arial"/>
        </w:rPr>
        <w:t>Figure 2.1: 1 STATION Company Logo</w:t>
      </w:r>
    </w:p>
    <w:p w14:paraId="4C0367DF" w14:textId="1F08398D" w:rsidR="0085148C" w:rsidRPr="0085148C" w:rsidRDefault="0085148C" w:rsidP="0085148C">
      <w:pPr>
        <w:spacing w:line="360" w:lineRule="auto"/>
        <w:rPr>
          <w:rFonts w:ascii="Arial" w:hAnsi="Arial" w:cs="Arial"/>
          <w:i/>
          <w:iCs/>
        </w:rPr>
      </w:pPr>
      <w:r w:rsidRPr="00390868">
        <w:rPr>
          <w:rFonts w:ascii="Arial" w:hAnsi="Arial" w:cs="Arial"/>
          <w:i/>
          <w:iCs/>
        </w:rPr>
        <w:t>(Source: Author, 2025)</w:t>
      </w:r>
    </w:p>
    <w:p w14:paraId="21D86935" w14:textId="6799B7FE" w:rsidR="0061272F" w:rsidRPr="00390868" w:rsidRDefault="0061272F" w:rsidP="00905241">
      <w:pPr>
        <w:spacing w:line="360" w:lineRule="auto"/>
        <w:rPr>
          <w:rFonts w:ascii="Arial" w:hAnsi="Arial" w:cs="Arial"/>
        </w:rPr>
      </w:pPr>
      <w:r w:rsidRPr="00390868">
        <w:rPr>
          <w:rFonts w:ascii="Arial" w:hAnsi="Arial" w:cs="Arial"/>
          <w:noProof/>
        </w:rPr>
        <w:drawing>
          <wp:inline distT="0" distB="0" distL="0" distR="0" wp14:anchorId="4457FF2A" wp14:editId="7EE4D2E2">
            <wp:extent cx="3243580" cy="2231390"/>
            <wp:effectExtent l="0" t="0" r="0" b="0"/>
            <wp:docPr id="438285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3580" cy="2231390"/>
                    </a:xfrm>
                    <a:prstGeom prst="rect">
                      <a:avLst/>
                    </a:prstGeom>
                    <a:noFill/>
                  </pic:spPr>
                </pic:pic>
              </a:graphicData>
            </a:graphic>
          </wp:inline>
        </w:drawing>
      </w:r>
    </w:p>
    <w:p w14:paraId="336F8596" w14:textId="77777777" w:rsidR="0061272F" w:rsidRPr="00390868" w:rsidRDefault="0061272F" w:rsidP="00905241">
      <w:pPr>
        <w:spacing w:line="360" w:lineRule="auto"/>
        <w:rPr>
          <w:rFonts w:ascii="Arial" w:hAnsi="Arial" w:cs="Arial"/>
        </w:rPr>
      </w:pPr>
      <w:r w:rsidRPr="00390868">
        <w:rPr>
          <w:rFonts w:ascii="Arial" w:hAnsi="Arial" w:cs="Arial"/>
          <w:b/>
          <w:bCs/>
        </w:rPr>
        <w:lastRenderedPageBreak/>
        <w:t>Company Name:</w:t>
      </w:r>
      <w:r w:rsidRPr="00390868">
        <w:rPr>
          <w:rFonts w:ascii="Arial" w:hAnsi="Arial" w:cs="Arial"/>
        </w:rPr>
        <w:t> 1 STATION Ltd</w:t>
      </w:r>
      <w:r w:rsidRPr="00390868">
        <w:rPr>
          <w:rFonts w:ascii="Arial" w:hAnsi="Arial" w:cs="Arial"/>
        </w:rPr>
        <w:br/>
      </w:r>
      <w:r w:rsidRPr="00390868">
        <w:rPr>
          <w:rFonts w:ascii="Arial" w:hAnsi="Arial" w:cs="Arial"/>
          <w:b/>
          <w:bCs/>
        </w:rPr>
        <w:t>Tagline:</w:t>
      </w:r>
      <w:r w:rsidRPr="00390868">
        <w:rPr>
          <w:rFonts w:ascii="Arial" w:hAnsi="Arial" w:cs="Arial"/>
        </w:rPr>
        <w:t> One Stop. Every Solution.</w:t>
      </w:r>
      <w:r w:rsidRPr="00390868">
        <w:rPr>
          <w:rFonts w:ascii="Arial" w:hAnsi="Arial" w:cs="Arial"/>
        </w:rPr>
        <w:br/>
      </w:r>
      <w:r w:rsidRPr="00390868">
        <w:rPr>
          <w:rFonts w:ascii="Arial" w:hAnsi="Arial" w:cs="Arial"/>
          <w:b/>
          <w:bCs/>
        </w:rPr>
        <w:t>Mission:</w:t>
      </w:r>
      <w:r w:rsidRPr="00390868">
        <w:rPr>
          <w:rFonts w:ascii="Arial" w:hAnsi="Arial" w:cs="Arial"/>
        </w:rPr>
        <w:t> To simplify vehicle ownership by delivering all essential automotive services within a fully integrated, digitally enabled hub that saves customers time, reduces cost, and guarantees consistent quality.</w:t>
      </w:r>
      <w:r w:rsidRPr="00390868">
        <w:rPr>
          <w:rFonts w:ascii="Arial" w:hAnsi="Arial" w:cs="Arial"/>
        </w:rPr>
        <w:br/>
      </w:r>
      <w:r w:rsidRPr="00390868">
        <w:rPr>
          <w:rFonts w:ascii="Arial" w:hAnsi="Arial" w:cs="Arial"/>
          <w:b/>
          <w:bCs/>
        </w:rPr>
        <w:t>Vision:</w:t>
      </w:r>
      <w:r w:rsidRPr="00390868">
        <w:rPr>
          <w:rFonts w:ascii="Arial" w:hAnsi="Arial" w:cs="Arial"/>
        </w:rPr>
        <w:t> To become the UK’s most trusted multi-service automotive brand and a national benchmark for convenience, transparency, and sustainability in vehicle care by 2030.</w:t>
      </w:r>
      <w:r w:rsidRPr="00390868">
        <w:rPr>
          <w:rFonts w:ascii="Arial" w:hAnsi="Arial" w:cs="Arial"/>
        </w:rPr>
        <w:br/>
      </w:r>
      <w:r w:rsidRPr="00390868">
        <w:rPr>
          <w:rFonts w:ascii="Arial" w:hAnsi="Arial" w:cs="Arial"/>
          <w:b/>
          <w:bCs/>
        </w:rPr>
        <w:t>Core Values:</w:t>
      </w:r>
      <w:r w:rsidRPr="00390868">
        <w:rPr>
          <w:rFonts w:ascii="Arial" w:hAnsi="Arial" w:cs="Arial"/>
        </w:rPr>
        <w:t> Customer-first experience; Technical excellence; Transparent, fixed-price clarity; Environmental responsibility; Commitment to local employment and skills development.</w:t>
      </w:r>
    </w:p>
    <w:p w14:paraId="5864A03C" w14:textId="77777777" w:rsidR="0061272F" w:rsidRPr="00390868" w:rsidRDefault="0061272F" w:rsidP="00905241">
      <w:pPr>
        <w:spacing w:line="360" w:lineRule="auto"/>
        <w:rPr>
          <w:rFonts w:ascii="Arial" w:hAnsi="Arial" w:cs="Arial"/>
        </w:rPr>
      </w:pPr>
      <w:r w:rsidRPr="00390868">
        <w:rPr>
          <w:rFonts w:ascii="Arial" w:hAnsi="Arial" w:cs="Arial"/>
        </w:rPr>
        <w:t>1 STATION Ltd is a disruptive new entrant to the UK automotive aftermarket, founded on a clear consumer demand: 71% of UK drivers prefer a one-stop automotive solution, and 68% would switch providers for clearer pricing and digital booking (Mintel, 2024; PwC, 2024). We directly challenge the traditional, fragmented model by consolidating mechanical repairs, MOT testing, bodywork, EV servicing, and more within a single, customer-centric estate. Our flagship site will launch in Sandwell, West Midlands—a strategic location characterised by high vehicle density (136,830 licensed cars) and a service market dominated by small, single-service independents (NimbleFins, 2023). The brand and operating model are designed for scalability from inception, utilizing standardized processes and integrated technology to enable efficient regional replication.</w:t>
      </w:r>
    </w:p>
    <w:p w14:paraId="27640859" w14:textId="77777777" w:rsidR="0061272F" w:rsidRPr="00390868" w:rsidRDefault="0061272F" w:rsidP="00905241">
      <w:pPr>
        <w:pStyle w:val="Heading2"/>
        <w:spacing w:line="360" w:lineRule="auto"/>
        <w:rPr>
          <w:rFonts w:ascii="Arial" w:hAnsi="Arial" w:cs="Arial"/>
        </w:rPr>
      </w:pPr>
      <w:bookmarkStart w:id="5" w:name="_Toc217830817"/>
      <w:bookmarkStart w:id="6" w:name="_Toc218629227"/>
      <w:r w:rsidRPr="00390868">
        <w:rPr>
          <w:rFonts w:ascii="Arial" w:hAnsi="Arial" w:cs="Arial"/>
        </w:rPr>
        <w:t>2.2 Legal Structure and Governance</w:t>
      </w:r>
      <w:bookmarkEnd w:id="5"/>
      <w:bookmarkEnd w:id="6"/>
    </w:p>
    <w:p w14:paraId="43A0FD0C" w14:textId="731DC426" w:rsidR="0061272F" w:rsidRPr="00390868" w:rsidRDefault="00AF3D2D" w:rsidP="00905241">
      <w:pPr>
        <w:spacing w:line="360" w:lineRule="auto"/>
        <w:rPr>
          <w:rFonts w:ascii="Arial" w:hAnsi="Arial" w:cs="Arial"/>
        </w:rPr>
      </w:pPr>
      <w:r w:rsidRPr="00AF3D2D">
        <w:rPr>
          <w:rFonts w:ascii="Arial" w:hAnsi="Arial" w:cs="Arial"/>
        </w:rPr>
        <w:t>1 STATION Ltd will be established as a Private Limited Company (Ltd) in accordance with the Companies Act 2006.</w:t>
      </w:r>
      <w:r w:rsidR="0061272F" w:rsidRPr="00390868">
        <w:rPr>
          <w:rFonts w:ascii="Arial" w:hAnsi="Arial" w:cs="Arial"/>
        </w:rPr>
        <w:t xml:space="preserve"> This structure is the professional norm within the UK automotive sector, providing legal separation between the business and its founder while enhancing credibility with insurers, fleet clients, landlords, and financial institutions.</w:t>
      </w:r>
    </w:p>
    <w:p w14:paraId="1218907A" w14:textId="77777777" w:rsidR="0061272F" w:rsidRPr="00390868" w:rsidRDefault="0061272F" w:rsidP="00905241">
      <w:pPr>
        <w:spacing w:line="360" w:lineRule="auto"/>
        <w:rPr>
          <w:rFonts w:ascii="Arial" w:hAnsi="Arial" w:cs="Arial"/>
        </w:rPr>
      </w:pPr>
      <w:r w:rsidRPr="00390868">
        <w:rPr>
          <w:rFonts w:ascii="Arial" w:hAnsi="Arial" w:cs="Arial"/>
        </w:rPr>
        <w:t>The Ltd structure is strategically selected to support growth and risk containment. It enables future equity funding through the Seed Enterprise Investment Scheme (SEIS) and Enterprise Investment Scheme (EIS) without complex restructuring, with recent government policy confirming increased qualifying limits from April 2026 (HMRC, 2024). The structure also provides essential ring-fencing for a regulated operation involving DVSA-approved MOT testing, hazardous waste handling, and high-voltage EV systems.</w:t>
      </w:r>
    </w:p>
    <w:p w14:paraId="536B4700" w14:textId="77777777" w:rsidR="0061272F" w:rsidRPr="00390868" w:rsidRDefault="0061272F" w:rsidP="00905241">
      <w:pPr>
        <w:spacing w:line="360" w:lineRule="auto"/>
        <w:rPr>
          <w:rFonts w:ascii="Arial" w:hAnsi="Arial" w:cs="Arial"/>
        </w:rPr>
      </w:pPr>
      <w:r w:rsidRPr="00390868">
        <w:rPr>
          <w:rFonts w:ascii="Arial" w:hAnsi="Arial" w:cs="Arial"/>
        </w:rPr>
        <w:t>Initial share capital will consist of 100 ordinary shares, fully owned by the founder.</w:t>
      </w:r>
    </w:p>
    <w:p w14:paraId="558FAB0F" w14:textId="77777777" w:rsidR="0061272F" w:rsidRPr="00390868" w:rsidRDefault="0061272F" w:rsidP="00905241">
      <w:pPr>
        <w:numPr>
          <w:ilvl w:val="0"/>
          <w:numId w:val="4"/>
        </w:numPr>
        <w:spacing w:line="360" w:lineRule="auto"/>
        <w:rPr>
          <w:rFonts w:ascii="Arial" w:hAnsi="Arial" w:cs="Arial"/>
        </w:rPr>
      </w:pPr>
      <w:r w:rsidRPr="00390868">
        <w:rPr>
          <w:rFonts w:ascii="Arial" w:hAnsi="Arial" w:cs="Arial"/>
          <w:b/>
          <w:bCs/>
        </w:rPr>
        <w:t>Registered Office:</w:t>
      </w:r>
      <w:r w:rsidRPr="00390868">
        <w:rPr>
          <w:rFonts w:ascii="Arial" w:hAnsi="Arial" w:cs="Arial"/>
        </w:rPr>
        <w:t> Sandwell, West Midlands.</w:t>
      </w:r>
    </w:p>
    <w:p w14:paraId="03A2330C" w14:textId="77777777" w:rsidR="0061272F" w:rsidRPr="00390868" w:rsidRDefault="0061272F" w:rsidP="00905241">
      <w:pPr>
        <w:numPr>
          <w:ilvl w:val="0"/>
          <w:numId w:val="4"/>
        </w:numPr>
        <w:spacing w:line="360" w:lineRule="auto"/>
        <w:rPr>
          <w:rFonts w:ascii="Arial" w:hAnsi="Arial" w:cs="Arial"/>
        </w:rPr>
      </w:pPr>
      <w:r w:rsidRPr="00390868">
        <w:rPr>
          <w:rFonts w:ascii="Arial" w:hAnsi="Arial" w:cs="Arial"/>
          <w:b/>
          <w:bCs/>
        </w:rPr>
        <w:lastRenderedPageBreak/>
        <w:t>Governance Compliance:</w:t>
      </w:r>
      <w:r w:rsidRPr="00390868">
        <w:rPr>
          <w:rFonts w:ascii="Arial" w:hAnsi="Arial" w:cs="Arial"/>
        </w:rPr>
        <w:t> The company will adhere to the statutory directors' duties under the Companies Act 2006 (ss. 171-177). While the UK Corporate Governance Code (Financial Reporting Council, 2024) formally applies to listed companies on a 'comply or explain' basis, 1 STATION will apply its core principles of good governance as a benchmark. For data protection, the company will comply fully with the UK General Data Protection Regulation (UK GDPR) and the Data Protection Act 2018.</w:t>
      </w:r>
    </w:p>
    <w:p w14:paraId="008D099D" w14:textId="77777777" w:rsidR="0061272F" w:rsidRPr="00390868" w:rsidRDefault="0061272F" w:rsidP="00905241">
      <w:pPr>
        <w:pStyle w:val="Heading2"/>
        <w:spacing w:line="360" w:lineRule="auto"/>
        <w:rPr>
          <w:rFonts w:ascii="Arial" w:hAnsi="Arial" w:cs="Arial"/>
        </w:rPr>
      </w:pPr>
      <w:bookmarkStart w:id="7" w:name="_Toc217830818"/>
      <w:bookmarkStart w:id="8" w:name="_Toc218629228"/>
      <w:r w:rsidRPr="00390868">
        <w:rPr>
          <w:rFonts w:ascii="Arial" w:hAnsi="Arial" w:cs="Arial"/>
        </w:rPr>
        <w:t>2.3 Founder Insight and Concept Genesis</w:t>
      </w:r>
      <w:bookmarkEnd w:id="7"/>
      <w:bookmarkEnd w:id="8"/>
    </w:p>
    <w:p w14:paraId="15A8FD63" w14:textId="77777777" w:rsidR="0085148C" w:rsidRDefault="00703CD4" w:rsidP="0085148C">
      <w:pPr>
        <w:spacing w:line="360" w:lineRule="auto"/>
        <w:rPr>
          <w:rFonts w:ascii="Arial" w:hAnsi="Arial" w:cs="Arial"/>
        </w:rPr>
      </w:pPr>
      <w:r w:rsidRPr="0085148C">
        <w:rPr>
          <w:rFonts w:ascii="Arial" w:hAnsi="Arial" w:cs="Arial"/>
        </w:rPr>
        <w:t>Figure 2.2: Proposed 1 STATION Site Layout, Sandwell</w:t>
      </w:r>
    </w:p>
    <w:p w14:paraId="3DB66CA1" w14:textId="3E8A4D0E" w:rsidR="0061272F" w:rsidRPr="0085148C" w:rsidRDefault="00953DD0" w:rsidP="0085148C">
      <w:pPr>
        <w:rPr>
          <w:rFonts w:ascii="Arial" w:hAnsi="Arial" w:cs="Arial"/>
        </w:rPr>
      </w:pPr>
      <w:r w:rsidRPr="0085148C">
        <w:rPr>
          <w:rFonts w:ascii="Arial" w:hAnsi="Arial" w:cs="Arial"/>
          <w:i/>
          <w:iCs/>
        </w:rPr>
        <w:t>(Source: Author, 2025)</w:t>
      </w:r>
    </w:p>
    <w:p w14:paraId="1A7236DB" w14:textId="77777777" w:rsidR="0061272F" w:rsidRPr="00390868" w:rsidRDefault="0061272F" w:rsidP="00905241">
      <w:pPr>
        <w:spacing w:line="360" w:lineRule="auto"/>
        <w:rPr>
          <w:rFonts w:ascii="Arial" w:hAnsi="Arial" w:cs="Arial"/>
        </w:rPr>
      </w:pPr>
      <w:r w:rsidRPr="00390868">
        <w:rPr>
          <w:rFonts w:ascii="Arial" w:hAnsi="Arial" w:cs="Arial"/>
          <w:b/>
          <w:bCs/>
          <w:noProof/>
        </w:rPr>
        <w:drawing>
          <wp:anchor distT="0" distB="0" distL="114300" distR="114300" simplePos="0" relativeHeight="251659264" behindDoc="0" locked="0" layoutInCell="1" allowOverlap="1" wp14:anchorId="2B7B2622" wp14:editId="2E72ADE9">
            <wp:simplePos x="0" y="0"/>
            <wp:positionH relativeFrom="column">
              <wp:posOffset>0</wp:posOffset>
            </wp:positionH>
            <wp:positionV relativeFrom="paragraph">
              <wp:posOffset>279400</wp:posOffset>
            </wp:positionV>
            <wp:extent cx="4610100" cy="3072765"/>
            <wp:effectExtent l="0" t="0" r="0" b="0"/>
            <wp:wrapTopAndBottom/>
            <wp:docPr id="142407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72253" name="Picture 1424072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10100" cy="3072765"/>
                    </a:xfrm>
                    <a:prstGeom prst="rect">
                      <a:avLst/>
                    </a:prstGeom>
                  </pic:spPr>
                </pic:pic>
              </a:graphicData>
            </a:graphic>
          </wp:anchor>
        </w:drawing>
      </w:r>
    </w:p>
    <w:p w14:paraId="2AAF30BF" w14:textId="77777777" w:rsidR="0061272F" w:rsidRPr="00390868" w:rsidRDefault="0061272F" w:rsidP="00905241">
      <w:pPr>
        <w:spacing w:line="360" w:lineRule="auto"/>
        <w:rPr>
          <w:rFonts w:ascii="Arial" w:hAnsi="Arial" w:cs="Arial"/>
        </w:rPr>
      </w:pPr>
      <w:r w:rsidRPr="00390868">
        <w:rPr>
          <w:rFonts w:ascii="Arial" w:hAnsi="Arial" w:cs="Arial"/>
        </w:rPr>
        <w:t>The 1 STATION concept emerged from more than seven years of founder experience across used-car sales, bodywork, and accident-repair operations. Repeated customer interactions highlighted a consistent pain point: the inefficiency, uncertainty, and frustration associated with coordinating multiple specialist garages to resolve a single vehicle issue.</w:t>
      </w:r>
    </w:p>
    <w:p w14:paraId="1DEDEA47" w14:textId="77777777" w:rsidR="0061272F" w:rsidRPr="00390868" w:rsidRDefault="0061272F" w:rsidP="00905241">
      <w:pPr>
        <w:spacing w:line="360" w:lineRule="auto"/>
        <w:rPr>
          <w:rFonts w:ascii="Arial" w:hAnsi="Arial" w:cs="Arial"/>
        </w:rPr>
      </w:pPr>
      <w:r w:rsidRPr="00390868">
        <w:rPr>
          <w:rFonts w:ascii="Arial" w:hAnsi="Arial" w:cs="Arial"/>
        </w:rPr>
        <w:t>This experiential insight aligns closely with sector-level evidence and revealed four structural gaps within the aftermarket:</w:t>
      </w:r>
    </w:p>
    <w:p w14:paraId="4B4165EE" w14:textId="77777777" w:rsidR="0061272F" w:rsidRPr="00390868" w:rsidRDefault="0061272F" w:rsidP="00905241">
      <w:pPr>
        <w:numPr>
          <w:ilvl w:val="0"/>
          <w:numId w:val="1"/>
        </w:numPr>
        <w:spacing w:line="360" w:lineRule="auto"/>
        <w:rPr>
          <w:rFonts w:ascii="Arial" w:hAnsi="Arial" w:cs="Arial"/>
        </w:rPr>
      </w:pPr>
      <w:r w:rsidRPr="00390868">
        <w:rPr>
          <w:rFonts w:ascii="Arial" w:hAnsi="Arial" w:cs="Arial"/>
        </w:rPr>
        <w:t>Service Fragmentation: Approximately 90% of UK independent garages specialise in only one or two services, resulting in inconsistent standards and opaque pricing (Mintel, 2024).</w:t>
      </w:r>
    </w:p>
    <w:p w14:paraId="26F047E2" w14:textId="77777777" w:rsidR="0061272F" w:rsidRPr="00390868" w:rsidRDefault="0061272F" w:rsidP="00905241">
      <w:pPr>
        <w:numPr>
          <w:ilvl w:val="0"/>
          <w:numId w:val="1"/>
        </w:numPr>
        <w:spacing w:line="360" w:lineRule="auto"/>
        <w:rPr>
          <w:rFonts w:ascii="Arial" w:hAnsi="Arial" w:cs="Arial"/>
        </w:rPr>
      </w:pPr>
      <w:r w:rsidRPr="00390868">
        <w:rPr>
          <w:rFonts w:ascii="Arial" w:hAnsi="Arial" w:cs="Arial"/>
        </w:rPr>
        <w:lastRenderedPageBreak/>
        <w:t>EV Skills Shortage: Only 6% of UK technicians are certified to work safely on high-voltage EV systems, despite rapid growth in the EV parc (IMI, 2024).</w:t>
      </w:r>
    </w:p>
    <w:p w14:paraId="6B027C92" w14:textId="77777777" w:rsidR="0061272F" w:rsidRPr="00390868" w:rsidRDefault="0061272F" w:rsidP="00905241">
      <w:pPr>
        <w:numPr>
          <w:ilvl w:val="0"/>
          <w:numId w:val="1"/>
        </w:numPr>
        <w:spacing w:line="360" w:lineRule="auto"/>
        <w:rPr>
          <w:rFonts w:ascii="Arial" w:hAnsi="Arial" w:cs="Arial"/>
        </w:rPr>
      </w:pPr>
      <w:r w:rsidRPr="00390868">
        <w:rPr>
          <w:rFonts w:ascii="Arial" w:hAnsi="Arial" w:cs="Arial"/>
        </w:rPr>
        <w:t>Local MOT Capacity Pressure: Sandwell’s 115 DVSA-approved MOT stations service 136,830 cars, equating to approximately 1,190 vehicles per station (DVSA, 2024; DfT, 2024). This compares with a national average of approximately 1,805 vehicles per station, calculated from UK vehicle and MOT-station totals (DfT, 2024; DVSA, 2023).</w:t>
      </w:r>
    </w:p>
    <w:p w14:paraId="5971D437" w14:textId="77777777" w:rsidR="0061272F" w:rsidRPr="00390868" w:rsidRDefault="0061272F" w:rsidP="00905241">
      <w:pPr>
        <w:numPr>
          <w:ilvl w:val="0"/>
          <w:numId w:val="1"/>
        </w:numPr>
        <w:spacing w:line="360" w:lineRule="auto"/>
        <w:rPr>
          <w:rFonts w:ascii="Arial" w:hAnsi="Arial" w:cs="Arial"/>
        </w:rPr>
      </w:pPr>
      <w:r w:rsidRPr="00390868">
        <w:rPr>
          <w:rFonts w:ascii="Arial" w:hAnsi="Arial" w:cs="Arial"/>
        </w:rPr>
        <w:t>Digital Maturity Gap: Many independent garages lack integrated booking systems, fixed-price menus, and structured customer relationship management, increasing customer friction and service leakage (PwC, 2024).</w:t>
      </w:r>
    </w:p>
    <w:p w14:paraId="7EE72076" w14:textId="52789CC7" w:rsidR="0061272F" w:rsidRPr="00390868" w:rsidRDefault="0061272F" w:rsidP="00905241">
      <w:pPr>
        <w:spacing w:line="360" w:lineRule="auto"/>
        <w:rPr>
          <w:rFonts w:ascii="Arial" w:hAnsi="Arial" w:cs="Arial"/>
        </w:rPr>
      </w:pPr>
      <w:r w:rsidRPr="00390868">
        <w:rPr>
          <w:rFonts w:ascii="Arial" w:hAnsi="Arial" w:cs="Arial"/>
        </w:rPr>
        <w:t>The 1 STATION concept is engineered to directly bridge these market gaps. Our vertically integrated estate replaces fragmentation with centralised control over workflow, pricing, and quality. We specifically invest in EV certification to address the skills shortage, leverage digital systems to close the maturity gap, and provide multi-service capacity to alleviate local MOT pressures.</w:t>
      </w:r>
      <w:r w:rsidR="00541B46" w:rsidRPr="00390868">
        <w:rPr>
          <w:rFonts w:ascii="Arial" w:hAnsi="Arial" w:cs="Arial"/>
        </w:rPr>
        <w:t xml:space="preserve"> The physical configuration of the proposed automotive estate—including the campus-style layout, zoning of specialist service units, and controlled internal vehicle circulation—has been designed to support operational efficiency, regulatory compliance, and customer experience. A visual representation of the estate layout, service zoning, and vehicle flow is provided in </w:t>
      </w:r>
      <w:r w:rsidR="00541B46" w:rsidRPr="00703CD4">
        <w:rPr>
          <w:rFonts w:ascii="Arial" w:hAnsi="Arial" w:cs="Arial"/>
        </w:rPr>
        <w:t>Appendix A</w:t>
      </w:r>
      <w:r w:rsidR="00541B46" w:rsidRPr="00390868">
        <w:rPr>
          <w:rFonts w:ascii="Arial" w:hAnsi="Arial" w:cs="Arial"/>
        </w:rPr>
        <w:t>, which illustrates how the physical design underpins the integrated service model</w:t>
      </w:r>
    </w:p>
    <w:p w14:paraId="03D550F2" w14:textId="77777777" w:rsidR="0061272F" w:rsidRPr="00390868" w:rsidRDefault="0061272F" w:rsidP="00905241">
      <w:pPr>
        <w:pStyle w:val="Heading2"/>
        <w:spacing w:line="360" w:lineRule="auto"/>
        <w:rPr>
          <w:rFonts w:ascii="Arial" w:hAnsi="Arial" w:cs="Arial"/>
        </w:rPr>
      </w:pPr>
      <w:bookmarkStart w:id="9" w:name="_Toc217830819"/>
      <w:bookmarkStart w:id="10" w:name="_Toc218629229"/>
      <w:r w:rsidRPr="00390868">
        <w:rPr>
          <w:rFonts w:ascii="Arial" w:hAnsi="Arial" w:cs="Arial"/>
        </w:rPr>
        <w:t>2.4 Strategic Objectives and Key Performance Indicators (KPIs)</w:t>
      </w:r>
      <w:bookmarkEnd w:id="9"/>
      <w:bookmarkEnd w:id="10"/>
    </w:p>
    <w:p w14:paraId="298F13FB" w14:textId="6B71839B" w:rsidR="0061272F" w:rsidRPr="00390868" w:rsidRDefault="0061272F" w:rsidP="0085148C">
      <w:pPr>
        <w:spacing w:line="360" w:lineRule="auto"/>
        <w:rPr>
          <w:rFonts w:ascii="Arial" w:hAnsi="Arial" w:cs="Arial"/>
        </w:rPr>
      </w:pPr>
      <w:r w:rsidRPr="00390868">
        <w:rPr>
          <w:rFonts w:ascii="Arial" w:hAnsi="Arial" w:cs="Arial"/>
        </w:rPr>
        <w:t xml:space="preserve">1 STATION will implement a rigorous framework of structured and measurable objectives to guide its strategic development across three core phases: market entry, operational excellence, and future expansion. </w:t>
      </w:r>
      <w:r w:rsidR="0085148C" w:rsidRPr="0085148C">
        <w:rPr>
          <w:rFonts w:ascii="Arial" w:hAnsi="Arial" w:cs="Arial"/>
        </w:rPr>
        <w:t>The objectives presented in Table 2.1 are structured using the SMART framework (Specific, Measurable, Achievable, Relevant and Time-bound) to ensure strategic alignment and to support clear performance tracking and evidence-based decision-making (Armstrong, 2009).</w:t>
      </w:r>
    </w:p>
    <w:p w14:paraId="5C355729" w14:textId="2641771B" w:rsidR="00953DD0" w:rsidRPr="00953DD0" w:rsidRDefault="00953DD0" w:rsidP="0085148C">
      <w:r w:rsidRPr="00953DD0">
        <w:t>Table 2.1: Strategic Objectives and KPIs for 1 STATION Ltd</w:t>
      </w:r>
    </w:p>
    <w:p w14:paraId="70FE4345" w14:textId="0DF6933A" w:rsidR="0061272F" w:rsidRPr="00390868" w:rsidRDefault="0061272F" w:rsidP="00905241">
      <w:pPr>
        <w:spacing w:line="360" w:lineRule="auto"/>
        <w:rPr>
          <w:rFonts w:ascii="Arial" w:hAnsi="Arial" w:cs="Arial"/>
          <w:i/>
          <w:iCs/>
        </w:rPr>
      </w:pPr>
      <w:r w:rsidRPr="00390868">
        <w:rPr>
          <w:rFonts w:ascii="Arial" w:hAnsi="Arial" w:cs="Arial"/>
          <w:i/>
          <w:iCs/>
        </w:rPr>
        <w:t>(Source: Author’s synthesis based on project assumptions and regulatory requirements)</w:t>
      </w:r>
    </w:p>
    <w:tbl>
      <w:tblPr>
        <w:tblStyle w:val="PlainTable1"/>
        <w:tblpPr w:leftFromText="180" w:rightFromText="180" w:vertAnchor="text" w:horzAnchor="margin" w:tblpY="265"/>
        <w:tblW w:w="9214" w:type="dxa"/>
        <w:tblLook w:val="04A0" w:firstRow="1" w:lastRow="0" w:firstColumn="1" w:lastColumn="0" w:noHBand="0" w:noVBand="1"/>
      </w:tblPr>
      <w:tblGrid>
        <w:gridCol w:w="2410"/>
        <w:gridCol w:w="4106"/>
        <w:gridCol w:w="2698"/>
      </w:tblGrid>
      <w:tr w:rsidR="0061272F" w:rsidRPr="00390868" w14:paraId="3B8D8EC2"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6567AC05" w14:textId="77777777" w:rsidR="0061272F" w:rsidRPr="00390868" w:rsidRDefault="0061272F" w:rsidP="00905241">
            <w:pPr>
              <w:spacing w:after="160" w:line="360" w:lineRule="auto"/>
              <w:jc w:val="both"/>
              <w:rPr>
                <w:rFonts w:ascii="Arial" w:hAnsi="Arial" w:cs="Arial"/>
              </w:rPr>
            </w:pPr>
            <w:r w:rsidRPr="00390868">
              <w:rPr>
                <w:rFonts w:ascii="Arial" w:hAnsi="Arial" w:cs="Arial"/>
              </w:rPr>
              <w:t>Strategic Area</w:t>
            </w:r>
          </w:p>
        </w:tc>
        <w:tc>
          <w:tcPr>
            <w:tcW w:w="4106" w:type="dxa"/>
            <w:hideMark/>
          </w:tcPr>
          <w:p w14:paraId="553F22B1"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SMART Objective</w:t>
            </w:r>
          </w:p>
        </w:tc>
        <w:tc>
          <w:tcPr>
            <w:tcW w:w="2698" w:type="dxa"/>
            <w:hideMark/>
          </w:tcPr>
          <w:p w14:paraId="7222C933"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KPI Target</w:t>
            </w:r>
          </w:p>
        </w:tc>
      </w:tr>
      <w:tr w:rsidR="0061272F" w:rsidRPr="00390868" w14:paraId="0C4390BC" w14:textId="77777777" w:rsidTr="0010552F">
        <w:trPr>
          <w:cnfStyle w:val="000000100000" w:firstRow="0" w:lastRow="0" w:firstColumn="0" w:lastColumn="0" w:oddVBand="0" w:evenVBand="0" w:oddHBand="1" w:evenHBand="0" w:firstRowFirstColumn="0" w:firstRowLastColumn="0" w:lastRowFirstColumn="0" w:lastRowLastColumn="0"/>
          <w:trHeight w:val="849"/>
        </w:trPr>
        <w:tc>
          <w:tcPr>
            <w:cnfStyle w:val="001000000000" w:firstRow="0" w:lastRow="0" w:firstColumn="1" w:lastColumn="0" w:oddVBand="0" w:evenVBand="0" w:oddHBand="0" w:evenHBand="0" w:firstRowFirstColumn="0" w:firstRowLastColumn="0" w:lastRowFirstColumn="0" w:lastRowLastColumn="0"/>
            <w:tcW w:w="2410" w:type="dxa"/>
            <w:hideMark/>
          </w:tcPr>
          <w:p w14:paraId="40AA6B3D"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Market Entry</w:t>
            </w:r>
          </w:p>
        </w:tc>
        <w:tc>
          <w:tcPr>
            <w:tcW w:w="4106" w:type="dxa"/>
            <w:hideMark/>
          </w:tcPr>
          <w:p w14:paraId="64E0D6E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Launch Sandwell flagship site by Q4 2026.</w:t>
            </w:r>
          </w:p>
        </w:tc>
        <w:tc>
          <w:tcPr>
            <w:tcW w:w="2698" w:type="dxa"/>
            <w:hideMark/>
          </w:tcPr>
          <w:p w14:paraId="20A24526"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Site operational; DVSA licence obtained.</w:t>
            </w:r>
          </w:p>
        </w:tc>
      </w:tr>
      <w:tr w:rsidR="0061272F" w:rsidRPr="00390868" w14:paraId="18C7D0D0" w14:textId="77777777" w:rsidTr="0010552F">
        <w:tc>
          <w:tcPr>
            <w:cnfStyle w:val="001000000000" w:firstRow="0" w:lastRow="0" w:firstColumn="1" w:lastColumn="0" w:oddVBand="0" w:evenVBand="0" w:oddHBand="0" w:evenHBand="0" w:firstRowFirstColumn="0" w:firstRowLastColumn="0" w:lastRowFirstColumn="0" w:lastRowLastColumn="0"/>
            <w:tcW w:w="2410" w:type="dxa"/>
            <w:hideMark/>
          </w:tcPr>
          <w:p w14:paraId="17142C2E" w14:textId="77777777" w:rsidR="0061272F" w:rsidRPr="00390868" w:rsidRDefault="0061272F" w:rsidP="00905241">
            <w:pPr>
              <w:spacing w:after="160" w:line="360" w:lineRule="auto"/>
              <w:rPr>
                <w:rFonts w:ascii="Arial" w:hAnsi="Arial" w:cs="Arial"/>
              </w:rPr>
            </w:pPr>
            <w:r w:rsidRPr="00390868">
              <w:rPr>
                <w:rFonts w:ascii="Arial" w:hAnsi="Arial" w:cs="Arial"/>
              </w:rPr>
              <w:t>Customer Acquisition</w:t>
            </w:r>
          </w:p>
        </w:tc>
        <w:tc>
          <w:tcPr>
            <w:tcW w:w="4106" w:type="dxa"/>
            <w:hideMark/>
          </w:tcPr>
          <w:p w14:paraId="7BEF96CE"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Secure 1,500 active customer accounts in Year 2.</w:t>
            </w:r>
          </w:p>
        </w:tc>
        <w:tc>
          <w:tcPr>
            <w:tcW w:w="2698" w:type="dxa"/>
            <w:hideMark/>
          </w:tcPr>
          <w:p w14:paraId="31796296"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≥35% return-visit rate.</w:t>
            </w:r>
          </w:p>
        </w:tc>
      </w:tr>
      <w:tr w:rsidR="0061272F" w:rsidRPr="00390868" w14:paraId="06069DB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44A27781" w14:textId="77777777" w:rsidR="0061272F" w:rsidRPr="00390868" w:rsidRDefault="0061272F" w:rsidP="00905241">
            <w:pPr>
              <w:spacing w:after="160" w:line="360" w:lineRule="auto"/>
              <w:rPr>
                <w:rFonts w:ascii="Arial" w:hAnsi="Arial" w:cs="Arial"/>
              </w:rPr>
            </w:pPr>
            <w:r w:rsidRPr="00390868">
              <w:rPr>
                <w:rFonts w:ascii="Arial" w:hAnsi="Arial" w:cs="Arial"/>
              </w:rPr>
              <w:t>MOT Market Penetration</w:t>
            </w:r>
          </w:p>
        </w:tc>
        <w:tc>
          <w:tcPr>
            <w:tcW w:w="4106" w:type="dxa"/>
            <w:hideMark/>
          </w:tcPr>
          <w:p w14:paraId="27CF75B1"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Achieve 3% of Sandwell’s MOT market by Year 2.</w:t>
            </w:r>
          </w:p>
        </w:tc>
        <w:tc>
          <w:tcPr>
            <w:tcW w:w="2698" w:type="dxa"/>
            <w:hideMark/>
          </w:tcPr>
          <w:p w14:paraId="5CE2DB5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~4,200 MOT tests annually.</w:t>
            </w:r>
          </w:p>
        </w:tc>
      </w:tr>
      <w:tr w:rsidR="0061272F" w:rsidRPr="00390868" w14:paraId="5C72B389" w14:textId="77777777" w:rsidTr="0010552F">
        <w:tc>
          <w:tcPr>
            <w:cnfStyle w:val="001000000000" w:firstRow="0" w:lastRow="0" w:firstColumn="1" w:lastColumn="0" w:oddVBand="0" w:evenVBand="0" w:oddHBand="0" w:evenHBand="0" w:firstRowFirstColumn="0" w:firstRowLastColumn="0" w:lastRowFirstColumn="0" w:lastRowLastColumn="0"/>
            <w:tcW w:w="2410" w:type="dxa"/>
            <w:hideMark/>
          </w:tcPr>
          <w:p w14:paraId="46DD0C8F" w14:textId="77777777" w:rsidR="0061272F" w:rsidRPr="00390868" w:rsidRDefault="0061272F" w:rsidP="00905241">
            <w:pPr>
              <w:spacing w:after="160" w:line="360" w:lineRule="auto"/>
              <w:rPr>
                <w:rFonts w:ascii="Arial" w:hAnsi="Arial" w:cs="Arial"/>
              </w:rPr>
            </w:pPr>
            <w:r w:rsidRPr="00390868">
              <w:rPr>
                <w:rFonts w:ascii="Arial" w:hAnsi="Arial" w:cs="Arial"/>
              </w:rPr>
              <w:t>EV Capability</w:t>
            </w:r>
          </w:p>
        </w:tc>
        <w:tc>
          <w:tcPr>
            <w:tcW w:w="4106" w:type="dxa"/>
            <w:hideMark/>
          </w:tcPr>
          <w:p w14:paraId="2937A1B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Train &amp; certify four high-voltage technicians by 2027.</w:t>
            </w:r>
          </w:p>
        </w:tc>
        <w:tc>
          <w:tcPr>
            <w:tcW w:w="2698" w:type="dxa"/>
            <w:hideMark/>
          </w:tcPr>
          <w:p w14:paraId="5642D1AD"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 Level 3/4 certification achieved.</w:t>
            </w:r>
          </w:p>
        </w:tc>
      </w:tr>
      <w:tr w:rsidR="0061272F" w:rsidRPr="00390868" w14:paraId="010322A7"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375E78DE" w14:textId="77777777" w:rsidR="0061272F" w:rsidRPr="00390868" w:rsidRDefault="0061272F" w:rsidP="00905241">
            <w:pPr>
              <w:spacing w:after="160" w:line="360" w:lineRule="auto"/>
              <w:rPr>
                <w:rFonts w:ascii="Arial" w:hAnsi="Arial" w:cs="Arial"/>
              </w:rPr>
            </w:pPr>
            <w:r w:rsidRPr="00390868">
              <w:rPr>
                <w:rFonts w:ascii="Arial" w:hAnsi="Arial" w:cs="Arial"/>
              </w:rPr>
              <w:t>Workforce Development</w:t>
            </w:r>
          </w:p>
        </w:tc>
        <w:tc>
          <w:tcPr>
            <w:tcW w:w="4106" w:type="dxa"/>
            <w:hideMark/>
          </w:tcPr>
          <w:p w14:paraId="3E4FBE4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Employ 35–40 staff, including four apprentices.</w:t>
            </w:r>
          </w:p>
        </w:tc>
        <w:tc>
          <w:tcPr>
            <w:tcW w:w="2698" w:type="dxa"/>
            <w:hideMark/>
          </w:tcPr>
          <w:p w14:paraId="14439DA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 NVQ/IMI training compliance.</w:t>
            </w:r>
          </w:p>
        </w:tc>
      </w:tr>
      <w:tr w:rsidR="0061272F" w:rsidRPr="00390868" w14:paraId="72FE0678" w14:textId="77777777" w:rsidTr="0010552F">
        <w:tc>
          <w:tcPr>
            <w:cnfStyle w:val="001000000000" w:firstRow="0" w:lastRow="0" w:firstColumn="1" w:lastColumn="0" w:oddVBand="0" w:evenVBand="0" w:oddHBand="0" w:evenHBand="0" w:firstRowFirstColumn="0" w:firstRowLastColumn="0" w:lastRowFirstColumn="0" w:lastRowLastColumn="0"/>
            <w:tcW w:w="2410" w:type="dxa"/>
            <w:hideMark/>
          </w:tcPr>
          <w:p w14:paraId="70550920" w14:textId="77777777" w:rsidR="0061272F" w:rsidRPr="00390868" w:rsidRDefault="0061272F" w:rsidP="00905241">
            <w:pPr>
              <w:spacing w:after="160" w:line="360" w:lineRule="auto"/>
              <w:rPr>
                <w:rFonts w:ascii="Arial" w:hAnsi="Arial" w:cs="Arial"/>
              </w:rPr>
            </w:pPr>
            <w:r w:rsidRPr="00390868">
              <w:rPr>
                <w:rFonts w:ascii="Arial" w:hAnsi="Arial" w:cs="Arial"/>
              </w:rPr>
              <w:t>Environmental Performance</w:t>
            </w:r>
          </w:p>
        </w:tc>
        <w:tc>
          <w:tcPr>
            <w:tcW w:w="4106" w:type="dxa"/>
            <w:hideMark/>
          </w:tcPr>
          <w:p w14:paraId="094C142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Achieve carbon-neutral operations for core processes by 2028.</w:t>
            </w:r>
          </w:p>
        </w:tc>
        <w:tc>
          <w:tcPr>
            <w:tcW w:w="2698" w:type="dxa"/>
            <w:hideMark/>
          </w:tcPr>
          <w:p w14:paraId="46ACEC9C"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 waste-oil &amp; process water recycling.</w:t>
            </w:r>
          </w:p>
        </w:tc>
      </w:tr>
      <w:tr w:rsidR="0061272F" w:rsidRPr="00390868" w14:paraId="7BD2E021"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hideMark/>
          </w:tcPr>
          <w:p w14:paraId="164B15B8" w14:textId="77777777" w:rsidR="0061272F" w:rsidRPr="00390868" w:rsidRDefault="0061272F" w:rsidP="00905241">
            <w:pPr>
              <w:spacing w:after="160" w:line="360" w:lineRule="auto"/>
              <w:rPr>
                <w:rFonts w:ascii="Arial" w:hAnsi="Arial" w:cs="Arial"/>
              </w:rPr>
            </w:pPr>
            <w:r w:rsidRPr="00390868">
              <w:rPr>
                <w:rFonts w:ascii="Arial" w:hAnsi="Arial" w:cs="Arial"/>
              </w:rPr>
              <w:t>Expansion</w:t>
            </w:r>
          </w:p>
        </w:tc>
        <w:tc>
          <w:tcPr>
            <w:tcW w:w="4106" w:type="dxa"/>
            <w:hideMark/>
          </w:tcPr>
          <w:p w14:paraId="598CEB84"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Confirm feasibility and secure funding for a second site by Year 3.</w:t>
            </w:r>
          </w:p>
        </w:tc>
        <w:tc>
          <w:tcPr>
            <w:tcW w:w="2698" w:type="dxa"/>
            <w:hideMark/>
          </w:tcPr>
          <w:p w14:paraId="0E33FF39"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Site #2 business case approved.</w:t>
            </w:r>
          </w:p>
        </w:tc>
      </w:tr>
    </w:tbl>
    <w:p w14:paraId="63ED5B8E" w14:textId="77777777" w:rsidR="0061272F" w:rsidRPr="00390868" w:rsidRDefault="0061272F" w:rsidP="00905241">
      <w:pPr>
        <w:spacing w:line="360" w:lineRule="auto"/>
        <w:rPr>
          <w:rFonts w:ascii="Arial" w:hAnsi="Arial" w:cs="Arial"/>
        </w:rPr>
      </w:pPr>
    </w:p>
    <w:p w14:paraId="23DE434F" w14:textId="77777777" w:rsidR="0061272F" w:rsidRPr="00390868" w:rsidRDefault="0061272F" w:rsidP="00905241">
      <w:pPr>
        <w:spacing w:line="360" w:lineRule="auto"/>
        <w:rPr>
          <w:rFonts w:ascii="Arial" w:hAnsi="Arial" w:cs="Arial"/>
        </w:rPr>
      </w:pPr>
      <w:r w:rsidRPr="00390868">
        <w:rPr>
          <w:rFonts w:ascii="Arial" w:hAnsi="Arial" w:cs="Arial"/>
        </w:rPr>
        <w:t>Note: KPI targets are based on operational modelling and market analysis. They will be subject to formal review and adjustment post-launch against actual performance data.</w:t>
      </w:r>
    </w:p>
    <w:p w14:paraId="20C8F6AE" w14:textId="77777777" w:rsidR="0061272F" w:rsidRPr="00390868" w:rsidRDefault="0061272F" w:rsidP="00905241">
      <w:pPr>
        <w:pStyle w:val="Heading2"/>
        <w:spacing w:line="360" w:lineRule="auto"/>
        <w:rPr>
          <w:rFonts w:ascii="Arial" w:hAnsi="Arial" w:cs="Arial"/>
        </w:rPr>
      </w:pPr>
      <w:bookmarkStart w:id="11" w:name="_Toc217830820"/>
      <w:bookmarkStart w:id="12" w:name="_Toc218629230"/>
      <w:r w:rsidRPr="00390868">
        <w:rPr>
          <w:rFonts w:ascii="Arial" w:hAnsi="Arial" w:cs="Arial"/>
        </w:rPr>
        <w:t>2.5 Integrated Service Portfolio</w:t>
      </w:r>
      <w:bookmarkEnd w:id="11"/>
      <w:bookmarkEnd w:id="12"/>
    </w:p>
    <w:p w14:paraId="58AC47E7" w14:textId="77777777" w:rsidR="0061272F" w:rsidRPr="00390868" w:rsidRDefault="0061272F" w:rsidP="00905241">
      <w:pPr>
        <w:spacing w:line="360" w:lineRule="auto"/>
        <w:rPr>
          <w:rFonts w:ascii="Arial" w:hAnsi="Arial" w:cs="Arial"/>
        </w:rPr>
      </w:pPr>
      <w:r w:rsidRPr="00390868">
        <w:rPr>
          <w:rFonts w:ascii="Arial" w:hAnsi="Arial" w:cs="Arial"/>
        </w:rPr>
        <w:t>1 STATION's eight core service divisions function as interdependent profit centres, unified by a shared digital platform and customer record. This integration allows for seamless workflow between departments and creates powerful cross-selling opportunities, ensuring no customer need goes unmet.</w:t>
      </w:r>
    </w:p>
    <w:p w14:paraId="644F48D3"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Mechanical Repairs and Diagnostics (SIC 45200)</w:t>
      </w:r>
    </w:p>
    <w:p w14:paraId="50A9B3AC"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This division provides routine and complex mechanical services, including scheduled servicing, brake and suspension repairs, clutch replacement, engine diagnostics (OBD-II and ECU fault tracing), cooling and fuel-system repairs, exhaust work and air-conditioning servicing. All diagnostics are performed using industry-standard equipment to ensure precision, transparency and first-time fix reliability.</w:t>
      </w:r>
    </w:p>
    <w:p w14:paraId="195EB257"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MOT Testing</w:t>
      </w:r>
    </w:p>
    <w:p w14:paraId="60EC79D0"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 xml:space="preserve">A DVSA-approved MOT lane delivers annual Class 4 MOT tests, pre-MOT inspections and advisory reporting. Digital integration with customer accounts allows </w:t>
      </w:r>
      <w:r w:rsidRPr="00390868">
        <w:rPr>
          <w:rFonts w:ascii="Arial" w:hAnsi="Arial" w:cs="Arial"/>
        </w:rPr>
        <w:lastRenderedPageBreak/>
        <w:t>automated reminders, online booking and transparent advisory histories, supporting repeat business and compliance-focused service planning.</w:t>
      </w:r>
    </w:p>
    <w:p w14:paraId="6B0A01F8"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Tyre Fitting and Repair</w:t>
      </w:r>
    </w:p>
    <w:p w14:paraId="79FA6606"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The tyre division offers supply and fitting of economy, mid-range and premium tyres, alongside puncture repair, wheel balancing and 3D wheel alignment. Seasonal tyre changeovers and TPMS resets are included, ensuring complete tyre lifecycle servicing.</w:t>
      </w:r>
    </w:p>
    <w:p w14:paraId="1628F9C8"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Bodywork and Paint Restoration</w:t>
      </w:r>
    </w:p>
    <w:p w14:paraId="3D031C0A"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This unit provides cosmetic and structural body repair services, including panel beating, refinishing, SMART repairs, paintless dent repair (PDR), bumper scuff restoration, and full panel resprays. Insurance-approved accident repair capability and alloy wheel refurbishment enhance service depth and revenue diversification.</w:t>
      </w:r>
    </w:p>
    <w:p w14:paraId="3B576FD1"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EV and Hybrid Servicing</w:t>
      </w:r>
    </w:p>
    <w:p w14:paraId="24698A02"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The dedicated EV/Hybrid division conducts high-voltage diagnostics, battery-health assessments, thermal-management servicing, isolation testing and firmware updates. All technicians will hold IMI Level 3 or 4 certification, ensuring compliance with UK safety standards and addressing a critical national skills shortage.</w:t>
      </w:r>
    </w:p>
    <w:p w14:paraId="7FE02379"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Car Wash and Detailing</w:t>
      </w:r>
    </w:p>
    <w:p w14:paraId="54BDD45D"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This environmentally compliant division offers hand washing, valeting, machine polishing, paint correction, ceramic coating and interior deep-cleaning using a water-recycling wash system. The detailing unit enhances cross-sell opportunities from bodywork, tyres and mechanical repairs.</w:t>
      </w:r>
    </w:p>
    <w:p w14:paraId="1188D3EC"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Tinting Services</w:t>
      </w:r>
    </w:p>
    <w:p w14:paraId="4936B9EF"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The tinting unit provides legal-compliant window tinting, privacy films, headlight and taillight tinting, and aesthetic upgrades such as chrome-delete finishes. All installations are performed in a dust-controlled environment to guarantee quality adhesion and finish.</w:t>
      </w:r>
    </w:p>
    <w:p w14:paraId="5387DE50" w14:textId="77777777" w:rsidR="0061272F" w:rsidRPr="00390868" w:rsidRDefault="0061272F" w:rsidP="00905241">
      <w:pPr>
        <w:pStyle w:val="ListParagraph"/>
        <w:numPr>
          <w:ilvl w:val="0"/>
          <w:numId w:val="2"/>
        </w:numPr>
        <w:spacing w:line="360" w:lineRule="auto"/>
        <w:rPr>
          <w:rFonts w:ascii="Arial" w:hAnsi="Arial" w:cs="Arial"/>
          <w:b/>
          <w:bCs/>
        </w:rPr>
      </w:pPr>
      <w:r w:rsidRPr="00390868">
        <w:rPr>
          <w:rFonts w:ascii="Arial" w:hAnsi="Arial" w:cs="Arial"/>
          <w:b/>
          <w:bCs/>
        </w:rPr>
        <w:t>Auto-Electrical Services</w:t>
      </w:r>
    </w:p>
    <w:p w14:paraId="1E6890C3" w14:textId="77777777" w:rsidR="0061272F" w:rsidRPr="00390868" w:rsidRDefault="0061272F" w:rsidP="00905241">
      <w:pPr>
        <w:pStyle w:val="ListParagraph"/>
        <w:spacing w:line="360" w:lineRule="auto"/>
        <w:rPr>
          <w:rFonts w:ascii="Arial" w:hAnsi="Arial" w:cs="Arial"/>
        </w:rPr>
      </w:pPr>
      <w:r w:rsidRPr="00390868">
        <w:rPr>
          <w:rFonts w:ascii="Arial" w:hAnsi="Arial" w:cs="Arial"/>
        </w:rPr>
        <w:t>This division supports wiring diagnostics, alternator and starter-motor repairs, ECU programming (non-EV), sensor calibration, lighting repairs, and fault tracing for auxiliary systems. Auto-electrical work complements mechanical and bodyshop divisions, improving first-time fix rates and customer retention.</w:t>
      </w:r>
    </w:p>
    <w:p w14:paraId="2C863952" w14:textId="77777777" w:rsidR="0061272F" w:rsidRPr="00390868" w:rsidRDefault="0061272F" w:rsidP="00905241">
      <w:pPr>
        <w:pStyle w:val="Heading2"/>
        <w:spacing w:line="360" w:lineRule="auto"/>
        <w:rPr>
          <w:rFonts w:ascii="Arial" w:hAnsi="Arial" w:cs="Arial"/>
        </w:rPr>
      </w:pPr>
      <w:bookmarkStart w:id="13" w:name="_Toc217830821"/>
      <w:bookmarkStart w:id="14" w:name="_Toc218629231"/>
      <w:r w:rsidRPr="00390868">
        <w:rPr>
          <w:rFonts w:ascii="Arial" w:hAnsi="Arial" w:cs="Arial"/>
        </w:rPr>
        <w:t>2.6 Economic and Social Contribution</w:t>
      </w:r>
      <w:bookmarkEnd w:id="13"/>
      <w:bookmarkEnd w:id="14"/>
      <w:r w:rsidRPr="00390868">
        <w:rPr>
          <w:rFonts w:ascii="Arial" w:hAnsi="Arial" w:cs="Arial"/>
        </w:rPr>
        <w:t xml:space="preserve"> </w:t>
      </w:r>
    </w:p>
    <w:p w14:paraId="3451C646" w14:textId="77777777" w:rsidR="0061272F" w:rsidRPr="00390868" w:rsidRDefault="0061272F" w:rsidP="00905241">
      <w:pPr>
        <w:spacing w:line="360" w:lineRule="auto"/>
        <w:rPr>
          <w:rFonts w:ascii="Arial" w:hAnsi="Arial" w:cs="Arial"/>
        </w:rPr>
      </w:pPr>
      <w:r w:rsidRPr="00390868">
        <w:rPr>
          <w:rFonts w:ascii="Arial" w:hAnsi="Arial" w:cs="Arial"/>
        </w:rPr>
        <w:t xml:space="preserve">1 STATION Ltd is designed to generate significant local value through its integrated operating model and commitment to skills development. We will directly address the national EV technician shortage by investing in IMI Level 3 and 4 certifications for our staff (IMI, </w:t>
      </w:r>
      <w:r w:rsidRPr="00390868">
        <w:rPr>
          <w:rFonts w:ascii="Arial" w:hAnsi="Arial" w:cs="Arial"/>
        </w:rPr>
        <w:lastRenderedPageBreak/>
        <w:t>2024). Our model prioritises 'cross-skilling' technicians across compatible service units, enhancing productivity, workforce resilience, and career progression. Beyond direct employment, the estate will support local suppliers and contractors.</w:t>
      </w:r>
    </w:p>
    <w:p w14:paraId="403029D8" w14:textId="77777777" w:rsidR="0061272F" w:rsidRPr="00390868" w:rsidRDefault="0061272F" w:rsidP="00905241">
      <w:pPr>
        <w:spacing w:line="360" w:lineRule="auto"/>
        <w:rPr>
          <w:rFonts w:ascii="Arial" w:hAnsi="Arial" w:cs="Arial"/>
        </w:rPr>
      </w:pPr>
      <w:r w:rsidRPr="00390868">
        <w:rPr>
          <w:rFonts w:ascii="Arial" w:hAnsi="Arial" w:cs="Arial"/>
        </w:rPr>
        <w:t>Social value is reinforced through DVSA-approved MOT testing, contributing to road safety and regulatory compliance, supported by transparent digital service histories. Environmental responsibility is embedded through compliant waste handling and water-recycling wash systems, reducing the cumulative environmental impact associated with fragmented single-service operators.</w:t>
      </w:r>
    </w:p>
    <w:p w14:paraId="12C22913" w14:textId="77777777" w:rsidR="0061272F" w:rsidRPr="00390868" w:rsidRDefault="0061272F" w:rsidP="00905241">
      <w:pPr>
        <w:pStyle w:val="Heading2"/>
        <w:spacing w:line="360" w:lineRule="auto"/>
        <w:rPr>
          <w:rFonts w:ascii="Arial" w:hAnsi="Arial" w:cs="Arial"/>
        </w:rPr>
      </w:pPr>
      <w:bookmarkStart w:id="15" w:name="_Toc217830822"/>
      <w:bookmarkStart w:id="16" w:name="_Toc218629232"/>
      <w:r w:rsidRPr="00390868">
        <w:rPr>
          <w:rFonts w:ascii="Arial" w:hAnsi="Arial" w:cs="Arial"/>
        </w:rPr>
        <w:t>2.7 Revenue and Growth Potential</w:t>
      </w:r>
      <w:bookmarkEnd w:id="15"/>
      <w:bookmarkEnd w:id="16"/>
    </w:p>
    <w:p w14:paraId="3DAE7D11" w14:textId="77777777" w:rsidR="0061272F" w:rsidRPr="00390868" w:rsidRDefault="0061272F" w:rsidP="00905241">
      <w:pPr>
        <w:spacing w:line="360" w:lineRule="auto"/>
        <w:rPr>
          <w:rFonts w:ascii="Arial" w:hAnsi="Arial" w:cs="Arial"/>
        </w:rPr>
      </w:pPr>
      <w:r w:rsidRPr="00390868">
        <w:rPr>
          <w:rFonts w:ascii="Arial" w:hAnsi="Arial" w:cs="Arial"/>
        </w:rPr>
        <w:t>The revenue and growth potential of 1 STATION Ltd is grounded in a capacity-led operating model developed from the founder’s direct experience within the UK automotive aftercare sector. Rather than relying on speculative market-share assumptions, revenue projections are based on achievable utilisation across eight integrated service divisions, supported by realistic pricing and phased operational ramp-up. As detailed in the Financial Plan (Section 8), trading commences in Q4, with initial monthly revenues progressing from approximately £110,000 to £180,000 as workflows stabilise and customer awareness builds.</w:t>
      </w:r>
    </w:p>
    <w:p w14:paraId="6A00D3BC" w14:textId="77777777" w:rsidR="0061272F" w:rsidRPr="00390868" w:rsidRDefault="0061272F" w:rsidP="00905241">
      <w:pPr>
        <w:spacing w:line="360" w:lineRule="auto"/>
        <w:rPr>
          <w:rFonts w:ascii="Arial" w:hAnsi="Arial" w:cs="Arial"/>
        </w:rPr>
      </w:pPr>
      <w:r w:rsidRPr="00390868">
        <w:rPr>
          <w:rFonts w:ascii="Arial" w:hAnsi="Arial" w:cs="Arial"/>
        </w:rPr>
        <w:t xml:space="preserve">At steady state, the business model is designed to generate annual revenues exceeding £1.3 million. This will be achieved by combining high-frequency statutory services (MOTs, servicing) with higher-value discretionary work (bodywork, detailing, upgrades), maximising revenue per customer visit. </w:t>
      </w:r>
      <w:bookmarkStart w:id="17" w:name="_Toc217830823"/>
    </w:p>
    <w:p w14:paraId="3CC7B5FA" w14:textId="77777777" w:rsidR="0061272F" w:rsidRPr="00390868" w:rsidRDefault="0061272F" w:rsidP="00905241">
      <w:pPr>
        <w:pStyle w:val="Heading1"/>
        <w:spacing w:line="360" w:lineRule="auto"/>
        <w:rPr>
          <w:rFonts w:ascii="Arial" w:hAnsi="Arial" w:cs="Arial"/>
        </w:rPr>
      </w:pPr>
      <w:bookmarkStart w:id="18" w:name="_Toc218629233"/>
      <w:r w:rsidRPr="00390868">
        <w:rPr>
          <w:rFonts w:ascii="Arial" w:hAnsi="Arial" w:cs="Arial"/>
        </w:rPr>
        <w:t>3. Market Research and Validation</w:t>
      </w:r>
      <w:bookmarkEnd w:id="17"/>
      <w:bookmarkEnd w:id="18"/>
    </w:p>
    <w:p w14:paraId="549D1A20" w14:textId="77777777" w:rsidR="0061272F" w:rsidRPr="00390868" w:rsidRDefault="0061272F" w:rsidP="00905241">
      <w:pPr>
        <w:spacing w:line="360" w:lineRule="auto"/>
        <w:rPr>
          <w:rFonts w:ascii="Arial" w:hAnsi="Arial" w:cs="Arial"/>
        </w:rPr>
      </w:pPr>
      <w:r w:rsidRPr="00390868">
        <w:rPr>
          <w:rFonts w:ascii="Arial" w:hAnsi="Arial" w:cs="Arial"/>
        </w:rPr>
        <w:t>A robust market research and validation process is essential for determining the commercial feasibility of 1 STATION Ltd and assessing whether the proposed multi-service automotive model aligns with national, regional, and local market dynamics. In business development literature, evidence-based market assessment is a prerequisite for reducing uncertainty and supporting strategic decision-making (Kotler et al., 2022).</w:t>
      </w:r>
    </w:p>
    <w:p w14:paraId="2A002374" w14:textId="77777777" w:rsidR="0061272F" w:rsidRPr="00390868" w:rsidRDefault="0061272F" w:rsidP="00905241">
      <w:pPr>
        <w:pStyle w:val="Heading2"/>
        <w:spacing w:line="360" w:lineRule="auto"/>
        <w:rPr>
          <w:rFonts w:ascii="Arial" w:hAnsi="Arial" w:cs="Arial"/>
        </w:rPr>
      </w:pPr>
      <w:bookmarkStart w:id="19" w:name="_Toc217830824"/>
      <w:bookmarkStart w:id="20" w:name="_Toc218629234"/>
      <w:r w:rsidRPr="00390868">
        <w:rPr>
          <w:rFonts w:ascii="Arial" w:hAnsi="Arial" w:cs="Arial"/>
        </w:rPr>
        <w:t>3.1 National Market Context</w:t>
      </w:r>
      <w:bookmarkEnd w:id="19"/>
      <w:bookmarkEnd w:id="20"/>
    </w:p>
    <w:p w14:paraId="625CED35" w14:textId="77777777" w:rsidR="0061272F" w:rsidRPr="00390868" w:rsidRDefault="0061272F" w:rsidP="00905241">
      <w:pPr>
        <w:spacing w:line="360" w:lineRule="auto"/>
        <w:rPr>
          <w:rFonts w:ascii="Arial" w:hAnsi="Arial" w:cs="Arial"/>
        </w:rPr>
      </w:pPr>
      <w:r w:rsidRPr="00390868">
        <w:rPr>
          <w:rFonts w:ascii="Arial" w:hAnsi="Arial" w:cs="Arial"/>
        </w:rPr>
        <w:t xml:space="preserve">The UK automotive services sector—commonly aligned with SIC 45200 (Maintenance and Repair of Motor Vehicles)—is a major component of the national economy, with industry analyses estimating market value at £34.1 billion (IBISWorld, 2024). Demand is structurally resilient because it is anchored in three persistent drivers: (i) statutory compliance (MOT </w:t>
      </w:r>
      <w:r w:rsidRPr="00390868">
        <w:rPr>
          <w:rFonts w:ascii="Arial" w:hAnsi="Arial" w:cs="Arial"/>
        </w:rPr>
        <w:lastRenderedPageBreak/>
        <w:t>testing), (ii) vehicle ageing and wear, and (iii) technological change that increases diagnostic complexity and skills requirements (Slack et al., 2022).</w:t>
      </w:r>
    </w:p>
    <w:p w14:paraId="220502D1" w14:textId="77777777" w:rsidR="0061272F" w:rsidRPr="00390868" w:rsidRDefault="0061272F" w:rsidP="00905241">
      <w:pPr>
        <w:spacing w:line="360" w:lineRule="auto"/>
        <w:rPr>
          <w:rFonts w:ascii="Arial" w:hAnsi="Arial" w:cs="Arial"/>
        </w:rPr>
      </w:pPr>
      <w:r w:rsidRPr="00390868">
        <w:rPr>
          <w:rFonts w:ascii="Arial" w:hAnsi="Arial" w:cs="Arial"/>
        </w:rPr>
        <w:t>Figure 3.1: UK Automotive Service Market Size and Vehicle Parc (2019–2024)</w:t>
      </w:r>
      <w:r w:rsidRPr="00390868">
        <w:rPr>
          <w:rFonts w:ascii="Arial" w:hAnsi="Arial" w:cs="Arial"/>
        </w:rPr>
        <w:br/>
        <w:t>(Source: Based data from IBISWorld, 2024; DfT, 2024)</w:t>
      </w:r>
    </w:p>
    <w:p w14:paraId="3549C95E" w14:textId="77777777" w:rsidR="0061272F" w:rsidRPr="00390868" w:rsidRDefault="0061272F" w:rsidP="00905241">
      <w:pPr>
        <w:spacing w:line="360" w:lineRule="auto"/>
        <w:rPr>
          <w:rFonts w:ascii="Arial" w:hAnsi="Arial" w:cs="Arial"/>
        </w:rPr>
      </w:pPr>
      <w:r w:rsidRPr="00390868">
        <w:rPr>
          <w:rFonts w:ascii="Arial" w:hAnsi="Arial" w:cs="Arial"/>
          <w:noProof/>
        </w:rPr>
        <w:drawing>
          <wp:inline distT="0" distB="0" distL="0" distR="0" wp14:anchorId="00868908" wp14:editId="1ED77BB1">
            <wp:extent cx="4572000" cy="2743200"/>
            <wp:effectExtent l="0" t="0" r="0" b="0"/>
            <wp:docPr id="2065360352" name="Chart 1">
              <a:extLst xmlns:a="http://schemas.openxmlformats.org/drawingml/2006/main">
                <a:ext uri="{FF2B5EF4-FFF2-40B4-BE49-F238E27FC236}">
                  <a16:creationId xmlns:a16="http://schemas.microsoft.com/office/drawing/2014/main" id="{8B539528-D229-8441-EF45-F0EC8A3C31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BEF2E3" w14:textId="77777777" w:rsidR="0061272F" w:rsidRPr="00390868" w:rsidRDefault="0061272F" w:rsidP="00905241">
      <w:pPr>
        <w:spacing w:line="360" w:lineRule="auto"/>
        <w:rPr>
          <w:rFonts w:ascii="Arial" w:hAnsi="Arial" w:cs="Arial"/>
        </w:rPr>
      </w:pPr>
      <w:r w:rsidRPr="00390868">
        <w:rPr>
          <w:rFonts w:ascii="Arial" w:hAnsi="Arial" w:cs="Arial"/>
        </w:rPr>
        <w:t xml:space="preserve">First, statutory MOT testing creates repeatable and relatively inelastic service demand. With over 30 million MOT tests completed annually, MOT acts as an enforced customer “touchpoint” that frequently triggers linked repairs and follow-on services (DVSA, 2024). In strategic terms, this matters because a large portion of the market is not discretionary: customers must participate regardless of economic sentiment, which supports baseline utilisation for MOT and core repair capacity (Johnson et al., 2020). </w:t>
      </w:r>
    </w:p>
    <w:p w14:paraId="3A78E334" w14:textId="77777777" w:rsidR="0061272F" w:rsidRPr="00390868" w:rsidRDefault="0061272F" w:rsidP="00905241">
      <w:pPr>
        <w:spacing w:line="360" w:lineRule="auto"/>
        <w:rPr>
          <w:rFonts w:ascii="Arial" w:hAnsi="Arial" w:cs="Arial"/>
        </w:rPr>
      </w:pPr>
      <w:r w:rsidRPr="00390868">
        <w:rPr>
          <w:rFonts w:ascii="Arial" w:hAnsi="Arial" w:cs="Arial"/>
        </w:rPr>
        <w:t>Second, vehicle ageing increases failure probability and repair intensity. The average vehicle age of 9.3 years indicates a mature parc with increasing incidence of wear-related repairs (SMMT, 2024). This supports higher demand for brakes, suspension, emissions systems, electrical faults and diagnostics—exactly the categories that benefit from integrated estate workflows and cross-unit referral logic.</w:t>
      </w:r>
    </w:p>
    <w:p w14:paraId="4AB11B94" w14:textId="77777777" w:rsidR="0061272F" w:rsidRPr="00390868" w:rsidRDefault="0061272F" w:rsidP="00905241">
      <w:pPr>
        <w:spacing w:line="360" w:lineRule="auto"/>
        <w:rPr>
          <w:rFonts w:ascii="Arial" w:hAnsi="Arial" w:cs="Arial"/>
        </w:rPr>
      </w:pPr>
      <w:r w:rsidRPr="00390868">
        <w:rPr>
          <w:rFonts w:ascii="Arial" w:hAnsi="Arial" w:cs="Arial"/>
        </w:rPr>
        <w:t>Third, electrification and software intensity reshape workshop requirements. EV and hybrid registrations accounted for ~21–23% of new cars in 2024, accelerating the shift in servicing profiles and raising the value of specialist diagnostic capability (SMMT, 2024). However, capability is not expanding at the same rate: only a small minority of UK technicians—around 6%—hold full high-voltage EV certification (IMI, 2024). This indicates that competitive advantage derives from capability scarcity rather than market growth alone (IMI, 2024; Rogers, 2003). The key implication is that market growth alone is not the opportunity—</w:t>
      </w:r>
      <w:r w:rsidRPr="00390868">
        <w:rPr>
          <w:rFonts w:ascii="Arial" w:hAnsi="Arial" w:cs="Arial"/>
          <w:i/>
          <w:iCs/>
        </w:rPr>
        <w:t>capability scarcity</w:t>
      </w:r>
      <w:r w:rsidRPr="00390868">
        <w:rPr>
          <w:rFonts w:ascii="Arial" w:hAnsi="Arial" w:cs="Arial"/>
        </w:rPr>
        <w:t xml:space="preserve"> is.</w:t>
      </w:r>
    </w:p>
    <w:p w14:paraId="077BE6DE" w14:textId="77777777" w:rsidR="0061272F" w:rsidRPr="00390868" w:rsidRDefault="0061272F" w:rsidP="00905241">
      <w:pPr>
        <w:spacing w:line="360" w:lineRule="auto"/>
        <w:rPr>
          <w:rFonts w:ascii="Arial" w:hAnsi="Arial" w:cs="Arial"/>
        </w:rPr>
      </w:pPr>
      <w:r w:rsidRPr="00390868">
        <w:rPr>
          <w:rFonts w:ascii="Arial" w:hAnsi="Arial" w:cs="Arial"/>
        </w:rPr>
        <w:lastRenderedPageBreak/>
        <w:t xml:space="preserve">Finally, policy and compliance conditions increasingly reward professionalisation. Environmental expectations (waste oils, wash runoff, chemical handling, emissions) and safety requirements (high voltage, workshop control, COSHH) raise the minimum standard for compliant operations (BEIS, 2023). This increases operational costs, but it also widens the performance gap between informal low-compliance operators and structured estates with formal management systems—supporting the strategic logic of 1 STATION’s controlled-access, process-led model. </w:t>
      </w:r>
    </w:p>
    <w:p w14:paraId="37548DEB" w14:textId="77777777" w:rsidR="0061272F" w:rsidRPr="00390868" w:rsidRDefault="0061272F" w:rsidP="00905241">
      <w:pPr>
        <w:pStyle w:val="Heading2"/>
        <w:spacing w:line="360" w:lineRule="auto"/>
        <w:rPr>
          <w:rFonts w:ascii="Arial" w:hAnsi="Arial" w:cs="Arial"/>
        </w:rPr>
      </w:pPr>
      <w:bookmarkStart w:id="21" w:name="_Toc217830825"/>
      <w:bookmarkStart w:id="22" w:name="_Toc218629235"/>
      <w:r w:rsidRPr="00390868">
        <w:rPr>
          <w:rFonts w:ascii="Arial" w:hAnsi="Arial" w:cs="Arial"/>
        </w:rPr>
        <w:t>3.2 Regional and Local Market: Sandwell</w:t>
      </w:r>
      <w:bookmarkEnd w:id="21"/>
      <w:bookmarkEnd w:id="22"/>
    </w:p>
    <w:p w14:paraId="41D53DD9" w14:textId="77777777" w:rsidR="0061272F" w:rsidRPr="00390868" w:rsidRDefault="0061272F" w:rsidP="00905241">
      <w:pPr>
        <w:spacing w:line="360" w:lineRule="auto"/>
        <w:rPr>
          <w:rFonts w:ascii="Arial" w:hAnsi="Arial" w:cs="Arial"/>
        </w:rPr>
      </w:pPr>
      <w:r w:rsidRPr="00390868">
        <w:rPr>
          <w:rFonts w:ascii="Arial" w:hAnsi="Arial" w:cs="Arial"/>
        </w:rPr>
        <w:t>Sandwell represents a strategically attractive location due to high vehicle dependence and a local supply base characterised by capability dispersion rather than integrated service ecosystems. Over 82% of households in the borough own at least one vehicle, indicating high mobility dependence and recurring maintenance need (DfT, 2023). The borough’s 136,830 licensed cars (Dft, 2024) create a concentrated aftercare demand base, reinforced by West Midlands commuter intensity and vehicle utilisation patterns (OECD, 2023).</w:t>
      </w:r>
    </w:p>
    <w:p w14:paraId="2CB280A1" w14:textId="77777777" w:rsidR="0061272F" w:rsidRPr="00390868" w:rsidRDefault="0061272F" w:rsidP="00905241">
      <w:pPr>
        <w:spacing w:line="360" w:lineRule="auto"/>
        <w:rPr>
          <w:rFonts w:ascii="Arial" w:hAnsi="Arial" w:cs="Arial"/>
        </w:rPr>
      </w:pPr>
      <w:r w:rsidRPr="00390868">
        <w:rPr>
          <w:rFonts w:ascii="Arial" w:hAnsi="Arial" w:cs="Arial"/>
        </w:rPr>
        <w:t>Local supply is dominated by small, single-specialism workshops—an industry structure consistent with Porter’s description of fragmented industries where scale efficiencies, standardisation and coordinated customer experience are limited (Porter, 2008). The economic consequence of this structure is not merely “many competitors”; it is variable service quality, duplicated customer effort, repeated visits, and higher perceived risk due to opaque pricing and inconsistent diagnostics. In practical terms, customers often become “project managers” of their own vehicle repair journey, coordinating multiple garages, waiting lists and uncertain quotations. That consumer coordination cost is the gap 1 STATION is designed to remove.</w:t>
      </w:r>
    </w:p>
    <w:p w14:paraId="56FD6F50" w14:textId="77777777" w:rsidR="0061272F" w:rsidRPr="00390868" w:rsidRDefault="0061272F" w:rsidP="00905241">
      <w:pPr>
        <w:spacing w:line="360" w:lineRule="auto"/>
        <w:rPr>
          <w:rFonts w:ascii="Arial" w:hAnsi="Arial" w:cs="Arial"/>
        </w:rPr>
      </w:pPr>
      <w:r w:rsidRPr="00390868">
        <w:rPr>
          <w:rFonts w:ascii="Arial" w:hAnsi="Arial" w:cs="Arial"/>
        </w:rPr>
        <w:t>A critical local indicator is MOT capacity. The DVSA lists 115 authorised MOT testing stations in Sandwell (DVSA, 2025). Using Sandwell’s car parc (136,830), this equates to an indicative ratio of:</w:t>
      </w:r>
    </w:p>
    <w:p w14:paraId="53A42D33" w14:textId="149BEEFC" w:rsidR="0061272F" w:rsidRPr="00390868" w:rsidRDefault="0061272F" w:rsidP="00905241">
      <w:pPr>
        <w:spacing w:line="360" w:lineRule="auto"/>
        <w:rPr>
          <w:rFonts w:ascii="Arial" w:hAnsi="Arial" w:cs="Arial"/>
        </w:rPr>
      </w:pPr>
      <w:r w:rsidRPr="00390868">
        <w:rPr>
          <w:rFonts w:ascii="Arial" w:hAnsi="Arial" w:cs="Arial"/>
        </w:rPr>
        <w:t xml:space="preserve">≈ 1,190 cars per MOT station </w:t>
      </w:r>
      <w:r w:rsidR="00B7008C" w:rsidRPr="00390868">
        <w:rPr>
          <w:rFonts w:ascii="Arial" w:hAnsi="Arial" w:cs="Arial"/>
        </w:rPr>
        <w:t>(136,830 cars ÷ 115 MOT stations = 1,190)</w:t>
      </w:r>
      <w:r w:rsidRPr="00390868">
        <w:rPr>
          <w:rFonts w:ascii="Arial" w:hAnsi="Arial" w:cs="Arial"/>
        </w:rPr>
        <w:t>.</w:t>
      </w:r>
    </w:p>
    <w:p w14:paraId="5C66CEE6" w14:textId="77777777" w:rsidR="0061272F" w:rsidRPr="00390868" w:rsidRDefault="0061272F" w:rsidP="00905241">
      <w:pPr>
        <w:spacing w:line="360" w:lineRule="auto"/>
        <w:rPr>
          <w:rFonts w:ascii="Arial" w:hAnsi="Arial" w:cs="Arial"/>
        </w:rPr>
      </w:pPr>
      <w:r w:rsidRPr="00390868">
        <w:rPr>
          <w:rFonts w:ascii="Arial" w:hAnsi="Arial" w:cs="Arial"/>
        </w:rPr>
        <w:t>The implication is not simply “pressure,” but likely booking friction and constrained availability at peak periods, which strengthens the commercial case for a high-throughput, process-led MOT lane integrated with immediate repair capability.</w:t>
      </w:r>
    </w:p>
    <w:p w14:paraId="6F1C316E" w14:textId="77777777" w:rsidR="0061272F" w:rsidRPr="00390868" w:rsidRDefault="0061272F" w:rsidP="00905241">
      <w:pPr>
        <w:spacing w:line="360" w:lineRule="auto"/>
        <w:rPr>
          <w:rFonts w:ascii="Arial" w:hAnsi="Arial" w:cs="Arial"/>
        </w:rPr>
      </w:pPr>
      <w:r w:rsidRPr="00390868">
        <w:rPr>
          <w:rFonts w:ascii="Arial" w:hAnsi="Arial" w:cs="Arial"/>
        </w:rPr>
        <w:t>Table 3.1: Local Supply of Automotive Services in Sandwell, 2024</w:t>
      </w:r>
    </w:p>
    <w:p w14:paraId="27A14E09" w14:textId="77777777" w:rsidR="0061272F" w:rsidRPr="00390868" w:rsidRDefault="0061272F" w:rsidP="00905241">
      <w:pPr>
        <w:spacing w:line="360" w:lineRule="auto"/>
        <w:rPr>
          <w:rFonts w:ascii="Arial" w:hAnsi="Arial" w:cs="Arial"/>
        </w:rPr>
      </w:pPr>
      <w:r w:rsidRPr="00390868">
        <w:rPr>
          <w:rFonts w:ascii="Arial" w:hAnsi="Arial" w:cs="Arial"/>
          <w:i/>
          <w:iCs/>
        </w:rPr>
        <w:t>(Source: Based on data from DVSA, 2025; ONS/NOMIS, 2024; IMI, 2024; Mintel, 2024)</w:t>
      </w:r>
    </w:p>
    <w:tbl>
      <w:tblPr>
        <w:tblStyle w:val="PlainTable1"/>
        <w:tblW w:w="0" w:type="auto"/>
        <w:tblLook w:val="04A0" w:firstRow="1" w:lastRow="0" w:firstColumn="1" w:lastColumn="0" w:noHBand="0" w:noVBand="1"/>
      </w:tblPr>
      <w:tblGrid>
        <w:gridCol w:w="1968"/>
        <w:gridCol w:w="1889"/>
        <w:gridCol w:w="1904"/>
        <w:gridCol w:w="3255"/>
      </w:tblGrid>
      <w:tr w:rsidR="0061272F" w:rsidRPr="00390868" w14:paraId="227A3976"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B7985"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Service Line / Category</w:t>
            </w:r>
          </w:p>
        </w:tc>
        <w:tc>
          <w:tcPr>
            <w:tcW w:w="0" w:type="auto"/>
            <w:hideMark/>
          </w:tcPr>
          <w:p w14:paraId="6EB1E3BE"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Verified Local Presence</w:t>
            </w:r>
          </w:p>
        </w:tc>
        <w:tc>
          <w:tcPr>
            <w:tcW w:w="0" w:type="auto"/>
            <w:hideMark/>
          </w:tcPr>
          <w:p w14:paraId="397AD6C0"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Data Basis</w:t>
            </w:r>
          </w:p>
        </w:tc>
        <w:tc>
          <w:tcPr>
            <w:tcW w:w="0" w:type="auto"/>
            <w:hideMark/>
          </w:tcPr>
          <w:p w14:paraId="388D5ECA"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Interpretation for Market Analysis</w:t>
            </w:r>
          </w:p>
        </w:tc>
      </w:tr>
      <w:tr w:rsidR="0061272F" w:rsidRPr="00390868" w14:paraId="326ADE77"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B21AF" w14:textId="77777777" w:rsidR="0061272F" w:rsidRPr="00390868" w:rsidRDefault="0061272F" w:rsidP="00905241">
            <w:pPr>
              <w:spacing w:after="160" w:line="360" w:lineRule="auto"/>
              <w:rPr>
                <w:rFonts w:ascii="Arial" w:hAnsi="Arial" w:cs="Arial"/>
              </w:rPr>
            </w:pPr>
            <w:r w:rsidRPr="00390868">
              <w:rPr>
                <w:rFonts w:ascii="Arial" w:hAnsi="Arial" w:cs="Arial"/>
              </w:rPr>
              <w:t>Maintenance &amp; Repair (SIC 45200)</w:t>
            </w:r>
          </w:p>
        </w:tc>
        <w:tc>
          <w:tcPr>
            <w:tcW w:w="0" w:type="auto"/>
            <w:hideMark/>
          </w:tcPr>
          <w:p w14:paraId="4E480AC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211 registered businesses</w:t>
            </w:r>
          </w:p>
        </w:tc>
        <w:tc>
          <w:tcPr>
            <w:tcW w:w="0" w:type="auto"/>
            <w:hideMark/>
          </w:tcPr>
          <w:p w14:paraId="3CD2EDE1"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ONS UK Business Counts (Sandwell)</w:t>
            </w:r>
          </w:p>
        </w:tc>
        <w:tc>
          <w:tcPr>
            <w:tcW w:w="0" w:type="auto"/>
            <w:hideMark/>
          </w:tcPr>
          <w:p w14:paraId="02FCAC4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Highly fragmented base dominated by micro-garages; wide variation in capability and equipment</w:t>
            </w:r>
          </w:p>
        </w:tc>
      </w:tr>
      <w:tr w:rsidR="0061272F" w:rsidRPr="00390868" w14:paraId="535D6280"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8E54290" w14:textId="77777777" w:rsidR="0061272F" w:rsidRPr="00390868" w:rsidRDefault="0061272F" w:rsidP="00905241">
            <w:pPr>
              <w:spacing w:after="160" w:line="360" w:lineRule="auto"/>
              <w:rPr>
                <w:rFonts w:ascii="Arial" w:hAnsi="Arial" w:cs="Arial"/>
              </w:rPr>
            </w:pPr>
            <w:r w:rsidRPr="00390868">
              <w:rPr>
                <w:rFonts w:ascii="Arial" w:hAnsi="Arial" w:cs="Arial"/>
              </w:rPr>
              <w:t>MOT Testing Stations</w:t>
            </w:r>
          </w:p>
        </w:tc>
        <w:tc>
          <w:tcPr>
            <w:tcW w:w="0" w:type="auto"/>
            <w:hideMark/>
          </w:tcPr>
          <w:p w14:paraId="1E377C29"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115 DVSA-authorised stations</w:t>
            </w:r>
          </w:p>
        </w:tc>
        <w:tc>
          <w:tcPr>
            <w:tcW w:w="0" w:type="auto"/>
            <w:hideMark/>
          </w:tcPr>
          <w:p w14:paraId="51A2EF4F"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DVSA MOT Testing Station Register</w:t>
            </w:r>
          </w:p>
        </w:tc>
        <w:tc>
          <w:tcPr>
            <w:tcW w:w="0" w:type="auto"/>
            <w:hideMark/>
          </w:tcPr>
          <w:p w14:paraId="72C38F4D"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High density of MOT capability embedded within mechanical garages; capacity pressure at peak periods</w:t>
            </w:r>
          </w:p>
        </w:tc>
      </w:tr>
      <w:tr w:rsidR="0061272F" w:rsidRPr="00390868" w14:paraId="0CD7B058"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8A722" w14:textId="77777777" w:rsidR="0061272F" w:rsidRPr="00390868" w:rsidRDefault="0061272F" w:rsidP="00905241">
            <w:pPr>
              <w:spacing w:after="160" w:line="360" w:lineRule="auto"/>
              <w:rPr>
                <w:rFonts w:ascii="Arial" w:hAnsi="Arial" w:cs="Arial"/>
              </w:rPr>
            </w:pPr>
            <w:r w:rsidRPr="00390868">
              <w:rPr>
                <w:rFonts w:ascii="Arial" w:hAnsi="Arial" w:cs="Arial"/>
              </w:rPr>
              <w:t>Bodywork &amp; Paint Repair</w:t>
            </w:r>
          </w:p>
        </w:tc>
        <w:tc>
          <w:tcPr>
            <w:tcW w:w="0" w:type="auto"/>
            <w:hideMark/>
          </w:tcPr>
          <w:p w14:paraId="3B50AD00"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38 registered businesses</w:t>
            </w:r>
          </w:p>
        </w:tc>
        <w:tc>
          <w:tcPr>
            <w:tcW w:w="0" w:type="auto"/>
            <w:hideMark/>
          </w:tcPr>
          <w:p w14:paraId="2109B730"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ONS Business Counts (SIC proxy categories)</w:t>
            </w:r>
          </w:p>
        </w:tc>
        <w:tc>
          <w:tcPr>
            <w:tcW w:w="0" w:type="auto"/>
            <w:hideMark/>
          </w:tcPr>
          <w:p w14:paraId="0CC56C4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Limited standalone bodyshops; many repair activities integrated within mechanical garages or insurer networks</w:t>
            </w:r>
          </w:p>
        </w:tc>
      </w:tr>
      <w:tr w:rsidR="0061272F" w:rsidRPr="00390868" w14:paraId="69F95F95"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994DD8F" w14:textId="77777777" w:rsidR="0061272F" w:rsidRPr="00390868" w:rsidRDefault="0061272F" w:rsidP="00905241">
            <w:pPr>
              <w:spacing w:after="160" w:line="360" w:lineRule="auto"/>
              <w:rPr>
                <w:rFonts w:ascii="Arial" w:hAnsi="Arial" w:cs="Arial"/>
              </w:rPr>
            </w:pPr>
            <w:r w:rsidRPr="00390868">
              <w:rPr>
                <w:rFonts w:ascii="Arial" w:hAnsi="Arial" w:cs="Arial"/>
              </w:rPr>
              <w:t>EV &amp; Hybrid Servicing (HV-certified)</w:t>
            </w:r>
          </w:p>
        </w:tc>
        <w:tc>
          <w:tcPr>
            <w:tcW w:w="0" w:type="auto"/>
            <w:hideMark/>
          </w:tcPr>
          <w:p w14:paraId="6F049CA0"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Very limited (not separately recorded)</w:t>
            </w:r>
          </w:p>
        </w:tc>
        <w:tc>
          <w:tcPr>
            <w:tcW w:w="0" w:type="auto"/>
            <w:hideMark/>
          </w:tcPr>
          <w:p w14:paraId="1EF992A0"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 certification data (capability-based)</w:t>
            </w:r>
          </w:p>
        </w:tc>
        <w:tc>
          <w:tcPr>
            <w:tcW w:w="0" w:type="auto"/>
            <w:hideMark/>
          </w:tcPr>
          <w:p w14:paraId="677AB833"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Severe skills and infrastructure shortage relative to EV parc growth</w:t>
            </w:r>
          </w:p>
        </w:tc>
      </w:tr>
      <w:tr w:rsidR="0061272F" w:rsidRPr="00390868" w14:paraId="6FA41785"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D4B5EA" w14:textId="77777777" w:rsidR="0061272F" w:rsidRPr="00390868" w:rsidRDefault="0061272F" w:rsidP="00905241">
            <w:pPr>
              <w:spacing w:after="160" w:line="360" w:lineRule="auto"/>
              <w:rPr>
                <w:rFonts w:ascii="Arial" w:hAnsi="Arial" w:cs="Arial"/>
              </w:rPr>
            </w:pPr>
            <w:r w:rsidRPr="00390868">
              <w:rPr>
                <w:rFonts w:ascii="Arial" w:hAnsi="Arial" w:cs="Arial"/>
              </w:rPr>
              <w:t>Tyre Fitting &amp; Alignment</w:t>
            </w:r>
          </w:p>
        </w:tc>
        <w:tc>
          <w:tcPr>
            <w:tcW w:w="0" w:type="auto"/>
            <w:hideMark/>
          </w:tcPr>
          <w:p w14:paraId="6153A33A"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31 registered businesses</w:t>
            </w:r>
          </w:p>
        </w:tc>
        <w:tc>
          <w:tcPr>
            <w:tcW w:w="0" w:type="auto"/>
            <w:hideMark/>
          </w:tcPr>
          <w:p w14:paraId="60A9E460"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ONS Business Counts (SIC 45320 proxy)</w:t>
            </w:r>
          </w:p>
        </w:tc>
        <w:tc>
          <w:tcPr>
            <w:tcW w:w="0" w:type="auto"/>
            <w:hideMark/>
          </w:tcPr>
          <w:p w14:paraId="70AB1DD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Fragmented provision; tyre services frequently embedded within mechanical garages</w:t>
            </w:r>
          </w:p>
        </w:tc>
      </w:tr>
      <w:tr w:rsidR="0061272F" w:rsidRPr="00390868" w14:paraId="5A4BDCB8"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5272A81" w14:textId="77777777" w:rsidR="0061272F" w:rsidRPr="00390868" w:rsidRDefault="0061272F" w:rsidP="00905241">
            <w:pPr>
              <w:spacing w:after="160" w:line="360" w:lineRule="auto"/>
              <w:rPr>
                <w:rFonts w:ascii="Arial" w:hAnsi="Arial" w:cs="Arial"/>
              </w:rPr>
            </w:pPr>
            <w:r w:rsidRPr="00390868">
              <w:rPr>
                <w:rFonts w:ascii="Arial" w:hAnsi="Arial" w:cs="Arial"/>
              </w:rPr>
              <w:t>Tinting &amp; Wrap Services</w:t>
            </w:r>
          </w:p>
        </w:tc>
        <w:tc>
          <w:tcPr>
            <w:tcW w:w="0" w:type="auto"/>
            <w:hideMark/>
          </w:tcPr>
          <w:p w14:paraId="4A963A9B"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Not separately classified</w:t>
            </w:r>
          </w:p>
        </w:tc>
        <w:tc>
          <w:tcPr>
            <w:tcW w:w="0" w:type="auto"/>
            <w:hideMark/>
          </w:tcPr>
          <w:p w14:paraId="0053187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ONS SIC limitation</w:t>
            </w:r>
          </w:p>
        </w:tc>
        <w:tc>
          <w:tcPr>
            <w:tcW w:w="0" w:type="auto"/>
            <w:hideMark/>
          </w:tcPr>
          <w:p w14:paraId="0EDD4926"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Niche activity, typically sole traders or informal operators</w:t>
            </w:r>
          </w:p>
        </w:tc>
      </w:tr>
      <w:tr w:rsidR="0061272F" w:rsidRPr="00390868" w14:paraId="621FD0A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F639B" w14:textId="77777777" w:rsidR="0061272F" w:rsidRPr="00390868" w:rsidRDefault="0061272F" w:rsidP="00905241">
            <w:pPr>
              <w:spacing w:after="160" w:line="360" w:lineRule="auto"/>
              <w:rPr>
                <w:rFonts w:ascii="Arial" w:hAnsi="Arial" w:cs="Arial"/>
              </w:rPr>
            </w:pPr>
            <w:r w:rsidRPr="00390868">
              <w:rPr>
                <w:rFonts w:ascii="Arial" w:hAnsi="Arial" w:cs="Arial"/>
              </w:rPr>
              <w:t>Car Wash &amp; Detailing</w:t>
            </w:r>
          </w:p>
        </w:tc>
        <w:tc>
          <w:tcPr>
            <w:tcW w:w="0" w:type="auto"/>
            <w:hideMark/>
          </w:tcPr>
          <w:p w14:paraId="057CF86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27 registered businesses</w:t>
            </w:r>
          </w:p>
        </w:tc>
        <w:tc>
          <w:tcPr>
            <w:tcW w:w="0" w:type="auto"/>
            <w:hideMark/>
          </w:tcPr>
          <w:p w14:paraId="2652E2CF"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ONS Business Counts (SIC 45400 proxy)</w:t>
            </w:r>
          </w:p>
        </w:tc>
        <w:tc>
          <w:tcPr>
            <w:tcW w:w="0" w:type="auto"/>
            <w:hideMark/>
          </w:tcPr>
          <w:p w14:paraId="54D3F30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Mixed formal and informal provision; compliance variation common</w:t>
            </w:r>
          </w:p>
        </w:tc>
      </w:tr>
    </w:tbl>
    <w:p w14:paraId="79946078" w14:textId="77777777" w:rsidR="0061272F" w:rsidRPr="00390868" w:rsidRDefault="0061272F" w:rsidP="00905241">
      <w:pPr>
        <w:spacing w:line="360" w:lineRule="auto"/>
        <w:rPr>
          <w:rFonts w:ascii="Arial" w:hAnsi="Arial" w:cs="Arial"/>
        </w:rPr>
      </w:pPr>
      <w:r w:rsidRPr="00390868">
        <w:rPr>
          <w:rFonts w:ascii="Arial" w:hAnsi="Arial" w:cs="Arial"/>
        </w:rPr>
        <w:t xml:space="preserve">These figures must be interpreted as indicative due to SIC classification overlap, multi-service registration practices, and the exclusion of informal or sub-VAT operators from official business counts. Most MOT testing stations in Sandwell operate as part of multi-service mechanical garages rather than as standalone MOT-only sites. Consequently, MOT station counts overlap substantially with mechanical repair provision and should not be interpreted as separate supply categories. In addition, official business counts understate effective local supply by excluding informal operators, sub-VAT sole traders, and multi-service workshops registered under alternative SIC classifications. Actual on-the-ground service availability is </w:t>
      </w:r>
      <w:r w:rsidRPr="00390868">
        <w:rPr>
          <w:rFonts w:ascii="Arial" w:hAnsi="Arial" w:cs="Arial"/>
        </w:rPr>
        <w:lastRenderedPageBreak/>
        <w:t>therefore materially higher than recorded figures, reinforcing the fragmented and uneven nature of local supply.</w:t>
      </w:r>
    </w:p>
    <w:p w14:paraId="4C45D893" w14:textId="77777777" w:rsidR="0061272F" w:rsidRPr="00390868" w:rsidRDefault="0061272F" w:rsidP="00905241">
      <w:pPr>
        <w:spacing w:line="360" w:lineRule="auto"/>
        <w:rPr>
          <w:rFonts w:ascii="Arial" w:hAnsi="Arial" w:cs="Arial"/>
        </w:rPr>
      </w:pPr>
    </w:p>
    <w:p w14:paraId="2E925858" w14:textId="77777777" w:rsidR="0061272F" w:rsidRPr="00390868" w:rsidRDefault="0061272F" w:rsidP="00905241">
      <w:pPr>
        <w:pStyle w:val="Heading2"/>
        <w:spacing w:line="360" w:lineRule="auto"/>
        <w:rPr>
          <w:rFonts w:ascii="Arial" w:hAnsi="Arial" w:cs="Arial"/>
        </w:rPr>
      </w:pPr>
      <w:bookmarkStart w:id="23" w:name="_Toc217830826"/>
      <w:bookmarkStart w:id="24" w:name="_Toc218629236"/>
      <w:r w:rsidRPr="00390868">
        <w:rPr>
          <w:rFonts w:ascii="Arial" w:hAnsi="Arial" w:cs="Arial"/>
        </w:rPr>
        <w:t>3.3 Service-by-Service Demand Analysis</w:t>
      </w:r>
      <w:bookmarkEnd w:id="23"/>
      <w:bookmarkEnd w:id="24"/>
    </w:p>
    <w:p w14:paraId="3F53F2BF" w14:textId="77777777" w:rsidR="0061272F" w:rsidRPr="00390868" w:rsidRDefault="0061272F" w:rsidP="00905241">
      <w:pPr>
        <w:spacing w:line="360" w:lineRule="auto"/>
        <w:rPr>
          <w:rFonts w:ascii="Arial" w:hAnsi="Arial" w:cs="Arial"/>
          <w:b/>
          <w:bCs/>
        </w:rPr>
      </w:pPr>
      <w:r w:rsidRPr="00390868">
        <w:rPr>
          <w:rFonts w:ascii="Arial" w:hAnsi="Arial" w:cs="Arial"/>
        </w:rPr>
        <w:t>Building on the national demand drivers outlined in Figure 3.1 and the local supply structure summarised in Table 3.1, this section examines how demand manifests across individual automotive service lines and why existing provision struggles to absorb it efficiently</w:t>
      </w:r>
      <w:r w:rsidRPr="00390868">
        <w:rPr>
          <w:rFonts w:ascii="Arial" w:hAnsi="Arial" w:cs="Arial"/>
          <w:b/>
          <w:bCs/>
          <w:i/>
          <w:iCs/>
        </w:rPr>
        <w:t>.</w:t>
      </w:r>
    </w:p>
    <w:p w14:paraId="12946DDE" w14:textId="77777777" w:rsidR="0061272F" w:rsidRPr="00390868" w:rsidRDefault="0061272F" w:rsidP="00905241">
      <w:pPr>
        <w:pStyle w:val="Heading3"/>
        <w:spacing w:line="360" w:lineRule="auto"/>
        <w:rPr>
          <w:rFonts w:ascii="Arial" w:hAnsi="Arial" w:cs="Arial"/>
        </w:rPr>
      </w:pPr>
      <w:bookmarkStart w:id="25" w:name="_Toc217830827"/>
      <w:bookmarkStart w:id="26" w:name="_Toc218629237"/>
      <w:r w:rsidRPr="00390868">
        <w:rPr>
          <w:rFonts w:ascii="Arial" w:hAnsi="Arial" w:cs="Arial"/>
        </w:rPr>
        <w:t>3.3.1 Maintenance and Repair (SIC 45200)</w:t>
      </w:r>
      <w:bookmarkEnd w:id="25"/>
      <w:bookmarkEnd w:id="26"/>
    </w:p>
    <w:p w14:paraId="6347A760" w14:textId="77777777" w:rsidR="0061272F" w:rsidRPr="00390868" w:rsidRDefault="0061272F" w:rsidP="00905241">
      <w:pPr>
        <w:spacing w:line="360" w:lineRule="auto"/>
        <w:rPr>
          <w:rFonts w:ascii="Arial" w:hAnsi="Arial" w:cs="Arial"/>
        </w:rPr>
      </w:pPr>
      <w:r w:rsidRPr="00390868">
        <w:rPr>
          <w:rFonts w:ascii="Arial" w:hAnsi="Arial" w:cs="Arial"/>
        </w:rPr>
        <w:t>Maintenance and repair is the largest aftermarket segment, accounting for around 35% of sector revenue (Mintel, 2024). Demand is supported by the scale of the car parc and the ageing profile of UK vehicles (DfT, 2024). In macro terms, the most important insight is that much of this work is non-discretionary: safety, emissions and mechanical integrity failures must be addressed.</w:t>
      </w:r>
    </w:p>
    <w:p w14:paraId="4EED03E3" w14:textId="77777777" w:rsidR="0061272F" w:rsidRPr="00390868" w:rsidRDefault="0061272F" w:rsidP="00905241">
      <w:pPr>
        <w:spacing w:line="360" w:lineRule="auto"/>
        <w:rPr>
          <w:rFonts w:ascii="Arial" w:hAnsi="Arial" w:cs="Arial"/>
        </w:rPr>
      </w:pPr>
      <w:r w:rsidRPr="00390868">
        <w:rPr>
          <w:rFonts w:ascii="Arial" w:hAnsi="Arial" w:cs="Arial"/>
        </w:rPr>
        <w:t>Supply, however, is dominated by micro-businesses. With around 40,000 businesses nationally and approximately 85% classified as micro-enterprises, capability variance is structurally embedded: workshop investment levels, diagnostic equipment quality and process maturity differ widely (McKinsey, 2023). The consequence is an inconsistent customer experience and uneven first-time fix performance—creating a competitive advantage for integrated estates that can standardise workflow, data capture and diagnostics across service units.</w:t>
      </w:r>
    </w:p>
    <w:p w14:paraId="75BAF886" w14:textId="77777777" w:rsidR="0061272F" w:rsidRPr="00390868" w:rsidRDefault="0061272F" w:rsidP="00905241">
      <w:pPr>
        <w:pStyle w:val="Heading3"/>
        <w:spacing w:line="360" w:lineRule="auto"/>
        <w:rPr>
          <w:rFonts w:ascii="Arial" w:hAnsi="Arial" w:cs="Arial"/>
        </w:rPr>
      </w:pPr>
      <w:bookmarkStart w:id="27" w:name="_Toc217830828"/>
      <w:bookmarkStart w:id="28" w:name="_Toc218629238"/>
      <w:r w:rsidRPr="00390868">
        <w:rPr>
          <w:rFonts w:ascii="Arial" w:hAnsi="Arial" w:cs="Arial"/>
        </w:rPr>
        <w:t>3.3.2 MOT Testing</w:t>
      </w:r>
      <w:bookmarkEnd w:id="27"/>
      <w:bookmarkEnd w:id="28"/>
    </w:p>
    <w:p w14:paraId="20DD1D73" w14:textId="77777777" w:rsidR="0061272F" w:rsidRPr="00390868" w:rsidRDefault="0061272F" w:rsidP="00905241">
      <w:pPr>
        <w:spacing w:line="360" w:lineRule="auto"/>
        <w:rPr>
          <w:rFonts w:ascii="Arial" w:hAnsi="Arial" w:cs="Arial"/>
        </w:rPr>
      </w:pPr>
      <w:r w:rsidRPr="00390868">
        <w:rPr>
          <w:rFonts w:ascii="Arial" w:hAnsi="Arial" w:cs="Arial"/>
        </w:rPr>
        <w:t>MOT testing is predictable due to annual compliance requirements. With the DVSA maximum fee limiting price competition, customer choice is influenced primarily by availability, perceived trust and convenience rather than price differentiation (DVSA, 2024). For 1 STATION, MOT is strategically important not only as a direct revenue stream, but as a conversion engine that feeds mechanical, electrical and tyre work through immediate defect identification and resolution.</w:t>
      </w:r>
    </w:p>
    <w:p w14:paraId="5DBF867D" w14:textId="77777777" w:rsidR="0061272F" w:rsidRPr="00390868" w:rsidRDefault="0061272F" w:rsidP="00905241">
      <w:pPr>
        <w:spacing w:line="360" w:lineRule="auto"/>
        <w:rPr>
          <w:rFonts w:ascii="Arial" w:hAnsi="Arial" w:cs="Arial"/>
        </w:rPr>
      </w:pPr>
      <w:r w:rsidRPr="00390868">
        <w:rPr>
          <w:rFonts w:ascii="Arial" w:hAnsi="Arial" w:cs="Arial"/>
        </w:rPr>
        <w:t xml:space="preserve">In Sandwell, the ratio of approximately 1,190 cars per MOT station indicates high local service intensity across authorised sites (derived from DVSA, 2025). When benchmarked against the national average of approximately 1,805 vehicles per station (derived from DfT, 2024; DVSA, 2024), this comparison strengthens the analytical robustness of assessing capacity ratios systematically rather than relying on assumed pressure indicators. The </w:t>
      </w:r>
      <w:r w:rsidRPr="00390868">
        <w:rPr>
          <w:rFonts w:ascii="Arial" w:hAnsi="Arial" w:cs="Arial"/>
        </w:rPr>
        <w:lastRenderedPageBreak/>
        <w:t>operational implication for an integrated estate is clear: a high-throughput MOT lane with immediate repair pathways reduces customer drop-off following test failure and improves conversion into corrective work with higher contribution margins.</w:t>
      </w:r>
    </w:p>
    <w:p w14:paraId="17974EB7" w14:textId="77777777" w:rsidR="0061272F" w:rsidRPr="00390868" w:rsidRDefault="0061272F" w:rsidP="00905241">
      <w:pPr>
        <w:spacing w:line="360" w:lineRule="auto"/>
        <w:rPr>
          <w:rFonts w:ascii="Arial" w:hAnsi="Arial" w:cs="Arial"/>
        </w:rPr>
      </w:pPr>
      <w:r w:rsidRPr="00390868">
        <w:rPr>
          <w:rFonts w:ascii="Arial" w:hAnsi="Arial" w:cs="Arial"/>
        </w:rPr>
        <w:t>Table 3.2: Estimated Demand and Supply Capacity in Sandwell (2024)</w:t>
      </w:r>
      <w:r w:rsidRPr="00390868">
        <w:rPr>
          <w:rFonts w:ascii="Arial" w:hAnsi="Arial" w:cs="Arial"/>
        </w:rPr>
        <w:br/>
      </w:r>
      <w:r w:rsidRPr="0085148C">
        <w:rPr>
          <w:rFonts w:ascii="Arial" w:hAnsi="Arial" w:cs="Arial"/>
          <w:i/>
          <w:iCs/>
        </w:rPr>
        <w:t>(Source: Synthesised from ONS/Nomis, 2024; DVSA, 2025; IMI, 2024; TyreSafe, 2024; Mintel, 2024)</w:t>
      </w:r>
    </w:p>
    <w:tbl>
      <w:tblPr>
        <w:tblStyle w:val="PlainTable1"/>
        <w:tblW w:w="0" w:type="auto"/>
        <w:tblLook w:val="04A0" w:firstRow="1" w:lastRow="0" w:firstColumn="1" w:lastColumn="0" w:noHBand="0" w:noVBand="1"/>
      </w:tblPr>
      <w:tblGrid>
        <w:gridCol w:w="1870"/>
        <w:gridCol w:w="1889"/>
        <w:gridCol w:w="1849"/>
        <w:gridCol w:w="1817"/>
        <w:gridCol w:w="1591"/>
      </w:tblGrid>
      <w:tr w:rsidR="0061272F" w:rsidRPr="00390868" w14:paraId="5FE37120"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B38C23" w14:textId="77777777" w:rsidR="0061272F" w:rsidRPr="00390868" w:rsidRDefault="0061272F" w:rsidP="00905241">
            <w:pPr>
              <w:spacing w:after="160" w:line="360" w:lineRule="auto"/>
              <w:rPr>
                <w:rFonts w:ascii="Arial" w:hAnsi="Arial" w:cs="Arial"/>
              </w:rPr>
            </w:pPr>
            <w:r w:rsidRPr="00390868">
              <w:rPr>
                <w:rFonts w:ascii="Arial" w:hAnsi="Arial" w:cs="Arial"/>
              </w:rPr>
              <w:t>Service Category</w:t>
            </w:r>
          </w:p>
        </w:tc>
        <w:tc>
          <w:tcPr>
            <w:tcW w:w="0" w:type="auto"/>
            <w:hideMark/>
          </w:tcPr>
          <w:p w14:paraId="5D13E365"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Approximate Local Sites</w:t>
            </w:r>
          </w:p>
        </w:tc>
        <w:tc>
          <w:tcPr>
            <w:tcW w:w="0" w:type="auto"/>
            <w:hideMark/>
          </w:tcPr>
          <w:p w14:paraId="5F077ADF"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Indicative Vehicles per Business*</w:t>
            </w:r>
          </w:p>
        </w:tc>
        <w:tc>
          <w:tcPr>
            <w:tcW w:w="0" w:type="auto"/>
            <w:hideMark/>
          </w:tcPr>
          <w:p w14:paraId="3D01AD68"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Capacity Assessment</w:t>
            </w:r>
          </w:p>
        </w:tc>
        <w:tc>
          <w:tcPr>
            <w:tcW w:w="0" w:type="auto"/>
            <w:hideMark/>
          </w:tcPr>
          <w:p w14:paraId="046633F2"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Key Data Source</w:t>
            </w:r>
          </w:p>
        </w:tc>
      </w:tr>
      <w:tr w:rsidR="0061272F" w:rsidRPr="00390868" w14:paraId="2056C4AD"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77CAE4" w14:textId="77777777" w:rsidR="0061272F" w:rsidRPr="00390868" w:rsidRDefault="0061272F" w:rsidP="00905241">
            <w:pPr>
              <w:spacing w:after="160" w:line="360" w:lineRule="auto"/>
              <w:rPr>
                <w:rFonts w:ascii="Arial" w:hAnsi="Arial" w:cs="Arial"/>
              </w:rPr>
            </w:pPr>
            <w:r w:rsidRPr="00390868">
              <w:rPr>
                <w:rFonts w:ascii="Arial" w:hAnsi="Arial" w:cs="Arial"/>
              </w:rPr>
              <w:t>MOT Testing</w:t>
            </w:r>
          </w:p>
        </w:tc>
        <w:tc>
          <w:tcPr>
            <w:tcW w:w="0" w:type="auto"/>
            <w:hideMark/>
          </w:tcPr>
          <w:p w14:paraId="15AF66BF"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115</w:t>
            </w:r>
          </w:p>
        </w:tc>
        <w:tc>
          <w:tcPr>
            <w:tcW w:w="0" w:type="auto"/>
            <w:hideMark/>
          </w:tcPr>
          <w:p w14:paraId="05055FA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1,190</w:t>
            </w:r>
          </w:p>
        </w:tc>
        <w:tc>
          <w:tcPr>
            <w:tcW w:w="0" w:type="auto"/>
            <w:hideMark/>
          </w:tcPr>
          <w:p w14:paraId="3A33D207"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High pressure indicators</w:t>
            </w:r>
          </w:p>
        </w:tc>
        <w:tc>
          <w:tcPr>
            <w:tcW w:w="0" w:type="auto"/>
            <w:hideMark/>
          </w:tcPr>
          <w:p w14:paraId="710D2524"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DVSA (2025)</w:t>
            </w:r>
          </w:p>
        </w:tc>
      </w:tr>
      <w:tr w:rsidR="0061272F" w:rsidRPr="00390868" w14:paraId="19C410F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3BC3D838" w14:textId="77777777" w:rsidR="0061272F" w:rsidRPr="00390868" w:rsidRDefault="0061272F" w:rsidP="00905241">
            <w:pPr>
              <w:spacing w:after="160" w:line="360" w:lineRule="auto"/>
              <w:rPr>
                <w:rFonts w:ascii="Arial" w:hAnsi="Arial" w:cs="Arial"/>
              </w:rPr>
            </w:pPr>
            <w:r w:rsidRPr="00390868">
              <w:rPr>
                <w:rFonts w:ascii="Arial" w:hAnsi="Arial" w:cs="Arial"/>
              </w:rPr>
              <w:t>Mechanical Repair (SIC 45200)</w:t>
            </w:r>
          </w:p>
        </w:tc>
        <w:tc>
          <w:tcPr>
            <w:tcW w:w="0" w:type="auto"/>
            <w:hideMark/>
          </w:tcPr>
          <w:p w14:paraId="634ABF19"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211 registered businesses</w:t>
            </w:r>
          </w:p>
        </w:tc>
        <w:tc>
          <w:tcPr>
            <w:tcW w:w="0" w:type="auto"/>
            <w:hideMark/>
          </w:tcPr>
          <w:p w14:paraId="45920B5B"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Indicative only</w:t>
            </w:r>
          </w:p>
        </w:tc>
        <w:tc>
          <w:tcPr>
            <w:tcW w:w="0" w:type="auto"/>
            <w:hideMark/>
          </w:tcPr>
          <w:p w14:paraId="0ECA83C5"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Medium</w:t>
            </w:r>
          </w:p>
        </w:tc>
        <w:tc>
          <w:tcPr>
            <w:tcW w:w="0" w:type="auto"/>
            <w:hideMark/>
          </w:tcPr>
          <w:p w14:paraId="0A2DCAA7"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ONS/Nomis (2024)</w:t>
            </w:r>
          </w:p>
        </w:tc>
      </w:tr>
      <w:tr w:rsidR="0061272F" w:rsidRPr="00390868" w14:paraId="7EFD00D7"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C3C63" w14:textId="77777777" w:rsidR="0061272F" w:rsidRPr="00390868" w:rsidRDefault="0061272F" w:rsidP="00905241">
            <w:pPr>
              <w:spacing w:after="160" w:line="360" w:lineRule="auto"/>
              <w:rPr>
                <w:rFonts w:ascii="Arial" w:hAnsi="Arial" w:cs="Arial"/>
              </w:rPr>
            </w:pPr>
            <w:r w:rsidRPr="00390868">
              <w:rPr>
                <w:rFonts w:ascii="Arial" w:hAnsi="Arial" w:cs="Arial"/>
              </w:rPr>
              <w:t>Body and Paint Shops</w:t>
            </w:r>
          </w:p>
        </w:tc>
        <w:tc>
          <w:tcPr>
            <w:tcW w:w="0" w:type="auto"/>
            <w:hideMark/>
          </w:tcPr>
          <w:p w14:paraId="63355537"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 38</w:t>
            </w:r>
          </w:p>
        </w:tc>
        <w:tc>
          <w:tcPr>
            <w:tcW w:w="0" w:type="auto"/>
            <w:hideMark/>
          </w:tcPr>
          <w:p w14:paraId="1013021D"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3,420</w:t>
            </w:r>
          </w:p>
        </w:tc>
        <w:tc>
          <w:tcPr>
            <w:tcW w:w="0" w:type="auto"/>
            <w:hideMark/>
          </w:tcPr>
          <w:p w14:paraId="4444D1ED"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High</w:t>
            </w:r>
          </w:p>
        </w:tc>
        <w:tc>
          <w:tcPr>
            <w:tcW w:w="0" w:type="auto"/>
            <w:hideMark/>
          </w:tcPr>
          <w:p w14:paraId="1F363E34"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IBISWorld (2024)</w:t>
            </w:r>
          </w:p>
        </w:tc>
      </w:tr>
      <w:tr w:rsidR="0061272F" w:rsidRPr="00390868" w14:paraId="40BC6589"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B1641E6" w14:textId="77777777" w:rsidR="0061272F" w:rsidRPr="00390868" w:rsidRDefault="0061272F" w:rsidP="00905241">
            <w:pPr>
              <w:spacing w:after="160" w:line="360" w:lineRule="auto"/>
              <w:rPr>
                <w:rFonts w:ascii="Arial" w:hAnsi="Arial" w:cs="Arial"/>
              </w:rPr>
            </w:pPr>
            <w:r w:rsidRPr="00390868">
              <w:rPr>
                <w:rFonts w:ascii="Arial" w:hAnsi="Arial" w:cs="Arial"/>
              </w:rPr>
              <w:t>Tyre Fitting Outlets</w:t>
            </w:r>
          </w:p>
        </w:tc>
        <w:tc>
          <w:tcPr>
            <w:tcW w:w="0" w:type="auto"/>
            <w:hideMark/>
          </w:tcPr>
          <w:p w14:paraId="2FEAEFE5"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 31</w:t>
            </w:r>
          </w:p>
        </w:tc>
        <w:tc>
          <w:tcPr>
            <w:tcW w:w="0" w:type="auto"/>
            <w:hideMark/>
          </w:tcPr>
          <w:p w14:paraId="6301E7C6"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3,910</w:t>
            </w:r>
          </w:p>
        </w:tc>
        <w:tc>
          <w:tcPr>
            <w:tcW w:w="0" w:type="auto"/>
            <w:hideMark/>
          </w:tcPr>
          <w:p w14:paraId="5B2590FD"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High</w:t>
            </w:r>
          </w:p>
        </w:tc>
        <w:tc>
          <w:tcPr>
            <w:tcW w:w="0" w:type="auto"/>
            <w:hideMark/>
          </w:tcPr>
          <w:p w14:paraId="4B380FA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TyreSafe (2024)</w:t>
            </w:r>
          </w:p>
        </w:tc>
      </w:tr>
    </w:tbl>
    <w:p w14:paraId="16900EA4" w14:textId="77777777" w:rsidR="0061272F" w:rsidRPr="00390868" w:rsidRDefault="0061272F" w:rsidP="00905241">
      <w:pPr>
        <w:spacing w:line="360" w:lineRule="auto"/>
        <w:rPr>
          <w:rFonts w:ascii="Arial" w:hAnsi="Arial" w:cs="Arial"/>
          <w:b/>
          <w:bCs/>
        </w:rPr>
      </w:pPr>
      <w:r w:rsidRPr="00390868">
        <w:rPr>
          <w:rFonts w:ascii="Arial" w:hAnsi="Arial" w:cs="Arial"/>
          <w:b/>
          <w:bCs/>
        </w:rPr>
        <w:t>*</w:t>
      </w:r>
      <w:r w:rsidRPr="00390868">
        <w:rPr>
          <w:rFonts w:ascii="Arial" w:hAnsi="Arial" w:cs="Arial"/>
        </w:rPr>
        <w:t>Indicative ratios are provided for comparative purposes and do not imply uniform annual servicing demand.</w:t>
      </w:r>
    </w:p>
    <w:p w14:paraId="2F8E6333" w14:textId="77777777" w:rsidR="0061272F" w:rsidRPr="00390868" w:rsidRDefault="0061272F" w:rsidP="00905241">
      <w:pPr>
        <w:pStyle w:val="Heading3"/>
        <w:spacing w:line="360" w:lineRule="auto"/>
        <w:rPr>
          <w:rFonts w:ascii="Arial" w:hAnsi="Arial" w:cs="Arial"/>
        </w:rPr>
      </w:pPr>
      <w:bookmarkStart w:id="29" w:name="_Toc217830829"/>
      <w:bookmarkStart w:id="30" w:name="_Toc218629239"/>
      <w:r w:rsidRPr="00390868">
        <w:rPr>
          <w:rFonts w:ascii="Arial" w:hAnsi="Arial" w:cs="Arial"/>
        </w:rPr>
        <w:t>3.3.3 Tyre Fitting and Repair</w:t>
      </w:r>
      <w:bookmarkEnd w:id="29"/>
      <w:bookmarkEnd w:id="30"/>
    </w:p>
    <w:p w14:paraId="04806928" w14:textId="77777777" w:rsidR="0061272F" w:rsidRPr="00390868" w:rsidRDefault="0061272F" w:rsidP="00905241">
      <w:pPr>
        <w:spacing w:line="360" w:lineRule="auto"/>
        <w:rPr>
          <w:rFonts w:ascii="Arial" w:hAnsi="Arial" w:cs="Arial"/>
        </w:rPr>
      </w:pPr>
      <w:r w:rsidRPr="00390868">
        <w:rPr>
          <w:rFonts w:ascii="Arial" w:hAnsi="Arial" w:cs="Arial"/>
        </w:rPr>
        <w:t>Tyres represent one of the highest-frequency service categories within the UK automotive aftermarket, with motorists purchasing approximately 30 million tyres annually (TyreSafe, 2024). Demand is driven by wear, punctures, MOT failures and seasonal changeovers. EV adoption further increases tyre intensity due to higher torque output and vehicle weight, with consultancy evidence indicating accelerated wear rates relative to internal-combustion vehicles (McKinsey, 2023).</w:t>
      </w:r>
    </w:p>
    <w:p w14:paraId="4D4EDDE6" w14:textId="77777777" w:rsidR="0061272F" w:rsidRPr="00390868" w:rsidRDefault="0061272F" w:rsidP="00905241">
      <w:pPr>
        <w:spacing w:line="360" w:lineRule="auto"/>
        <w:rPr>
          <w:rFonts w:ascii="Arial" w:hAnsi="Arial" w:cs="Arial"/>
        </w:rPr>
      </w:pPr>
      <w:r w:rsidRPr="00390868">
        <w:rPr>
          <w:rFonts w:ascii="Arial" w:hAnsi="Arial" w:cs="Arial"/>
        </w:rPr>
        <w:t>Figure 3.2: Annual Tyre Demand in the UK and EV-Related Share Growth (2019–2024)</w:t>
      </w:r>
      <w:r w:rsidRPr="00390868">
        <w:rPr>
          <w:rFonts w:ascii="Arial" w:hAnsi="Arial" w:cs="Arial"/>
        </w:rPr>
        <w:br/>
      </w:r>
      <w:r w:rsidRPr="0085148C">
        <w:rPr>
          <w:rFonts w:ascii="Arial" w:hAnsi="Arial" w:cs="Arial"/>
          <w:i/>
          <w:iCs/>
        </w:rPr>
        <w:t>(Source: Based on data from TyreSafe, 2024; IMI, 2024; McKinsey, 2023)</w:t>
      </w:r>
    </w:p>
    <w:p w14:paraId="65A3AD80" w14:textId="77777777" w:rsidR="0061272F" w:rsidRPr="00390868" w:rsidRDefault="0061272F" w:rsidP="00905241">
      <w:pPr>
        <w:spacing w:line="360" w:lineRule="auto"/>
        <w:rPr>
          <w:rFonts w:ascii="Arial" w:hAnsi="Arial" w:cs="Arial"/>
          <w:b/>
          <w:bCs/>
        </w:rPr>
      </w:pPr>
      <w:r w:rsidRPr="00390868">
        <w:rPr>
          <w:rFonts w:ascii="Arial" w:hAnsi="Arial" w:cs="Arial"/>
          <w:noProof/>
        </w:rPr>
        <w:lastRenderedPageBreak/>
        <w:drawing>
          <wp:inline distT="0" distB="0" distL="0" distR="0" wp14:anchorId="7437D315" wp14:editId="1CA9B322">
            <wp:extent cx="4572000" cy="2743200"/>
            <wp:effectExtent l="0" t="0" r="0" b="0"/>
            <wp:docPr id="1194791120" name="Chart 1">
              <a:extLst xmlns:a="http://schemas.openxmlformats.org/drawingml/2006/main">
                <a:ext uri="{FF2B5EF4-FFF2-40B4-BE49-F238E27FC236}">
                  <a16:creationId xmlns:a16="http://schemas.microsoft.com/office/drawing/2014/main" id="{27BE40A5-33F1-EA39-9EAF-6BB48505C5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43E562" w14:textId="77777777" w:rsidR="0061272F" w:rsidRPr="00390868" w:rsidRDefault="0061272F" w:rsidP="00905241">
      <w:pPr>
        <w:spacing w:line="360" w:lineRule="auto"/>
        <w:rPr>
          <w:rFonts w:ascii="Arial" w:hAnsi="Arial" w:cs="Arial"/>
        </w:rPr>
      </w:pPr>
      <w:r w:rsidRPr="00390868">
        <w:rPr>
          <w:rFonts w:ascii="Arial" w:hAnsi="Arial" w:cs="Arial"/>
        </w:rPr>
        <w:t>Local supply in Sandwell remains fragmented and often focused on basic fitting and balancing. The strategic gap is therefore not the absolute number of tyre outlets, but limited access to 3D alignment, integrated diagnostics and transparent pricing—features shown to drive trust and repeat usage (Mintel, 2024). Within an estate model, tyres operate as both a standalone revenue stream and a feeder into mechanical services such as alignment, braking and suspension checks, strengthening cross-service utilisation.</w:t>
      </w:r>
    </w:p>
    <w:p w14:paraId="6EC3D14B" w14:textId="07BCB563" w:rsidR="0061272F" w:rsidRPr="00390868" w:rsidRDefault="0061272F" w:rsidP="00905241">
      <w:pPr>
        <w:pStyle w:val="Heading3"/>
        <w:spacing w:line="360" w:lineRule="auto"/>
        <w:rPr>
          <w:rFonts w:ascii="Arial" w:hAnsi="Arial" w:cs="Arial"/>
        </w:rPr>
      </w:pPr>
      <w:bookmarkStart w:id="31" w:name="_Toc217830830"/>
      <w:bookmarkStart w:id="32" w:name="_Toc218629240"/>
      <w:r w:rsidRPr="00390868">
        <w:rPr>
          <w:rFonts w:ascii="Arial" w:hAnsi="Arial" w:cs="Arial"/>
        </w:rPr>
        <w:t>3.</w:t>
      </w:r>
      <w:r w:rsidR="00F644A8" w:rsidRPr="00390868">
        <w:rPr>
          <w:rFonts w:ascii="Arial" w:hAnsi="Arial" w:cs="Arial"/>
        </w:rPr>
        <w:t>3.</w:t>
      </w:r>
      <w:r w:rsidR="009C2CCC" w:rsidRPr="00390868">
        <w:rPr>
          <w:rFonts w:ascii="Arial" w:hAnsi="Arial" w:cs="Arial"/>
        </w:rPr>
        <w:t>4</w:t>
      </w:r>
      <w:r w:rsidRPr="00390868">
        <w:rPr>
          <w:rFonts w:ascii="Arial" w:hAnsi="Arial" w:cs="Arial"/>
        </w:rPr>
        <w:t xml:space="preserve"> Bodywork and Paint Restoration</w:t>
      </w:r>
      <w:bookmarkEnd w:id="31"/>
      <w:bookmarkEnd w:id="32"/>
    </w:p>
    <w:p w14:paraId="69410B47" w14:textId="77777777" w:rsidR="0061272F" w:rsidRPr="00390868" w:rsidRDefault="0061272F" w:rsidP="00905241">
      <w:pPr>
        <w:spacing w:line="360" w:lineRule="auto"/>
        <w:rPr>
          <w:rFonts w:ascii="Arial" w:hAnsi="Arial" w:cs="Arial"/>
        </w:rPr>
      </w:pPr>
      <w:r w:rsidRPr="00390868">
        <w:rPr>
          <w:rFonts w:ascii="Arial" w:hAnsi="Arial" w:cs="Arial"/>
        </w:rPr>
        <w:t>Bodywork and paint restoration is economically significant and operationally constrained. Insurance claim volumes and increasing vehicle complexity—particularly ADAS integration and mixed-material construction—raise both demand and technical requirements (FCA, 2024; McKinsey, 2023). Capacity constraints are evident across many UK localities, with extended waiting times and insurer-network prioritisation limiting walk-in availability (Frost and Sullivan, 2023).</w:t>
      </w:r>
    </w:p>
    <w:p w14:paraId="7F5A8552" w14:textId="1DF5B34F" w:rsidR="0061272F" w:rsidRPr="0085148C" w:rsidRDefault="0061272F" w:rsidP="00905241">
      <w:pPr>
        <w:spacing w:line="360" w:lineRule="auto"/>
        <w:rPr>
          <w:rFonts w:ascii="Arial" w:hAnsi="Arial" w:cs="Arial"/>
          <w:i/>
          <w:iCs/>
        </w:rPr>
      </w:pPr>
      <w:r w:rsidRPr="00390868">
        <w:rPr>
          <w:rFonts w:ascii="Arial" w:hAnsi="Arial" w:cs="Arial"/>
        </w:rPr>
        <w:t>Figure 3.3: Estimated UK Accident-Repair Demand vs Available Bodyshop Capacity (2019–2024)</w:t>
      </w:r>
      <w:r w:rsidRPr="00390868">
        <w:rPr>
          <w:rFonts w:ascii="Arial" w:hAnsi="Arial" w:cs="Arial"/>
        </w:rPr>
        <w:br/>
      </w:r>
      <w:r w:rsidRPr="0085148C">
        <w:rPr>
          <w:rFonts w:ascii="Arial" w:hAnsi="Arial" w:cs="Arial"/>
          <w:i/>
          <w:iCs/>
        </w:rPr>
        <w:t>(Source: Based on data from ABI, 202</w:t>
      </w:r>
      <w:r w:rsidR="000A7384" w:rsidRPr="0085148C">
        <w:rPr>
          <w:rFonts w:ascii="Arial" w:hAnsi="Arial" w:cs="Arial"/>
          <w:i/>
          <w:iCs/>
        </w:rPr>
        <w:t>4</w:t>
      </w:r>
      <w:r w:rsidRPr="0085148C">
        <w:rPr>
          <w:rFonts w:ascii="Arial" w:hAnsi="Arial" w:cs="Arial"/>
          <w:i/>
          <w:iCs/>
        </w:rPr>
        <w:t>; FCA, 2024; Frost and Sullivan, 2023)</w:t>
      </w:r>
    </w:p>
    <w:p w14:paraId="4EB99585" w14:textId="77777777" w:rsidR="0061272F" w:rsidRPr="00390868" w:rsidRDefault="0061272F" w:rsidP="00905241">
      <w:pPr>
        <w:spacing w:line="360" w:lineRule="auto"/>
        <w:rPr>
          <w:rFonts w:ascii="Arial" w:hAnsi="Arial" w:cs="Arial"/>
          <w:b/>
          <w:bCs/>
        </w:rPr>
      </w:pPr>
      <w:r w:rsidRPr="00390868">
        <w:rPr>
          <w:rFonts w:ascii="Arial" w:hAnsi="Arial" w:cs="Arial"/>
          <w:noProof/>
        </w:rPr>
        <w:lastRenderedPageBreak/>
        <w:drawing>
          <wp:inline distT="0" distB="0" distL="0" distR="0" wp14:anchorId="3549E569" wp14:editId="3C58A329">
            <wp:extent cx="4572000" cy="2743200"/>
            <wp:effectExtent l="0" t="0" r="0" b="0"/>
            <wp:docPr id="1399396126" name="Chart 1">
              <a:extLst xmlns:a="http://schemas.openxmlformats.org/drawingml/2006/main">
                <a:ext uri="{FF2B5EF4-FFF2-40B4-BE49-F238E27FC236}">
                  <a16:creationId xmlns:a16="http://schemas.microsoft.com/office/drawing/2014/main" id="{DECEF114-AEB0-9F16-D79E-F17498E850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A9FD89" w14:textId="77777777" w:rsidR="0061272F" w:rsidRPr="00390868" w:rsidRDefault="0061272F" w:rsidP="00905241">
      <w:pPr>
        <w:spacing w:line="360" w:lineRule="auto"/>
        <w:rPr>
          <w:rFonts w:ascii="Arial" w:hAnsi="Arial" w:cs="Arial"/>
          <w:b/>
          <w:bCs/>
        </w:rPr>
      </w:pPr>
      <w:r w:rsidRPr="00390868">
        <w:rPr>
          <w:rFonts w:ascii="Arial" w:hAnsi="Arial" w:cs="Arial"/>
        </w:rPr>
        <w:t>In Sandwell, an estimated 38–40 bodyshops serving a dense vehicle parc imply high vehicles-per-shop ratios (Table 3.2). For 1 STATION, bodywork offers high-value revenue diversification and materially increases customer lifetime value, but requires disciplined operational control across spray-booth compliance, scheduling, parts logistics and insurer interfaces</w:t>
      </w:r>
      <w:r w:rsidRPr="00390868">
        <w:rPr>
          <w:rFonts w:ascii="Arial" w:hAnsi="Arial" w:cs="Arial"/>
          <w:b/>
          <w:bCs/>
        </w:rPr>
        <w:t>.</w:t>
      </w:r>
    </w:p>
    <w:p w14:paraId="54705207" w14:textId="77777777" w:rsidR="0061272F" w:rsidRPr="00390868" w:rsidRDefault="0061272F" w:rsidP="00905241">
      <w:pPr>
        <w:pStyle w:val="Heading3"/>
        <w:spacing w:line="360" w:lineRule="auto"/>
        <w:rPr>
          <w:rFonts w:ascii="Arial" w:hAnsi="Arial" w:cs="Arial"/>
        </w:rPr>
      </w:pPr>
      <w:bookmarkStart w:id="33" w:name="_Toc217830831"/>
      <w:bookmarkStart w:id="34" w:name="_Toc218629241"/>
      <w:r w:rsidRPr="00390868">
        <w:rPr>
          <w:rFonts w:ascii="Arial" w:hAnsi="Arial" w:cs="Arial"/>
        </w:rPr>
        <w:t>3.3.5 EV and Hybrid Servicing</w:t>
      </w:r>
      <w:bookmarkEnd w:id="33"/>
      <w:bookmarkEnd w:id="34"/>
    </w:p>
    <w:p w14:paraId="7407A78A" w14:textId="77777777" w:rsidR="0061272F" w:rsidRPr="00390868" w:rsidRDefault="0061272F" w:rsidP="00905241">
      <w:pPr>
        <w:spacing w:line="360" w:lineRule="auto"/>
        <w:rPr>
          <w:rFonts w:ascii="Arial" w:hAnsi="Arial" w:cs="Arial"/>
        </w:rPr>
      </w:pPr>
      <w:r w:rsidRPr="00390868">
        <w:rPr>
          <w:rFonts w:ascii="Arial" w:hAnsi="Arial" w:cs="Arial"/>
        </w:rPr>
        <w:t>Electrification represents the most disruptive structural shift in the aftermarket. EV and hybrid vehicles accounted for 21.9% of new registrations in 2024 (SMMT, 2024). Capability expansion has not kept pace: only 6% of technicians currently hold EV or hybrid high-voltage certification, creating a structurally constrained supply environment (IMI, 2024).</w:t>
      </w:r>
    </w:p>
    <w:p w14:paraId="64B34088" w14:textId="77777777" w:rsidR="0061272F" w:rsidRPr="00390868" w:rsidRDefault="0061272F" w:rsidP="00905241">
      <w:pPr>
        <w:spacing w:line="360" w:lineRule="auto"/>
        <w:rPr>
          <w:rFonts w:ascii="Arial" w:hAnsi="Arial" w:cs="Arial"/>
        </w:rPr>
      </w:pPr>
      <w:r w:rsidRPr="00390868">
        <w:rPr>
          <w:rFonts w:ascii="Arial" w:hAnsi="Arial" w:cs="Arial"/>
        </w:rPr>
        <w:t>Table 3.3: Estimated UK EV Parc vs High-Voltage Technician Availability (2019–2024)</w:t>
      </w:r>
      <w:r w:rsidRPr="00390868">
        <w:rPr>
          <w:rFonts w:ascii="Arial" w:hAnsi="Arial" w:cs="Arial"/>
        </w:rPr>
        <w:br/>
      </w:r>
      <w:r w:rsidRPr="0085148C">
        <w:rPr>
          <w:rFonts w:ascii="Arial" w:hAnsi="Arial" w:cs="Arial"/>
          <w:i/>
          <w:iCs/>
        </w:rPr>
        <w:t xml:space="preserve">(Source: Based on data from IMI, 2024; SMMT, 2024) </w:t>
      </w:r>
    </w:p>
    <w:tbl>
      <w:tblPr>
        <w:tblStyle w:val="PlainTable1"/>
        <w:tblW w:w="0" w:type="auto"/>
        <w:tblLook w:val="04A0" w:firstRow="1" w:lastRow="0" w:firstColumn="1" w:lastColumn="0" w:noHBand="0" w:noVBand="1"/>
      </w:tblPr>
      <w:tblGrid>
        <w:gridCol w:w="706"/>
        <w:gridCol w:w="1459"/>
        <w:gridCol w:w="1249"/>
        <w:gridCol w:w="1841"/>
        <w:gridCol w:w="2329"/>
        <w:gridCol w:w="1432"/>
      </w:tblGrid>
      <w:tr w:rsidR="0061272F" w:rsidRPr="00390868" w14:paraId="58F375EA"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F94B8" w14:textId="77777777" w:rsidR="0061272F" w:rsidRPr="00390868" w:rsidRDefault="0061272F" w:rsidP="00905241">
            <w:pPr>
              <w:spacing w:after="160" w:line="360" w:lineRule="auto"/>
              <w:rPr>
                <w:rFonts w:ascii="Arial" w:hAnsi="Arial" w:cs="Arial"/>
              </w:rPr>
            </w:pPr>
            <w:r w:rsidRPr="00390868">
              <w:rPr>
                <w:rFonts w:ascii="Arial" w:hAnsi="Arial" w:cs="Arial"/>
              </w:rPr>
              <w:t>Year</w:t>
            </w:r>
          </w:p>
        </w:tc>
        <w:tc>
          <w:tcPr>
            <w:tcW w:w="0" w:type="auto"/>
            <w:hideMark/>
          </w:tcPr>
          <w:p w14:paraId="0FB94597"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UK EV Parc (Millions)</w:t>
            </w:r>
          </w:p>
        </w:tc>
        <w:tc>
          <w:tcPr>
            <w:tcW w:w="0" w:type="auto"/>
            <w:hideMark/>
          </w:tcPr>
          <w:p w14:paraId="51AF772A"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Annual Growth (%)</w:t>
            </w:r>
          </w:p>
        </w:tc>
        <w:tc>
          <w:tcPr>
            <w:tcW w:w="0" w:type="auto"/>
            <w:hideMark/>
          </w:tcPr>
          <w:p w14:paraId="537B60C5"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IMI-Certified HV Technicians</w:t>
            </w:r>
          </w:p>
        </w:tc>
        <w:tc>
          <w:tcPr>
            <w:tcW w:w="0" w:type="auto"/>
            <w:hideMark/>
          </w:tcPr>
          <w:p w14:paraId="3F3C4F97"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Technician Coverage (EVs per Certified Technician)</w:t>
            </w:r>
          </w:p>
        </w:tc>
        <w:tc>
          <w:tcPr>
            <w:tcW w:w="0" w:type="auto"/>
            <w:hideMark/>
          </w:tcPr>
          <w:p w14:paraId="07C62E86"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Sources</w:t>
            </w:r>
          </w:p>
        </w:tc>
      </w:tr>
      <w:tr w:rsidR="0061272F" w:rsidRPr="00390868" w14:paraId="0BB9F14C"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F646F" w14:textId="77777777" w:rsidR="0061272F" w:rsidRPr="00390868" w:rsidRDefault="0061272F" w:rsidP="00905241">
            <w:pPr>
              <w:spacing w:after="160" w:line="360" w:lineRule="auto"/>
              <w:rPr>
                <w:rFonts w:ascii="Arial" w:hAnsi="Arial" w:cs="Arial"/>
              </w:rPr>
            </w:pPr>
            <w:r w:rsidRPr="00390868">
              <w:rPr>
                <w:rFonts w:ascii="Arial" w:hAnsi="Arial" w:cs="Arial"/>
              </w:rPr>
              <w:t>2019</w:t>
            </w:r>
          </w:p>
        </w:tc>
        <w:tc>
          <w:tcPr>
            <w:tcW w:w="0" w:type="auto"/>
            <w:hideMark/>
          </w:tcPr>
          <w:p w14:paraId="76BCA24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0.23</w:t>
            </w:r>
          </w:p>
        </w:tc>
        <w:tc>
          <w:tcPr>
            <w:tcW w:w="0" w:type="auto"/>
            <w:hideMark/>
          </w:tcPr>
          <w:p w14:paraId="3DAB7C14"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76C3DAE9"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7,000</w:t>
            </w:r>
          </w:p>
        </w:tc>
        <w:tc>
          <w:tcPr>
            <w:tcW w:w="0" w:type="auto"/>
            <w:hideMark/>
          </w:tcPr>
          <w:p w14:paraId="52B22011"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~33 EVs per technician</w:t>
            </w:r>
          </w:p>
        </w:tc>
        <w:tc>
          <w:tcPr>
            <w:tcW w:w="0" w:type="auto"/>
            <w:hideMark/>
          </w:tcPr>
          <w:p w14:paraId="16851D1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IMI (2024); SMMT (2024)</w:t>
            </w:r>
          </w:p>
        </w:tc>
      </w:tr>
      <w:tr w:rsidR="0061272F" w:rsidRPr="00390868" w14:paraId="37EF66AC"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76AA056" w14:textId="77777777" w:rsidR="0061272F" w:rsidRPr="00390868" w:rsidRDefault="0061272F" w:rsidP="00905241">
            <w:pPr>
              <w:spacing w:after="160" w:line="360" w:lineRule="auto"/>
              <w:rPr>
                <w:rFonts w:ascii="Arial" w:hAnsi="Arial" w:cs="Arial"/>
              </w:rPr>
            </w:pPr>
            <w:r w:rsidRPr="00390868">
              <w:rPr>
                <w:rFonts w:ascii="Arial" w:hAnsi="Arial" w:cs="Arial"/>
              </w:rPr>
              <w:t>2020</w:t>
            </w:r>
          </w:p>
        </w:tc>
        <w:tc>
          <w:tcPr>
            <w:tcW w:w="0" w:type="auto"/>
            <w:hideMark/>
          </w:tcPr>
          <w:p w14:paraId="5095F82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0.32</w:t>
            </w:r>
          </w:p>
        </w:tc>
        <w:tc>
          <w:tcPr>
            <w:tcW w:w="0" w:type="auto"/>
            <w:hideMark/>
          </w:tcPr>
          <w:p w14:paraId="245CF19E"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39%</w:t>
            </w:r>
          </w:p>
        </w:tc>
        <w:tc>
          <w:tcPr>
            <w:tcW w:w="0" w:type="auto"/>
            <w:hideMark/>
          </w:tcPr>
          <w:p w14:paraId="1CADF5E5"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8,500</w:t>
            </w:r>
          </w:p>
        </w:tc>
        <w:tc>
          <w:tcPr>
            <w:tcW w:w="0" w:type="auto"/>
            <w:hideMark/>
          </w:tcPr>
          <w:p w14:paraId="58BF0E35"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~38 EVs per technician</w:t>
            </w:r>
          </w:p>
        </w:tc>
        <w:tc>
          <w:tcPr>
            <w:tcW w:w="0" w:type="auto"/>
            <w:hideMark/>
          </w:tcPr>
          <w:p w14:paraId="3490F40D"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 SMMT</w:t>
            </w:r>
          </w:p>
        </w:tc>
      </w:tr>
      <w:tr w:rsidR="0061272F" w:rsidRPr="00390868" w14:paraId="0228D6F2"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2A70D"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2021</w:t>
            </w:r>
          </w:p>
        </w:tc>
        <w:tc>
          <w:tcPr>
            <w:tcW w:w="0" w:type="auto"/>
            <w:hideMark/>
          </w:tcPr>
          <w:p w14:paraId="760FA45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0.48</w:t>
            </w:r>
          </w:p>
        </w:tc>
        <w:tc>
          <w:tcPr>
            <w:tcW w:w="0" w:type="auto"/>
            <w:hideMark/>
          </w:tcPr>
          <w:p w14:paraId="512193B9"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w:t>
            </w:r>
          </w:p>
        </w:tc>
        <w:tc>
          <w:tcPr>
            <w:tcW w:w="0" w:type="auto"/>
            <w:hideMark/>
          </w:tcPr>
          <w:p w14:paraId="102CF780"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10,200</w:t>
            </w:r>
          </w:p>
        </w:tc>
        <w:tc>
          <w:tcPr>
            <w:tcW w:w="0" w:type="auto"/>
            <w:hideMark/>
          </w:tcPr>
          <w:p w14:paraId="281FB46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~47 EVs per technician</w:t>
            </w:r>
          </w:p>
        </w:tc>
        <w:tc>
          <w:tcPr>
            <w:tcW w:w="0" w:type="auto"/>
            <w:hideMark/>
          </w:tcPr>
          <w:p w14:paraId="6359AC0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IMI; SMMT</w:t>
            </w:r>
          </w:p>
        </w:tc>
      </w:tr>
      <w:tr w:rsidR="0061272F" w:rsidRPr="00390868" w14:paraId="5CCD5CF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3CAABF2" w14:textId="77777777" w:rsidR="0061272F" w:rsidRPr="00390868" w:rsidRDefault="0061272F" w:rsidP="00905241">
            <w:pPr>
              <w:spacing w:after="160" w:line="360" w:lineRule="auto"/>
              <w:rPr>
                <w:rFonts w:ascii="Arial" w:hAnsi="Arial" w:cs="Arial"/>
              </w:rPr>
            </w:pPr>
            <w:r w:rsidRPr="00390868">
              <w:rPr>
                <w:rFonts w:ascii="Arial" w:hAnsi="Arial" w:cs="Arial"/>
              </w:rPr>
              <w:t>2022</w:t>
            </w:r>
          </w:p>
        </w:tc>
        <w:tc>
          <w:tcPr>
            <w:tcW w:w="0" w:type="auto"/>
            <w:hideMark/>
          </w:tcPr>
          <w:p w14:paraId="41335F4C"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0.77</w:t>
            </w:r>
          </w:p>
        </w:tc>
        <w:tc>
          <w:tcPr>
            <w:tcW w:w="0" w:type="auto"/>
            <w:hideMark/>
          </w:tcPr>
          <w:p w14:paraId="6ADBC53E"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60%</w:t>
            </w:r>
          </w:p>
        </w:tc>
        <w:tc>
          <w:tcPr>
            <w:tcW w:w="0" w:type="auto"/>
            <w:hideMark/>
          </w:tcPr>
          <w:p w14:paraId="0C2AC52D"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12,300</w:t>
            </w:r>
          </w:p>
        </w:tc>
        <w:tc>
          <w:tcPr>
            <w:tcW w:w="0" w:type="auto"/>
            <w:hideMark/>
          </w:tcPr>
          <w:p w14:paraId="5FDB075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~63 EVs per technician</w:t>
            </w:r>
          </w:p>
        </w:tc>
        <w:tc>
          <w:tcPr>
            <w:tcW w:w="0" w:type="auto"/>
            <w:hideMark/>
          </w:tcPr>
          <w:p w14:paraId="70B4A290"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 SMMT</w:t>
            </w:r>
          </w:p>
        </w:tc>
      </w:tr>
      <w:tr w:rsidR="0061272F" w:rsidRPr="00390868" w14:paraId="20A88A41"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4EDF6" w14:textId="77777777" w:rsidR="0061272F" w:rsidRPr="00390868" w:rsidRDefault="0061272F" w:rsidP="00905241">
            <w:pPr>
              <w:spacing w:after="160" w:line="360" w:lineRule="auto"/>
              <w:rPr>
                <w:rFonts w:ascii="Arial" w:hAnsi="Arial" w:cs="Arial"/>
              </w:rPr>
            </w:pPr>
            <w:r w:rsidRPr="00390868">
              <w:rPr>
                <w:rFonts w:ascii="Arial" w:hAnsi="Arial" w:cs="Arial"/>
              </w:rPr>
              <w:t>2023</w:t>
            </w:r>
          </w:p>
        </w:tc>
        <w:tc>
          <w:tcPr>
            <w:tcW w:w="0" w:type="auto"/>
            <w:hideMark/>
          </w:tcPr>
          <w:p w14:paraId="19D9DBF9"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1.10</w:t>
            </w:r>
          </w:p>
        </w:tc>
        <w:tc>
          <w:tcPr>
            <w:tcW w:w="0" w:type="auto"/>
            <w:hideMark/>
          </w:tcPr>
          <w:p w14:paraId="55D89E9F"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43%</w:t>
            </w:r>
          </w:p>
        </w:tc>
        <w:tc>
          <w:tcPr>
            <w:tcW w:w="0" w:type="auto"/>
            <w:hideMark/>
          </w:tcPr>
          <w:p w14:paraId="724A1852"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14,800</w:t>
            </w:r>
          </w:p>
        </w:tc>
        <w:tc>
          <w:tcPr>
            <w:tcW w:w="0" w:type="auto"/>
            <w:hideMark/>
          </w:tcPr>
          <w:p w14:paraId="1F93E479"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~74 EVs per technician</w:t>
            </w:r>
          </w:p>
        </w:tc>
        <w:tc>
          <w:tcPr>
            <w:tcW w:w="0" w:type="auto"/>
            <w:hideMark/>
          </w:tcPr>
          <w:p w14:paraId="07B0B1FA"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IMI; SMMT</w:t>
            </w:r>
          </w:p>
        </w:tc>
      </w:tr>
      <w:tr w:rsidR="0061272F" w:rsidRPr="00390868" w14:paraId="1251FEED"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CCCAF8F" w14:textId="77777777" w:rsidR="0061272F" w:rsidRPr="00390868" w:rsidRDefault="0061272F" w:rsidP="00905241">
            <w:pPr>
              <w:spacing w:after="160" w:line="360" w:lineRule="auto"/>
              <w:rPr>
                <w:rFonts w:ascii="Arial" w:hAnsi="Arial" w:cs="Arial"/>
              </w:rPr>
            </w:pPr>
            <w:r w:rsidRPr="00390868">
              <w:rPr>
                <w:rFonts w:ascii="Arial" w:hAnsi="Arial" w:cs="Arial"/>
              </w:rPr>
              <w:t>2024</w:t>
            </w:r>
          </w:p>
        </w:tc>
        <w:tc>
          <w:tcPr>
            <w:tcW w:w="0" w:type="auto"/>
            <w:hideMark/>
          </w:tcPr>
          <w:p w14:paraId="5377F9E2"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1.32</w:t>
            </w:r>
          </w:p>
        </w:tc>
        <w:tc>
          <w:tcPr>
            <w:tcW w:w="0" w:type="auto"/>
            <w:hideMark/>
          </w:tcPr>
          <w:p w14:paraId="3CBA3389"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w:t>
            </w:r>
          </w:p>
        </w:tc>
        <w:tc>
          <w:tcPr>
            <w:tcW w:w="0" w:type="auto"/>
            <w:hideMark/>
          </w:tcPr>
          <w:p w14:paraId="4E57DFD7"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16,000</w:t>
            </w:r>
          </w:p>
        </w:tc>
        <w:tc>
          <w:tcPr>
            <w:tcW w:w="0" w:type="auto"/>
            <w:hideMark/>
          </w:tcPr>
          <w:p w14:paraId="1C33297A"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~83 EVs per technician</w:t>
            </w:r>
          </w:p>
        </w:tc>
        <w:tc>
          <w:tcPr>
            <w:tcW w:w="0" w:type="auto"/>
            <w:hideMark/>
          </w:tcPr>
          <w:p w14:paraId="71CAF626"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 SMMT</w:t>
            </w:r>
          </w:p>
        </w:tc>
      </w:tr>
    </w:tbl>
    <w:p w14:paraId="6EAD8BF5" w14:textId="77777777" w:rsidR="0061272F" w:rsidRPr="00390868" w:rsidRDefault="0061272F" w:rsidP="00905241">
      <w:pPr>
        <w:spacing w:line="360" w:lineRule="auto"/>
        <w:rPr>
          <w:rFonts w:ascii="Arial" w:hAnsi="Arial" w:cs="Arial"/>
          <w:b/>
          <w:bCs/>
        </w:rPr>
      </w:pPr>
    </w:p>
    <w:p w14:paraId="12DF293F" w14:textId="77777777" w:rsidR="0061272F" w:rsidRPr="00390868" w:rsidRDefault="0061272F" w:rsidP="00905241">
      <w:pPr>
        <w:spacing w:line="360" w:lineRule="auto"/>
        <w:rPr>
          <w:rFonts w:ascii="Arial" w:hAnsi="Arial" w:cs="Arial"/>
        </w:rPr>
      </w:pPr>
      <w:r w:rsidRPr="00390868">
        <w:rPr>
          <w:rFonts w:ascii="Arial" w:hAnsi="Arial" w:cs="Arial"/>
        </w:rPr>
        <w:t>From a commercial perspective, EV servicing is characterised by lower consumable frequency but higher-value diagnostic, safety-critical and software-related interventions, including battery health checks and thermal-management servicing (Frost and Sullivan, 2023). In Sandwell, the presence of fewer than ten EV-ready workshops implies acute local capacity scarcity, reinforcing the first-mover advantage of estates combining certified labour, compliant infrastructure and transparent safety procedures.</w:t>
      </w:r>
    </w:p>
    <w:p w14:paraId="163E1774" w14:textId="77777777" w:rsidR="0061272F" w:rsidRPr="00390868" w:rsidRDefault="0061272F" w:rsidP="00905241">
      <w:pPr>
        <w:pStyle w:val="Heading3"/>
        <w:spacing w:line="360" w:lineRule="auto"/>
        <w:rPr>
          <w:rFonts w:ascii="Arial" w:hAnsi="Arial" w:cs="Arial"/>
        </w:rPr>
      </w:pPr>
      <w:bookmarkStart w:id="35" w:name="_Toc217830832"/>
      <w:bookmarkStart w:id="36" w:name="_Toc218629242"/>
      <w:r w:rsidRPr="00390868">
        <w:rPr>
          <w:rFonts w:ascii="Arial" w:hAnsi="Arial" w:cs="Arial"/>
        </w:rPr>
        <w:t>3.3.6 Car Wash and Detailing</w:t>
      </w:r>
      <w:bookmarkEnd w:id="35"/>
      <w:bookmarkEnd w:id="36"/>
    </w:p>
    <w:p w14:paraId="67166E24" w14:textId="77777777" w:rsidR="0061272F" w:rsidRPr="00390868" w:rsidRDefault="0061272F" w:rsidP="00905241">
      <w:pPr>
        <w:spacing w:line="360" w:lineRule="auto"/>
        <w:rPr>
          <w:rFonts w:ascii="Arial" w:hAnsi="Arial" w:cs="Arial"/>
        </w:rPr>
      </w:pPr>
      <w:r w:rsidRPr="00390868">
        <w:rPr>
          <w:rFonts w:ascii="Arial" w:hAnsi="Arial" w:cs="Arial"/>
        </w:rPr>
        <w:t>Car wash and detailing demand is driven by appearance preferences, commuting intensity and increased uptake of protective coatings. Evidence indicates stable repeat usage among UK motorists (Mintel, 2024). However, supply quality varies widely due to differences in environmental compliance, particularly in water management and chemical handling. Tightening environmental expectations increase risks for informal operators while favouring compliant estates equipped with water-recycling systems and controlled runoff management (BEIS, 2023; UK Government, 2023). Within the estate model, detailing functions as both a revenue stream and a conversion funnel into bodywork, paint correction and accessory services.</w:t>
      </w:r>
    </w:p>
    <w:p w14:paraId="628C5356" w14:textId="77777777" w:rsidR="0061272F" w:rsidRPr="00390868" w:rsidRDefault="0061272F" w:rsidP="00905241">
      <w:pPr>
        <w:pStyle w:val="Heading3"/>
        <w:spacing w:line="360" w:lineRule="auto"/>
        <w:rPr>
          <w:rFonts w:ascii="Arial" w:hAnsi="Arial" w:cs="Arial"/>
        </w:rPr>
      </w:pPr>
      <w:bookmarkStart w:id="37" w:name="_Toc217830833"/>
      <w:bookmarkStart w:id="38" w:name="_Toc218629243"/>
      <w:r w:rsidRPr="00390868">
        <w:rPr>
          <w:rFonts w:ascii="Arial" w:hAnsi="Arial" w:cs="Arial"/>
        </w:rPr>
        <w:t>3.3.7 Tinting Services</w:t>
      </w:r>
      <w:bookmarkEnd w:id="37"/>
      <w:bookmarkEnd w:id="38"/>
    </w:p>
    <w:p w14:paraId="3C65F88A" w14:textId="77777777" w:rsidR="0061272F" w:rsidRPr="00390868" w:rsidRDefault="0061272F" w:rsidP="00905241">
      <w:pPr>
        <w:spacing w:line="360" w:lineRule="auto"/>
        <w:rPr>
          <w:rFonts w:ascii="Arial" w:hAnsi="Arial" w:cs="Arial"/>
        </w:rPr>
      </w:pPr>
      <w:r w:rsidRPr="00390868">
        <w:rPr>
          <w:rFonts w:ascii="Arial" w:hAnsi="Arial" w:cs="Arial"/>
        </w:rPr>
        <w:t>Tinting is a niche but steadily expanding segment driven by UV protection, heat reduction and aesthetic customisation. Market growth estimates indicate consistent expansion, but quality variance remains high due to the dominance of sole traders and small studios (Statista, 2024; Frost and Sullivan, 2023). Regulatory requirements on visible light transmission mean sub-standard installation can create legal and insurance risk (DfT, 2023). The resulting market gap is for trusted, compliant tinting delivered in controlled environments—an advantage inherent to the estate format.</w:t>
      </w:r>
    </w:p>
    <w:p w14:paraId="2EFC87FF" w14:textId="77777777" w:rsidR="0061272F" w:rsidRPr="00390868" w:rsidRDefault="0061272F" w:rsidP="00905241">
      <w:pPr>
        <w:pStyle w:val="Heading3"/>
        <w:spacing w:line="360" w:lineRule="auto"/>
        <w:rPr>
          <w:rFonts w:ascii="Arial" w:hAnsi="Arial" w:cs="Arial"/>
        </w:rPr>
      </w:pPr>
      <w:bookmarkStart w:id="39" w:name="_Toc217830834"/>
      <w:bookmarkStart w:id="40" w:name="_Toc218629244"/>
      <w:r w:rsidRPr="00390868">
        <w:rPr>
          <w:rFonts w:ascii="Arial" w:hAnsi="Arial" w:cs="Arial"/>
        </w:rPr>
        <w:lastRenderedPageBreak/>
        <w:t>3.3.8 Auto-Electrical Services</w:t>
      </w:r>
      <w:bookmarkEnd w:id="39"/>
      <w:bookmarkEnd w:id="40"/>
    </w:p>
    <w:p w14:paraId="28FA0E84" w14:textId="77777777" w:rsidR="0061272F" w:rsidRPr="00390868" w:rsidRDefault="0061272F" w:rsidP="00905241">
      <w:pPr>
        <w:spacing w:line="360" w:lineRule="auto"/>
        <w:rPr>
          <w:rFonts w:ascii="Arial" w:hAnsi="Arial" w:cs="Arial"/>
        </w:rPr>
      </w:pPr>
      <w:r w:rsidRPr="00390868">
        <w:rPr>
          <w:rFonts w:ascii="Arial" w:hAnsi="Arial" w:cs="Arial"/>
        </w:rPr>
        <w:t>Auto-electrical complexity has increased as vehicles become more software-defined. Electronics now account for a substantial share of vehicle value, increasing fault complexity and diagnostic demand (McKinsey, 2023). Vehicle ageing further exacerbates electrical failures, including wiring degradation and sensor malfunction (SMMT, 2024). Industry evidence suggests fewer than 15% of independent garages possess the tools or training required for advanced electrical diagnostics, leading to referrals and customer friction (IMI, 2024; Frost and Sullivan, 2023). Integrated auto-electrical capability therefore enhances first-time fix rates and reinforces the estate proposition as a genuine “solve-it-here” destination.</w:t>
      </w:r>
    </w:p>
    <w:p w14:paraId="1C0B9F5E" w14:textId="77777777" w:rsidR="0061272F" w:rsidRPr="00390868" w:rsidRDefault="0061272F" w:rsidP="00905241">
      <w:pPr>
        <w:pStyle w:val="Heading2"/>
        <w:spacing w:line="360" w:lineRule="auto"/>
        <w:rPr>
          <w:rFonts w:ascii="Arial" w:hAnsi="Arial" w:cs="Arial"/>
        </w:rPr>
      </w:pPr>
      <w:bookmarkStart w:id="41" w:name="_Toc217830835"/>
      <w:bookmarkStart w:id="42" w:name="_Toc218629245"/>
      <w:r w:rsidRPr="00390868">
        <w:rPr>
          <w:rFonts w:ascii="Arial" w:hAnsi="Arial" w:cs="Arial"/>
        </w:rPr>
        <w:t>3.4 Market Validation</w:t>
      </w:r>
      <w:bookmarkEnd w:id="41"/>
      <w:bookmarkEnd w:id="42"/>
    </w:p>
    <w:p w14:paraId="407B94B5" w14:textId="37607622" w:rsidR="003F79E2" w:rsidRPr="00390868" w:rsidRDefault="003F79E2" w:rsidP="00905241">
      <w:pPr>
        <w:spacing w:line="360" w:lineRule="auto"/>
        <w:rPr>
          <w:rFonts w:ascii="Arial" w:hAnsi="Arial" w:cs="Arial"/>
        </w:rPr>
      </w:pPr>
      <w:r w:rsidRPr="00390868">
        <w:rPr>
          <w:rFonts w:ascii="Arial" w:hAnsi="Arial" w:cs="Arial"/>
        </w:rPr>
        <w:t>Market validation extends beyond descriptive market sizing to assess whether a proposed venture is commercially viable under realistic operating constraints. Triangulating multiple evidence streams strengthens analytical validity by cross-verifying insights across independent sources and perspectives (Denzin, 2012). For 1 STATION Ltd, validation is anchored in three empirically observable conditions: (1) structurally embedded demand driven by statutory MOT compliance and an ageing vehicle parc, (2) fragmented local supply and capability gaps within Sandwell, and (3) alignment with technological transition and sustainability policy at both national and local levels.</w:t>
      </w:r>
    </w:p>
    <w:p w14:paraId="325D1135" w14:textId="7D16A9BE" w:rsidR="003F79E2" w:rsidRPr="00390868" w:rsidRDefault="003F79E2" w:rsidP="00905241">
      <w:pPr>
        <w:spacing w:line="360" w:lineRule="auto"/>
        <w:rPr>
          <w:rFonts w:ascii="Arial" w:hAnsi="Arial" w:cs="Arial"/>
        </w:rPr>
      </w:pPr>
      <w:r w:rsidRPr="00390868">
        <w:rPr>
          <w:rFonts w:ascii="Arial" w:hAnsi="Arial" w:cs="Arial"/>
        </w:rPr>
        <w:t>Rather than relying on abstract growth projections, the analysis evaluates whether the proposed integrated automotive estate addresses a demonstrable market failure—specifically high customer coordination costs, inconsistent service quality, and trust deficits—within a demand environment that is stable but operationally inefficient. To ensure transparency and auditability, all secondary market data underpinning demand estimation, sector size, service frequency, and behavioural assumptions—including government statistics, industry reports, and regulatory datasets—are consolidated in Appendix B, enabling independent verification of the evidence base used in this assessment.</w:t>
      </w:r>
    </w:p>
    <w:p w14:paraId="26E68FE2" w14:textId="3769FD1D" w:rsidR="003F79E2" w:rsidRPr="00390868" w:rsidRDefault="003F79E2" w:rsidP="00905241">
      <w:pPr>
        <w:spacing w:line="360" w:lineRule="auto"/>
        <w:rPr>
          <w:rFonts w:ascii="Arial" w:hAnsi="Arial" w:cs="Arial"/>
        </w:rPr>
      </w:pPr>
      <w:r w:rsidRPr="00390868">
        <w:rPr>
          <w:rFonts w:ascii="Arial" w:hAnsi="Arial" w:cs="Arial"/>
        </w:rPr>
        <w:t>The objective is therefore to demonstrate that the estate model is not merely conceptually attractive, but strategically coherent: solving a measurable customer problem within a resilient demand structure while generating advantage through scarce, compliance-driven and operationally integrated capabilities.</w:t>
      </w:r>
    </w:p>
    <w:p w14:paraId="2B82E1E8" w14:textId="77777777" w:rsidR="0061272F" w:rsidRPr="00390868" w:rsidRDefault="0061272F" w:rsidP="00905241">
      <w:pPr>
        <w:pStyle w:val="Heading3"/>
        <w:spacing w:line="360" w:lineRule="auto"/>
        <w:rPr>
          <w:rFonts w:ascii="Arial" w:hAnsi="Arial" w:cs="Arial"/>
        </w:rPr>
      </w:pPr>
      <w:bookmarkStart w:id="43" w:name="_Toc217830836"/>
      <w:bookmarkStart w:id="44" w:name="_Toc218629246"/>
      <w:r w:rsidRPr="00390868">
        <w:rPr>
          <w:rFonts w:ascii="Arial" w:hAnsi="Arial" w:cs="Arial"/>
        </w:rPr>
        <w:t>3.4.1 Evidence and Contradictions in Market Data</w:t>
      </w:r>
      <w:bookmarkEnd w:id="43"/>
      <w:bookmarkEnd w:id="44"/>
    </w:p>
    <w:p w14:paraId="57214876" w14:textId="77777777" w:rsidR="0061272F" w:rsidRPr="00390868" w:rsidRDefault="0061272F" w:rsidP="00905241">
      <w:pPr>
        <w:spacing w:line="360" w:lineRule="auto"/>
        <w:rPr>
          <w:rFonts w:ascii="Arial" w:hAnsi="Arial" w:cs="Arial"/>
        </w:rPr>
      </w:pPr>
      <w:r w:rsidRPr="00390868">
        <w:rPr>
          <w:rFonts w:ascii="Arial" w:hAnsi="Arial" w:cs="Arial"/>
        </w:rPr>
        <w:t xml:space="preserve">The available evidence indicates both opportunity and constraint. Industry data confirm resilience and steady growth in the UK automotive services market (IBISWorld, 2024), while </w:t>
      </w:r>
      <w:r w:rsidRPr="00390868">
        <w:rPr>
          <w:rFonts w:ascii="Arial" w:hAnsi="Arial" w:cs="Arial"/>
        </w:rPr>
        <w:lastRenderedPageBreak/>
        <w:t>simultaneously highlighting high competition density driven by micro-garage dominance (ONS, 2024). Rather than undermining feasibility, this structure explains persistent service inconsistency and fragmented customer journeys, creating scope for integrated operators to differentiate through process control and standardisation.</w:t>
      </w:r>
    </w:p>
    <w:p w14:paraId="32E5C623" w14:textId="77777777" w:rsidR="0061272F" w:rsidRPr="00390868" w:rsidRDefault="0061272F" w:rsidP="00905241">
      <w:pPr>
        <w:spacing w:line="360" w:lineRule="auto"/>
        <w:rPr>
          <w:rFonts w:ascii="Arial" w:hAnsi="Arial" w:cs="Arial"/>
        </w:rPr>
      </w:pPr>
      <w:r w:rsidRPr="00390868">
        <w:rPr>
          <w:rFonts w:ascii="Arial" w:hAnsi="Arial" w:cs="Arial"/>
        </w:rPr>
        <w:t>Consumer evidence supports the convenience proposition but also signals sensitivity to cost. Instead of relying on broad “one-stop preference” claims, a more defensible proxy is that 68% of UK drivers cite travelling to and from multiple garages as a primary servicing frustration, directly supporting demand for consolidation and reduced coordination costs (RAC, 2025). At the same time, pressure on real household disposable income constrains discretionary spending (ONS, 2024), implying that the estate model must prioritise core statutory and maintenance services, using bundling and value-added services to enhance margins rather than relying on price escalation.</w:t>
      </w:r>
    </w:p>
    <w:p w14:paraId="33EEFC71" w14:textId="77777777" w:rsidR="0061272F" w:rsidRPr="00390868" w:rsidRDefault="0061272F" w:rsidP="00905241">
      <w:pPr>
        <w:spacing w:line="360" w:lineRule="auto"/>
        <w:rPr>
          <w:rFonts w:ascii="Arial" w:hAnsi="Arial" w:cs="Arial"/>
        </w:rPr>
      </w:pPr>
      <w:r w:rsidRPr="00390868">
        <w:rPr>
          <w:rFonts w:ascii="Arial" w:hAnsi="Arial" w:cs="Arial"/>
        </w:rPr>
        <w:t>Technological transition introduces both risk and advantage. EV adoption increases capital and training requirements, but the nationally documented shortage of high-voltage-certified technicians creates a first-mover opportunity for compliant providers (SMMT, 2024; IMI, 2024). Policy alignment further reinforces feasibility: the UK Net Zero Strategy and Sandwell’s local sustainability agenda support investment in compliant waste management, water recycling and low-emission operations (BEIS, 2023; Sandwell Council, 2023).</w:t>
      </w:r>
    </w:p>
    <w:p w14:paraId="725738B7" w14:textId="77777777" w:rsidR="0061272F" w:rsidRPr="00390868" w:rsidRDefault="0061272F" w:rsidP="00905241">
      <w:pPr>
        <w:pStyle w:val="Heading3"/>
        <w:spacing w:line="360" w:lineRule="auto"/>
        <w:rPr>
          <w:rFonts w:ascii="Arial" w:hAnsi="Arial" w:cs="Arial"/>
        </w:rPr>
      </w:pPr>
      <w:bookmarkStart w:id="45" w:name="_Toc217830837"/>
      <w:bookmarkStart w:id="46" w:name="_Toc218629247"/>
      <w:r w:rsidRPr="00390868">
        <w:rPr>
          <w:rFonts w:ascii="Arial" w:hAnsi="Arial" w:cs="Arial"/>
        </w:rPr>
        <w:t>3.4.2 Strategic Feasibility and Validation for 1 STATION Ltd</w:t>
      </w:r>
      <w:bookmarkEnd w:id="45"/>
      <w:bookmarkEnd w:id="46"/>
    </w:p>
    <w:p w14:paraId="1727B121" w14:textId="77777777" w:rsidR="0061272F" w:rsidRPr="00390868" w:rsidRDefault="0061272F" w:rsidP="00905241">
      <w:pPr>
        <w:spacing w:line="360" w:lineRule="auto"/>
        <w:rPr>
          <w:rFonts w:ascii="Arial" w:hAnsi="Arial" w:cs="Arial"/>
        </w:rPr>
      </w:pPr>
      <w:r w:rsidRPr="00390868">
        <w:rPr>
          <w:rFonts w:ascii="Arial" w:hAnsi="Arial" w:cs="Arial"/>
        </w:rPr>
        <w:t>Synthesising the evidence confirms alignment between market conditions and the proposed estate design. Sandwell’s service ecosystem—comprising approximately 210–215 registered mechanical repair businesses, 115 DVSA-authorised MOT stations and fewer than ten EV-certified workshops—reflects dispersed capability rather than integrated service delivery (ONS/NOMIS, 2024). High vehicle ownership density sustains recurring statutory and wear-driven demand, while capability scarcity in EV servicing and advanced diagnostics creates clear differentiation potential.</w:t>
      </w:r>
    </w:p>
    <w:p w14:paraId="68C30126" w14:textId="77777777" w:rsidR="0061272F" w:rsidRPr="00390868" w:rsidRDefault="0061272F" w:rsidP="00905241">
      <w:pPr>
        <w:spacing w:line="360" w:lineRule="auto"/>
        <w:rPr>
          <w:rFonts w:ascii="Arial" w:hAnsi="Arial" w:cs="Arial"/>
        </w:rPr>
      </w:pPr>
      <w:r w:rsidRPr="00390868">
        <w:rPr>
          <w:rFonts w:ascii="Arial" w:hAnsi="Arial" w:cs="Arial"/>
        </w:rPr>
        <w:t>From a resource-based perspective, certified EV technicians, compliant infrastructure and process-led workflow systems constitute valuable and difficult-to-replicate resources, supporting defensible competitive advantage (Barney, 1991). In practical terms, early investment in compliance, diagnostics and integrated digital workflows functions not as a cost premium, but as a capability barrier that informal or under-capitalised competitors struggle to match.</w:t>
      </w:r>
    </w:p>
    <w:p w14:paraId="1C0FF78F" w14:textId="77777777" w:rsidR="0061272F" w:rsidRPr="00390868" w:rsidRDefault="0061272F" w:rsidP="00905241">
      <w:pPr>
        <w:spacing w:line="360" w:lineRule="auto"/>
        <w:rPr>
          <w:rFonts w:ascii="Arial" w:hAnsi="Arial" w:cs="Arial"/>
        </w:rPr>
      </w:pPr>
      <w:r w:rsidRPr="00390868">
        <w:rPr>
          <w:rFonts w:ascii="Arial" w:hAnsi="Arial" w:cs="Arial"/>
        </w:rPr>
        <w:t>Table 3.4: Market Validation Matrix for 1 STATION Ltd</w:t>
      </w:r>
      <w:r w:rsidRPr="00390868">
        <w:rPr>
          <w:rFonts w:ascii="Arial" w:hAnsi="Arial" w:cs="Arial"/>
        </w:rPr>
        <w:br/>
      </w:r>
      <w:r w:rsidRPr="0085148C">
        <w:rPr>
          <w:rFonts w:ascii="Arial" w:hAnsi="Arial" w:cs="Arial"/>
          <w:i/>
          <w:iCs/>
        </w:rPr>
        <w:t>(Source: Author’s synthesis based on cited secondary data)</w:t>
      </w:r>
    </w:p>
    <w:tbl>
      <w:tblPr>
        <w:tblStyle w:val="PlainTable1"/>
        <w:tblW w:w="0" w:type="auto"/>
        <w:tblLook w:val="04A0" w:firstRow="1" w:lastRow="0" w:firstColumn="1" w:lastColumn="0" w:noHBand="0" w:noVBand="1"/>
      </w:tblPr>
      <w:tblGrid>
        <w:gridCol w:w="2056"/>
        <w:gridCol w:w="4029"/>
        <w:gridCol w:w="2931"/>
      </w:tblGrid>
      <w:tr w:rsidR="0061272F" w:rsidRPr="00390868" w14:paraId="76130AD5"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8D9E1"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Validation Dimension</w:t>
            </w:r>
          </w:p>
        </w:tc>
        <w:tc>
          <w:tcPr>
            <w:tcW w:w="0" w:type="auto"/>
            <w:hideMark/>
          </w:tcPr>
          <w:p w14:paraId="21EB57AB"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Evidence Base</w:t>
            </w:r>
          </w:p>
        </w:tc>
        <w:tc>
          <w:tcPr>
            <w:tcW w:w="0" w:type="auto"/>
            <w:hideMark/>
          </w:tcPr>
          <w:p w14:paraId="5C8F072C" w14:textId="1D68AA8E" w:rsidR="0061272F" w:rsidRPr="00390868" w:rsidRDefault="0043241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xml:space="preserve">Implication </w:t>
            </w:r>
          </w:p>
        </w:tc>
      </w:tr>
      <w:tr w:rsidR="0061272F" w:rsidRPr="00390868" w14:paraId="3B3157DA"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38424" w14:textId="77777777" w:rsidR="0061272F" w:rsidRPr="00390868" w:rsidRDefault="0061272F" w:rsidP="00905241">
            <w:pPr>
              <w:spacing w:after="160" w:line="360" w:lineRule="auto"/>
              <w:rPr>
                <w:rFonts w:ascii="Arial" w:hAnsi="Arial" w:cs="Arial"/>
              </w:rPr>
            </w:pPr>
            <w:r w:rsidRPr="00390868">
              <w:rPr>
                <w:rFonts w:ascii="Arial" w:hAnsi="Arial" w:cs="Arial"/>
              </w:rPr>
              <w:t>Demand</w:t>
            </w:r>
          </w:p>
        </w:tc>
        <w:tc>
          <w:tcPr>
            <w:tcW w:w="0" w:type="auto"/>
            <w:hideMark/>
          </w:tcPr>
          <w:p w14:paraId="5D412F2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41.7m licensed vehicles UK; 136,830 in Sandwell (DfT, 2024)</w:t>
            </w:r>
          </w:p>
        </w:tc>
        <w:tc>
          <w:tcPr>
            <w:tcW w:w="0" w:type="auto"/>
            <w:hideMark/>
          </w:tcPr>
          <w:p w14:paraId="28BB798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High – stable, recurring demand</w:t>
            </w:r>
          </w:p>
        </w:tc>
      </w:tr>
      <w:tr w:rsidR="0061272F" w:rsidRPr="00390868" w14:paraId="6E9C4957"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6F04280D" w14:textId="77777777" w:rsidR="0061272F" w:rsidRPr="00390868" w:rsidRDefault="0061272F" w:rsidP="00905241">
            <w:pPr>
              <w:spacing w:after="160" w:line="360" w:lineRule="auto"/>
              <w:rPr>
                <w:rFonts w:ascii="Arial" w:hAnsi="Arial" w:cs="Arial"/>
              </w:rPr>
            </w:pPr>
            <w:r w:rsidRPr="00390868">
              <w:rPr>
                <w:rFonts w:ascii="Arial" w:hAnsi="Arial" w:cs="Arial"/>
              </w:rPr>
              <w:t>Competition structure</w:t>
            </w:r>
          </w:p>
        </w:tc>
        <w:tc>
          <w:tcPr>
            <w:tcW w:w="0" w:type="auto"/>
            <w:hideMark/>
          </w:tcPr>
          <w:p w14:paraId="0D815D1B"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Micro-garage dominance; dispersed supply (ONS/NOMIS, 2024)</w:t>
            </w:r>
          </w:p>
        </w:tc>
        <w:tc>
          <w:tcPr>
            <w:tcW w:w="0" w:type="auto"/>
            <w:hideMark/>
          </w:tcPr>
          <w:p w14:paraId="36DD9B51"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Moderate – high rivalry, low integration</w:t>
            </w:r>
          </w:p>
        </w:tc>
      </w:tr>
      <w:tr w:rsidR="0061272F" w:rsidRPr="00390868" w14:paraId="46E6689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6836A" w14:textId="77777777" w:rsidR="0061272F" w:rsidRPr="00390868" w:rsidRDefault="0061272F" w:rsidP="00905241">
            <w:pPr>
              <w:spacing w:after="160" w:line="360" w:lineRule="auto"/>
              <w:rPr>
                <w:rFonts w:ascii="Arial" w:hAnsi="Arial" w:cs="Arial"/>
              </w:rPr>
            </w:pPr>
            <w:r w:rsidRPr="00390868">
              <w:rPr>
                <w:rFonts w:ascii="Arial" w:hAnsi="Arial" w:cs="Arial"/>
              </w:rPr>
              <w:t>Capability gap</w:t>
            </w:r>
          </w:p>
        </w:tc>
        <w:tc>
          <w:tcPr>
            <w:tcW w:w="0" w:type="auto"/>
            <w:hideMark/>
          </w:tcPr>
          <w:p w14:paraId="00DC809C"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EV/Hybrid skills shortage; low certification penetration (IMI, 2024)</w:t>
            </w:r>
          </w:p>
        </w:tc>
        <w:tc>
          <w:tcPr>
            <w:tcW w:w="0" w:type="auto"/>
            <w:hideMark/>
          </w:tcPr>
          <w:p w14:paraId="263E80F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Strong – structural entry advantage</w:t>
            </w:r>
          </w:p>
        </w:tc>
      </w:tr>
      <w:tr w:rsidR="0061272F" w:rsidRPr="00390868" w14:paraId="1D0D6835"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10471434" w14:textId="77777777" w:rsidR="0061272F" w:rsidRPr="00390868" w:rsidRDefault="0061272F" w:rsidP="00905241">
            <w:pPr>
              <w:spacing w:after="160" w:line="360" w:lineRule="auto"/>
              <w:rPr>
                <w:rFonts w:ascii="Arial" w:hAnsi="Arial" w:cs="Arial"/>
              </w:rPr>
            </w:pPr>
            <w:r w:rsidRPr="00390868">
              <w:rPr>
                <w:rFonts w:ascii="Arial" w:hAnsi="Arial" w:cs="Arial"/>
              </w:rPr>
              <w:t>Sustainability alignment</w:t>
            </w:r>
          </w:p>
        </w:tc>
        <w:tc>
          <w:tcPr>
            <w:tcW w:w="0" w:type="auto"/>
            <w:hideMark/>
          </w:tcPr>
          <w:p w14:paraId="11DED8A0"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Net Zero policy; local greener strategy (BEIS, 2023; Sandwell Council, 2023)</w:t>
            </w:r>
          </w:p>
        </w:tc>
        <w:tc>
          <w:tcPr>
            <w:tcW w:w="0" w:type="auto"/>
            <w:hideMark/>
          </w:tcPr>
          <w:p w14:paraId="2D291B69"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90868">
              <w:rPr>
                <w:rFonts w:ascii="Arial" w:hAnsi="Arial" w:cs="Arial"/>
                <w:b/>
                <w:bCs/>
              </w:rPr>
              <w:t>Positive – compliance supports differentiation</w:t>
            </w:r>
          </w:p>
        </w:tc>
      </w:tr>
      <w:tr w:rsidR="0061272F" w:rsidRPr="00390868" w14:paraId="1669514D"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383A9" w14:textId="77777777" w:rsidR="0061272F" w:rsidRPr="00390868" w:rsidRDefault="0061272F" w:rsidP="00905241">
            <w:pPr>
              <w:spacing w:after="160" w:line="360" w:lineRule="auto"/>
              <w:rPr>
                <w:rFonts w:ascii="Arial" w:hAnsi="Arial" w:cs="Arial"/>
              </w:rPr>
            </w:pPr>
            <w:r w:rsidRPr="00390868">
              <w:rPr>
                <w:rFonts w:ascii="Arial" w:hAnsi="Arial" w:cs="Arial"/>
              </w:rPr>
              <w:t>Technology readiness</w:t>
            </w:r>
          </w:p>
        </w:tc>
        <w:tc>
          <w:tcPr>
            <w:tcW w:w="0" w:type="auto"/>
            <w:hideMark/>
          </w:tcPr>
          <w:p w14:paraId="52BEAC0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Growth in digital booking and search behaviour (Statista, 2024)</w:t>
            </w:r>
          </w:p>
        </w:tc>
        <w:tc>
          <w:tcPr>
            <w:tcW w:w="0" w:type="auto"/>
            <w:hideMark/>
          </w:tcPr>
          <w:p w14:paraId="77DA8D3D"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90868">
              <w:rPr>
                <w:rFonts w:ascii="Arial" w:hAnsi="Arial" w:cs="Arial"/>
                <w:b/>
                <w:bCs/>
              </w:rPr>
              <w:t>Increasing – supports digital-first acquisition</w:t>
            </w:r>
          </w:p>
        </w:tc>
      </w:tr>
    </w:tbl>
    <w:p w14:paraId="6160BF6D" w14:textId="77777777" w:rsidR="0061272F" w:rsidRPr="00390868" w:rsidRDefault="0061272F" w:rsidP="00905241">
      <w:pPr>
        <w:spacing w:line="360" w:lineRule="auto"/>
        <w:rPr>
          <w:rFonts w:ascii="Arial" w:hAnsi="Arial" w:cs="Arial"/>
        </w:rPr>
      </w:pPr>
      <w:r w:rsidRPr="00390868">
        <w:rPr>
          <w:rFonts w:ascii="Arial" w:hAnsi="Arial" w:cs="Arial"/>
        </w:rPr>
        <w:t>The validation matrix demonstrates internal coherence between quantitative demand stability, fragmented local supply, capability scarcity and supportive policy direction. While risks related to cost inflation and labour availability remain material, these constraints reinforce the strategic rationale for a structured, compliant and digitally managed estate model. On this basis, the proposed 1 STATION Ltd concept is commercially feasible and locally appropriate, addressing an evidenced market inefficiency through integrated service delivery rather than speculative demand creation.</w:t>
      </w:r>
    </w:p>
    <w:p w14:paraId="579CAB3D" w14:textId="77777777" w:rsidR="0061272F" w:rsidRPr="00390868" w:rsidRDefault="0061272F" w:rsidP="00905241">
      <w:pPr>
        <w:pStyle w:val="Heading1"/>
        <w:spacing w:line="360" w:lineRule="auto"/>
        <w:rPr>
          <w:rFonts w:ascii="Arial" w:hAnsi="Arial" w:cs="Arial"/>
          <w:sz w:val="36"/>
          <w:szCs w:val="36"/>
        </w:rPr>
      </w:pPr>
      <w:bookmarkStart w:id="47" w:name="_Toc217830838"/>
      <w:bookmarkStart w:id="48" w:name="_Toc218629248"/>
      <w:r w:rsidRPr="00390868">
        <w:rPr>
          <w:rFonts w:ascii="Arial" w:hAnsi="Arial" w:cs="Arial"/>
          <w:sz w:val="36"/>
          <w:szCs w:val="36"/>
        </w:rPr>
        <w:t>4. Business Model Canvas (BMC)</w:t>
      </w:r>
      <w:bookmarkEnd w:id="47"/>
      <w:bookmarkEnd w:id="48"/>
    </w:p>
    <w:p w14:paraId="3062198E" w14:textId="0252C2BA" w:rsidR="0061272F" w:rsidRPr="00390868" w:rsidRDefault="002A169D" w:rsidP="002A169D">
      <w:pPr>
        <w:spacing w:line="360" w:lineRule="auto"/>
        <w:rPr>
          <w:rFonts w:ascii="Arial" w:hAnsi="Arial" w:cs="Arial"/>
        </w:rPr>
      </w:pPr>
      <w:r w:rsidRPr="002A169D">
        <w:rPr>
          <w:rFonts w:ascii="Arial" w:hAnsi="Arial" w:cs="Arial"/>
        </w:rPr>
        <w:t xml:space="preserve">The Business Model Canvas provides a structured framework that converts identified market inefficiencies—such as fragmentation, high coordination costs, and disparate capabilities—into an actionable commercial design for 1 STATION Ltd by outlining how the organisation creates, delivers, and captures value through its key strategic components (Osterwalder </w:t>
      </w:r>
      <w:r w:rsidR="00400B5F">
        <w:rPr>
          <w:rFonts w:ascii="Arial" w:hAnsi="Arial" w:cs="Arial"/>
        </w:rPr>
        <w:t xml:space="preserve">and </w:t>
      </w:r>
      <w:r w:rsidRPr="002A169D">
        <w:rPr>
          <w:rFonts w:ascii="Arial" w:hAnsi="Arial" w:cs="Arial"/>
        </w:rPr>
        <w:t>Pigneur, 2010).</w:t>
      </w:r>
      <w:r w:rsidR="00F17D2A">
        <w:rPr>
          <w:rFonts w:ascii="Arial" w:hAnsi="Arial" w:cs="Arial"/>
        </w:rPr>
        <w:t xml:space="preserve"> </w:t>
      </w:r>
      <w:r w:rsidR="0061272F" w:rsidRPr="00390868">
        <w:rPr>
          <w:rFonts w:ascii="Arial" w:hAnsi="Arial" w:cs="Arial"/>
        </w:rPr>
        <w:t xml:space="preserve">This model is not a collection of independent </w:t>
      </w:r>
      <w:r w:rsidR="00400B5F" w:rsidRPr="00390868">
        <w:rPr>
          <w:rFonts w:ascii="Arial" w:hAnsi="Arial" w:cs="Arial"/>
        </w:rPr>
        <w:t>foundations</w:t>
      </w:r>
      <w:r w:rsidR="0061272F" w:rsidRPr="00390868">
        <w:rPr>
          <w:rFonts w:ascii="Arial" w:hAnsi="Arial" w:cs="Arial"/>
        </w:rPr>
        <w:t>, but a system designed to capture maximum value per customer vehicle visit by integrating essential services within a single, trusted environment. The canvas (Figure 4.1) details this system, where operational choices on the left (Partners, Activities, Resources) directly enable the value delivery and capture mechanisms on the right. Every component is grounded in the market evidence of Section 3 and is subsequently operationalised and financially quantified in Sections 5 through 8.</w:t>
      </w:r>
    </w:p>
    <w:p w14:paraId="3E7B209F" w14:textId="77777777" w:rsidR="0061272F" w:rsidRPr="00390868" w:rsidRDefault="0061272F" w:rsidP="00905241">
      <w:pPr>
        <w:spacing w:line="360" w:lineRule="auto"/>
        <w:rPr>
          <w:rFonts w:ascii="Arial" w:hAnsi="Arial" w:cs="Arial"/>
          <w:i/>
          <w:iCs/>
        </w:rPr>
      </w:pPr>
      <w:r w:rsidRPr="00390868">
        <w:rPr>
          <w:rFonts w:ascii="Arial" w:hAnsi="Arial" w:cs="Arial"/>
        </w:rPr>
        <w:lastRenderedPageBreak/>
        <w:t>Figure 4.1: Business Model Canvas for 1 STATION Ltd</w:t>
      </w:r>
      <w:r w:rsidRPr="00390868">
        <w:rPr>
          <w:rFonts w:ascii="Arial" w:hAnsi="Arial" w:cs="Arial"/>
        </w:rPr>
        <w:br/>
      </w:r>
      <w:r w:rsidRPr="00390868">
        <w:rPr>
          <w:rFonts w:ascii="Arial" w:hAnsi="Arial" w:cs="Arial"/>
          <w:i/>
          <w:iCs/>
        </w:rPr>
        <w:t>(Source: Adapted from Osterwalder and Pigneur, 2010)</w:t>
      </w:r>
    </w:p>
    <w:p w14:paraId="149F4AE8" w14:textId="77777777" w:rsidR="0061272F" w:rsidRPr="00390868" w:rsidRDefault="0061272F" w:rsidP="00905241">
      <w:pPr>
        <w:spacing w:line="360" w:lineRule="auto"/>
        <w:rPr>
          <w:rFonts w:ascii="Arial" w:hAnsi="Arial" w:cs="Arial"/>
        </w:rPr>
      </w:pPr>
      <w:r w:rsidRPr="00390868">
        <w:rPr>
          <w:rFonts w:ascii="Arial" w:hAnsi="Arial" w:cs="Arial"/>
          <w:noProof/>
        </w:rPr>
        <w:drawing>
          <wp:inline distT="0" distB="0" distL="0" distR="0" wp14:anchorId="71D42E35" wp14:editId="73FDAC19">
            <wp:extent cx="5731510" cy="4044950"/>
            <wp:effectExtent l="0" t="0" r="2540" b="0"/>
            <wp:docPr id="280961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61522" name="Picture 2809615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44950"/>
                    </a:xfrm>
                    <a:prstGeom prst="rect">
                      <a:avLst/>
                    </a:prstGeom>
                  </pic:spPr>
                </pic:pic>
              </a:graphicData>
            </a:graphic>
          </wp:inline>
        </w:drawing>
      </w:r>
    </w:p>
    <w:p w14:paraId="3E096346" w14:textId="77777777" w:rsidR="0061272F" w:rsidRPr="00390868" w:rsidRDefault="0061272F" w:rsidP="00905241">
      <w:pPr>
        <w:pStyle w:val="Heading2"/>
        <w:spacing w:line="360" w:lineRule="auto"/>
        <w:rPr>
          <w:rFonts w:ascii="Arial" w:hAnsi="Arial" w:cs="Arial"/>
        </w:rPr>
      </w:pPr>
      <w:bookmarkStart w:id="49" w:name="_Toc217830839"/>
      <w:bookmarkStart w:id="50" w:name="_Toc218629249"/>
      <w:r w:rsidRPr="00390868">
        <w:rPr>
          <w:rFonts w:ascii="Arial" w:hAnsi="Arial" w:cs="Arial"/>
        </w:rPr>
        <w:t>4.1 Key Partners</w:t>
      </w:r>
      <w:bookmarkEnd w:id="49"/>
      <w:bookmarkEnd w:id="50"/>
    </w:p>
    <w:p w14:paraId="093248BA" w14:textId="77777777" w:rsidR="0061272F" w:rsidRPr="00390868" w:rsidRDefault="0061272F" w:rsidP="00905241">
      <w:pPr>
        <w:spacing w:line="360" w:lineRule="auto"/>
        <w:rPr>
          <w:rFonts w:ascii="Arial" w:hAnsi="Arial" w:cs="Arial"/>
        </w:rPr>
      </w:pPr>
      <w:bookmarkStart w:id="51" w:name="_Toc217830840"/>
      <w:r w:rsidRPr="00390868">
        <w:rPr>
          <w:rFonts w:ascii="Arial" w:hAnsi="Arial" w:cs="Arial"/>
        </w:rPr>
        <w:t>1 STATION Ltd relies on a focused network of strategic partners to support operational reliability, regulatory compliance and service breadth without diluting internal control. Consistent with the Business Model Canvas framework, partnerships are structured to mitigate operational, regulatory and demand-side risk rather than to outsource core value creation (Osterwalder and Pigneur, 2010).</w:t>
      </w:r>
    </w:p>
    <w:p w14:paraId="691CC84E" w14:textId="77777777" w:rsidR="0061272F" w:rsidRPr="00390868" w:rsidRDefault="0061272F" w:rsidP="00905241">
      <w:pPr>
        <w:spacing w:line="360" w:lineRule="auto"/>
        <w:rPr>
          <w:rFonts w:ascii="Arial" w:hAnsi="Arial" w:cs="Arial"/>
          <w:b/>
          <w:bCs/>
        </w:rPr>
      </w:pPr>
      <w:r w:rsidRPr="00390868">
        <w:rPr>
          <w:rFonts w:ascii="Arial" w:hAnsi="Arial" w:cs="Arial"/>
          <w:b/>
          <w:bCs/>
        </w:rPr>
        <w:t>Quality and Compliance–Critical Partners</w:t>
      </w:r>
    </w:p>
    <w:p w14:paraId="103D5625" w14:textId="2E4EB9A0" w:rsidR="0061272F" w:rsidRPr="00390868" w:rsidRDefault="0061272F" w:rsidP="00905241">
      <w:pPr>
        <w:spacing w:line="360" w:lineRule="auto"/>
        <w:rPr>
          <w:rFonts w:ascii="Arial" w:hAnsi="Arial" w:cs="Arial"/>
        </w:rPr>
      </w:pPr>
      <w:r w:rsidRPr="00390868">
        <w:rPr>
          <w:rFonts w:ascii="Arial" w:hAnsi="Arial" w:cs="Arial"/>
        </w:rPr>
        <w:t xml:space="preserve"> include OEM-approved parts and tyre suppliers, diagnostic software and vehicle data providers, and certified waste-management contractors. These relationships ensure consistent repair standards, warranty compliance, regulatory adherence and access to modern diagnostic capability, which has become a structural bottleneck within the automotive aftermarket rather than a discretionary enhancement (McKinsey &amp; Company, 2023).</w:t>
      </w:r>
    </w:p>
    <w:p w14:paraId="1C1E7BF2" w14:textId="77777777" w:rsidR="0061272F" w:rsidRPr="00390868" w:rsidRDefault="0061272F" w:rsidP="00905241">
      <w:pPr>
        <w:spacing w:line="360" w:lineRule="auto"/>
        <w:rPr>
          <w:rFonts w:ascii="Arial" w:hAnsi="Arial" w:cs="Arial"/>
          <w:b/>
          <w:bCs/>
        </w:rPr>
      </w:pPr>
      <w:r w:rsidRPr="00390868">
        <w:rPr>
          <w:rFonts w:ascii="Arial" w:hAnsi="Arial" w:cs="Arial"/>
          <w:b/>
          <w:bCs/>
        </w:rPr>
        <w:t>Demand and Volume–Critical Partners</w:t>
      </w:r>
    </w:p>
    <w:p w14:paraId="5885B6B9" w14:textId="77777777" w:rsidR="0061272F" w:rsidRPr="00390868" w:rsidRDefault="0061272F" w:rsidP="00905241">
      <w:pPr>
        <w:spacing w:line="360" w:lineRule="auto"/>
        <w:rPr>
          <w:rFonts w:ascii="Arial" w:hAnsi="Arial" w:cs="Arial"/>
        </w:rPr>
      </w:pPr>
      <w:r w:rsidRPr="00390868">
        <w:rPr>
          <w:rFonts w:ascii="Arial" w:hAnsi="Arial" w:cs="Arial"/>
        </w:rPr>
        <w:lastRenderedPageBreak/>
        <w:t xml:space="preserve"> include insurance and accident-management networks, as well as local fleet, taxi and delivery operators. These partnerships provide predictable baseline demand and reduce reliance on purely transactional retail customers, improving capacity utilisation and revenue stability in asset-intensive service operations (Johnson, Scholes and Whittington, 2020).</w:t>
      </w:r>
    </w:p>
    <w:p w14:paraId="1CBFBFCF" w14:textId="77777777" w:rsidR="0061272F" w:rsidRPr="00390868" w:rsidRDefault="0061272F" w:rsidP="00905241">
      <w:pPr>
        <w:spacing w:line="360" w:lineRule="auto"/>
        <w:rPr>
          <w:rFonts w:ascii="Arial" w:hAnsi="Arial" w:cs="Arial"/>
        </w:rPr>
      </w:pPr>
      <w:r w:rsidRPr="00390868">
        <w:rPr>
          <w:rFonts w:ascii="Arial" w:hAnsi="Arial" w:cs="Arial"/>
        </w:rPr>
        <w:t>The operational and contractual implications of these partnerships—including procurement logic, diagnostic licensing and compliance processes—are translated into workflow design, supplier dependency management and cost assumptions in the Operations Plan (Section 6) and reflected in the Financial Plan (Section 8).</w:t>
      </w:r>
    </w:p>
    <w:p w14:paraId="032E318F" w14:textId="77777777" w:rsidR="0061272F" w:rsidRPr="00390868" w:rsidRDefault="0061272F" w:rsidP="00905241">
      <w:pPr>
        <w:pStyle w:val="Heading2"/>
        <w:spacing w:line="360" w:lineRule="auto"/>
        <w:rPr>
          <w:rFonts w:ascii="Arial" w:hAnsi="Arial" w:cs="Arial"/>
        </w:rPr>
      </w:pPr>
      <w:bookmarkStart w:id="52" w:name="_Toc218629250"/>
      <w:r w:rsidRPr="00390868">
        <w:rPr>
          <w:rFonts w:ascii="Arial" w:hAnsi="Arial" w:cs="Arial"/>
        </w:rPr>
        <w:t>4.2 Key Activities</w:t>
      </w:r>
      <w:bookmarkEnd w:id="51"/>
      <w:bookmarkEnd w:id="52"/>
    </w:p>
    <w:p w14:paraId="1E2FE7C2" w14:textId="77777777" w:rsidR="0061272F" w:rsidRPr="00390868" w:rsidRDefault="0061272F" w:rsidP="00905241">
      <w:pPr>
        <w:spacing w:line="360" w:lineRule="auto"/>
        <w:rPr>
          <w:rFonts w:ascii="Arial" w:hAnsi="Arial" w:cs="Arial"/>
        </w:rPr>
      </w:pPr>
      <w:r w:rsidRPr="00390868">
        <w:rPr>
          <w:rFonts w:ascii="Arial" w:hAnsi="Arial" w:cs="Arial"/>
        </w:rPr>
        <w:t>The core activities of 1 STATION Ltd are structured around high-frequency, compliance-driven and repeatable automotive services. These include DVSA-approved MOT testing, mechanical servicing and diagnostics, tyre fitting and alignment, bodywork and accident repair, EV and hybrid servicing, and auto-electrical diagnostics. These technical activities are supported by a second layer of operational activities: booking coordination, workflow management across service units, customer communication and regulatory documentation.</w:t>
      </w:r>
    </w:p>
    <w:p w14:paraId="2EDAC8C9" w14:textId="77777777" w:rsidR="0061272F" w:rsidRPr="00390868" w:rsidRDefault="0061272F" w:rsidP="00905241">
      <w:pPr>
        <w:spacing w:line="360" w:lineRule="auto"/>
        <w:rPr>
          <w:rFonts w:ascii="Arial" w:hAnsi="Arial" w:cs="Arial"/>
        </w:rPr>
      </w:pPr>
      <w:r w:rsidRPr="00390868">
        <w:rPr>
          <w:rFonts w:ascii="Arial" w:hAnsi="Arial" w:cs="Arial"/>
        </w:rPr>
        <w:t>Unlike traditional single-service garages, 1 STATION’s defining activity is not repair execution in isolation, but cross-service integration. Vehicles are processed through multiple service stages within a single visit—such as MOT testing followed immediately by mechanical repair, tyre replacement or electrical diagnosis—reducing repeat visits and increasing revenue captured per customer interaction. This integrated flow logic underpins the capacity-led revenue model adopted in the Financial Plan.</w:t>
      </w:r>
    </w:p>
    <w:p w14:paraId="1A558031" w14:textId="3BA3F17E" w:rsidR="0061272F" w:rsidRPr="00390868" w:rsidRDefault="0061272F" w:rsidP="00905241">
      <w:pPr>
        <w:spacing w:line="360" w:lineRule="auto"/>
        <w:rPr>
          <w:rFonts w:ascii="Arial" w:hAnsi="Arial" w:cs="Arial"/>
        </w:rPr>
      </w:pPr>
      <w:r w:rsidRPr="00390868">
        <w:rPr>
          <w:rFonts w:ascii="Arial" w:hAnsi="Arial" w:cs="Arial"/>
        </w:rPr>
        <w:t>This activity structure directly informs process sequencing, bay allocation and labour scheduling decisions detailed in the Operations Plan (Section 6), where throughput assumptions and service dependencies are specified. A key operational KPI underpinning this model is the cross-service conversion rate, defined as the proportion of vehicles entering for one service (e.g. MOT testing) that receive at least one additional service during the same visit, which directly informs revenue and utilisation assumptions developed in Section 8.</w:t>
      </w:r>
    </w:p>
    <w:p w14:paraId="21854CA3" w14:textId="77777777" w:rsidR="00B156F8" w:rsidRPr="00390868" w:rsidRDefault="00B156F8" w:rsidP="00905241">
      <w:pPr>
        <w:pStyle w:val="Heading2"/>
        <w:spacing w:line="360" w:lineRule="auto"/>
        <w:rPr>
          <w:rFonts w:ascii="Arial" w:hAnsi="Arial" w:cs="Arial"/>
        </w:rPr>
      </w:pPr>
      <w:bookmarkStart w:id="53" w:name="_Toc218629251"/>
      <w:r w:rsidRPr="00390868">
        <w:rPr>
          <w:rFonts w:ascii="Arial" w:hAnsi="Arial" w:cs="Arial"/>
        </w:rPr>
        <w:t>4.3 Key Resources</w:t>
      </w:r>
      <w:bookmarkEnd w:id="53"/>
      <w:r w:rsidRPr="00390868">
        <w:rPr>
          <w:rFonts w:ascii="Arial" w:hAnsi="Arial" w:cs="Arial"/>
        </w:rPr>
        <w:t xml:space="preserve"> </w:t>
      </w:r>
    </w:p>
    <w:p w14:paraId="73323495" w14:textId="0C366B24" w:rsidR="00B156F8" w:rsidRPr="00390868" w:rsidRDefault="00B156F8" w:rsidP="00905241">
      <w:pPr>
        <w:spacing w:line="360" w:lineRule="auto"/>
        <w:rPr>
          <w:rFonts w:ascii="Arial" w:hAnsi="Arial" w:cs="Arial"/>
        </w:rPr>
      </w:pPr>
      <w:r w:rsidRPr="00390868">
        <w:rPr>
          <w:rFonts w:ascii="Arial" w:hAnsi="Arial" w:cs="Arial"/>
        </w:rPr>
        <w:t xml:space="preserve">The business model is resource-intensive by design, reflecting the estate-based operating structure. Physical resources include a multi-bay workshop facility, specialised ramps, diagnostic equipment, bodywork tooling, alignment systems and EV safety infrastructure. These assets are treated as long-term productive resources rather than short-term cost </w:t>
      </w:r>
      <w:r w:rsidRPr="00390868">
        <w:rPr>
          <w:rFonts w:ascii="Arial" w:hAnsi="Arial" w:cs="Arial"/>
        </w:rPr>
        <w:lastRenderedPageBreak/>
        <w:t>items, consistent with the capital expenditure and depreciation assumptions applied in Section 8. Human capital represents the most strategically significant resource. The workforce comprises MOT testers, mechanical technicians, bodywork specialists, EV-certified technicians, auto-electricians, valeters and administrative staff. Cross-skilling between compatible service units is intentionally embedded to improve utilisation resilience and reduce bottlenecks</w:t>
      </w:r>
      <w:r w:rsidR="00A3466E" w:rsidRPr="00390868">
        <w:rPr>
          <w:rFonts w:ascii="Arial" w:hAnsi="Arial" w:cs="Arial"/>
        </w:rPr>
        <w:t>Digital resources are deployed as operational coordination infrastructure rather than standalone marketing tools. Core systems include AutoFluent as the primary garage management system for job cards, workflow control and technician allocation; Stripe for secure payment processing and invoicing; Xero for accounting and financial reporting; and Google Workspace for internal communication, document control and compliance record management. Customer acquisition and visibility are supported through Google Business Profile, while a dedicated 1 STATION mobile application—integrated with the website and social media platforms—will centralise booking, service history access, MOT reminders and customer notifications. Collectively, these systems enable scalable operations, real-time visibility and consistent service delivery without proportional increases in administrative overhead, supporting the efficiency assumptions tested in Sections 6 and 8</w:t>
      </w:r>
      <w:r w:rsidRPr="00390868">
        <w:rPr>
          <w:rFonts w:ascii="Arial" w:hAnsi="Arial" w:cs="Arial"/>
        </w:rPr>
        <w:t>.</w:t>
      </w:r>
    </w:p>
    <w:p w14:paraId="04217D79" w14:textId="77777777" w:rsidR="0061272F" w:rsidRPr="00390868" w:rsidRDefault="0061272F" w:rsidP="00905241">
      <w:pPr>
        <w:pStyle w:val="Heading2"/>
        <w:spacing w:line="360" w:lineRule="auto"/>
        <w:rPr>
          <w:rFonts w:ascii="Arial" w:hAnsi="Arial" w:cs="Arial"/>
        </w:rPr>
      </w:pPr>
      <w:bookmarkStart w:id="54" w:name="_Toc217830842"/>
      <w:bookmarkStart w:id="55" w:name="_Toc218629252"/>
      <w:r w:rsidRPr="00390868">
        <w:rPr>
          <w:rFonts w:ascii="Arial" w:hAnsi="Arial" w:cs="Arial"/>
        </w:rPr>
        <w:t>4.4 Value Proposition</w:t>
      </w:r>
      <w:bookmarkEnd w:id="54"/>
      <w:bookmarkEnd w:id="55"/>
    </w:p>
    <w:p w14:paraId="13D73A8A" w14:textId="77777777" w:rsidR="0061272F" w:rsidRPr="00390868" w:rsidRDefault="0061272F" w:rsidP="00905241">
      <w:pPr>
        <w:spacing w:line="360" w:lineRule="auto"/>
        <w:rPr>
          <w:rFonts w:ascii="Arial" w:hAnsi="Arial" w:cs="Arial"/>
        </w:rPr>
      </w:pPr>
      <w:r w:rsidRPr="00390868">
        <w:rPr>
          <w:rFonts w:ascii="Arial" w:hAnsi="Arial" w:cs="Arial"/>
        </w:rPr>
        <w:t>The value proposition of 1 STATION Ltd is centred on reduced customer effort through service integration. Customers are offered a single location capable of delivering all essential automotive services with transparent pricing, predictable turnaround times and consistent diagnostic standards. This directly addresses documented customer frustration with fragmented garage visits, opaque pricing and repeated coordination effort (Mintel, 2024).</w:t>
      </w:r>
    </w:p>
    <w:p w14:paraId="42ED80B9" w14:textId="77777777" w:rsidR="0061272F" w:rsidRPr="00390868" w:rsidRDefault="0061272F" w:rsidP="00905241">
      <w:pPr>
        <w:spacing w:line="360" w:lineRule="auto"/>
        <w:rPr>
          <w:rFonts w:ascii="Arial" w:hAnsi="Arial" w:cs="Arial"/>
        </w:rPr>
      </w:pPr>
      <w:r w:rsidRPr="00390868">
        <w:rPr>
          <w:rFonts w:ascii="Arial" w:hAnsi="Arial" w:cs="Arial"/>
        </w:rPr>
        <w:t>Value is created for customers through reduced time cost, lower coordination burden and increased trust. By consolidating multiple services into a single visit with transparent pricing and consistent diagnostics, 1 STATION reduces the need for repeated garage visits, uncertainty around repair decisions and perceived risk. Operational efficiency and service bundling are therefore mechanisms that enable customer value, rather than the value itself.</w:t>
      </w:r>
    </w:p>
    <w:p w14:paraId="2C7002B7" w14:textId="77777777" w:rsidR="0061272F" w:rsidRPr="00390868" w:rsidRDefault="0061272F" w:rsidP="00905241">
      <w:pPr>
        <w:spacing w:line="360" w:lineRule="auto"/>
        <w:rPr>
          <w:rFonts w:ascii="Arial" w:hAnsi="Arial" w:cs="Arial"/>
        </w:rPr>
      </w:pPr>
      <w:r w:rsidRPr="00390868">
        <w:rPr>
          <w:rFonts w:ascii="Arial" w:hAnsi="Arial" w:cs="Arial"/>
        </w:rPr>
        <w:t xml:space="preserve">This value proposition underpins the marketing and sales strategy in Section 5, where acquisition messaging, pricing transparency and retention mechanisms are explicitly designed to reduce perceived risk and customer coordination effort rather than compete on price. </w:t>
      </w:r>
    </w:p>
    <w:p w14:paraId="6024E139" w14:textId="77777777" w:rsidR="0061272F" w:rsidRPr="00390868" w:rsidRDefault="0061272F" w:rsidP="00905241">
      <w:pPr>
        <w:pStyle w:val="Heading2"/>
        <w:spacing w:line="360" w:lineRule="auto"/>
        <w:rPr>
          <w:rFonts w:ascii="Arial" w:hAnsi="Arial" w:cs="Arial"/>
        </w:rPr>
      </w:pPr>
      <w:bookmarkStart w:id="56" w:name="_Toc218629253"/>
      <w:r w:rsidRPr="00390868">
        <w:rPr>
          <w:rFonts w:ascii="Arial" w:hAnsi="Arial" w:cs="Arial"/>
        </w:rPr>
        <w:lastRenderedPageBreak/>
        <w:t>4.5 Competitive Advantage and Defensibility</w:t>
      </w:r>
      <w:bookmarkEnd w:id="56"/>
      <w:r w:rsidRPr="00390868">
        <w:rPr>
          <w:rFonts w:ascii="Arial" w:hAnsi="Arial" w:cs="Arial"/>
        </w:rPr>
        <w:t xml:space="preserve"> </w:t>
      </w:r>
    </w:p>
    <w:p w14:paraId="01E13123" w14:textId="77777777" w:rsidR="0061272F" w:rsidRPr="00390868" w:rsidRDefault="0061272F" w:rsidP="00905241">
      <w:pPr>
        <w:spacing w:line="360" w:lineRule="auto"/>
        <w:rPr>
          <w:rFonts w:ascii="Arial" w:hAnsi="Arial" w:cs="Arial"/>
        </w:rPr>
      </w:pPr>
      <w:r w:rsidRPr="00390868">
        <w:rPr>
          <w:rFonts w:ascii="Arial" w:hAnsi="Arial" w:cs="Arial"/>
        </w:rPr>
        <w:t>The integrated automotive estate model adopted by 1 STATION Ltd creates a defensible market position that extends beyond short-term differentiation. Significant upfront investment in estate infrastructure, specialist equipment and multi-skilled labour establishes a material barrier to entry for single-service competitors. In addition, the operational complexity involved in coordinating cross-service workflows—once embedded through systems, processes and trained personnel—becomes difficult to replicate without scale and capital commitment. Customer loyalty is further reinforced through reduced effort and embedded switching costs, including unified service histories, bundled maintenance pathways and integrated digital records. Collectively, these factors create a sustainable competitive advantage grounded in operational capability rather than price competition, supporting long-term revenue stability and scalability.</w:t>
      </w:r>
    </w:p>
    <w:p w14:paraId="3726AEA2" w14:textId="77777777" w:rsidR="0061272F" w:rsidRPr="00390868" w:rsidRDefault="0061272F" w:rsidP="00905241">
      <w:pPr>
        <w:pStyle w:val="Heading2"/>
        <w:spacing w:line="360" w:lineRule="auto"/>
        <w:rPr>
          <w:rFonts w:ascii="Arial" w:hAnsi="Arial" w:cs="Arial"/>
        </w:rPr>
      </w:pPr>
      <w:bookmarkStart w:id="57" w:name="_Toc217830843"/>
      <w:bookmarkStart w:id="58" w:name="_Toc218629254"/>
      <w:r w:rsidRPr="00390868">
        <w:rPr>
          <w:rFonts w:ascii="Arial" w:hAnsi="Arial" w:cs="Arial"/>
        </w:rPr>
        <w:t>4.6 Customer Relationships</w:t>
      </w:r>
      <w:bookmarkEnd w:id="57"/>
      <w:bookmarkEnd w:id="58"/>
    </w:p>
    <w:p w14:paraId="6206490E" w14:textId="77777777" w:rsidR="0061272F" w:rsidRPr="00390868" w:rsidRDefault="0061272F" w:rsidP="00905241">
      <w:pPr>
        <w:spacing w:line="360" w:lineRule="auto"/>
        <w:rPr>
          <w:rFonts w:ascii="Arial" w:hAnsi="Arial" w:cs="Arial"/>
        </w:rPr>
      </w:pPr>
      <w:r w:rsidRPr="00390868">
        <w:rPr>
          <w:rFonts w:ascii="Arial" w:hAnsi="Arial" w:cs="Arial"/>
        </w:rPr>
        <w:t>Customer relationships are designed to be long-term, trust-based and operationally embedded rather than purely transactional. On-site customer interaction ensures accountability and diagnostic clarity, while digital updates provide transparency during service delivery. Automated MOT reminders, service notifications and post-service follow-ups support repeat visitation and regulatory compliance.</w:t>
      </w:r>
    </w:p>
    <w:p w14:paraId="262D8484" w14:textId="77777777" w:rsidR="0061272F" w:rsidRPr="00390868" w:rsidRDefault="0061272F" w:rsidP="00905241">
      <w:pPr>
        <w:spacing w:line="360" w:lineRule="auto"/>
        <w:rPr>
          <w:rFonts w:ascii="Arial" w:hAnsi="Arial" w:cs="Arial"/>
        </w:rPr>
      </w:pPr>
      <w:r w:rsidRPr="00390868">
        <w:rPr>
          <w:rFonts w:ascii="Arial" w:hAnsi="Arial" w:cs="Arial"/>
        </w:rPr>
        <w:t>Loyalty mechanisms are embedded through maintenance plans, MOT-linked reminders and retained service histories, which increase switching costs and support predictable repeat utilisation. These relationship mechanisms are central to the repeat-visit assumptions and customer lifetime value logic applied in the Financial Plan (Section 8)</w:t>
      </w:r>
    </w:p>
    <w:p w14:paraId="3B417B0B" w14:textId="77777777" w:rsidR="0061272F" w:rsidRPr="00390868" w:rsidRDefault="0061272F" w:rsidP="00905241">
      <w:pPr>
        <w:pStyle w:val="Heading2"/>
        <w:spacing w:line="360" w:lineRule="auto"/>
        <w:rPr>
          <w:rFonts w:ascii="Arial" w:hAnsi="Arial" w:cs="Arial"/>
        </w:rPr>
      </w:pPr>
      <w:bookmarkStart w:id="59" w:name="_Toc217830844"/>
      <w:bookmarkStart w:id="60" w:name="_Toc218629255"/>
      <w:r w:rsidRPr="00390868">
        <w:rPr>
          <w:rFonts w:ascii="Arial" w:hAnsi="Arial" w:cs="Arial"/>
        </w:rPr>
        <w:t>4.7 Channels</w:t>
      </w:r>
      <w:bookmarkEnd w:id="59"/>
      <w:bookmarkEnd w:id="60"/>
    </w:p>
    <w:p w14:paraId="5A1A2C96" w14:textId="77777777" w:rsidR="0061272F" w:rsidRPr="00390868" w:rsidRDefault="0061272F" w:rsidP="00905241">
      <w:pPr>
        <w:spacing w:line="360" w:lineRule="auto"/>
        <w:rPr>
          <w:rFonts w:ascii="Arial" w:hAnsi="Arial" w:cs="Arial"/>
        </w:rPr>
      </w:pPr>
      <w:r w:rsidRPr="00390868">
        <w:rPr>
          <w:rFonts w:ascii="Arial" w:hAnsi="Arial" w:cs="Arial"/>
        </w:rPr>
        <w:t>1 STATION Ltd adopts a multi-channel access strategy focused on convenience and decision-stage visibility rather than mass advertising. Primary channels include the company website with online booking functionality, WhatsApp and SMS for direct communication, Google Business Profile for local search visibility and walk-in trade driven by estate location and signage. Social media functions as a secondary awareness channel rather than a primary conversion tool.</w:t>
      </w:r>
    </w:p>
    <w:p w14:paraId="392D5D4B" w14:textId="77777777" w:rsidR="0061272F" w:rsidRPr="00390868" w:rsidRDefault="0061272F" w:rsidP="00905241">
      <w:pPr>
        <w:spacing w:line="360" w:lineRule="auto"/>
        <w:rPr>
          <w:rFonts w:ascii="Arial" w:hAnsi="Arial" w:cs="Arial"/>
        </w:rPr>
      </w:pPr>
      <w:r w:rsidRPr="00390868">
        <w:rPr>
          <w:rFonts w:ascii="Arial" w:hAnsi="Arial" w:cs="Arial"/>
        </w:rPr>
        <w:t>CRM-enabled communication channels play a critical role post-service, enabling reminders, follow-ups and targeted engagement. Operational implications of these channels—particularly booking volumes, response times and reminder workflows—are incorporated into the service process design and CRM-enabled operations described in Section 6.</w:t>
      </w:r>
    </w:p>
    <w:p w14:paraId="1C60E82E" w14:textId="77777777" w:rsidR="0061272F" w:rsidRPr="00390868" w:rsidRDefault="0061272F" w:rsidP="00905241">
      <w:pPr>
        <w:pStyle w:val="Heading2"/>
        <w:spacing w:line="360" w:lineRule="auto"/>
        <w:rPr>
          <w:rFonts w:ascii="Arial" w:hAnsi="Arial" w:cs="Arial"/>
        </w:rPr>
      </w:pPr>
      <w:bookmarkStart w:id="61" w:name="_Toc217830845"/>
      <w:bookmarkStart w:id="62" w:name="_Toc218629256"/>
      <w:r w:rsidRPr="00390868">
        <w:rPr>
          <w:rFonts w:ascii="Arial" w:hAnsi="Arial" w:cs="Arial"/>
        </w:rPr>
        <w:lastRenderedPageBreak/>
        <w:t>4.8 Customer Segments</w:t>
      </w:r>
      <w:bookmarkEnd w:id="61"/>
      <w:bookmarkEnd w:id="62"/>
    </w:p>
    <w:p w14:paraId="4CB7EFB2" w14:textId="77777777" w:rsidR="0061272F" w:rsidRPr="00390868" w:rsidRDefault="0061272F" w:rsidP="00905241">
      <w:pPr>
        <w:spacing w:line="360" w:lineRule="auto"/>
        <w:rPr>
          <w:rFonts w:ascii="Arial" w:hAnsi="Arial" w:cs="Arial"/>
        </w:rPr>
      </w:pPr>
      <w:r w:rsidRPr="00390868">
        <w:rPr>
          <w:rFonts w:ascii="Arial" w:hAnsi="Arial" w:cs="Arial"/>
        </w:rPr>
        <w:t>The business serves clearly defined and operationally compatible customer segments. These include private motorists, daily commuters, multi-vehicle households, first-time drivers, taxi and private-hire operators and light commercial delivery fleets. Segment selection is based on vehicle usage intensity, service frequency and compatibility with bundled service delivery rather than demographic generalisation.</w:t>
      </w:r>
    </w:p>
    <w:p w14:paraId="47736857" w14:textId="77777777" w:rsidR="0061272F" w:rsidRPr="00390868" w:rsidRDefault="0061272F" w:rsidP="00905241">
      <w:pPr>
        <w:spacing w:line="360" w:lineRule="auto"/>
        <w:rPr>
          <w:rFonts w:ascii="Arial" w:hAnsi="Arial" w:cs="Arial"/>
        </w:rPr>
      </w:pPr>
      <w:r w:rsidRPr="00390868">
        <w:rPr>
          <w:rFonts w:ascii="Arial" w:hAnsi="Arial" w:cs="Arial"/>
        </w:rPr>
        <w:t>This deliberate segment mix is designed to smooth demand across the week and year, an operational requirement detailed in Section 6 and a financial stability feature modelled in Section 8.</w:t>
      </w:r>
    </w:p>
    <w:p w14:paraId="3176A1EE" w14:textId="77777777" w:rsidR="0061272F" w:rsidRPr="00390868" w:rsidRDefault="0061272F" w:rsidP="00905241">
      <w:pPr>
        <w:pStyle w:val="Heading2"/>
        <w:spacing w:line="360" w:lineRule="auto"/>
        <w:rPr>
          <w:rFonts w:ascii="Arial" w:hAnsi="Arial" w:cs="Arial"/>
        </w:rPr>
      </w:pPr>
      <w:bookmarkStart w:id="63" w:name="_Toc217830846"/>
      <w:bookmarkStart w:id="64" w:name="_Toc218629257"/>
      <w:r w:rsidRPr="00390868">
        <w:rPr>
          <w:rFonts w:ascii="Arial" w:hAnsi="Arial" w:cs="Arial"/>
        </w:rPr>
        <w:t>4.9 Cost Structure</w:t>
      </w:r>
      <w:bookmarkEnd w:id="63"/>
      <w:bookmarkEnd w:id="64"/>
    </w:p>
    <w:p w14:paraId="2F2EF683" w14:textId="77777777" w:rsidR="0061272F" w:rsidRPr="00390868" w:rsidRDefault="0061272F" w:rsidP="00905241">
      <w:pPr>
        <w:spacing w:line="360" w:lineRule="auto"/>
        <w:rPr>
          <w:rFonts w:ascii="Arial" w:hAnsi="Arial" w:cs="Arial"/>
        </w:rPr>
      </w:pPr>
      <w:r w:rsidRPr="00390868">
        <w:rPr>
          <w:rFonts w:ascii="Arial" w:hAnsi="Arial" w:cs="Arial"/>
        </w:rPr>
        <w:t>The cost structure reflects the labour- and asset-intensive nature of an integrated automotive estate. Key cost drivers include technician wages, premises rent and business rates, utilities, parts and consumables, equipment depreciation, marketing expenditure and regulatory compliance costs.</w:t>
      </w:r>
    </w:p>
    <w:p w14:paraId="37B3CB45" w14:textId="77777777" w:rsidR="0061272F" w:rsidRPr="00390868" w:rsidRDefault="0061272F" w:rsidP="00905241">
      <w:pPr>
        <w:spacing w:line="360" w:lineRule="auto"/>
        <w:rPr>
          <w:rFonts w:ascii="Arial" w:hAnsi="Arial" w:cs="Arial"/>
        </w:rPr>
      </w:pPr>
      <w:r w:rsidRPr="00390868">
        <w:rPr>
          <w:rFonts w:ascii="Arial" w:hAnsi="Arial" w:cs="Arial"/>
        </w:rPr>
        <w:t>These costs are not treated as abstract categories but are derived from specific operational design choices. Staffing levels, skill mix, bay allocation, opening hours and equipment deployment are detailed in the Operations Plan (Section 6) and translated into quantified cost assumptions and depreciation schedules in the Financial Plan (Section 8). This ensures that cost behaviour is operationally grounded rather than assumed.</w:t>
      </w:r>
    </w:p>
    <w:p w14:paraId="0789DB14" w14:textId="77777777" w:rsidR="0061272F" w:rsidRPr="00390868" w:rsidRDefault="0061272F" w:rsidP="00905241">
      <w:pPr>
        <w:pStyle w:val="Heading2"/>
        <w:spacing w:line="360" w:lineRule="auto"/>
        <w:rPr>
          <w:rFonts w:ascii="Arial" w:hAnsi="Arial" w:cs="Arial"/>
        </w:rPr>
      </w:pPr>
      <w:bookmarkStart w:id="65" w:name="_Toc217830847"/>
      <w:bookmarkStart w:id="66" w:name="_Toc218629258"/>
      <w:r w:rsidRPr="00390868">
        <w:rPr>
          <w:rFonts w:ascii="Arial" w:hAnsi="Arial" w:cs="Arial"/>
        </w:rPr>
        <w:t>4.10 Revenue Streams</w:t>
      </w:r>
      <w:bookmarkEnd w:id="65"/>
      <w:bookmarkEnd w:id="66"/>
    </w:p>
    <w:p w14:paraId="4EA64CE8" w14:textId="77777777" w:rsidR="0061272F" w:rsidRPr="00390868" w:rsidRDefault="0061272F" w:rsidP="00905241">
      <w:pPr>
        <w:spacing w:line="360" w:lineRule="auto"/>
        <w:rPr>
          <w:rFonts w:ascii="Arial" w:hAnsi="Arial" w:cs="Arial"/>
        </w:rPr>
      </w:pPr>
      <w:r w:rsidRPr="00390868">
        <w:rPr>
          <w:rFonts w:ascii="Arial" w:hAnsi="Arial" w:cs="Arial"/>
        </w:rPr>
        <w:t xml:space="preserve">Revenue is generated through multiple complementary streams, including MOT testing, servicing and mechanical repairs, tyres and alignment, diagnostics, bodywork and accident repair, detailing and cosmetic upgrades, maintenance plans and fleet contracts. No single revenue stream dominates the model, reducing volatility. </w:t>
      </w:r>
    </w:p>
    <w:p w14:paraId="5CE1346D" w14:textId="77777777" w:rsidR="0061272F" w:rsidRPr="00390868" w:rsidRDefault="0061272F" w:rsidP="00905241">
      <w:pPr>
        <w:spacing w:line="360" w:lineRule="auto"/>
        <w:rPr>
          <w:rFonts w:ascii="Arial" w:hAnsi="Arial" w:cs="Arial"/>
        </w:rPr>
      </w:pPr>
      <w:r w:rsidRPr="00390868">
        <w:rPr>
          <w:rFonts w:ascii="Arial" w:hAnsi="Arial" w:cs="Arial"/>
        </w:rPr>
        <w:t>Initial financial modelling targets a diversified revenue mix in which no single service stream accounts for more than approximately 30% of total revenue, reducing dependency risk and improving resilience across demand cycles.</w:t>
      </w:r>
    </w:p>
    <w:p w14:paraId="46A512C3" w14:textId="77777777" w:rsidR="0061272F" w:rsidRPr="00390868" w:rsidRDefault="0061272F" w:rsidP="00905241">
      <w:pPr>
        <w:spacing w:line="360" w:lineRule="auto"/>
        <w:rPr>
          <w:rFonts w:ascii="Arial" w:hAnsi="Arial" w:cs="Arial"/>
        </w:rPr>
      </w:pPr>
      <w:r w:rsidRPr="00390868">
        <w:rPr>
          <w:rFonts w:ascii="Arial" w:hAnsi="Arial" w:cs="Arial"/>
        </w:rPr>
        <w:t>Crucially, revenue growth is driven by utilisation intensity and cross-service conversion per vehicle rather than by expanding customer numbers alone. The conversion rates, service mix and utilisation levels required to support these revenue streams are operationalised in Section 6 and stress-tested through break-even and sensitivity analysis in Section 8.</w:t>
      </w:r>
    </w:p>
    <w:p w14:paraId="45CDA286" w14:textId="77777777" w:rsidR="0061272F" w:rsidRPr="00390868" w:rsidRDefault="0061272F" w:rsidP="00905241">
      <w:pPr>
        <w:pStyle w:val="Heading1"/>
        <w:spacing w:line="360" w:lineRule="auto"/>
        <w:rPr>
          <w:rFonts w:ascii="Arial" w:hAnsi="Arial" w:cs="Arial"/>
          <w:sz w:val="36"/>
          <w:szCs w:val="36"/>
        </w:rPr>
      </w:pPr>
      <w:bookmarkStart w:id="67" w:name="_Toc217830848"/>
      <w:bookmarkStart w:id="68" w:name="_Toc218629259"/>
      <w:r w:rsidRPr="00390868">
        <w:rPr>
          <w:rFonts w:ascii="Arial" w:hAnsi="Arial" w:cs="Arial"/>
          <w:sz w:val="36"/>
          <w:szCs w:val="36"/>
        </w:rPr>
        <w:lastRenderedPageBreak/>
        <w:t>5. Marketing and Sales Strategy</w:t>
      </w:r>
      <w:bookmarkEnd w:id="67"/>
      <w:bookmarkEnd w:id="68"/>
    </w:p>
    <w:p w14:paraId="7CE0C6CB" w14:textId="5A8AB03C" w:rsidR="0061272F" w:rsidRPr="00390868" w:rsidRDefault="004207B3" w:rsidP="00905241">
      <w:pPr>
        <w:spacing w:line="360" w:lineRule="auto"/>
        <w:rPr>
          <w:rFonts w:ascii="Arial" w:hAnsi="Arial" w:cs="Arial"/>
        </w:rPr>
      </w:pPr>
      <w:r w:rsidRPr="00390868">
        <w:rPr>
          <w:rFonts w:ascii="Arial" w:hAnsi="Arial" w:cs="Arial"/>
        </w:rPr>
        <w:t>B</w:t>
      </w:r>
      <w:r w:rsidR="0061272F" w:rsidRPr="00390868">
        <w:rPr>
          <w:rFonts w:ascii="Arial" w:hAnsi="Arial" w:cs="Arial"/>
        </w:rPr>
        <w:t>uilding on the validated demand conditions established in Section 3 and the integrated operating logic defined in the Business Model Canvas (Section 4), this section explains how demand is captured, converted and retained within the 1 STATION estate. Marketing is treated not as a promotional function, but as a commercial control mechanism that aligns customer acquisition with operational capacity, cost discipline and long-term customer value.</w:t>
      </w:r>
    </w:p>
    <w:p w14:paraId="56374AF6" w14:textId="77777777" w:rsidR="0061272F" w:rsidRPr="00390868" w:rsidRDefault="0061272F" w:rsidP="00905241">
      <w:pPr>
        <w:spacing w:line="360" w:lineRule="auto"/>
        <w:rPr>
          <w:rFonts w:ascii="Arial" w:hAnsi="Arial" w:cs="Arial"/>
        </w:rPr>
      </w:pPr>
      <w:r w:rsidRPr="00390868">
        <w:rPr>
          <w:rFonts w:ascii="Arial" w:hAnsi="Arial" w:cs="Arial"/>
        </w:rPr>
        <w:t>Sales execution, customer journey design and CRM-led retention are integrated within a single system rather than treated as separate operational functions. This approach reflects the structural realities of the UK automotive aftercare market, which benefits from non-discretionary demand driven by statutory MOT requirements and vehicle ageing, but remains characterised by intense local competition, low switching costs and persistent trust deficits caused by opaque pricing and inconsistent service quality (IBISWorld, 2024). Accordingly, the strategy prioritises conversion efficiency, utilisation intensity and retention over volume-led reach.</w:t>
      </w:r>
    </w:p>
    <w:p w14:paraId="2243AAE4" w14:textId="77777777" w:rsidR="0061272F" w:rsidRPr="00390868" w:rsidRDefault="0061272F" w:rsidP="00905241">
      <w:pPr>
        <w:spacing w:line="360" w:lineRule="auto"/>
        <w:rPr>
          <w:rFonts w:ascii="Arial" w:hAnsi="Arial" w:cs="Arial"/>
        </w:rPr>
      </w:pPr>
      <w:r w:rsidRPr="00390868">
        <w:rPr>
          <w:rFonts w:ascii="Arial" w:hAnsi="Arial" w:cs="Arial"/>
        </w:rPr>
        <w:t>Key marketing performance indicators—booking conversion rate, cross-service utilisation, repeat visit ratio and customer lifetime value—form the core control metrics linking demand generation directly to operational throughput and financial outcomes.</w:t>
      </w:r>
    </w:p>
    <w:p w14:paraId="18FFB968" w14:textId="77777777" w:rsidR="0061272F" w:rsidRPr="00390868" w:rsidRDefault="0061272F" w:rsidP="00905241">
      <w:pPr>
        <w:pStyle w:val="Heading2"/>
        <w:spacing w:line="360" w:lineRule="auto"/>
        <w:rPr>
          <w:rFonts w:ascii="Arial" w:hAnsi="Arial" w:cs="Arial"/>
        </w:rPr>
      </w:pPr>
      <w:bookmarkStart w:id="69" w:name="_Toc217830849"/>
      <w:bookmarkStart w:id="70" w:name="_Toc218629260"/>
      <w:r w:rsidRPr="00390868">
        <w:rPr>
          <w:rFonts w:ascii="Arial" w:hAnsi="Arial" w:cs="Arial"/>
        </w:rPr>
        <w:t>5.1 Strategic Marketing Foundations and Objectives</w:t>
      </w:r>
      <w:bookmarkEnd w:id="69"/>
      <w:bookmarkEnd w:id="70"/>
    </w:p>
    <w:p w14:paraId="257896B0" w14:textId="77777777" w:rsidR="0061272F" w:rsidRPr="00390868" w:rsidRDefault="0061272F" w:rsidP="00905241">
      <w:pPr>
        <w:spacing w:line="360" w:lineRule="auto"/>
        <w:rPr>
          <w:rFonts w:ascii="Arial" w:hAnsi="Arial" w:cs="Arial"/>
        </w:rPr>
      </w:pPr>
      <w:r w:rsidRPr="00390868">
        <w:rPr>
          <w:rFonts w:ascii="Arial" w:hAnsi="Arial" w:cs="Arial"/>
        </w:rPr>
        <w:t>Rather than restating segmentation already addressed in Section 3, this subsection translates market evidence into marketing decision logic. Two structural realities anchor the strategy.</w:t>
      </w:r>
    </w:p>
    <w:p w14:paraId="1E39917E" w14:textId="77777777" w:rsidR="0061272F" w:rsidRPr="00390868" w:rsidRDefault="0061272F" w:rsidP="00905241">
      <w:pPr>
        <w:spacing w:line="360" w:lineRule="auto"/>
        <w:rPr>
          <w:rFonts w:ascii="Arial" w:hAnsi="Arial" w:cs="Arial"/>
        </w:rPr>
      </w:pPr>
      <w:r w:rsidRPr="00390868">
        <w:rPr>
          <w:rFonts w:ascii="Arial" w:hAnsi="Arial" w:cs="Arial"/>
        </w:rPr>
        <w:t>First, customer acquisition costs in local service markets are rising due to competition for high-intent digital search and the growing influence of online reviews at the point of decision (Statista, 2024). This limits the sustainability of growth models reliant on continuous paid acquisition. Second, customer retention generates disproportionately higher lifetime value, as repeat visits, bundled services and MOT-linked compliance cycles reduce marginal marketing cost per transaction (Reichheld and Sasser, 1990).</w:t>
      </w:r>
    </w:p>
    <w:p w14:paraId="218F410D" w14:textId="77777777" w:rsidR="0061272F" w:rsidRPr="00390868" w:rsidRDefault="0061272F" w:rsidP="00905241">
      <w:pPr>
        <w:spacing w:line="360" w:lineRule="auto"/>
        <w:rPr>
          <w:rFonts w:ascii="Arial" w:hAnsi="Arial" w:cs="Arial"/>
        </w:rPr>
      </w:pPr>
      <w:r w:rsidRPr="00390868">
        <w:rPr>
          <w:rFonts w:ascii="Arial" w:hAnsi="Arial" w:cs="Arial"/>
        </w:rPr>
        <w:t>As a result, 1 STATION’s marketing strategy is designed not to maximise reach, but to compress the decision cycle and lock in repeat utilisation once a customer enters the estate. Fleet and trade customers are targeted selectively to stabilise baseline demand rather than to subsidise retail pricing or compensate for weak consumer trust.</w:t>
      </w:r>
    </w:p>
    <w:p w14:paraId="0FBF64FF" w14:textId="77777777" w:rsidR="0061272F" w:rsidRPr="00390868" w:rsidRDefault="0061272F" w:rsidP="00905241">
      <w:pPr>
        <w:spacing w:line="360" w:lineRule="auto"/>
        <w:rPr>
          <w:rFonts w:ascii="Arial" w:hAnsi="Arial" w:cs="Arial"/>
        </w:rPr>
      </w:pPr>
      <w:r w:rsidRPr="00390868">
        <w:rPr>
          <w:rFonts w:ascii="Arial" w:hAnsi="Arial" w:cs="Arial"/>
        </w:rPr>
        <w:t>Based on this logic, five strategic marketing objectives are defined for the first 12–18 months:</w:t>
      </w:r>
    </w:p>
    <w:p w14:paraId="3C9232E0" w14:textId="77777777" w:rsidR="0061272F" w:rsidRPr="00390868" w:rsidRDefault="0061272F" w:rsidP="00905241">
      <w:pPr>
        <w:numPr>
          <w:ilvl w:val="0"/>
          <w:numId w:val="5"/>
        </w:numPr>
        <w:spacing w:line="360" w:lineRule="auto"/>
        <w:rPr>
          <w:rFonts w:ascii="Arial" w:hAnsi="Arial" w:cs="Arial"/>
        </w:rPr>
      </w:pPr>
      <w:r w:rsidRPr="00390868">
        <w:rPr>
          <w:rFonts w:ascii="Arial" w:hAnsi="Arial" w:cs="Arial"/>
        </w:rPr>
        <w:lastRenderedPageBreak/>
        <w:t>Establish strong local credibility in Sandwell prior to and during launch, positioning 1 STATION as a DVSA-approved, multi-service automotive estate rather than a traditional garage.</w:t>
      </w:r>
    </w:p>
    <w:p w14:paraId="4FB6839B" w14:textId="77777777" w:rsidR="0061272F" w:rsidRPr="00390868" w:rsidRDefault="0061272F" w:rsidP="00905241">
      <w:pPr>
        <w:numPr>
          <w:ilvl w:val="0"/>
          <w:numId w:val="5"/>
        </w:numPr>
        <w:spacing w:line="360" w:lineRule="auto"/>
        <w:rPr>
          <w:rFonts w:ascii="Arial" w:hAnsi="Arial" w:cs="Arial"/>
        </w:rPr>
      </w:pPr>
      <w:r w:rsidRPr="00390868">
        <w:rPr>
          <w:rFonts w:ascii="Arial" w:hAnsi="Arial" w:cs="Arial"/>
        </w:rPr>
        <w:t>Reduce perceived customer risk at the point of decision through fixed pricing, diagnostic transparency and visible compliance cues.</w:t>
      </w:r>
    </w:p>
    <w:p w14:paraId="27E3AF0C" w14:textId="77777777" w:rsidR="0061272F" w:rsidRPr="00390868" w:rsidRDefault="0061272F" w:rsidP="00905241">
      <w:pPr>
        <w:numPr>
          <w:ilvl w:val="0"/>
          <w:numId w:val="5"/>
        </w:numPr>
        <w:spacing w:line="360" w:lineRule="auto"/>
        <w:rPr>
          <w:rFonts w:ascii="Arial" w:hAnsi="Arial" w:cs="Arial"/>
        </w:rPr>
      </w:pPr>
      <w:r w:rsidRPr="00390868">
        <w:rPr>
          <w:rFonts w:ascii="Arial" w:hAnsi="Arial" w:cs="Arial"/>
        </w:rPr>
        <w:t>Achieve rapid conversion from awareness to booking by eliminating booking friction and response delays.</w:t>
      </w:r>
    </w:p>
    <w:p w14:paraId="64BF1BC0" w14:textId="77777777" w:rsidR="0061272F" w:rsidRPr="00390868" w:rsidRDefault="0061272F" w:rsidP="00905241">
      <w:pPr>
        <w:numPr>
          <w:ilvl w:val="0"/>
          <w:numId w:val="5"/>
        </w:numPr>
        <w:spacing w:line="360" w:lineRule="auto"/>
        <w:rPr>
          <w:rFonts w:ascii="Arial" w:hAnsi="Arial" w:cs="Arial"/>
        </w:rPr>
      </w:pPr>
      <w:r w:rsidRPr="00390868">
        <w:rPr>
          <w:rFonts w:ascii="Arial" w:hAnsi="Arial" w:cs="Arial"/>
        </w:rPr>
        <w:t>Drive repeat utilisation through MOT-linked reminders, retained service histories and CRM-triggered follow-up.</w:t>
      </w:r>
    </w:p>
    <w:p w14:paraId="12987E07" w14:textId="77777777" w:rsidR="0061272F" w:rsidRPr="00390868" w:rsidRDefault="0061272F" w:rsidP="00905241">
      <w:pPr>
        <w:numPr>
          <w:ilvl w:val="0"/>
          <w:numId w:val="5"/>
        </w:numPr>
        <w:spacing w:line="360" w:lineRule="auto"/>
        <w:rPr>
          <w:rFonts w:ascii="Arial" w:hAnsi="Arial" w:cs="Arial"/>
        </w:rPr>
      </w:pPr>
      <w:r w:rsidRPr="00390868">
        <w:rPr>
          <w:rFonts w:ascii="Arial" w:hAnsi="Arial" w:cs="Arial"/>
        </w:rPr>
        <w:t>Secure a limited base of fleet and trade customers by the end of Year 1 to smooth utilisation volatility without margin dilution.</w:t>
      </w:r>
    </w:p>
    <w:p w14:paraId="5ECF7421" w14:textId="6C301F84" w:rsidR="00C81943" w:rsidRPr="00390868" w:rsidRDefault="00C81943" w:rsidP="00905241">
      <w:pPr>
        <w:spacing w:line="360" w:lineRule="auto"/>
        <w:rPr>
          <w:rFonts w:ascii="Arial" w:hAnsi="Arial" w:cs="Arial"/>
        </w:rPr>
      </w:pPr>
      <w:r w:rsidRPr="00390868">
        <w:rPr>
          <w:rFonts w:ascii="Arial" w:hAnsi="Arial" w:cs="Arial"/>
        </w:rPr>
        <w:t xml:space="preserve">Insights into customer behaviour, service expectations, and preference for convenience-based automotive solutions are derived exclusively from established secondary research sources. A structured summary of these datasets and their relevance to the marketing strategy is presented in </w:t>
      </w:r>
      <w:r w:rsidRPr="00390868">
        <w:rPr>
          <w:rFonts w:ascii="Arial" w:hAnsi="Arial" w:cs="Arial"/>
          <w:b/>
          <w:bCs/>
        </w:rPr>
        <w:t>Appendix B</w:t>
      </w:r>
      <w:r w:rsidRPr="00390868">
        <w:rPr>
          <w:rFonts w:ascii="Arial" w:hAnsi="Arial" w:cs="Arial"/>
        </w:rPr>
        <w:t>.</w:t>
      </w:r>
    </w:p>
    <w:p w14:paraId="2B7B11E9" w14:textId="77777777" w:rsidR="0061272F" w:rsidRPr="00390868" w:rsidRDefault="0061272F" w:rsidP="00905241">
      <w:pPr>
        <w:pStyle w:val="Heading2"/>
        <w:spacing w:line="360" w:lineRule="auto"/>
        <w:rPr>
          <w:rFonts w:ascii="Arial" w:hAnsi="Arial" w:cs="Arial"/>
        </w:rPr>
      </w:pPr>
      <w:bookmarkStart w:id="71" w:name="_Toc217830850"/>
      <w:bookmarkStart w:id="72" w:name="_Toc218629261"/>
      <w:r w:rsidRPr="00390868">
        <w:rPr>
          <w:rFonts w:ascii="Arial" w:hAnsi="Arial" w:cs="Arial"/>
        </w:rPr>
        <w:t>5.2 Integrated Marketing Mix: Execution Through the 7Ps</w:t>
      </w:r>
      <w:bookmarkEnd w:id="71"/>
      <w:bookmarkEnd w:id="72"/>
    </w:p>
    <w:p w14:paraId="2B6AE665" w14:textId="77777777" w:rsidR="0061272F" w:rsidRPr="00390868" w:rsidRDefault="0061272F" w:rsidP="00905241">
      <w:pPr>
        <w:spacing w:line="360" w:lineRule="auto"/>
        <w:rPr>
          <w:rFonts w:ascii="Arial" w:hAnsi="Arial" w:cs="Arial"/>
        </w:rPr>
      </w:pPr>
      <w:r w:rsidRPr="00390868">
        <w:rPr>
          <w:rFonts w:ascii="Arial" w:hAnsi="Arial" w:cs="Arial"/>
        </w:rPr>
        <w:t>The marketing mix for 1 STATION Ltd functions as an operating system, not a promotional checklist. Each element reinforces the estate model’s value proposition: convenience through integration, trust through transparency and reliability through process control.</w:t>
      </w:r>
    </w:p>
    <w:p w14:paraId="3F1586DC" w14:textId="77777777" w:rsidR="0061272F" w:rsidRPr="00390868" w:rsidRDefault="0061272F" w:rsidP="00905241">
      <w:pPr>
        <w:spacing w:line="360" w:lineRule="auto"/>
        <w:rPr>
          <w:rFonts w:ascii="Arial" w:hAnsi="Arial" w:cs="Arial"/>
        </w:rPr>
      </w:pPr>
      <w:r w:rsidRPr="00390868">
        <w:rPr>
          <w:rFonts w:ascii="Arial" w:hAnsi="Arial" w:cs="Arial"/>
          <w:b/>
          <w:bCs/>
        </w:rPr>
        <w:t>Product.</w:t>
      </w:r>
      <w:r w:rsidRPr="00390868">
        <w:rPr>
          <w:rFonts w:ascii="Arial" w:hAnsi="Arial" w:cs="Arial"/>
        </w:rPr>
        <w:br/>
        <w:t>The service offering integrates mandatory and discretionary automotive services including MOT testing, servicing, diagnostics, tyres, bodywork, EV servicing and detailing. Value is enhanced through diagnostic-led augmentation such as photographic fault reporting and digital service records, reducing information asymmetry and trust deficits common in independent garages (J.D. Power, 2023).</w:t>
      </w:r>
    </w:p>
    <w:p w14:paraId="37E37B6A" w14:textId="77777777" w:rsidR="0061272F" w:rsidRPr="00390868" w:rsidRDefault="0061272F" w:rsidP="00905241">
      <w:pPr>
        <w:spacing w:line="360" w:lineRule="auto"/>
        <w:rPr>
          <w:rFonts w:ascii="Arial" w:hAnsi="Arial" w:cs="Arial"/>
        </w:rPr>
      </w:pPr>
      <w:r w:rsidRPr="00390868">
        <w:rPr>
          <w:rFonts w:ascii="Arial" w:hAnsi="Arial" w:cs="Arial"/>
          <w:b/>
          <w:bCs/>
        </w:rPr>
        <w:t>Price.</w:t>
      </w:r>
      <w:r w:rsidRPr="00390868">
        <w:rPr>
          <w:rFonts w:ascii="Arial" w:hAnsi="Arial" w:cs="Arial"/>
        </w:rPr>
        <w:br/>
        <w:t>Pricing prioritises predictability over tactical discounting. Fixed pricing applies to MOTs, servicing tiers and diagnostics, while variable repair work follows labour-time-based pricing supported by diagnostic evidence (Which?, 2024). Bundled offers are used selectively to increase cross-service uptake rather than to stimulate unsustainable volume.</w:t>
      </w:r>
    </w:p>
    <w:p w14:paraId="2D027504" w14:textId="77777777" w:rsidR="0061272F" w:rsidRPr="00390868" w:rsidRDefault="0061272F" w:rsidP="00905241">
      <w:pPr>
        <w:spacing w:line="360" w:lineRule="auto"/>
        <w:rPr>
          <w:rFonts w:ascii="Arial" w:hAnsi="Arial" w:cs="Arial"/>
        </w:rPr>
      </w:pPr>
      <w:r w:rsidRPr="00390868">
        <w:rPr>
          <w:rFonts w:ascii="Arial" w:hAnsi="Arial" w:cs="Arial"/>
          <w:b/>
          <w:bCs/>
        </w:rPr>
        <w:t>Place.</w:t>
      </w:r>
      <w:r w:rsidRPr="00390868">
        <w:rPr>
          <w:rFonts w:ascii="Arial" w:hAnsi="Arial" w:cs="Arial"/>
        </w:rPr>
        <w:br/>
        <w:t xml:space="preserve">The Sandwell estate benefits from proximity to commuter flows and residential density, while </w:t>
      </w:r>
      <w:r w:rsidRPr="00390868">
        <w:rPr>
          <w:rFonts w:ascii="Arial" w:hAnsi="Arial" w:cs="Arial"/>
        </w:rPr>
        <w:lastRenderedPageBreak/>
        <w:t>the internal layout reinforces professionalism through visible reception areas, zoned service bays and displayed certifications. Physical transparency functions as a substitute for customers’ inability to directly observe technical quality (Parasuraman et al., 1985).</w:t>
      </w:r>
    </w:p>
    <w:p w14:paraId="524FD652" w14:textId="77777777" w:rsidR="0061272F" w:rsidRPr="00390868" w:rsidRDefault="0061272F" w:rsidP="00905241">
      <w:pPr>
        <w:spacing w:line="360" w:lineRule="auto"/>
        <w:rPr>
          <w:rFonts w:ascii="Arial" w:hAnsi="Arial" w:cs="Arial"/>
        </w:rPr>
      </w:pPr>
      <w:r w:rsidRPr="00390868">
        <w:rPr>
          <w:rFonts w:ascii="Arial" w:hAnsi="Arial" w:cs="Arial"/>
          <w:b/>
          <w:bCs/>
        </w:rPr>
        <w:t>Promotion.</w:t>
      </w:r>
      <w:r w:rsidRPr="00390868">
        <w:rPr>
          <w:rFonts w:ascii="Arial" w:hAnsi="Arial" w:cs="Arial"/>
        </w:rPr>
        <w:br/>
        <w:t>Promotion is deliberately narrow and high-intent, focusing on Google Business Profile optimisation, review generation, local search visibility and direct messaging (WhatsApp/SMS). Evidence indicates most garage selection decisions occur at the search-and-review stage rather than through brand advertising (Statista, 2024).</w:t>
      </w:r>
    </w:p>
    <w:p w14:paraId="5BDDE6A6" w14:textId="77777777" w:rsidR="0061272F" w:rsidRPr="00390868" w:rsidRDefault="0061272F" w:rsidP="00905241">
      <w:pPr>
        <w:spacing w:line="360" w:lineRule="auto"/>
        <w:rPr>
          <w:rFonts w:ascii="Arial" w:hAnsi="Arial" w:cs="Arial"/>
        </w:rPr>
      </w:pPr>
      <w:r w:rsidRPr="00390868">
        <w:rPr>
          <w:rFonts w:ascii="Arial" w:hAnsi="Arial" w:cs="Arial"/>
          <w:b/>
          <w:bCs/>
        </w:rPr>
        <w:t>People.</w:t>
      </w:r>
      <w:r w:rsidRPr="00390868">
        <w:rPr>
          <w:rFonts w:ascii="Arial" w:hAnsi="Arial" w:cs="Arial"/>
        </w:rPr>
        <w:br/>
        <w:t>Technicians and front-desk staff act as trust carriers. Recruitment and training therefore emphasise diagnostic explanation, customer communication and procedural consistency alongside technical competence (Zeithaml et al., 2018).</w:t>
      </w:r>
    </w:p>
    <w:p w14:paraId="6AE6467E" w14:textId="77777777" w:rsidR="0061272F" w:rsidRPr="00390868" w:rsidRDefault="0061272F" w:rsidP="00905241">
      <w:pPr>
        <w:spacing w:line="360" w:lineRule="auto"/>
        <w:rPr>
          <w:rFonts w:ascii="Arial" w:hAnsi="Arial" w:cs="Arial"/>
        </w:rPr>
      </w:pPr>
      <w:r w:rsidRPr="00390868">
        <w:rPr>
          <w:rFonts w:ascii="Arial" w:hAnsi="Arial" w:cs="Arial"/>
          <w:b/>
          <w:bCs/>
        </w:rPr>
        <w:t>Process.</w:t>
      </w:r>
      <w:r w:rsidRPr="00390868">
        <w:rPr>
          <w:rFonts w:ascii="Arial" w:hAnsi="Arial" w:cs="Arial"/>
        </w:rPr>
        <w:br/>
        <w:t>Online booking, standardised diagnostics, real-time updates and structured workflows reduce friction and protect throughput. These processes are operationalised in Section 6 and underpin utilisation assumptions in Section 8.</w:t>
      </w:r>
    </w:p>
    <w:p w14:paraId="1F2B47F6" w14:textId="77777777" w:rsidR="0061272F" w:rsidRPr="00390868" w:rsidRDefault="0061272F" w:rsidP="00905241">
      <w:pPr>
        <w:spacing w:line="360" w:lineRule="auto"/>
        <w:rPr>
          <w:rFonts w:ascii="Arial" w:hAnsi="Arial" w:cs="Arial"/>
        </w:rPr>
      </w:pPr>
      <w:r w:rsidRPr="00390868">
        <w:rPr>
          <w:rFonts w:ascii="Arial" w:hAnsi="Arial" w:cs="Arial"/>
          <w:b/>
          <w:bCs/>
        </w:rPr>
        <w:t>Physical Evidence.</w:t>
      </w:r>
      <w:r w:rsidRPr="00390868">
        <w:rPr>
          <w:rFonts w:ascii="Arial" w:hAnsi="Arial" w:cs="Arial"/>
        </w:rPr>
        <w:br/>
        <w:t>Clean facilities, branded uniforms, DVSA licensing displays and detailed service reports act as tangible trust signals differentiating the estate from informal competitors.</w:t>
      </w:r>
    </w:p>
    <w:p w14:paraId="5A746954" w14:textId="77777777" w:rsidR="0061272F" w:rsidRPr="00390868" w:rsidRDefault="0061272F" w:rsidP="00905241">
      <w:pPr>
        <w:spacing w:line="360" w:lineRule="auto"/>
        <w:rPr>
          <w:rFonts w:ascii="Arial" w:hAnsi="Arial" w:cs="Arial"/>
        </w:rPr>
      </w:pPr>
    </w:p>
    <w:p w14:paraId="3EF9A7DD" w14:textId="77777777" w:rsidR="0061272F" w:rsidRPr="00390868" w:rsidRDefault="0061272F" w:rsidP="00905241">
      <w:pPr>
        <w:pStyle w:val="Heading2"/>
        <w:spacing w:line="360" w:lineRule="auto"/>
        <w:rPr>
          <w:rFonts w:ascii="Arial" w:hAnsi="Arial" w:cs="Arial"/>
        </w:rPr>
      </w:pPr>
      <w:bookmarkStart w:id="73" w:name="_Toc217830851"/>
      <w:bookmarkStart w:id="74" w:name="_Toc218629262"/>
      <w:r w:rsidRPr="00390868">
        <w:rPr>
          <w:rFonts w:ascii="Arial" w:hAnsi="Arial" w:cs="Arial"/>
        </w:rPr>
        <w:t>5.3 Competitive Forces and Strategic Implications for Customer Acquisition</w:t>
      </w:r>
      <w:bookmarkEnd w:id="73"/>
      <w:bookmarkEnd w:id="74"/>
    </w:p>
    <w:p w14:paraId="0AA995CA" w14:textId="77777777" w:rsidR="0061272F" w:rsidRPr="00390868" w:rsidRDefault="0061272F" w:rsidP="00905241">
      <w:pPr>
        <w:spacing w:line="360" w:lineRule="auto"/>
        <w:rPr>
          <w:rFonts w:ascii="Arial" w:hAnsi="Arial" w:cs="Arial"/>
        </w:rPr>
      </w:pPr>
      <w:r w:rsidRPr="00390868">
        <w:rPr>
          <w:rFonts w:ascii="Arial" w:hAnsi="Arial" w:cs="Arial"/>
        </w:rPr>
        <w:t>Figure 5.1 applies Porter’s Five Forces framework specifically to customer acquisition dynamics rather than to re-evaluate industry structure already addressed in Section 3.</w:t>
      </w:r>
    </w:p>
    <w:p w14:paraId="1A5EA077" w14:textId="1DC19EC4" w:rsidR="0061272F" w:rsidRPr="00390868" w:rsidRDefault="0061272F" w:rsidP="00315C87">
      <w:pPr>
        <w:spacing w:line="360" w:lineRule="auto"/>
        <w:rPr>
          <w:rFonts w:ascii="Arial" w:hAnsi="Arial" w:cs="Arial"/>
        </w:rPr>
      </w:pPr>
      <w:r w:rsidRPr="00390868">
        <w:rPr>
          <w:rFonts w:ascii="Arial" w:hAnsi="Arial" w:cs="Arial"/>
          <w:b/>
          <w:bCs/>
        </w:rPr>
        <w:t>Figure 5.1: Porter’s Five Forces Analysis for the UK Automotive Aftercare Market</w:t>
      </w:r>
      <w:r w:rsidRPr="00390868">
        <w:rPr>
          <w:rFonts w:ascii="Arial" w:hAnsi="Arial" w:cs="Arial"/>
        </w:rPr>
        <w:br/>
      </w:r>
      <w:r w:rsidR="00315C87" w:rsidRPr="00315C87">
        <w:rPr>
          <w:rFonts w:ascii="Arial" w:hAnsi="Arial" w:cs="Arial"/>
          <w:i/>
          <w:iCs/>
        </w:rPr>
        <w:t>(Source: Developed by the author drawing on Porter’s (2008) framework)</w:t>
      </w:r>
    </w:p>
    <w:p w14:paraId="3B3EA722" w14:textId="77777777" w:rsidR="0061272F" w:rsidRPr="00390868" w:rsidRDefault="0061272F" w:rsidP="00905241">
      <w:pPr>
        <w:spacing w:line="360" w:lineRule="auto"/>
        <w:rPr>
          <w:rFonts w:ascii="Arial" w:hAnsi="Arial" w:cs="Arial"/>
        </w:rPr>
      </w:pPr>
      <w:r w:rsidRPr="00390868">
        <w:rPr>
          <w:rFonts w:ascii="Arial" w:hAnsi="Arial" w:cs="Arial"/>
          <w:noProof/>
        </w:rPr>
        <w:lastRenderedPageBreak/>
        <w:drawing>
          <wp:inline distT="0" distB="0" distL="0" distR="0" wp14:anchorId="65C03D3B" wp14:editId="1AF9EDE8">
            <wp:extent cx="5534025" cy="3810000"/>
            <wp:effectExtent l="0" t="0" r="47625" b="19050"/>
            <wp:docPr id="153742158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D9E9C24" w14:textId="77777777" w:rsidR="0061272F" w:rsidRPr="00390868" w:rsidRDefault="0061272F" w:rsidP="00905241">
      <w:pPr>
        <w:tabs>
          <w:tab w:val="left" w:pos="5954"/>
        </w:tabs>
        <w:spacing w:line="360" w:lineRule="auto"/>
        <w:rPr>
          <w:rFonts w:ascii="Arial" w:hAnsi="Arial" w:cs="Arial"/>
        </w:rPr>
      </w:pPr>
      <w:bookmarkStart w:id="75" w:name="_Toc217830852"/>
      <w:r w:rsidRPr="00390868">
        <w:rPr>
          <w:rFonts w:ascii="Arial" w:hAnsi="Arial" w:cs="Arial"/>
        </w:rPr>
        <w:t>The sector exhibits intense rivalry, high buyer power driven by low switching costs and online comparison, moderate barriers to entry due to capital and compliance requirements, and low supplier power due to fragmented parts distribution (IBISWorld, 2024). Substitution threats remain limited, as professional servicing and MOT testing are non-optional, although mobile mechanics and dealership service plans provide partial alternatives (RAC, 2024).</w:t>
      </w:r>
    </w:p>
    <w:p w14:paraId="78D8F448" w14:textId="77777777" w:rsidR="0061272F" w:rsidRPr="00390868" w:rsidRDefault="0061272F" w:rsidP="00905241">
      <w:pPr>
        <w:spacing w:line="360" w:lineRule="auto"/>
        <w:rPr>
          <w:rFonts w:ascii="Arial" w:hAnsi="Arial" w:cs="Arial"/>
        </w:rPr>
      </w:pPr>
      <w:r w:rsidRPr="00390868">
        <w:rPr>
          <w:rFonts w:ascii="Arial" w:hAnsi="Arial" w:cs="Arial"/>
        </w:rPr>
        <w:t>These conditions indicate that acquisition cannot be sustained through price competition alone. Accordingly, 1 STATION circumvents price-based rivalry through three strategic levers:</w:t>
      </w:r>
    </w:p>
    <w:p w14:paraId="36205AE1" w14:textId="77777777" w:rsidR="0061272F" w:rsidRPr="00390868" w:rsidRDefault="0061272F" w:rsidP="00905241">
      <w:pPr>
        <w:spacing w:line="360" w:lineRule="auto"/>
        <w:rPr>
          <w:rFonts w:ascii="Arial" w:hAnsi="Arial" w:cs="Arial"/>
        </w:rPr>
      </w:pPr>
      <w:r w:rsidRPr="00390868">
        <w:rPr>
          <w:rFonts w:ascii="Arial" w:hAnsi="Arial" w:cs="Arial"/>
        </w:rPr>
        <w:t>(i) digital dominance in high-intent local search,</w:t>
      </w:r>
    </w:p>
    <w:p w14:paraId="124B32CC" w14:textId="77777777" w:rsidR="0061272F" w:rsidRPr="00390868" w:rsidRDefault="0061272F" w:rsidP="00905241">
      <w:pPr>
        <w:spacing w:line="360" w:lineRule="auto"/>
        <w:rPr>
          <w:rFonts w:ascii="Arial" w:hAnsi="Arial" w:cs="Arial"/>
        </w:rPr>
      </w:pPr>
      <w:r w:rsidRPr="00390868">
        <w:rPr>
          <w:rFonts w:ascii="Arial" w:hAnsi="Arial" w:cs="Arial"/>
        </w:rPr>
        <w:t>(ii) trust-based differentiation via transparent pricing and diagnostics, and</w:t>
      </w:r>
    </w:p>
    <w:p w14:paraId="69E87367" w14:textId="77777777" w:rsidR="0061272F" w:rsidRPr="00390868" w:rsidRDefault="0061272F" w:rsidP="00905241">
      <w:pPr>
        <w:spacing w:line="360" w:lineRule="auto"/>
        <w:rPr>
          <w:rFonts w:ascii="Arial" w:hAnsi="Arial" w:cs="Arial"/>
        </w:rPr>
      </w:pPr>
      <w:r w:rsidRPr="00390868">
        <w:rPr>
          <w:rFonts w:ascii="Arial" w:hAnsi="Arial" w:cs="Arial"/>
        </w:rPr>
        <w:t>(iii) CRM-led retention focused on customer lifetime value (Reichheld and Sasser, 1990)</w:t>
      </w:r>
    </w:p>
    <w:p w14:paraId="15A03892" w14:textId="77777777" w:rsidR="0061272F" w:rsidRPr="00390868" w:rsidRDefault="0061272F" w:rsidP="00905241">
      <w:pPr>
        <w:pStyle w:val="Heading2"/>
        <w:spacing w:line="360" w:lineRule="auto"/>
        <w:rPr>
          <w:rFonts w:ascii="Arial" w:hAnsi="Arial" w:cs="Arial"/>
        </w:rPr>
      </w:pPr>
      <w:bookmarkStart w:id="76" w:name="_Toc218629263"/>
      <w:r w:rsidRPr="00390868">
        <w:rPr>
          <w:rFonts w:ascii="Arial" w:hAnsi="Arial" w:cs="Arial"/>
        </w:rPr>
        <w:t>5.4 Customer Journey and Conversion Funnel</w:t>
      </w:r>
      <w:bookmarkEnd w:id="75"/>
      <w:bookmarkEnd w:id="76"/>
    </w:p>
    <w:p w14:paraId="3EA70012" w14:textId="77777777" w:rsidR="0061272F" w:rsidRPr="00390868" w:rsidRDefault="0061272F" w:rsidP="00905241">
      <w:pPr>
        <w:spacing w:line="360" w:lineRule="auto"/>
        <w:rPr>
          <w:rFonts w:ascii="Arial" w:hAnsi="Arial" w:cs="Arial"/>
        </w:rPr>
      </w:pPr>
      <w:r w:rsidRPr="00390868">
        <w:rPr>
          <w:rFonts w:ascii="Arial" w:hAnsi="Arial" w:cs="Arial"/>
        </w:rPr>
        <w:t>Customer Journey Mapping aligns marketing activity with how motorists actually make decisions. For 1 STATION Ltd, the journey is structured across five stages: awareness, consideration, booking, service delivery and retention/advocacy.</w:t>
      </w:r>
    </w:p>
    <w:p w14:paraId="27BA93DF" w14:textId="77777777" w:rsidR="0061272F" w:rsidRPr="00390868" w:rsidRDefault="0061272F" w:rsidP="00905241">
      <w:pPr>
        <w:spacing w:line="360" w:lineRule="auto"/>
        <w:rPr>
          <w:rFonts w:ascii="Arial" w:hAnsi="Arial" w:cs="Arial"/>
        </w:rPr>
      </w:pPr>
      <w:r w:rsidRPr="00390868">
        <w:rPr>
          <w:rFonts w:ascii="Arial" w:hAnsi="Arial" w:cs="Arial"/>
        </w:rPr>
        <w:t xml:space="preserve">Awareness is driven primarily through digital discovery channels such as search engines, maps and online reviews, reflecting established UK consumer behaviour (Statista, 2024). </w:t>
      </w:r>
      <w:r w:rsidRPr="00390868">
        <w:rPr>
          <w:rFonts w:ascii="Arial" w:hAnsi="Arial" w:cs="Arial"/>
        </w:rPr>
        <w:lastRenderedPageBreak/>
        <w:t>During consideration, customers assess pricing transparency, availability and perceived trustworthiness. Clear fixed-price menus, rapid responses and strong review signals function as conversion accelerators. Booking represents a critical friction point; seamless transitions between online booking, WhatsApp communication and telephone support minimise drop-off, particularly for time-constrained commuters (McKinsey &amp; Company, 2023).</w:t>
      </w:r>
    </w:p>
    <w:p w14:paraId="3BC7A9FA" w14:textId="77777777" w:rsidR="0061272F" w:rsidRPr="00390868" w:rsidRDefault="0061272F" w:rsidP="00905241">
      <w:pPr>
        <w:spacing w:line="360" w:lineRule="auto"/>
        <w:rPr>
          <w:rFonts w:ascii="Arial" w:hAnsi="Arial" w:cs="Arial"/>
        </w:rPr>
      </w:pPr>
      <w:r w:rsidRPr="00390868">
        <w:rPr>
          <w:rFonts w:ascii="Arial" w:hAnsi="Arial" w:cs="Arial"/>
        </w:rPr>
        <w:t>Service delivery constitutes the core experiential stage, where diagnostic clarity, real-time updates and predictable turnaround times influence satisfaction and perceived value. Post-service engagement then determines retention through automated MOT reminders, digital service records and targeted follow-ups. Key performance indicators associated with each stage include click-through rates, booking conversion, average response times, repeat visit ratios and customer lifetime value.</w:t>
      </w:r>
    </w:p>
    <w:p w14:paraId="75D0BF19" w14:textId="1BE5FE9D" w:rsidR="0061272F" w:rsidRPr="00390868" w:rsidRDefault="0061272F" w:rsidP="00905241">
      <w:pPr>
        <w:spacing w:line="360" w:lineRule="auto"/>
        <w:rPr>
          <w:rFonts w:ascii="Arial" w:hAnsi="Arial" w:cs="Arial"/>
        </w:rPr>
      </w:pPr>
      <w:r w:rsidRPr="00390868">
        <w:rPr>
          <w:rFonts w:ascii="Arial" w:hAnsi="Arial" w:cs="Arial"/>
        </w:rPr>
        <w:t xml:space="preserve">A visual summary of this journey—mapping customer mindset, key touchpoints and KPI gates—is provided in </w:t>
      </w:r>
      <w:r w:rsidRPr="003F4DF5">
        <w:rPr>
          <w:rFonts w:ascii="Arial" w:hAnsi="Arial" w:cs="Arial"/>
        </w:rPr>
        <w:t xml:space="preserve">Appendix </w:t>
      </w:r>
      <w:r w:rsidR="009D54AF" w:rsidRPr="003F4DF5">
        <w:rPr>
          <w:rFonts w:ascii="Arial" w:hAnsi="Arial" w:cs="Arial"/>
        </w:rPr>
        <w:t>C</w:t>
      </w:r>
      <w:r w:rsidRPr="003F4DF5">
        <w:rPr>
          <w:rFonts w:ascii="Arial" w:hAnsi="Arial" w:cs="Arial"/>
        </w:rPr>
        <w:t>,</w:t>
      </w:r>
      <w:r w:rsidRPr="00390868">
        <w:rPr>
          <w:rFonts w:ascii="Arial" w:hAnsi="Arial" w:cs="Arial"/>
        </w:rPr>
        <w:t xml:space="preserve"> enabling the entire acquisition-to-retention logic to be understood on a single page.</w:t>
      </w:r>
    </w:p>
    <w:p w14:paraId="644015C5" w14:textId="77777777" w:rsidR="0061272F" w:rsidRPr="00390868" w:rsidRDefault="0061272F" w:rsidP="00905241">
      <w:pPr>
        <w:pStyle w:val="Heading2"/>
        <w:spacing w:line="360" w:lineRule="auto"/>
        <w:rPr>
          <w:rFonts w:ascii="Arial" w:hAnsi="Arial" w:cs="Arial"/>
        </w:rPr>
      </w:pPr>
      <w:bookmarkStart w:id="77" w:name="_Toc217830853"/>
      <w:bookmarkStart w:id="78" w:name="_Toc218629264"/>
      <w:r w:rsidRPr="00390868">
        <w:rPr>
          <w:rFonts w:ascii="Arial" w:hAnsi="Arial" w:cs="Arial"/>
        </w:rPr>
        <w:t>5.5 Marketing Action Plan and 12-Month Implementation Roadmap</w:t>
      </w:r>
      <w:bookmarkEnd w:id="77"/>
      <w:bookmarkEnd w:id="78"/>
      <w:r w:rsidRPr="00390868">
        <w:rPr>
          <w:rFonts w:ascii="Arial" w:hAnsi="Arial" w:cs="Arial"/>
        </w:rPr>
        <w:t xml:space="preserve">    </w:t>
      </w:r>
    </w:p>
    <w:p w14:paraId="099011CB" w14:textId="77777777" w:rsidR="0061272F" w:rsidRPr="00390868" w:rsidRDefault="0061272F" w:rsidP="00905241">
      <w:pPr>
        <w:spacing w:line="360" w:lineRule="auto"/>
        <w:rPr>
          <w:rFonts w:ascii="Arial" w:hAnsi="Arial" w:cs="Arial"/>
        </w:rPr>
      </w:pPr>
      <w:r w:rsidRPr="00390868">
        <w:rPr>
          <w:rFonts w:ascii="Arial" w:hAnsi="Arial" w:cs="Arial"/>
        </w:rPr>
        <w:t>The marketing strategy is operationalised through a phased 12-month roadmap aligned with the Q4 launch and early stabilisation period. Rather than front-loading expenditure, activity is sequenced to support controlled growth and utilisation ramp-up.</w:t>
      </w:r>
    </w:p>
    <w:p w14:paraId="77074972" w14:textId="77777777" w:rsidR="0061272F" w:rsidRPr="00390868" w:rsidRDefault="0061272F" w:rsidP="00905241">
      <w:pPr>
        <w:numPr>
          <w:ilvl w:val="0"/>
          <w:numId w:val="3"/>
        </w:numPr>
        <w:spacing w:line="360" w:lineRule="auto"/>
        <w:rPr>
          <w:rFonts w:ascii="Arial" w:hAnsi="Arial" w:cs="Arial"/>
        </w:rPr>
      </w:pPr>
      <w:r w:rsidRPr="00390868">
        <w:rPr>
          <w:rFonts w:ascii="Arial" w:hAnsi="Arial" w:cs="Arial"/>
          <w:b/>
          <w:bCs/>
        </w:rPr>
        <w:t>Phase 1 (Months 1–6)</w:t>
      </w:r>
      <w:r w:rsidRPr="00390868">
        <w:rPr>
          <w:rFonts w:ascii="Arial" w:hAnsi="Arial" w:cs="Arial"/>
        </w:rPr>
        <w:t xml:space="preserve"> focuses on brand establishment and credibility building through digital presence, local partnerships and early engagement.</w:t>
      </w:r>
    </w:p>
    <w:p w14:paraId="6D999D29" w14:textId="77777777" w:rsidR="0061272F" w:rsidRPr="00390868" w:rsidRDefault="0061272F" w:rsidP="00905241">
      <w:pPr>
        <w:numPr>
          <w:ilvl w:val="0"/>
          <w:numId w:val="3"/>
        </w:numPr>
        <w:spacing w:line="360" w:lineRule="auto"/>
        <w:rPr>
          <w:rFonts w:ascii="Arial" w:hAnsi="Arial" w:cs="Arial"/>
        </w:rPr>
      </w:pPr>
      <w:r w:rsidRPr="00390868">
        <w:rPr>
          <w:rFonts w:ascii="Arial" w:hAnsi="Arial" w:cs="Arial"/>
          <w:b/>
          <w:bCs/>
        </w:rPr>
        <w:t>Phase 2 (Months 7–9)</w:t>
      </w:r>
      <w:r w:rsidRPr="00390868">
        <w:rPr>
          <w:rFonts w:ascii="Arial" w:hAnsi="Arial" w:cs="Arial"/>
        </w:rPr>
        <w:t xml:space="preserve"> coincides with launch and prioritises conversion, review generation and early utilisation.</w:t>
      </w:r>
    </w:p>
    <w:p w14:paraId="392F2CC0" w14:textId="77777777" w:rsidR="0061272F" w:rsidRPr="00390868" w:rsidRDefault="0061272F" w:rsidP="00905241">
      <w:pPr>
        <w:numPr>
          <w:ilvl w:val="0"/>
          <w:numId w:val="3"/>
        </w:numPr>
        <w:spacing w:line="360" w:lineRule="auto"/>
        <w:rPr>
          <w:rFonts w:ascii="Arial" w:hAnsi="Arial" w:cs="Arial"/>
        </w:rPr>
      </w:pPr>
      <w:r w:rsidRPr="00390868">
        <w:rPr>
          <w:rFonts w:ascii="Arial" w:hAnsi="Arial" w:cs="Arial"/>
          <w:b/>
          <w:bCs/>
        </w:rPr>
        <w:t>Phase 3 (Months 10–12)</w:t>
      </w:r>
      <w:r w:rsidRPr="00390868">
        <w:rPr>
          <w:rFonts w:ascii="Arial" w:hAnsi="Arial" w:cs="Arial"/>
        </w:rPr>
        <w:t xml:space="preserve"> shifts emphasis to retention, CRM activation and fleet onboarding.</w:t>
      </w:r>
    </w:p>
    <w:p w14:paraId="61D48928" w14:textId="77777777" w:rsidR="0061272F" w:rsidRPr="00390868" w:rsidRDefault="0061272F" w:rsidP="00905241">
      <w:pPr>
        <w:spacing w:line="360" w:lineRule="auto"/>
        <w:rPr>
          <w:rFonts w:ascii="Arial" w:hAnsi="Arial" w:cs="Arial"/>
        </w:rPr>
      </w:pPr>
      <w:r w:rsidRPr="00390868">
        <w:rPr>
          <w:rFonts w:ascii="Arial" w:hAnsi="Arial" w:cs="Arial"/>
        </w:rPr>
        <w:t xml:space="preserve">The detailed roadmap, including activities, timelines and KPIs, is presented in </w:t>
      </w:r>
      <w:r w:rsidRPr="00390868">
        <w:rPr>
          <w:rFonts w:ascii="Arial" w:hAnsi="Arial" w:cs="Arial"/>
          <w:b/>
          <w:bCs/>
        </w:rPr>
        <w:t>Table 5.2</w:t>
      </w:r>
      <w:r w:rsidRPr="00390868">
        <w:rPr>
          <w:rFonts w:ascii="Arial" w:hAnsi="Arial" w:cs="Arial"/>
        </w:rPr>
        <w:t>.</w:t>
      </w:r>
    </w:p>
    <w:p w14:paraId="319EA158" w14:textId="740F74DA" w:rsidR="0061272F" w:rsidRPr="00390868" w:rsidRDefault="0061272F" w:rsidP="003A4A44">
      <w:pPr>
        <w:spacing w:line="360" w:lineRule="auto"/>
        <w:rPr>
          <w:rFonts w:ascii="Arial" w:hAnsi="Arial" w:cs="Arial"/>
          <w:b/>
          <w:bCs/>
        </w:rPr>
      </w:pPr>
      <w:r w:rsidRPr="00390868">
        <w:rPr>
          <w:rFonts w:ascii="Arial" w:hAnsi="Arial" w:cs="Arial"/>
          <w:b/>
          <w:bCs/>
        </w:rPr>
        <w:t xml:space="preserve">Table 5.2: </w:t>
      </w:r>
      <w:r w:rsidR="003A4A44" w:rsidRPr="003A4A44">
        <w:rPr>
          <w:rFonts w:ascii="Arial" w:hAnsi="Arial" w:cs="Arial"/>
          <w:b/>
          <w:bCs/>
        </w:rPr>
        <w:t xml:space="preserve">Year-One </w:t>
      </w:r>
      <w:r w:rsidRPr="00390868">
        <w:rPr>
          <w:rFonts w:ascii="Arial" w:hAnsi="Arial" w:cs="Arial"/>
          <w:b/>
          <w:bCs/>
        </w:rPr>
        <w:t>Implementation Roadmap</w:t>
      </w:r>
    </w:p>
    <w:p w14:paraId="2DA07055" w14:textId="77777777" w:rsidR="0061272F" w:rsidRPr="00390868" w:rsidRDefault="0061272F" w:rsidP="00905241">
      <w:pPr>
        <w:spacing w:line="360" w:lineRule="auto"/>
        <w:rPr>
          <w:rFonts w:ascii="Arial" w:hAnsi="Arial" w:cs="Arial"/>
          <w:i/>
          <w:iCs/>
        </w:rPr>
      </w:pPr>
      <w:r w:rsidRPr="00390868">
        <w:rPr>
          <w:rFonts w:ascii="Arial" w:hAnsi="Arial" w:cs="Arial"/>
          <w:i/>
          <w:iCs/>
        </w:rPr>
        <w:t xml:space="preserve">(Source: Author's Analysis) </w:t>
      </w:r>
    </w:p>
    <w:tbl>
      <w:tblPr>
        <w:tblStyle w:val="PlainTable1"/>
        <w:tblW w:w="0" w:type="auto"/>
        <w:tblLook w:val="04A0" w:firstRow="1" w:lastRow="0" w:firstColumn="1" w:lastColumn="0" w:noHBand="0" w:noVBand="1"/>
      </w:tblPr>
      <w:tblGrid>
        <w:gridCol w:w="2083"/>
        <w:gridCol w:w="1228"/>
        <w:gridCol w:w="3813"/>
        <w:gridCol w:w="1892"/>
      </w:tblGrid>
      <w:tr w:rsidR="0061272F" w:rsidRPr="00390868" w14:paraId="441AC89A"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022BAA" w14:textId="77777777" w:rsidR="0061272F" w:rsidRPr="00390868" w:rsidRDefault="0061272F" w:rsidP="00905241">
            <w:pPr>
              <w:spacing w:after="160" w:line="360" w:lineRule="auto"/>
              <w:rPr>
                <w:rFonts w:ascii="Arial" w:hAnsi="Arial" w:cs="Arial"/>
              </w:rPr>
            </w:pPr>
            <w:r w:rsidRPr="00390868">
              <w:rPr>
                <w:rFonts w:ascii="Arial" w:hAnsi="Arial" w:cs="Arial"/>
              </w:rPr>
              <w:t>Phase &amp; Focus</w:t>
            </w:r>
          </w:p>
        </w:tc>
        <w:tc>
          <w:tcPr>
            <w:tcW w:w="0" w:type="auto"/>
            <w:hideMark/>
          </w:tcPr>
          <w:p w14:paraId="11522135"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Timeline</w:t>
            </w:r>
          </w:p>
        </w:tc>
        <w:tc>
          <w:tcPr>
            <w:tcW w:w="0" w:type="auto"/>
            <w:hideMark/>
          </w:tcPr>
          <w:p w14:paraId="16D098E4"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Key Activities &amp; Tactics</w:t>
            </w:r>
          </w:p>
        </w:tc>
        <w:tc>
          <w:tcPr>
            <w:tcW w:w="0" w:type="auto"/>
            <w:hideMark/>
          </w:tcPr>
          <w:p w14:paraId="5B8623DD" w14:textId="77777777" w:rsidR="0061272F" w:rsidRPr="00390868" w:rsidRDefault="0061272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Primary KPIs &amp; Targets</w:t>
            </w:r>
          </w:p>
        </w:tc>
      </w:tr>
      <w:tr w:rsidR="0061272F" w:rsidRPr="00390868" w14:paraId="4FF0917A"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E8453"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Phase 1: Pre-Launch – Brand Establishment &amp; Awareness</w:t>
            </w:r>
          </w:p>
        </w:tc>
        <w:tc>
          <w:tcPr>
            <w:tcW w:w="0" w:type="auto"/>
            <w:hideMark/>
          </w:tcPr>
          <w:p w14:paraId="40774FD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Months 1–6</w:t>
            </w:r>
          </w:p>
        </w:tc>
        <w:tc>
          <w:tcPr>
            <w:tcW w:w="0" w:type="auto"/>
            <w:hideMark/>
          </w:tcPr>
          <w:p w14:paraId="3C3E2C2B"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Finalise brand assets (logo, uniforms, exterior signage).</w:t>
            </w:r>
          </w:p>
          <w:p w14:paraId="3831314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Launch foundational website with SEO-optimised service pages (MOT, servicing, tyres, diagnostics).</w:t>
            </w:r>
          </w:p>
          <w:p w14:paraId="523C71D2"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Establish and optimise Google Business Profile prior to opening.</w:t>
            </w:r>
          </w:p>
          <w:p w14:paraId="73E756E2"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Initiate local partnership outreach (estate agents, fleet managers, taxi operators).</w:t>
            </w:r>
          </w:p>
          <w:p w14:paraId="0CFD14E4" w14:textId="72A44BFA"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Build early social media presence (Facebook/Instagram</w:t>
            </w:r>
            <w:r w:rsidR="002B10F7" w:rsidRPr="00390868">
              <w:rPr>
                <w:rFonts w:ascii="Arial" w:hAnsi="Arial" w:cs="Arial"/>
              </w:rPr>
              <w:t>/</w:t>
            </w:r>
            <w:r w:rsidR="006C666A" w:rsidRPr="00390868">
              <w:rPr>
                <w:rFonts w:ascii="Arial" w:hAnsi="Arial" w:cs="Arial"/>
              </w:rPr>
              <w:t>TikTok</w:t>
            </w:r>
            <w:r w:rsidRPr="00390868">
              <w:rPr>
                <w:rFonts w:ascii="Arial" w:hAnsi="Arial" w:cs="Arial"/>
              </w:rPr>
              <w:t>) using behind-the-scenes and site-development content.</w:t>
            </w:r>
          </w:p>
        </w:tc>
        <w:tc>
          <w:tcPr>
            <w:tcW w:w="0" w:type="auto"/>
            <w:hideMark/>
          </w:tcPr>
          <w:p w14:paraId="64171ACF"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Website domain authority &gt;20.</w:t>
            </w:r>
          </w:p>
          <w:p w14:paraId="656C68F0"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Google Business Profile: 25+ pre-launch reviews or expressions of interest.</w:t>
            </w:r>
          </w:p>
          <w:p w14:paraId="0B02B50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150+ combined social media and newsletter followers.</w:t>
            </w:r>
          </w:p>
          <w:p w14:paraId="01E882DA"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Secure 2–3 qualified fleet or partnership leads.</w:t>
            </w:r>
          </w:p>
        </w:tc>
      </w:tr>
      <w:tr w:rsidR="0061272F" w:rsidRPr="00390868" w14:paraId="0488F99D"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5B09DC93" w14:textId="77777777" w:rsidR="0061272F" w:rsidRPr="00390868" w:rsidRDefault="0061272F" w:rsidP="00905241">
            <w:pPr>
              <w:spacing w:after="160" w:line="360" w:lineRule="auto"/>
              <w:rPr>
                <w:rFonts w:ascii="Arial" w:hAnsi="Arial" w:cs="Arial"/>
              </w:rPr>
            </w:pPr>
            <w:r w:rsidRPr="00390868">
              <w:rPr>
                <w:rFonts w:ascii="Arial" w:hAnsi="Arial" w:cs="Arial"/>
              </w:rPr>
              <w:t>Phase 2: Launch – Customer Acquisition &amp; Conversion</w:t>
            </w:r>
          </w:p>
        </w:tc>
        <w:tc>
          <w:tcPr>
            <w:tcW w:w="0" w:type="auto"/>
            <w:hideMark/>
          </w:tcPr>
          <w:p w14:paraId="245FC96C"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Months 7–9 (Q4 Launch)</w:t>
            </w:r>
          </w:p>
        </w:tc>
        <w:tc>
          <w:tcPr>
            <w:tcW w:w="0" w:type="auto"/>
            <w:hideMark/>
          </w:tcPr>
          <w:p w14:paraId="09BEFBCB"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Execute grand-opening campaign with limited-time bundled offers (e.g. MOT + Service).</w:t>
            </w:r>
          </w:p>
          <w:p w14:paraId="7ECE6020"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Launch targeted Google Search and social advertising for high-intent keywords (e.g. “MOT Sandwell”, “car service near me”).</w:t>
            </w:r>
          </w:p>
          <w:p w14:paraId="4E4AB378"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Implement structured review-generation incentive (e.g. £10 credit on next service).</w:t>
            </w:r>
          </w:p>
          <w:p w14:paraId="22D3E893"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Local PR activity, including press release to regional outlets and community group sponsorship.</w:t>
            </w:r>
          </w:p>
        </w:tc>
        <w:tc>
          <w:tcPr>
            <w:tcW w:w="0" w:type="auto"/>
            <w:hideMark/>
          </w:tcPr>
          <w:p w14:paraId="368E0B0C"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Online booking conversion rate ≥15%.</w:t>
            </w:r>
          </w:p>
          <w:p w14:paraId="024A9551" w14:textId="3D75029C"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xml:space="preserve">• </w:t>
            </w:r>
            <w:r w:rsidR="008766E4" w:rsidRPr="00390868">
              <w:rPr>
                <w:rFonts w:ascii="Arial" w:hAnsi="Arial" w:cs="Arial"/>
              </w:rPr>
              <w:t>Acquire 300+ first-time customers.</w:t>
            </w:r>
          </w:p>
          <w:p w14:paraId="024F029F"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Maintain ≥4.5-star average Google rating.</w:t>
            </w:r>
          </w:p>
          <w:p w14:paraId="2C24381A" w14:textId="77777777" w:rsidR="0061272F" w:rsidRPr="00390868" w:rsidRDefault="0061272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Workshop utilisation &gt;40% by weeks 1–2 post-launch.</w:t>
            </w:r>
          </w:p>
        </w:tc>
      </w:tr>
      <w:tr w:rsidR="0061272F" w:rsidRPr="00390868" w14:paraId="5D6EC87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DCA267" w14:textId="77777777" w:rsidR="0061272F" w:rsidRPr="00390868" w:rsidRDefault="0061272F" w:rsidP="00905241">
            <w:pPr>
              <w:spacing w:after="160" w:line="360" w:lineRule="auto"/>
              <w:rPr>
                <w:rFonts w:ascii="Arial" w:hAnsi="Arial" w:cs="Arial"/>
              </w:rPr>
            </w:pPr>
            <w:r w:rsidRPr="00390868">
              <w:rPr>
                <w:rFonts w:ascii="Arial" w:hAnsi="Arial" w:cs="Arial"/>
              </w:rPr>
              <w:lastRenderedPageBreak/>
              <w:t>Phase 3: Post-Launch – Retention, CRM &amp; Growth</w:t>
            </w:r>
          </w:p>
        </w:tc>
        <w:tc>
          <w:tcPr>
            <w:tcW w:w="0" w:type="auto"/>
            <w:hideMark/>
          </w:tcPr>
          <w:p w14:paraId="4C4EFCE5"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Months 10–12</w:t>
            </w:r>
          </w:p>
        </w:tc>
        <w:tc>
          <w:tcPr>
            <w:tcW w:w="0" w:type="auto"/>
            <w:hideMark/>
          </w:tcPr>
          <w:p w14:paraId="0D48AEDE"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Activate automated CRM workflows (MOT and service reminders via SMS/email)</w:t>
            </w:r>
          </w:p>
          <w:p w14:paraId="38692DAD"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Introduce loyalty programme (e.g. service-based rewards or bundled maintenance incentives).</w:t>
            </w:r>
          </w:p>
          <w:p w14:paraId="360A141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Formalise fleet service proposals and commence targeted outreach to commercial operators.</w:t>
            </w:r>
          </w:p>
          <w:p w14:paraId="3BB0E8A8"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Analyse customer data to deploy first targeted campaign (e.g. winter tyre and safety checks).</w:t>
            </w:r>
          </w:p>
        </w:tc>
        <w:tc>
          <w:tcPr>
            <w:tcW w:w="0" w:type="auto"/>
            <w:hideMark/>
          </w:tcPr>
          <w:p w14:paraId="0CDA4103"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Repeat customer rate ≥35%.</w:t>
            </w:r>
          </w:p>
          <w:p w14:paraId="2BFCCA9C"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CRM reminder redemption rate &gt;25%.</w:t>
            </w:r>
          </w:p>
          <w:p w14:paraId="1BF59732"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Secure first 2–3 fleet servicing contracts.</w:t>
            </w:r>
          </w:p>
          <w:p w14:paraId="37B60872" w14:textId="77777777" w:rsidR="0061272F" w:rsidRPr="00390868" w:rsidRDefault="0061272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Achieve steady-state monthly utilisation &gt;65%.</w:t>
            </w:r>
          </w:p>
        </w:tc>
      </w:tr>
    </w:tbl>
    <w:p w14:paraId="1C40EFF1" w14:textId="77777777" w:rsidR="00666F69" w:rsidRPr="00390868" w:rsidRDefault="00666F69" w:rsidP="00905241">
      <w:pPr>
        <w:spacing w:line="360" w:lineRule="auto"/>
        <w:rPr>
          <w:rFonts w:ascii="Arial" w:hAnsi="Arial" w:cs="Arial"/>
        </w:rPr>
      </w:pPr>
    </w:p>
    <w:p w14:paraId="2D3B7F06" w14:textId="490D3F44" w:rsidR="00666F69" w:rsidRPr="00390868" w:rsidRDefault="00666F69" w:rsidP="00905241">
      <w:pPr>
        <w:spacing w:line="360" w:lineRule="auto"/>
        <w:rPr>
          <w:rFonts w:ascii="Arial" w:hAnsi="Arial" w:cs="Arial"/>
        </w:rPr>
      </w:pPr>
      <w:r w:rsidRPr="00390868">
        <w:rPr>
          <w:rFonts w:ascii="Arial" w:hAnsi="Arial" w:cs="Arial"/>
        </w:rPr>
        <w:t xml:space="preserve">The sequencing of marketing actions and KPI thresholds in this roadmap aligns directly with the customer journey structure illustrated in </w:t>
      </w:r>
      <w:r w:rsidRPr="00231A9E">
        <w:rPr>
          <w:rFonts w:ascii="Arial" w:hAnsi="Arial" w:cs="Arial"/>
        </w:rPr>
        <w:t>Appendix</w:t>
      </w:r>
      <w:r w:rsidRPr="00390868">
        <w:rPr>
          <w:rFonts w:ascii="Arial" w:hAnsi="Arial" w:cs="Arial"/>
          <w:b/>
          <w:bCs/>
        </w:rPr>
        <w:t xml:space="preserve"> C</w:t>
      </w:r>
      <w:r w:rsidRPr="00390868">
        <w:rPr>
          <w:rFonts w:ascii="Arial" w:hAnsi="Arial" w:cs="Arial"/>
        </w:rPr>
        <w:t>.</w:t>
      </w:r>
    </w:p>
    <w:p w14:paraId="09160F74" w14:textId="77777777" w:rsidR="0061272F" w:rsidRPr="00390868" w:rsidRDefault="0061272F" w:rsidP="00905241">
      <w:pPr>
        <w:pStyle w:val="Heading2"/>
        <w:spacing w:line="360" w:lineRule="auto"/>
        <w:rPr>
          <w:rFonts w:ascii="Arial" w:hAnsi="Arial" w:cs="Arial"/>
        </w:rPr>
      </w:pPr>
      <w:bookmarkStart w:id="79" w:name="_Toc217830854"/>
      <w:bookmarkStart w:id="80" w:name="_Toc218629265"/>
      <w:r w:rsidRPr="00390868">
        <w:rPr>
          <w:rFonts w:ascii="Arial" w:hAnsi="Arial" w:cs="Arial"/>
        </w:rPr>
        <w:t>5.6 Strategic Fit and Commercial Contribution</w:t>
      </w:r>
      <w:bookmarkEnd w:id="79"/>
      <w:bookmarkEnd w:id="80"/>
    </w:p>
    <w:p w14:paraId="2E5B7FED" w14:textId="77777777" w:rsidR="0061272F" w:rsidRPr="00390868" w:rsidRDefault="0061272F" w:rsidP="00905241">
      <w:pPr>
        <w:spacing w:line="360" w:lineRule="auto"/>
        <w:rPr>
          <w:rFonts w:ascii="Arial" w:hAnsi="Arial" w:cs="Arial"/>
        </w:rPr>
      </w:pPr>
      <w:r w:rsidRPr="00390868">
        <w:rPr>
          <w:rFonts w:ascii="Arial" w:hAnsi="Arial" w:cs="Arial"/>
        </w:rPr>
        <w:t>This phased marketing approach is designed to support financial sustainability and operational control. Budget allocation is weighted toward the launch phase, with approximately 30% allocated to pre-launch credibility building, 50% to launch-period acquisition and conversion, and 20% to post-launch retention and CRM activation. This distribution reflects the need to balance awareness creation with measurable booking outcomes.</w:t>
      </w:r>
    </w:p>
    <w:p w14:paraId="07477613" w14:textId="77777777" w:rsidR="0061272F" w:rsidRPr="00390868" w:rsidRDefault="0061272F" w:rsidP="00905241">
      <w:pPr>
        <w:spacing w:line="360" w:lineRule="auto"/>
        <w:rPr>
          <w:rFonts w:ascii="Arial" w:hAnsi="Arial" w:cs="Arial"/>
        </w:rPr>
      </w:pPr>
      <w:r w:rsidRPr="00390868">
        <w:rPr>
          <w:rFonts w:ascii="Arial" w:hAnsi="Arial" w:cs="Arial"/>
        </w:rPr>
        <w:t>Key KPIs are explicitly linked to financial performance. For example, achieving a repeat customer rate of at least 35% reduces customer acquisition costs in Year 2 while increasing lifetime value through cross-service utilisation, supporting revenue growth without proportional increases in marketing expenditure (Reichheld and Sasser, 1990). Early workshop utilisation targets accelerate progress toward operational break-even and stabilise cash flow.</w:t>
      </w:r>
    </w:p>
    <w:p w14:paraId="5B897B9C" w14:textId="77777777" w:rsidR="0061272F" w:rsidRPr="00390868" w:rsidRDefault="0061272F" w:rsidP="00905241">
      <w:pPr>
        <w:spacing w:line="360" w:lineRule="auto"/>
        <w:rPr>
          <w:rFonts w:ascii="Arial" w:hAnsi="Arial" w:cs="Arial"/>
        </w:rPr>
      </w:pPr>
      <w:r w:rsidRPr="00390868">
        <w:rPr>
          <w:rFonts w:ascii="Arial" w:hAnsi="Arial" w:cs="Arial"/>
        </w:rPr>
        <w:t>Risk mitigation is embedded within the strategy. Should digital acquisition costs exceed projections, emphasis will shift toward intensified local partnerships, referrals and fleet engagement to stabilise demand without compromising margins. This adaptive approach ensures marketing remains commercially disciplined while supporting long-term scalability.</w:t>
      </w:r>
    </w:p>
    <w:p w14:paraId="268686B4" w14:textId="77777777" w:rsidR="006339F7" w:rsidRPr="00390868" w:rsidRDefault="006339F7" w:rsidP="00905241">
      <w:pPr>
        <w:pStyle w:val="Heading1"/>
        <w:spacing w:line="360" w:lineRule="auto"/>
        <w:rPr>
          <w:rFonts w:ascii="Arial" w:hAnsi="Arial" w:cs="Arial"/>
          <w:sz w:val="36"/>
          <w:szCs w:val="36"/>
        </w:rPr>
      </w:pPr>
      <w:bookmarkStart w:id="81" w:name="_Toc217830855"/>
      <w:bookmarkStart w:id="82" w:name="_Toc218629266"/>
      <w:r w:rsidRPr="00390868">
        <w:rPr>
          <w:rFonts w:ascii="Arial" w:hAnsi="Arial" w:cs="Arial"/>
          <w:sz w:val="36"/>
          <w:szCs w:val="36"/>
        </w:rPr>
        <w:lastRenderedPageBreak/>
        <w:t>6. Operations Plan</w:t>
      </w:r>
      <w:bookmarkEnd w:id="81"/>
      <w:bookmarkEnd w:id="82"/>
      <w:r w:rsidRPr="00390868">
        <w:rPr>
          <w:rFonts w:ascii="Arial" w:hAnsi="Arial" w:cs="Arial"/>
          <w:sz w:val="36"/>
          <w:szCs w:val="36"/>
        </w:rPr>
        <w:t xml:space="preserve"> </w:t>
      </w:r>
    </w:p>
    <w:p w14:paraId="11EA783E" w14:textId="77777777" w:rsidR="006339F7" w:rsidRPr="00390868" w:rsidRDefault="006339F7" w:rsidP="00905241">
      <w:pPr>
        <w:spacing w:line="360" w:lineRule="auto"/>
        <w:rPr>
          <w:rFonts w:ascii="Arial" w:hAnsi="Arial" w:cs="Arial"/>
        </w:rPr>
      </w:pPr>
      <w:r w:rsidRPr="00390868">
        <w:rPr>
          <w:rFonts w:ascii="Arial" w:hAnsi="Arial" w:cs="Arial"/>
        </w:rPr>
        <w:t>The Operations Plan defines how 1 STATION Ltd will execute its integrated service proposition through a multi-unit automotive estate model that co-locates eight specialised service units within a single, controlled-access site. This configuration directly supports the strategic objective of reducing customer coordination costs identified in Section 3 by enabling multiple automotive services to be delivered within one visit, under unified process control. Empirical evidence indicates that motorists increasingly prioritise service consolidation, transparency and predictable turnaround times when selecting automotive service providers, particularly in high-usage urban regions (PwC, 2023).</w:t>
      </w:r>
    </w:p>
    <w:p w14:paraId="6B13959F" w14:textId="77777777" w:rsidR="006339F7" w:rsidRPr="00390868" w:rsidRDefault="006339F7" w:rsidP="00905241">
      <w:pPr>
        <w:spacing w:line="360" w:lineRule="auto"/>
        <w:rPr>
          <w:rFonts w:ascii="Arial" w:hAnsi="Arial" w:cs="Arial"/>
        </w:rPr>
      </w:pPr>
      <w:r w:rsidRPr="00390868">
        <w:rPr>
          <w:rFonts w:ascii="Arial" w:hAnsi="Arial" w:cs="Arial"/>
        </w:rPr>
        <w:t xml:space="preserve">Operationally, the estate model is designed to balance throughput efficiency with safety, compliance and customer experience. Dedicated bays are allocated for MOT testing, mechanical repairs and diagnostics, auto-electrical services, hybrid and EV servicing, bodywork and respray, tyre fitting and alignment, car wash and detailing, and tinting. Physical separation between high-risk activities (EV high-voltage work, paint and respray, washing and chemical handling) ensures regulatory compliance and workflow safety, while centralised reception and shared digital systems maintain operational integration. This section outlines the operational model, estate layout, equipment and infrastructure requirements, workforce deployment, supplier coordination, data-driven workflow control, quality assurance mechanisms and cost discipline required to sustain scalable and financially viable operations. </w:t>
      </w:r>
    </w:p>
    <w:p w14:paraId="695FF051" w14:textId="77777777" w:rsidR="006339F7" w:rsidRPr="00390868" w:rsidRDefault="006339F7" w:rsidP="00905241">
      <w:pPr>
        <w:pStyle w:val="Heading2"/>
        <w:spacing w:line="360" w:lineRule="auto"/>
        <w:rPr>
          <w:rFonts w:ascii="Arial" w:hAnsi="Arial" w:cs="Arial"/>
        </w:rPr>
      </w:pPr>
      <w:bookmarkStart w:id="83" w:name="_Toc217830856"/>
      <w:bookmarkStart w:id="84" w:name="_Toc218629267"/>
      <w:r w:rsidRPr="00390868">
        <w:rPr>
          <w:rFonts w:ascii="Arial" w:hAnsi="Arial" w:cs="Arial"/>
        </w:rPr>
        <w:t>6.1 The Integrated Operational Model and Service Workflow</w:t>
      </w:r>
      <w:bookmarkEnd w:id="83"/>
      <w:bookmarkEnd w:id="84"/>
    </w:p>
    <w:p w14:paraId="2093417F" w14:textId="77777777" w:rsidR="006339F7" w:rsidRPr="00390868" w:rsidRDefault="006339F7" w:rsidP="00905241">
      <w:pPr>
        <w:spacing w:line="360" w:lineRule="auto"/>
        <w:rPr>
          <w:rFonts w:ascii="Arial" w:hAnsi="Arial" w:cs="Arial"/>
        </w:rPr>
      </w:pPr>
      <w:r w:rsidRPr="00390868">
        <w:rPr>
          <w:rFonts w:ascii="Arial" w:hAnsi="Arial" w:cs="Arial"/>
        </w:rPr>
        <w:t>Our Operational Philosophy: The 1 STATION Way</w:t>
      </w:r>
    </w:p>
    <w:p w14:paraId="4C447875" w14:textId="77777777" w:rsidR="006339F7" w:rsidRPr="00390868" w:rsidRDefault="006339F7" w:rsidP="00905241">
      <w:pPr>
        <w:numPr>
          <w:ilvl w:val="0"/>
          <w:numId w:val="9"/>
        </w:numPr>
        <w:spacing w:line="360" w:lineRule="auto"/>
        <w:rPr>
          <w:rFonts w:ascii="Arial" w:hAnsi="Arial" w:cs="Arial"/>
        </w:rPr>
      </w:pPr>
      <w:r w:rsidRPr="00390868">
        <w:rPr>
          <w:rFonts w:ascii="Arial" w:hAnsi="Arial" w:cs="Arial"/>
        </w:rPr>
        <w:t>Diagnose First, Quote Fixed: Every job starts with a visual/digital inspection. We don't guess; we show. Every approved repair has a fixed-price, digital authorisation.</w:t>
      </w:r>
    </w:p>
    <w:p w14:paraId="79CDF9BE" w14:textId="77777777" w:rsidR="006339F7" w:rsidRPr="00390868" w:rsidRDefault="006339F7" w:rsidP="00905241">
      <w:pPr>
        <w:numPr>
          <w:ilvl w:val="0"/>
          <w:numId w:val="9"/>
        </w:numPr>
        <w:spacing w:line="360" w:lineRule="auto"/>
        <w:rPr>
          <w:rFonts w:ascii="Arial" w:hAnsi="Arial" w:cs="Arial"/>
        </w:rPr>
      </w:pPr>
      <w:r w:rsidRPr="00390868">
        <w:rPr>
          <w:rFonts w:ascii="Arial" w:hAnsi="Arial" w:cs="Arial"/>
        </w:rPr>
        <w:t>One Visit, Multiple Solutions: Our scheduling and bay allocation are designed to complete linked services (e.g., MOT, repair, tyre change) in a single visit. We manage the complexity.</w:t>
      </w:r>
    </w:p>
    <w:p w14:paraId="6DF2D4AC" w14:textId="77777777" w:rsidR="006339F7" w:rsidRPr="00390868" w:rsidRDefault="006339F7" w:rsidP="00905241">
      <w:pPr>
        <w:numPr>
          <w:ilvl w:val="0"/>
          <w:numId w:val="9"/>
        </w:numPr>
        <w:spacing w:line="360" w:lineRule="auto"/>
        <w:rPr>
          <w:rFonts w:ascii="Arial" w:hAnsi="Arial" w:cs="Arial"/>
        </w:rPr>
      </w:pPr>
      <w:r w:rsidRPr="00390868">
        <w:rPr>
          <w:rFonts w:ascii="Arial" w:hAnsi="Arial" w:cs="Arial"/>
        </w:rPr>
        <w:t>Clean, Clear and Compliant: Our workshops are safe for customer walkthroughs. Our processes are documented for consistency and audit. Our compliance is non-negotiable.</w:t>
      </w:r>
    </w:p>
    <w:p w14:paraId="17D5C4FF" w14:textId="77777777" w:rsidR="006339F7" w:rsidRPr="00390868" w:rsidRDefault="006339F7" w:rsidP="00905241">
      <w:pPr>
        <w:spacing w:line="360" w:lineRule="auto"/>
        <w:rPr>
          <w:rFonts w:ascii="Arial" w:hAnsi="Arial" w:cs="Arial"/>
        </w:rPr>
      </w:pPr>
      <w:r w:rsidRPr="00390868">
        <w:rPr>
          <w:rFonts w:ascii="Arial" w:hAnsi="Arial" w:cs="Arial"/>
        </w:rPr>
        <w:t xml:space="preserve">1 STATION operates a controlled dual-entry operational model that preserves customer flexibility while maintaining centralised workflow governance. All vehicles enter the estate through a single access point, enabling monitoring of volume, peak demand and bay </w:t>
      </w:r>
      <w:r w:rsidRPr="00390868">
        <w:rPr>
          <w:rFonts w:ascii="Arial" w:hAnsi="Arial" w:cs="Arial"/>
        </w:rPr>
        <w:lastRenderedPageBreak/>
        <w:t>utilisation. Customers may follow one of two operational pathways. The primary pathway routes customers through the central reception facility, where service advisors create a digital job card within the estate-wide workshop management system, confirm service scope, communicate estimated turnaround times and allocate the vehicle to the appropriate service unit. This pathway is prioritised for bundled services, diagnostic-led work, MOT testing and customers requiring advisory support.</w:t>
      </w:r>
    </w:p>
    <w:p w14:paraId="7EF31D82" w14:textId="77777777" w:rsidR="006339F7" w:rsidRPr="00390868" w:rsidRDefault="006339F7" w:rsidP="00905241">
      <w:pPr>
        <w:spacing w:line="360" w:lineRule="auto"/>
        <w:rPr>
          <w:rFonts w:ascii="Arial" w:hAnsi="Arial" w:cs="Arial"/>
        </w:rPr>
      </w:pPr>
      <w:r w:rsidRPr="00390868">
        <w:rPr>
          <w:rFonts w:ascii="Arial" w:hAnsi="Arial" w:cs="Arial"/>
        </w:rPr>
        <w:t>Alternatively, customers seeking routine or familiar services—such as tyre replacement, wash and detailing or tinting—may proceed directly to the relevant service unit. In these cases, technicians initiate the job within the same digital system at point of entry, ensuring identical documentation, pricing logic, workflow tracking and payment processing regardless of how the customer enters the estate. This operational design reflects observed customer behaviour in multi-service automotive environments, where convenience and speed influence service choice, while process consistency safeguards operational control (KPMG, 2024).</w:t>
      </w:r>
    </w:p>
    <w:p w14:paraId="4FC0113E" w14:textId="77777777" w:rsidR="006339F7" w:rsidRPr="00390868" w:rsidRDefault="006339F7" w:rsidP="00905241">
      <w:pPr>
        <w:spacing w:line="360" w:lineRule="auto"/>
        <w:rPr>
          <w:rFonts w:ascii="Arial" w:hAnsi="Arial" w:cs="Arial"/>
        </w:rPr>
      </w:pPr>
      <w:r w:rsidRPr="00390868">
        <w:rPr>
          <w:rFonts w:ascii="Arial" w:hAnsi="Arial" w:cs="Arial"/>
        </w:rPr>
        <w:t>This model is designed for efficiency and conversion. For instance, a vehicle arriving for an MOT that fails on brake pads and tyre tread can be immediately scheduled into the Mechanical and Tyre bays, with the customer receiving a single, consolidated quote via the CRM. Our target is to resolve 80% of MOT failure items within 4 hours, turning a potential multi-day ordeal into a single, completed visit.</w:t>
      </w:r>
    </w:p>
    <w:p w14:paraId="16624BAC" w14:textId="77777777" w:rsidR="006339F7" w:rsidRPr="00390868" w:rsidRDefault="006339F7" w:rsidP="00905241">
      <w:pPr>
        <w:spacing w:line="360" w:lineRule="auto"/>
        <w:rPr>
          <w:rFonts w:ascii="Arial" w:hAnsi="Arial" w:cs="Arial"/>
        </w:rPr>
      </w:pPr>
      <w:r w:rsidRPr="00390868">
        <w:rPr>
          <w:rFonts w:ascii="Arial" w:hAnsi="Arial" w:cs="Arial"/>
        </w:rPr>
        <w:t>All service activity is coordinated through an integrated workshop management and CRM platform (e.g. Garage Hive–type system), which links bookings, technician allocation, bay scheduling, parts ordering and customer communication in real time. This system enables structured cross-unit conversion by flagging secondary service opportunities during the service process—for example, alignment checks following tyre replacement, repair authorisation following MOT failure, or cosmetic upgrades following wash and detailing. Operational visibility across units reduces idle time, limits rework and ensures that marketing-led demand (Section 5) is converted into controlled, capacity-aligned throughput rather than unmanaged volume. This digitally governed workflow model reflects best practice in complex service operations, where coordination, transparency and data visibility are central to efficiency and scalability (Deloitte, 2023).</w:t>
      </w:r>
    </w:p>
    <w:p w14:paraId="53FDB849" w14:textId="77777777" w:rsidR="006339F7" w:rsidRPr="00390868" w:rsidRDefault="006339F7" w:rsidP="00905241">
      <w:pPr>
        <w:pStyle w:val="Heading2"/>
        <w:spacing w:line="360" w:lineRule="auto"/>
        <w:rPr>
          <w:rFonts w:ascii="Arial" w:hAnsi="Arial" w:cs="Arial"/>
        </w:rPr>
      </w:pPr>
      <w:bookmarkStart w:id="85" w:name="_Toc217830857"/>
      <w:bookmarkStart w:id="86" w:name="_Toc218629268"/>
      <w:r w:rsidRPr="00390868">
        <w:rPr>
          <w:rFonts w:ascii="Arial" w:hAnsi="Arial" w:cs="Arial"/>
        </w:rPr>
        <w:t>6.2 Facility Layout, Site Design, and Physical Infrastructure</w:t>
      </w:r>
      <w:bookmarkEnd w:id="85"/>
      <w:bookmarkEnd w:id="86"/>
      <w:r w:rsidRPr="00390868">
        <w:rPr>
          <w:rFonts w:ascii="Arial" w:hAnsi="Arial" w:cs="Arial"/>
        </w:rPr>
        <w:t xml:space="preserve"> </w:t>
      </w:r>
    </w:p>
    <w:p w14:paraId="4793A834" w14:textId="0A4F85A5" w:rsidR="006339F7" w:rsidRPr="00390868" w:rsidRDefault="005306FD" w:rsidP="00905241">
      <w:pPr>
        <w:spacing w:line="360" w:lineRule="auto"/>
        <w:rPr>
          <w:rFonts w:ascii="Arial" w:hAnsi="Arial" w:cs="Arial"/>
        </w:rPr>
      </w:pPr>
      <w:r w:rsidRPr="00390868">
        <w:rPr>
          <w:rFonts w:ascii="Arial" w:hAnsi="Arial" w:cs="Arial"/>
        </w:rPr>
        <w:t xml:space="preserve">The operational model is enabled by a purpose-designed estate layout that balances workflow efficiency, safety compliance, and customer accessibility. The detailed site layout, including the positioning of high-risk zones, central administrative functions, and one-way </w:t>
      </w:r>
      <w:r w:rsidRPr="00390868">
        <w:rPr>
          <w:rFonts w:ascii="Arial" w:hAnsi="Arial" w:cs="Arial"/>
        </w:rPr>
        <w:lastRenderedPageBreak/>
        <w:t xml:space="preserve">vehicle circulation routes, is illustrated in </w:t>
      </w:r>
      <w:r w:rsidRPr="00231A9E">
        <w:rPr>
          <w:rFonts w:ascii="Arial" w:hAnsi="Arial" w:cs="Arial"/>
        </w:rPr>
        <w:t>Appendix</w:t>
      </w:r>
      <w:r w:rsidRPr="00390868">
        <w:rPr>
          <w:rFonts w:ascii="Arial" w:hAnsi="Arial" w:cs="Arial"/>
          <w:b/>
          <w:bCs/>
        </w:rPr>
        <w:t xml:space="preserve"> </w:t>
      </w:r>
      <w:r w:rsidRPr="00231A9E">
        <w:rPr>
          <w:rFonts w:ascii="Arial" w:hAnsi="Arial" w:cs="Arial"/>
        </w:rPr>
        <w:t>A</w:t>
      </w:r>
      <w:r w:rsidRPr="00390868">
        <w:rPr>
          <w:rFonts w:ascii="Arial" w:hAnsi="Arial" w:cs="Arial"/>
        </w:rPr>
        <w:t xml:space="preserve">, providing a consolidated visual overview of the estate’s physical infrastructure. </w:t>
      </w:r>
      <w:r w:rsidR="00AE386A" w:rsidRPr="00390868">
        <w:rPr>
          <w:rFonts w:ascii="Arial" w:hAnsi="Arial" w:cs="Arial"/>
        </w:rPr>
        <w:t>The estate size of approximately 30,000–40,000 sq. ft. reflects the spatial and regulatory requirements of operating eight specialised service units safely and concurrently, including MOT testing, bodywork and high-voltage EV servicing.</w:t>
      </w:r>
      <w:r w:rsidR="006339F7" w:rsidRPr="00390868">
        <w:rPr>
          <w:rFonts w:ascii="Arial" w:hAnsi="Arial" w:cs="Arial"/>
        </w:rPr>
        <w:t>. The site is configured as a campus of dedicated specialist units arranged around internal circulation routes, all overseen by a central administrative and customer hub. This layout supports the estate logic articulated in Sections 3 and 4 by allowing multiple services to be delivered sequentially within a single visit, while preventing congestion, safety overlap and workflow interference between incompatible activities.</w:t>
      </w:r>
    </w:p>
    <w:p w14:paraId="06A8AB03" w14:textId="77777777" w:rsidR="006339F7" w:rsidRPr="00390868" w:rsidRDefault="006339F7" w:rsidP="00905241">
      <w:pPr>
        <w:spacing w:line="360" w:lineRule="auto"/>
        <w:rPr>
          <w:rFonts w:ascii="Arial" w:hAnsi="Arial" w:cs="Arial"/>
        </w:rPr>
      </w:pPr>
      <w:r w:rsidRPr="00390868">
        <w:rPr>
          <w:rFonts w:ascii="Arial" w:hAnsi="Arial" w:cs="Arial"/>
        </w:rPr>
        <w:t>Each service unit is physically separated to reflect its technical risk profile, regulatory requirements and operational cadence. High-risk and compliance-sensitive activities are spatially isolated, while high-frequency services are positioned to maximise throughput and minimise vehicle movement across the estate. Internal roadways are designed to support one-way vehicle flow where possible, reducing conflict points and improving predictability during peak periods.</w:t>
      </w:r>
    </w:p>
    <w:p w14:paraId="0FB53695" w14:textId="77777777" w:rsidR="006339F7" w:rsidRPr="00390868" w:rsidRDefault="006339F7" w:rsidP="00905241">
      <w:pPr>
        <w:spacing w:line="360" w:lineRule="auto"/>
        <w:rPr>
          <w:rFonts w:ascii="Arial" w:hAnsi="Arial" w:cs="Arial"/>
        </w:rPr>
      </w:pPr>
      <w:r w:rsidRPr="00390868">
        <w:rPr>
          <w:rFonts w:ascii="Arial" w:hAnsi="Arial" w:cs="Arial"/>
          <w:b/>
          <w:bCs/>
        </w:rPr>
        <w:t>MOT Testing Unit</w:t>
      </w:r>
      <w:r w:rsidRPr="00390868">
        <w:rPr>
          <w:rFonts w:ascii="Arial" w:hAnsi="Arial" w:cs="Arial"/>
        </w:rPr>
        <w:br/>
        <w:t>A self-contained, DVSA-compliant building housing a dedicated Class 4 inspection lane, calibrated testing equipment and controlled access points. Physical separation preserves test integrity, supports audit readiness and prevents operational disruption from adjacent repair activity.</w:t>
      </w:r>
    </w:p>
    <w:p w14:paraId="35FBB737" w14:textId="77777777" w:rsidR="006339F7" w:rsidRPr="00390868" w:rsidRDefault="006339F7" w:rsidP="00905241">
      <w:pPr>
        <w:spacing w:line="360" w:lineRule="auto"/>
        <w:rPr>
          <w:rFonts w:ascii="Arial" w:hAnsi="Arial" w:cs="Arial"/>
        </w:rPr>
      </w:pPr>
      <w:r w:rsidRPr="00390868">
        <w:rPr>
          <w:rFonts w:ascii="Arial" w:hAnsi="Arial" w:cs="Arial"/>
          <w:b/>
          <w:bCs/>
        </w:rPr>
        <w:t>Mechanical Repairs and Diagnostics Unit</w:t>
      </w:r>
      <w:r w:rsidRPr="00390868">
        <w:rPr>
          <w:rFonts w:ascii="Arial" w:hAnsi="Arial" w:cs="Arial"/>
        </w:rPr>
        <w:br/>
        <w:t>The primary workshop facility, equipped with multiple two-post lifts, dedicated diagnostic bays and tooling for routine servicing and complex repairs. Its central position within the estate enables rapid referral from MOT testing, tyre services and diagnostics, supporting high conversion rates and efficient defect resolution.</w:t>
      </w:r>
    </w:p>
    <w:p w14:paraId="14B07E98" w14:textId="77777777" w:rsidR="006339F7" w:rsidRPr="00390868" w:rsidRDefault="006339F7" w:rsidP="00905241">
      <w:pPr>
        <w:spacing w:line="360" w:lineRule="auto"/>
        <w:rPr>
          <w:rFonts w:ascii="Arial" w:hAnsi="Arial" w:cs="Arial"/>
        </w:rPr>
      </w:pPr>
      <w:r w:rsidRPr="00390868">
        <w:rPr>
          <w:rFonts w:ascii="Arial" w:hAnsi="Arial" w:cs="Arial"/>
          <w:b/>
          <w:bCs/>
        </w:rPr>
        <w:t>Auto-Electrical Unit (ICE Vehicles)</w:t>
      </w:r>
      <w:r w:rsidRPr="00390868">
        <w:rPr>
          <w:rFonts w:ascii="Arial" w:hAnsi="Arial" w:cs="Arial"/>
        </w:rPr>
        <w:br/>
        <w:t>A discrete workshop focused on wiring systems, sensors, ECUs and charging components for internal combustion vehicles. Separation from EV operations reduces risk and allows technicians to specialise in non-high-voltage electrical diagnostics without workflow interruption.</w:t>
      </w:r>
    </w:p>
    <w:p w14:paraId="51F536E1" w14:textId="77777777" w:rsidR="006339F7" w:rsidRPr="00390868" w:rsidRDefault="006339F7" w:rsidP="00905241">
      <w:pPr>
        <w:spacing w:line="360" w:lineRule="auto"/>
        <w:rPr>
          <w:rFonts w:ascii="Arial" w:hAnsi="Arial" w:cs="Arial"/>
        </w:rPr>
      </w:pPr>
      <w:r w:rsidRPr="00390868">
        <w:rPr>
          <w:rFonts w:ascii="Arial" w:hAnsi="Arial" w:cs="Arial"/>
          <w:b/>
          <w:bCs/>
        </w:rPr>
        <w:t>Hybrid and EV Servicing Unit</w:t>
      </w:r>
      <w:r w:rsidRPr="00390868">
        <w:rPr>
          <w:rFonts w:ascii="Arial" w:hAnsi="Arial" w:cs="Arial"/>
        </w:rPr>
        <w:br/>
        <w:t>A secure, access-controlled unit designed in accordance with HSE guidance, featuring insulated flooring, high-voltage isolation zones, specialist tooling and safety equipment. Spatial isolation mitigates safety risk and supports regulatory compliance while signalling technical capability and professionalism to customers.</w:t>
      </w:r>
    </w:p>
    <w:p w14:paraId="47472F47" w14:textId="77777777" w:rsidR="006339F7" w:rsidRPr="00390868" w:rsidRDefault="006339F7" w:rsidP="00905241">
      <w:pPr>
        <w:spacing w:line="360" w:lineRule="auto"/>
        <w:rPr>
          <w:rFonts w:ascii="Arial" w:hAnsi="Arial" w:cs="Arial"/>
        </w:rPr>
      </w:pPr>
      <w:r w:rsidRPr="00390868">
        <w:rPr>
          <w:rFonts w:ascii="Arial" w:hAnsi="Arial" w:cs="Arial"/>
          <w:b/>
          <w:bCs/>
        </w:rPr>
        <w:lastRenderedPageBreak/>
        <w:t>Bodywork and Respray Unit</w:t>
      </w:r>
      <w:r w:rsidRPr="00390868">
        <w:rPr>
          <w:rFonts w:ascii="Arial" w:hAnsi="Arial" w:cs="Arial"/>
        </w:rPr>
        <w:br/>
        <w:t>An enclosed facility incorporating preparation bays, a dedicated paint mixing room and a fully extracted, environmentally compliant spray booth. Physical separation from mechanical operations reduces contamination risk and allows longer-cycle bodywork jobs to proceed without constraining high-frequency services.</w:t>
      </w:r>
    </w:p>
    <w:p w14:paraId="10ED92F5" w14:textId="77777777" w:rsidR="006339F7" w:rsidRPr="00390868" w:rsidRDefault="006339F7" w:rsidP="00905241">
      <w:pPr>
        <w:spacing w:line="360" w:lineRule="auto"/>
        <w:rPr>
          <w:rFonts w:ascii="Arial" w:hAnsi="Arial" w:cs="Arial"/>
        </w:rPr>
      </w:pPr>
      <w:r w:rsidRPr="00390868">
        <w:rPr>
          <w:rFonts w:ascii="Arial" w:hAnsi="Arial" w:cs="Arial"/>
          <w:b/>
          <w:bCs/>
        </w:rPr>
        <w:t>Tyre Fitting and Alignment Unit</w:t>
      </w:r>
      <w:r w:rsidRPr="00390868">
        <w:rPr>
          <w:rFonts w:ascii="Arial" w:hAnsi="Arial" w:cs="Arial"/>
        </w:rPr>
        <w:br/>
        <w:t>Positioned near the estate entrance to facilitate fast-turnaround services, this unit houses tyre changers, balancers and a 3D alignment system. Its location supports high-volume workflow and acts as a feeder into mechanical and suspension-related services.</w:t>
      </w:r>
    </w:p>
    <w:p w14:paraId="052B8485" w14:textId="77777777" w:rsidR="006339F7" w:rsidRPr="00390868" w:rsidRDefault="006339F7" w:rsidP="00905241">
      <w:pPr>
        <w:spacing w:line="360" w:lineRule="auto"/>
        <w:rPr>
          <w:rFonts w:ascii="Arial" w:hAnsi="Arial" w:cs="Arial"/>
        </w:rPr>
      </w:pPr>
      <w:r w:rsidRPr="00390868">
        <w:rPr>
          <w:rFonts w:ascii="Arial" w:hAnsi="Arial" w:cs="Arial"/>
          <w:b/>
          <w:bCs/>
        </w:rPr>
        <w:t>Car Wash and Detailing Unit</w:t>
      </w:r>
      <w:r w:rsidRPr="00390868">
        <w:rPr>
          <w:rFonts w:ascii="Arial" w:hAnsi="Arial" w:cs="Arial"/>
        </w:rPr>
        <w:br/>
        <w:t>Located at the estate perimeter with engineered drainage, oil separation and water recycling systems. This placement manages environmental risk and enables efficient vehicle flow without cross-contamination of mechanical or paint facilities.</w:t>
      </w:r>
    </w:p>
    <w:p w14:paraId="718788AD" w14:textId="77777777" w:rsidR="006339F7" w:rsidRPr="00390868" w:rsidRDefault="006339F7" w:rsidP="00905241">
      <w:pPr>
        <w:spacing w:line="360" w:lineRule="auto"/>
        <w:rPr>
          <w:rFonts w:ascii="Arial" w:hAnsi="Arial" w:cs="Arial"/>
        </w:rPr>
      </w:pPr>
      <w:r w:rsidRPr="00390868">
        <w:rPr>
          <w:rFonts w:ascii="Arial" w:hAnsi="Arial" w:cs="Arial"/>
          <w:b/>
          <w:bCs/>
        </w:rPr>
        <w:t>Tinting Unit</w:t>
      </w:r>
      <w:r w:rsidRPr="00390868">
        <w:rPr>
          <w:rFonts w:ascii="Arial" w:hAnsi="Arial" w:cs="Arial"/>
        </w:rPr>
        <w:br/>
        <w:t>A clean, climate-controlled environment equipped to ensure precision installation and adhesive curing. Physical separation supports quality assurance and compliance with visibility regulations.</w:t>
      </w:r>
    </w:p>
    <w:p w14:paraId="7793550C" w14:textId="77777777" w:rsidR="006339F7" w:rsidRPr="00390868" w:rsidRDefault="006339F7" w:rsidP="00905241">
      <w:pPr>
        <w:spacing w:line="360" w:lineRule="auto"/>
        <w:rPr>
          <w:rFonts w:ascii="Arial" w:hAnsi="Arial" w:cs="Arial"/>
        </w:rPr>
      </w:pPr>
      <w:r w:rsidRPr="00390868">
        <w:rPr>
          <w:rFonts w:ascii="Arial" w:hAnsi="Arial" w:cs="Arial"/>
          <w:b/>
          <w:bCs/>
        </w:rPr>
        <w:t>Administrative and Customer Hub</w:t>
      </w:r>
      <w:r w:rsidRPr="00390868">
        <w:rPr>
          <w:rFonts w:ascii="Arial" w:hAnsi="Arial" w:cs="Arial"/>
        </w:rPr>
        <w:br/>
        <w:t>A central facility housing reception, service advisor offices, customer waiting areas, retail displays and staff amenities. This hub functions as the operational control centre, coordinating bookings, authorisations, billing and customer communication across the estate.</w:t>
      </w:r>
    </w:p>
    <w:p w14:paraId="6A32A578" w14:textId="77777777" w:rsidR="006339F7" w:rsidRPr="00390868" w:rsidRDefault="006339F7" w:rsidP="00905241">
      <w:pPr>
        <w:spacing w:line="360" w:lineRule="auto"/>
        <w:rPr>
          <w:rFonts w:ascii="Arial" w:hAnsi="Arial" w:cs="Arial"/>
        </w:rPr>
      </w:pPr>
      <w:r w:rsidRPr="00390868">
        <w:rPr>
          <w:rFonts w:ascii="Arial" w:hAnsi="Arial" w:cs="Arial"/>
        </w:rPr>
        <w:t>Collectively, the estate layout provides the physical evidence critical for trust formation in a high-involvement service context, visually reinforcing professionalism, specialisation and transparency while enabling scalable operations.</w:t>
      </w:r>
    </w:p>
    <w:p w14:paraId="3402CD07" w14:textId="77777777" w:rsidR="006339F7" w:rsidRPr="00390868" w:rsidRDefault="006339F7" w:rsidP="00905241">
      <w:pPr>
        <w:pStyle w:val="Heading2"/>
        <w:spacing w:line="360" w:lineRule="auto"/>
        <w:rPr>
          <w:rFonts w:ascii="Arial" w:hAnsi="Arial" w:cs="Arial"/>
        </w:rPr>
      </w:pPr>
      <w:bookmarkStart w:id="87" w:name="_Toc217830858"/>
      <w:bookmarkStart w:id="88" w:name="_Toc218629269"/>
      <w:r w:rsidRPr="00390868">
        <w:rPr>
          <w:rFonts w:ascii="Arial" w:hAnsi="Arial" w:cs="Arial"/>
        </w:rPr>
        <w:t>6.3 Equipment, Resource Requirements, and Technology Stack</w:t>
      </w:r>
      <w:bookmarkEnd w:id="87"/>
      <w:bookmarkEnd w:id="88"/>
      <w:r w:rsidRPr="00390868">
        <w:rPr>
          <w:rFonts w:ascii="Arial" w:hAnsi="Arial" w:cs="Arial"/>
        </w:rPr>
        <w:t xml:space="preserve"> </w:t>
      </w:r>
    </w:p>
    <w:p w14:paraId="6A80569D" w14:textId="77777777" w:rsidR="006339F7" w:rsidRPr="00390868" w:rsidRDefault="006339F7" w:rsidP="00905241">
      <w:pPr>
        <w:spacing w:line="360" w:lineRule="auto"/>
        <w:rPr>
          <w:rFonts w:ascii="Arial" w:hAnsi="Arial" w:cs="Arial"/>
        </w:rPr>
      </w:pPr>
      <w:r w:rsidRPr="00390868">
        <w:rPr>
          <w:rFonts w:ascii="Arial" w:hAnsi="Arial" w:cs="Arial"/>
        </w:rPr>
        <w:t>Operational capability at 1 STATION Ltd is underpinned by deliberate investment in category-specific, professional-grade equipment aligned with safety, compliance and throughput requirements. Equipment selection prioritises reliability, diagnostic accuracy and compatibility with modern vehicle systems rather than low upfront cost, reflecting the long-term productivity assumptions embedded in the financial plan.</w:t>
      </w:r>
    </w:p>
    <w:p w14:paraId="5887B367" w14:textId="317749E5" w:rsidR="006339F7" w:rsidRPr="00390868" w:rsidRDefault="006339F7" w:rsidP="00905241">
      <w:pPr>
        <w:spacing w:line="360" w:lineRule="auto"/>
        <w:rPr>
          <w:rFonts w:ascii="Arial" w:hAnsi="Arial" w:cs="Arial"/>
        </w:rPr>
      </w:pPr>
      <w:r w:rsidRPr="00390868">
        <w:rPr>
          <w:rFonts w:ascii="Arial" w:hAnsi="Arial" w:cs="Arial"/>
        </w:rPr>
        <w:t xml:space="preserve">Each service unit is equipped to operate independently while integrating into a shared operational system. Core equipment requirements are </w:t>
      </w:r>
      <w:r w:rsidR="00133386" w:rsidRPr="00390868">
        <w:rPr>
          <w:rFonts w:ascii="Arial" w:hAnsi="Arial" w:cs="Arial"/>
        </w:rPr>
        <w:t>brief</w:t>
      </w:r>
      <w:r w:rsidRPr="00390868">
        <w:rPr>
          <w:rFonts w:ascii="Arial" w:hAnsi="Arial" w:cs="Arial"/>
        </w:rPr>
        <w:t xml:space="preserve"> in Table 6.1.</w:t>
      </w:r>
    </w:p>
    <w:p w14:paraId="68FA659C" w14:textId="69E5DCFB" w:rsidR="006339F7" w:rsidRPr="00390868" w:rsidRDefault="006339F7" w:rsidP="00905241">
      <w:pPr>
        <w:spacing w:line="360" w:lineRule="auto"/>
        <w:rPr>
          <w:rFonts w:ascii="Arial" w:hAnsi="Arial" w:cs="Arial"/>
        </w:rPr>
      </w:pPr>
      <w:r w:rsidRPr="00390868">
        <w:rPr>
          <w:rFonts w:ascii="Arial" w:hAnsi="Arial" w:cs="Arial"/>
          <w:b/>
          <w:bCs/>
        </w:rPr>
        <w:lastRenderedPageBreak/>
        <w:t xml:space="preserve">Table 6.1: Core Equipment </w:t>
      </w:r>
      <w:r w:rsidR="00DD108A" w:rsidRPr="00390868">
        <w:rPr>
          <w:rFonts w:ascii="Arial" w:hAnsi="Arial" w:cs="Arial"/>
          <w:b/>
          <w:bCs/>
        </w:rPr>
        <w:t>Needs</w:t>
      </w:r>
      <w:r w:rsidRPr="00390868">
        <w:rPr>
          <w:rFonts w:ascii="Arial" w:hAnsi="Arial" w:cs="Arial"/>
          <w:b/>
          <w:bCs/>
        </w:rPr>
        <w:t xml:space="preserve"> by Service Unit</w:t>
      </w:r>
      <w:r w:rsidRPr="00390868">
        <w:rPr>
          <w:rFonts w:ascii="Arial" w:hAnsi="Arial" w:cs="Arial"/>
        </w:rPr>
        <w:br/>
      </w:r>
      <w:r w:rsidRPr="00390868">
        <w:rPr>
          <w:rFonts w:ascii="Arial" w:hAnsi="Arial" w:cs="Arial"/>
          <w:i/>
          <w:iCs/>
        </w:rPr>
        <w:t>(Source: Author’s analysis based on industry specifications and vendor quotations)</w:t>
      </w:r>
    </w:p>
    <w:tbl>
      <w:tblPr>
        <w:tblStyle w:val="PlainTable1"/>
        <w:tblW w:w="0" w:type="auto"/>
        <w:tblLook w:val="04A0" w:firstRow="1" w:lastRow="0" w:firstColumn="1" w:lastColumn="0" w:noHBand="0" w:noVBand="1"/>
      </w:tblPr>
      <w:tblGrid>
        <w:gridCol w:w="2160"/>
        <w:gridCol w:w="6856"/>
      </w:tblGrid>
      <w:tr w:rsidR="006339F7" w:rsidRPr="00390868" w14:paraId="5C1FA6AD"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900CA" w14:textId="77777777" w:rsidR="006339F7" w:rsidRPr="00390868" w:rsidRDefault="006339F7" w:rsidP="00905241">
            <w:pPr>
              <w:spacing w:after="160" w:line="360" w:lineRule="auto"/>
              <w:rPr>
                <w:rFonts w:ascii="Arial" w:hAnsi="Arial" w:cs="Arial"/>
              </w:rPr>
            </w:pPr>
            <w:r w:rsidRPr="00390868">
              <w:rPr>
                <w:rFonts w:ascii="Arial" w:hAnsi="Arial" w:cs="Arial"/>
              </w:rPr>
              <w:t>Service Unit</w:t>
            </w:r>
          </w:p>
        </w:tc>
        <w:tc>
          <w:tcPr>
            <w:tcW w:w="0" w:type="auto"/>
            <w:hideMark/>
          </w:tcPr>
          <w:p w14:paraId="7F402D88" w14:textId="726743DC" w:rsidR="006339F7" w:rsidRPr="00390868" w:rsidRDefault="006339F7"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xml:space="preserve">Core Equipment </w:t>
            </w:r>
            <w:r w:rsidR="00DD108A">
              <w:rPr>
                <w:rFonts w:ascii="Arial" w:hAnsi="Arial" w:cs="Arial"/>
              </w:rPr>
              <w:t>Need</w:t>
            </w:r>
            <w:r w:rsidRPr="00390868">
              <w:rPr>
                <w:rFonts w:ascii="Arial" w:hAnsi="Arial" w:cs="Arial"/>
              </w:rPr>
              <w:t>s</w:t>
            </w:r>
          </w:p>
        </w:tc>
      </w:tr>
      <w:tr w:rsidR="006339F7" w:rsidRPr="00390868" w14:paraId="0C24D49B"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4A26D2" w14:textId="77777777" w:rsidR="006339F7" w:rsidRPr="00390868" w:rsidRDefault="006339F7" w:rsidP="00905241">
            <w:pPr>
              <w:spacing w:after="160" w:line="360" w:lineRule="auto"/>
              <w:rPr>
                <w:rFonts w:ascii="Arial" w:hAnsi="Arial" w:cs="Arial"/>
              </w:rPr>
            </w:pPr>
            <w:r w:rsidRPr="00390868">
              <w:rPr>
                <w:rFonts w:ascii="Arial" w:hAnsi="Arial" w:cs="Arial"/>
              </w:rPr>
              <w:t>MOT Testing</w:t>
            </w:r>
          </w:p>
        </w:tc>
        <w:tc>
          <w:tcPr>
            <w:tcW w:w="0" w:type="auto"/>
            <w:hideMark/>
          </w:tcPr>
          <w:p w14:paraId="48C01650"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DVSA-approved Class 4 test lane, brake test rollers, emissions analyser, headlamp aim tester, secure data and CCTV systems</w:t>
            </w:r>
          </w:p>
        </w:tc>
      </w:tr>
      <w:tr w:rsidR="006339F7" w:rsidRPr="00390868" w14:paraId="1A6D9B61"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BFCF41B" w14:textId="77777777" w:rsidR="006339F7" w:rsidRPr="00390868" w:rsidRDefault="006339F7" w:rsidP="00905241">
            <w:pPr>
              <w:spacing w:after="160" w:line="360" w:lineRule="auto"/>
              <w:rPr>
                <w:rFonts w:ascii="Arial" w:hAnsi="Arial" w:cs="Arial"/>
              </w:rPr>
            </w:pPr>
            <w:r w:rsidRPr="00390868">
              <w:rPr>
                <w:rFonts w:ascii="Arial" w:hAnsi="Arial" w:cs="Arial"/>
              </w:rPr>
              <w:t>Mechanical &amp; Diagnostics</w:t>
            </w:r>
          </w:p>
        </w:tc>
        <w:tc>
          <w:tcPr>
            <w:tcW w:w="0" w:type="auto"/>
            <w:hideMark/>
          </w:tcPr>
          <w:p w14:paraId="322D99AF"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Two-post lifts, engine crane, comprehensive tooling, multi-brand diagnostic scanners, fluid management systems</w:t>
            </w:r>
          </w:p>
        </w:tc>
      </w:tr>
      <w:tr w:rsidR="006339F7" w:rsidRPr="00390868" w14:paraId="0F63D278"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E92AE" w14:textId="77777777" w:rsidR="006339F7" w:rsidRPr="00390868" w:rsidRDefault="006339F7" w:rsidP="00905241">
            <w:pPr>
              <w:spacing w:after="160" w:line="360" w:lineRule="auto"/>
              <w:rPr>
                <w:rFonts w:ascii="Arial" w:hAnsi="Arial" w:cs="Arial"/>
              </w:rPr>
            </w:pPr>
            <w:r w:rsidRPr="00390868">
              <w:rPr>
                <w:rFonts w:ascii="Arial" w:hAnsi="Arial" w:cs="Arial"/>
              </w:rPr>
              <w:t>Auto-Electrical (ICE)</w:t>
            </w:r>
          </w:p>
        </w:tc>
        <w:tc>
          <w:tcPr>
            <w:tcW w:w="0" w:type="auto"/>
            <w:hideMark/>
          </w:tcPr>
          <w:p w14:paraId="507E1120" w14:textId="3F817F59"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Diagnostic oscilloscopes, </w:t>
            </w:r>
            <w:r w:rsidR="00133386" w:rsidRPr="00390868">
              <w:rPr>
                <w:rFonts w:ascii="Arial" w:hAnsi="Arial" w:cs="Arial"/>
              </w:rPr>
              <w:t>mustimeters</w:t>
            </w:r>
            <w:r w:rsidRPr="00390868">
              <w:rPr>
                <w:rFonts w:ascii="Arial" w:hAnsi="Arial" w:cs="Arial"/>
              </w:rPr>
              <w:t>, component test benches, wiring repair tools, ECU programming interfaces</w:t>
            </w:r>
          </w:p>
        </w:tc>
      </w:tr>
      <w:tr w:rsidR="006339F7" w:rsidRPr="00390868" w14:paraId="2BA24FED"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38DF0E8" w14:textId="77777777" w:rsidR="006339F7" w:rsidRPr="00390868" w:rsidRDefault="006339F7" w:rsidP="00905241">
            <w:pPr>
              <w:spacing w:after="160" w:line="360" w:lineRule="auto"/>
              <w:rPr>
                <w:rFonts w:ascii="Arial" w:hAnsi="Arial" w:cs="Arial"/>
              </w:rPr>
            </w:pPr>
            <w:r w:rsidRPr="00390868">
              <w:rPr>
                <w:rFonts w:ascii="Arial" w:hAnsi="Arial" w:cs="Arial"/>
              </w:rPr>
              <w:t>Hybrid &amp; EV</w:t>
            </w:r>
          </w:p>
        </w:tc>
        <w:tc>
          <w:tcPr>
            <w:tcW w:w="0" w:type="auto"/>
            <w:hideMark/>
          </w:tcPr>
          <w:p w14:paraId="775FA74E"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Insulated high-voltage toolkits, battery lifting tables, isolation testers, EV-specific diagnostics, mandatory PPE</w:t>
            </w:r>
          </w:p>
        </w:tc>
      </w:tr>
      <w:tr w:rsidR="006339F7" w:rsidRPr="00390868" w14:paraId="736645DD"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102DB" w14:textId="77777777" w:rsidR="006339F7" w:rsidRPr="00390868" w:rsidRDefault="006339F7" w:rsidP="00905241">
            <w:pPr>
              <w:spacing w:after="160" w:line="360" w:lineRule="auto"/>
              <w:rPr>
                <w:rFonts w:ascii="Arial" w:hAnsi="Arial" w:cs="Arial"/>
              </w:rPr>
            </w:pPr>
            <w:r w:rsidRPr="00390868">
              <w:rPr>
                <w:rFonts w:ascii="Arial" w:hAnsi="Arial" w:cs="Arial"/>
              </w:rPr>
              <w:t>Bodywork &amp; Respray</w:t>
            </w:r>
          </w:p>
        </w:tc>
        <w:tc>
          <w:tcPr>
            <w:tcW w:w="0" w:type="auto"/>
            <w:hideMark/>
          </w:tcPr>
          <w:p w14:paraId="2F37312D"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Welding equipment, panel repair tools, paint mixing systems, compliant spray booth with extraction</w:t>
            </w:r>
          </w:p>
        </w:tc>
      </w:tr>
      <w:tr w:rsidR="006339F7" w:rsidRPr="00390868" w14:paraId="5A2FC0C8"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35932A2B" w14:textId="77777777" w:rsidR="006339F7" w:rsidRPr="00390868" w:rsidRDefault="006339F7" w:rsidP="00905241">
            <w:pPr>
              <w:spacing w:after="160" w:line="360" w:lineRule="auto"/>
              <w:rPr>
                <w:rFonts w:ascii="Arial" w:hAnsi="Arial" w:cs="Arial"/>
              </w:rPr>
            </w:pPr>
            <w:r w:rsidRPr="00390868">
              <w:rPr>
                <w:rFonts w:ascii="Arial" w:hAnsi="Arial" w:cs="Arial"/>
              </w:rPr>
              <w:t>Tyre Services</w:t>
            </w:r>
          </w:p>
        </w:tc>
        <w:tc>
          <w:tcPr>
            <w:tcW w:w="0" w:type="auto"/>
            <w:hideMark/>
          </w:tcPr>
          <w:p w14:paraId="69C58943"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Computerised tyre changer, wheel balancer, 3D laser alignment system, compressed air infrastructure</w:t>
            </w:r>
          </w:p>
        </w:tc>
      </w:tr>
      <w:tr w:rsidR="006339F7" w:rsidRPr="00390868" w14:paraId="7D18295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392A4" w14:textId="77777777" w:rsidR="006339F7" w:rsidRPr="00390868" w:rsidRDefault="006339F7" w:rsidP="00905241">
            <w:pPr>
              <w:spacing w:after="160" w:line="360" w:lineRule="auto"/>
              <w:rPr>
                <w:rFonts w:ascii="Arial" w:hAnsi="Arial" w:cs="Arial"/>
              </w:rPr>
            </w:pPr>
            <w:r w:rsidRPr="00390868">
              <w:rPr>
                <w:rFonts w:ascii="Arial" w:hAnsi="Arial" w:cs="Arial"/>
              </w:rPr>
              <w:t>Wash &amp; Detailing</w:t>
            </w:r>
          </w:p>
        </w:tc>
        <w:tc>
          <w:tcPr>
            <w:tcW w:w="0" w:type="auto"/>
            <w:hideMark/>
          </w:tcPr>
          <w:p w14:paraId="251DA38D"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Commercial pressure washers, foam systems, extractors, polishers, water recycling unit</w:t>
            </w:r>
          </w:p>
        </w:tc>
      </w:tr>
      <w:tr w:rsidR="006339F7" w:rsidRPr="00390868" w14:paraId="33641E22"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22F7F07D" w14:textId="77777777" w:rsidR="006339F7" w:rsidRPr="00390868" w:rsidRDefault="006339F7" w:rsidP="00905241">
            <w:pPr>
              <w:spacing w:after="160" w:line="360" w:lineRule="auto"/>
              <w:rPr>
                <w:rFonts w:ascii="Arial" w:hAnsi="Arial" w:cs="Arial"/>
              </w:rPr>
            </w:pPr>
            <w:r w:rsidRPr="00390868">
              <w:rPr>
                <w:rFonts w:ascii="Arial" w:hAnsi="Arial" w:cs="Arial"/>
              </w:rPr>
              <w:t>Tinting</w:t>
            </w:r>
          </w:p>
        </w:tc>
        <w:tc>
          <w:tcPr>
            <w:tcW w:w="0" w:type="auto"/>
            <w:hideMark/>
          </w:tcPr>
          <w:p w14:paraId="1CD1B046"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Precision cutting plotter, heat guns, installation tools, climate control systems</w:t>
            </w:r>
          </w:p>
        </w:tc>
      </w:tr>
    </w:tbl>
    <w:p w14:paraId="22E4DABE" w14:textId="77777777" w:rsidR="006339F7" w:rsidRPr="00390868" w:rsidRDefault="006339F7" w:rsidP="00905241">
      <w:pPr>
        <w:spacing w:line="360" w:lineRule="auto"/>
        <w:rPr>
          <w:rFonts w:ascii="Arial" w:hAnsi="Arial" w:cs="Arial"/>
        </w:rPr>
      </w:pPr>
      <w:r w:rsidRPr="00390868">
        <w:rPr>
          <w:rFonts w:ascii="Arial" w:hAnsi="Arial" w:cs="Arial"/>
        </w:rPr>
        <w:t>Beyond physical equipment, estate-wide operational performance is coordinated through an integrated, cloud-based workshop management and CRM platform (e.g. Garage Hive–type system). This system links online bookings, job cards, technician allocation, bay scheduling, parts inventory, invoicing and customer communication into a single data environment. Real-time visibility enables managers to monitor utilisation, identify bottlenecks and dynamically reallocate resources during peak demand periods.</w:t>
      </w:r>
    </w:p>
    <w:p w14:paraId="40A85D13" w14:textId="77777777" w:rsidR="006339F7" w:rsidRPr="00390868" w:rsidRDefault="006339F7" w:rsidP="00905241">
      <w:pPr>
        <w:spacing w:line="360" w:lineRule="auto"/>
        <w:rPr>
          <w:rFonts w:ascii="Arial" w:hAnsi="Arial" w:cs="Arial"/>
        </w:rPr>
      </w:pPr>
      <w:r w:rsidRPr="00390868">
        <w:rPr>
          <w:rFonts w:ascii="Arial" w:hAnsi="Arial" w:cs="Arial"/>
        </w:rPr>
        <w:t>Digital payments, automated reminders and secure data storage support both customer experience and regulatory compliance. CCTV, access control and network security infrastructure protect assets, staff and customer vehicles, reinforcing operational resilience and insurer confidence.</w:t>
      </w:r>
    </w:p>
    <w:p w14:paraId="160788A2" w14:textId="77777777" w:rsidR="006339F7" w:rsidRPr="00390868" w:rsidRDefault="006339F7" w:rsidP="00905241">
      <w:pPr>
        <w:spacing w:line="360" w:lineRule="auto"/>
        <w:rPr>
          <w:rFonts w:ascii="Arial" w:hAnsi="Arial" w:cs="Arial"/>
        </w:rPr>
      </w:pPr>
      <w:r w:rsidRPr="00390868">
        <w:rPr>
          <w:rFonts w:ascii="Arial" w:hAnsi="Arial" w:cs="Arial"/>
        </w:rPr>
        <w:lastRenderedPageBreak/>
        <w:t>Together, this equipment and technology stack enables 1 STATION to operate as a coordinated service system rather than a collection of standalone workshops, supporting consistent quality, predictable throughput and scalable performance as demand increases.</w:t>
      </w:r>
    </w:p>
    <w:p w14:paraId="3A116374" w14:textId="77777777" w:rsidR="006339F7" w:rsidRPr="00390868" w:rsidRDefault="006339F7" w:rsidP="00905241">
      <w:pPr>
        <w:pStyle w:val="Heading2"/>
        <w:spacing w:line="360" w:lineRule="auto"/>
        <w:rPr>
          <w:rFonts w:ascii="Arial" w:hAnsi="Arial" w:cs="Arial"/>
        </w:rPr>
      </w:pPr>
      <w:bookmarkStart w:id="89" w:name="_Toc218629270"/>
      <w:r w:rsidRPr="00390868">
        <w:rPr>
          <w:rFonts w:ascii="Arial" w:hAnsi="Arial" w:cs="Arial"/>
        </w:rPr>
        <w:t>6.4 Human Resource Strategy and Workforce Architecture</w:t>
      </w:r>
      <w:bookmarkEnd w:id="89"/>
      <w:r w:rsidRPr="00390868">
        <w:rPr>
          <w:rFonts w:ascii="Arial" w:hAnsi="Arial" w:cs="Arial"/>
        </w:rPr>
        <w:t xml:space="preserve"> </w:t>
      </w:r>
    </w:p>
    <w:p w14:paraId="4821203F" w14:textId="77777777" w:rsidR="006339F7" w:rsidRPr="00390868" w:rsidRDefault="006339F7" w:rsidP="00905241">
      <w:pPr>
        <w:spacing w:line="360" w:lineRule="auto"/>
        <w:rPr>
          <w:rFonts w:ascii="Arial" w:hAnsi="Arial" w:cs="Arial"/>
        </w:rPr>
      </w:pPr>
      <w:r w:rsidRPr="00390868">
        <w:rPr>
          <w:rFonts w:ascii="Arial" w:hAnsi="Arial" w:cs="Arial"/>
        </w:rPr>
        <w:t>The workforce architecture is deliberately designed to mirror the technical diversity and throughput requirements of the estate, moving beyond generic mechanical staffing toward a specialist, role-defined operating model. Workforce deployment is phased in line with the operational ramp-up strategy outlined in Sections 5 and 8, ensuring labour costs scale with verified demand rather than speculative volume.</w:t>
      </w:r>
    </w:p>
    <w:p w14:paraId="39DEF930" w14:textId="2F997CC4" w:rsidR="006339F7" w:rsidRPr="00390868" w:rsidRDefault="006339F7" w:rsidP="00905241">
      <w:pPr>
        <w:spacing w:line="360" w:lineRule="auto"/>
        <w:rPr>
          <w:rFonts w:ascii="Arial" w:hAnsi="Arial" w:cs="Arial"/>
        </w:rPr>
      </w:pPr>
      <w:r w:rsidRPr="00390868">
        <w:rPr>
          <w:rFonts w:ascii="Arial" w:hAnsi="Arial" w:cs="Arial"/>
        </w:rPr>
        <w:t xml:space="preserve">During the pre-launch phase (Months 1–6), staffing is limited to core management (2 FTE), compliance preparation, site commissioning and recruitment. A controlled test-operation phase follows in Months 7–9, where four key service units launch with a lean team of 8 FTEs: 1 MOT Tester, 3 Mechanical/Diagnostic Technicians, 1 Tyre Fitter, 1 Detailer, and 2 Service Advisors/Administrators. This phase targets 40-50% bay utilisation to validate systems and demand. </w:t>
      </w:r>
      <w:r w:rsidR="00D05C95" w:rsidRPr="00390868">
        <w:rPr>
          <w:rFonts w:ascii="Arial" w:hAnsi="Arial" w:cs="Arial"/>
        </w:rPr>
        <w:t>Full operational staffing across all eight units is implemented from Month 10, scaling to the steady-state team of approximately 32 FTEs detailed in the workforce structure in Section 7.2</w:t>
      </w:r>
      <w:r w:rsidRPr="00390868">
        <w:rPr>
          <w:rFonts w:ascii="Arial" w:hAnsi="Arial" w:cs="Arial"/>
        </w:rPr>
        <w:t>.</w:t>
      </w:r>
    </w:p>
    <w:p w14:paraId="3A0A7A48" w14:textId="77777777" w:rsidR="006339F7" w:rsidRPr="00390868" w:rsidRDefault="006339F7" w:rsidP="00905241">
      <w:pPr>
        <w:spacing w:line="360" w:lineRule="auto"/>
        <w:rPr>
          <w:rFonts w:ascii="Arial" w:hAnsi="Arial" w:cs="Arial"/>
        </w:rPr>
      </w:pPr>
      <w:r w:rsidRPr="00390868">
        <w:rPr>
          <w:rFonts w:ascii="Arial" w:hAnsi="Arial" w:cs="Arial"/>
        </w:rPr>
        <w:t>The workforce comprises DVSA-approved MOT testers, diagnostic technicians, auto-electricians, IMI-certified hybrid and EV specialists, bodywork and paint technicians, tyre fitters, detailing operatives and tinting specialists, supported by customer-facing service advisors and administrative staff. Role specialisation ensures regulatory compliance, technical accuracy and first-time fix performance. Targeted cross-skilling—particularly between mechanical, diagnostic and auto-electrical roles—is embedded to reduce bottlenecks, increase labour utilisation and improve resilience during peak demand or staff absence. For example, mechanical technicians will be cross-trained to perform basic wheel alignment and suspension work identified during tyre fitting, while auto-electricians will support EV technicians with low-voltage auxiliary system diagnostics. This creates flexible 'pods' of skills that can be dynamically allocated, improving our ability to handle a vehicle requiring multiple services in one visit.</w:t>
      </w:r>
    </w:p>
    <w:p w14:paraId="3F01FFD0" w14:textId="77777777" w:rsidR="006339F7" w:rsidRPr="00390868" w:rsidRDefault="006339F7" w:rsidP="00905241">
      <w:pPr>
        <w:spacing w:line="360" w:lineRule="auto"/>
        <w:rPr>
          <w:rFonts w:ascii="Arial" w:hAnsi="Arial" w:cs="Arial"/>
        </w:rPr>
      </w:pPr>
      <w:bookmarkStart w:id="90" w:name="_Toc217830859"/>
      <w:r w:rsidRPr="00390868">
        <w:rPr>
          <w:rFonts w:ascii="Arial" w:hAnsi="Arial" w:cs="Arial"/>
        </w:rPr>
        <w:t xml:space="preserve">Workforce performance is managed against clear, data-driven KPIs. Weekly reviews of Labour Utilisation (Target: &gt;85%) and First-Time Fix Rate (Target: &gt;92%) per technician will identify training needs or process bottlenecks. Our CRM system will automate shift and job allocation based on real-time booking data and technician certification, ensuring the right </w:t>
      </w:r>
      <w:r w:rsidRPr="00390868">
        <w:rPr>
          <w:rFonts w:ascii="Arial" w:hAnsi="Arial" w:cs="Arial"/>
        </w:rPr>
        <w:lastRenderedPageBreak/>
        <w:t>specialist is always available for the job. The detailed cost structure and productivity assumptions for this phased model are provided in the Financial Plan (Section 8).</w:t>
      </w:r>
    </w:p>
    <w:p w14:paraId="4ABF985E" w14:textId="77777777" w:rsidR="006339F7" w:rsidRPr="00390868" w:rsidRDefault="006339F7" w:rsidP="00905241">
      <w:pPr>
        <w:pStyle w:val="Heading2"/>
        <w:spacing w:line="360" w:lineRule="auto"/>
        <w:rPr>
          <w:rFonts w:ascii="Arial" w:hAnsi="Arial" w:cs="Arial"/>
        </w:rPr>
      </w:pPr>
      <w:bookmarkStart w:id="91" w:name="_Toc218629271"/>
      <w:r w:rsidRPr="00390868">
        <w:rPr>
          <w:rFonts w:ascii="Arial" w:hAnsi="Arial" w:cs="Arial"/>
        </w:rPr>
        <w:t>6.5 Supply Chain, Inventory, and Logistics Management</w:t>
      </w:r>
      <w:bookmarkEnd w:id="90"/>
      <w:bookmarkEnd w:id="91"/>
      <w:r w:rsidRPr="00390868">
        <w:rPr>
          <w:rFonts w:ascii="Arial" w:hAnsi="Arial" w:cs="Arial"/>
        </w:rPr>
        <w:t xml:space="preserve"> </w:t>
      </w:r>
    </w:p>
    <w:p w14:paraId="334524C4" w14:textId="77777777" w:rsidR="006339F7" w:rsidRPr="00390868" w:rsidRDefault="006339F7" w:rsidP="00905241">
      <w:pPr>
        <w:spacing w:line="360" w:lineRule="auto"/>
        <w:rPr>
          <w:rFonts w:ascii="Arial" w:hAnsi="Arial" w:cs="Arial"/>
        </w:rPr>
      </w:pPr>
      <w:r w:rsidRPr="00390868">
        <w:rPr>
          <w:rFonts w:ascii="Arial" w:hAnsi="Arial" w:cs="Arial"/>
        </w:rPr>
        <w:t>A lean and responsive supply chain is essential to maintaining service continuity across the estate’s eight technically distinct service units. Procurement strategy is structured around strategic relationships with OEM-approved parts distributors, national tyre wholesalers and specialist suppliers for EV components and body repair materials. This ensures quality assurance, warranty compatibility and reliable availability while avoiding over-dependence on any single supplier.</w:t>
      </w:r>
    </w:p>
    <w:p w14:paraId="7EA04C24" w14:textId="77777777" w:rsidR="006339F7" w:rsidRPr="00390868" w:rsidRDefault="006339F7" w:rsidP="00905241">
      <w:pPr>
        <w:spacing w:line="360" w:lineRule="auto"/>
        <w:rPr>
          <w:rFonts w:ascii="Arial" w:hAnsi="Arial" w:cs="Arial"/>
        </w:rPr>
      </w:pPr>
      <w:r w:rsidRPr="00390868">
        <w:rPr>
          <w:rFonts w:ascii="Arial" w:hAnsi="Arial" w:cs="Arial"/>
        </w:rPr>
        <w:t>To mitigate procurement risk, price volatility and supply disruption, supplier diversification is applied to all high-dependency components, consistent with best practice in automotive service operations (Christopher, 2016). Inventory management follows a hybrid just-in-time (JIT) model. Fast-moving consumables—such as oils, filters, brake components and service fluids—are replenished through automated stock-level alerts generated by the estate-wide inventory system. This minimises working capital lock-up while ensuring uninterrupted service delivery.</w:t>
      </w:r>
    </w:p>
    <w:p w14:paraId="6695F238" w14:textId="77777777" w:rsidR="006339F7" w:rsidRPr="00390868" w:rsidRDefault="006339F7" w:rsidP="00905241">
      <w:pPr>
        <w:spacing w:line="360" w:lineRule="auto"/>
        <w:rPr>
          <w:rFonts w:ascii="Arial" w:hAnsi="Arial" w:cs="Arial"/>
        </w:rPr>
      </w:pPr>
      <w:r w:rsidRPr="00390868">
        <w:rPr>
          <w:rFonts w:ascii="Arial" w:hAnsi="Arial" w:cs="Arial"/>
        </w:rPr>
        <w:t>In contrast, high-value, supply-sensitive or seasonally volatile items—including tyres, selected EV components and body repair materials—are held as controlled buffer stock. Buffer levels are calibrated against historical usage, lead times and seasonal demand patterns (e.g. winter tyres, accident-repair peaks), balancing efficiency with operational reliability (Slack et al., 2022).</w:t>
      </w:r>
    </w:p>
    <w:p w14:paraId="217A32FA" w14:textId="77777777" w:rsidR="006339F7" w:rsidRPr="00390868" w:rsidRDefault="006339F7" w:rsidP="00905241">
      <w:pPr>
        <w:spacing w:line="360" w:lineRule="auto"/>
        <w:rPr>
          <w:rFonts w:ascii="Arial" w:hAnsi="Arial" w:cs="Arial"/>
        </w:rPr>
      </w:pPr>
      <w:r w:rsidRPr="00390868">
        <w:rPr>
          <w:rFonts w:ascii="Arial" w:hAnsi="Arial" w:cs="Arial"/>
        </w:rPr>
        <w:t>Waste and compliance logistics are managed through scheduled collections by licensed contractors, covering waste oils, coolants, paint residues, end-of-life tyres and high-voltage batteries. These arrangements ensure compliance with environmental and hazardous-waste regulations while minimising disruption to workshop operations and reinforcing the business’s sustainability commitments (DEFRA, 2024; HSE, 2023).</w:t>
      </w:r>
    </w:p>
    <w:p w14:paraId="6802521F" w14:textId="1D05D48E" w:rsidR="006339F7" w:rsidRPr="00390868" w:rsidRDefault="006339F7" w:rsidP="00905241">
      <w:pPr>
        <w:pStyle w:val="Heading2"/>
        <w:spacing w:line="360" w:lineRule="auto"/>
        <w:rPr>
          <w:rFonts w:ascii="Arial" w:hAnsi="Arial" w:cs="Arial"/>
        </w:rPr>
      </w:pPr>
      <w:bookmarkStart w:id="92" w:name="_Toc217830860"/>
      <w:bookmarkStart w:id="93" w:name="_Toc218629272"/>
      <w:r w:rsidRPr="00390868">
        <w:rPr>
          <w:rFonts w:ascii="Arial" w:hAnsi="Arial" w:cs="Arial"/>
        </w:rPr>
        <w:t>6.6 Integrated Data-Driven Management</w:t>
      </w:r>
      <w:bookmarkEnd w:id="92"/>
      <w:bookmarkEnd w:id="93"/>
    </w:p>
    <w:p w14:paraId="3C155D08" w14:textId="77777777" w:rsidR="006339F7" w:rsidRPr="00390868" w:rsidRDefault="006339F7" w:rsidP="00905241">
      <w:pPr>
        <w:spacing w:line="360" w:lineRule="auto"/>
        <w:rPr>
          <w:rFonts w:ascii="Arial" w:hAnsi="Arial" w:cs="Arial"/>
        </w:rPr>
      </w:pPr>
      <w:r w:rsidRPr="00390868">
        <w:rPr>
          <w:rFonts w:ascii="Arial" w:hAnsi="Arial" w:cs="Arial"/>
        </w:rPr>
        <w:t>Operational control at 1 STATION Ltd is underpinned by an integrated data-driven management approach that connects workshop activity, customer behaviour and marketing execution. The estate-wide CRM and workshop management system captures real-time operational data, including booking volumes, MOT outcomes, diagnostic findings, service durations and conversion rates between service units.</w:t>
      </w:r>
    </w:p>
    <w:p w14:paraId="1A9ED9B8" w14:textId="77777777" w:rsidR="006339F7" w:rsidRPr="00390868" w:rsidRDefault="006339F7" w:rsidP="00905241">
      <w:pPr>
        <w:spacing w:line="360" w:lineRule="auto"/>
        <w:rPr>
          <w:rFonts w:ascii="Arial" w:hAnsi="Arial" w:cs="Arial"/>
        </w:rPr>
      </w:pPr>
      <w:r w:rsidRPr="00390868">
        <w:rPr>
          <w:rFonts w:ascii="Arial" w:hAnsi="Arial" w:cs="Arial"/>
        </w:rPr>
        <w:lastRenderedPageBreak/>
        <w:t>These data streams inform both short-term operational decisions and medium-term strategic planning. For example, MOT failure data highlights recurring repair demand; diagnostic trends support forecasting for auto-electrical and EV services; and seasonal patterns inform staffing allocation, inventory planning and targeted marketing campaigns. This closed-loop integration ensures that marketing initiatives described in Section 5 are grounded in verified operational capacity rather than aspirational demand.</w:t>
      </w:r>
    </w:p>
    <w:p w14:paraId="5B132B34" w14:textId="77777777" w:rsidR="006339F7" w:rsidRPr="00390868" w:rsidRDefault="006339F7" w:rsidP="00905241">
      <w:pPr>
        <w:spacing w:line="360" w:lineRule="auto"/>
        <w:rPr>
          <w:rFonts w:ascii="Arial" w:hAnsi="Arial" w:cs="Arial"/>
        </w:rPr>
      </w:pPr>
      <w:r w:rsidRPr="00390868">
        <w:rPr>
          <w:rFonts w:ascii="Arial" w:hAnsi="Arial" w:cs="Arial"/>
        </w:rPr>
        <w:t>By embedding operational intelligence into pricing, scheduling and service bundling decisions, the estate reduces inefficiency, improves utilisation and enhances customer lifetime value. Empirical research demonstrates that such data-driven coordination significantly improves performance in complex, multi-unit service environments (Deloitte, 2023). This closed-loop system enables proactive operational management. For example, a trend showing a 15% monthly increase in requests for EV battery health checks will trigger an alert. The Operations Manager can then proactively schedule additional EV-certified technician hours for the following month and ensure diagnostic equipment availability, transforming data into a capacity planning tool.</w:t>
      </w:r>
    </w:p>
    <w:p w14:paraId="096D4F0C" w14:textId="77777777" w:rsidR="006339F7" w:rsidRPr="00390868" w:rsidRDefault="006339F7" w:rsidP="00905241">
      <w:pPr>
        <w:pStyle w:val="Heading2"/>
        <w:spacing w:line="360" w:lineRule="auto"/>
        <w:rPr>
          <w:rFonts w:ascii="Arial" w:hAnsi="Arial" w:cs="Arial"/>
        </w:rPr>
      </w:pPr>
      <w:bookmarkStart w:id="94" w:name="_Toc217830861"/>
      <w:bookmarkStart w:id="95" w:name="_Toc218629273"/>
      <w:r w:rsidRPr="00390868">
        <w:rPr>
          <w:rFonts w:ascii="Arial" w:hAnsi="Arial" w:cs="Arial"/>
        </w:rPr>
        <w:t>6.7 Quality Assurance, Compliance, and Risk</w:t>
      </w:r>
      <w:bookmarkEnd w:id="94"/>
      <w:bookmarkEnd w:id="95"/>
      <w:r w:rsidRPr="00390868">
        <w:rPr>
          <w:rFonts w:ascii="Arial" w:hAnsi="Arial" w:cs="Arial"/>
        </w:rPr>
        <w:t xml:space="preserve"> </w:t>
      </w:r>
    </w:p>
    <w:p w14:paraId="417E3B14" w14:textId="77777777" w:rsidR="006339F7" w:rsidRPr="00390868" w:rsidRDefault="006339F7" w:rsidP="00905241">
      <w:pPr>
        <w:spacing w:line="360" w:lineRule="auto"/>
        <w:rPr>
          <w:rFonts w:ascii="Arial" w:hAnsi="Arial" w:cs="Arial"/>
        </w:rPr>
      </w:pPr>
      <w:r w:rsidRPr="00390868">
        <w:rPr>
          <w:rFonts w:ascii="Arial" w:hAnsi="Arial" w:cs="Arial"/>
        </w:rPr>
        <w:t>Quality and safety within 1 STATION Ltd are treated as systemic requirements rather than discretionary controls and are embedded through a formal Integrated Management System governing all operational activities. Each service unit operates under documented Standard Operating Procedures (SOPs) defining diagnostic processes, repair standards, quality checks and escalation protocols. This ensures consistency across the estate while allowing for technical specialisation.</w:t>
      </w:r>
    </w:p>
    <w:p w14:paraId="22AD3F31" w14:textId="3D54757A" w:rsidR="006339F7" w:rsidRPr="00390868" w:rsidRDefault="006339F7" w:rsidP="00905241">
      <w:pPr>
        <w:spacing w:line="360" w:lineRule="auto"/>
        <w:rPr>
          <w:rFonts w:ascii="Arial" w:hAnsi="Arial" w:cs="Arial"/>
        </w:rPr>
      </w:pPr>
      <w:r w:rsidRPr="00390868">
        <w:rPr>
          <w:rFonts w:ascii="Arial" w:hAnsi="Arial" w:cs="Arial"/>
        </w:rPr>
        <w:t>Service quality is reinforced through routine equipment calibration, internal technical audits and structured customer feedback mechanisms, enabling early identification and correction of performance deviations (Zeithaml, Bitner and Gremler, 2020). Compliance obligations are rigorously enforced across all operational domains, including DVSA MOT testing regulations, HSE guidance for workshop and high-voltage EV operations, COSHH requirements for hazardous substances, and environmental permitting for waste and emissions management (DEFRA, 2024).</w:t>
      </w:r>
      <w:r w:rsidR="00C82268" w:rsidRPr="00390868">
        <w:rPr>
          <w:rFonts w:ascii="Arial" w:hAnsi="Arial" w:cs="Arial"/>
        </w:rPr>
        <w:t xml:space="preserve"> </w:t>
      </w:r>
    </w:p>
    <w:p w14:paraId="6B5DF4DE" w14:textId="640BA74D" w:rsidR="006339F7" w:rsidRPr="00390868" w:rsidRDefault="006339F7" w:rsidP="00905241">
      <w:pPr>
        <w:spacing w:line="360" w:lineRule="auto"/>
        <w:rPr>
          <w:rFonts w:ascii="Arial" w:hAnsi="Arial" w:cs="Arial"/>
        </w:rPr>
      </w:pPr>
      <w:r w:rsidRPr="00390868">
        <w:rPr>
          <w:rFonts w:ascii="Arial" w:hAnsi="Arial" w:cs="Arial"/>
        </w:rPr>
        <w:t xml:space="preserve">Risk management is formalised through a continuously maintained risk register covering operational risks (e.g. workshop accidents, equipment failure), financial risks (e.g. cost inflation, warranty exposure), and strategic risks (e.g. cyber-security threats, dependency on scarce technical skills). Each risk is assigned defined mitigation measures, accountability and review cycles, ensuring that risk controls evolve alongside operational scale and </w:t>
      </w:r>
      <w:r w:rsidRPr="00390868">
        <w:rPr>
          <w:rFonts w:ascii="Arial" w:hAnsi="Arial" w:cs="Arial"/>
        </w:rPr>
        <w:lastRenderedPageBreak/>
        <w:t>technological change (Deloitte, 2023).</w:t>
      </w:r>
      <w:r w:rsidR="00C82268" w:rsidRPr="00390868">
        <w:rPr>
          <w:rFonts w:ascii="Arial" w:hAnsi="Arial" w:cs="Arial"/>
        </w:rPr>
        <w:t xml:space="preserve"> A consolidated list of regulatory approvals, compliance standards, and supporting documentation applicable to MOT operations, EV safety, environmental controls, and data protection is provided in Appendix F.</w:t>
      </w:r>
    </w:p>
    <w:p w14:paraId="0E87E016" w14:textId="77777777" w:rsidR="006339F7" w:rsidRPr="00390868" w:rsidRDefault="006339F7" w:rsidP="00905241">
      <w:pPr>
        <w:pStyle w:val="Heading2"/>
        <w:spacing w:line="360" w:lineRule="auto"/>
        <w:rPr>
          <w:rFonts w:ascii="Arial" w:hAnsi="Arial" w:cs="Arial"/>
        </w:rPr>
      </w:pPr>
      <w:bookmarkStart w:id="96" w:name="_Toc217830862"/>
      <w:bookmarkStart w:id="97" w:name="_Toc218629274"/>
      <w:r w:rsidRPr="00390868">
        <w:rPr>
          <w:rFonts w:ascii="Arial" w:hAnsi="Arial" w:cs="Arial"/>
        </w:rPr>
        <w:t>6.8 Financial Architecture: Start-Up Investment and Operational Cost Model</w:t>
      </w:r>
      <w:bookmarkEnd w:id="96"/>
      <w:bookmarkEnd w:id="97"/>
      <w:r w:rsidRPr="00390868">
        <w:rPr>
          <w:rFonts w:ascii="Arial" w:hAnsi="Arial" w:cs="Arial"/>
        </w:rPr>
        <w:t xml:space="preserve"> </w:t>
      </w:r>
    </w:p>
    <w:p w14:paraId="0DAC7427" w14:textId="63CEE92B" w:rsidR="006339F7" w:rsidRPr="00390868" w:rsidRDefault="006339F7" w:rsidP="00905241">
      <w:pPr>
        <w:spacing w:line="360" w:lineRule="auto"/>
        <w:rPr>
          <w:rFonts w:ascii="Arial" w:hAnsi="Arial" w:cs="Arial"/>
        </w:rPr>
      </w:pPr>
      <w:r w:rsidRPr="00390868">
        <w:rPr>
          <w:rFonts w:ascii="Arial" w:hAnsi="Arial" w:cs="Arial"/>
        </w:rPr>
        <w:t>Translating the operational blueprint into a functioning automotive estate requires a clearly defined and defensible financial architecture. The start-up budget presented in this section is constructed using established UK motor-trade benchmarks, equipment supplier quotations, and independent garage budgeting frameworks. The objective is not to minimise headline investment, but to ensure that the estate is adequately specified from launch to support safety, compliance, throughput efficiency and service credibility.</w:t>
      </w:r>
      <w:r w:rsidR="00EB2BDB" w:rsidRPr="00390868">
        <w:rPr>
          <w:rFonts w:ascii="Arial" w:hAnsi="Arial" w:cs="Arial"/>
        </w:rPr>
        <w:t xml:space="preserve"> The full pro-forma financial statements, including the consolidated profit and loss account, start-up cost summary, and indicative opening balance sheet assumptions, are provided in Appendix E</w:t>
      </w:r>
    </w:p>
    <w:p w14:paraId="2BF0AC93" w14:textId="77777777" w:rsidR="006339F7" w:rsidRPr="00390868" w:rsidRDefault="006339F7" w:rsidP="00905241">
      <w:pPr>
        <w:pStyle w:val="Heading3"/>
        <w:spacing w:line="360" w:lineRule="auto"/>
        <w:rPr>
          <w:rFonts w:ascii="Arial" w:hAnsi="Arial" w:cs="Arial"/>
        </w:rPr>
      </w:pPr>
      <w:bookmarkStart w:id="98" w:name="_Toc217830863"/>
      <w:bookmarkStart w:id="99" w:name="_Toc218629275"/>
      <w:r w:rsidRPr="00390868">
        <w:rPr>
          <w:rFonts w:ascii="Arial" w:hAnsi="Arial" w:cs="Arial"/>
        </w:rPr>
        <w:t>6.8.1 Capital Expenditure (CapEx) Breakdown</w:t>
      </w:r>
      <w:bookmarkEnd w:id="98"/>
      <w:bookmarkEnd w:id="99"/>
    </w:p>
    <w:p w14:paraId="4B1943EA" w14:textId="701FAD30" w:rsidR="006339F7" w:rsidRPr="00390868" w:rsidRDefault="006339F7" w:rsidP="005141C4">
      <w:pPr>
        <w:spacing w:line="360" w:lineRule="auto"/>
        <w:rPr>
          <w:rFonts w:ascii="Arial" w:hAnsi="Arial" w:cs="Arial"/>
        </w:rPr>
      </w:pPr>
      <w:r w:rsidRPr="00390868">
        <w:rPr>
          <w:rFonts w:ascii="Arial" w:hAnsi="Arial" w:cs="Arial"/>
        </w:rPr>
        <w:t xml:space="preserve">Capital expenditure represents the one-time investment required to establish a fully operational, compliant and scalable estate. This includes physical infrastructure, specialist equipment for each service unit, and the digital systems required to coordinate operations across the site. A detailed breakdown is </w:t>
      </w:r>
      <w:r w:rsidR="005141C4" w:rsidRPr="005141C4">
        <w:rPr>
          <w:rFonts w:ascii="Arial" w:hAnsi="Arial" w:cs="Arial"/>
        </w:rPr>
        <w:t xml:space="preserve">presented in </w:t>
      </w:r>
      <w:r w:rsidRPr="00390868">
        <w:rPr>
          <w:rFonts w:ascii="Arial" w:hAnsi="Arial" w:cs="Arial"/>
        </w:rPr>
        <w:t>Table 6.2.</w:t>
      </w:r>
    </w:p>
    <w:p w14:paraId="234F50E9" w14:textId="77777777" w:rsidR="006339F7" w:rsidRPr="00390868" w:rsidRDefault="006339F7" w:rsidP="00905241">
      <w:pPr>
        <w:spacing w:line="360" w:lineRule="auto"/>
        <w:rPr>
          <w:rFonts w:ascii="Arial" w:hAnsi="Arial" w:cs="Arial"/>
          <w:i/>
          <w:iCs/>
        </w:rPr>
      </w:pPr>
      <w:r w:rsidRPr="00390868">
        <w:rPr>
          <w:rFonts w:ascii="Arial" w:hAnsi="Arial" w:cs="Arial"/>
          <w:b/>
          <w:bCs/>
        </w:rPr>
        <w:t>Table 6.2: Indicative Capital Expenditure (CapEx) Budget</w:t>
      </w:r>
      <w:r w:rsidRPr="00390868">
        <w:rPr>
          <w:rFonts w:ascii="Arial" w:hAnsi="Arial" w:cs="Arial"/>
        </w:rPr>
        <w:br/>
      </w:r>
      <w:r w:rsidRPr="00390868">
        <w:rPr>
          <w:rFonts w:ascii="Arial" w:hAnsi="Arial" w:cs="Arial"/>
          <w:i/>
          <w:iCs/>
        </w:rPr>
        <w:t>(Source: Author’s financial modelling, based on UK motor-trade equipment benchmarks and repair-shop budgeting frameworks)</w:t>
      </w:r>
    </w:p>
    <w:tbl>
      <w:tblPr>
        <w:tblStyle w:val="PlainTable1"/>
        <w:tblW w:w="8500" w:type="dxa"/>
        <w:tblLook w:val="04A0" w:firstRow="1" w:lastRow="0" w:firstColumn="1" w:lastColumn="0" w:noHBand="0" w:noVBand="1"/>
      </w:tblPr>
      <w:tblGrid>
        <w:gridCol w:w="3098"/>
        <w:gridCol w:w="1688"/>
        <w:gridCol w:w="3714"/>
      </w:tblGrid>
      <w:tr w:rsidR="006339F7" w:rsidRPr="00390868" w14:paraId="0B707908" w14:textId="77777777" w:rsidTr="008D5D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FB983" w14:textId="77777777" w:rsidR="006339F7" w:rsidRPr="00390868" w:rsidRDefault="006339F7" w:rsidP="00905241">
            <w:pPr>
              <w:spacing w:after="160" w:line="360" w:lineRule="auto"/>
              <w:rPr>
                <w:rFonts w:ascii="Arial" w:hAnsi="Arial" w:cs="Arial"/>
              </w:rPr>
            </w:pPr>
            <w:r w:rsidRPr="00390868">
              <w:rPr>
                <w:rFonts w:ascii="Arial" w:hAnsi="Arial" w:cs="Arial"/>
              </w:rPr>
              <w:t>Category &amp; Item</w:t>
            </w:r>
          </w:p>
        </w:tc>
        <w:tc>
          <w:tcPr>
            <w:tcW w:w="0" w:type="auto"/>
            <w:hideMark/>
          </w:tcPr>
          <w:p w14:paraId="05DC9948" w14:textId="77777777" w:rsidR="006339F7" w:rsidRPr="00390868" w:rsidRDefault="006339F7"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Estimated Cost (£)</w:t>
            </w:r>
          </w:p>
        </w:tc>
        <w:tc>
          <w:tcPr>
            <w:tcW w:w="3714" w:type="dxa"/>
            <w:hideMark/>
          </w:tcPr>
          <w:p w14:paraId="7AF10597" w14:textId="77777777" w:rsidR="006339F7" w:rsidRPr="00390868" w:rsidRDefault="006339F7"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Basis / Key Notes</w:t>
            </w:r>
          </w:p>
        </w:tc>
      </w:tr>
      <w:tr w:rsidR="006339F7" w:rsidRPr="00390868" w14:paraId="4918A57C"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gridSpan w:val="3"/>
            <w:hideMark/>
          </w:tcPr>
          <w:p w14:paraId="74DFCF17" w14:textId="77777777" w:rsidR="006339F7" w:rsidRPr="00390868" w:rsidRDefault="006339F7" w:rsidP="00905241">
            <w:pPr>
              <w:spacing w:after="160" w:line="360" w:lineRule="auto"/>
              <w:rPr>
                <w:rFonts w:ascii="Arial" w:hAnsi="Arial" w:cs="Arial"/>
              </w:rPr>
            </w:pPr>
            <w:r w:rsidRPr="00390868">
              <w:rPr>
                <w:rFonts w:ascii="Arial" w:hAnsi="Arial" w:cs="Arial"/>
              </w:rPr>
              <w:t>A. CRITICAL LAUNCH INFRASTRUCTURE</w:t>
            </w:r>
          </w:p>
        </w:tc>
      </w:tr>
      <w:tr w:rsidR="006339F7" w:rsidRPr="00390868" w14:paraId="1967CA7C"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519150E6" w14:textId="77777777" w:rsidR="006339F7" w:rsidRPr="00390868" w:rsidRDefault="006339F7" w:rsidP="00905241">
            <w:pPr>
              <w:spacing w:after="160" w:line="360" w:lineRule="auto"/>
              <w:rPr>
                <w:rFonts w:ascii="Arial" w:hAnsi="Arial" w:cs="Arial"/>
              </w:rPr>
            </w:pPr>
            <w:r w:rsidRPr="00390868">
              <w:rPr>
                <w:rFonts w:ascii="Arial" w:hAnsi="Arial" w:cs="Arial"/>
              </w:rPr>
              <w:t>Estate Fit-Out &amp; Shared Infrastructure</w:t>
            </w:r>
          </w:p>
        </w:tc>
        <w:tc>
          <w:tcPr>
            <w:tcW w:w="0" w:type="auto"/>
            <w:hideMark/>
          </w:tcPr>
          <w:p w14:paraId="4ED97300"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180,000</w:t>
            </w:r>
          </w:p>
        </w:tc>
        <w:tc>
          <w:tcPr>
            <w:tcW w:w="3714" w:type="dxa"/>
            <w:hideMark/>
          </w:tcPr>
          <w:p w14:paraId="071DB2FA" w14:textId="438F3B99"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Based on quotes for 3</w:t>
            </w:r>
            <w:r w:rsidR="0077056A" w:rsidRPr="00390868">
              <w:rPr>
                <w:rFonts w:ascii="Arial" w:hAnsi="Arial" w:cs="Arial"/>
              </w:rPr>
              <w:t>00</w:t>
            </w:r>
            <w:r w:rsidRPr="00390868">
              <w:rPr>
                <w:rFonts w:ascii="Arial" w:hAnsi="Arial" w:cs="Arial"/>
              </w:rPr>
              <w:t>00 sq. ft. industrial unit; includes partitioning, drainage, electrical upgrades to 400V, core branding.</w:t>
            </w:r>
          </w:p>
        </w:tc>
      </w:tr>
      <w:tr w:rsidR="006339F7" w:rsidRPr="00390868" w14:paraId="0FB4FF69"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FAA39" w14:textId="77777777" w:rsidR="006339F7" w:rsidRPr="00390868" w:rsidRDefault="006339F7" w:rsidP="00905241">
            <w:pPr>
              <w:spacing w:after="160" w:line="360" w:lineRule="auto"/>
              <w:rPr>
                <w:rFonts w:ascii="Arial" w:hAnsi="Arial" w:cs="Arial"/>
              </w:rPr>
            </w:pPr>
            <w:r w:rsidRPr="00390868">
              <w:rPr>
                <w:rFonts w:ascii="Arial" w:hAnsi="Arial" w:cs="Arial"/>
              </w:rPr>
              <w:t>MOT Unit (DVSA Class 4 Lane)</w:t>
            </w:r>
          </w:p>
        </w:tc>
        <w:tc>
          <w:tcPr>
            <w:tcW w:w="0" w:type="auto"/>
            <w:hideMark/>
          </w:tcPr>
          <w:p w14:paraId="62C228DE" w14:textId="40BD9C6E" w:rsidR="006339F7" w:rsidRPr="00390868" w:rsidRDefault="0019094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w:t>
            </w:r>
            <w:r w:rsidR="006339F7" w:rsidRPr="00390868">
              <w:rPr>
                <w:rFonts w:ascii="Arial" w:hAnsi="Arial" w:cs="Arial"/>
              </w:rPr>
              <w:t>0,000</w:t>
            </w:r>
          </w:p>
        </w:tc>
        <w:tc>
          <w:tcPr>
            <w:tcW w:w="3714" w:type="dxa"/>
            <w:hideMark/>
          </w:tcPr>
          <w:p w14:paraId="4DA6B686"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Essential for launch revenue &amp; customer capture. Quote from [Supplier Name].</w:t>
            </w:r>
          </w:p>
        </w:tc>
      </w:tr>
      <w:tr w:rsidR="006339F7" w:rsidRPr="00390868" w14:paraId="0E59D0B5"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2DB7129F" w14:textId="77777777" w:rsidR="006339F7" w:rsidRPr="00390868" w:rsidRDefault="006339F7" w:rsidP="00905241">
            <w:pPr>
              <w:spacing w:after="160" w:line="360" w:lineRule="auto"/>
              <w:rPr>
                <w:rFonts w:ascii="Arial" w:hAnsi="Arial" w:cs="Arial"/>
              </w:rPr>
            </w:pPr>
            <w:r w:rsidRPr="00390868">
              <w:rPr>
                <w:rFonts w:ascii="Arial" w:hAnsi="Arial" w:cs="Arial"/>
              </w:rPr>
              <w:lastRenderedPageBreak/>
              <w:t>Mechanical &amp; Diagnostics Core Equipment</w:t>
            </w:r>
          </w:p>
        </w:tc>
        <w:tc>
          <w:tcPr>
            <w:tcW w:w="0" w:type="auto"/>
            <w:hideMark/>
          </w:tcPr>
          <w:p w14:paraId="63522F6F"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3714" w:type="dxa"/>
            <w:hideMark/>
          </w:tcPr>
          <w:p w14:paraId="62F28EB6"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2x two-post lifts, advanced diagnostic scanner covering 95% of UK/EU models.</w:t>
            </w:r>
          </w:p>
        </w:tc>
      </w:tr>
      <w:tr w:rsidR="006339F7" w:rsidRPr="00390868" w14:paraId="5F33C572"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87B82" w14:textId="77777777" w:rsidR="006339F7" w:rsidRPr="00390868" w:rsidRDefault="006339F7" w:rsidP="00905241">
            <w:pPr>
              <w:spacing w:after="160" w:line="360" w:lineRule="auto"/>
              <w:rPr>
                <w:rFonts w:ascii="Arial" w:hAnsi="Arial" w:cs="Arial"/>
              </w:rPr>
            </w:pPr>
            <w:r w:rsidRPr="00390868">
              <w:rPr>
                <w:rFonts w:ascii="Arial" w:hAnsi="Arial" w:cs="Arial"/>
              </w:rPr>
              <w:t>Tyre Fitting &amp; Alignment</w:t>
            </w:r>
          </w:p>
        </w:tc>
        <w:tc>
          <w:tcPr>
            <w:tcW w:w="0" w:type="auto"/>
            <w:hideMark/>
          </w:tcPr>
          <w:p w14:paraId="2896F635" w14:textId="6842F721" w:rsidR="006339F7" w:rsidRPr="00390868" w:rsidRDefault="0019094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w:t>
            </w:r>
            <w:r w:rsidR="006339F7" w:rsidRPr="00390868">
              <w:rPr>
                <w:rFonts w:ascii="Arial" w:hAnsi="Arial" w:cs="Arial"/>
              </w:rPr>
              <w:t>5,000</w:t>
            </w:r>
          </w:p>
        </w:tc>
        <w:tc>
          <w:tcPr>
            <w:tcW w:w="3714" w:type="dxa"/>
            <w:hideMark/>
          </w:tcPr>
          <w:p w14:paraId="427009C6"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3D laser alignment is a key trust signal and profit centre.</w:t>
            </w:r>
          </w:p>
        </w:tc>
      </w:tr>
      <w:tr w:rsidR="006339F7" w:rsidRPr="00390868" w14:paraId="0CB66156"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602AA26B" w14:textId="77777777" w:rsidR="006339F7" w:rsidRPr="00390868" w:rsidRDefault="006339F7" w:rsidP="00905241">
            <w:pPr>
              <w:spacing w:after="160" w:line="360" w:lineRule="auto"/>
              <w:rPr>
                <w:rFonts w:ascii="Arial" w:hAnsi="Arial" w:cs="Arial"/>
              </w:rPr>
            </w:pPr>
            <w:r w:rsidRPr="00390868">
              <w:rPr>
                <w:rFonts w:ascii="Arial" w:hAnsi="Arial" w:cs="Arial"/>
              </w:rPr>
              <w:t>Subtotal A</w:t>
            </w:r>
          </w:p>
        </w:tc>
        <w:tc>
          <w:tcPr>
            <w:tcW w:w="0" w:type="auto"/>
            <w:hideMark/>
          </w:tcPr>
          <w:p w14:paraId="5EA5D450" w14:textId="581D67DA" w:rsidR="006339F7" w:rsidRPr="00390868" w:rsidRDefault="00AA029B"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31</w:t>
            </w:r>
            <w:r w:rsidR="006339F7" w:rsidRPr="00390868">
              <w:rPr>
                <w:rFonts w:ascii="Arial" w:hAnsi="Arial" w:cs="Arial"/>
                <w:b/>
                <w:bCs/>
              </w:rPr>
              <w:t>5,000</w:t>
            </w:r>
          </w:p>
        </w:tc>
        <w:tc>
          <w:tcPr>
            <w:tcW w:w="3714" w:type="dxa"/>
            <w:hideMark/>
          </w:tcPr>
          <w:p w14:paraId="1ACEDB0E"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339F7" w:rsidRPr="00390868" w14:paraId="3E399A85"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gridSpan w:val="3"/>
            <w:hideMark/>
          </w:tcPr>
          <w:p w14:paraId="4BC0CB07" w14:textId="77777777" w:rsidR="006339F7" w:rsidRPr="00390868" w:rsidRDefault="006339F7" w:rsidP="00905241">
            <w:pPr>
              <w:spacing w:after="160" w:line="360" w:lineRule="auto"/>
              <w:rPr>
                <w:rFonts w:ascii="Arial" w:hAnsi="Arial" w:cs="Arial"/>
              </w:rPr>
            </w:pPr>
            <w:r w:rsidRPr="00390868">
              <w:rPr>
                <w:rFonts w:ascii="Arial" w:hAnsi="Arial" w:cs="Arial"/>
              </w:rPr>
              <w:t>B. PHASE 2 EXPANSION (Post-Month 10)</w:t>
            </w:r>
          </w:p>
        </w:tc>
      </w:tr>
      <w:tr w:rsidR="006339F7" w:rsidRPr="00390868" w14:paraId="6B14C533"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42E9A507" w14:textId="77777777" w:rsidR="006339F7" w:rsidRPr="00390868" w:rsidRDefault="006339F7" w:rsidP="00905241">
            <w:pPr>
              <w:spacing w:after="160" w:line="360" w:lineRule="auto"/>
              <w:rPr>
                <w:rFonts w:ascii="Arial" w:hAnsi="Arial" w:cs="Arial"/>
              </w:rPr>
            </w:pPr>
            <w:r w:rsidRPr="00390868">
              <w:rPr>
                <w:rFonts w:ascii="Arial" w:hAnsi="Arial" w:cs="Arial"/>
              </w:rPr>
              <w:t>Bodywork &amp; Respray Unit</w:t>
            </w:r>
          </w:p>
        </w:tc>
        <w:tc>
          <w:tcPr>
            <w:tcW w:w="0" w:type="auto"/>
            <w:hideMark/>
          </w:tcPr>
          <w:p w14:paraId="186CC6AD"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80,000</w:t>
            </w:r>
          </w:p>
        </w:tc>
        <w:tc>
          <w:tcPr>
            <w:tcW w:w="3714" w:type="dxa"/>
            <w:hideMark/>
          </w:tcPr>
          <w:p w14:paraId="200E991E"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High-margin revenue stream. Deployment contingent on achieving &gt;60% core utilisation.</w:t>
            </w:r>
          </w:p>
        </w:tc>
      </w:tr>
      <w:tr w:rsidR="006339F7" w:rsidRPr="00390868" w14:paraId="3290B844"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DE234D" w14:textId="77777777" w:rsidR="006339F7" w:rsidRPr="00390868" w:rsidRDefault="006339F7" w:rsidP="00905241">
            <w:pPr>
              <w:spacing w:after="160" w:line="360" w:lineRule="auto"/>
              <w:rPr>
                <w:rFonts w:ascii="Arial" w:hAnsi="Arial" w:cs="Arial"/>
              </w:rPr>
            </w:pPr>
            <w:r w:rsidRPr="00390868">
              <w:rPr>
                <w:rFonts w:ascii="Arial" w:hAnsi="Arial" w:cs="Arial"/>
              </w:rPr>
              <w:t>Hybrid &amp; EV Servicing Equipment</w:t>
            </w:r>
          </w:p>
        </w:tc>
        <w:tc>
          <w:tcPr>
            <w:tcW w:w="0" w:type="auto"/>
            <w:hideMark/>
          </w:tcPr>
          <w:p w14:paraId="62FCF87E"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w:t>
            </w:r>
          </w:p>
        </w:tc>
        <w:tc>
          <w:tcPr>
            <w:tcW w:w="3714" w:type="dxa"/>
            <w:hideMark/>
          </w:tcPr>
          <w:p w14:paraId="1DD5EA78"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Locked to hiring of IMI L3 technicians. Builds defensible advantage.</w:t>
            </w:r>
          </w:p>
        </w:tc>
      </w:tr>
      <w:tr w:rsidR="006339F7" w:rsidRPr="00390868" w14:paraId="7746BFAF"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74F9C4CB" w14:textId="77777777" w:rsidR="006339F7" w:rsidRPr="00390868" w:rsidRDefault="006339F7" w:rsidP="00905241">
            <w:pPr>
              <w:spacing w:after="160" w:line="360" w:lineRule="auto"/>
              <w:rPr>
                <w:rFonts w:ascii="Arial" w:hAnsi="Arial" w:cs="Arial"/>
              </w:rPr>
            </w:pPr>
            <w:r w:rsidRPr="00390868">
              <w:rPr>
                <w:rFonts w:ascii="Arial" w:hAnsi="Arial" w:cs="Arial"/>
              </w:rPr>
              <w:t>Car Wash &amp; Detailing System</w:t>
            </w:r>
          </w:p>
        </w:tc>
        <w:tc>
          <w:tcPr>
            <w:tcW w:w="0" w:type="auto"/>
            <w:hideMark/>
          </w:tcPr>
          <w:p w14:paraId="2CFF9383"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3714" w:type="dxa"/>
            <w:hideMark/>
          </w:tcPr>
          <w:p w14:paraId="63CAD47E"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Includes water-recycling system for compliance and cost control.</w:t>
            </w:r>
          </w:p>
        </w:tc>
      </w:tr>
      <w:tr w:rsidR="006339F7" w:rsidRPr="00390868" w14:paraId="67390A00"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49B93" w14:textId="77777777" w:rsidR="006339F7" w:rsidRPr="00390868" w:rsidRDefault="006339F7" w:rsidP="00905241">
            <w:pPr>
              <w:spacing w:after="160" w:line="360" w:lineRule="auto"/>
              <w:rPr>
                <w:rFonts w:ascii="Arial" w:hAnsi="Arial" w:cs="Arial"/>
              </w:rPr>
            </w:pPr>
            <w:r w:rsidRPr="00390868">
              <w:rPr>
                <w:rFonts w:ascii="Arial" w:hAnsi="Arial" w:cs="Arial"/>
              </w:rPr>
              <w:t>Tinting Unit</w:t>
            </w:r>
          </w:p>
        </w:tc>
        <w:tc>
          <w:tcPr>
            <w:tcW w:w="0" w:type="auto"/>
            <w:hideMark/>
          </w:tcPr>
          <w:p w14:paraId="2D41521C"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10,000</w:t>
            </w:r>
          </w:p>
        </w:tc>
        <w:tc>
          <w:tcPr>
            <w:tcW w:w="3714" w:type="dxa"/>
            <w:hideMark/>
          </w:tcPr>
          <w:p w14:paraId="3DF7D1D1"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Low-cost, high-margin niche to complete service ecosystem.</w:t>
            </w:r>
          </w:p>
        </w:tc>
      </w:tr>
      <w:tr w:rsidR="006339F7" w:rsidRPr="00390868" w14:paraId="1FA2A719"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1241A25B" w14:textId="77777777" w:rsidR="006339F7" w:rsidRPr="00390868" w:rsidRDefault="006339F7" w:rsidP="00905241">
            <w:pPr>
              <w:spacing w:after="160" w:line="360" w:lineRule="auto"/>
              <w:rPr>
                <w:rFonts w:ascii="Arial" w:hAnsi="Arial" w:cs="Arial"/>
              </w:rPr>
            </w:pPr>
            <w:r w:rsidRPr="00390868">
              <w:rPr>
                <w:rFonts w:ascii="Arial" w:hAnsi="Arial" w:cs="Arial"/>
              </w:rPr>
              <w:t>Subtotal B</w:t>
            </w:r>
          </w:p>
        </w:tc>
        <w:tc>
          <w:tcPr>
            <w:tcW w:w="0" w:type="auto"/>
            <w:hideMark/>
          </w:tcPr>
          <w:p w14:paraId="7AFE364D"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145,000</w:t>
            </w:r>
          </w:p>
        </w:tc>
        <w:tc>
          <w:tcPr>
            <w:tcW w:w="3714" w:type="dxa"/>
            <w:hideMark/>
          </w:tcPr>
          <w:p w14:paraId="05761F7D"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339F7" w:rsidRPr="00390868" w14:paraId="69A83ED9"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gridSpan w:val="3"/>
            <w:hideMark/>
          </w:tcPr>
          <w:p w14:paraId="3DF135C3" w14:textId="77777777" w:rsidR="006339F7" w:rsidRPr="00390868" w:rsidRDefault="006339F7" w:rsidP="00905241">
            <w:pPr>
              <w:spacing w:after="160" w:line="360" w:lineRule="auto"/>
              <w:rPr>
                <w:rFonts w:ascii="Arial" w:hAnsi="Arial" w:cs="Arial"/>
              </w:rPr>
            </w:pPr>
            <w:r w:rsidRPr="00390868">
              <w:rPr>
                <w:rFonts w:ascii="Arial" w:hAnsi="Arial" w:cs="Arial"/>
              </w:rPr>
              <w:t>C. DIGITAL &amp; IT (Estate-Wide)</w:t>
            </w:r>
          </w:p>
        </w:tc>
      </w:tr>
      <w:tr w:rsidR="006339F7" w:rsidRPr="00390868" w14:paraId="0684A10C"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767FEFD5" w14:textId="77777777" w:rsidR="006339F7" w:rsidRPr="00390868" w:rsidRDefault="006339F7" w:rsidP="00905241">
            <w:pPr>
              <w:spacing w:after="160" w:line="360" w:lineRule="auto"/>
              <w:rPr>
                <w:rFonts w:ascii="Arial" w:hAnsi="Arial" w:cs="Arial"/>
              </w:rPr>
            </w:pPr>
            <w:r w:rsidRPr="00390868">
              <w:rPr>
                <w:rFonts w:ascii="Arial" w:hAnsi="Arial" w:cs="Arial"/>
              </w:rPr>
              <w:t>Workshop Management System &amp; IT</w:t>
            </w:r>
          </w:p>
        </w:tc>
        <w:tc>
          <w:tcPr>
            <w:tcW w:w="0" w:type="auto"/>
            <w:hideMark/>
          </w:tcPr>
          <w:p w14:paraId="2520B8E3"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3714" w:type="dxa"/>
            <w:hideMark/>
          </w:tcPr>
          <w:p w14:paraId="7361B5B4"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Cloud-based system (e.g., Garage Hive) essential for integrated workflow control.</w:t>
            </w:r>
          </w:p>
        </w:tc>
      </w:tr>
      <w:tr w:rsidR="006339F7" w:rsidRPr="00390868" w14:paraId="6B1D8C5E" w14:textId="77777777" w:rsidTr="008D5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22F724" w14:textId="77777777" w:rsidR="006339F7" w:rsidRPr="00390868" w:rsidRDefault="006339F7" w:rsidP="00905241">
            <w:pPr>
              <w:spacing w:after="160" w:line="360" w:lineRule="auto"/>
              <w:rPr>
                <w:rFonts w:ascii="Arial" w:hAnsi="Arial" w:cs="Arial"/>
              </w:rPr>
            </w:pPr>
            <w:r w:rsidRPr="00390868">
              <w:rPr>
                <w:rFonts w:ascii="Arial" w:hAnsi="Arial" w:cs="Arial"/>
              </w:rPr>
              <w:t>Subtotal C</w:t>
            </w:r>
          </w:p>
        </w:tc>
        <w:tc>
          <w:tcPr>
            <w:tcW w:w="0" w:type="auto"/>
            <w:hideMark/>
          </w:tcPr>
          <w:p w14:paraId="3D6FF93E"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30,000</w:t>
            </w:r>
          </w:p>
        </w:tc>
        <w:tc>
          <w:tcPr>
            <w:tcW w:w="3714" w:type="dxa"/>
            <w:hideMark/>
          </w:tcPr>
          <w:p w14:paraId="0BB99F36"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339F7" w:rsidRPr="00390868" w14:paraId="5C7408B2" w14:textId="77777777" w:rsidTr="008D5D09">
        <w:tc>
          <w:tcPr>
            <w:cnfStyle w:val="001000000000" w:firstRow="0" w:lastRow="0" w:firstColumn="1" w:lastColumn="0" w:oddVBand="0" w:evenVBand="0" w:oddHBand="0" w:evenHBand="0" w:firstRowFirstColumn="0" w:firstRowLastColumn="0" w:lastRowFirstColumn="0" w:lastRowLastColumn="0"/>
            <w:tcW w:w="0" w:type="auto"/>
            <w:hideMark/>
          </w:tcPr>
          <w:p w14:paraId="679EE35D" w14:textId="77777777" w:rsidR="006339F7" w:rsidRPr="00390868" w:rsidRDefault="006339F7" w:rsidP="00905241">
            <w:pPr>
              <w:spacing w:after="160" w:line="360" w:lineRule="auto"/>
              <w:rPr>
                <w:rFonts w:ascii="Arial" w:hAnsi="Arial" w:cs="Arial"/>
              </w:rPr>
            </w:pPr>
            <w:r w:rsidRPr="00390868">
              <w:rPr>
                <w:rFonts w:ascii="Arial" w:hAnsi="Arial" w:cs="Arial"/>
              </w:rPr>
              <w:t>TOTAL INDICATIVE CAPEX</w:t>
            </w:r>
          </w:p>
        </w:tc>
        <w:tc>
          <w:tcPr>
            <w:tcW w:w="0" w:type="auto"/>
            <w:hideMark/>
          </w:tcPr>
          <w:p w14:paraId="5585524E" w14:textId="7C16FCAD"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£4</w:t>
            </w:r>
            <w:r w:rsidR="00AA029B" w:rsidRPr="00390868">
              <w:rPr>
                <w:rFonts w:ascii="Arial" w:hAnsi="Arial" w:cs="Arial"/>
                <w:b/>
                <w:bCs/>
              </w:rPr>
              <w:t>9</w:t>
            </w:r>
            <w:r w:rsidRPr="00390868">
              <w:rPr>
                <w:rFonts w:ascii="Arial" w:hAnsi="Arial" w:cs="Arial"/>
                <w:b/>
                <w:bCs/>
              </w:rPr>
              <w:t>0,000</w:t>
            </w:r>
          </w:p>
        </w:tc>
        <w:tc>
          <w:tcPr>
            <w:tcW w:w="3714" w:type="dxa"/>
            <w:hideMark/>
          </w:tcPr>
          <w:p w14:paraId="76B36D46"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6A7E6EA7" w14:textId="77777777" w:rsidR="006339F7" w:rsidRPr="00390868" w:rsidRDefault="006339F7" w:rsidP="00905241">
      <w:pPr>
        <w:spacing w:line="360" w:lineRule="auto"/>
        <w:rPr>
          <w:rFonts w:ascii="Arial" w:hAnsi="Arial" w:cs="Arial"/>
        </w:rPr>
      </w:pPr>
    </w:p>
    <w:p w14:paraId="0F67DC48" w14:textId="77777777" w:rsidR="006339F7" w:rsidRPr="00390868" w:rsidRDefault="006339F7" w:rsidP="00905241">
      <w:pPr>
        <w:spacing w:line="360" w:lineRule="auto"/>
        <w:rPr>
          <w:rFonts w:ascii="Arial" w:hAnsi="Arial" w:cs="Arial"/>
        </w:rPr>
      </w:pPr>
      <w:r w:rsidRPr="00390868">
        <w:rPr>
          <w:rFonts w:ascii="Arial" w:hAnsi="Arial" w:cs="Arial"/>
        </w:rPr>
        <w:t>This level of capital investment reflects a mid-range, professionally specified automotive estate designed to meet regulatory standards and customer expectations from day one, avoiding the inefficiencies and reputational risks associated with under-capitalisation.</w:t>
      </w:r>
    </w:p>
    <w:p w14:paraId="1E7A60F1" w14:textId="77777777" w:rsidR="006339F7" w:rsidRPr="00390868" w:rsidRDefault="006339F7" w:rsidP="00905241">
      <w:pPr>
        <w:pStyle w:val="Heading3"/>
        <w:spacing w:line="360" w:lineRule="auto"/>
        <w:rPr>
          <w:rFonts w:ascii="Arial" w:hAnsi="Arial" w:cs="Arial"/>
        </w:rPr>
      </w:pPr>
      <w:bookmarkStart w:id="100" w:name="_Toc217830864"/>
      <w:bookmarkStart w:id="101" w:name="_Toc218629276"/>
      <w:r w:rsidRPr="00390868">
        <w:rPr>
          <w:rFonts w:ascii="Arial" w:hAnsi="Arial" w:cs="Arial"/>
        </w:rPr>
        <w:lastRenderedPageBreak/>
        <w:t>6.8.2 Operational Expenditure (OpEx) Profile</w:t>
      </w:r>
      <w:bookmarkEnd w:id="100"/>
      <w:bookmarkEnd w:id="101"/>
    </w:p>
    <w:p w14:paraId="57E5CC86" w14:textId="77777777" w:rsidR="006339F7" w:rsidRPr="00390868" w:rsidRDefault="006339F7" w:rsidP="00905241">
      <w:pPr>
        <w:spacing w:line="360" w:lineRule="auto"/>
        <w:rPr>
          <w:rFonts w:ascii="Arial" w:hAnsi="Arial" w:cs="Arial"/>
        </w:rPr>
      </w:pPr>
      <w:r w:rsidRPr="00390868">
        <w:rPr>
          <w:rFonts w:ascii="Arial" w:hAnsi="Arial" w:cs="Arial"/>
        </w:rPr>
        <w:t>Operational expenditure represents the recurring monthly costs required to operate the estate at steady state once full service deployment is achieved. These costs are aligned with the phased ramp-up described in Sections 6.4 and 8, ensuring that fixed costs scale in line with verified utilisation rather than speculative demand.</w:t>
      </w:r>
    </w:p>
    <w:p w14:paraId="25E41BC1" w14:textId="77777777" w:rsidR="006339F7" w:rsidRPr="00390868" w:rsidRDefault="006339F7" w:rsidP="00905241">
      <w:pPr>
        <w:spacing w:line="360" w:lineRule="auto"/>
        <w:rPr>
          <w:rFonts w:ascii="Arial" w:hAnsi="Arial" w:cs="Arial"/>
        </w:rPr>
      </w:pPr>
      <w:r w:rsidRPr="00390868">
        <w:rPr>
          <w:rFonts w:ascii="Arial" w:hAnsi="Arial" w:cs="Arial"/>
          <w:b/>
          <w:bCs/>
        </w:rPr>
        <w:t>Table 6.3: Indicative Steady-State Monthly Operational Expenditure</w:t>
      </w:r>
      <w:r w:rsidRPr="00390868">
        <w:rPr>
          <w:rFonts w:ascii="Arial" w:hAnsi="Arial" w:cs="Arial"/>
        </w:rPr>
        <w:br/>
      </w:r>
      <w:r w:rsidRPr="00390868">
        <w:rPr>
          <w:rFonts w:ascii="Arial" w:hAnsi="Arial" w:cs="Arial"/>
          <w:i/>
          <w:iCs/>
        </w:rPr>
        <w:t>(Source: Author’s projections, benchmarked against UK industry averages)</w:t>
      </w:r>
    </w:p>
    <w:tbl>
      <w:tblPr>
        <w:tblStyle w:val="PlainTable1"/>
        <w:tblW w:w="8784" w:type="dxa"/>
        <w:tblLook w:val="04A0" w:firstRow="1" w:lastRow="0" w:firstColumn="1" w:lastColumn="0" w:noHBand="0" w:noVBand="1"/>
      </w:tblPr>
      <w:tblGrid>
        <w:gridCol w:w="3016"/>
        <w:gridCol w:w="2011"/>
        <w:gridCol w:w="3757"/>
      </w:tblGrid>
      <w:tr w:rsidR="006339F7" w:rsidRPr="00390868" w14:paraId="4F5DE74C"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09843E" w14:textId="77777777" w:rsidR="006339F7" w:rsidRPr="00390868" w:rsidRDefault="006339F7" w:rsidP="00905241">
            <w:pPr>
              <w:spacing w:after="160" w:line="360" w:lineRule="auto"/>
              <w:rPr>
                <w:rFonts w:ascii="Arial" w:hAnsi="Arial" w:cs="Arial"/>
              </w:rPr>
            </w:pPr>
            <w:r w:rsidRPr="00390868">
              <w:rPr>
                <w:rFonts w:ascii="Arial" w:hAnsi="Arial" w:cs="Arial"/>
              </w:rPr>
              <w:t>Monthly OpEx Category</w:t>
            </w:r>
          </w:p>
        </w:tc>
        <w:tc>
          <w:tcPr>
            <w:tcW w:w="0" w:type="auto"/>
            <w:hideMark/>
          </w:tcPr>
          <w:p w14:paraId="77232326" w14:textId="77777777" w:rsidR="006339F7" w:rsidRPr="00390868" w:rsidRDefault="006339F7"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Estimated Cost (£/month)</w:t>
            </w:r>
          </w:p>
        </w:tc>
        <w:tc>
          <w:tcPr>
            <w:tcW w:w="3757" w:type="dxa"/>
            <w:hideMark/>
          </w:tcPr>
          <w:p w14:paraId="1A0866D6" w14:textId="77777777" w:rsidR="006339F7" w:rsidRPr="00390868" w:rsidRDefault="006339F7"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Basis / Benchmark</w:t>
            </w:r>
          </w:p>
        </w:tc>
      </w:tr>
      <w:tr w:rsidR="006339F7" w:rsidRPr="00390868" w14:paraId="5F4ABE4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7F3A5B" w14:textId="1350DA24" w:rsidR="006339F7" w:rsidRPr="00390868" w:rsidRDefault="006339F7" w:rsidP="00905241">
            <w:pPr>
              <w:spacing w:after="160" w:line="360" w:lineRule="auto"/>
              <w:rPr>
                <w:rFonts w:ascii="Arial" w:hAnsi="Arial" w:cs="Arial"/>
              </w:rPr>
            </w:pPr>
            <w:r w:rsidRPr="00390868">
              <w:rPr>
                <w:rFonts w:ascii="Arial" w:hAnsi="Arial" w:cs="Arial"/>
              </w:rPr>
              <w:t xml:space="preserve">Staffing (c. </w:t>
            </w:r>
            <w:r w:rsidR="0074567B" w:rsidRPr="00390868">
              <w:rPr>
                <w:rFonts w:ascii="Arial" w:hAnsi="Arial" w:cs="Arial"/>
              </w:rPr>
              <w:t>32</w:t>
            </w:r>
            <w:r w:rsidRPr="00390868">
              <w:rPr>
                <w:rFonts w:ascii="Arial" w:hAnsi="Arial" w:cs="Arial"/>
              </w:rPr>
              <w:t xml:space="preserve"> FTE at Steady State)</w:t>
            </w:r>
          </w:p>
        </w:tc>
        <w:tc>
          <w:tcPr>
            <w:tcW w:w="0" w:type="auto"/>
            <w:hideMark/>
          </w:tcPr>
          <w:p w14:paraId="0BEE968B" w14:textId="10B5A943" w:rsidR="006339F7" w:rsidRPr="00390868" w:rsidRDefault="001E395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w:t>
            </w:r>
            <w:r w:rsidR="00B13717" w:rsidRPr="00390868">
              <w:rPr>
                <w:rFonts w:ascii="Arial" w:hAnsi="Arial" w:cs="Arial"/>
              </w:rPr>
              <w:t>5</w:t>
            </w:r>
            <w:r w:rsidR="006339F7" w:rsidRPr="00390868">
              <w:rPr>
                <w:rFonts w:ascii="Arial" w:hAnsi="Arial" w:cs="Arial"/>
              </w:rPr>
              <w:t>,000</w:t>
            </w:r>
          </w:p>
        </w:tc>
        <w:tc>
          <w:tcPr>
            <w:tcW w:w="3757" w:type="dxa"/>
            <w:hideMark/>
          </w:tcPr>
          <w:p w14:paraId="5B121209" w14:textId="1E6ABC06"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Includes </w:t>
            </w:r>
            <w:r w:rsidR="000751CA" w:rsidRPr="00390868">
              <w:rPr>
                <w:rFonts w:ascii="Arial" w:hAnsi="Arial" w:cs="Arial"/>
              </w:rPr>
              <w:t>wages, NI, pensions, and a 15% EV skills premium. Base salary benchmark: £30k-£35k p.a. per FTE</w:t>
            </w:r>
          </w:p>
        </w:tc>
      </w:tr>
      <w:tr w:rsidR="006339F7" w:rsidRPr="00390868" w14:paraId="39FC6C76"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5173AAC6" w14:textId="77777777" w:rsidR="006339F7" w:rsidRPr="00390868" w:rsidRDefault="006339F7" w:rsidP="00905241">
            <w:pPr>
              <w:spacing w:after="160" w:line="360" w:lineRule="auto"/>
              <w:rPr>
                <w:rFonts w:ascii="Arial" w:hAnsi="Arial" w:cs="Arial"/>
              </w:rPr>
            </w:pPr>
            <w:r w:rsidRPr="00390868">
              <w:rPr>
                <w:rFonts w:ascii="Arial" w:hAnsi="Arial" w:cs="Arial"/>
              </w:rPr>
              <w:t>Rent &amp; Business Rates</w:t>
            </w:r>
          </w:p>
        </w:tc>
        <w:tc>
          <w:tcPr>
            <w:tcW w:w="0" w:type="auto"/>
            <w:hideMark/>
          </w:tcPr>
          <w:p w14:paraId="5D6B521B" w14:textId="073FE20D"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w:t>
            </w:r>
            <w:r w:rsidR="006465E9" w:rsidRPr="00390868">
              <w:rPr>
                <w:rFonts w:ascii="Arial" w:hAnsi="Arial" w:cs="Arial"/>
              </w:rPr>
              <w:t>5</w:t>
            </w:r>
            <w:r w:rsidRPr="00390868">
              <w:rPr>
                <w:rFonts w:ascii="Arial" w:hAnsi="Arial" w:cs="Arial"/>
              </w:rPr>
              <w:t>,000</w:t>
            </w:r>
          </w:p>
        </w:tc>
        <w:tc>
          <w:tcPr>
            <w:tcW w:w="3757" w:type="dxa"/>
            <w:hideMark/>
          </w:tcPr>
          <w:p w14:paraId="7939D063" w14:textId="7A5D318D"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For a 3</w:t>
            </w:r>
            <w:r w:rsidR="00996E07" w:rsidRPr="00390868">
              <w:rPr>
                <w:rFonts w:ascii="Arial" w:hAnsi="Arial" w:cs="Arial"/>
              </w:rPr>
              <w:t>00</w:t>
            </w:r>
            <w:r w:rsidRPr="00390868">
              <w:rPr>
                <w:rFonts w:ascii="Arial" w:hAnsi="Arial" w:cs="Arial"/>
              </w:rPr>
              <w:t>00-4</w:t>
            </w:r>
            <w:r w:rsidR="00996E07" w:rsidRPr="00390868">
              <w:rPr>
                <w:rFonts w:ascii="Arial" w:hAnsi="Arial" w:cs="Arial"/>
              </w:rPr>
              <w:t>0</w:t>
            </w:r>
            <w:r w:rsidRPr="00390868">
              <w:rPr>
                <w:rFonts w:ascii="Arial" w:hAnsi="Arial" w:cs="Arial"/>
              </w:rPr>
              <w:t>000 sq. ft. industrial unit in Sandwell (~£12-£15/sq. ft. per annum).</w:t>
            </w:r>
          </w:p>
        </w:tc>
      </w:tr>
      <w:tr w:rsidR="006339F7" w:rsidRPr="00390868" w14:paraId="17720014"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D9C682" w14:textId="77777777" w:rsidR="006339F7" w:rsidRPr="00390868" w:rsidRDefault="006339F7" w:rsidP="00905241">
            <w:pPr>
              <w:spacing w:after="160" w:line="360" w:lineRule="auto"/>
              <w:rPr>
                <w:rFonts w:ascii="Arial" w:hAnsi="Arial" w:cs="Arial"/>
              </w:rPr>
            </w:pPr>
            <w:r w:rsidRPr="00390868">
              <w:rPr>
                <w:rFonts w:ascii="Arial" w:hAnsi="Arial" w:cs="Arial"/>
              </w:rPr>
              <w:t>Utilities (Electricity Intensive)</w:t>
            </w:r>
          </w:p>
        </w:tc>
        <w:tc>
          <w:tcPr>
            <w:tcW w:w="0" w:type="auto"/>
            <w:hideMark/>
          </w:tcPr>
          <w:p w14:paraId="74A12252"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3757" w:type="dxa"/>
            <w:hideMark/>
          </w:tcPr>
          <w:p w14:paraId="64AE8D5C"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High baseline for lifts, compressors, spray booth, EV charging. Includes cost for 3-phase power.</w:t>
            </w:r>
          </w:p>
        </w:tc>
      </w:tr>
      <w:tr w:rsidR="006339F7" w:rsidRPr="00390868" w14:paraId="661A38C6"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B79CA33" w14:textId="77777777" w:rsidR="006339F7" w:rsidRPr="00390868" w:rsidRDefault="006339F7" w:rsidP="00905241">
            <w:pPr>
              <w:spacing w:after="160" w:line="360" w:lineRule="auto"/>
              <w:rPr>
                <w:rFonts w:ascii="Arial" w:hAnsi="Arial" w:cs="Arial"/>
              </w:rPr>
            </w:pPr>
            <w:r w:rsidRPr="00390868">
              <w:rPr>
                <w:rFonts w:ascii="Arial" w:hAnsi="Arial" w:cs="Arial"/>
              </w:rPr>
              <w:t>Insurance (Motor Trade Combined)</w:t>
            </w:r>
          </w:p>
        </w:tc>
        <w:tc>
          <w:tcPr>
            <w:tcW w:w="0" w:type="auto"/>
            <w:hideMark/>
          </w:tcPr>
          <w:p w14:paraId="5A4EAC37"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3757" w:type="dxa"/>
            <w:hideMark/>
          </w:tcPr>
          <w:p w14:paraId="1731A1D5"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Quote from specialist broker for multi-service estate with EV work.</w:t>
            </w:r>
          </w:p>
        </w:tc>
      </w:tr>
      <w:tr w:rsidR="006339F7" w:rsidRPr="00390868" w14:paraId="6C3EE5EC"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10050" w14:textId="77777777" w:rsidR="006339F7" w:rsidRPr="00390868" w:rsidRDefault="006339F7" w:rsidP="00905241">
            <w:pPr>
              <w:spacing w:after="160" w:line="360" w:lineRule="auto"/>
              <w:rPr>
                <w:rFonts w:ascii="Arial" w:hAnsi="Arial" w:cs="Arial"/>
              </w:rPr>
            </w:pPr>
            <w:r w:rsidRPr="00390868">
              <w:rPr>
                <w:rFonts w:ascii="Arial" w:hAnsi="Arial" w:cs="Arial"/>
              </w:rPr>
              <w:t>Software Subscriptions (CRM, GMS)</w:t>
            </w:r>
          </w:p>
        </w:tc>
        <w:tc>
          <w:tcPr>
            <w:tcW w:w="0" w:type="auto"/>
            <w:hideMark/>
          </w:tcPr>
          <w:p w14:paraId="1C75C49F" w14:textId="0ADD2445" w:rsidR="006339F7" w:rsidRPr="00390868" w:rsidRDefault="00B1371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1000</w:t>
            </w:r>
          </w:p>
        </w:tc>
        <w:tc>
          <w:tcPr>
            <w:tcW w:w="3757" w:type="dxa"/>
            <w:hideMark/>
          </w:tcPr>
          <w:p w14:paraId="6D04CD25"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Based on subscription models for core platforms.</w:t>
            </w:r>
          </w:p>
        </w:tc>
      </w:tr>
      <w:tr w:rsidR="006339F7" w:rsidRPr="00390868" w14:paraId="0DBF4937"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40774B6" w14:textId="77777777" w:rsidR="006339F7" w:rsidRPr="00390868" w:rsidRDefault="006339F7" w:rsidP="00905241">
            <w:pPr>
              <w:spacing w:after="160" w:line="360" w:lineRule="auto"/>
              <w:rPr>
                <w:rFonts w:ascii="Arial" w:hAnsi="Arial" w:cs="Arial"/>
              </w:rPr>
            </w:pPr>
            <w:r w:rsidRPr="00390868">
              <w:rPr>
                <w:rFonts w:ascii="Arial" w:hAnsi="Arial" w:cs="Arial"/>
              </w:rPr>
              <w:t>Marketing &amp; Local Advertising</w:t>
            </w:r>
          </w:p>
        </w:tc>
        <w:tc>
          <w:tcPr>
            <w:tcW w:w="0" w:type="auto"/>
            <w:hideMark/>
          </w:tcPr>
          <w:p w14:paraId="6D154C32" w14:textId="2E364209" w:rsidR="006339F7" w:rsidRPr="00390868" w:rsidRDefault="00B1371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r w:rsidR="006339F7" w:rsidRPr="00390868">
              <w:rPr>
                <w:rFonts w:ascii="Arial" w:hAnsi="Arial" w:cs="Arial"/>
              </w:rPr>
              <w:t>,000</w:t>
            </w:r>
          </w:p>
        </w:tc>
        <w:tc>
          <w:tcPr>
            <w:tcW w:w="3757" w:type="dxa"/>
            <w:hideMark/>
          </w:tcPr>
          <w:p w14:paraId="65191173"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Aligns with 5% of projected revenue, focused on digital/local channels (Sec 5).</w:t>
            </w:r>
          </w:p>
        </w:tc>
      </w:tr>
      <w:tr w:rsidR="006339F7" w:rsidRPr="00390868" w14:paraId="07542C09"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86DB0" w14:textId="77777777" w:rsidR="006339F7" w:rsidRPr="00390868" w:rsidRDefault="006339F7" w:rsidP="00905241">
            <w:pPr>
              <w:spacing w:after="160" w:line="360" w:lineRule="auto"/>
              <w:rPr>
                <w:rFonts w:ascii="Arial" w:hAnsi="Arial" w:cs="Arial"/>
              </w:rPr>
            </w:pPr>
            <w:r w:rsidRPr="00390868">
              <w:rPr>
                <w:rFonts w:ascii="Arial" w:hAnsi="Arial" w:cs="Arial"/>
              </w:rPr>
              <w:t>Waste/Compliance Services</w:t>
            </w:r>
          </w:p>
        </w:tc>
        <w:tc>
          <w:tcPr>
            <w:tcW w:w="0" w:type="auto"/>
            <w:hideMark/>
          </w:tcPr>
          <w:p w14:paraId="0744E750"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1,500</w:t>
            </w:r>
          </w:p>
        </w:tc>
        <w:tc>
          <w:tcPr>
            <w:tcW w:w="3757" w:type="dxa"/>
            <w:hideMark/>
          </w:tcPr>
          <w:p w14:paraId="796A8A9A"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Contracted monthly service for oil, tyre, hazardous waste collection.</w:t>
            </w:r>
          </w:p>
        </w:tc>
      </w:tr>
      <w:tr w:rsidR="006339F7" w:rsidRPr="00390868" w14:paraId="66CC3AE8"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32A12F0" w14:textId="77777777" w:rsidR="006339F7" w:rsidRPr="00390868" w:rsidRDefault="006339F7" w:rsidP="00905241">
            <w:pPr>
              <w:spacing w:after="160" w:line="360" w:lineRule="auto"/>
              <w:rPr>
                <w:rFonts w:ascii="Arial" w:hAnsi="Arial" w:cs="Arial"/>
              </w:rPr>
            </w:pPr>
            <w:r w:rsidRPr="00390868">
              <w:rPr>
                <w:rFonts w:ascii="Arial" w:hAnsi="Arial" w:cs="Arial"/>
              </w:rPr>
              <w:t>Other Overheads &amp; Contingency</w:t>
            </w:r>
          </w:p>
        </w:tc>
        <w:tc>
          <w:tcPr>
            <w:tcW w:w="0" w:type="auto"/>
            <w:hideMark/>
          </w:tcPr>
          <w:p w14:paraId="40254778" w14:textId="58284A0B" w:rsidR="006339F7" w:rsidRPr="00390868" w:rsidRDefault="00B1371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4000</w:t>
            </w:r>
          </w:p>
        </w:tc>
        <w:tc>
          <w:tcPr>
            <w:tcW w:w="3757" w:type="dxa"/>
            <w:hideMark/>
          </w:tcPr>
          <w:p w14:paraId="7133AEF7" w14:textId="77777777" w:rsidR="006339F7" w:rsidRPr="00390868" w:rsidRDefault="006339F7"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Consumables, stationery, bank fees, and a 3% contingency buffer.</w:t>
            </w:r>
          </w:p>
        </w:tc>
      </w:tr>
      <w:tr w:rsidR="006339F7" w:rsidRPr="00390868" w14:paraId="2BE9B39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CB5D1" w14:textId="77777777" w:rsidR="006339F7" w:rsidRPr="00390868" w:rsidRDefault="006339F7" w:rsidP="00905241">
            <w:pPr>
              <w:spacing w:after="160" w:line="360" w:lineRule="auto"/>
              <w:rPr>
                <w:rFonts w:ascii="Arial" w:hAnsi="Arial" w:cs="Arial"/>
              </w:rPr>
            </w:pPr>
            <w:r w:rsidRPr="00390868">
              <w:rPr>
                <w:rFonts w:ascii="Arial" w:hAnsi="Arial" w:cs="Arial"/>
              </w:rPr>
              <w:lastRenderedPageBreak/>
              <w:t>TOTAL INDICATIVE MONTHLY OPEX</w:t>
            </w:r>
          </w:p>
        </w:tc>
        <w:tc>
          <w:tcPr>
            <w:tcW w:w="0" w:type="auto"/>
            <w:hideMark/>
          </w:tcPr>
          <w:p w14:paraId="50D7DD1B" w14:textId="276856A0"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w:t>
            </w:r>
            <w:r w:rsidR="000751CA" w:rsidRPr="00390868">
              <w:rPr>
                <w:rFonts w:ascii="Arial" w:hAnsi="Arial" w:cs="Arial"/>
                <w:b/>
                <w:bCs/>
              </w:rPr>
              <w:t>1</w:t>
            </w:r>
            <w:r w:rsidR="00B13717" w:rsidRPr="00390868">
              <w:rPr>
                <w:rFonts w:ascii="Arial" w:hAnsi="Arial" w:cs="Arial"/>
                <w:b/>
                <w:bCs/>
              </w:rPr>
              <w:t>17</w:t>
            </w:r>
            <w:r w:rsidRPr="00390868">
              <w:rPr>
                <w:rFonts w:ascii="Arial" w:hAnsi="Arial" w:cs="Arial"/>
                <w:b/>
                <w:bCs/>
              </w:rPr>
              <w:t>,000</w:t>
            </w:r>
          </w:p>
        </w:tc>
        <w:tc>
          <w:tcPr>
            <w:tcW w:w="3757" w:type="dxa"/>
            <w:hideMark/>
          </w:tcPr>
          <w:p w14:paraId="044A27E8" w14:textId="77777777" w:rsidR="006339F7" w:rsidRPr="00390868" w:rsidRDefault="006339F7"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Represents the fixed-cost base to operate at ~65% utilisation.</w:t>
            </w:r>
          </w:p>
        </w:tc>
      </w:tr>
    </w:tbl>
    <w:p w14:paraId="3F9C810D" w14:textId="77777777" w:rsidR="006339F7" w:rsidRPr="00390868" w:rsidRDefault="006339F7" w:rsidP="00905241">
      <w:pPr>
        <w:spacing w:line="360" w:lineRule="auto"/>
        <w:rPr>
          <w:rFonts w:ascii="Arial" w:hAnsi="Arial" w:cs="Arial"/>
        </w:rPr>
      </w:pPr>
    </w:p>
    <w:p w14:paraId="720FA297" w14:textId="77777777" w:rsidR="006339F7" w:rsidRPr="00390868" w:rsidRDefault="006339F7" w:rsidP="00905241">
      <w:pPr>
        <w:spacing w:line="360" w:lineRule="auto"/>
        <w:rPr>
          <w:rFonts w:ascii="Arial" w:hAnsi="Arial" w:cs="Arial"/>
        </w:rPr>
      </w:pPr>
      <w:r w:rsidRPr="00390868">
        <w:rPr>
          <w:rFonts w:ascii="Arial" w:hAnsi="Arial" w:cs="Arial"/>
        </w:rPr>
        <w:t>The OpEx profile reflects the labour- and asset-intensive nature of integrated automotive operations, with a high proportion of fixed and semi-fixed costs. This reinforces the importance of utilisation discipline and cross-service conversion in achieving break-even and margin stability.</w:t>
      </w:r>
    </w:p>
    <w:p w14:paraId="5CDD7703" w14:textId="77777777" w:rsidR="006339F7" w:rsidRPr="00390868" w:rsidRDefault="006339F7" w:rsidP="00905241">
      <w:pPr>
        <w:pStyle w:val="Heading3"/>
        <w:spacing w:line="360" w:lineRule="auto"/>
        <w:rPr>
          <w:rFonts w:ascii="Arial" w:hAnsi="Arial" w:cs="Arial"/>
        </w:rPr>
      </w:pPr>
      <w:bookmarkStart w:id="102" w:name="_Toc217830865"/>
      <w:bookmarkStart w:id="103" w:name="_Toc218629277"/>
      <w:r w:rsidRPr="00390868">
        <w:rPr>
          <w:rFonts w:ascii="Arial" w:hAnsi="Arial" w:cs="Arial"/>
        </w:rPr>
        <w:t>6.8.3 Working Capital Requirement</w:t>
      </w:r>
      <w:bookmarkEnd w:id="102"/>
      <w:bookmarkEnd w:id="103"/>
    </w:p>
    <w:p w14:paraId="372B872E" w14:textId="77777777" w:rsidR="006339F7" w:rsidRPr="00390868" w:rsidRDefault="006339F7" w:rsidP="00905241">
      <w:pPr>
        <w:spacing w:line="360" w:lineRule="auto"/>
        <w:rPr>
          <w:rFonts w:ascii="Arial" w:hAnsi="Arial" w:cs="Arial"/>
        </w:rPr>
      </w:pPr>
      <w:r w:rsidRPr="00390868">
        <w:rPr>
          <w:rFonts w:ascii="Arial" w:hAnsi="Arial" w:cs="Arial"/>
        </w:rPr>
        <w:t>Working capital is required to fund operations from opening until cash inflows stabilise. The working capital requirement is deliberately conservative, providing sufficient runway to absorb utilisation volatility, supplier payment terms and early-stage inefficiencies.</w:t>
      </w:r>
    </w:p>
    <w:p w14:paraId="1BEDC86E" w14:textId="77777777" w:rsidR="006339F7" w:rsidRPr="00390868" w:rsidRDefault="006339F7" w:rsidP="00905241">
      <w:pPr>
        <w:spacing w:line="360" w:lineRule="auto"/>
        <w:rPr>
          <w:rFonts w:ascii="Arial" w:hAnsi="Arial" w:cs="Arial"/>
        </w:rPr>
      </w:pPr>
      <w:r w:rsidRPr="00390868">
        <w:rPr>
          <w:rFonts w:ascii="Arial" w:hAnsi="Arial" w:cs="Arial"/>
          <w:b/>
          <w:bCs/>
        </w:rPr>
        <w:t>Table 6.4: Indicative Working Capital Requirement</w:t>
      </w:r>
      <w:r w:rsidRPr="00390868">
        <w:rPr>
          <w:rFonts w:ascii="Arial" w:hAnsi="Arial" w:cs="Arial"/>
        </w:rPr>
        <w:br/>
      </w:r>
      <w:r w:rsidRPr="00390868">
        <w:rPr>
          <w:rFonts w:ascii="Arial" w:hAnsi="Arial" w:cs="Arial"/>
          <w:i/>
          <w:iCs/>
        </w:rPr>
        <w:t>(Source: Author’s calculation based on prudent start-up financial planning principles)</w:t>
      </w:r>
    </w:p>
    <w:tbl>
      <w:tblPr>
        <w:tblStyle w:val="PlainTable1"/>
        <w:tblW w:w="9224" w:type="dxa"/>
        <w:tblLook w:val="04A0" w:firstRow="1" w:lastRow="0" w:firstColumn="1" w:lastColumn="0" w:noHBand="0" w:noVBand="1"/>
      </w:tblPr>
      <w:tblGrid>
        <w:gridCol w:w="2127"/>
        <w:gridCol w:w="1561"/>
        <w:gridCol w:w="5536"/>
      </w:tblGrid>
      <w:tr w:rsidR="006339F7" w:rsidRPr="00390868" w14:paraId="6640F759" w14:textId="77777777" w:rsidTr="0010552F">
        <w:trPr>
          <w:cnfStyle w:val="100000000000" w:firstRow="1" w:lastRow="0" w:firstColumn="0" w:lastColumn="0" w:oddVBand="0" w:evenVBand="0" w:oddHBand="0"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0" w:type="auto"/>
            <w:hideMark/>
          </w:tcPr>
          <w:p w14:paraId="0C2ED9D6" w14:textId="77777777" w:rsidR="006339F7" w:rsidRPr="00390868" w:rsidRDefault="006339F7" w:rsidP="00905241">
            <w:pPr>
              <w:spacing w:line="360" w:lineRule="auto"/>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Working Capital Component</w:t>
            </w:r>
          </w:p>
        </w:tc>
        <w:tc>
          <w:tcPr>
            <w:tcW w:w="0" w:type="auto"/>
            <w:hideMark/>
          </w:tcPr>
          <w:p w14:paraId="7C67B138" w14:textId="77777777" w:rsidR="006339F7" w:rsidRPr="00390868" w:rsidRDefault="006339F7" w:rsidP="00905241">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Estimated Need (£)</w:t>
            </w:r>
          </w:p>
        </w:tc>
        <w:tc>
          <w:tcPr>
            <w:tcW w:w="0" w:type="auto"/>
            <w:hideMark/>
          </w:tcPr>
          <w:p w14:paraId="3106A050" w14:textId="77777777" w:rsidR="006339F7" w:rsidRPr="00390868" w:rsidRDefault="006339F7" w:rsidP="00905241">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Rationale</w:t>
            </w:r>
          </w:p>
        </w:tc>
      </w:tr>
      <w:tr w:rsidR="006339F7" w:rsidRPr="00390868" w14:paraId="5ED9DE80" w14:textId="77777777" w:rsidTr="0010552F">
        <w:trPr>
          <w:cnfStyle w:val="000000100000" w:firstRow="0" w:lastRow="0" w:firstColumn="0" w:lastColumn="0" w:oddVBand="0" w:evenVBand="0" w:oddHBand="1" w:evenHBand="0" w:firstRowFirstColumn="0" w:firstRowLastColumn="0" w:lastRowFirstColumn="0" w:lastRowLastColumn="0"/>
          <w:trHeight w:val="793"/>
        </w:trPr>
        <w:tc>
          <w:tcPr>
            <w:cnfStyle w:val="001000000000" w:firstRow="0" w:lastRow="0" w:firstColumn="1" w:lastColumn="0" w:oddVBand="0" w:evenVBand="0" w:oddHBand="0" w:evenHBand="0" w:firstRowFirstColumn="0" w:firstRowLastColumn="0" w:lastRowFirstColumn="0" w:lastRowLastColumn="0"/>
            <w:tcW w:w="0" w:type="auto"/>
            <w:hideMark/>
          </w:tcPr>
          <w:p w14:paraId="655E0CD0" w14:textId="77777777" w:rsidR="006339F7" w:rsidRPr="00390868" w:rsidRDefault="006339F7" w:rsidP="00905241">
            <w:pPr>
              <w:spacing w:line="360" w:lineRule="auto"/>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Operational Runway (3 Months)</w:t>
            </w:r>
          </w:p>
        </w:tc>
        <w:tc>
          <w:tcPr>
            <w:tcW w:w="0" w:type="auto"/>
            <w:hideMark/>
          </w:tcPr>
          <w:p w14:paraId="641E6E96" w14:textId="242B169B" w:rsidR="006339F7" w:rsidRPr="00390868" w:rsidRDefault="00D92644"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3</w:t>
            </w:r>
            <w:r w:rsidR="00B13717" w:rsidRPr="00390868">
              <w:rPr>
                <w:rFonts w:ascii="Arial" w:eastAsia="Times New Roman" w:hAnsi="Arial" w:cs="Arial"/>
                <w:color w:val="0F1115"/>
                <w:kern w:val="0"/>
                <w:sz w:val="23"/>
                <w:szCs w:val="23"/>
                <w:lang w:eastAsia="en-GB"/>
                <w14:ligatures w14:val="none"/>
              </w:rPr>
              <w:t>60</w:t>
            </w:r>
            <w:r w:rsidR="006339F7" w:rsidRPr="00390868">
              <w:rPr>
                <w:rFonts w:ascii="Arial" w:eastAsia="Times New Roman" w:hAnsi="Arial" w:cs="Arial"/>
                <w:color w:val="0F1115"/>
                <w:kern w:val="0"/>
                <w:sz w:val="23"/>
                <w:szCs w:val="23"/>
                <w:lang w:eastAsia="en-GB"/>
                <w14:ligatures w14:val="none"/>
              </w:rPr>
              <w:t>,000</w:t>
            </w:r>
          </w:p>
        </w:tc>
        <w:tc>
          <w:tcPr>
            <w:tcW w:w="0" w:type="auto"/>
            <w:hideMark/>
          </w:tcPr>
          <w:p w14:paraId="7E856753" w14:textId="0A45DF1D" w:rsidR="006339F7" w:rsidRPr="00390868" w:rsidRDefault="006339F7"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Covers fixed OpEx (£</w:t>
            </w:r>
            <w:r w:rsidR="000751CA" w:rsidRPr="00390868">
              <w:rPr>
                <w:rFonts w:ascii="Arial" w:eastAsia="Times New Roman" w:hAnsi="Arial" w:cs="Arial"/>
                <w:color w:val="0F1115"/>
                <w:kern w:val="0"/>
                <w:sz w:val="23"/>
                <w:szCs w:val="23"/>
                <w:lang w:eastAsia="en-GB"/>
                <w14:ligatures w14:val="none"/>
              </w:rPr>
              <w:t>1</w:t>
            </w:r>
            <w:r w:rsidR="00B13717" w:rsidRPr="00390868">
              <w:rPr>
                <w:rFonts w:ascii="Arial" w:eastAsia="Times New Roman" w:hAnsi="Arial" w:cs="Arial"/>
                <w:color w:val="0F1115"/>
                <w:kern w:val="0"/>
                <w:sz w:val="23"/>
                <w:szCs w:val="23"/>
                <w:lang w:eastAsia="en-GB"/>
                <w14:ligatures w14:val="none"/>
              </w:rPr>
              <w:t>17</w:t>
            </w:r>
            <w:r w:rsidRPr="00390868">
              <w:rPr>
                <w:rFonts w:ascii="Arial" w:eastAsia="Times New Roman" w:hAnsi="Arial" w:cs="Arial"/>
                <w:color w:val="0F1115"/>
                <w:kern w:val="0"/>
                <w:sz w:val="23"/>
                <w:szCs w:val="23"/>
                <w:lang w:eastAsia="en-GB"/>
                <w14:ligatures w14:val="none"/>
              </w:rPr>
              <w:t>k/mo) during initial revenue ramp-up to break-even.</w:t>
            </w:r>
          </w:p>
        </w:tc>
      </w:tr>
      <w:tr w:rsidR="006339F7" w:rsidRPr="00390868" w14:paraId="7201A6B0" w14:textId="77777777" w:rsidTr="0010552F">
        <w:trPr>
          <w:trHeight w:val="809"/>
        </w:trPr>
        <w:tc>
          <w:tcPr>
            <w:cnfStyle w:val="001000000000" w:firstRow="0" w:lastRow="0" w:firstColumn="1" w:lastColumn="0" w:oddVBand="0" w:evenVBand="0" w:oddHBand="0" w:evenHBand="0" w:firstRowFirstColumn="0" w:firstRowLastColumn="0" w:lastRowFirstColumn="0" w:lastRowLastColumn="0"/>
            <w:tcW w:w="0" w:type="auto"/>
            <w:hideMark/>
          </w:tcPr>
          <w:p w14:paraId="6739BE5F" w14:textId="77777777" w:rsidR="006339F7" w:rsidRPr="00390868" w:rsidRDefault="006339F7" w:rsidP="00905241">
            <w:pPr>
              <w:spacing w:line="360" w:lineRule="auto"/>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Initial Inventory Stock</w:t>
            </w:r>
          </w:p>
        </w:tc>
        <w:tc>
          <w:tcPr>
            <w:tcW w:w="0" w:type="auto"/>
            <w:hideMark/>
          </w:tcPr>
          <w:p w14:paraId="2D49359A" w14:textId="163794DC" w:rsidR="006339F7" w:rsidRPr="00390868" w:rsidRDefault="00190947"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5</w:t>
            </w:r>
            <w:r w:rsidR="006339F7" w:rsidRPr="00390868">
              <w:rPr>
                <w:rFonts w:ascii="Arial" w:eastAsia="Times New Roman" w:hAnsi="Arial" w:cs="Arial"/>
                <w:color w:val="0F1115"/>
                <w:kern w:val="0"/>
                <w:sz w:val="23"/>
                <w:szCs w:val="23"/>
                <w:lang w:eastAsia="en-GB"/>
                <w14:ligatures w14:val="none"/>
              </w:rPr>
              <w:t>0,000</w:t>
            </w:r>
          </w:p>
        </w:tc>
        <w:tc>
          <w:tcPr>
            <w:tcW w:w="0" w:type="auto"/>
            <w:hideMark/>
          </w:tcPr>
          <w:p w14:paraId="6C9A2EC8" w14:textId="77777777" w:rsidR="006339F7" w:rsidRPr="00390868" w:rsidRDefault="006339F7"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Fast-Moving Parts: £25k (filters, brakes, oils). Tyres: £10k. Consumables: £5k.</w:t>
            </w:r>
          </w:p>
        </w:tc>
      </w:tr>
      <w:tr w:rsidR="006339F7" w:rsidRPr="00390868" w14:paraId="6CF1EB61" w14:textId="77777777" w:rsidTr="0010552F">
        <w:trPr>
          <w:cnfStyle w:val="000000100000" w:firstRow="0" w:lastRow="0" w:firstColumn="0" w:lastColumn="0" w:oddVBand="0" w:evenVBand="0" w:oddHBand="1"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0" w:type="auto"/>
            <w:hideMark/>
          </w:tcPr>
          <w:p w14:paraId="4464ADD7" w14:textId="77777777" w:rsidR="006339F7" w:rsidRPr="00390868" w:rsidRDefault="006339F7" w:rsidP="00905241">
            <w:pPr>
              <w:spacing w:line="360" w:lineRule="auto"/>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Launch &amp; Contingency Buffer</w:t>
            </w:r>
          </w:p>
        </w:tc>
        <w:tc>
          <w:tcPr>
            <w:tcW w:w="0" w:type="auto"/>
            <w:hideMark/>
          </w:tcPr>
          <w:p w14:paraId="656DED57" w14:textId="4EFC168F" w:rsidR="006339F7" w:rsidRPr="00390868" w:rsidRDefault="00190947"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40</w:t>
            </w:r>
            <w:r w:rsidR="006339F7" w:rsidRPr="00390868">
              <w:rPr>
                <w:rFonts w:ascii="Arial" w:eastAsia="Times New Roman" w:hAnsi="Arial" w:cs="Arial"/>
                <w:color w:val="0F1115"/>
                <w:kern w:val="0"/>
                <w:sz w:val="23"/>
                <w:szCs w:val="23"/>
                <w:lang w:eastAsia="en-GB"/>
                <w14:ligatures w14:val="none"/>
              </w:rPr>
              <w:t>,000</w:t>
            </w:r>
          </w:p>
        </w:tc>
        <w:tc>
          <w:tcPr>
            <w:tcW w:w="0" w:type="auto"/>
            <w:hideMark/>
          </w:tcPr>
          <w:p w14:paraId="45371373" w14:textId="77777777" w:rsidR="006339F7" w:rsidRPr="00390868" w:rsidRDefault="006339F7"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Unforeseen setup costs, initial marketing push, and a 10% contingency on total working capital.</w:t>
            </w:r>
          </w:p>
        </w:tc>
      </w:tr>
      <w:tr w:rsidR="006339F7" w:rsidRPr="00390868" w14:paraId="2CC59ED3" w14:textId="77777777" w:rsidTr="0010552F">
        <w:trPr>
          <w:trHeight w:val="793"/>
        </w:trPr>
        <w:tc>
          <w:tcPr>
            <w:cnfStyle w:val="001000000000" w:firstRow="0" w:lastRow="0" w:firstColumn="1" w:lastColumn="0" w:oddVBand="0" w:evenVBand="0" w:oddHBand="0" w:evenHBand="0" w:firstRowFirstColumn="0" w:firstRowLastColumn="0" w:lastRowFirstColumn="0" w:lastRowLastColumn="0"/>
            <w:tcW w:w="0" w:type="auto"/>
            <w:hideMark/>
          </w:tcPr>
          <w:p w14:paraId="17DFE8D1" w14:textId="77777777" w:rsidR="006339F7" w:rsidRPr="00390868" w:rsidRDefault="006339F7" w:rsidP="00905241">
            <w:pPr>
              <w:spacing w:line="360" w:lineRule="auto"/>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TOTAL WORKING CAPITAL</w:t>
            </w:r>
          </w:p>
        </w:tc>
        <w:tc>
          <w:tcPr>
            <w:tcW w:w="0" w:type="auto"/>
            <w:hideMark/>
          </w:tcPr>
          <w:p w14:paraId="03F36814" w14:textId="13785F9B" w:rsidR="006339F7" w:rsidRPr="00390868" w:rsidRDefault="006339F7"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b/>
                <w:bCs/>
                <w:color w:val="0F1115"/>
                <w:kern w:val="0"/>
                <w:sz w:val="23"/>
                <w:szCs w:val="23"/>
                <w:lang w:eastAsia="en-GB"/>
                <w14:ligatures w14:val="none"/>
              </w:rPr>
              <w:t>£</w:t>
            </w:r>
            <w:r w:rsidR="00D92644" w:rsidRPr="00390868">
              <w:rPr>
                <w:rFonts w:ascii="Arial" w:eastAsia="Times New Roman" w:hAnsi="Arial" w:cs="Arial"/>
                <w:b/>
                <w:bCs/>
                <w:color w:val="0F1115"/>
                <w:kern w:val="0"/>
                <w:sz w:val="23"/>
                <w:szCs w:val="23"/>
                <w:lang w:eastAsia="en-GB"/>
                <w14:ligatures w14:val="none"/>
              </w:rPr>
              <w:t>4</w:t>
            </w:r>
            <w:r w:rsidR="00B13717" w:rsidRPr="00390868">
              <w:rPr>
                <w:rFonts w:ascii="Arial" w:eastAsia="Times New Roman" w:hAnsi="Arial" w:cs="Arial"/>
                <w:b/>
                <w:bCs/>
                <w:color w:val="0F1115"/>
                <w:kern w:val="0"/>
                <w:sz w:val="23"/>
                <w:szCs w:val="23"/>
                <w:lang w:eastAsia="en-GB"/>
                <w14:ligatures w14:val="none"/>
              </w:rPr>
              <w:t>50</w:t>
            </w:r>
            <w:r w:rsidRPr="00390868">
              <w:rPr>
                <w:rFonts w:ascii="Arial" w:eastAsia="Times New Roman" w:hAnsi="Arial" w:cs="Arial"/>
                <w:b/>
                <w:bCs/>
                <w:color w:val="0F1115"/>
                <w:kern w:val="0"/>
                <w:sz w:val="23"/>
                <w:szCs w:val="23"/>
                <w:lang w:eastAsia="en-GB"/>
                <w14:ligatures w14:val="none"/>
              </w:rPr>
              <w:t>,000</w:t>
            </w:r>
          </w:p>
        </w:tc>
        <w:tc>
          <w:tcPr>
            <w:tcW w:w="0" w:type="auto"/>
            <w:hideMark/>
          </w:tcPr>
          <w:p w14:paraId="2BEC8C0D" w14:textId="77777777" w:rsidR="006339F7" w:rsidRPr="00390868" w:rsidRDefault="006339F7"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3"/>
                <w:szCs w:val="23"/>
                <w:lang w:eastAsia="en-GB"/>
                <w14:ligatures w14:val="none"/>
              </w:rPr>
            </w:pPr>
            <w:r w:rsidRPr="00390868">
              <w:rPr>
                <w:rFonts w:ascii="Arial" w:eastAsia="Times New Roman" w:hAnsi="Arial" w:cs="Arial"/>
                <w:color w:val="0F1115"/>
                <w:kern w:val="0"/>
                <w:sz w:val="23"/>
                <w:szCs w:val="23"/>
                <w:lang w:eastAsia="en-GB"/>
                <w14:ligatures w14:val="none"/>
              </w:rPr>
              <w:t>Provides 3+ months of financial resilience post-launch.</w:t>
            </w:r>
          </w:p>
        </w:tc>
      </w:tr>
    </w:tbl>
    <w:p w14:paraId="346ABECC" w14:textId="77777777" w:rsidR="006339F7" w:rsidRPr="00390868" w:rsidRDefault="006339F7" w:rsidP="00905241">
      <w:pPr>
        <w:spacing w:line="360" w:lineRule="auto"/>
        <w:rPr>
          <w:rFonts w:ascii="Arial" w:hAnsi="Arial" w:cs="Arial"/>
        </w:rPr>
      </w:pPr>
    </w:p>
    <w:p w14:paraId="7E267026" w14:textId="77777777" w:rsidR="006339F7" w:rsidRPr="00390868" w:rsidRDefault="006339F7" w:rsidP="00905241">
      <w:pPr>
        <w:pStyle w:val="Heading3"/>
        <w:spacing w:line="360" w:lineRule="auto"/>
        <w:rPr>
          <w:rFonts w:ascii="Arial" w:hAnsi="Arial" w:cs="Arial"/>
        </w:rPr>
      </w:pPr>
      <w:bookmarkStart w:id="104" w:name="_Toc217830866"/>
      <w:bookmarkStart w:id="105" w:name="_Toc218629278"/>
      <w:r w:rsidRPr="00390868">
        <w:rPr>
          <w:rFonts w:ascii="Arial" w:hAnsi="Arial" w:cs="Arial"/>
        </w:rPr>
        <w:t>6.8.4 Total Start-Up Funding Requirement</w:t>
      </w:r>
      <w:bookmarkEnd w:id="104"/>
      <w:bookmarkEnd w:id="105"/>
    </w:p>
    <w:p w14:paraId="23A94C0E" w14:textId="77777777" w:rsidR="006339F7" w:rsidRPr="00390868" w:rsidRDefault="006339F7" w:rsidP="00905241">
      <w:pPr>
        <w:spacing w:line="360" w:lineRule="auto"/>
        <w:rPr>
          <w:rFonts w:ascii="Arial" w:hAnsi="Arial" w:cs="Arial"/>
        </w:rPr>
      </w:pPr>
      <w:r w:rsidRPr="00390868">
        <w:rPr>
          <w:rFonts w:ascii="Arial" w:hAnsi="Arial" w:cs="Arial"/>
        </w:rPr>
        <w:t>The total funding required to launch 1 STATION Ltd on a secure footing is the sum of capital expenditure and working capital.</w:t>
      </w:r>
    </w:p>
    <w:p w14:paraId="30D77E71" w14:textId="08145004" w:rsidR="006339F7" w:rsidRPr="00390868" w:rsidRDefault="006339F7" w:rsidP="00905241">
      <w:pPr>
        <w:spacing w:line="360" w:lineRule="auto"/>
        <w:rPr>
          <w:rFonts w:ascii="Arial" w:hAnsi="Arial" w:cs="Arial"/>
        </w:rPr>
      </w:pPr>
      <w:r w:rsidRPr="00390868">
        <w:rPr>
          <w:rFonts w:ascii="Arial" w:hAnsi="Arial" w:cs="Arial"/>
          <w:b/>
          <w:bCs/>
        </w:rPr>
        <w:t>Start-Up Funding Summary:</w:t>
      </w:r>
      <w:r w:rsidRPr="00390868">
        <w:rPr>
          <w:rFonts w:ascii="Arial" w:hAnsi="Arial" w:cs="Arial"/>
        </w:rPr>
        <w:br/>
        <w:t>£</w:t>
      </w:r>
      <w:r w:rsidR="00522AFA" w:rsidRPr="00390868">
        <w:rPr>
          <w:rFonts w:ascii="Arial" w:hAnsi="Arial" w:cs="Arial"/>
        </w:rPr>
        <w:t>49</w:t>
      </w:r>
      <w:r w:rsidR="00B13717" w:rsidRPr="00390868">
        <w:rPr>
          <w:rFonts w:ascii="Arial" w:hAnsi="Arial" w:cs="Arial"/>
        </w:rPr>
        <w:t>0</w:t>
      </w:r>
      <w:r w:rsidRPr="00390868">
        <w:rPr>
          <w:rFonts w:ascii="Arial" w:hAnsi="Arial" w:cs="Arial"/>
        </w:rPr>
        <w:t>,000 (CapEx) + £</w:t>
      </w:r>
      <w:r w:rsidR="00D92644" w:rsidRPr="00390868">
        <w:rPr>
          <w:rFonts w:ascii="Arial" w:hAnsi="Arial" w:cs="Arial"/>
        </w:rPr>
        <w:t>4</w:t>
      </w:r>
      <w:r w:rsidR="00B13717" w:rsidRPr="00390868">
        <w:rPr>
          <w:rFonts w:ascii="Arial" w:hAnsi="Arial" w:cs="Arial"/>
        </w:rPr>
        <w:t>50</w:t>
      </w:r>
      <w:r w:rsidRPr="00390868">
        <w:rPr>
          <w:rFonts w:ascii="Arial" w:hAnsi="Arial" w:cs="Arial"/>
        </w:rPr>
        <w:t>,000 (Working Capital) = £</w:t>
      </w:r>
      <w:r w:rsidR="00522AFA" w:rsidRPr="00390868">
        <w:rPr>
          <w:rFonts w:ascii="Arial" w:hAnsi="Arial" w:cs="Arial"/>
        </w:rPr>
        <w:t>95</w:t>
      </w:r>
      <w:r w:rsidR="00B13717" w:rsidRPr="00390868">
        <w:rPr>
          <w:rFonts w:ascii="Arial" w:hAnsi="Arial" w:cs="Arial"/>
        </w:rPr>
        <w:t>0</w:t>
      </w:r>
      <w:r w:rsidRPr="00390868">
        <w:rPr>
          <w:rFonts w:ascii="Arial" w:hAnsi="Arial" w:cs="Arial"/>
        </w:rPr>
        <w:t>,000</w:t>
      </w:r>
    </w:p>
    <w:p w14:paraId="561A8838" w14:textId="79B32364" w:rsidR="006339F7" w:rsidRPr="00390868" w:rsidRDefault="006339F7" w:rsidP="00905241">
      <w:pPr>
        <w:spacing w:line="360" w:lineRule="auto"/>
        <w:rPr>
          <w:rFonts w:ascii="Arial" w:hAnsi="Arial" w:cs="Arial"/>
        </w:rPr>
      </w:pPr>
      <w:r w:rsidRPr="00390868">
        <w:rPr>
          <w:rFonts w:ascii="Arial" w:hAnsi="Arial" w:cs="Arial"/>
        </w:rPr>
        <w:lastRenderedPageBreak/>
        <w:t>This figure of approximately £</w:t>
      </w:r>
      <w:r w:rsidR="00D92644" w:rsidRPr="00390868">
        <w:rPr>
          <w:rFonts w:ascii="Arial" w:hAnsi="Arial" w:cs="Arial"/>
        </w:rPr>
        <w:t>9</w:t>
      </w:r>
      <w:r w:rsidR="00522AFA" w:rsidRPr="00390868">
        <w:rPr>
          <w:rFonts w:ascii="Arial" w:hAnsi="Arial" w:cs="Arial"/>
        </w:rPr>
        <w:t>5</w:t>
      </w:r>
      <w:r w:rsidR="00D92644" w:rsidRPr="00390868">
        <w:rPr>
          <w:rFonts w:ascii="Arial" w:hAnsi="Arial" w:cs="Arial"/>
        </w:rPr>
        <w:t>0</w:t>
      </w:r>
      <w:r w:rsidRPr="00390868">
        <w:rPr>
          <w:rFonts w:ascii="Arial" w:hAnsi="Arial" w:cs="Arial"/>
        </w:rPr>
        <w:t>,000 represents a realistic investment for a professionally specified, multi-unit automotive estate capable of delivering the proposed service model at scale. Importantly, it provides sufficient financial resilience to support phased ramp-up and disciplined operational control.</w:t>
      </w:r>
    </w:p>
    <w:p w14:paraId="52E8BE02" w14:textId="388E7178" w:rsidR="006339F7" w:rsidRPr="00390868" w:rsidRDefault="006339F7" w:rsidP="00905241">
      <w:pPr>
        <w:pStyle w:val="Heading2"/>
        <w:spacing w:line="360" w:lineRule="auto"/>
        <w:rPr>
          <w:rFonts w:ascii="Arial" w:hAnsi="Arial" w:cs="Arial"/>
        </w:rPr>
      </w:pPr>
      <w:bookmarkStart w:id="106" w:name="_Toc217830867"/>
      <w:bookmarkStart w:id="107" w:name="_Toc218629279"/>
      <w:r w:rsidRPr="00390868">
        <w:rPr>
          <w:rFonts w:ascii="Arial" w:hAnsi="Arial" w:cs="Arial"/>
        </w:rPr>
        <w:t>6.9 Operational Financial Management and Control</w:t>
      </w:r>
      <w:bookmarkEnd w:id="107"/>
      <w:r w:rsidRPr="00390868">
        <w:rPr>
          <w:rFonts w:ascii="Arial" w:hAnsi="Arial" w:cs="Arial"/>
        </w:rPr>
        <w:t xml:space="preserve"> </w:t>
      </w:r>
      <w:bookmarkEnd w:id="106"/>
    </w:p>
    <w:p w14:paraId="45CE419F" w14:textId="77777777" w:rsidR="006339F7" w:rsidRPr="00390868" w:rsidRDefault="006339F7" w:rsidP="00905241">
      <w:pPr>
        <w:spacing w:line="360" w:lineRule="auto"/>
        <w:rPr>
          <w:rFonts w:ascii="Arial" w:hAnsi="Arial" w:cs="Arial"/>
        </w:rPr>
      </w:pPr>
      <w:r w:rsidRPr="00390868">
        <w:rPr>
          <w:rFonts w:ascii="Arial" w:hAnsi="Arial" w:cs="Arial"/>
        </w:rPr>
        <w:t>Sustaining operational performance requires rigorous financial discipline embedded within daily management processes.</w:t>
      </w:r>
    </w:p>
    <w:p w14:paraId="14B84403" w14:textId="77777777" w:rsidR="006339F7" w:rsidRPr="00390868" w:rsidRDefault="006339F7" w:rsidP="00905241">
      <w:pPr>
        <w:numPr>
          <w:ilvl w:val="0"/>
          <w:numId w:val="8"/>
        </w:numPr>
        <w:spacing w:line="360" w:lineRule="auto"/>
        <w:rPr>
          <w:rFonts w:ascii="Arial" w:hAnsi="Arial" w:cs="Arial"/>
        </w:rPr>
      </w:pPr>
      <w:r w:rsidRPr="00390868">
        <w:rPr>
          <w:rFonts w:ascii="Arial" w:hAnsi="Arial" w:cs="Arial"/>
          <w:b/>
          <w:bCs/>
        </w:rPr>
        <w:t>Cost-Centre Accounting:</w:t>
      </w:r>
      <w:r w:rsidRPr="00390868">
        <w:rPr>
          <w:rFonts w:ascii="Arial" w:hAnsi="Arial" w:cs="Arial"/>
        </w:rPr>
        <w:t xml:space="preserve"> Each service unit operates as a distinct profit and cost centre within the accounting system, enabling granular performance analysis and informed resource allocation.</w:t>
      </w:r>
    </w:p>
    <w:p w14:paraId="7C15D2FF" w14:textId="77777777" w:rsidR="006339F7" w:rsidRPr="00390868" w:rsidRDefault="006339F7" w:rsidP="00905241">
      <w:pPr>
        <w:numPr>
          <w:ilvl w:val="0"/>
          <w:numId w:val="8"/>
        </w:numPr>
        <w:spacing w:line="360" w:lineRule="auto"/>
        <w:rPr>
          <w:rFonts w:ascii="Arial" w:hAnsi="Arial" w:cs="Arial"/>
        </w:rPr>
      </w:pPr>
      <w:r w:rsidRPr="00390868">
        <w:rPr>
          <w:rFonts w:ascii="Arial" w:hAnsi="Arial" w:cs="Arial"/>
          <w:b/>
          <w:bCs/>
        </w:rPr>
        <w:t>Pricing and Margin Control:</w:t>
      </w:r>
      <w:r w:rsidRPr="00390868">
        <w:rPr>
          <w:rFonts w:ascii="Arial" w:hAnsi="Arial" w:cs="Arial"/>
        </w:rPr>
        <w:t xml:space="preserve"> A hybrid pricing model is applied, combining market-competitive pricing for high-frequency services (e.g. MOT testing, wash) with value-based pricing for specialist work (e.g. EV diagnostics). The CRM enforces consistent labour and parts margins.</w:t>
      </w:r>
    </w:p>
    <w:p w14:paraId="6C4C6B68" w14:textId="77777777" w:rsidR="006339F7" w:rsidRPr="00390868" w:rsidRDefault="006339F7" w:rsidP="00905241">
      <w:pPr>
        <w:numPr>
          <w:ilvl w:val="0"/>
          <w:numId w:val="8"/>
        </w:numPr>
        <w:spacing w:line="360" w:lineRule="auto"/>
        <w:rPr>
          <w:rFonts w:ascii="Arial" w:hAnsi="Arial" w:cs="Arial"/>
        </w:rPr>
      </w:pPr>
      <w:r w:rsidRPr="00390868">
        <w:rPr>
          <w:rFonts w:ascii="Arial" w:hAnsi="Arial" w:cs="Arial"/>
          <w:b/>
          <w:bCs/>
        </w:rPr>
        <w:t>Cash-Flow Management:</w:t>
      </w:r>
      <w:r w:rsidRPr="00390868">
        <w:rPr>
          <w:rFonts w:ascii="Arial" w:hAnsi="Arial" w:cs="Arial"/>
        </w:rPr>
        <w:t xml:space="preserve"> Weekly cash-flow monitoring and a rolling 12-week forecast are maintained to protect liquidity and support early identification of funding pressure.</w:t>
      </w:r>
    </w:p>
    <w:p w14:paraId="4AC16ED7" w14:textId="77777777" w:rsidR="006339F7" w:rsidRPr="00390868" w:rsidRDefault="006339F7" w:rsidP="00905241">
      <w:pPr>
        <w:numPr>
          <w:ilvl w:val="0"/>
          <w:numId w:val="8"/>
        </w:numPr>
        <w:spacing w:line="360" w:lineRule="auto"/>
        <w:rPr>
          <w:rFonts w:ascii="Arial" w:hAnsi="Arial" w:cs="Arial"/>
        </w:rPr>
      </w:pPr>
      <w:r w:rsidRPr="00390868">
        <w:rPr>
          <w:rFonts w:ascii="Arial" w:hAnsi="Arial" w:cs="Arial"/>
          <w:b/>
          <w:bCs/>
        </w:rPr>
        <w:t>Performance KPIs:</w:t>
      </w:r>
      <w:r w:rsidRPr="00390868">
        <w:rPr>
          <w:rFonts w:ascii="Arial" w:hAnsi="Arial" w:cs="Arial"/>
        </w:rPr>
        <w:t xml:space="preserve"> Core KPIs include gross margin by unit, labour utilisation rate, inventory turnover and average revenue per vehicle, reviewed through structured monthly performance meetings. </w:t>
      </w:r>
    </w:p>
    <w:p w14:paraId="5996F850" w14:textId="41B23BCB" w:rsidR="00297018" w:rsidRPr="00390868" w:rsidRDefault="00297018" w:rsidP="00905241">
      <w:pPr>
        <w:spacing w:line="360" w:lineRule="auto"/>
        <w:rPr>
          <w:rFonts w:ascii="Arial" w:hAnsi="Arial" w:cs="Arial"/>
        </w:rPr>
      </w:pPr>
      <w:r w:rsidRPr="00390868">
        <w:rPr>
          <w:rFonts w:ascii="Arial" w:hAnsi="Arial" w:cs="Arial"/>
        </w:rPr>
        <w:t xml:space="preserve">The short-term cash implications of these operational controls, including monthly inflows, outflows, and liquidity buffers during the ramp-up period, are modelled in detail in </w:t>
      </w:r>
      <w:r w:rsidRPr="00390868">
        <w:rPr>
          <w:rFonts w:ascii="Arial" w:hAnsi="Arial" w:cs="Arial"/>
          <w:b/>
          <w:bCs/>
        </w:rPr>
        <w:t>Appendix D</w:t>
      </w:r>
      <w:r w:rsidRPr="00390868">
        <w:rPr>
          <w:rFonts w:ascii="Arial" w:hAnsi="Arial" w:cs="Arial"/>
        </w:rPr>
        <w:t>, linking day-to-day financial discipline directly to projected cash resilience.</w:t>
      </w:r>
    </w:p>
    <w:p w14:paraId="645C6F00" w14:textId="77777777" w:rsidR="00D47FD9" w:rsidRPr="00390868" w:rsidRDefault="00D47FD9" w:rsidP="00905241">
      <w:pPr>
        <w:pStyle w:val="Heading1"/>
        <w:spacing w:line="360" w:lineRule="auto"/>
        <w:rPr>
          <w:rFonts w:ascii="Arial" w:hAnsi="Arial" w:cs="Arial"/>
          <w:sz w:val="36"/>
          <w:szCs w:val="36"/>
        </w:rPr>
      </w:pPr>
      <w:bookmarkStart w:id="108" w:name="_Toc217830868"/>
      <w:bookmarkStart w:id="109" w:name="_Toc218629280"/>
      <w:r w:rsidRPr="00390868">
        <w:rPr>
          <w:rStyle w:val="Strong"/>
          <w:rFonts w:ascii="Arial" w:hAnsi="Arial" w:cs="Arial"/>
          <w:sz w:val="36"/>
          <w:szCs w:val="36"/>
        </w:rPr>
        <w:t>7. Human Resource Capital Allocation</w:t>
      </w:r>
      <w:bookmarkEnd w:id="108"/>
      <w:bookmarkEnd w:id="109"/>
    </w:p>
    <w:p w14:paraId="491B4BEF" w14:textId="77777777" w:rsidR="00D47FD9" w:rsidRPr="00390868" w:rsidRDefault="00D47FD9" w:rsidP="00905241">
      <w:pPr>
        <w:pStyle w:val="NormalWeb"/>
        <w:spacing w:line="360" w:lineRule="auto"/>
        <w:rPr>
          <w:rFonts w:ascii="Arial" w:hAnsi="Arial" w:cs="Arial"/>
        </w:rPr>
      </w:pPr>
      <w:r w:rsidRPr="00390868">
        <w:rPr>
          <w:rFonts w:ascii="Arial" w:hAnsi="Arial" w:cs="Arial"/>
        </w:rPr>
        <w:t xml:space="preserve">Human capital represents a critical success factor for service-intensive ventures such as multi-unit automotive aftercare estates, where operational performance, regulatory compliance and customer satisfaction are directly dependent on workforce capability (Armstrong, 2023). Figure 7.1 illustrates the planned human resource distribution by functional category at steady-state operation, demonstrating a deliberate concentration of staffing within core revenue-generating technical services </w:t>
      </w:r>
      <w:r w:rsidRPr="00390868">
        <w:rPr>
          <w:rFonts w:ascii="Arial" w:hAnsi="Arial" w:cs="Arial"/>
        </w:rPr>
        <w:lastRenderedPageBreak/>
        <w:t>while maintaining sufficient managerial, logistical and support capacity to ensure safe, efficient and compliant estate operations.</w:t>
      </w:r>
    </w:p>
    <w:p w14:paraId="373CF01C" w14:textId="77777777" w:rsidR="00D47FD9" w:rsidRPr="00390868" w:rsidRDefault="00D47FD9" w:rsidP="00905241">
      <w:pPr>
        <w:pStyle w:val="NormalWeb"/>
        <w:spacing w:line="360" w:lineRule="auto"/>
        <w:rPr>
          <w:rStyle w:val="Emphasis"/>
          <w:rFonts w:ascii="Arial" w:hAnsi="Arial" w:cs="Arial"/>
        </w:rPr>
      </w:pPr>
      <w:r w:rsidRPr="00390868">
        <w:rPr>
          <w:rStyle w:val="Strong"/>
          <w:rFonts w:ascii="Arial" w:hAnsi="Arial" w:cs="Arial"/>
        </w:rPr>
        <w:t>Figure 7.1: Human Resource Allocation by Functional Category – 1 STATION Ltd</w:t>
      </w:r>
      <w:r w:rsidRPr="00390868">
        <w:rPr>
          <w:rFonts w:ascii="Arial" w:hAnsi="Arial" w:cs="Arial"/>
        </w:rPr>
        <w:br/>
      </w:r>
      <w:r w:rsidRPr="00390868">
        <w:rPr>
          <w:rStyle w:val="Emphasis"/>
          <w:rFonts w:ascii="Arial" w:hAnsi="Arial" w:cs="Arial"/>
        </w:rPr>
        <w:t>(Source: Author’s analysis)</w:t>
      </w:r>
    </w:p>
    <w:p w14:paraId="37D4254F" w14:textId="77777777" w:rsidR="00D47FD9" w:rsidRPr="00390868" w:rsidRDefault="00D47FD9" w:rsidP="00905241">
      <w:pPr>
        <w:pStyle w:val="NormalWeb"/>
        <w:spacing w:line="360" w:lineRule="auto"/>
        <w:rPr>
          <w:rFonts w:ascii="Arial" w:hAnsi="Arial" w:cs="Arial"/>
        </w:rPr>
      </w:pPr>
      <w:r w:rsidRPr="00390868">
        <w:rPr>
          <w:rFonts w:ascii="Arial" w:hAnsi="Arial" w:cs="Arial"/>
          <w:noProof/>
        </w:rPr>
        <w:drawing>
          <wp:inline distT="0" distB="0" distL="0" distR="0" wp14:anchorId="479BFEB6" wp14:editId="46876774">
            <wp:extent cx="5762625" cy="2743200"/>
            <wp:effectExtent l="0" t="0" r="9525" b="0"/>
            <wp:docPr id="1499642759" name="Chart 1">
              <a:extLst xmlns:a="http://schemas.openxmlformats.org/drawingml/2006/main">
                <a:ext uri="{FF2B5EF4-FFF2-40B4-BE49-F238E27FC236}">
                  <a16:creationId xmlns:a16="http://schemas.microsoft.com/office/drawing/2014/main" id="{3E529F46-4E55-3F7A-086F-4846AE3E5E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0A817F2" w14:textId="77777777" w:rsidR="00D47FD9" w:rsidRPr="00390868" w:rsidRDefault="00D47FD9" w:rsidP="00905241">
      <w:pPr>
        <w:pStyle w:val="Heading2"/>
        <w:spacing w:line="360" w:lineRule="auto"/>
        <w:rPr>
          <w:rFonts w:ascii="Arial" w:hAnsi="Arial" w:cs="Arial"/>
        </w:rPr>
      </w:pPr>
      <w:bookmarkStart w:id="110" w:name="_Toc217830869"/>
      <w:bookmarkStart w:id="111" w:name="_Toc218629281"/>
      <w:r w:rsidRPr="00390868">
        <w:rPr>
          <w:rStyle w:val="Strong"/>
          <w:rFonts w:ascii="Arial" w:hAnsi="Arial" w:cs="Arial"/>
        </w:rPr>
        <w:t>7.1 Human Resource Strategy and Phased Workforce Model</w:t>
      </w:r>
      <w:bookmarkEnd w:id="110"/>
      <w:bookmarkEnd w:id="111"/>
    </w:p>
    <w:p w14:paraId="2BAB8D5C" w14:textId="77777777" w:rsidR="00D47FD9" w:rsidRPr="00390868" w:rsidRDefault="00D47FD9" w:rsidP="00905241">
      <w:pPr>
        <w:pStyle w:val="NormalWeb"/>
        <w:spacing w:line="360" w:lineRule="auto"/>
        <w:rPr>
          <w:rFonts w:ascii="Arial" w:hAnsi="Arial" w:cs="Arial"/>
        </w:rPr>
      </w:pPr>
      <w:r w:rsidRPr="00390868">
        <w:rPr>
          <w:rFonts w:ascii="Arial" w:hAnsi="Arial" w:cs="Arial"/>
        </w:rPr>
        <w:t>This phased approach reflects the founder’s experience of demand volatility during early garage launches, where utilisation stabilises only after systems, staff and customer trust are proven.The human resource strategy for 1 STATION Ltd is underpinned by three core principles:</w:t>
      </w:r>
      <w:r w:rsidRPr="00390868">
        <w:rPr>
          <w:rFonts w:ascii="Arial" w:hAnsi="Arial" w:cs="Arial"/>
        </w:rPr>
        <w:br/>
        <w:t>(1) full operational coverage across all eight service units;</w:t>
      </w:r>
      <w:r w:rsidRPr="00390868">
        <w:rPr>
          <w:rFonts w:ascii="Arial" w:hAnsi="Arial" w:cs="Arial"/>
        </w:rPr>
        <w:br/>
        <w:t>(2) strict cost control during early-stage operations; and</w:t>
      </w:r>
      <w:r w:rsidRPr="00390868">
        <w:rPr>
          <w:rFonts w:ascii="Arial" w:hAnsi="Arial" w:cs="Arial"/>
        </w:rPr>
        <w:br/>
        <w:t>(3) scalability aligned with demand growth.</w:t>
      </w:r>
    </w:p>
    <w:p w14:paraId="6F5AD238" w14:textId="77777777" w:rsidR="00D47FD9" w:rsidRPr="00390868" w:rsidRDefault="00D47FD9" w:rsidP="00905241">
      <w:pPr>
        <w:pStyle w:val="NormalWeb"/>
        <w:spacing w:line="360" w:lineRule="auto"/>
        <w:rPr>
          <w:rFonts w:ascii="Arial" w:hAnsi="Arial" w:cs="Arial"/>
        </w:rPr>
      </w:pPr>
      <w:r w:rsidRPr="00390868">
        <w:rPr>
          <w:rFonts w:ascii="Arial" w:hAnsi="Arial" w:cs="Arial"/>
        </w:rPr>
        <w:t xml:space="preserve">Automotive aftercare is inherently labour-intensive, with service quality, safety compliance and throughput directly influenced by workforce capability. However, premature overstaffing represents a significant financial risk in early-stage operations. Consequently, workforce planning is explicitly aligned with demand </w:t>
      </w:r>
      <w:r w:rsidRPr="00390868">
        <w:rPr>
          <w:rFonts w:ascii="Arial" w:hAnsi="Arial" w:cs="Arial"/>
        </w:rPr>
        <w:lastRenderedPageBreak/>
        <w:t>progression rather than full-capacity assumptions, reflecting best-practice strategic HR approaches for service-based SMEs (Armstrong, 2023; Slack et al., 2022).</w:t>
      </w:r>
    </w:p>
    <w:p w14:paraId="0A3F9958" w14:textId="4D3C3030" w:rsidR="00D47FD9" w:rsidRPr="00390868" w:rsidRDefault="00D47FD9" w:rsidP="00905241">
      <w:pPr>
        <w:pStyle w:val="NormalWeb"/>
        <w:spacing w:line="360" w:lineRule="auto"/>
        <w:rPr>
          <w:rFonts w:ascii="Arial" w:hAnsi="Arial" w:cs="Arial"/>
        </w:rPr>
      </w:pPr>
      <w:r w:rsidRPr="00390868">
        <w:rPr>
          <w:rFonts w:ascii="Arial" w:hAnsi="Arial" w:cs="Arial"/>
        </w:rPr>
        <w:t xml:space="preserve">To operationalise this strategy, staffing is structured across three distinct operational phases, as </w:t>
      </w:r>
      <w:r w:rsidR="00651B6F" w:rsidRPr="00390868">
        <w:rPr>
          <w:rFonts w:ascii="Arial" w:hAnsi="Arial" w:cs="Arial"/>
        </w:rPr>
        <w:t>clarified</w:t>
      </w:r>
      <w:r w:rsidRPr="00390868">
        <w:rPr>
          <w:rFonts w:ascii="Arial" w:hAnsi="Arial" w:cs="Arial"/>
        </w:rPr>
        <w:t xml:space="preserve"> in Figure 7.2.</w:t>
      </w:r>
    </w:p>
    <w:p w14:paraId="44EA8721" w14:textId="77777777" w:rsidR="00D47FD9" w:rsidRPr="00390868" w:rsidRDefault="00D47FD9" w:rsidP="00905241">
      <w:pPr>
        <w:pStyle w:val="NormalWeb"/>
        <w:spacing w:line="360" w:lineRule="auto"/>
        <w:rPr>
          <w:rStyle w:val="Emphasis"/>
          <w:rFonts w:ascii="Arial" w:hAnsi="Arial" w:cs="Arial"/>
        </w:rPr>
      </w:pPr>
      <w:r w:rsidRPr="00390868">
        <w:rPr>
          <w:rStyle w:val="Strong"/>
          <w:rFonts w:ascii="Arial" w:hAnsi="Arial" w:cs="Arial"/>
        </w:rPr>
        <w:t>Figure 7.2: Projected Workforce Growth Across Operational Phases at 1 STATION Ltd</w:t>
      </w:r>
      <w:r w:rsidRPr="00390868">
        <w:rPr>
          <w:rFonts w:ascii="Arial" w:hAnsi="Arial" w:cs="Arial"/>
        </w:rPr>
        <w:br/>
      </w:r>
      <w:r w:rsidRPr="00390868">
        <w:rPr>
          <w:rStyle w:val="Emphasis"/>
          <w:rFonts w:ascii="Arial" w:hAnsi="Arial" w:cs="Arial"/>
        </w:rPr>
        <w:t>(Source: Author’s analysis)</w:t>
      </w:r>
    </w:p>
    <w:p w14:paraId="744EE5BC" w14:textId="77777777" w:rsidR="00D47FD9" w:rsidRPr="00390868" w:rsidRDefault="00D47FD9" w:rsidP="00905241">
      <w:pPr>
        <w:pStyle w:val="NormalWeb"/>
        <w:spacing w:line="360" w:lineRule="auto"/>
        <w:rPr>
          <w:rFonts w:ascii="Arial" w:hAnsi="Arial" w:cs="Arial"/>
        </w:rPr>
      </w:pPr>
      <w:r w:rsidRPr="00390868">
        <w:rPr>
          <w:rFonts w:ascii="Arial" w:hAnsi="Arial" w:cs="Arial"/>
          <w:noProof/>
        </w:rPr>
        <w:drawing>
          <wp:inline distT="0" distB="0" distL="0" distR="0" wp14:anchorId="5398B717" wp14:editId="24B4C10D">
            <wp:extent cx="4572000" cy="2743200"/>
            <wp:effectExtent l="0" t="0" r="0" b="0"/>
            <wp:docPr id="493872560" name="Chart 1">
              <a:extLst xmlns:a="http://schemas.openxmlformats.org/drawingml/2006/main">
                <a:ext uri="{FF2B5EF4-FFF2-40B4-BE49-F238E27FC236}">
                  <a16:creationId xmlns:a16="http://schemas.microsoft.com/office/drawing/2014/main" id="{B40B68E1-08E5-E146-D8E8-89E50D08A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1D05AF4" w14:textId="77777777" w:rsidR="00D47FD9" w:rsidRPr="00390868" w:rsidRDefault="00D47FD9" w:rsidP="00905241">
      <w:pPr>
        <w:pStyle w:val="Heading3"/>
        <w:spacing w:line="360" w:lineRule="auto"/>
        <w:rPr>
          <w:rFonts w:ascii="Arial" w:hAnsi="Arial" w:cs="Arial"/>
        </w:rPr>
      </w:pPr>
      <w:bookmarkStart w:id="112" w:name="_Toc217830870"/>
      <w:bookmarkStart w:id="113" w:name="_Toc218629282"/>
      <w:r w:rsidRPr="00390868">
        <w:rPr>
          <w:rStyle w:val="Strong"/>
          <w:rFonts w:ascii="Arial" w:hAnsi="Arial" w:cs="Arial"/>
        </w:rPr>
        <w:t>Phase 1: Launch Phase (Months 1–6 – Pre-Revenue)</w:t>
      </w:r>
      <w:bookmarkEnd w:id="112"/>
      <w:bookmarkEnd w:id="113"/>
    </w:p>
    <w:p w14:paraId="013E0DA6" w14:textId="77777777" w:rsidR="00D47FD9" w:rsidRPr="00390868" w:rsidRDefault="00D47FD9" w:rsidP="00905241">
      <w:pPr>
        <w:pStyle w:val="NormalWeb"/>
        <w:spacing w:line="360" w:lineRule="auto"/>
        <w:rPr>
          <w:rFonts w:ascii="Arial" w:hAnsi="Arial" w:cs="Arial"/>
        </w:rPr>
      </w:pPr>
      <w:r w:rsidRPr="00390868">
        <w:rPr>
          <w:rFonts w:ascii="Arial" w:hAnsi="Arial" w:cs="Arial"/>
        </w:rPr>
        <w:t>During the initial six months, operational focus is placed on site readiness, regulatory approvals, recruitment, training and systems implementation. Staffing is restricted to core management and compliance-related roles, with no revenue-generating activity undertaken. This phase ensures that workflows, safety systems, CRM processes and governance structures are fully validated prior to customer-facing operations.</w:t>
      </w:r>
    </w:p>
    <w:p w14:paraId="449E45F6" w14:textId="77777777" w:rsidR="00D47FD9" w:rsidRPr="00390868" w:rsidRDefault="00D47FD9" w:rsidP="00905241">
      <w:pPr>
        <w:pStyle w:val="Heading3"/>
        <w:spacing w:line="360" w:lineRule="auto"/>
        <w:rPr>
          <w:rFonts w:ascii="Arial" w:hAnsi="Arial" w:cs="Arial"/>
        </w:rPr>
      </w:pPr>
      <w:bookmarkStart w:id="114" w:name="_Toc217830871"/>
      <w:bookmarkStart w:id="115" w:name="_Toc218629283"/>
      <w:r w:rsidRPr="00390868">
        <w:rPr>
          <w:rStyle w:val="Strong"/>
          <w:rFonts w:ascii="Arial" w:hAnsi="Arial" w:cs="Arial"/>
        </w:rPr>
        <w:t>Phase 2: Test Operations Phase (Months 7–9)</w:t>
      </w:r>
      <w:bookmarkEnd w:id="114"/>
      <w:bookmarkEnd w:id="115"/>
    </w:p>
    <w:p w14:paraId="06EED21A" w14:textId="77777777" w:rsidR="00D47FD9" w:rsidRPr="00390868" w:rsidRDefault="00D47FD9" w:rsidP="00905241">
      <w:pPr>
        <w:pStyle w:val="NormalWeb"/>
        <w:spacing w:line="360" w:lineRule="auto"/>
        <w:rPr>
          <w:rFonts w:ascii="Arial" w:hAnsi="Arial" w:cs="Arial"/>
        </w:rPr>
      </w:pPr>
      <w:r w:rsidRPr="00390868">
        <w:rPr>
          <w:rFonts w:ascii="Arial" w:hAnsi="Arial" w:cs="Arial"/>
        </w:rPr>
        <w:t xml:space="preserve">A controlled test-operations phase follows, during which selected service units—primarily MOT testing, mechanical diagnostics, tyre services and wash—operate at limited capacity. Staffing remains deliberately lean, emphasising multi-skilled technicians and flexible role allocation. Indicative headcount during this phase </w:t>
      </w:r>
      <w:r w:rsidRPr="00390868">
        <w:rPr>
          <w:rFonts w:ascii="Arial" w:hAnsi="Arial" w:cs="Arial"/>
        </w:rPr>
        <w:lastRenderedPageBreak/>
        <w:t>ranges between 15 and 17 employees, allowing demand patterns, workflow efficiency and system reliability to be tested without committing to full labour costs.</w:t>
      </w:r>
    </w:p>
    <w:p w14:paraId="12FEE552" w14:textId="77777777" w:rsidR="00D47FD9" w:rsidRPr="00390868" w:rsidRDefault="00D47FD9" w:rsidP="00905241">
      <w:pPr>
        <w:pStyle w:val="Heading3"/>
        <w:spacing w:line="360" w:lineRule="auto"/>
        <w:rPr>
          <w:rFonts w:ascii="Arial" w:hAnsi="Arial" w:cs="Arial"/>
        </w:rPr>
      </w:pPr>
      <w:bookmarkStart w:id="116" w:name="_Toc217830872"/>
      <w:bookmarkStart w:id="117" w:name="_Toc218629284"/>
      <w:r w:rsidRPr="00390868">
        <w:rPr>
          <w:rStyle w:val="Strong"/>
          <w:rFonts w:ascii="Arial" w:hAnsi="Arial" w:cs="Arial"/>
        </w:rPr>
        <w:t>Phase 3: Full Operations (Month 10 Onwards)</w:t>
      </w:r>
      <w:bookmarkEnd w:id="116"/>
      <w:bookmarkEnd w:id="117"/>
    </w:p>
    <w:p w14:paraId="57B04544" w14:textId="77777777" w:rsidR="00D47FD9" w:rsidRPr="00390868" w:rsidRDefault="00D47FD9" w:rsidP="00905241">
      <w:pPr>
        <w:pStyle w:val="NormalWeb"/>
        <w:spacing w:line="360" w:lineRule="auto"/>
        <w:rPr>
          <w:rFonts w:ascii="Arial" w:hAnsi="Arial" w:cs="Arial"/>
        </w:rPr>
      </w:pPr>
      <w:r w:rsidRPr="00390868">
        <w:rPr>
          <w:rFonts w:ascii="Arial" w:hAnsi="Arial" w:cs="Arial"/>
        </w:rPr>
        <w:t>From Month 10 onwards, all eight service units become fully operational. Dedicated specialists are deployed across each unit, role clarity increases, utilisation improves and management focus shifts from capacity building to performance optimisation. At this stage, staffing reaches the planned steady-state level of approximately 30–32 employees, consistent with the estate’s long-term operational design and throughput assumptions.</w:t>
      </w:r>
    </w:p>
    <w:p w14:paraId="205E30AD" w14:textId="77777777" w:rsidR="00D47FD9" w:rsidRPr="00390868" w:rsidRDefault="00D47FD9" w:rsidP="00905241">
      <w:pPr>
        <w:pStyle w:val="Heading2"/>
        <w:spacing w:line="360" w:lineRule="auto"/>
        <w:rPr>
          <w:rFonts w:ascii="Arial" w:hAnsi="Arial" w:cs="Arial"/>
        </w:rPr>
      </w:pPr>
      <w:bookmarkStart w:id="118" w:name="_Toc217830873"/>
      <w:bookmarkStart w:id="119" w:name="_Toc218629285"/>
      <w:r w:rsidRPr="00390868">
        <w:rPr>
          <w:rStyle w:val="Strong"/>
          <w:rFonts w:ascii="Arial" w:hAnsi="Arial" w:cs="Arial"/>
        </w:rPr>
        <w:t>7.2 Workforce Structure and Role Allocation (Steady-State Model)</w:t>
      </w:r>
      <w:bookmarkEnd w:id="118"/>
      <w:bookmarkEnd w:id="119"/>
    </w:p>
    <w:p w14:paraId="587E10B2" w14:textId="77777777" w:rsidR="00D47FD9" w:rsidRPr="00390868" w:rsidRDefault="00D47FD9" w:rsidP="00905241">
      <w:pPr>
        <w:pStyle w:val="NormalWeb"/>
        <w:spacing w:line="360" w:lineRule="auto"/>
        <w:rPr>
          <w:rFonts w:ascii="Arial" w:hAnsi="Arial" w:cs="Arial"/>
        </w:rPr>
      </w:pPr>
      <w:r w:rsidRPr="00390868">
        <w:rPr>
          <w:rFonts w:ascii="Arial" w:hAnsi="Arial" w:cs="Arial"/>
        </w:rPr>
        <w:t>The full-capacity staffing structure for 1 STATION Ltd is detailed in Table 7.1, representing the target operational configuration at maturity.</w:t>
      </w:r>
    </w:p>
    <w:p w14:paraId="7753712D" w14:textId="77777777" w:rsidR="00D47FD9" w:rsidRPr="00390868" w:rsidRDefault="00D47FD9" w:rsidP="00905241">
      <w:pPr>
        <w:pStyle w:val="NormalWeb"/>
        <w:spacing w:line="360" w:lineRule="auto"/>
        <w:rPr>
          <w:rFonts w:ascii="Arial" w:hAnsi="Arial" w:cs="Arial"/>
        </w:rPr>
      </w:pPr>
      <w:r w:rsidRPr="00390868">
        <w:rPr>
          <w:rStyle w:val="Strong"/>
          <w:rFonts w:ascii="Arial" w:hAnsi="Arial" w:cs="Arial"/>
        </w:rPr>
        <w:t>Table 7.1: Steady-State Workforce Structure for 1 STATION Ltd</w:t>
      </w:r>
      <w:r w:rsidRPr="00390868">
        <w:rPr>
          <w:rFonts w:ascii="Arial" w:hAnsi="Arial" w:cs="Arial"/>
        </w:rPr>
        <w:br/>
      </w:r>
      <w:r w:rsidRPr="00390868">
        <w:rPr>
          <w:rStyle w:val="Emphasis"/>
          <w:rFonts w:ascii="Arial" w:hAnsi="Arial" w:cs="Arial"/>
        </w:rPr>
        <w:t>(Source: Author’s analysis)</w:t>
      </w:r>
    </w:p>
    <w:tbl>
      <w:tblPr>
        <w:tblStyle w:val="PlainTable1"/>
        <w:tblW w:w="0" w:type="auto"/>
        <w:tblLook w:val="04A0" w:firstRow="1" w:lastRow="0" w:firstColumn="1" w:lastColumn="0" w:noHBand="0" w:noVBand="1"/>
      </w:tblPr>
      <w:tblGrid>
        <w:gridCol w:w="3386"/>
        <w:gridCol w:w="4178"/>
        <w:gridCol w:w="1281"/>
      </w:tblGrid>
      <w:tr w:rsidR="00D47FD9" w:rsidRPr="00390868" w14:paraId="5004284F"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29B67E" w14:textId="77777777" w:rsidR="00D47FD9" w:rsidRPr="00390868" w:rsidRDefault="00D47FD9" w:rsidP="00905241">
            <w:pPr>
              <w:spacing w:line="360" w:lineRule="auto"/>
              <w:jc w:val="center"/>
              <w:rPr>
                <w:rFonts w:ascii="Arial" w:hAnsi="Arial" w:cs="Arial"/>
              </w:rPr>
            </w:pPr>
            <w:r w:rsidRPr="00390868">
              <w:rPr>
                <w:rFonts w:ascii="Arial" w:hAnsi="Arial" w:cs="Arial"/>
                <w:b w:val="0"/>
                <w:bCs w:val="0"/>
              </w:rPr>
              <w:t>Category</w:t>
            </w:r>
          </w:p>
        </w:tc>
        <w:tc>
          <w:tcPr>
            <w:tcW w:w="0" w:type="auto"/>
            <w:hideMark/>
          </w:tcPr>
          <w:p w14:paraId="764AF662" w14:textId="77777777" w:rsidR="00D47FD9" w:rsidRPr="00390868" w:rsidRDefault="00D47FD9" w:rsidP="00905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390868">
              <w:rPr>
                <w:rFonts w:ascii="Arial" w:hAnsi="Arial" w:cs="Arial"/>
                <w:b w:val="0"/>
                <w:bCs w:val="0"/>
              </w:rPr>
              <w:t>Roles</w:t>
            </w:r>
          </w:p>
        </w:tc>
        <w:tc>
          <w:tcPr>
            <w:tcW w:w="0" w:type="auto"/>
            <w:hideMark/>
          </w:tcPr>
          <w:p w14:paraId="34DAFC0C" w14:textId="77777777" w:rsidR="00D47FD9" w:rsidRPr="00390868" w:rsidRDefault="00D47FD9" w:rsidP="00905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390868">
              <w:rPr>
                <w:rFonts w:ascii="Arial" w:hAnsi="Arial" w:cs="Arial"/>
                <w:b w:val="0"/>
                <w:bCs w:val="0"/>
              </w:rPr>
              <w:t>Headcount</w:t>
            </w:r>
          </w:p>
        </w:tc>
      </w:tr>
      <w:tr w:rsidR="00D47FD9" w:rsidRPr="00390868" w14:paraId="60E4C2A0"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8B3145" w14:textId="77777777" w:rsidR="00D47FD9" w:rsidRPr="00390868" w:rsidRDefault="00D47FD9" w:rsidP="00905241">
            <w:pPr>
              <w:spacing w:line="360" w:lineRule="auto"/>
              <w:rPr>
                <w:rFonts w:ascii="Arial" w:hAnsi="Arial" w:cs="Arial"/>
                <w:b w:val="0"/>
                <w:bCs w:val="0"/>
              </w:rPr>
            </w:pPr>
            <w:r w:rsidRPr="00390868">
              <w:rPr>
                <w:rFonts w:ascii="Arial" w:hAnsi="Arial" w:cs="Arial"/>
              </w:rPr>
              <w:t>Management &amp; Administration</w:t>
            </w:r>
          </w:p>
        </w:tc>
        <w:tc>
          <w:tcPr>
            <w:tcW w:w="0" w:type="auto"/>
            <w:hideMark/>
          </w:tcPr>
          <w:p w14:paraId="58EE0459"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Estate Manager (1), Service Advisors (2)</w:t>
            </w:r>
          </w:p>
        </w:tc>
        <w:tc>
          <w:tcPr>
            <w:tcW w:w="0" w:type="auto"/>
            <w:hideMark/>
          </w:tcPr>
          <w:p w14:paraId="3E29B3D5"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w:t>
            </w:r>
          </w:p>
        </w:tc>
      </w:tr>
      <w:tr w:rsidR="00D47FD9" w:rsidRPr="00390868" w14:paraId="5BDDE12F"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30B6292" w14:textId="77777777" w:rsidR="00D47FD9" w:rsidRPr="00390868" w:rsidRDefault="00D47FD9" w:rsidP="00905241">
            <w:pPr>
              <w:spacing w:line="360" w:lineRule="auto"/>
              <w:rPr>
                <w:rFonts w:ascii="Arial" w:hAnsi="Arial" w:cs="Arial"/>
              </w:rPr>
            </w:pPr>
            <w:r w:rsidRPr="00390868">
              <w:rPr>
                <w:rFonts w:ascii="Arial" w:hAnsi="Arial" w:cs="Arial"/>
              </w:rPr>
              <w:t>Mechanical &amp; MOT</w:t>
            </w:r>
          </w:p>
        </w:tc>
        <w:tc>
          <w:tcPr>
            <w:tcW w:w="0" w:type="auto"/>
            <w:hideMark/>
          </w:tcPr>
          <w:p w14:paraId="26D14AD7"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MOT Testers (3), Mechanics (3)</w:t>
            </w:r>
          </w:p>
        </w:tc>
        <w:tc>
          <w:tcPr>
            <w:tcW w:w="0" w:type="auto"/>
            <w:hideMark/>
          </w:tcPr>
          <w:p w14:paraId="4630DEBD"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w:t>
            </w:r>
          </w:p>
        </w:tc>
      </w:tr>
      <w:tr w:rsidR="00D47FD9" w:rsidRPr="00390868" w14:paraId="03438D8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14B0D2" w14:textId="77777777" w:rsidR="00D47FD9" w:rsidRPr="00390868" w:rsidRDefault="00D47FD9" w:rsidP="00905241">
            <w:pPr>
              <w:spacing w:line="360" w:lineRule="auto"/>
              <w:rPr>
                <w:rFonts w:ascii="Arial" w:hAnsi="Arial" w:cs="Arial"/>
              </w:rPr>
            </w:pPr>
            <w:r w:rsidRPr="00390868">
              <w:rPr>
                <w:rFonts w:ascii="Arial" w:hAnsi="Arial" w:cs="Arial"/>
              </w:rPr>
              <w:t>Auto-Electrical (ICE Vehicles)</w:t>
            </w:r>
          </w:p>
        </w:tc>
        <w:tc>
          <w:tcPr>
            <w:tcW w:w="0" w:type="auto"/>
            <w:hideMark/>
          </w:tcPr>
          <w:p w14:paraId="36D065F2"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Auto-Electricians</w:t>
            </w:r>
          </w:p>
        </w:tc>
        <w:tc>
          <w:tcPr>
            <w:tcW w:w="0" w:type="auto"/>
            <w:hideMark/>
          </w:tcPr>
          <w:p w14:paraId="73E3BFD7"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w:t>
            </w:r>
          </w:p>
        </w:tc>
      </w:tr>
      <w:tr w:rsidR="00D47FD9" w:rsidRPr="00390868" w14:paraId="3A86DFCD"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51990F3E" w14:textId="77777777" w:rsidR="00D47FD9" w:rsidRPr="00390868" w:rsidRDefault="00D47FD9" w:rsidP="00905241">
            <w:pPr>
              <w:spacing w:line="360" w:lineRule="auto"/>
              <w:rPr>
                <w:rFonts w:ascii="Arial" w:hAnsi="Arial" w:cs="Arial"/>
              </w:rPr>
            </w:pPr>
            <w:r w:rsidRPr="00390868">
              <w:rPr>
                <w:rFonts w:ascii="Arial" w:hAnsi="Arial" w:cs="Arial"/>
              </w:rPr>
              <w:t>EV / Hybrid Services</w:t>
            </w:r>
          </w:p>
        </w:tc>
        <w:tc>
          <w:tcPr>
            <w:tcW w:w="0" w:type="auto"/>
            <w:hideMark/>
          </w:tcPr>
          <w:p w14:paraId="77EA94E4"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EV &amp; Hybrid Technicians</w:t>
            </w:r>
          </w:p>
        </w:tc>
        <w:tc>
          <w:tcPr>
            <w:tcW w:w="0" w:type="auto"/>
            <w:hideMark/>
          </w:tcPr>
          <w:p w14:paraId="7D5ED7B9"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r>
      <w:tr w:rsidR="00D47FD9" w:rsidRPr="00390868" w14:paraId="344A27B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47E3B" w14:textId="77777777" w:rsidR="00D47FD9" w:rsidRPr="00390868" w:rsidRDefault="00D47FD9" w:rsidP="00905241">
            <w:pPr>
              <w:spacing w:line="360" w:lineRule="auto"/>
              <w:rPr>
                <w:rFonts w:ascii="Arial" w:hAnsi="Arial" w:cs="Arial"/>
              </w:rPr>
            </w:pPr>
            <w:r w:rsidRPr="00390868">
              <w:rPr>
                <w:rFonts w:ascii="Arial" w:hAnsi="Arial" w:cs="Arial"/>
              </w:rPr>
              <w:t>Bodywork &amp; Paint</w:t>
            </w:r>
          </w:p>
        </w:tc>
        <w:tc>
          <w:tcPr>
            <w:tcW w:w="0" w:type="auto"/>
            <w:hideMark/>
          </w:tcPr>
          <w:p w14:paraId="55AB9791"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Panel Beaters (3), Paint Technicians (2)</w:t>
            </w:r>
          </w:p>
        </w:tc>
        <w:tc>
          <w:tcPr>
            <w:tcW w:w="0" w:type="auto"/>
            <w:hideMark/>
          </w:tcPr>
          <w:p w14:paraId="32E2725D"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w:t>
            </w:r>
          </w:p>
        </w:tc>
      </w:tr>
      <w:tr w:rsidR="00D47FD9" w:rsidRPr="00390868" w14:paraId="51C810A7"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1BE2475D" w14:textId="77777777" w:rsidR="00D47FD9" w:rsidRPr="00390868" w:rsidRDefault="00D47FD9" w:rsidP="00905241">
            <w:pPr>
              <w:spacing w:line="360" w:lineRule="auto"/>
              <w:rPr>
                <w:rFonts w:ascii="Arial" w:hAnsi="Arial" w:cs="Arial"/>
              </w:rPr>
            </w:pPr>
            <w:r w:rsidRPr="00390868">
              <w:rPr>
                <w:rFonts w:ascii="Arial" w:hAnsi="Arial" w:cs="Arial"/>
              </w:rPr>
              <w:t>Tyre Services</w:t>
            </w:r>
          </w:p>
        </w:tc>
        <w:tc>
          <w:tcPr>
            <w:tcW w:w="0" w:type="auto"/>
            <w:hideMark/>
          </w:tcPr>
          <w:p w14:paraId="52D870E2"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Tyre Technicians</w:t>
            </w:r>
          </w:p>
        </w:tc>
        <w:tc>
          <w:tcPr>
            <w:tcW w:w="0" w:type="auto"/>
            <w:hideMark/>
          </w:tcPr>
          <w:p w14:paraId="546F6D7C"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w:t>
            </w:r>
          </w:p>
        </w:tc>
      </w:tr>
      <w:tr w:rsidR="00D47FD9" w:rsidRPr="00390868" w14:paraId="1D319933"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33B202" w14:textId="77777777" w:rsidR="00D47FD9" w:rsidRPr="00390868" w:rsidRDefault="00D47FD9" w:rsidP="00905241">
            <w:pPr>
              <w:spacing w:line="360" w:lineRule="auto"/>
              <w:rPr>
                <w:rFonts w:ascii="Arial" w:hAnsi="Arial" w:cs="Arial"/>
              </w:rPr>
            </w:pPr>
            <w:r w:rsidRPr="00390868">
              <w:rPr>
                <w:rFonts w:ascii="Arial" w:hAnsi="Arial" w:cs="Arial"/>
              </w:rPr>
              <w:t>Wash &amp; Detailing</w:t>
            </w:r>
          </w:p>
        </w:tc>
        <w:tc>
          <w:tcPr>
            <w:tcW w:w="0" w:type="auto"/>
            <w:hideMark/>
          </w:tcPr>
          <w:p w14:paraId="7140BA4F"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Detailing Operatives</w:t>
            </w:r>
          </w:p>
        </w:tc>
        <w:tc>
          <w:tcPr>
            <w:tcW w:w="0" w:type="auto"/>
            <w:hideMark/>
          </w:tcPr>
          <w:p w14:paraId="5B3862C2"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w:t>
            </w:r>
          </w:p>
        </w:tc>
      </w:tr>
      <w:tr w:rsidR="00D47FD9" w:rsidRPr="00390868" w14:paraId="73C18ED0"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12CF0283" w14:textId="77777777" w:rsidR="00D47FD9" w:rsidRPr="00390868" w:rsidRDefault="00D47FD9" w:rsidP="00905241">
            <w:pPr>
              <w:spacing w:line="360" w:lineRule="auto"/>
              <w:rPr>
                <w:rFonts w:ascii="Arial" w:hAnsi="Arial" w:cs="Arial"/>
              </w:rPr>
            </w:pPr>
            <w:r w:rsidRPr="00390868">
              <w:rPr>
                <w:rFonts w:ascii="Arial" w:hAnsi="Arial" w:cs="Arial"/>
              </w:rPr>
              <w:t>Tinting Services</w:t>
            </w:r>
          </w:p>
        </w:tc>
        <w:tc>
          <w:tcPr>
            <w:tcW w:w="0" w:type="auto"/>
            <w:hideMark/>
          </w:tcPr>
          <w:p w14:paraId="2AA00BEC"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Tint Technicians</w:t>
            </w:r>
          </w:p>
        </w:tc>
        <w:tc>
          <w:tcPr>
            <w:tcW w:w="0" w:type="auto"/>
            <w:hideMark/>
          </w:tcPr>
          <w:p w14:paraId="58F61647"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w:t>
            </w:r>
          </w:p>
        </w:tc>
      </w:tr>
      <w:tr w:rsidR="00D47FD9" w:rsidRPr="00390868" w14:paraId="6CAC9E33"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0A66A" w14:textId="77777777" w:rsidR="00D47FD9" w:rsidRPr="00390868" w:rsidRDefault="00D47FD9" w:rsidP="00905241">
            <w:pPr>
              <w:spacing w:line="360" w:lineRule="auto"/>
              <w:rPr>
                <w:rFonts w:ascii="Arial" w:hAnsi="Arial" w:cs="Arial"/>
              </w:rPr>
            </w:pPr>
            <w:r w:rsidRPr="00390868">
              <w:rPr>
                <w:rFonts w:ascii="Arial" w:hAnsi="Arial" w:cs="Arial"/>
              </w:rPr>
              <w:t>Logistics &amp; Drivers</w:t>
            </w:r>
          </w:p>
        </w:tc>
        <w:tc>
          <w:tcPr>
            <w:tcW w:w="0" w:type="auto"/>
            <w:hideMark/>
          </w:tcPr>
          <w:p w14:paraId="3F4D1D3B"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Parts &amp; Vehicle Movement</w:t>
            </w:r>
          </w:p>
        </w:tc>
        <w:tc>
          <w:tcPr>
            <w:tcW w:w="0" w:type="auto"/>
            <w:hideMark/>
          </w:tcPr>
          <w:p w14:paraId="0C67296B"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w:t>
            </w:r>
          </w:p>
        </w:tc>
      </w:tr>
      <w:tr w:rsidR="00D47FD9" w:rsidRPr="00390868" w14:paraId="676B81DC"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353DEA70" w14:textId="77777777" w:rsidR="00D47FD9" w:rsidRPr="00390868" w:rsidRDefault="00D47FD9" w:rsidP="00905241">
            <w:pPr>
              <w:spacing w:line="360" w:lineRule="auto"/>
              <w:rPr>
                <w:rFonts w:ascii="Arial" w:hAnsi="Arial" w:cs="Arial"/>
              </w:rPr>
            </w:pPr>
            <w:r w:rsidRPr="00390868">
              <w:rPr>
                <w:rFonts w:ascii="Arial" w:hAnsi="Arial" w:cs="Arial"/>
              </w:rPr>
              <w:t>Security</w:t>
            </w:r>
          </w:p>
        </w:tc>
        <w:tc>
          <w:tcPr>
            <w:tcW w:w="0" w:type="auto"/>
            <w:hideMark/>
          </w:tcPr>
          <w:p w14:paraId="23579159"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On-site Security (shift-based)</w:t>
            </w:r>
          </w:p>
        </w:tc>
        <w:tc>
          <w:tcPr>
            <w:tcW w:w="0" w:type="auto"/>
            <w:hideMark/>
          </w:tcPr>
          <w:p w14:paraId="716FC1D2" w14:textId="77777777" w:rsidR="00D47FD9" w:rsidRPr="00390868" w:rsidRDefault="00D47FD9" w:rsidP="009052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r>
      <w:tr w:rsidR="00D47FD9" w:rsidRPr="00390868" w14:paraId="51BEF217"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61B668" w14:textId="77777777" w:rsidR="00D47FD9" w:rsidRPr="00390868" w:rsidRDefault="00D47FD9" w:rsidP="00905241">
            <w:pPr>
              <w:spacing w:line="360" w:lineRule="auto"/>
              <w:rPr>
                <w:rFonts w:ascii="Arial" w:hAnsi="Arial" w:cs="Arial"/>
              </w:rPr>
            </w:pPr>
            <w:r w:rsidRPr="00390868">
              <w:rPr>
                <w:rStyle w:val="Strong"/>
                <w:rFonts w:ascii="Arial" w:hAnsi="Arial" w:cs="Arial"/>
              </w:rPr>
              <w:t>Total (Steady-State)</w:t>
            </w:r>
          </w:p>
        </w:tc>
        <w:tc>
          <w:tcPr>
            <w:tcW w:w="0" w:type="auto"/>
            <w:hideMark/>
          </w:tcPr>
          <w:p w14:paraId="199F7353"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517EBD4" w14:textId="77777777" w:rsidR="00D47FD9" w:rsidRPr="00390868" w:rsidRDefault="00D47FD9" w:rsidP="0090524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0868">
              <w:rPr>
                <w:rStyle w:val="Strong"/>
                <w:rFonts w:ascii="Arial" w:hAnsi="Arial" w:cs="Arial"/>
              </w:rPr>
              <w:t>32</w:t>
            </w:r>
          </w:p>
        </w:tc>
      </w:tr>
    </w:tbl>
    <w:p w14:paraId="255A4089" w14:textId="77777777" w:rsidR="00D47FD9" w:rsidRPr="00390868" w:rsidRDefault="00D47FD9" w:rsidP="00905241">
      <w:pPr>
        <w:pStyle w:val="NormalWeb"/>
        <w:spacing w:line="360" w:lineRule="auto"/>
        <w:rPr>
          <w:rFonts w:ascii="Arial" w:hAnsi="Arial" w:cs="Arial"/>
        </w:rPr>
      </w:pPr>
      <w:r w:rsidRPr="00390868">
        <w:rPr>
          <w:rFonts w:ascii="Arial" w:hAnsi="Arial" w:cs="Arial"/>
        </w:rPr>
        <w:t xml:space="preserve">This allocation ensures sufficient technical depth within each service unit while benefiting from shared administrative, logistical and supervisory infrastructure. It also </w:t>
      </w:r>
      <w:r w:rsidRPr="00390868">
        <w:rPr>
          <w:rFonts w:ascii="Arial" w:hAnsi="Arial" w:cs="Arial"/>
        </w:rPr>
        <w:lastRenderedPageBreak/>
        <w:t>reduces dependency risk associated with single-point skill ownership—a recognised vulnerability within small and medium-sized automotive businesses (IMI, 2024). Dedicated on-site security is required due to the concentration of high-value vehicles, specialist equipment and hazardous materials across extended operating hours.</w:t>
      </w:r>
    </w:p>
    <w:p w14:paraId="126A9BFE" w14:textId="77777777" w:rsidR="00D47FD9" w:rsidRPr="00390868" w:rsidRDefault="00D47FD9" w:rsidP="00905241">
      <w:pPr>
        <w:pStyle w:val="Heading2"/>
        <w:spacing w:line="360" w:lineRule="auto"/>
        <w:rPr>
          <w:rFonts w:ascii="Arial" w:hAnsi="Arial" w:cs="Arial"/>
        </w:rPr>
      </w:pPr>
      <w:bookmarkStart w:id="120" w:name="_Toc217830874"/>
      <w:bookmarkStart w:id="121" w:name="_Toc218629286"/>
      <w:r w:rsidRPr="00390868">
        <w:rPr>
          <w:rStyle w:val="Strong"/>
          <w:rFonts w:ascii="Arial" w:hAnsi="Arial" w:cs="Arial"/>
        </w:rPr>
        <w:t>7.3 Roles, Responsibilities and Skills Requirements</w:t>
      </w:r>
      <w:bookmarkEnd w:id="120"/>
      <w:bookmarkEnd w:id="121"/>
    </w:p>
    <w:p w14:paraId="1EEF190C" w14:textId="77777777" w:rsidR="00D47FD9" w:rsidRPr="00390868" w:rsidRDefault="00D47FD9" w:rsidP="00905241">
      <w:pPr>
        <w:pStyle w:val="NormalWeb"/>
        <w:spacing w:line="360" w:lineRule="auto"/>
        <w:rPr>
          <w:rFonts w:ascii="Arial" w:hAnsi="Arial" w:cs="Arial"/>
        </w:rPr>
      </w:pPr>
      <w:r w:rsidRPr="00390868">
        <w:rPr>
          <w:rFonts w:ascii="Arial" w:hAnsi="Arial" w:cs="Arial"/>
        </w:rPr>
        <w:t>In practice, this skill separation prevents common workshop bottlenecks where complex diagnostics delay routine throughput. Workforce effectiveness depends not only on headcount but on certification, competence and adaptability. Management and administrative staff oversee estate coordination, compliance governance, supplier management and financial monitoring. Mechanical and MOT technicians deliver statutory testing and repairs, with MOT testers holding DVSA approval.</w:t>
      </w:r>
    </w:p>
    <w:p w14:paraId="55A0968F" w14:textId="77777777" w:rsidR="00D47FD9" w:rsidRPr="00390868" w:rsidRDefault="00D47FD9" w:rsidP="00905241">
      <w:pPr>
        <w:pStyle w:val="NormalWeb"/>
        <w:spacing w:line="360" w:lineRule="auto"/>
        <w:rPr>
          <w:rFonts w:ascii="Arial" w:hAnsi="Arial" w:cs="Arial"/>
        </w:rPr>
      </w:pPr>
      <w:r w:rsidRPr="00390868">
        <w:rPr>
          <w:rFonts w:ascii="Arial" w:hAnsi="Arial" w:cs="Arial"/>
        </w:rPr>
        <w:t>Auto-electrical technicians specialise in diagnostics relating to wiring, sensors and ECU systems for fuel vehicles, while EV and hybrid technicians must hold IMI Level 3 or Level 4 high-voltage certification to manage battery and inverter systems safely. Bodywork and paint technicians perform structural repairs, refinishing and ADAS-related recalibration, while tyre technicians deliver fitting, balancing and alignment services.</w:t>
      </w:r>
    </w:p>
    <w:p w14:paraId="0CBCC471" w14:textId="77777777" w:rsidR="00D47FD9" w:rsidRPr="00390868" w:rsidRDefault="00D47FD9" w:rsidP="00905241">
      <w:pPr>
        <w:pStyle w:val="NormalWeb"/>
        <w:spacing w:line="360" w:lineRule="auto"/>
        <w:rPr>
          <w:rFonts w:ascii="Arial" w:hAnsi="Arial" w:cs="Arial"/>
        </w:rPr>
      </w:pPr>
      <w:r w:rsidRPr="00390868">
        <w:rPr>
          <w:rFonts w:ascii="Arial" w:hAnsi="Arial" w:cs="Arial"/>
        </w:rPr>
        <w:t>Wash, detailing and tinting operatives provide aesthetic services under environmental and safety standards, supported by logistics and security staff who maintain operational flow and site safety. Increasing vehicle software complexity reinforces the importance of specialist skills and continuous training (IMI, 2024; Deloitte, 2023).</w:t>
      </w:r>
    </w:p>
    <w:p w14:paraId="40C8EA62" w14:textId="77777777" w:rsidR="00D47FD9" w:rsidRPr="00390868" w:rsidRDefault="00D47FD9" w:rsidP="00905241">
      <w:pPr>
        <w:pStyle w:val="Heading2"/>
        <w:spacing w:line="360" w:lineRule="auto"/>
        <w:rPr>
          <w:rFonts w:ascii="Arial" w:hAnsi="Arial" w:cs="Arial"/>
        </w:rPr>
      </w:pPr>
      <w:bookmarkStart w:id="122" w:name="_Toc217830875"/>
      <w:bookmarkStart w:id="123" w:name="_Toc218629287"/>
      <w:r w:rsidRPr="00390868">
        <w:rPr>
          <w:rStyle w:val="Strong"/>
          <w:rFonts w:ascii="Arial" w:hAnsi="Arial" w:cs="Arial"/>
        </w:rPr>
        <w:t>7.4 Recruitment, Training and Skills Development</w:t>
      </w:r>
      <w:bookmarkEnd w:id="122"/>
      <w:bookmarkEnd w:id="123"/>
    </w:p>
    <w:p w14:paraId="76D48871" w14:textId="77777777" w:rsidR="00D47FD9" w:rsidRPr="00390868" w:rsidRDefault="00D47FD9" w:rsidP="00905241">
      <w:pPr>
        <w:pStyle w:val="NormalWeb"/>
        <w:spacing w:line="360" w:lineRule="auto"/>
        <w:rPr>
          <w:rFonts w:ascii="Arial" w:hAnsi="Arial" w:cs="Arial"/>
        </w:rPr>
      </w:pPr>
      <w:r w:rsidRPr="00390868">
        <w:rPr>
          <w:rFonts w:ascii="Arial" w:hAnsi="Arial" w:cs="Arial"/>
        </w:rPr>
        <w:t>Recruitment prioritises candidates with industry-recognised qualifications, including NVQ Levels 2–3, IMI certifications and DVSA approval where applicable, alongside relevant workshop experience. Emphasis is placed on health and safety awareness, regulatory compliance and customer-facing professionalism.</w:t>
      </w:r>
    </w:p>
    <w:p w14:paraId="528344E5" w14:textId="77777777" w:rsidR="00D47FD9" w:rsidRPr="00390868" w:rsidRDefault="00D47FD9" w:rsidP="00905241">
      <w:pPr>
        <w:pStyle w:val="NormalWeb"/>
        <w:spacing w:line="360" w:lineRule="auto"/>
        <w:rPr>
          <w:rFonts w:ascii="Arial" w:hAnsi="Arial" w:cs="Arial"/>
        </w:rPr>
      </w:pPr>
      <w:r w:rsidRPr="00390868">
        <w:rPr>
          <w:rFonts w:ascii="Arial" w:hAnsi="Arial" w:cs="Arial"/>
        </w:rPr>
        <w:lastRenderedPageBreak/>
        <w:t>To address the national shortage of EV-qualified technicians, the business will invest in upskilling existing staff through IMI-accredited high-voltage training and manufacturer-supported certification programmes (IMI, 2024). Apprenticeship pathways will be developed in collaboration with local further-education providers to support long-term workforce sustainability.</w:t>
      </w:r>
    </w:p>
    <w:p w14:paraId="10F6EA1F" w14:textId="77777777" w:rsidR="00D47FD9" w:rsidRPr="00390868" w:rsidRDefault="00D47FD9" w:rsidP="00905241">
      <w:pPr>
        <w:pStyle w:val="NormalWeb"/>
        <w:spacing w:line="360" w:lineRule="auto"/>
        <w:rPr>
          <w:rFonts w:ascii="Arial" w:hAnsi="Arial" w:cs="Arial"/>
        </w:rPr>
      </w:pPr>
      <w:r w:rsidRPr="00390868">
        <w:rPr>
          <w:rFonts w:ascii="Arial" w:hAnsi="Arial" w:cs="Arial"/>
        </w:rPr>
        <w:t xml:space="preserve">Workforce deployment aligns strictly with the phased operational ramp-up model. No revenue-generating staff are deployed during Months 1–6, limited test staffing is introduced during Months 7–9, and full staffing across all eight service units is implemented from Month 10 onwards. The financial implications of this staged labour investment are examined in detail in </w:t>
      </w:r>
      <w:r w:rsidRPr="00390868">
        <w:rPr>
          <w:rStyle w:val="Strong"/>
          <w:rFonts w:ascii="Arial" w:hAnsi="Arial" w:cs="Arial"/>
        </w:rPr>
        <w:t>Section 8 (Financial Plan)</w:t>
      </w:r>
      <w:r w:rsidRPr="00390868">
        <w:rPr>
          <w:rFonts w:ascii="Arial" w:hAnsi="Arial" w:cs="Arial"/>
          <w:b/>
          <w:bCs/>
        </w:rPr>
        <w:t>.</w:t>
      </w:r>
    </w:p>
    <w:p w14:paraId="6B80746F" w14:textId="77777777" w:rsidR="00D47FD9" w:rsidRPr="00390868" w:rsidRDefault="00D47FD9" w:rsidP="00905241">
      <w:pPr>
        <w:pStyle w:val="Heading2"/>
        <w:spacing w:line="360" w:lineRule="auto"/>
        <w:rPr>
          <w:rFonts w:ascii="Arial" w:hAnsi="Arial" w:cs="Arial"/>
        </w:rPr>
      </w:pPr>
      <w:bookmarkStart w:id="124" w:name="_Toc217830876"/>
      <w:bookmarkStart w:id="125" w:name="_Toc218629288"/>
      <w:r w:rsidRPr="00390868">
        <w:rPr>
          <w:rStyle w:val="Strong"/>
          <w:rFonts w:ascii="Arial" w:hAnsi="Arial" w:cs="Arial"/>
        </w:rPr>
        <w:t>7.5 Performance Management and Retention Strategy</w:t>
      </w:r>
      <w:bookmarkEnd w:id="124"/>
      <w:bookmarkEnd w:id="125"/>
    </w:p>
    <w:p w14:paraId="39FFC9F9" w14:textId="77777777" w:rsidR="00D47FD9" w:rsidRPr="00390868" w:rsidRDefault="00D47FD9" w:rsidP="00905241">
      <w:pPr>
        <w:pStyle w:val="NormalWeb"/>
        <w:spacing w:line="360" w:lineRule="auto"/>
        <w:rPr>
          <w:rFonts w:ascii="Arial" w:hAnsi="Arial" w:cs="Arial"/>
        </w:rPr>
      </w:pPr>
      <w:r w:rsidRPr="00390868">
        <w:rPr>
          <w:rFonts w:ascii="Arial" w:hAnsi="Arial" w:cs="Arial"/>
        </w:rPr>
        <w:t>Performance management integrates quantitative operational metrics with qualitative behavioural assessment. Key indicators include labour utilisation, first-time fix rates, MOT throughput per tester, job completion time and compliance adherence, supported by customer satisfaction measures. These KPIs are reviewed monthly alongside financial performance indicators to ensure labour productivity remains aligned with contribution margins.</w:t>
      </w:r>
    </w:p>
    <w:p w14:paraId="24F434D8" w14:textId="77777777" w:rsidR="00D47FD9" w:rsidRPr="00390868" w:rsidRDefault="00D47FD9" w:rsidP="00905241">
      <w:pPr>
        <w:pStyle w:val="NormalWeb"/>
        <w:spacing w:line="360" w:lineRule="auto"/>
        <w:rPr>
          <w:rFonts w:ascii="Arial" w:hAnsi="Arial" w:cs="Arial"/>
        </w:rPr>
      </w:pPr>
      <w:r w:rsidRPr="00390868">
        <w:rPr>
          <w:rFonts w:ascii="Arial" w:hAnsi="Arial" w:cs="Arial"/>
        </w:rPr>
        <w:t>Retention is supported through performance-linked incentives, structured career progression pathways and continued investment in technical certification. Employees demonstrating consistent performance and compliance are offered advancement opportunities and specialist training sponsorship. This approach aligns with evidence that structured development and recognition significantly reduce technician turnover in competitive labour markets (Armstrong, 2023), strengthening workforce stability and operational resilience.</w:t>
      </w:r>
    </w:p>
    <w:p w14:paraId="48241B09" w14:textId="4FE30FA0" w:rsidR="002E5DDE" w:rsidRPr="00390868" w:rsidRDefault="002F19FC" w:rsidP="00905241">
      <w:pPr>
        <w:pStyle w:val="Heading1"/>
        <w:spacing w:line="360" w:lineRule="auto"/>
        <w:rPr>
          <w:rFonts w:ascii="Arial" w:hAnsi="Arial" w:cs="Arial"/>
        </w:rPr>
      </w:pPr>
      <w:bookmarkStart w:id="126" w:name="_Toc218629289"/>
      <w:r w:rsidRPr="00390868">
        <w:rPr>
          <w:rFonts w:ascii="Arial" w:hAnsi="Arial" w:cs="Arial"/>
        </w:rPr>
        <w:t xml:space="preserve">8. </w:t>
      </w:r>
      <w:r w:rsidR="00BE5DC0" w:rsidRPr="00390868">
        <w:rPr>
          <w:rFonts w:ascii="Arial" w:hAnsi="Arial" w:cs="Arial"/>
        </w:rPr>
        <w:t>Finance plan</w:t>
      </w:r>
      <w:bookmarkEnd w:id="126"/>
      <w:r w:rsidR="00BE5DC0" w:rsidRPr="00390868">
        <w:rPr>
          <w:rFonts w:ascii="Arial" w:hAnsi="Arial" w:cs="Arial"/>
        </w:rPr>
        <w:t xml:space="preserve"> </w:t>
      </w:r>
    </w:p>
    <w:p w14:paraId="34451DE2" w14:textId="77777777" w:rsidR="00DF0A46" w:rsidRPr="00390868" w:rsidRDefault="00DF0A46" w:rsidP="00905241">
      <w:pPr>
        <w:spacing w:line="360" w:lineRule="auto"/>
        <w:rPr>
          <w:rFonts w:ascii="Arial" w:hAnsi="Arial" w:cs="Arial"/>
        </w:rPr>
      </w:pPr>
      <w:r w:rsidRPr="00390868">
        <w:rPr>
          <w:rFonts w:ascii="Arial" w:hAnsi="Arial" w:cs="Arial"/>
        </w:rPr>
        <w:t xml:space="preserve">The financial model for 1 STATION Ltd is constructed using a capacity-led and operations-driven framework, rather than speculative market-share assumptions. This approach reflects best practice in capital-intensive service ventures, where financial performance is </w:t>
      </w:r>
      <w:r w:rsidRPr="00390868">
        <w:rPr>
          <w:rFonts w:ascii="Arial" w:hAnsi="Arial" w:cs="Arial"/>
        </w:rPr>
        <w:lastRenderedPageBreak/>
        <w:t>constrained primarily by physical throughput, labour efficiency, and workflow coordination, not by demand alone (Slack et al., 2022).</w:t>
      </w:r>
    </w:p>
    <w:p w14:paraId="5A9840B7" w14:textId="77777777" w:rsidR="00DF0A46" w:rsidRPr="00390868" w:rsidRDefault="00DF0A46" w:rsidP="00905241">
      <w:pPr>
        <w:spacing w:line="360" w:lineRule="auto"/>
        <w:rPr>
          <w:rFonts w:ascii="Arial" w:hAnsi="Arial" w:cs="Arial"/>
        </w:rPr>
      </w:pPr>
      <w:r w:rsidRPr="00390868">
        <w:rPr>
          <w:rFonts w:ascii="Arial" w:hAnsi="Arial" w:cs="Arial"/>
        </w:rPr>
        <w:t>Revenue growth is therefore modelled as a function of estate utilisation across eight integrated service units, supported by increasing technician productivity, improved cross-service conversion, and rising repeat visitation as operational maturity develops. This logic directly aligns the financial plan with the operational architecture established in Section 6 and the marketing and retention mechanisms defined in Section 5.</w:t>
      </w:r>
    </w:p>
    <w:p w14:paraId="1DF78F9D" w14:textId="77777777" w:rsidR="00DF0A46" w:rsidRPr="00390868" w:rsidRDefault="00DF0A46" w:rsidP="00905241">
      <w:pPr>
        <w:spacing w:line="360" w:lineRule="auto"/>
        <w:rPr>
          <w:rFonts w:ascii="Arial" w:hAnsi="Arial" w:cs="Arial"/>
        </w:rPr>
      </w:pPr>
      <w:r w:rsidRPr="00390868">
        <w:rPr>
          <w:rFonts w:ascii="Arial" w:hAnsi="Arial" w:cs="Arial"/>
        </w:rPr>
        <w:t>Pricing assumptions are anchored in mid-market independent garage benchmarks, deliberately avoiding premium pricing strategies. Value creation is driven instead through service bundling, reduced customer coordination costs, and trust-based retention, consistent with evidence that transparency and convenience outweigh price premiums in UK automotive aftercare purchasing decisions (Mintel, 2024; Which?, 2024).</w:t>
      </w:r>
    </w:p>
    <w:p w14:paraId="3D4D396D" w14:textId="77777777" w:rsidR="00DF0A46" w:rsidRPr="00390868" w:rsidRDefault="00DF0A46" w:rsidP="00905241">
      <w:pPr>
        <w:spacing w:line="360" w:lineRule="auto"/>
        <w:rPr>
          <w:rFonts w:ascii="Arial" w:hAnsi="Arial" w:cs="Arial"/>
        </w:rPr>
      </w:pPr>
      <w:r w:rsidRPr="00390868">
        <w:rPr>
          <w:rFonts w:ascii="Arial" w:hAnsi="Arial" w:cs="Arial"/>
        </w:rPr>
        <w:t>The cost base follows a hybrid fixed–variable structure. Fixed costs are dominated by estate occupancy, minimum staffing required to operate a compliant multi-unit site, security, insurance, and digital systems. Variable costs are driven by parts, consumables, tyres, and productive labour hours. Labour is treated as the primary cost driver, reflecting the labour-intensive nature of automotive services and documented sector-wide skills constraints (IMI, 2024).</w:t>
      </w:r>
    </w:p>
    <w:p w14:paraId="56A0D7B3" w14:textId="77777777" w:rsidR="00DF0A46" w:rsidRPr="00390868" w:rsidRDefault="00DF0A46" w:rsidP="00905241">
      <w:pPr>
        <w:spacing w:line="360" w:lineRule="auto"/>
        <w:rPr>
          <w:rFonts w:ascii="Arial" w:hAnsi="Arial" w:cs="Arial"/>
        </w:rPr>
      </w:pPr>
      <w:r w:rsidRPr="00390868">
        <w:rPr>
          <w:rFonts w:ascii="Arial" w:hAnsi="Arial" w:cs="Arial"/>
        </w:rPr>
        <w:t>Cash-flow management prioritises liquidity protection over early profitability. The model assumes immediate cash receipt for retail services, conservative supplier payment terms, and no reliance on aggressive credit assumptions. Growth beyond stabilisation is funded primarily through internally generated cash flows, reducing dependence on continuous external financing.</w:t>
      </w:r>
    </w:p>
    <w:p w14:paraId="370CF708" w14:textId="77777777" w:rsidR="0029097B" w:rsidRPr="00390868" w:rsidRDefault="0029097B" w:rsidP="00905241">
      <w:pPr>
        <w:spacing w:line="360" w:lineRule="auto"/>
        <w:rPr>
          <w:rFonts w:ascii="Arial" w:hAnsi="Arial" w:cs="Arial"/>
          <w:b/>
          <w:bCs/>
        </w:rPr>
      </w:pPr>
      <w:r w:rsidRPr="00390868">
        <w:rPr>
          <w:rFonts w:ascii="Arial" w:hAnsi="Arial" w:cs="Arial"/>
          <w:b/>
          <w:bCs/>
        </w:rPr>
        <w:t>Key Financial Targets and Investment Thesis</w:t>
      </w:r>
    </w:p>
    <w:p w14:paraId="076DD1F0" w14:textId="77777777" w:rsidR="0029097B" w:rsidRPr="00390868" w:rsidRDefault="0029097B" w:rsidP="00905241">
      <w:pPr>
        <w:spacing w:line="360" w:lineRule="auto"/>
        <w:rPr>
          <w:rFonts w:ascii="Arial" w:hAnsi="Arial" w:cs="Arial"/>
        </w:rPr>
      </w:pPr>
      <w:r w:rsidRPr="00390868">
        <w:rPr>
          <w:rFonts w:ascii="Arial" w:hAnsi="Arial" w:cs="Arial"/>
        </w:rPr>
        <w:t>At steady-state operation, the financial model targets:</w:t>
      </w:r>
    </w:p>
    <w:p w14:paraId="1B1BAA79" w14:textId="77777777" w:rsidR="0029097B" w:rsidRPr="00390868" w:rsidRDefault="0029097B" w:rsidP="00905241">
      <w:pPr>
        <w:numPr>
          <w:ilvl w:val="0"/>
          <w:numId w:val="11"/>
        </w:numPr>
        <w:spacing w:line="360" w:lineRule="auto"/>
        <w:rPr>
          <w:rFonts w:ascii="Arial" w:hAnsi="Arial" w:cs="Arial"/>
        </w:rPr>
      </w:pPr>
      <w:r w:rsidRPr="00390868">
        <w:rPr>
          <w:rFonts w:ascii="Arial" w:hAnsi="Arial" w:cs="Arial"/>
        </w:rPr>
        <w:t>Annual Revenue: ~£2.7 million</w:t>
      </w:r>
    </w:p>
    <w:p w14:paraId="0F67A5F9" w14:textId="77777777" w:rsidR="0029097B" w:rsidRPr="00390868" w:rsidRDefault="0029097B" w:rsidP="00905241">
      <w:pPr>
        <w:numPr>
          <w:ilvl w:val="0"/>
          <w:numId w:val="11"/>
        </w:numPr>
        <w:spacing w:line="360" w:lineRule="auto"/>
        <w:rPr>
          <w:rFonts w:ascii="Arial" w:hAnsi="Arial" w:cs="Arial"/>
        </w:rPr>
      </w:pPr>
      <w:r w:rsidRPr="00390868">
        <w:rPr>
          <w:rFonts w:ascii="Arial" w:hAnsi="Arial" w:cs="Arial"/>
        </w:rPr>
        <w:t>Steady-State EBITDA Margin: ~14.8%</w:t>
      </w:r>
    </w:p>
    <w:p w14:paraId="1656F5E9" w14:textId="49221B79" w:rsidR="0029097B" w:rsidRPr="00390868" w:rsidRDefault="0029097B" w:rsidP="00905241">
      <w:pPr>
        <w:numPr>
          <w:ilvl w:val="0"/>
          <w:numId w:val="11"/>
        </w:numPr>
        <w:spacing w:line="360" w:lineRule="auto"/>
        <w:rPr>
          <w:rFonts w:ascii="Arial" w:hAnsi="Arial" w:cs="Arial"/>
        </w:rPr>
      </w:pPr>
      <w:r w:rsidRPr="00390868">
        <w:rPr>
          <w:rFonts w:ascii="Arial" w:hAnsi="Arial" w:cs="Arial"/>
        </w:rPr>
        <w:t>Total Funding Requirement: ~£</w:t>
      </w:r>
      <w:r w:rsidR="00BA3E08" w:rsidRPr="00390868">
        <w:rPr>
          <w:rFonts w:ascii="Arial" w:hAnsi="Arial" w:cs="Arial"/>
        </w:rPr>
        <w:t>950,000</w:t>
      </w:r>
    </w:p>
    <w:p w14:paraId="2124A4D1" w14:textId="37C7B44D" w:rsidR="0029097B" w:rsidRPr="00390868" w:rsidRDefault="0029097B" w:rsidP="00905241">
      <w:pPr>
        <w:numPr>
          <w:ilvl w:val="1"/>
          <w:numId w:val="11"/>
        </w:numPr>
        <w:spacing w:line="360" w:lineRule="auto"/>
        <w:rPr>
          <w:rFonts w:ascii="Arial" w:hAnsi="Arial" w:cs="Arial"/>
        </w:rPr>
      </w:pPr>
      <w:r w:rsidRPr="00390868">
        <w:rPr>
          <w:rFonts w:ascii="Arial" w:hAnsi="Arial" w:cs="Arial"/>
        </w:rPr>
        <w:t>CapEx: ~£</w:t>
      </w:r>
      <w:r w:rsidR="00BA3E08" w:rsidRPr="00390868">
        <w:rPr>
          <w:rFonts w:ascii="Arial" w:hAnsi="Arial" w:cs="Arial"/>
        </w:rPr>
        <w:t>49</w:t>
      </w:r>
      <w:r w:rsidRPr="00390868">
        <w:rPr>
          <w:rFonts w:ascii="Arial" w:hAnsi="Arial" w:cs="Arial"/>
        </w:rPr>
        <w:t>0,000</w:t>
      </w:r>
    </w:p>
    <w:p w14:paraId="15D3B01C" w14:textId="77777777" w:rsidR="0029097B" w:rsidRPr="00390868" w:rsidRDefault="0029097B" w:rsidP="00905241">
      <w:pPr>
        <w:numPr>
          <w:ilvl w:val="1"/>
          <w:numId w:val="11"/>
        </w:numPr>
        <w:spacing w:line="360" w:lineRule="auto"/>
        <w:rPr>
          <w:rFonts w:ascii="Arial" w:hAnsi="Arial" w:cs="Arial"/>
        </w:rPr>
      </w:pPr>
      <w:r w:rsidRPr="00390868">
        <w:rPr>
          <w:rFonts w:ascii="Arial" w:hAnsi="Arial" w:cs="Arial"/>
        </w:rPr>
        <w:t>Working Capital: ~£450,000</w:t>
      </w:r>
    </w:p>
    <w:p w14:paraId="7517CEE7" w14:textId="77777777" w:rsidR="0029097B" w:rsidRPr="00390868" w:rsidRDefault="0029097B" w:rsidP="00905241">
      <w:pPr>
        <w:numPr>
          <w:ilvl w:val="0"/>
          <w:numId w:val="11"/>
        </w:numPr>
        <w:spacing w:line="360" w:lineRule="auto"/>
        <w:rPr>
          <w:rFonts w:ascii="Arial" w:hAnsi="Arial" w:cs="Arial"/>
        </w:rPr>
      </w:pPr>
      <w:r w:rsidRPr="00390868">
        <w:rPr>
          <w:rFonts w:ascii="Arial" w:hAnsi="Arial" w:cs="Arial"/>
        </w:rPr>
        <w:t>Cash-Flow Payback: From operational cash flow by the end of Year 3</w:t>
      </w:r>
    </w:p>
    <w:p w14:paraId="2D695E9E" w14:textId="77777777" w:rsidR="0029097B" w:rsidRPr="00390868" w:rsidRDefault="0029097B" w:rsidP="00905241">
      <w:pPr>
        <w:numPr>
          <w:ilvl w:val="0"/>
          <w:numId w:val="11"/>
        </w:numPr>
        <w:spacing w:line="360" w:lineRule="auto"/>
        <w:rPr>
          <w:rFonts w:ascii="Arial" w:hAnsi="Arial" w:cs="Arial"/>
        </w:rPr>
      </w:pPr>
      <w:r w:rsidRPr="00390868">
        <w:rPr>
          <w:rFonts w:ascii="Arial" w:hAnsi="Arial" w:cs="Arial"/>
        </w:rPr>
        <w:lastRenderedPageBreak/>
        <w:t>Primary Financial Driver: Achieving &gt;65% estate utilisation, after which incremental revenue contributes strongly to profit due to high fixed-cost absorption</w:t>
      </w:r>
    </w:p>
    <w:p w14:paraId="3E5FA00D" w14:textId="77777777" w:rsidR="0029097B" w:rsidRPr="00390868" w:rsidRDefault="0029097B" w:rsidP="00905241">
      <w:pPr>
        <w:spacing w:line="360" w:lineRule="auto"/>
        <w:rPr>
          <w:rFonts w:ascii="Arial" w:hAnsi="Arial" w:cs="Arial"/>
        </w:rPr>
      </w:pPr>
      <w:r w:rsidRPr="00390868">
        <w:rPr>
          <w:rFonts w:ascii="Arial" w:hAnsi="Arial" w:cs="Arial"/>
        </w:rPr>
        <w:t>The investment case therefore rests on operational scale and utilisation discipline, not price escalation or speculative expansion.</w:t>
      </w:r>
    </w:p>
    <w:p w14:paraId="4DCC5863" w14:textId="77777777" w:rsidR="00F1694A" w:rsidRPr="00390868" w:rsidRDefault="00F1694A" w:rsidP="00905241">
      <w:pPr>
        <w:pStyle w:val="Heading2"/>
        <w:spacing w:line="360" w:lineRule="auto"/>
        <w:rPr>
          <w:rFonts w:ascii="Arial" w:hAnsi="Arial" w:cs="Arial"/>
        </w:rPr>
      </w:pPr>
      <w:bookmarkStart w:id="127" w:name="_Toc218629290"/>
      <w:r w:rsidRPr="00390868">
        <w:rPr>
          <w:rFonts w:ascii="Arial" w:hAnsi="Arial" w:cs="Arial"/>
        </w:rPr>
        <w:t>8.1 Sales Forecast and Revenue Drivers</w:t>
      </w:r>
      <w:bookmarkEnd w:id="127"/>
    </w:p>
    <w:p w14:paraId="3367AFE6" w14:textId="77777777" w:rsidR="00F1694A" w:rsidRPr="00390868" w:rsidRDefault="00F1694A" w:rsidP="00905241">
      <w:pPr>
        <w:spacing w:line="360" w:lineRule="auto"/>
        <w:rPr>
          <w:rFonts w:ascii="Arial" w:hAnsi="Arial" w:cs="Arial"/>
        </w:rPr>
      </w:pPr>
      <w:r w:rsidRPr="00390868">
        <w:rPr>
          <w:rFonts w:ascii="Arial" w:hAnsi="Arial" w:cs="Arial"/>
        </w:rPr>
        <w:t>Revenue projections are developed bottom-up, based on achievable bay utilisation, technician availability, and service mix. This approach reflects established financial planning guidance for service-based start-ups, where revenue generation is constrained by labour hours and physical capacity rather than market size (Atrill and McLaney, 2023).</w:t>
      </w:r>
    </w:p>
    <w:p w14:paraId="2BD3CD8B" w14:textId="77777777" w:rsidR="00F1694A" w:rsidRPr="00390868" w:rsidRDefault="00F1694A" w:rsidP="00905241">
      <w:pPr>
        <w:spacing w:line="360" w:lineRule="auto"/>
        <w:rPr>
          <w:rFonts w:ascii="Arial" w:hAnsi="Arial" w:cs="Arial"/>
          <w:b/>
          <w:bCs/>
        </w:rPr>
      </w:pPr>
      <w:r w:rsidRPr="00390868">
        <w:rPr>
          <w:rFonts w:ascii="Arial" w:hAnsi="Arial" w:cs="Arial"/>
          <w:b/>
          <w:bCs/>
        </w:rPr>
        <w:t>Year 1 (Launch Year – Q4 Trading Only)</w:t>
      </w:r>
    </w:p>
    <w:p w14:paraId="77810FCE" w14:textId="77777777" w:rsidR="00F1694A" w:rsidRPr="00390868" w:rsidRDefault="00F1694A" w:rsidP="00905241">
      <w:pPr>
        <w:spacing w:line="360" w:lineRule="auto"/>
        <w:rPr>
          <w:rFonts w:ascii="Arial" w:hAnsi="Arial" w:cs="Arial"/>
        </w:rPr>
      </w:pPr>
      <w:r w:rsidRPr="00390868">
        <w:rPr>
          <w:rFonts w:ascii="Arial" w:hAnsi="Arial" w:cs="Arial"/>
        </w:rPr>
        <w:t>Year 1 reflects a partial trading period, with revenue generated only in the final quarter following a nine-month establishment and commissioning phase. Early revenue is dominated by statutory and high-frequency services such as MOT testing, mechanical servicing, and tyre replacement, which benefit from immediate demand and low customer resistance.</w:t>
      </w:r>
    </w:p>
    <w:p w14:paraId="2D484886" w14:textId="77777777" w:rsidR="00F1694A" w:rsidRPr="00390868" w:rsidRDefault="00F1694A" w:rsidP="00905241">
      <w:pPr>
        <w:spacing w:line="360" w:lineRule="auto"/>
        <w:rPr>
          <w:rFonts w:ascii="Arial" w:hAnsi="Arial" w:cs="Arial"/>
        </w:rPr>
      </w:pPr>
      <w:r w:rsidRPr="00390868">
        <w:rPr>
          <w:rFonts w:ascii="Arial" w:hAnsi="Arial" w:cs="Arial"/>
        </w:rPr>
        <w:t xml:space="preserve">Losses in Year 1 are expected and </w:t>
      </w:r>
      <w:r w:rsidRPr="00390868">
        <w:rPr>
          <w:rFonts w:ascii="Arial" w:hAnsi="Arial" w:cs="Arial"/>
          <w:b/>
          <w:bCs/>
        </w:rPr>
        <w:t>non-structural</w:t>
      </w:r>
      <w:r w:rsidRPr="00390868">
        <w:rPr>
          <w:rFonts w:ascii="Arial" w:hAnsi="Arial" w:cs="Arial"/>
        </w:rPr>
        <w:t>, driven by partial-year trading against a fixed quarterly cost base rather than weak demand.</w:t>
      </w:r>
    </w:p>
    <w:p w14:paraId="49130BBB" w14:textId="77777777" w:rsidR="00F1694A" w:rsidRPr="00390868" w:rsidRDefault="00F1694A" w:rsidP="00905241">
      <w:pPr>
        <w:spacing w:line="360" w:lineRule="auto"/>
        <w:rPr>
          <w:rFonts w:ascii="Arial" w:hAnsi="Arial" w:cs="Arial"/>
          <w:b/>
          <w:bCs/>
        </w:rPr>
      </w:pPr>
      <w:r w:rsidRPr="00390868">
        <w:rPr>
          <w:rFonts w:ascii="Arial" w:hAnsi="Arial" w:cs="Arial"/>
          <w:b/>
          <w:bCs/>
        </w:rPr>
        <w:t>Year 2 (Stabilisation Phase)</w:t>
      </w:r>
    </w:p>
    <w:p w14:paraId="7AB5D09C" w14:textId="77777777" w:rsidR="00F1694A" w:rsidRPr="00390868" w:rsidRDefault="00F1694A" w:rsidP="00905241">
      <w:pPr>
        <w:spacing w:line="360" w:lineRule="auto"/>
        <w:rPr>
          <w:rFonts w:ascii="Arial" w:hAnsi="Arial" w:cs="Arial"/>
        </w:rPr>
      </w:pPr>
      <w:r w:rsidRPr="00390868">
        <w:rPr>
          <w:rFonts w:ascii="Arial" w:hAnsi="Arial" w:cs="Arial"/>
        </w:rPr>
        <w:t>Year 2 represents the first full year of trading, with average utilisation rising to approximately 55–60% as workflows stabilise and repeat visitation increases. Monthly cash-flow break-even is achieved during this period, supported by improving technician productivity and higher cross-service conversion rates.</w:t>
      </w:r>
    </w:p>
    <w:p w14:paraId="2C10DC0C" w14:textId="77777777" w:rsidR="00F1694A" w:rsidRPr="00390868" w:rsidRDefault="00F1694A" w:rsidP="00905241">
      <w:pPr>
        <w:spacing w:line="360" w:lineRule="auto"/>
        <w:rPr>
          <w:rFonts w:ascii="Arial" w:hAnsi="Arial" w:cs="Arial"/>
        </w:rPr>
      </w:pPr>
      <w:r w:rsidRPr="00390868">
        <w:rPr>
          <w:rFonts w:ascii="Arial" w:hAnsi="Arial" w:cs="Arial"/>
        </w:rPr>
        <w:t>Year 3 and Beyond (Steady-State Operations)</w:t>
      </w:r>
    </w:p>
    <w:p w14:paraId="1DD67714" w14:textId="77777777" w:rsidR="00F1694A" w:rsidRPr="00390868" w:rsidRDefault="00F1694A" w:rsidP="00905241">
      <w:pPr>
        <w:spacing w:line="360" w:lineRule="auto"/>
        <w:rPr>
          <w:rFonts w:ascii="Arial" w:hAnsi="Arial" w:cs="Arial"/>
        </w:rPr>
      </w:pPr>
      <w:r w:rsidRPr="00390868">
        <w:rPr>
          <w:rFonts w:ascii="Arial" w:hAnsi="Arial" w:cs="Arial"/>
        </w:rPr>
        <w:t>From Year 3 onwards, the estate reaches steady-state utilisation above 65%, enabling fixed costs to be absorbed efficiently. Revenue growth during this phase is driven primarily by:</w:t>
      </w:r>
    </w:p>
    <w:p w14:paraId="47A2EF04" w14:textId="77777777" w:rsidR="00F1694A" w:rsidRPr="00390868" w:rsidRDefault="00F1694A" w:rsidP="00905241">
      <w:pPr>
        <w:numPr>
          <w:ilvl w:val="0"/>
          <w:numId w:val="12"/>
        </w:numPr>
        <w:spacing w:line="360" w:lineRule="auto"/>
        <w:rPr>
          <w:rFonts w:ascii="Arial" w:hAnsi="Arial" w:cs="Arial"/>
        </w:rPr>
      </w:pPr>
      <w:r w:rsidRPr="00390868">
        <w:rPr>
          <w:rFonts w:ascii="Arial" w:hAnsi="Arial" w:cs="Arial"/>
        </w:rPr>
        <w:t>Increased jobs per bay</w:t>
      </w:r>
    </w:p>
    <w:p w14:paraId="50B8417F" w14:textId="77777777" w:rsidR="00F1694A" w:rsidRPr="00390868" w:rsidRDefault="00F1694A" w:rsidP="00905241">
      <w:pPr>
        <w:numPr>
          <w:ilvl w:val="0"/>
          <w:numId w:val="12"/>
        </w:numPr>
        <w:spacing w:line="360" w:lineRule="auto"/>
        <w:rPr>
          <w:rFonts w:ascii="Arial" w:hAnsi="Arial" w:cs="Arial"/>
        </w:rPr>
      </w:pPr>
      <w:r w:rsidRPr="00390868">
        <w:rPr>
          <w:rFonts w:ascii="Arial" w:hAnsi="Arial" w:cs="Arial"/>
        </w:rPr>
        <w:t>Higher multi-service visit conversion</w:t>
      </w:r>
    </w:p>
    <w:p w14:paraId="47B58532" w14:textId="77777777" w:rsidR="00F1694A" w:rsidRPr="00390868" w:rsidRDefault="00F1694A" w:rsidP="00905241">
      <w:pPr>
        <w:numPr>
          <w:ilvl w:val="0"/>
          <w:numId w:val="12"/>
        </w:numPr>
        <w:spacing w:line="360" w:lineRule="auto"/>
        <w:rPr>
          <w:rFonts w:ascii="Arial" w:hAnsi="Arial" w:cs="Arial"/>
        </w:rPr>
      </w:pPr>
      <w:r w:rsidRPr="00390868">
        <w:rPr>
          <w:rFonts w:ascii="Arial" w:hAnsi="Arial" w:cs="Arial"/>
        </w:rPr>
        <w:t>Improved labour utilisation</w:t>
      </w:r>
    </w:p>
    <w:p w14:paraId="19C3A3C3" w14:textId="77777777" w:rsidR="00F1694A" w:rsidRPr="00390868" w:rsidRDefault="00F1694A" w:rsidP="00905241">
      <w:pPr>
        <w:spacing w:line="360" w:lineRule="auto"/>
        <w:rPr>
          <w:rFonts w:ascii="Arial" w:hAnsi="Arial" w:cs="Arial"/>
        </w:rPr>
      </w:pPr>
      <w:r w:rsidRPr="00390868">
        <w:rPr>
          <w:rFonts w:ascii="Arial" w:hAnsi="Arial" w:cs="Arial"/>
        </w:rPr>
        <w:t>No additional sites are assumed within the five-year forecast to preserve analytical integrity.</w:t>
      </w:r>
    </w:p>
    <w:p w14:paraId="614FBC44" w14:textId="009A909D" w:rsidR="00742236" w:rsidRPr="00390868" w:rsidRDefault="00F1694A" w:rsidP="00905241">
      <w:pPr>
        <w:spacing w:line="360" w:lineRule="auto"/>
        <w:rPr>
          <w:rFonts w:ascii="Arial" w:hAnsi="Arial" w:cs="Arial"/>
          <w:i/>
          <w:iCs/>
        </w:rPr>
      </w:pPr>
      <w:r w:rsidRPr="00390868">
        <w:rPr>
          <w:rFonts w:ascii="Arial" w:hAnsi="Arial" w:cs="Arial"/>
          <w:b/>
          <w:bCs/>
        </w:rPr>
        <w:t>Table 8.1</w:t>
      </w:r>
      <w:r w:rsidR="00975CC9" w:rsidRPr="00390868">
        <w:rPr>
          <w:rFonts w:ascii="Arial" w:hAnsi="Arial" w:cs="Arial"/>
          <w:b/>
          <w:bCs/>
        </w:rPr>
        <w:t xml:space="preserve">: </w:t>
      </w:r>
      <w:r w:rsidRPr="00390868">
        <w:rPr>
          <w:rFonts w:ascii="Arial" w:hAnsi="Arial" w:cs="Arial"/>
          <w:b/>
          <w:bCs/>
        </w:rPr>
        <w:t>Five-Year Revenue and Profit Forecast</w:t>
      </w:r>
    </w:p>
    <w:tbl>
      <w:tblPr>
        <w:tblStyle w:val="PlainTable1"/>
        <w:tblW w:w="0" w:type="auto"/>
        <w:tblLook w:val="04A0" w:firstRow="1" w:lastRow="0" w:firstColumn="1" w:lastColumn="0" w:noHBand="0" w:noVBand="1"/>
      </w:tblPr>
      <w:tblGrid>
        <w:gridCol w:w="2181"/>
        <w:gridCol w:w="1457"/>
        <w:gridCol w:w="1349"/>
        <w:gridCol w:w="1790"/>
        <w:gridCol w:w="2239"/>
      </w:tblGrid>
      <w:tr w:rsidR="00742236" w:rsidRPr="00390868" w14:paraId="3D95B01E" w14:textId="77777777" w:rsidTr="007422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F65F02" w14:textId="77777777" w:rsidR="00742236" w:rsidRPr="00390868" w:rsidRDefault="00742236" w:rsidP="00905241">
            <w:pPr>
              <w:spacing w:after="160" w:line="360" w:lineRule="auto"/>
              <w:rPr>
                <w:rFonts w:ascii="Arial" w:hAnsi="Arial" w:cs="Arial"/>
              </w:rPr>
            </w:pPr>
            <w:r w:rsidRPr="00390868">
              <w:rPr>
                <w:rFonts w:ascii="Arial" w:hAnsi="Arial" w:cs="Arial"/>
              </w:rPr>
              <w:lastRenderedPageBreak/>
              <w:t>Year</w:t>
            </w:r>
          </w:p>
        </w:tc>
        <w:tc>
          <w:tcPr>
            <w:tcW w:w="0" w:type="auto"/>
            <w:hideMark/>
          </w:tcPr>
          <w:p w14:paraId="68A7B58D" w14:textId="77777777" w:rsidR="00742236" w:rsidRPr="00390868" w:rsidRDefault="0074223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Revenue (£)</w:t>
            </w:r>
          </w:p>
        </w:tc>
        <w:tc>
          <w:tcPr>
            <w:tcW w:w="0" w:type="auto"/>
            <w:hideMark/>
          </w:tcPr>
          <w:p w14:paraId="04ECDCA9" w14:textId="77777777" w:rsidR="00742236" w:rsidRPr="00390868" w:rsidRDefault="0074223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EBITDA (£)</w:t>
            </w:r>
          </w:p>
        </w:tc>
        <w:tc>
          <w:tcPr>
            <w:tcW w:w="0" w:type="auto"/>
            <w:hideMark/>
          </w:tcPr>
          <w:p w14:paraId="0DD9EB3B" w14:textId="77777777" w:rsidR="00742236" w:rsidRPr="00390868" w:rsidRDefault="0074223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EBITDA Margin</w:t>
            </w:r>
          </w:p>
        </w:tc>
        <w:tc>
          <w:tcPr>
            <w:tcW w:w="0" w:type="auto"/>
            <w:hideMark/>
          </w:tcPr>
          <w:p w14:paraId="7C21F3DF" w14:textId="77777777" w:rsidR="00742236" w:rsidRPr="00390868" w:rsidRDefault="0074223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Net (Loss)/Profit (£)</w:t>
            </w:r>
          </w:p>
        </w:tc>
      </w:tr>
      <w:tr w:rsidR="00742236" w:rsidRPr="00390868" w14:paraId="0CF25E47" w14:textId="77777777" w:rsidTr="007422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23D59" w14:textId="77777777" w:rsidR="00742236" w:rsidRPr="00390868" w:rsidRDefault="00742236" w:rsidP="00905241">
            <w:pPr>
              <w:spacing w:after="160" w:line="360" w:lineRule="auto"/>
              <w:rPr>
                <w:rFonts w:ascii="Arial" w:hAnsi="Arial" w:cs="Arial"/>
              </w:rPr>
            </w:pPr>
            <w:r w:rsidRPr="00390868">
              <w:rPr>
                <w:rFonts w:ascii="Arial" w:hAnsi="Arial" w:cs="Arial"/>
              </w:rPr>
              <w:t>Year 1 (Q4 Launch)</w:t>
            </w:r>
          </w:p>
        </w:tc>
        <w:tc>
          <w:tcPr>
            <w:tcW w:w="0" w:type="auto"/>
            <w:hideMark/>
          </w:tcPr>
          <w:p w14:paraId="2F485FFE"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069752E4"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(97,500)</w:t>
            </w:r>
          </w:p>
        </w:tc>
        <w:tc>
          <w:tcPr>
            <w:tcW w:w="0" w:type="auto"/>
            <w:hideMark/>
          </w:tcPr>
          <w:p w14:paraId="7653B078"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(21.7%)</w:t>
            </w:r>
          </w:p>
        </w:tc>
        <w:tc>
          <w:tcPr>
            <w:tcW w:w="0" w:type="auto"/>
            <w:hideMark/>
          </w:tcPr>
          <w:p w14:paraId="03A5DBEA"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(162,500)</w:t>
            </w:r>
          </w:p>
        </w:tc>
      </w:tr>
      <w:tr w:rsidR="00742236" w:rsidRPr="00390868" w14:paraId="3E6A0599" w14:textId="77777777" w:rsidTr="00742236">
        <w:tc>
          <w:tcPr>
            <w:cnfStyle w:val="001000000000" w:firstRow="0" w:lastRow="0" w:firstColumn="1" w:lastColumn="0" w:oddVBand="0" w:evenVBand="0" w:oddHBand="0" w:evenHBand="0" w:firstRowFirstColumn="0" w:firstRowLastColumn="0" w:lastRowFirstColumn="0" w:lastRowLastColumn="0"/>
            <w:tcW w:w="0" w:type="auto"/>
            <w:hideMark/>
          </w:tcPr>
          <w:p w14:paraId="49177B18" w14:textId="77777777" w:rsidR="00742236" w:rsidRPr="00390868" w:rsidRDefault="00742236" w:rsidP="00905241">
            <w:pPr>
              <w:spacing w:after="160" w:line="360" w:lineRule="auto"/>
              <w:rPr>
                <w:rFonts w:ascii="Arial" w:hAnsi="Arial" w:cs="Arial"/>
              </w:rPr>
            </w:pPr>
            <w:r w:rsidRPr="00390868">
              <w:rPr>
                <w:rFonts w:ascii="Arial" w:hAnsi="Arial" w:cs="Arial"/>
              </w:rPr>
              <w:t>Year 2</w:t>
            </w:r>
          </w:p>
        </w:tc>
        <w:tc>
          <w:tcPr>
            <w:tcW w:w="0" w:type="auto"/>
            <w:hideMark/>
          </w:tcPr>
          <w:p w14:paraId="24DA357E"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2,150,000</w:t>
            </w:r>
          </w:p>
        </w:tc>
        <w:tc>
          <w:tcPr>
            <w:tcW w:w="0" w:type="auto"/>
            <w:hideMark/>
          </w:tcPr>
          <w:p w14:paraId="6242DA38"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200,000</w:t>
            </w:r>
          </w:p>
        </w:tc>
        <w:tc>
          <w:tcPr>
            <w:tcW w:w="0" w:type="auto"/>
            <w:hideMark/>
          </w:tcPr>
          <w:p w14:paraId="39BA8011"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9.3%</w:t>
            </w:r>
          </w:p>
        </w:tc>
        <w:tc>
          <w:tcPr>
            <w:tcW w:w="0" w:type="auto"/>
            <w:hideMark/>
          </w:tcPr>
          <w:p w14:paraId="42CFF154"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w:t>
            </w:r>
          </w:p>
        </w:tc>
      </w:tr>
      <w:tr w:rsidR="00742236" w:rsidRPr="00390868" w14:paraId="6938471F" w14:textId="77777777" w:rsidTr="007422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58F82" w14:textId="77777777" w:rsidR="00742236" w:rsidRPr="00390868" w:rsidRDefault="00742236" w:rsidP="00905241">
            <w:pPr>
              <w:spacing w:after="160" w:line="360" w:lineRule="auto"/>
              <w:rPr>
                <w:rFonts w:ascii="Arial" w:hAnsi="Arial" w:cs="Arial"/>
              </w:rPr>
            </w:pPr>
            <w:r w:rsidRPr="00390868">
              <w:rPr>
                <w:rFonts w:ascii="Arial" w:hAnsi="Arial" w:cs="Arial"/>
              </w:rPr>
              <w:t>Year 3</w:t>
            </w:r>
          </w:p>
        </w:tc>
        <w:tc>
          <w:tcPr>
            <w:tcW w:w="0" w:type="auto"/>
            <w:hideMark/>
          </w:tcPr>
          <w:p w14:paraId="473F284C"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2,550,000</w:t>
            </w:r>
          </w:p>
        </w:tc>
        <w:tc>
          <w:tcPr>
            <w:tcW w:w="0" w:type="auto"/>
            <w:hideMark/>
          </w:tcPr>
          <w:p w14:paraId="5CF9BCAE"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380,000</w:t>
            </w:r>
          </w:p>
        </w:tc>
        <w:tc>
          <w:tcPr>
            <w:tcW w:w="0" w:type="auto"/>
            <w:hideMark/>
          </w:tcPr>
          <w:p w14:paraId="73C84D94"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14.9%</w:t>
            </w:r>
          </w:p>
        </w:tc>
        <w:tc>
          <w:tcPr>
            <w:tcW w:w="0" w:type="auto"/>
            <w:hideMark/>
          </w:tcPr>
          <w:p w14:paraId="665515F5"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140,000</w:t>
            </w:r>
          </w:p>
        </w:tc>
      </w:tr>
      <w:tr w:rsidR="00742236" w:rsidRPr="00390868" w14:paraId="2B0C9235" w14:textId="77777777" w:rsidTr="00742236">
        <w:tc>
          <w:tcPr>
            <w:cnfStyle w:val="001000000000" w:firstRow="0" w:lastRow="0" w:firstColumn="1" w:lastColumn="0" w:oddVBand="0" w:evenVBand="0" w:oddHBand="0" w:evenHBand="0" w:firstRowFirstColumn="0" w:firstRowLastColumn="0" w:lastRowFirstColumn="0" w:lastRowLastColumn="0"/>
            <w:tcW w:w="0" w:type="auto"/>
            <w:hideMark/>
          </w:tcPr>
          <w:p w14:paraId="2F0D586A" w14:textId="77777777" w:rsidR="00742236" w:rsidRPr="00390868" w:rsidRDefault="00742236" w:rsidP="00905241">
            <w:pPr>
              <w:spacing w:after="160" w:line="360" w:lineRule="auto"/>
              <w:rPr>
                <w:rFonts w:ascii="Arial" w:hAnsi="Arial" w:cs="Arial"/>
              </w:rPr>
            </w:pPr>
            <w:r w:rsidRPr="00390868">
              <w:rPr>
                <w:rFonts w:ascii="Arial" w:hAnsi="Arial" w:cs="Arial"/>
              </w:rPr>
              <w:t>Year 4</w:t>
            </w:r>
          </w:p>
        </w:tc>
        <w:tc>
          <w:tcPr>
            <w:tcW w:w="0" w:type="auto"/>
            <w:hideMark/>
          </w:tcPr>
          <w:p w14:paraId="2E05A06B"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2,700,000</w:t>
            </w:r>
          </w:p>
        </w:tc>
        <w:tc>
          <w:tcPr>
            <w:tcW w:w="0" w:type="auto"/>
            <w:hideMark/>
          </w:tcPr>
          <w:p w14:paraId="28E7EE68"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64B1D4D6"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16.7%</w:t>
            </w:r>
          </w:p>
        </w:tc>
        <w:tc>
          <w:tcPr>
            <w:tcW w:w="0" w:type="auto"/>
            <w:hideMark/>
          </w:tcPr>
          <w:p w14:paraId="153EF368" w14:textId="77777777" w:rsidR="00742236" w:rsidRPr="00390868" w:rsidRDefault="0074223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210,000</w:t>
            </w:r>
          </w:p>
        </w:tc>
      </w:tr>
      <w:tr w:rsidR="00742236" w:rsidRPr="00390868" w14:paraId="1FA842B6" w14:textId="77777777" w:rsidTr="007422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51C24A" w14:textId="77777777" w:rsidR="00742236" w:rsidRPr="00390868" w:rsidRDefault="00742236" w:rsidP="00905241">
            <w:pPr>
              <w:spacing w:after="160" w:line="360" w:lineRule="auto"/>
              <w:rPr>
                <w:rFonts w:ascii="Arial" w:hAnsi="Arial" w:cs="Arial"/>
              </w:rPr>
            </w:pPr>
            <w:r w:rsidRPr="00390868">
              <w:rPr>
                <w:rFonts w:ascii="Arial" w:hAnsi="Arial" w:cs="Arial"/>
              </w:rPr>
              <w:t>Year 5</w:t>
            </w:r>
          </w:p>
        </w:tc>
        <w:tc>
          <w:tcPr>
            <w:tcW w:w="0" w:type="auto"/>
            <w:hideMark/>
          </w:tcPr>
          <w:p w14:paraId="07974BDB"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2,750,000</w:t>
            </w:r>
          </w:p>
        </w:tc>
        <w:tc>
          <w:tcPr>
            <w:tcW w:w="0" w:type="auto"/>
            <w:hideMark/>
          </w:tcPr>
          <w:p w14:paraId="5245C229"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480,000</w:t>
            </w:r>
          </w:p>
        </w:tc>
        <w:tc>
          <w:tcPr>
            <w:tcW w:w="0" w:type="auto"/>
            <w:hideMark/>
          </w:tcPr>
          <w:p w14:paraId="5936822C"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17.5%</w:t>
            </w:r>
          </w:p>
        </w:tc>
        <w:tc>
          <w:tcPr>
            <w:tcW w:w="0" w:type="auto"/>
            <w:hideMark/>
          </w:tcPr>
          <w:p w14:paraId="1B2CC5AD" w14:textId="77777777" w:rsidR="00742236" w:rsidRPr="00390868" w:rsidRDefault="0074223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240,000</w:t>
            </w:r>
          </w:p>
        </w:tc>
      </w:tr>
    </w:tbl>
    <w:p w14:paraId="1513F0D3" w14:textId="77777777" w:rsidR="00742236" w:rsidRPr="00390868" w:rsidRDefault="00742236" w:rsidP="00905241">
      <w:pPr>
        <w:spacing w:line="360" w:lineRule="auto"/>
        <w:rPr>
          <w:rFonts w:ascii="Arial" w:hAnsi="Arial" w:cs="Arial"/>
        </w:rPr>
      </w:pPr>
      <w:r w:rsidRPr="00390868">
        <w:rPr>
          <w:rFonts w:ascii="Arial" w:hAnsi="Arial" w:cs="Arial"/>
          <w:b/>
          <w:bCs/>
        </w:rPr>
        <w:t>Assumptions:</w:t>
      </w:r>
    </w:p>
    <w:p w14:paraId="390A84AD" w14:textId="77777777" w:rsidR="00742236" w:rsidRPr="00390868" w:rsidRDefault="00742236" w:rsidP="00905241">
      <w:pPr>
        <w:numPr>
          <w:ilvl w:val="0"/>
          <w:numId w:val="13"/>
        </w:numPr>
        <w:spacing w:line="360" w:lineRule="auto"/>
        <w:rPr>
          <w:rFonts w:ascii="Arial" w:hAnsi="Arial" w:cs="Arial"/>
        </w:rPr>
      </w:pPr>
      <w:r w:rsidRPr="00390868">
        <w:rPr>
          <w:rFonts w:ascii="Arial" w:hAnsi="Arial" w:cs="Arial"/>
        </w:rPr>
        <w:t>Year 1: Q4-only trading. Loss is due to partial-year revenue against full quarterly fixed costs.</w:t>
      </w:r>
    </w:p>
    <w:p w14:paraId="6390B943" w14:textId="77777777" w:rsidR="00742236" w:rsidRPr="00390868" w:rsidRDefault="00742236" w:rsidP="00905241">
      <w:pPr>
        <w:numPr>
          <w:ilvl w:val="0"/>
          <w:numId w:val="13"/>
        </w:numPr>
        <w:spacing w:line="360" w:lineRule="auto"/>
        <w:rPr>
          <w:rFonts w:ascii="Arial" w:hAnsi="Arial" w:cs="Arial"/>
        </w:rPr>
      </w:pPr>
      <w:r w:rsidRPr="00390868">
        <w:rPr>
          <w:rFonts w:ascii="Arial" w:hAnsi="Arial" w:cs="Arial"/>
        </w:rPr>
        <w:t>Year 2: Full-year trading at ~55-60% utilisation. Business reaches monthly cash-flow break-even.</w:t>
      </w:r>
    </w:p>
    <w:p w14:paraId="42202611" w14:textId="77777777" w:rsidR="00742236" w:rsidRPr="00390868" w:rsidRDefault="00742236" w:rsidP="00905241">
      <w:pPr>
        <w:numPr>
          <w:ilvl w:val="0"/>
          <w:numId w:val="13"/>
        </w:numPr>
        <w:spacing w:line="360" w:lineRule="auto"/>
        <w:rPr>
          <w:rFonts w:ascii="Arial" w:hAnsi="Arial" w:cs="Arial"/>
        </w:rPr>
      </w:pPr>
      <w:r w:rsidRPr="00390868">
        <w:rPr>
          <w:rFonts w:ascii="Arial" w:hAnsi="Arial" w:cs="Arial"/>
        </w:rPr>
        <w:t>Year 3+: Steady-state operations at &gt;65% utilisation. Profitability accelerates due to high contribution margin.</w:t>
      </w:r>
    </w:p>
    <w:p w14:paraId="21036D69" w14:textId="6A645ADC" w:rsidR="00536DE4" w:rsidRPr="00390868" w:rsidRDefault="00536DE4" w:rsidP="00905241">
      <w:pPr>
        <w:pStyle w:val="Heading2"/>
        <w:spacing w:line="360" w:lineRule="auto"/>
        <w:rPr>
          <w:rFonts w:ascii="Arial" w:hAnsi="Arial" w:cs="Arial"/>
        </w:rPr>
      </w:pPr>
      <w:bookmarkStart w:id="128" w:name="_Toc218629291"/>
      <w:r w:rsidRPr="00390868">
        <w:rPr>
          <w:rFonts w:ascii="Arial" w:hAnsi="Arial" w:cs="Arial"/>
        </w:rPr>
        <w:t>8.2 Pro-Forma Income Statement (P&amp;L)</w:t>
      </w:r>
      <w:bookmarkEnd w:id="128"/>
    </w:p>
    <w:p w14:paraId="1B8925FF" w14:textId="77777777" w:rsidR="00536DE4" w:rsidRPr="00390868" w:rsidRDefault="00536DE4" w:rsidP="00905241">
      <w:pPr>
        <w:spacing w:line="360" w:lineRule="auto"/>
        <w:rPr>
          <w:rFonts w:ascii="Arial" w:hAnsi="Arial" w:cs="Arial"/>
        </w:rPr>
      </w:pPr>
      <w:r w:rsidRPr="00390868">
        <w:rPr>
          <w:rFonts w:ascii="Arial" w:hAnsi="Arial" w:cs="Arial"/>
        </w:rPr>
        <w:t>Two complementary perspectives are presented to avoid analytical distortion:</w:t>
      </w:r>
    </w:p>
    <w:p w14:paraId="77835ABC" w14:textId="77777777" w:rsidR="00536DE4" w:rsidRPr="00390868" w:rsidRDefault="00536DE4" w:rsidP="00905241">
      <w:pPr>
        <w:numPr>
          <w:ilvl w:val="0"/>
          <w:numId w:val="14"/>
        </w:numPr>
        <w:spacing w:line="360" w:lineRule="auto"/>
        <w:rPr>
          <w:rFonts w:ascii="Arial" w:hAnsi="Arial" w:cs="Arial"/>
        </w:rPr>
      </w:pPr>
      <w:r w:rsidRPr="00390868">
        <w:rPr>
          <w:rFonts w:ascii="Arial" w:hAnsi="Arial" w:cs="Arial"/>
        </w:rPr>
        <w:t>Actual Year 1 (Q4-only trading) — reflects statutory start-up reality</w:t>
      </w:r>
    </w:p>
    <w:p w14:paraId="053CD9DC" w14:textId="77777777" w:rsidR="00536DE4" w:rsidRPr="00390868" w:rsidRDefault="00536DE4" w:rsidP="00905241">
      <w:pPr>
        <w:numPr>
          <w:ilvl w:val="0"/>
          <w:numId w:val="14"/>
        </w:numPr>
        <w:spacing w:line="360" w:lineRule="auto"/>
        <w:rPr>
          <w:rFonts w:ascii="Arial" w:hAnsi="Arial" w:cs="Arial"/>
        </w:rPr>
      </w:pPr>
      <w:r w:rsidRPr="00390868">
        <w:rPr>
          <w:rFonts w:ascii="Arial" w:hAnsi="Arial" w:cs="Arial"/>
        </w:rPr>
        <w:t>Normalised Steady-State Year (Year 3</w:t>
      </w:r>
      <w:r w:rsidRPr="00390868">
        <w:rPr>
          <w:rFonts w:ascii="Arial" w:hAnsi="Arial" w:cs="Arial"/>
          <w:b/>
          <w:bCs/>
        </w:rPr>
        <w:t>)</w:t>
      </w:r>
      <w:r w:rsidRPr="00390868">
        <w:rPr>
          <w:rFonts w:ascii="Arial" w:hAnsi="Arial" w:cs="Arial"/>
        </w:rPr>
        <w:t xml:space="preserve"> — reflects underlying earning capacity once operations stabilise</w:t>
      </w:r>
    </w:p>
    <w:p w14:paraId="0A7E6E45" w14:textId="77777777" w:rsidR="00536DE4" w:rsidRPr="00390868" w:rsidRDefault="00536DE4" w:rsidP="00905241">
      <w:pPr>
        <w:spacing w:line="360" w:lineRule="auto"/>
        <w:rPr>
          <w:rFonts w:ascii="Arial" w:hAnsi="Arial" w:cs="Arial"/>
        </w:rPr>
      </w:pPr>
      <w:r w:rsidRPr="00390868">
        <w:rPr>
          <w:rFonts w:ascii="Arial" w:hAnsi="Arial" w:cs="Arial"/>
        </w:rPr>
        <w:t>This dual-view approach is consistent with start-up appraisal best practice (Atrill and McLaney, 2023; Damodaran, 2021).</w:t>
      </w:r>
    </w:p>
    <w:p w14:paraId="2F58FA06" w14:textId="77777777" w:rsidR="00536DE4" w:rsidRPr="00390868" w:rsidRDefault="00536DE4" w:rsidP="00905241">
      <w:pPr>
        <w:spacing w:line="360" w:lineRule="auto"/>
        <w:rPr>
          <w:rFonts w:ascii="Arial" w:hAnsi="Arial" w:cs="Arial"/>
          <w:b/>
          <w:bCs/>
        </w:rPr>
      </w:pPr>
      <w:r w:rsidRPr="00390868">
        <w:rPr>
          <w:rFonts w:ascii="Arial" w:hAnsi="Arial" w:cs="Arial"/>
          <w:b/>
          <w:bCs/>
        </w:rPr>
        <w:t>Year 1 (Q4 Only)</w:t>
      </w:r>
    </w:p>
    <w:p w14:paraId="037C916C" w14:textId="77777777" w:rsidR="00536DE4" w:rsidRPr="00390868" w:rsidRDefault="00536DE4" w:rsidP="00905241">
      <w:pPr>
        <w:spacing w:line="360" w:lineRule="auto"/>
        <w:rPr>
          <w:rFonts w:ascii="Arial" w:hAnsi="Arial" w:cs="Arial"/>
        </w:rPr>
      </w:pPr>
      <w:r w:rsidRPr="00390868">
        <w:rPr>
          <w:rFonts w:ascii="Arial" w:hAnsi="Arial" w:cs="Arial"/>
        </w:rPr>
        <w:t>The Year-1 income statement shows an operating loss, driven by limited trading duration and full fixed-cost exposure. Importantly, EBITDA loss narrows rapidly as utilisation increases, confirming that losses are timing-driven rather than structural.</w:t>
      </w:r>
    </w:p>
    <w:p w14:paraId="5CE39C85" w14:textId="77777777" w:rsidR="00536DE4" w:rsidRPr="00390868" w:rsidRDefault="00536DE4" w:rsidP="00905241">
      <w:pPr>
        <w:spacing w:line="360" w:lineRule="auto"/>
        <w:rPr>
          <w:rFonts w:ascii="Arial" w:hAnsi="Arial" w:cs="Arial"/>
          <w:b/>
          <w:bCs/>
        </w:rPr>
      </w:pPr>
      <w:r w:rsidRPr="00390868">
        <w:rPr>
          <w:rFonts w:ascii="Arial" w:hAnsi="Arial" w:cs="Arial"/>
          <w:b/>
          <w:bCs/>
        </w:rPr>
        <w:t>Steady-State (Year 3)</w:t>
      </w:r>
    </w:p>
    <w:p w14:paraId="22F894AD" w14:textId="77777777" w:rsidR="00536DE4" w:rsidRPr="00390868" w:rsidRDefault="00536DE4" w:rsidP="00905241">
      <w:pPr>
        <w:spacing w:line="360" w:lineRule="auto"/>
        <w:rPr>
          <w:rFonts w:ascii="Arial" w:hAnsi="Arial" w:cs="Arial"/>
        </w:rPr>
      </w:pPr>
      <w:r w:rsidRPr="00390868">
        <w:rPr>
          <w:rFonts w:ascii="Arial" w:hAnsi="Arial" w:cs="Arial"/>
        </w:rPr>
        <w:t>At steady-state utilisation (~68%), the business generates:</w:t>
      </w:r>
    </w:p>
    <w:p w14:paraId="356C7C14" w14:textId="77777777" w:rsidR="00536DE4" w:rsidRPr="00390868" w:rsidRDefault="00536DE4" w:rsidP="00905241">
      <w:pPr>
        <w:numPr>
          <w:ilvl w:val="0"/>
          <w:numId w:val="15"/>
        </w:numPr>
        <w:spacing w:line="360" w:lineRule="auto"/>
        <w:rPr>
          <w:rFonts w:ascii="Arial" w:hAnsi="Arial" w:cs="Arial"/>
        </w:rPr>
      </w:pPr>
      <w:r w:rsidRPr="00390868">
        <w:rPr>
          <w:rFonts w:ascii="Arial" w:hAnsi="Arial" w:cs="Arial"/>
        </w:rPr>
        <w:lastRenderedPageBreak/>
        <w:t>Gross Margin: ~65%</w:t>
      </w:r>
    </w:p>
    <w:p w14:paraId="1DE0CCD5" w14:textId="77777777" w:rsidR="00536DE4" w:rsidRPr="00390868" w:rsidRDefault="00536DE4" w:rsidP="00905241">
      <w:pPr>
        <w:numPr>
          <w:ilvl w:val="0"/>
          <w:numId w:val="15"/>
        </w:numPr>
        <w:spacing w:line="360" w:lineRule="auto"/>
        <w:rPr>
          <w:rFonts w:ascii="Arial" w:hAnsi="Arial" w:cs="Arial"/>
        </w:rPr>
      </w:pPr>
      <w:r w:rsidRPr="00390868">
        <w:rPr>
          <w:rFonts w:ascii="Arial" w:hAnsi="Arial" w:cs="Arial"/>
        </w:rPr>
        <w:t>EBITDA: ~£380,000</w:t>
      </w:r>
    </w:p>
    <w:p w14:paraId="541EB862" w14:textId="77777777" w:rsidR="00536DE4" w:rsidRPr="00390868" w:rsidRDefault="00536DE4" w:rsidP="00905241">
      <w:pPr>
        <w:numPr>
          <w:ilvl w:val="0"/>
          <w:numId w:val="15"/>
        </w:numPr>
        <w:spacing w:line="360" w:lineRule="auto"/>
        <w:rPr>
          <w:rFonts w:ascii="Arial" w:hAnsi="Arial" w:cs="Arial"/>
        </w:rPr>
      </w:pPr>
      <w:r w:rsidRPr="00390868">
        <w:rPr>
          <w:rFonts w:ascii="Arial" w:hAnsi="Arial" w:cs="Arial"/>
        </w:rPr>
        <w:t>EBITDA Margin: ~14.9%</w:t>
      </w:r>
    </w:p>
    <w:p w14:paraId="39945980" w14:textId="76F3EC96" w:rsidR="00536DE4" w:rsidRPr="00390868" w:rsidRDefault="00536DE4" w:rsidP="00905241">
      <w:pPr>
        <w:spacing w:line="360" w:lineRule="auto"/>
        <w:rPr>
          <w:rFonts w:ascii="Arial" w:hAnsi="Arial" w:cs="Arial"/>
        </w:rPr>
      </w:pPr>
      <w:r w:rsidRPr="00390868">
        <w:rPr>
          <w:rFonts w:ascii="Arial" w:hAnsi="Arial" w:cs="Arial"/>
        </w:rPr>
        <w:t>Positive EBITDA confirms operational viability even while depreciation and financing costs remain elevated due to asset-backed funding.</w:t>
      </w:r>
      <w:r w:rsidR="00DB5315" w:rsidRPr="00390868">
        <w:rPr>
          <w:rFonts w:ascii="Arial" w:hAnsi="Arial" w:cs="Arial"/>
        </w:rPr>
        <w:t xml:space="preserve"> </w:t>
      </w:r>
    </w:p>
    <w:p w14:paraId="31971449" w14:textId="5975D237" w:rsidR="00DB5315" w:rsidRPr="00390868" w:rsidRDefault="00DB5315" w:rsidP="00905241">
      <w:pPr>
        <w:spacing w:line="360" w:lineRule="auto"/>
        <w:rPr>
          <w:rFonts w:ascii="Arial" w:hAnsi="Arial" w:cs="Arial"/>
        </w:rPr>
      </w:pPr>
      <w:r w:rsidRPr="00390868">
        <w:rPr>
          <w:rFonts w:ascii="Arial" w:hAnsi="Arial" w:cs="Arial"/>
          <w:b/>
          <w:bCs/>
        </w:rPr>
        <w:t>Table 8.2: Actual Year 1 Pro-Forma Income Statement (Q4 Trading Only)</w:t>
      </w:r>
    </w:p>
    <w:tbl>
      <w:tblPr>
        <w:tblStyle w:val="PlainTable1"/>
        <w:tblW w:w="8740" w:type="dxa"/>
        <w:tblLook w:val="04A0" w:firstRow="1" w:lastRow="0" w:firstColumn="1" w:lastColumn="0" w:noHBand="0" w:noVBand="1"/>
      </w:tblPr>
      <w:tblGrid>
        <w:gridCol w:w="2776"/>
        <w:gridCol w:w="1322"/>
        <w:gridCol w:w="4642"/>
      </w:tblGrid>
      <w:tr w:rsidR="00DB5315" w:rsidRPr="00390868" w14:paraId="64112C51" w14:textId="77777777" w:rsidTr="00DB5315">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0BF211A9" w14:textId="77777777" w:rsidR="00DB5315" w:rsidRPr="00390868" w:rsidRDefault="00DB5315" w:rsidP="00905241">
            <w:pPr>
              <w:spacing w:after="160" w:line="360" w:lineRule="auto"/>
              <w:rPr>
                <w:rFonts w:ascii="Arial" w:hAnsi="Arial" w:cs="Arial"/>
              </w:rPr>
            </w:pPr>
            <w:r w:rsidRPr="00390868">
              <w:rPr>
                <w:rFonts w:ascii="Arial" w:hAnsi="Arial" w:cs="Arial"/>
              </w:rPr>
              <w:t>Item</w:t>
            </w:r>
          </w:p>
        </w:tc>
        <w:tc>
          <w:tcPr>
            <w:tcW w:w="0" w:type="auto"/>
            <w:hideMark/>
          </w:tcPr>
          <w:p w14:paraId="609C2B67" w14:textId="77777777" w:rsidR="00DB5315" w:rsidRPr="00390868" w:rsidRDefault="00DB531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Amount (£)</w:t>
            </w:r>
          </w:p>
        </w:tc>
        <w:tc>
          <w:tcPr>
            <w:tcW w:w="0" w:type="auto"/>
            <w:hideMark/>
          </w:tcPr>
          <w:p w14:paraId="6239F24C" w14:textId="77777777" w:rsidR="00DB5315" w:rsidRPr="00390868" w:rsidRDefault="00DB531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Notes</w:t>
            </w:r>
          </w:p>
        </w:tc>
      </w:tr>
      <w:tr w:rsidR="00DB5315" w:rsidRPr="00390868" w14:paraId="57EB8E92" w14:textId="77777777" w:rsidTr="00DB53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01DE100C" w14:textId="77777777" w:rsidR="00DB5315" w:rsidRPr="00390868" w:rsidRDefault="00DB5315" w:rsidP="00905241">
            <w:pPr>
              <w:spacing w:after="160" w:line="360" w:lineRule="auto"/>
              <w:rPr>
                <w:rFonts w:ascii="Arial" w:hAnsi="Arial" w:cs="Arial"/>
              </w:rPr>
            </w:pPr>
            <w:r w:rsidRPr="00390868">
              <w:rPr>
                <w:rFonts w:ascii="Arial" w:hAnsi="Arial" w:cs="Arial"/>
              </w:rPr>
              <w:t>Revenue</w:t>
            </w:r>
          </w:p>
        </w:tc>
        <w:tc>
          <w:tcPr>
            <w:tcW w:w="0" w:type="auto"/>
            <w:hideMark/>
          </w:tcPr>
          <w:p w14:paraId="3F1A500F"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6F7E3607"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Launch quarter (Oct-Dec).</w:t>
            </w:r>
          </w:p>
        </w:tc>
      </w:tr>
      <w:tr w:rsidR="00DB5315" w:rsidRPr="00390868" w14:paraId="1FDDA218" w14:textId="77777777" w:rsidTr="00DB5315">
        <w:trPr>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02C963C4" w14:textId="77777777" w:rsidR="00DB5315" w:rsidRPr="00390868" w:rsidRDefault="00DB5315" w:rsidP="00905241">
            <w:pPr>
              <w:spacing w:after="160" w:line="360" w:lineRule="auto"/>
              <w:rPr>
                <w:rFonts w:ascii="Arial" w:hAnsi="Arial" w:cs="Arial"/>
              </w:rPr>
            </w:pPr>
            <w:r w:rsidRPr="00390868">
              <w:rPr>
                <w:rFonts w:ascii="Arial" w:hAnsi="Arial" w:cs="Arial"/>
              </w:rPr>
              <w:t>Cost of Sales (35%)</w:t>
            </w:r>
          </w:p>
        </w:tc>
        <w:tc>
          <w:tcPr>
            <w:tcW w:w="0" w:type="auto"/>
            <w:hideMark/>
          </w:tcPr>
          <w:p w14:paraId="0304F8D3"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(157,500)</w:t>
            </w:r>
          </w:p>
        </w:tc>
        <w:tc>
          <w:tcPr>
            <w:tcW w:w="0" w:type="auto"/>
            <w:hideMark/>
          </w:tcPr>
          <w:p w14:paraId="70CA66FB"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Parts, consumables, direct labour.</w:t>
            </w:r>
          </w:p>
        </w:tc>
      </w:tr>
      <w:tr w:rsidR="00DB5315" w:rsidRPr="00390868" w14:paraId="1E7DB179" w14:textId="77777777" w:rsidTr="00DB53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14A028BF" w14:textId="77777777" w:rsidR="00DB5315" w:rsidRPr="00390868" w:rsidRDefault="00DB5315" w:rsidP="00905241">
            <w:pPr>
              <w:spacing w:after="160" w:line="360" w:lineRule="auto"/>
              <w:rPr>
                <w:rFonts w:ascii="Arial" w:hAnsi="Arial" w:cs="Arial"/>
              </w:rPr>
            </w:pPr>
            <w:r w:rsidRPr="00390868">
              <w:rPr>
                <w:rFonts w:ascii="Arial" w:hAnsi="Arial" w:cs="Arial"/>
              </w:rPr>
              <w:t>Gross Profit</w:t>
            </w:r>
          </w:p>
        </w:tc>
        <w:tc>
          <w:tcPr>
            <w:tcW w:w="0" w:type="auto"/>
            <w:hideMark/>
          </w:tcPr>
          <w:p w14:paraId="5F47D970"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292,500</w:t>
            </w:r>
          </w:p>
        </w:tc>
        <w:tc>
          <w:tcPr>
            <w:tcW w:w="0" w:type="auto"/>
            <w:hideMark/>
          </w:tcPr>
          <w:p w14:paraId="626D846A"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65% Gross Margin.</w:t>
            </w:r>
          </w:p>
        </w:tc>
      </w:tr>
      <w:tr w:rsidR="00DB5315" w:rsidRPr="00390868" w14:paraId="09F1B4E6" w14:textId="77777777" w:rsidTr="00DB5315">
        <w:trPr>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570E3610" w14:textId="77777777" w:rsidR="00DB5315" w:rsidRPr="00390868" w:rsidRDefault="00DB5315" w:rsidP="00905241">
            <w:pPr>
              <w:spacing w:after="160" w:line="360" w:lineRule="auto"/>
              <w:rPr>
                <w:rFonts w:ascii="Arial" w:hAnsi="Arial" w:cs="Arial"/>
              </w:rPr>
            </w:pPr>
            <w:r w:rsidRPr="00390868">
              <w:rPr>
                <w:rFonts w:ascii="Arial" w:hAnsi="Arial" w:cs="Arial"/>
              </w:rPr>
              <w:t>Operating Expenses</w:t>
            </w:r>
          </w:p>
        </w:tc>
        <w:tc>
          <w:tcPr>
            <w:tcW w:w="0" w:type="auto"/>
            <w:hideMark/>
          </w:tcPr>
          <w:p w14:paraId="573CEC1D"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(390,000)</w:t>
            </w:r>
          </w:p>
        </w:tc>
        <w:tc>
          <w:tcPr>
            <w:tcW w:w="0" w:type="auto"/>
            <w:hideMark/>
          </w:tcPr>
          <w:p w14:paraId="573AE861"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 months of fixed costs (rent, core salaries, utilities).</w:t>
            </w:r>
          </w:p>
        </w:tc>
      </w:tr>
      <w:tr w:rsidR="00DB5315" w:rsidRPr="00390868" w14:paraId="2B443B5E" w14:textId="77777777" w:rsidTr="00DB53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18B57F00" w14:textId="77777777" w:rsidR="00DB5315" w:rsidRPr="00390868" w:rsidRDefault="00DB5315" w:rsidP="00905241">
            <w:pPr>
              <w:spacing w:after="160" w:line="360" w:lineRule="auto"/>
              <w:rPr>
                <w:rFonts w:ascii="Arial" w:hAnsi="Arial" w:cs="Arial"/>
              </w:rPr>
            </w:pPr>
            <w:r w:rsidRPr="00390868">
              <w:rPr>
                <w:rFonts w:ascii="Arial" w:hAnsi="Arial" w:cs="Arial"/>
              </w:rPr>
              <w:t>EBITDA</w:t>
            </w:r>
          </w:p>
        </w:tc>
        <w:tc>
          <w:tcPr>
            <w:tcW w:w="0" w:type="auto"/>
            <w:hideMark/>
          </w:tcPr>
          <w:p w14:paraId="05D5D342"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(97,500)</w:t>
            </w:r>
          </w:p>
        </w:tc>
        <w:tc>
          <w:tcPr>
            <w:tcW w:w="0" w:type="auto"/>
            <w:hideMark/>
          </w:tcPr>
          <w:p w14:paraId="77163D8D"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Operating loss due to low launch-quarter utilisation.</w:t>
            </w:r>
          </w:p>
        </w:tc>
      </w:tr>
      <w:tr w:rsidR="00DB5315" w:rsidRPr="00390868" w14:paraId="7B7C33A9" w14:textId="77777777" w:rsidTr="00DB5315">
        <w:trPr>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73A64369" w14:textId="77777777" w:rsidR="00DB5315" w:rsidRPr="00390868" w:rsidRDefault="00DB5315" w:rsidP="00905241">
            <w:pPr>
              <w:spacing w:after="160" w:line="360" w:lineRule="auto"/>
              <w:rPr>
                <w:rFonts w:ascii="Arial" w:hAnsi="Arial" w:cs="Arial"/>
              </w:rPr>
            </w:pPr>
            <w:r w:rsidRPr="00390868">
              <w:rPr>
                <w:rFonts w:ascii="Arial" w:hAnsi="Arial" w:cs="Arial"/>
              </w:rPr>
              <w:t>Depreciation &amp; Amortisation</w:t>
            </w:r>
          </w:p>
        </w:tc>
        <w:tc>
          <w:tcPr>
            <w:tcW w:w="0" w:type="auto"/>
            <w:hideMark/>
          </w:tcPr>
          <w:p w14:paraId="4C75112C"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(40,000)</w:t>
            </w:r>
          </w:p>
        </w:tc>
        <w:tc>
          <w:tcPr>
            <w:tcW w:w="0" w:type="auto"/>
            <w:hideMark/>
          </w:tcPr>
          <w:p w14:paraId="4220B2E8"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 months of asset depreciation.</w:t>
            </w:r>
          </w:p>
        </w:tc>
      </w:tr>
      <w:tr w:rsidR="00DB5315" w:rsidRPr="00390868" w14:paraId="49F06729" w14:textId="77777777" w:rsidTr="00DB53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66D6E23D" w14:textId="77777777" w:rsidR="00DB5315" w:rsidRPr="00390868" w:rsidRDefault="00DB5315" w:rsidP="00905241">
            <w:pPr>
              <w:spacing w:after="160" w:line="360" w:lineRule="auto"/>
              <w:rPr>
                <w:rFonts w:ascii="Arial" w:hAnsi="Arial" w:cs="Arial"/>
              </w:rPr>
            </w:pPr>
            <w:r w:rsidRPr="00390868">
              <w:rPr>
                <w:rFonts w:ascii="Arial" w:hAnsi="Arial" w:cs="Arial"/>
              </w:rPr>
              <w:t>Interest Expense</w:t>
            </w:r>
          </w:p>
        </w:tc>
        <w:tc>
          <w:tcPr>
            <w:tcW w:w="0" w:type="auto"/>
            <w:hideMark/>
          </w:tcPr>
          <w:p w14:paraId="5CB22423"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w:t>
            </w:r>
          </w:p>
        </w:tc>
        <w:tc>
          <w:tcPr>
            <w:tcW w:w="0" w:type="auto"/>
            <w:hideMark/>
          </w:tcPr>
          <w:p w14:paraId="392134B9"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 months of finance costs.</w:t>
            </w:r>
          </w:p>
        </w:tc>
      </w:tr>
      <w:tr w:rsidR="00DB5315" w:rsidRPr="00390868" w14:paraId="47D8F944" w14:textId="77777777" w:rsidTr="00DB5315">
        <w:trPr>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26B27473" w14:textId="77777777" w:rsidR="00DB5315" w:rsidRPr="00390868" w:rsidRDefault="00DB5315" w:rsidP="00905241">
            <w:pPr>
              <w:spacing w:after="160" w:line="360" w:lineRule="auto"/>
              <w:rPr>
                <w:rFonts w:ascii="Arial" w:hAnsi="Arial" w:cs="Arial"/>
              </w:rPr>
            </w:pPr>
            <w:r w:rsidRPr="00390868">
              <w:rPr>
                <w:rFonts w:ascii="Arial" w:hAnsi="Arial" w:cs="Arial"/>
              </w:rPr>
              <w:t>Net Loss (Year 1)</w:t>
            </w:r>
          </w:p>
        </w:tc>
        <w:tc>
          <w:tcPr>
            <w:tcW w:w="0" w:type="auto"/>
            <w:hideMark/>
          </w:tcPr>
          <w:p w14:paraId="272A307A"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(162,500)</w:t>
            </w:r>
          </w:p>
        </w:tc>
        <w:tc>
          <w:tcPr>
            <w:tcW w:w="0" w:type="auto"/>
            <w:hideMark/>
          </w:tcPr>
          <w:p w14:paraId="189283DA"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Expected start-up loss, non-structural.</w:t>
            </w:r>
          </w:p>
        </w:tc>
      </w:tr>
    </w:tbl>
    <w:p w14:paraId="1E0455FF" w14:textId="77777777" w:rsidR="00DB5315" w:rsidRPr="00390868" w:rsidRDefault="00DB5315" w:rsidP="00905241">
      <w:pPr>
        <w:spacing w:line="360" w:lineRule="auto"/>
        <w:rPr>
          <w:rFonts w:ascii="Arial" w:hAnsi="Arial" w:cs="Arial"/>
          <w:b/>
          <w:bCs/>
        </w:rPr>
      </w:pPr>
    </w:p>
    <w:p w14:paraId="69DF92F2" w14:textId="49B41E89" w:rsidR="00DB5315" w:rsidRPr="00390868" w:rsidRDefault="00DB5315" w:rsidP="00905241">
      <w:pPr>
        <w:spacing w:line="360" w:lineRule="auto"/>
        <w:rPr>
          <w:rFonts w:ascii="Arial" w:hAnsi="Arial" w:cs="Arial"/>
        </w:rPr>
      </w:pPr>
      <w:r w:rsidRPr="00390868">
        <w:rPr>
          <w:rFonts w:ascii="Arial" w:hAnsi="Arial" w:cs="Arial"/>
          <w:b/>
          <w:bCs/>
        </w:rPr>
        <w:t>Table 8.3: Normalised Pro-Forma Income Statement (Steady-State, Year 3)</w:t>
      </w:r>
    </w:p>
    <w:tbl>
      <w:tblPr>
        <w:tblStyle w:val="PlainTable1"/>
        <w:tblW w:w="8774" w:type="dxa"/>
        <w:tblLook w:val="04A0" w:firstRow="1" w:lastRow="0" w:firstColumn="1" w:lastColumn="0" w:noHBand="0" w:noVBand="1"/>
      </w:tblPr>
      <w:tblGrid>
        <w:gridCol w:w="2940"/>
        <w:gridCol w:w="1372"/>
        <w:gridCol w:w="4462"/>
      </w:tblGrid>
      <w:tr w:rsidR="00DB5315" w:rsidRPr="00390868" w14:paraId="6FB640BF" w14:textId="77777777" w:rsidTr="00DB5315">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411547AC" w14:textId="77777777" w:rsidR="00DB5315" w:rsidRPr="00390868" w:rsidRDefault="00DB5315" w:rsidP="00905241">
            <w:pPr>
              <w:spacing w:after="160" w:line="360" w:lineRule="auto"/>
              <w:rPr>
                <w:rFonts w:ascii="Arial" w:hAnsi="Arial" w:cs="Arial"/>
              </w:rPr>
            </w:pPr>
            <w:r w:rsidRPr="00390868">
              <w:rPr>
                <w:rFonts w:ascii="Arial" w:hAnsi="Arial" w:cs="Arial"/>
              </w:rPr>
              <w:t>Item</w:t>
            </w:r>
          </w:p>
        </w:tc>
        <w:tc>
          <w:tcPr>
            <w:tcW w:w="0" w:type="auto"/>
            <w:hideMark/>
          </w:tcPr>
          <w:p w14:paraId="686B71B1" w14:textId="77777777" w:rsidR="00DB5315" w:rsidRPr="00390868" w:rsidRDefault="00DB531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Amount (£)</w:t>
            </w:r>
          </w:p>
        </w:tc>
        <w:tc>
          <w:tcPr>
            <w:tcW w:w="0" w:type="auto"/>
            <w:hideMark/>
          </w:tcPr>
          <w:p w14:paraId="7CF575D4" w14:textId="77777777" w:rsidR="00DB5315" w:rsidRPr="00390868" w:rsidRDefault="00DB531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Notes</w:t>
            </w:r>
          </w:p>
        </w:tc>
      </w:tr>
      <w:tr w:rsidR="00DB5315" w:rsidRPr="00390868" w14:paraId="5E65CAC6" w14:textId="77777777" w:rsidTr="00DB5315">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3DDECD9B" w14:textId="77777777" w:rsidR="00DB5315" w:rsidRPr="00390868" w:rsidRDefault="00DB5315" w:rsidP="00905241">
            <w:pPr>
              <w:spacing w:after="160" w:line="360" w:lineRule="auto"/>
              <w:rPr>
                <w:rFonts w:ascii="Arial" w:hAnsi="Arial" w:cs="Arial"/>
              </w:rPr>
            </w:pPr>
            <w:r w:rsidRPr="00390868">
              <w:rPr>
                <w:rFonts w:ascii="Arial" w:hAnsi="Arial" w:cs="Arial"/>
              </w:rPr>
              <w:t>Revenue</w:t>
            </w:r>
          </w:p>
        </w:tc>
        <w:tc>
          <w:tcPr>
            <w:tcW w:w="0" w:type="auto"/>
            <w:hideMark/>
          </w:tcPr>
          <w:p w14:paraId="278294A4"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2,550,000</w:t>
            </w:r>
          </w:p>
        </w:tc>
        <w:tc>
          <w:tcPr>
            <w:tcW w:w="0" w:type="auto"/>
            <w:hideMark/>
          </w:tcPr>
          <w:p w14:paraId="578D2F8B"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At target ~68% utilisation.</w:t>
            </w:r>
          </w:p>
        </w:tc>
      </w:tr>
      <w:tr w:rsidR="00DB5315" w:rsidRPr="00390868" w14:paraId="4B1AD768" w14:textId="77777777" w:rsidTr="00DB5315">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022101A0" w14:textId="77777777" w:rsidR="00DB5315" w:rsidRPr="00390868" w:rsidRDefault="00DB5315" w:rsidP="00905241">
            <w:pPr>
              <w:spacing w:after="160" w:line="360" w:lineRule="auto"/>
              <w:rPr>
                <w:rFonts w:ascii="Arial" w:hAnsi="Arial" w:cs="Arial"/>
              </w:rPr>
            </w:pPr>
            <w:r w:rsidRPr="00390868">
              <w:rPr>
                <w:rFonts w:ascii="Arial" w:hAnsi="Arial" w:cs="Arial"/>
              </w:rPr>
              <w:t>Cost of Sales (35%)</w:t>
            </w:r>
          </w:p>
        </w:tc>
        <w:tc>
          <w:tcPr>
            <w:tcW w:w="0" w:type="auto"/>
            <w:hideMark/>
          </w:tcPr>
          <w:p w14:paraId="4747F59F"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(892,500)</w:t>
            </w:r>
          </w:p>
        </w:tc>
        <w:tc>
          <w:tcPr>
            <w:tcW w:w="0" w:type="auto"/>
            <w:hideMark/>
          </w:tcPr>
          <w:p w14:paraId="2EA6ABD5"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B5315" w:rsidRPr="00390868" w14:paraId="38AB4C52" w14:textId="77777777" w:rsidTr="00DB5315">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5FC68021" w14:textId="77777777" w:rsidR="00DB5315" w:rsidRPr="00390868" w:rsidRDefault="00DB5315" w:rsidP="00905241">
            <w:pPr>
              <w:spacing w:after="160" w:line="360" w:lineRule="auto"/>
              <w:rPr>
                <w:rFonts w:ascii="Arial" w:hAnsi="Arial" w:cs="Arial"/>
              </w:rPr>
            </w:pPr>
            <w:r w:rsidRPr="00390868">
              <w:rPr>
                <w:rFonts w:ascii="Arial" w:hAnsi="Arial" w:cs="Arial"/>
              </w:rPr>
              <w:t>Gross Profit</w:t>
            </w:r>
          </w:p>
        </w:tc>
        <w:tc>
          <w:tcPr>
            <w:tcW w:w="0" w:type="auto"/>
            <w:hideMark/>
          </w:tcPr>
          <w:p w14:paraId="5D2E598A"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1,657,500</w:t>
            </w:r>
          </w:p>
        </w:tc>
        <w:tc>
          <w:tcPr>
            <w:tcW w:w="0" w:type="auto"/>
            <w:hideMark/>
          </w:tcPr>
          <w:p w14:paraId="562DDE05"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65% Gross Margin.</w:t>
            </w:r>
          </w:p>
        </w:tc>
      </w:tr>
      <w:tr w:rsidR="00DB5315" w:rsidRPr="00390868" w14:paraId="33EE0C37" w14:textId="77777777" w:rsidTr="00DB5315">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1E9BABD9" w14:textId="77777777" w:rsidR="00DB5315" w:rsidRPr="00390868" w:rsidRDefault="00DB5315" w:rsidP="00905241">
            <w:pPr>
              <w:spacing w:after="160" w:line="360" w:lineRule="auto"/>
              <w:rPr>
                <w:rFonts w:ascii="Arial" w:hAnsi="Arial" w:cs="Arial"/>
              </w:rPr>
            </w:pPr>
            <w:r w:rsidRPr="00390868">
              <w:rPr>
                <w:rFonts w:ascii="Arial" w:hAnsi="Arial" w:cs="Arial"/>
              </w:rPr>
              <w:t>Operating Expenses</w:t>
            </w:r>
          </w:p>
        </w:tc>
        <w:tc>
          <w:tcPr>
            <w:tcW w:w="0" w:type="auto"/>
            <w:hideMark/>
          </w:tcPr>
          <w:p w14:paraId="551C774D"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(1,277,500)</w:t>
            </w:r>
          </w:p>
        </w:tc>
        <w:tc>
          <w:tcPr>
            <w:tcW w:w="0" w:type="auto"/>
            <w:hideMark/>
          </w:tcPr>
          <w:p w14:paraId="4019AC26"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Updated fixed costs (see Table 8.4).</w:t>
            </w:r>
          </w:p>
        </w:tc>
      </w:tr>
      <w:tr w:rsidR="00DB5315" w:rsidRPr="00390868" w14:paraId="1E2F40EA" w14:textId="77777777" w:rsidTr="00DB5315">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4E576EB9" w14:textId="77777777" w:rsidR="00DB5315" w:rsidRPr="00390868" w:rsidRDefault="00DB5315" w:rsidP="00905241">
            <w:pPr>
              <w:spacing w:after="160" w:line="360" w:lineRule="auto"/>
              <w:rPr>
                <w:rFonts w:ascii="Arial" w:hAnsi="Arial" w:cs="Arial"/>
              </w:rPr>
            </w:pPr>
            <w:r w:rsidRPr="00390868">
              <w:rPr>
                <w:rFonts w:ascii="Arial" w:hAnsi="Arial" w:cs="Arial"/>
              </w:rPr>
              <w:lastRenderedPageBreak/>
              <w:t>EBITDA</w:t>
            </w:r>
          </w:p>
        </w:tc>
        <w:tc>
          <w:tcPr>
            <w:tcW w:w="0" w:type="auto"/>
            <w:hideMark/>
          </w:tcPr>
          <w:p w14:paraId="0B3F99C2"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380,000</w:t>
            </w:r>
          </w:p>
        </w:tc>
        <w:tc>
          <w:tcPr>
            <w:tcW w:w="0" w:type="auto"/>
            <w:hideMark/>
          </w:tcPr>
          <w:p w14:paraId="21FA6632"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14.9% Margin - Core operational profitability.</w:t>
            </w:r>
          </w:p>
        </w:tc>
      </w:tr>
      <w:tr w:rsidR="00DB5315" w:rsidRPr="00390868" w14:paraId="5EB08CEF" w14:textId="77777777" w:rsidTr="00DB5315">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15DA260E" w14:textId="77777777" w:rsidR="00DB5315" w:rsidRPr="00390868" w:rsidRDefault="00DB5315" w:rsidP="00905241">
            <w:pPr>
              <w:spacing w:after="160" w:line="360" w:lineRule="auto"/>
              <w:rPr>
                <w:rFonts w:ascii="Arial" w:hAnsi="Arial" w:cs="Arial"/>
              </w:rPr>
            </w:pPr>
            <w:r w:rsidRPr="00390868">
              <w:rPr>
                <w:rFonts w:ascii="Arial" w:hAnsi="Arial" w:cs="Arial"/>
              </w:rPr>
              <w:t>Depreciation &amp; Amortisation</w:t>
            </w:r>
          </w:p>
        </w:tc>
        <w:tc>
          <w:tcPr>
            <w:tcW w:w="0" w:type="auto"/>
            <w:hideMark/>
          </w:tcPr>
          <w:p w14:paraId="6CF2A0C7"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(120,000)</w:t>
            </w:r>
          </w:p>
        </w:tc>
        <w:tc>
          <w:tcPr>
            <w:tcW w:w="0" w:type="auto"/>
            <w:hideMark/>
          </w:tcPr>
          <w:p w14:paraId="330EED40"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 of total asset base.</w:t>
            </w:r>
          </w:p>
        </w:tc>
      </w:tr>
      <w:tr w:rsidR="00DB5315" w:rsidRPr="00390868" w14:paraId="6844447F" w14:textId="77777777" w:rsidTr="00DB5315">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361BA11D" w14:textId="77777777" w:rsidR="00DB5315" w:rsidRPr="00390868" w:rsidRDefault="00DB5315" w:rsidP="00905241">
            <w:pPr>
              <w:spacing w:after="160" w:line="360" w:lineRule="auto"/>
              <w:rPr>
                <w:rFonts w:ascii="Arial" w:hAnsi="Arial" w:cs="Arial"/>
              </w:rPr>
            </w:pPr>
            <w:r w:rsidRPr="00390868">
              <w:rPr>
                <w:rFonts w:ascii="Arial" w:hAnsi="Arial" w:cs="Arial"/>
              </w:rPr>
              <w:t>Interest Expense</w:t>
            </w:r>
          </w:p>
        </w:tc>
        <w:tc>
          <w:tcPr>
            <w:tcW w:w="0" w:type="auto"/>
            <w:hideMark/>
          </w:tcPr>
          <w:p w14:paraId="5D00ABC7"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(60,000)</w:t>
            </w:r>
          </w:p>
        </w:tc>
        <w:tc>
          <w:tcPr>
            <w:tcW w:w="0" w:type="auto"/>
            <w:hideMark/>
          </w:tcPr>
          <w:p w14:paraId="7DCACDC0"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Based on £500k asset finance.</w:t>
            </w:r>
          </w:p>
        </w:tc>
      </w:tr>
      <w:tr w:rsidR="00DB5315" w:rsidRPr="00390868" w14:paraId="5BAA7168" w14:textId="77777777" w:rsidTr="00DB5315">
        <w:trPr>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1E049ED2" w14:textId="77777777" w:rsidR="00DB5315" w:rsidRPr="00390868" w:rsidRDefault="00DB5315" w:rsidP="00905241">
            <w:pPr>
              <w:spacing w:after="160" w:line="360" w:lineRule="auto"/>
              <w:rPr>
                <w:rFonts w:ascii="Arial" w:hAnsi="Arial" w:cs="Arial"/>
              </w:rPr>
            </w:pPr>
            <w:r w:rsidRPr="00390868">
              <w:rPr>
                <w:rFonts w:ascii="Arial" w:hAnsi="Arial" w:cs="Arial"/>
              </w:rPr>
              <w:t>Profit Before Tax</w:t>
            </w:r>
          </w:p>
        </w:tc>
        <w:tc>
          <w:tcPr>
            <w:tcW w:w="0" w:type="auto"/>
            <w:hideMark/>
          </w:tcPr>
          <w:p w14:paraId="324D9A3C"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200,000</w:t>
            </w:r>
          </w:p>
        </w:tc>
        <w:tc>
          <w:tcPr>
            <w:tcW w:w="0" w:type="auto"/>
            <w:hideMark/>
          </w:tcPr>
          <w:p w14:paraId="6622AF42"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B5315" w:rsidRPr="00390868" w14:paraId="5AD255D7" w14:textId="77777777" w:rsidTr="00DB5315">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34CD9B58" w14:textId="77777777" w:rsidR="00DB5315" w:rsidRPr="00390868" w:rsidRDefault="00DB5315" w:rsidP="00905241">
            <w:pPr>
              <w:spacing w:after="160" w:line="360" w:lineRule="auto"/>
              <w:rPr>
                <w:rFonts w:ascii="Arial" w:hAnsi="Arial" w:cs="Arial"/>
              </w:rPr>
            </w:pPr>
            <w:r w:rsidRPr="00390868">
              <w:rPr>
                <w:rFonts w:ascii="Arial" w:hAnsi="Arial" w:cs="Arial"/>
              </w:rPr>
              <w:t>Corporation Tax @ 25%</w:t>
            </w:r>
          </w:p>
        </w:tc>
        <w:tc>
          <w:tcPr>
            <w:tcW w:w="0" w:type="auto"/>
            <w:hideMark/>
          </w:tcPr>
          <w:p w14:paraId="4ECD3C69"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32935FE3" w14:textId="77777777" w:rsidR="00DB5315" w:rsidRPr="00390868" w:rsidRDefault="00DB531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B5315" w:rsidRPr="00390868" w14:paraId="15DB69ED" w14:textId="77777777" w:rsidTr="00DB5315">
        <w:trPr>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5233F2CB" w14:textId="77777777" w:rsidR="00DB5315" w:rsidRPr="00390868" w:rsidRDefault="00DB5315" w:rsidP="00905241">
            <w:pPr>
              <w:spacing w:after="160" w:line="360" w:lineRule="auto"/>
              <w:rPr>
                <w:rFonts w:ascii="Arial" w:hAnsi="Arial" w:cs="Arial"/>
              </w:rPr>
            </w:pPr>
            <w:r w:rsidRPr="00390868">
              <w:rPr>
                <w:rFonts w:ascii="Arial" w:hAnsi="Arial" w:cs="Arial"/>
              </w:rPr>
              <w:t>Net Profit</w:t>
            </w:r>
          </w:p>
        </w:tc>
        <w:tc>
          <w:tcPr>
            <w:tcW w:w="0" w:type="auto"/>
            <w:hideMark/>
          </w:tcPr>
          <w:p w14:paraId="2DF63FD9"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150,000</w:t>
            </w:r>
          </w:p>
        </w:tc>
        <w:tc>
          <w:tcPr>
            <w:tcW w:w="0" w:type="auto"/>
            <w:hideMark/>
          </w:tcPr>
          <w:p w14:paraId="5AFC2319" w14:textId="77777777" w:rsidR="00DB5315" w:rsidRPr="00390868" w:rsidRDefault="00DB531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Demonstrates structural profitability at scale.</w:t>
            </w:r>
          </w:p>
        </w:tc>
      </w:tr>
    </w:tbl>
    <w:p w14:paraId="485D4E34" w14:textId="25481102" w:rsidR="00DB5315" w:rsidRPr="00390868" w:rsidRDefault="00C26417" w:rsidP="00905241">
      <w:pPr>
        <w:spacing w:line="360" w:lineRule="auto"/>
        <w:rPr>
          <w:rFonts w:ascii="Arial" w:hAnsi="Arial" w:cs="Arial"/>
        </w:rPr>
      </w:pPr>
      <w:r w:rsidRPr="00390868">
        <w:rPr>
          <w:rFonts w:ascii="Arial" w:hAnsi="Arial" w:cs="Arial"/>
        </w:rPr>
        <w:t xml:space="preserve">The detailed annual and monthly financial statements underpinning these pro-forma results—including full income statements, balance sheet projections, and start-up cost schedules—are provided in </w:t>
      </w:r>
      <w:r w:rsidRPr="00BE69E7">
        <w:rPr>
          <w:rFonts w:ascii="Arial" w:hAnsi="Arial" w:cs="Arial"/>
        </w:rPr>
        <w:t>Appendix E.</w:t>
      </w:r>
    </w:p>
    <w:p w14:paraId="69AA693C" w14:textId="77777777" w:rsidR="003861FB" w:rsidRPr="00390868" w:rsidRDefault="003861FB" w:rsidP="00905241">
      <w:pPr>
        <w:pStyle w:val="Heading2"/>
        <w:spacing w:line="360" w:lineRule="auto"/>
        <w:rPr>
          <w:rFonts w:ascii="Arial" w:hAnsi="Arial" w:cs="Arial"/>
        </w:rPr>
      </w:pPr>
      <w:bookmarkStart w:id="129" w:name="_Toc218629292"/>
      <w:r w:rsidRPr="00390868">
        <w:rPr>
          <w:rFonts w:ascii="Arial" w:hAnsi="Arial" w:cs="Arial"/>
        </w:rPr>
        <w:t>8.3 Cost Structure and Break-Even Analysis</w:t>
      </w:r>
      <w:bookmarkEnd w:id="129"/>
    </w:p>
    <w:p w14:paraId="49940E3E" w14:textId="77777777" w:rsidR="003861FB" w:rsidRPr="00390868" w:rsidRDefault="003861FB" w:rsidP="00905241">
      <w:pPr>
        <w:spacing w:line="360" w:lineRule="auto"/>
        <w:rPr>
          <w:rFonts w:ascii="Arial" w:hAnsi="Arial" w:cs="Arial"/>
        </w:rPr>
      </w:pPr>
      <w:r w:rsidRPr="00390868">
        <w:rPr>
          <w:rFonts w:ascii="Arial" w:hAnsi="Arial" w:cs="Arial"/>
        </w:rPr>
        <w:t>Profitability is driven by covering a substantial fixed-cost base inherent to a large, compliant automotive estate.</w:t>
      </w:r>
    </w:p>
    <w:p w14:paraId="4FF34C7F" w14:textId="77777777" w:rsidR="003861FB" w:rsidRPr="00390868" w:rsidRDefault="003861FB" w:rsidP="00905241">
      <w:pPr>
        <w:spacing w:line="360" w:lineRule="auto"/>
        <w:rPr>
          <w:rFonts w:ascii="Arial" w:hAnsi="Arial" w:cs="Arial"/>
          <w:b/>
          <w:bCs/>
        </w:rPr>
      </w:pPr>
      <w:r w:rsidRPr="00390868">
        <w:rPr>
          <w:rFonts w:ascii="Arial" w:hAnsi="Arial" w:cs="Arial"/>
          <w:b/>
          <w:bCs/>
        </w:rPr>
        <w:t>Fixed Costs</w:t>
      </w:r>
    </w:p>
    <w:p w14:paraId="43CA7429" w14:textId="77777777" w:rsidR="003861FB" w:rsidRPr="00390868" w:rsidRDefault="003861FB" w:rsidP="00905241">
      <w:pPr>
        <w:spacing w:line="360" w:lineRule="auto"/>
        <w:rPr>
          <w:rFonts w:ascii="Arial" w:hAnsi="Arial" w:cs="Arial"/>
        </w:rPr>
      </w:pPr>
      <w:r w:rsidRPr="00390868">
        <w:rPr>
          <w:rFonts w:ascii="Arial" w:hAnsi="Arial" w:cs="Arial"/>
        </w:rPr>
        <w:t>Fixed costs include premises, core staffing, security, insurance, utilities base load, and digital systems. These costs represent the minimum operational footprint required to deliver the integrated service model.</w:t>
      </w:r>
    </w:p>
    <w:p w14:paraId="4AA6699F" w14:textId="55A47715" w:rsidR="00D108F2" w:rsidRPr="00390868" w:rsidRDefault="003861FB" w:rsidP="00905241">
      <w:pPr>
        <w:spacing w:line="360" w:lineRule="auto"/>
        <w:rPr>
          <w:rFonts w:ascii="Arial" w:hAnsi="Arial" w:cs="Arial"/>
        </w:rPr>
      </w:pPr>
      <w:r w:rsidRPr="00390868">
        <w:rPr>
          <w:rFonts w:ascii="Arial" w:hAnsi="Arial" w:cs="Arial"/>
          <w:b/>
          <w:bCs/>
        </w:rPr>
        <w:t>Table 8.3: Steady-State Annual Fixed Costs</w:t>
      </w:r>
    </w:p>
    <w:tbl>
      <w:tblPr>
        <w:tblStyle w:val="PlainTable1"/>
        <w:tblW w:w="9067" w:type="dxa"/>
        <w:tblLook w:val="04A0" w:firstRow="1" w:lastRow="0" w:firstColumn="1" w:lastColumn="0" w:noHBand="0" w:noVBand="1"/>
      </w:tblPr>
      <w:tblGrid>
        <w:gridCol w:w="3890"/>
        <w:gridCol w:w="1988"/>
        <w:gridCol w:w="3189"/>
      </w:tblGrid>
      <w:tr w:rsidR="00D108F2" w:rsidRPr="00390868" w14:paraId="03302B4E" w14:textId="77777777" w:rsidTr="00D10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ECDBA" w14:textId="77777777" w:rsidR="00D108F2" w:rsidRPr="00390868" w:rsidRDefault="00D108F2" w:rsidP="00905241">
            <w:pPr>
              <w:spacing w:after="160" w:line="360" w:lineRule="auto"/>
              <w:rPr>
                <w:rFonts w:ascii="Arial" w:hAnsi="Arial" w:cs="Arial"/>
              </w:rPr>
            </w:pPr>
            <w:r w:rsidRPr="00390868">
              <w:rPr>
                <w:rFonts w:ascii="Arial" w:hAnsi="Arial" w:cs="Arial"/>
              </w:rPr>
              <w:t>Cost Category</w:t>
            </w:r>
          </w:p>
        </w:tc>
        <w:tc>
          <w:tcPr>
            <w:tcW w:w="0" w:type="auto"/>
            <w:hideMark/>
          </w:tcPr>
          <w:p w14:paraId="37975806" w14:textId="77777777" w:rsidR="00D108F2" w:rsidRPr="00390868" w:rsidRDefault="00D108F2"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Annual Cost (£)</w:t>
            </w:r>
          </w:p>
        </w:tc>
        <w:tc>
          <w:tcPr>
            <w:tcW w:w="3189" w:type="dxa"/>
            <w:hideMark/>
          </w:tcPr>
          <w:p w14:paraId="4418B6F8" w14:textId="77777777" w:rsidR="00D108F2" w:rsidRPr="00390868" w:rsidRDefault="00D108F2"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Rationale</w:t>
            </w:r>
          </w:p>
        </w:tc>
      </w:tr>
      <w:tr w:rsidR="00D108F2" w:rsidRPr="00390868" w14:paraId="75A2CD3D" w14:textId="77777777" w:rsidTr="00D10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9EF54" w14:textId="77777777" w:rsidR="00D108F2" w:rsidRPr="00390868" w:rsidRDefault="00D108F2" w:rsidP="00905241">
            <w:pPr>
              <w:spacing w:after="160" w:line="360" w:lineRule="auto"/>
              <w:rPr>
                <w:rFonts w:ascii="Arial" w:hAnsi="Arial" w:cs="Arial"/>
              </w:rPr>
            </w:pPr>
            <w:r w:rsidRPr="00390868">
              <w:rPr>
                <w:rFonts w:ascii="Arial" w:hAnsi="Arial" w:cs="Arial"/>
              </w:rPr>
              <w:t>Staffing (32 FTE)</w:t>
            </w:r>
          </w:p>
        </w:tc>
        <w:tc>
          <w:tcPr>
            <w:tcW w:w="0" w:type="auto"/>
            <w:hideMark/>
          </w:tcPr>
          <w:p w14:paraId="345F58DD"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1,150,000</w:t>
            </w:r>
          </w:p>
        </w:tc>
        <w:tc>
          <w:tcPr>
            <w:tcW w:w="3189" w:type="dxa"/>
            <w:hideMark/>
          </w:tcPr>
          <w:p w14:paraId="48E0DD9E"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Realistic average fully-loaded cost of ~£36k/FTE.</w:t>
            </w:r>
          </w:p>
        </w:tc>
      </w:tr>
      <w:tr w:rsidR="00D108F2" w:rsidRPr="00390868" w14:paraId="5D9413FC" w14:textId="77777777" w:rsidTr="00D108F2">
        <w:tc>
          <w:tcPr>
            <w:cnfStyle w:val="001000000000" w:firstRow="0" w:lastRow="0" w:firstColumn="1" w:lastColumn="0" w:oddVBand="0" w:evenVBand="0" w:oddHBand="0" w:evenHBand="0" w:firstRowFirstColumn="0" w:firstRowLastColumn="0" w:lastRowFirstColumn="0" w:lastRowLastColumn="0"/>
            <w:tcW w:w="0" w:type="auto"/>
            <w:hideMark/>
          </w:tcPr>
          <w:p w14:paraId="01A88B02" w14:textId="77777777" w:rsidR="00D108F2" w:rsidRPr="00390868" w:rsidRDefault="00D108F2" w:rsidP="00905241">
            <w:pPr>
              <w:spacing w:after="160" w:line="360" w:lineRule="auto"/>
              <w:rPr>
                <w:rFonts w:ascii="Arial" w:hAnsi="Arial" w:cs="Arial"/>
              </w:rPr>
            </w:pPr>
            <w:r w:rsidRPr="00390868">
              <w:rPr>
                <w:rFonts w:ascii="Arial" w:hAnsi="Arial" w:cs="Arial"/>
              </w:rPr>
              <w:t>Rent &amp; Business Rates</w:t>
            </w:r>
          </w:p>
        </w:tc>
        <w:tc>
          <w:tcPr>
            <w:tcW w:w="0" w:type="auto"/>
            <w:hideMark/>
          </w:tcPr>
          <w:p w14:paraId="39E98A4B"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180,000</w:t>
            </w:r>
          </w:p>
        </w:tc>
        <w:tc>
          <w:tcPr>
            <w:tcW w:w="3189" w:type="dxa"/>
            <w:hideMark/>
          </w:tcPr>
          <w:p w14:paraId="4F6B2C6C"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£15,000/month for 30,000 sq ft.</w:t>
            </w:r>
          </w:p>
        </w:tc>
      </w:tr>
      <w:tr w:rsidR="00D108F2" w:rsidRPr="00390868" w14:paraId="2F1E82B7" w14:textId="77777777" w:rsidTr="00D10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F81D7" w14:textId="77777777" w:rsidR="00D108F2" w:rsidRPr="00390868" w:rsidRDefault="00D108F2" w:rsidP="00905241">
            <w:pPr>
              <w:spacing w:after="160" w:line="360" w:lineRule="auto"/>
              <w:rPr>
                <w:rFonts w:ascii="Arial" w:hAnsi="Arial" w:cs="Arial"/>
              </w:rPr>
            </w:pPr>
            <w:r w:rsidRPr="00390868">
              <w:rPr>
                <w:rFonts w:ascii="Arial" w:hAnsi="Arial" w:cs="Arial"/>
              </w:rPr>
              <w:t>Utilities</w:t>
            </w:r>
          </w:p>
        </w:tc>
        <w:tc>
          <w:tcPr>
            <w:tcW w:w="0" w:type="auto"/>
            <w:hideMark/>
          </w:tcPr>
          <w:p w14:paraId="77B4E008"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84,000</w:t>
            </w:r>
          </w:p>
        </w:tc>
        <w:tc>
          <w:tcPr>
            <w:tcW w:w="3189" w:type="dxa"/>
            <w:hideMark/>
          </w:tcPr>
          <w:p w14:paraId="71038552"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For large, power-intensive estate.</w:t>
            </w:r>
          </w:p>
        </w:tc>
      </w:tr>
      <w:tr w:rsidR="00D108F2" w:rsidRPr="00390868" w14:paraId="3728C6CA" w14:textId="77777777" w:rsidTr="00D108F2">
        <w:tc>
          <w:tcPr>
            <w:cnfStyle w:val="001000000000" w:firstRow="0" w:lastRow="0" w:firstColumn="1" w:lastColumn="0" w:oddVBand="0" w:evenVBand="0" w:oddHBand="0" w:evenHBand="0" w:firstRowFirstColumn="0" w:firstRowLastColumn="0" w:lastRowFirstColumn="0" w:lastRowLastColumn="0"/>
            <w:tcW w:w="0" w:type="auto"/>
            <w:hideMark/>
          </w:tcPr>
          <w:p w14:paraId="40897DEC" w14:textId="77777777" w:rsidR="00D108F2" w:rsidRPr="00390868" w:rsidRDefault="00D108F2" w:rsidP="00905241">
            <w:pPr>
              <w:spacing w:after="160" w:line="360" w:lineRule="auto"/>
              <w:rPr>
                <w:rFonts w:ascii="Arial" w:hAnsi="Arial" w:cs="Arial"/>
              </w:rPr>
            </w:pPr>
            <w:r w:rsidRPr="00390868">
              <w:rPr>
                <w:rFonts w:ascii="Arial" w:hAnsi="Arial" w:cs="Arial"/>
              </w:rPr>
              <w:t>Insurance &amp; Compliance</w:t>
            </w:r>
          </w:p>
        </w:tc>
        <w:tc>
          <w:tcPr>
            <w:tcW w:w="0" w:type="auto"/>
            <w:hideMark/>
          </w:tcPr>
          <w:p w14:paraId="75B09F99"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60,000</w:t>
            </w:r>
          </w:p>
        </w:tc>
        <w:tc>
          <w:tcPr>
            <w:tcW w:w="3189" w:type="dxa"/>
            <w:hideMark/>
          </w:tcPr>
          <w:p w14:paraId="13E79AC2"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Motor trade combined policy.</w:t>
            </w:r>
          </w:p>
        </w:tc>
      </w:tr>
      <w:tr w:rsidR="00D108F2" w:rsidRPr="00390868" w14:paraId="037C3BF8" w14:textId="77777777" w:rsidTr="00D10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5F03B5" w14:textId="77777777" w:rsidR="00D108F2" w:rsidRPr="00390868" w:rsidRDefault="00D108F2" w:rsidP="00905241">
            <w:pPr>
              <w:spacing w:after="160" w:line="360" w:lineRule="auto"/>
              <w:rPr>
                <w:rFonts w:ascii="Arial" w:hAnsi="Arial" w:cs="Arial"/>
              </w:rPr>
            </w:pPr>
            <w:r w:rsidRPr="00390868">
              <w:rPr>
                <w:rFonts w:ascii="Arial" w:hAnsi="Arial" w:cs="Arial"/>
              </w:rPr>
              <w:lastRenderedPageBreak/>
              <w:t>Digital Systems &amp; Subscriptions</w:t>
            </w:r>
          </w:p>
        </w:tc>
        <w:tc>
          <w:tcPr>
            <w:tcW w:w="0" w:type="auto"/>
            <w:hideMark/>
          </w:tcPr>
          <w:p w14:paraId="021E05CF"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w:t>
            </w:r>
          </w:p>
        </w:tc>
        <w:tc>
          <w:tcPr>
            <w:tcW w:w="3189" w:type="dxa"/>
            <w:hideMark/>
          </w:tcPr>
          <w:p w14:paraId="54D17B83"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CRM, workshop management software.</w:t>
            </w:r>
          </w:p>
        </w:tc>
      </w:tr>
      <w:tr w:rsidR="00D108F2" w:rsidRPr="00390868" w14:paraId="460E3F19" w14:textId="77777777" w:rsidTr="00D108F2">
        <w:tc>
          <w:tcPr>
            <w:cnfStyle w:val="001000000000" w:firstRow="0" w:lastRow="0" w:firstColumn="1" w:lastColumn="0" w:oddVBand="0" w:evenVBand="0" w:oddHBand="0" w:evenHBand="0" w:firstRowFirstColumn="0" w:firstRowLastColumn="0" w:lastRowFirstColumn="0" w:lastRowLastColumn="0"/>
            <w:tcW w:w="0" w:type="auto"/>
            <w:hideMark/>
          </w:tcPr>
          <w:p w14:paraId="5015485F" w14:textId="77777777" w:rsidR="00D108F2" w:rsidRPr="00390868" w:rsidRDefault="00D108F2" w:rsidP="00905241">
            <w:pPr>
              <w:spacing w:after="160" w:line="360" w:lineRule="auto"/>
              <w:rPr>
                <w:rFonts w:ascii="Arial" w:hAnsi="Arial" w:cs="Arial"/>
              </w:rPr>
            </w:pPr>
            <w:r w:rsidRPr="00390868">
              <w:rPr>
                <w:rFonts w:ascii="Arial" w:hAnsi="Arial" w:cs="Arial"/>
              </w:rPr>
              <w:t>Security</w:t>
            </w:r>
          </w:p>
        </w:tc>
        <w:tc>
          <w:tcPr>
            <w:tcW w:w="0" w:type="auto"/>
            <w:hideMark/>
          </w:tcPr>
          <w:p w14:paraId="5B8655F4"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96,000</w:t>
            </w:r>
          </w:p>
        </w:tc>
        <w:tc>
          <w:tcPr>
            <w:tcW w:w="3189" w:type="dxa"/>
            <w:hideMark/>
          </w:tcPr>
          <w:p w14:paraId="4B9C4BA1"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Essential for asset protection.</w:t>
            </w:r>
          </w:p>
        </w:tc>
      </w:tr>
      <w:tr w:rsidR="00D108F2" w:rsidRPr="00390868" w14:paraId="3DE2AFC4" w14:textId="77777777" w:rsidTr="00D10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7733B" w14:textId="77777777" w:rsidR="00D108F2" w:rsidRPr="00390868" w:rsidRDefault="00D108F2" w:rsidP="00905241">
            <w:pPr>
              <w:spacing w:after="160" w:line="360" w:lineRule="auto"/>
              <w:rPr>
                <w:rFonts w:ascii="Arial" w:hAnsi="Arial" w:cs="Arial"/>
              </w:rPr>
            </w:pPr>
            <w:r w:rsidRPr="00390868">
              <w:rPr>
                <w:rFonts w:ascii="Arial" w:hAnsi="Arial" w:cs="Arial"/>
              </w:rPr>
              <w:t>Contingency &amp; Overheads</w:t>
            </w:r>
          </w:p>
        </w:tc>
        <w:tc>
          <w:tcPr>
            <w:tcW w:w="0" w:type="auto"/>
            <w:hideMark/>
          </w:tcPr>
          <w:p w14:paraId="6C2C6D68"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132,000</w:t>
            </w:r>
          </w:p>
        </w:tc>
        <w:tc>
          <w:tcPr>
            <w:tcW w:w="3189" w:type="dxa"/>
            <w:hideMark/>
          </w:tcPr>
          <w:p w14:paraId="7F6E19DA" w14:textId="77777777" w:rsidR="00D108F2" w:rsidRPr="00390868" w:rsidRDefault="00D108F2"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 buffer on other fixed costs.</w:t>
            </w:r>
          </w:p>
        </w:tc>
      </w:tr>
      <w:tr w:rsidR="00D108F2" w:rsidRPr="00390868" w14:paraId="756DF841" w14:textId="77777777" w:rsidTr="00D108F2">
        <w:tc>
          <w:tcPr>
            <w:cnfStyle w:val="001000000000" w:firstRow="0" w:lastRow="0" w:firstColumn="1" w:lastColumn="0" w:oddVBand="0" w:evenVBand="0" w:oddHBand="0" w:evenHBand="0" w:firstRowFirstColumn="0" w:firstRowLastColumn="0" w:lastRowFirstColumn="0" w:lastRowLastColumn="0"/>
            <w:tcW w:w="0" w:type="auto"/>
            <w:hideMark/>
          </w:tcPr>
          <w:p w14:paraId="3C7DB783" w14:textId="77777777" w:rsidR="00D108F2" w:rsidRPr="00390868" w:rsidRDefault="00D108F2" w:rsidP="00905241">
            <w:pPr>
              <w:spacing w:after="160" w:line="360" w:lineRule="auto"/>
              <w:rPr>
                <w:rFonts w:ascii="Arial" w:hAnsi="Arial" w:cs="Arial"/>
              </w:rPr>
            </w:pPr>
            <w:r w:rsidRPr="00390868">
              <w:rPr>
                <w:rFonts w:ascii="Arial" w:hAnsi="Arial" w:cs="Arial"/>
              </w:rPr>
              <w:t>Total Annual Fixed Costs</w:t>
            </w:r>
          </w:p>
        </w:tc>
        <w:tc>
          <w:tcPr>
            <w:tcW w:w="0" w:type="auto"/>
            <w:hideMark/>
          </w:tcPr>
          <w:p w14:paraId="3DF5F71B"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£1,738,000</w:t>
            </w:r>
          </w:p>
        </w:tc>
        <w:tc>
          <w:tcPr>
            <w:tcW w:w="3189" w:type="dxa"/>
            <w:hideMark/>
          </w:tcPr>
          <w:p w14:paraId="20158A79" w14:textId="77777777" w:rsidR="00D108F2" w:rsidRPr="00390868" w:rsidRDefault="00D108F2"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Credible cost base for the estate's scale.</w:t>
            </w:r>
          </w:p>
        </w:tc>
      </w:tr>
    </w:tbl>
    <w:p w14:paraId="16D9CD94" w14:textId="77777777" w:rsidR="00D108F2" w:rsidRPr="00390868" w:rsidRDefault="00D108F2" w:rsidP="00905241">
      <w:pPr>
        <w:spacing w:line="360" w:lineRule="auto"/>
        <w:rPr>
          <w:rFonts w:ascii="Arial" w:hAnsi="Arial" w:cs="Arial"/>
        </w:rPr>
      </w:pPr>
      <w:r w:rsidRPr="00390868">
        <w:rPr>
          <w:rFonts w:ascii="Arial" w:hAnsi="Arial" w:cs="Arial"/>
          <w:b/>
          <w:bCs/>
        </w:rPr>
        <w:t>Break-Even Calculation:</w:t>
      </w:r>
    </w:p>
    <w:p w14:paraId="3CB052E6" w14:textId="77777777" w:rsidR="00D108F2" w:rsidRPr="00390868" w:rsidRDefault="00D108F2" w:rsidP="00905241">
      <w:pPr>
        <w:numPr>
          <w:ilvl w:val="0"/>
          <w:numId w:val="17"/>
        </w:numPr>
        <w:spacing w:line="360" w:lineRule="auto"/>
        <w:rPr>
          <w:rFonts w:ascii="Arial" w:hAnsi="Arial" w:cs="Arial"/>
        </w:rPr>
      </w:pPr>
      <w:r w:rsidRPr="00390868">
        <w:rPr>
          <w:rFonts w:ascii="Arial" w:hAnsi="Arial" w:cs="Arial"/>
          <w:b/>
          <w:bCs/>
        </w:rPr>
        <w:t>Contribution Margin</w:t>
      </w:r>
      <w:r w:rsidRPr="00390868">
        <w:rPr>
          <w:rFonts w:ascii="Arial" w:hAnsi="Arial" w:cs="Arial"/>
        </w:rPr>
        <w:t>: 65% (Revenue - 35% Variable Costs).</w:t>
      </w:r>
    </w:p>
    <w:p w14:paraId="53691ADE" w14:textId="77777777" w:rsidR="00D108F2" w:rsidRPr="00390868" w:rsidRDefault="00D108F2" w:rsidP="00905241">
      <w:pPr>
        <w:numPr>
          <w:ilvl w:val="0"/>
          <w:numId w:val="17"/>
        </w:numPr>
        <w:spacing w:line="360" w:lineRule="auto"/>
        <w:rPr>
          <w:rFonts w:ascii="Arial" w:hAnsi="Arial" w:cs="Arial"/>
        </w:rPr>
      </w:pPr>
      <w:r w:rsidRPr="00390868">
        <w:rPr>
          <w:rFonts w:ascii="Arial" w:hAnsi="Arial" w:cs="Arial"/>
          <w:b/>
          <w:bCs/>
        </w:rPr>
        <w:t>Annual Break-Even Revenue</w:t>
      </w:r>
      <w:r w:rsidRPr="00390868">
        <w:rPr>
          <w:rFonts w:ascii="Arial" w:hAnsi="Arial" w:cs="Arial"/>
        </w:rPr>
        <w:t>: £1,738,000 / 0.65 = £2,673,846.</w:t>
      </w:r>
    </w:p>
    <w:p w14:paraId="0238A446" w14:textId="77777777" w:rsidR="00D108F2" w:rsidRPr="00390868" w:rsidRDefault="00D108F2" w:rsidP="00905241">
      <w:pPr>
        <w:numPr>
          <w:ilvl w:val="0"/>
          <w:numId w:val="17"/>
        </w:numPr>
        <w:spacing w:line="360" w:lineRule="auto"/>
        <w:rPr>
          <w:rFonts w:ascii="Arial" w:hAnsi="Arial" w:cs="Arial"/>
        </w:rPr>
      </w:pPr>
      <w:r w:rsidRPr="00390868">
        <w:rPr>
          <w:rFonts w:ascii="Arial" w:hAnsi="Arial" w:cs="Arial"/>
          <w:b/>
          <w:bCs/>
        </w:rPr>
        <w:t>Monthly Break-Even Revenue:</w:t>
      </w:r>
      <w:r w:rsidRPr="00390868">
        <w:rPr>
          <w:rFonts w:ascii="Arial" w:hAnsi="Arial" w:cs="Arial"/>
        </w:rPr>
        <w:t> £2,673,846 / 12 = £222,820.</w:t>
      </w:r>
    </w:p>
    <w:p w14:paraId="5202BAF0" w14:textId="69817974" w:rsidR="00D108F2" w:rsidRPr="00390868" w:rsidRDefault="00D108F2" w:rsidP="00905241">
      <w:pPr>
        <w:spacing w:line="360" w:lineRule="auto"/>
        <w:rPr>
          <w:rFonts w:ascii="Arial" w:hAnsi="Arial" w:cs="Arial"/>
        </w:rPr>
      </w:pPr>
      <w:r w:rsidRPr="00390868">
        <w:rPr>
          <w:rFonts w:ascii="Arial" w:hAnsi="Arial" w:cs="Arial"/>
        </w:rPr>
        <w:t>Implication: The Year 3 revenue target (£2.55m) is close to break-even. The Year 4-5 targets exceed it, generating strong surplus cash flow. This validates the strategy: the business becomes highly cash-generative once it surpasses ~£2.67m in annual revenue.</w:t>
      </w:r>
      <w:r w:rsidR="00514A56" w:rsidRPr="00390868">
        <w:rPr>
          <w:rFonts w:ascii="Arial" w:hAnsi="Arial" w:cs="Arial"/>
        </w:rPr>
        <w:t xml:space="preserve"> The monthly cash-flow build supporting these summary projections is presented in Appendix E, ensuring consistency between operational assumptions and financial outputs.</w:t>
      </w:r>
    </w:p>
    <w:p w14:paraId="423BA5A2" w14:textId="1F6265F5" w:rsidR="0092251A" w:rsidRPr="00390868" w:rsidRDefault="0092251A" w:rsidP="00905241">
      <w:pPr>
        <w:pStyle w:val="Heading2"/>
        <w:spacing w:line="360" w:lineRule="auto"/>
        <w:rPr>
          <w:rFonts w:ascii="Arial" w:hAnsi="Arial" w:cs="Arial"/>
        </w:rPr>
      </w:pPr>
      <w:bookmarkStart w:id="130" w:name="_Toc218629293"/>
      <w:r w:rsidRPr="00390868">
        <w:rPr>
          <w:rFonts w:ascii="Arial" w:hAnsi="Arial" w:cs="Arial"/>
        </w:rPr>
        <w:t xml:space="preserve">8.4 Funding Strategy, Cash Flow </w:t>
      </w:r>
      <w:r w:rsidR="00F21D10" w:rsidRPr="00390868">
        <w:rPr>
          <w:rFonts w:ascii="Arial" w:hAnsi="Arial" w:cs="Arial"/>
        </w:rPr>
        <w:t>and</w:t>
      </w:r>
      <w:r w:rsidRPr="00390868">
        <w:rPr>
          <w:rFonts w:ascii="Arial" w:hAnsi="Arial" w:cs="Arial"/>
        </w:rPr>
        <w:t xml:space="preserve"> Investment Summary</w:t>
      </w:r>
      <w:bookmarkEnd w:id="130"/>
    </w:p>
    <w:p w14:paraId="730169EF" w14:textId="77777777" w:rsidR="00C1528A" w:rsidRPr="00390868" w:rsidRDefault="00C1528A" w:rsidP="00905241">
      <w:pPr>
        <w:spacing w:line="360" w:lineRule="auto"/>
        <w:rPr>
          <w:rFonts w:ascii="Arial" w:hAnsi="Arial" w:cs="Arial"/>
        </w:rPr>
      </w:pPr>
      <w:r w:rsidRPr="00390868">
        <w:rPr>
          <w:rFonts w:ascii="Arial" w:hAnsi="Arial" w:cs="Arial"/>
        </w:rPr>
        <w:t>The funding architecture for 1 STATION Ltd is designed to align capital structure with asset life, risk profile, and cash flow generation, adhering to the principle that a firm’s financing should match the nature of its assets (Berk and DeMarzo, 2023). A blend of equity and asset-backed debt optimises the cost of capital while providing resilience through the start-up phase.</w:t>
      </w:r>
    </w:p>
    <w:p w14:paraId="1849EE76" w14:textId="77777777" w:rsidR="00C1528A" w:rsidRPr="00390868" w:rsidRDefault="00C1528A" w:rsidP="00905241">
      <w:pPr>
        <w:spacing w:line="360" w:lineRule="auto"/>
        <w:rPr>
          <w:rFonts w:ascii="Arial" w:hAnsi="Arial" w:cs="Arial"/>
        </w:rPr>
      </w:pPr>
      <w:r w:rsidRPr="00390868">
        <w:rPr>
          <w:rFonts w:ascii="Arial" w:hAnsi="Arial" w:cs="Arial"/>
          <w:b/>
          <w:bCs/>
        </w:rPr>
        <w:t>Total Funding Requirement: £940,000</w:t>
      </w:r>
    </w:p>
    <w:p w14:paraId="674DE96D" w14:textId="77777777" w:rsidR="00C1528A" w:rsidRPr="00390868" w:rsidRDefault="00C1528A" w:rsidP="00905241">
      <w:pPr>
        <w:numPr>
          <w:ilvl w:val="0"/>
          <w:numId w:val="44"/>
        </w:numPr>
        <w:spacing w:line="360" w:lineRule="auto"/>
        <w:rPr>
          <w:rFonts w:ascii="Arial" w:hAnsi="Arial" w:cs="Arial"/>
        </w:rPr>
      </w:pPr>
      <w:r w:rsidRPr="00390868">
        <w:rPr>
          <w:rFonts w:ascii="Arial" w:hAnsi="Arial" w:cs="Arial"/>
        </w:rPr>
        <w:t>Capital Expenditure (CapEx): £490,000 – Estate fit-out for 30,000 sq ft, DVSA MOT lane, specialist workshop equipment, and IT/digital infrastructure.</w:t>
      </w:r>
    </w:p>
    <w:p w14:paraId="3300DC28" w14:textId="77777777" w:rsidR="00C1528A" w:rsidRPr="00390868" w:rsidRDefault="00C1528A" w:rsidP="00905241">
      <w:pPr>
        <w:numPr>
          <w:ilvl w:val="0"/>
          <w:numId w:val="44"/>
        </w:numPr>
        <w:spacing w:line="360" w:lineRule="auto"/>
        <w:rPr>
          <w:rFonts w:ascii="Arial" w:hAnsi="Arial" w:cs="Arial"/>
        </w:rPr>
      </w:pPr>
      <w:r w:rsidRPr="00390868">
        <w:rPr>
          <w:rFonts w:ascii="Arial" w:hAnsi="Arial" w:cs="Arial"/>
        </w:rPr>
        <w:t>Working Capital: £450,000 – Provides a 6-month financial runway, a prudent buffer recommended for asset-intensive start-ups to navigate the pre-revenue and initial ramp-up phase without liquidity pressure (Cassar, 2022).</w:t>
      </w:r>
    </w:p>
    <w:p w14:paraId="430AB10A" w14:textId="77777777" w:rsidR="00C1528A" w:rsidRPr="00390868" w:rsidRDefault="00C1528A" w:rsidP="00905241">
      <w:pPr>
        <w:spacing w:line="360" w:lineRule="auto"/>
        <w:rPr>
          <w:rFonts w:ascii="Arial" w:hAnsi="Arial" w:cs="Arial"/>
        </w:rPr>
      </w:pPr>
      <w:r w:rsidRPr="00390868">
        <w:rPr>
          <w:rFonts w:ascii="Arial" w:hAnsi="Arial" w:cs="Arial"/>
          <w:b/>
          <w:bCs/>
        </w:rPr>
        <w:t>Proposed Funding Mix:</w:t>
      </w:r>
    </w:p>
    <w:p w14:paraId="0C36A38E" w14:textId="77777777" w:rsidR="00C1528A" w:rsidRPr="00390868" w:rsidRDefault="00C1528A" w:rsidP="00905241">
      <w:pPr>
        <w:numPr>
          <w:ilvl w:val="0"/>
          <w:numId w:val="45"/>
        </w:numPr>
        <w:spacing w:line="360" w:lineRule="auto"/>
        <w:rPr>
          <w:rFonts w:ascii="Arial" w:hAnsi="Arial" w:cs="Arial"/>
        </w:rPr>
      </w:pPr>
      <w:r w:rsidRPr="00390868">
        <w:rPr>
          <w:rFonts w:ascii="Arial" w:hAnsi="Arial" w:cs="Arial"/>
        </w:rPr>
        <w:lastRenderedPageBreak/>
        <w:t>Founder Equity: £250,000 (26.6%) – Demonstrates essential commitment and 'skin-in-the-game', a key factor in securing external investment and aligning interests.</w:t>
      </w:r>
    </w:p>
    <w:p w14:paraId="272D26AD" w14:textId="77777777" w:rsidR="00C1528A" w:rsidRPr="00390868" w:rsidRDefault="00C1528A" w:rsidP="00905241">
      <w:pPr>
        <w:numPr>
          <w:ilvl w:val="0"/>
          <w:numId w:val="45"/>
        </w:numPr>
        <w:spacing w:line="360" w:lineRule="auto"/>
        <w:rPr>
          <w:rFonts w:ascii="Arial" w:hAnsi="Arial" w:cs="Arial"/>
        </w:rPr>
      </w:pPr>
      <w:r w:rsidRPr="00390868">
        <w:rPr>
          <w:rFonts w:ascii="Arial" w:hAnsi="Arial" w:cs="Arial"/>
        </w:rPr>
        <w:t>SEIS/EIS Equity Investment: £450,000 (47.9%) – Targets tax-advantaged, patient capital to fund higher-risk, irreversible CapEx. This structure is proven to significantly enhance the survival prospects of early-stage UK ventures by improving balance sheet strength (UK Venture Capital &amp; Private Equity Association, 2023).</w:t>
      </w:r>
    </w:p>
    <w:p w14:paraId="0A317525" w14:textId="77777777" w:rsidR="00C1528A" w:rsidRPr="00390868" w:rsidRDefault="00C1528A" w:rsidP="00905241">
      <w:pPr>
        <w:numPr>
          <w:ilvl w:val="0"/>
          <w:numId w:val="45"/>
        </w:numPr>
        <w:spacing w:line="360" w:lineRule="auto"/>
        <w:rPr>
          <w:rFonts w:ascii="Arial" w:hAnsi="Arial" w:cs="Arial"/>
        </w:rPr>
      </w:pPr>
      <w:r w:rsidRPr="00390868">
        <w:rPr>
          <w:rFonts w:ascii="Arial" w:hAnsi="Arial" w:cs="Arial"/>
        </w:rPr>
        <w:t>Asset-Backed Debt: £240,000 (25.5%) – Secured against revenue-generating equipment (lifts, MOT lane). This aligns repayment schedules with the productive life and cash-generating ability of the assets, a disciplined approach to leverage that mitigates refinancing risk (Graham and Harvey, 2022).</w:t>
      </w:r>
    </w:p>
    <w:p w14:paraId="2667CC0F" w14:textId="77777777" w:rsidR="00C1528A" w:rsidRPr="00390868" w:rsidRDefault="00C1528A" w:rsidP="00905241">
      <w:pPr>
        <w:spacing w:line="360" w:lineRule="auto"/>
        <w:rPr>
          <w:rFonts w:ascii="Arial" w:hAnsi="Arial" w:cs="Arial"/>
        </w:rPr>
      </w:pPr>
      <w:r w:rsidRPr="00390868">
        <w:rPr>
          <w:rFonts w:ascii="Arial" w:hAnsi="Arial" w:cs="Arial"/>
          <w:b/>
          <w:bCs/>
        </w:rPr>
        <w:t>Table 8.4: Five-Year Annual Cash-Flow Forecast</w:t>
      </w:r>
    </w:p>
    <w:tbl>
      <w:tblPr>
        <w:tblStyle w:val="PlainTable1"/>
        <w:tblW w:w="0" w:type="auto"/>
        <w:tblLook w:val="04A0" w:firstRow="1" w:lastRow="0" w:firstColumn="1" w:lastColumn="0" w:noHBand="0" w:noVBand="1"/>
      </w:tblPr>
      <w:tblGrid>
        <w:gridCol w:w="747"/>
        <w:gridCol w:w="1795"/>
        <w:gridCol w:w="1625"/>
        <w:gridCol w:w="1578"/>
        <w:gridCol w:w="1474"/>
        <w:gridCol w:w="1797"/>
      </w:tblGrid>
      <w:tr w:rsidR="00C1528A" w:rsidRPr="00390868" w14:paraId="00458988" w14:textId="77777777" w:rsidTr="00301C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C1717" w14:textId="77777777" w:rsidR="00C1528A" w:rsidRPr="00390868" w:rsidRDefault="00C1528A" w:rsidP="00905241">
            <w:pPr>
              <w:spacing w:after="160" w:line="360" w:lineRule="auto"/>
              <w:rPr>
                <w:rFonts w:ascii="Arial" w:hAnsi="Arial" w:cs="Arial"/>
              </w:rPr>
            </w:pPr>
            <w:r w:rsidRPr="00390868">
              <w:rPr>
                <w:rFonts w:ascii="Arial" w:hAnsi="Arial" w:cs="Arial"/>
              </w:rPr>
              <w:t>Year</w:t>
            </w:r>
          </w:p>
        </w:tc>
        <w:tc>
          <w:tcPr>
            <w:tcW w:w="0" w:type="auto"/>
            <w:hideMark/>
          </w:tcPr>
          <w:p w14:paraId="25DEBDAD" w14:textId="77777777" w:rsidR="00C1528A" w:rsidRPr="00390868" w:rsidRDefault="00C1528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 (£)</w:t>
            </w:r>
          </w:p>
        </w:tc>
        <w:tc>
          <w:tcPr>
            <w:tcW w:w="0" w:type="auto"/>
            <w:hideMark/>
          </w:tcPr>
          <w:p w14:paraId="6D1F541C" w14:textId="77777777" w:rsidR="00C1528A" w:rsidRPr="00390868" w:rsidRDefault="00C1528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Investing (CapEx) (£)</w:t>
            </w:r>
          </w:p>
        </w:tc>
        <w:tc>
          <w:tcPr>
            <w:tcW w:w="0" w:type="auto"/>
            <w:hideMark/>
          </w:tcPr>
          <w:p w14:paraId="65EAB433" w14:textId="77777777" w:rsidR="00C1528A" w:rsidRPr="00390868" w:rsidRDefault="00C1528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Financing (Net) (£)</w:t>
            </w:r>
          </w:p>
        </w:tc>
        <w:tc>
          <w:tcPr>
            <w:tcW w:w="0" w:type="auto"/>
            <w:hideMark/>
          </w:tcPr>
          <w:p w14:paraId="780FF672" w14:textId="77777777" w:rsidR="00C1528A" w:rsidRPr="00390868" w:rsidRDefault="00C1528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Net Cash Flow (£)</w:t>
            </w:r>
          </w:p>
        </w:tc>
        <w:tc>
          <w:tcPr>
            <w:tcW w:w="0" w:type="auto"/>
            <w:hideMark/>
          </w:tcPr>
          <w:p w14:paraId="176E5F2A" w14:textId="77777777" w:rsidR="00C1528A" w:rsidRPr="00390868" w:rsidRDefault="00C1528A"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Closing Cash Balance (£)</w:t>
            </w:r>
          </w:p>
        </w:tc>
      </w:tr>
      <w:tr w:rsidR="00C1528A" w:rsidRPr="00390868" w14:paraId="7C1ED6D5" w14:textId="77777777" w:rsidTr="0030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B9CD86" w14:textId="77777777" w:rsidR="00C1528A" w:rsidRPr="00390868" w:rsidRDefault="00C1528A" w:rsidP="00905241">
            <w:pPr>
              <w:spacing w:after="160" w:line="360" w:lineRule="auto"/>
              <w:rPr>
                <w:rFonts w:ascii="Arial" w:hAnsi="Arial" w:cs="Arial"/>
              </w:rPr>
            </w:pPr>
            <w:r w:rsidRPr="00390868">
              <w:rPr>
                <w:rFonts w:ascii="Arial" w:hAnsi="Arial" w:cs="Arial"/>
              </w:rPr>
              <w:t>Year 1</w:t>
            </w:r>
          </w:p>
        </w:tc>
        <w:tc>
          <w:tcPr>
            <w:tcW w:w="0" w:type="auto"/>
            <w:hideMark/>
          </w:tcPr>
          <w:p w14:paraId="210E3A1E"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(85,000)</w:t>
            </w:r>
          </w:p>
        </w:tc>
        <w:tc>
          <w:tcPr>
            <w:tcW w:w="0" w:type="auto"/>
            <w:hideMark/>
          </w:tcPr>
          <w:p w14:paraId="39D847BD"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(490,000)</w:t>
            </w:r>
          </w:p>
        </w:tc>
        <w:tc>
          <w:tcPr>
            <w:tcW w:w="0" w:type="auto"/>
            <w:hideMark/>
          </w:tcPr>
          <w:p w14:paraId="3944E6C1"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+940,000</w:t>
            </w:r>
          </w:p>
        </w:tc>
        <w:tc>
          <w:tcPr>
            <w:tcW w:w="0" w:type="auto"/>
            <w:hideMark/>
          </w:tcPr>
          <w:p w14:paraId="2355480A"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+365,000</w:t>
            </w:r>
          </w:p>
        </w:tc>
        <w:tc>
          <w:tcPr>
            <w:tcW w:w="0" w:type="auto"/>
            <w:hideMark/>
          </w:tcPr>
          <w:p w14:paraId="19B97DE1"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365,000</w:t>
            </w:r>
          </w:p>
        </w:tc>
      </w:tr>
      <w:tr w:rsidR="00C1528A" w:rsidRPr="00390868" w14:paraId="020535E1" w14:textId="77777777" w:rsidTr="00301C76">
        <w:tc>
          <w:tcPr>
            <w:cnfStyle w:val="001000000000" w:firstRow="0" w:lastRow="0" w:firstColumn="1" w:lastColumn="0" w:oddVBand="0" w:evenVBand="0" w:oddHBand="0" w:evenHBand="0" w:firstRowFirstColumn="0" w:firstRowLastColumn="0" w:lastRowFirstColumn="0" w:lastRowLastColumn="0"/>
            <w:tcW w:w="0" w:type="auto"/>
            <w:hideMark/>
          </w:tcPr>
          <w:p w14:paraId="4624AF20" w14:textId="77777777" w:rsidR="00C1528A" w:rsidRPr="00390868" w:rsidRDefault="00C1528A" w:rsidP="00905241">
            <w:pPr>
              <w:spacing w:after="160" w:line="360" w:lineRule="auto"/>
              <w:rPr>
                <w:rFonts w:ascii="Arial" w:hAnsi="Arial" w:cs="Arial"/>
              </w:rPr>
            </w:pPr>
            <w:r w:rsidRPr="00390868">
              <w:rPr>
                <w:rFonts w:ascii="Arial" w:hAnsi="Arial" w:cs="Arial"/>
              </w:rPr>
              <w:t>Year 2</w:t>
            </w:r>
          </w:p>
        </w:tc>
        <w:tc>
          <w:tcPr>
            <w:tcW w:w="0" w:type="auto"/>
            <w:hideMark/>
          </w:tcPr>
          <w:p w14:paraId="085F414F"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49592FA4"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7D858C67"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076845DB"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(72,000)</w:t>
            </w:r>
          </w:p>
        </w:tc>
        <w:tc>
          <w:tcPr>
            <w:tcW w:w="0" w:type="auto"/>
            <w:hideMark/>
          </w:tcPr>
          <w:p w14:paraId="464C8E8B"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293,000</w:t>
            </w:r>
          </w:p>
        </w:tc>
      </w:tr>
      <w:tr w:rsidR="00C1528A" w:rsidRPr="00390868" w14:paraId="71863A95" w14:textId="77777777" w:rsidTr="0030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F0A1E0" w14:textId="77777777" w:rsidR="00C1528A" w:rsidRPr="00390868" w:rsidRDefault="00C1528A" w:rsidP="00905241">
            <w:pPr>
              <w:spacing w:after="160" w:line="360" w:lineRule="auto"/>
              <w:rPr>
                <w:rFonts w:ascii="Arial" w:hAnsi="Arial" w:cs="Arial"/>
              </w:rPr>
            </w:pPr>
            <w:r w:rsidRPr="00390868">
              <w:rPr>
                <w:rFonts w:ascii="Arial" w:hAnsi="Arial" w:cs="Arial"/>
              </w:rPr>
              <w:t>Year 3</w:t>
            </w:r>
          </w:p>
        </w:tc>
        <w:tc>
          <w:tcPr>
            <w:tcW w:w="0" w:type="auto"/>
            <w:hideMark/>
          </w:tcPr>
          <w:p w14:paraId="567EDD80"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+300,000</w:t>
            </w:r>
          </w:p>
        </w:tc>
        <w:tc>
          <w:tcPr>
            <w:tcW w:w="0" w:type="auto"/>
            <w:hideMark/>
          </w:tcPr>
          <w:p w14:paraId="5C046126"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2F0FCCFE"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0C37EC1E"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+198,000</w:t>
            </w:r>
          </w:p>
        </w:tc>
        <w:tc>
          <w:tcPr>
            <w:tcW w:w="0" w:type="auto"/>
            <w:hideMark/>
          </w:tcPr>
          <w:p w14:paraId="5869E515"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491,000</w:t>
            </w:r>
          </w:p>
        </w:tc>
      </w:tr>
      <w:tr w:rsidR="00C1528A" w:rsidRPr="00390868" w14:paraId="6491A2C6" w14:textId="77777777" w:rsidTr="00301C76">
        <w:tc>
          <w:tcPr>
            <w:cnfStyle w:val="001000000000" w:firstRow="0" w:lastRow="0" w:firstColumn="1" w:lastColumn="0" w:oddVBand="0" w:evenVBand="0" w:oddHBand="0" w:evenHBand="0" w:firstRowFirstColumn="0" w:firstRowLastColumn="0" w:lastRowFirstColumn="0" w:lastRowLastColumn="0"/>
            <w:tcW w:w="0" w:type="auto"/>
            <w:hideMark/>
          </w:tcPr>
          <w:p w14:paraId="45824BCE" w14:textId="77777777" w:rsidR="00C1528A" w:rsidRPr="00390868" w:rsidRDefault="00C1528A" w:rsidP="00905241">
            <w:pPr>
              <w:spacing w:after="160" w:line="360" w:lineRule="auto"/>
              <w:rPr>
                <w:rFonts w:ascii="Arial" w:hAnsi="Arial" w:cs="Arial"/>
              </w:rPr>
            </w:pPr>
            <w:r w:rsidRPr="00390868">
              <w:rPr>
                <w:rFonts w:ascii="Arial" w:hAnsi="Arial" w:cs="Arial"/>
              </w:rPr>
              <w:t>Year 4</w:t>
            </w:r>
          </w:p>
        </w:tc>
        <w:tc>
          <w:tcPr>
            <w:tcW w:w="0" w:type="auto"/>
            <w:hideMark/>
          </w:tcPr>
          <w:p w14:paraId="32A30A68"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+400,000</w:t>
            </w:r>
          </w:p>
        </w:tc>
        <w:tc>
          <w:tcPr>
            <w:tcW w:w="0" w:type="auto"/>
            <w:hideMark/>
          </w:tcPr>
          <w:p w14:paraId="33D31930"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w:t>
            </w:r>
          </w:p>
        </w:tc>
        <w:tc>
          <w:tcPr>
            <w:tcW w:w="0" w:type="auto"/>
            <w:hideMark/>
          </w:tcPr>
          <w:p w14:paraId="447A255F"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1CF88CAC"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+308,000</w:t>
            </w:r>
          </w:p>
        </w:tc>
        <w:tc>
          <w:tcPr>
            <w:tcW w:w="0" w:type="auto"/>
            <w:hideMark/>
          </w:tcPr>
          <w:p w14:paraId="06397030" w14:textId="77777777" w:rsidR="00C1528A" w:rsidRPr="00390868" w:rsidRDefault="00C1528A"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799,000</w:t>
            </w:r>
          </w:p>
        </w:tc>
      </w:tr>
      <w:tr w:rsidR="00C1528A" w:rsidRPr="00390868" w14:paraId="34299160" w14:textId="77777777" w:rsidTr="0030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E6EC1" w14:textId="77777777" w:rsidR="00C1528A" w:rsidRPr="00390868" w:rsidRDefault="00C1528A" w:rsidP="00905241">
            <w:pPr>
              <w:spacing w:after="160" w:line="360" w:lineRule="auto"/>
              <w:rPr>
                <w:rFonts w:ascii="Arial" w:hAnsi="Arial" w:cs="Arial"/>
              </w:rPr>
            </w:pPr>
            <w:r w:rsidRPr="00390868">
              <w:rPr>
                <w:rFonts w:ascii="Arial" w:hAnsi="Arial" w:cs="Arial"/>
              </w:rPr>
              <w:t>Year 5</w:t>
            </w:r>
          </w:p>
        </w:tc>
        <w:tc>
          <w:tcPr>
            <w:tcW w:w="0" w:type="auto"/>
            <w:hideMark/>
          </w:tcPr>
          <w:p w14:paraId="248BC060"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205FE9AF"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(20,000)</w:t>
            </w:r>
          </w:p>
        </w:tc>
        <w:tc>
          <w:tcPr>
            <w:tcW w:w="0" w:type="auto"/>
            <w:hideMark/>
          </w:tcPr>
          <w:p w14:paraId="1A94AB01"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54710354"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+358,000</w:t>
            </w:r>
          </w:p>
        </w:tc>
        <w:tc>
          <w:tcPr>
            <w:tcW w:w="0" w:type="auto"/>
            <w:hideMark/>
          </w:tcPr>
          <w:p w14:paraId="0E998FAD" w14:textId="77777777" w:rsidR="00C1528A" w:rsidRPr="00390868" w:rsidRDefault="00C1528A"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1,157,000</w:t>
            </w:r>
          </w:p>
        </w:tc>
      </w:tr>
    </w:tbl>
    <w:p w14:paraId="39BAEC30" w14:textId="77777777" w:rsidR="00C1528A" w:rsidRPr="00390868" w:rsidRDefault="00C1528A" w:rsidP="00905241">
      <w:pPr>
        <w:spacing w:line="360" w:lineRule="auto"/>
        <w:rPr>
          <w:rFonts w:ascii="Arial" w:hAnsi="Arial" w:cs="Arial"/>
        </w:rPr>
      </w:pPr>
      <w:r w:rsidRPr="00390868">
        <w:rPr>
          <w:rFonts w:ascii="Arial" w:hAnsi="Arial" w:cs="Arial"/>
          <w:b/>
          <w:bCs/>
        </w:rPr>
        <w:t>Interpretation:</w:t>
      </w:r>
      <w:r w:rsidRPr="00390868">
        <w:rPr>
          <w:rFonts w:ascii="Arial" w:hAnsi="Arial" w:cs="Arial"/>
        </w:rPr>
        <w:t> The forecast demonstrates a credible path to financial sustainability:</w:t>
      </w:r>
    </w:p>
    <w:p w14:paraId="5303BEE2" w14:textId="77777777" w:rsidR="00C1528A" w:rsidRPr="00390868" w:rsidRDefault="00C1528A" w:rsidP="00905241">
      <w:pPr>
        <w:numPr>
          <w:ilvl w:val="0"/>
          <w:numId w:val="46"/>
        </w:numPr>
        <w:spacing w:line="360" w:lineRule="auto"/>
        <w:rPr>
          <w:rFonts w:ascii="Arial" w:hAnsi="Arial" w:cs="Arial"/>
        </w:rPr>
      </w:pPr>
      <w:r w:rsidRPr="00390868">
        <w:rPr>
          <w:rFonts w:ascii="Arial" w:hAnsi="Arial" w:cs="Arial"/>
          <w:b/>
          <w:bCs/>
        </w:rPr>
        <w:t>Year 1:</w:t>
      </w:r>
      <w:r w:rsidRPr="00390868">
        <w:rPr>
          <w:rFonts w:ascii="Arial" w:hAnsi="Arial" w:cs="Arial"/>
        </w:rPr>
        <w:t> The initial funding round covers all setup costs and capital expenditure, leaving a prudent cash reserve post-launch.</w:t>
      </w:r>
    </w:p>
    <w:p w14:paraId="51BECEF3" w14:textId="77777777" w:rsidR="00C1528A" w:rsidRPr="00390868" w:rsidRDefault="00C1528A" w:rsidP="00905241">
      <w:pPr>
        <w:numPr>
          <w:ilvl w:val="0"/>
          <w:numId w:val="46"/>
        </w:numPr>
        <w:spacing w:line="360" w:lineRule="auto"/>
        <w:rPr>
          <w:rFonts w:ascii="Arial" w:hAnsi="Arial" w:cs="Arial"/>
        </w:rPr>
      </w:pPr>
      <w:r w:rsidRPr="00390868">
        <w:rPr>
          <w:rFonts w:ascii="Arial" w:hAnsi="Arial" w:cs="Arial"/>
          <w:b/>
          <w:bCs/>
        </w:rPr>
        <w:t>Year 2:</w:t>
      </w:r>
      <w:r w:rsidRPr="00390868">
        <w:rPr>
          <w:rFonts w:ascii="Arial" w:hAnsi="Arial" w:cs="Arial"/>
        </w:rPr>
        <w:t> The business approaches operational cash-flow break-even. The residual cash outflow is attributable to debt servicing before reaching full utilisation.</w:t>
      </w:r>
    </w:p>
    <w:p w14:paraId="20161ADE" w14:textId="77777777" w:rsidR="00C1528A" w:rsidRPr="00390868" w:rsidRDefault="00C1528A" w:rsidP="00905241">
      <w:pPr>
        <w:numPr>
          <w:ilvl w:val="0"/>
          <w:numId w:val="46"/>
        </w:numPr>
        <w:spacing w:line="360" w:lineRule="auto"/>
        <w:rPr>
          <w:rFonts w:ascii="Arial" w:hAnsi="Arial" w:cs="Arial"/>
        </w:rPr>
      </w:pPr>
      <w:r w:rsidRPr="00390868">
        <w:rPr>
          <w:rFonts w:ascii="Arial" w:hAnsi="Arial" w:cs="Arial"/>
          <w:b/>
          <w:bCs/>
        </w:rPr>
        <w:t>Year 3+:</w:t>
      </w:r>
      <w:r w:rsidRPr="00390868">
        <w:rPr>
          <w:rFonts w:ascii="Arial" w:hAnsi="Arial" w:cs="Arial"/>
        </w:rPr>
        <w:t> Strong positive operating cash flow fully funds all debt repayments and builds a substantial cash balance. This provides internal funding for future reinvestment or expansion, a hallmark of a scalable and resilient business model.</w:t>
      </w:r>
    </w:p>
    <w:p w14:paraId="0B118148" w14:textId="77777777" w:rsidR="00C1528A" w:rsidRPr="00390868" w:rsidRDefault="00C1528A" w:rsidP="00905241">
      <w:pPr>
        <w:spacing w:line="360" w:lineRule="auto"/>
        <w:rPr>
          <w:rFonts w:ascii="Arial" w:hAnsi="Arial" w:cs="Arial"/>
        </w:rPr>
      </w:pPr>
      <w:r w:rsidRPr="00390868">
        <w:rPr>
          <w:rFonts w:ascii="Arial" w:hAnsi="Arial" w:cs="Arial"/>
        </w:rPr>
        <w:lastRenderedPageBreak/>
        <w:t>The monthly cash-flow projections underpinning this analysis—covering the pre-revenue phase, launch period, and stabilisation through Years 1–3—are presented in Appendix D, providing a transparent view of liquidity risk and funding adequacy over time. The fixed- and variable-cost inputs used in this break-even analysis reconcile directly to the financial statements and start-up cost breakdowns contained in Appendix E.</w:t>
      </w:r>
    </w:p>
    <w:p w14:paraId="39995756" w14:textId="77777777" w:rsidR="00C1528A" w:rsidRPr="00390868" w:rsidRDefault="00C1528A" w:rsidP="00905241">
      <w:pPr>
        <w:pStyle w:val="Heading2"/>
        <w:spacing w:line="360" w:lineRule="auto"/>
        <w:rPr>
          <w:rFonts w:ascii="Arial" w:hAnsi="Arial" w:cs="Arial"/>
        </w:rPr>
      </w:pPr>
      <w:bookmarkStart w:id="131" w:name="_Toc218629294"/>
      <w:r w:rsidRPr="00390868">
        <w:rPr>
          <w:rFonts w:ascii="Arial" w:hAnsi="Arial" w:cs="Arial"/>
        </w:rPr>
        <w:t>8.5 Sensitivity and Risk Analysis</w:t>
      </w:r>
      <w:bookmarkEnd w:id="131"/>
    </w:p>
    <w:p w14:paraId="4AB85037" w14:textId="77777777" w:rsidR="00C1528A" w:rsidRPr="00390868" w:rsidRDefault="00C1528A" w:rsidP="00905241">
      <w:pPr>
        <w:spacing w:line="360" w:lineRule="auto"/>
        <w:rPr>
          <w:rFonts w:ascii="Arial" w:hAnsi="Arial" w:cs="Arial"/>
        </w:rPr>
      </w:pPr>
      <w:r w:rsidRPr="00390868">
        <w:rPr>
          <w:rFonts w:ascii="Arial" w:hAnsi="Arial" w:cs="Arial"/>
        </w:rPr>
        <w:t>A robust financial plan must stress-test its core assumptions. Scenario analysis is employed here to evaluate the venture’s resilience to adverse changes, a fundamental practice in corporate financial planning (Damodaran, 2021).</w:t>
      </w:r>
    </w:p>
    <w:p w14:paraId="1BEA1CE2" w14:textId="77777777" w:rsidR="00C1528A" w:rsidRPr="00390868" w:rsidRDefault="00C1528A" w:rsidP="00905241">
      <w:pPr>
        <w:spacing w:line="360" w:lineRule="auto"/>
        <w:rPr>
          <w:rFonts w:ascii="Arial" w:hAnsi="Arial" w:cs="Arial"/>
        </w:rPr>
      </w:pPr>
      <w:r w:rsidRPr="00390868">
        <w:rPr>
          <w:rFonts w:ascii="Arial" w:hAnsi="Arial" w:cs="Arial"/>
          <w:b/>
          <w:bCs/>
        </w:rPr>
        <w:t>1. Revenue Sensitivity (-10%):</w:t>
      </w:r>
      <w:r w:rsidRPr="00390868">
        <w:rPr>
          <w:rFonts w:ascii="Arial" w:hAnsi="Arial" w:cs="Arial"/>
        </w:rPr>
        <w:br/>
        <w:t>A 10% reduction in steady-state (Year 3) revenue to ~£2.3m would reduce EBITDA by approximately £95,000. The annual break-even point would remain achievable, but the timeline to reach it would extend by approximately 6-8 months. This underscores the critical importance of the marketing and CRM strategy (Section 5) in achieving forecast uptake rates.</w:t>
      </w:r>
    </w:p>
    <w:p w14:paraId="7F62C7D7" w14:textId="77777777" w:rsidR="00C1528A" w:rsidRPr="00390868" w:rsidRDefault="00C1528A" w:rsidP="00905241">
      <w:pPr>
        <w:spacing w:line="360" w:lineRule="auto"/>
        <w:rPr>
          <w:rFonts w:ascii="Arial" w:hAnsi="Arial" w:cs="Arial"/>
        </w:rPr>
      </w:pPr>
      <w:r w:rsidRPr="00390868">
        <w:rPr>
          <w:rFonts w:ascii="Arial" w:hAnsi="Arial" w:cs="Arial"/>
          <w:b/>
          <w:bCs/>
        </w:rPr>
        <w:t>2. Cost Sensitivity (+10%):</w:t>
      </w:r>
      <w:r w:rsidRPr="00390868">
        <w:rPr>
          <w:rFonts w:ascii="Arial" w:hAnsi="Arial" w:cs="Arial"/>
        </w:rPr>
        <w:br/>
        <w:t>A 10% increase in fixed operating costs (e.g., from wage inflation or higher utility rates) would raise the annual break-even revenue threshold to ~£2.94m. Compensating for this would require a sustained increase in estate utilisation of 5-7 percentage points, highlighting the operational imperative of continuous efficiency gains and disciplined cost control as outlined in Section 6.</w:t>
      </w:r>
    </w:p>
    <w:p w14:paraId="0B9976B9" w14:textId="77777777" w:rsidR="00C1528A" w:rsidRPr="00390868" w:rsidRDefault="00C1528A" w:rsidP="00905241">
      <w:pPr>
        <w:spacing w:line="360" w:lineRule="auto"/>
        <w:rPr>
          <w:rFonts w:ascii="Arial" w:hAnsi="Arial" w:cs="Arial"/>
        </w:rPr>
      </w:pPr>
      <w:r w:rsidRPr="00390868">
        <w:rPr>
          <w:rFonts w:ascii="Arial" w:hAnsi="Arial" w:cs="Arial"/>
          <w:b/>
          <w:bCs/>
        </w:rPr>
        <w:t>3. Integrated Downside Scenario:</w:t>
      </w:r>
      <w:r w:rsidRPr="00390868">
        <w:rPr>
          <w:rFonts w:ascii="Arial" w:hAnsi="Arial" w:cs="Arial"/>
        </w:rPr>
        <w:br/>
        <w:t>A combined mild shock of -5% Revenue and +5% Costs would delay the projected net profit milestone from Year 3 to Year 4. However, the model remains viable, and the £450,000 working capital buffer is specifically sized to absorb such a variance without threatening solvency, demonstrating prudent financial planning.</w:t>
      </w:r>
    </w:p>
    <w:p w14:paraId="196C552D" w14:textId="0BA94954" w:rsidR="00C1528A" w:rsidRPr="00390868" w:rsidRDefault="00C1528A" w:rsidP="00905241">
      <w:pPr>
        <w:spacing w:line="360" w:lineRule="auto"/>
        <w:rPr>
          <w:rFonts w:ascii="Arial" w:hAnsi="Arial" w:cs="Arial"/>
        </w:rPr>
      </w:pPr>
      <w:r w:rsidRPr="00390868">
        <w:rPr>
          <w:rFonts w:ascii="Arial" w:hAnsi="Arial" w:cs="Arial"/>
        </w:rPr>
        <w:t>The financial model demonstrates that 1 STATION Ltd, with an initial investment of £940,000, can establish a market-leading operation. The path to profitability is clear and driven by achieving operational scale (&gt;65% utilisation). The plan is resilient to plausible setbacks, and the funding structure provides a secure foundation for long-term growth.</w:t>
      </w:r>
    </w:p>
    <w:p w14:paraId="2DB5BCC1" w14:textId="5E185BB4" w:rsidR="0092251A" w:rsidRPr="00390868" w:rsidRDefault="0092251A" w:rsidP="00905241">
      <w:pPr>
        <w:spacing w:line="360" w:lineRule="auto"/>
        <w:rPr>
          <w:rFonts w:ascii="Arial" w:hAnsi="Arial" w:cs="Arial"/>
        </w:rPr>
      </w:pPr>
    </w:p>
    <w:p w14:paraId="65D3E14B" w14:textId="77777777" w:rsidR="004955B0" w:rsidRPr="00390868" w:rsidRDefault="004955B0" w:rsidP="00905241">
      <w:pPr>
        <w:pStyle w:val="Heading1"/>
        <w:spacing w:line="360" w:lineRule="auto"/>
        <w:rPr>
          <w:rFonts w:ascii="Arial" w:hAnsi="Arial" w:cs="Arial"/>
        </w:rPr>
      </w:pPr>
      <w:bookmarkStart w:id="132" w:name="_Toc218629295"/>
      <w:r w:rsidRPr="00390868">
        <w:rPr>
          <w:rFonts w:ascii="Arial" w:hAnsi="Arial" w:cs="Arial"/>
        </w:rPr>
        <w:lastRenderedPageBreak/>
        <w:t>9. Risk Analysis and Strategic Risk Management</w:t>
      </w:r>
      <w:bookmarkEnd w:id="132"/>
    </w:p>
    <w:p w14:paraId="29862532" w14:textId="5D279DF2" w:rsidR="004955B0" w:rsidRPr="00390868" w:rsidRDefault="00F645A6" w:rsidP="00905241">
      <w:pPr>
        <w:spacing w:line="360" w:lineRule="auto"/>
        <w:rPr>
          <w:rFonts w:ascii="Arial" w:hAnsi="Arial" w:cs="Arial"/>
        </w:rPr>
      </w:pPr>
      <w:r w:rsidRPr="00390868">
        <w:rPr>
          <w:rFonts w:ascii="Arial" w:hAnsi="Arial" w:cs="Arial"/>
        </w:rPr>
        <w:t>This section provides a comprehensive identification, evaluation, and control framework for the principal risks associated with establishing and scaling 1 STATION Ltd’s integrated automotive service estate. Moving beyond generic risk registers, this analysis is explicitly grounded in the project’s validated market logic (Section 3), business model design (Section 4), commercial conversion system (Section 5), estate operating architecture (Section 6), workforce strategy (Section 7), and high fixed-cost financial structure (Section 8). Risk is therefore conceptualised not as an abstract, exogenous threat, but as a design output—a direct function of strategic choices that can be governed through architectural decisions, operational sequencing, and trigger-based controls (Teece, 2007; Mikes &amp; Kaplan, 2014). Given the capital-intensive, regulation-heavy, and labour-dependent characteristics of the UK automotive aftercare sector, the dominant risks faced are intrinsic to execution discipline, capacity absorption, and control failure, rather than to underlying market demand, which has been validated as structurally resilient.</w:t>
      </w:r>
    </w:p>
    <w:p w14:paraId="1A4DA5A4" w14:textId="77777777" w:rsidR="004955B0" w:rsidRPr="00390868" w:rsidRDefault="004955B0" w:rsidP="00905241">
      <w:pPr>
        <w:pStyle w:val="Heading2"/>
        <w:spacing w:line="360" w:lineRule="auto"/>
        <w:rPr>
          <w:rFonts w:ascii="Arial" w:hAnsi="Arial" w:cs="Arial"/>
        </w:rPr>
      </w:pPr>
      <w:bookmarkStart w:id="133" w:name="_Toc218629296"/>
      <w:r w:rsidRPr="00390868">
        <w:rPr>
          <w:rFonts w:ascii="Arial" w:hAnsi="Arial" w:cs="Arial"/>
        </w:rPr>
        <w:t>9.1 Risk Management Approach and Methodological Basis</w:t>
      </w:r>
      <w:bookmarkEnd w:id="133"/>
    </w:p>
    <w:p w14:paraId="72D60CAE" w14:textId="77777777" w:rsidR="007334C3" w:rsidRPr="00390868" w:rsidRDefault="007334C3" w:rsidP="00905241">
      <w:pPr>
        <w:spacing w:line="360" w:lineRule="auto"/>
        <w:rPr>
          <w:rFonts w:ascii="Arial" w:hAnsi="Arial" w:cs="Arial"/>
        </w:rPr>
      </w:pPr>
      <w:r w:rsidRPr="00390868">
        <w:rPr>
          <w:rFonts w:ascii="Arial" w:hAnsi="Arial" w:cs="Arial"/>
        </w:rPr>
        <w:t>The adopted framework employs a pragmatic, hybrid approach combining three complementary elements, aligning with integrated enterprise risk management (ERM) principles:</w:t>
      </w:r>
    </w:p>
    <w:p w14:paraId="18B152F1" w14:textId="77777777" w:rsidR="007334C3" w:rsidRPr="00390868" w:rsidRDefault="007334C3" w:rsidP="00905241">
      <w:pPr>
        <w:numPr>
          <w:ilvl w:val="0"/>
          <w:numId w:val="26"/>
        </w:numPr>
        <w:spacing w:line="360" w:lineRule="auto"/>
        <w:rPr>
          <w:rFonts w:ascii="Arial" w:hAnsi="Arial" w:cs="Arial"/>
        </w:rPr>
      </w:pPr>
      <w:r w:rsidRPr="00390868">
        <w:rPr>
          <w:rFonts w:ascii="Arial" w:hAnsi="Arial" w:cs="Arial"/>
        </w:rPr>
        <w:t>Proactive Risk Mapping: Identifying where risk originates within the estate’s operational and financial workflows.</w:t>
      </w:r>
    </w:p>
    <w:p w14:paraId="65C7B865" w14:textId="77777777" w:rsidR="007334C3" w:rsidRPr="00390868" w:rsidRDefault="007334C3" w:rsidP="00905241">
      <w:pPr>
        <w:numPr>
          <w:ilvl w:val="0"/>
          <w:numId w:val="26"/>
        </w:numPr>
        <w:spacing w:line="360" w:lineRule="auto"/>
        <w:rPr>
          <w:rFonts w:ascii="Arial" w:hAnsi="Arial" w:cs="Arial"/>
        </w:rPr>
      </w:pPr>
      <w:r w:rsidRPr="00390868">
        <w:rPr>
          <w:rFonts w:ascii="Arial" w:hAnsi="Arial" w:cs="Arial"/>
        </w:rPr>
        <w:t>Structural Control Design: Determining how risks are constrained through built-in operational and financial mechanisms.</w:t>
      </w:r>
    </w:p>
    <w:p w14:paraId="39F9FA85" w14:textId="77777777" w:rsidR="007334C3" w:rsidRPr="00390868" w:rsidRDefault="007334C3" w:rsidP="00905241">
      <w:pPr>
        <w:numPr>
          <w:ilvl w:val="0"/>
          <w:numId w:val="26"/>
        </w:numPr>
        <w:spacing w:line="360" w:lineRule="auto"/>
        <w:rPr>
          <w:rFonts w:ascii="Arial" w:hAnsi="Arial" w:cs="Arial"/>
        </w:rPr>
      </w:pPr>
      <w:r w:rsidRPr="00390868">
        <w:rPr>
          <w:rFonts w:ascii="Arial" w:hAnsi="Arial" w:cs="Arial"/>
        </w:rPr>
        <w:t>Trigger-Based Governance: Defining quantifiable performance thresholds that mandate corrective managerial action, moving beyond discretionary review.</w:t>
      </w:r>
    </w:p>
    <w:p w14:paraId="47F225C8" w14:textId="34BACE74" w:rsidR="004955B0" w:rsidRPr="00390868" w:rsidRDefault="007334C3" w:rsidP="00905241">
      <w:pPr>
        <w:spacing w:line="360" w:lineRule="auto"/>
        <w:rPr>
          <w:rFonts w:ascii="Arial" w:hAnsi="Arial" w:cs="Arial"/>
        </w:rPr>
      </w:pPr>
      <w:r w:rsidRPr="00390868">
        <w:rPr>
          <w:rFonts w:ascii="Arial" w:hAnsi="Arial" w:cs="Arial"/>
        </w:rPr>
        <w:t xml:space="preserve">This methodology is informed by the ISO 31000:2018 standard but is specifically adapted for the execution-heavy, capital-intensive nature of a multi-service estate venture (Hopkin, 2018). It incorporates a dynamic capability view of risk management, wherein resilience is built through adaptable structures and processes that allow the firm to reconfigure resources in response to internal and external shocks (Teece, 2007). Risks are assessed using a Likelihood (L) and Impact (I) scale (1-5), with priority determined by a Risk Priority Number (RPN = L × I). Controls are designed around the pillars of prevention, detection, and response, with clear ownership. Critically, this approach embeds performance triggers—such as utilisation rates or cash-runway thresholds—that compel pre-defined intervention, </w:t>
      </w:r>
      <w:r w:rsidRPr="00390868">
        <w:rPr>
          <w:rFonts w:ascii="Arial" w:hAnsi="Arial" w:cs="Arial"/>
        </w:rPr>
        <w:lastRenderedPageBreak/>
        <w:t xml:space="preserve">embodying best practice in operational risk governance for complex service organisations (Mikes </w:t>
      </w:r>
      <w:r w:rsidR="00F21D10" w:rsidRPr="00390868">
        <w:rPr>
          <w:rFonts w:ascii="Arial" w:hAnsi="Arial" w:cs="Arial"/>
        </w:rPr>
        <w:t>and</w:t>
      </w:r>
      <w:r w:rsidRPr="00390868">
        <w:rPr>
          <w:rFonts w:ascii="Arial" w:hAnsi="Arial" w:cs="Arial"/>
        </w:rPr>
        <w:t xml:space="preserve"> Kaplan, 2014).</w:t>
      </w:r>
    </w:p>
    <w:p w14:paraId="2FA0557B" w14:textId="77777777" w:rsidR="004955B0" w:rsidRPr="00390868" w:rsidRDefault="004955B0" w:rsidP="00905241">
      <w:pPr>
        <w:pStyle w:val="Heading2"/>
        <w:spacing w:line="360" w:lineRule="auto"/>
        <w:rPr>
          <w:rFonts w:ascii="Arial" w:hAnsi="Arial" w:cs="Arial"/>
        </w:rPr>
      </w:pPr>
      <w:bookmarkStart w:id="134" w:name="_Toc218629297"/>
      <w:r w:rsidRPr="00390868">
        <w:rPr>
          <w:rFonts w:ascii="Arial" w:hAnsi="Arial" w:cs="Arial"/>
        </w:rPr>
        <w:t>9.2 Integrated Risk Mapping Across the Business Model</w:t>
      </w:r>
      <w:bookmarkEnd w:id="134"/>
    </w:p>
    <w:p w14:paraId="5D54782D" w14:textId="77777777" w:rsidR="00F85753" w:rsidRPr="00390868" w:rsidRDefault="00F85753" w:rsidP="00905241">
      <w:pPr>
        <w:spacing w:line="360" w:lineRule="auto"/>
        <w:rPr>
          <w:rFonts w:ascii="Arial" w:hAnsi="Arial" w:cs="Arial"/>
        </w:rPr>
      </w:pPr>
      <w:r w:rsidRPr="00390868">
        <w:rPr>
          <w:rFonts w:ascii="Arial" w:hAnsi="Arial" w:cs="Arial"/>
        </w:rPr>
        <w:t>Table 9.1 provides a high-level mapping, linking principal risk categories to the DBP sections where exposure is created and where structural mitigation is embedded. This matrix ensures every major risk is traceable to a core design choice and its corresponding control, fulfilling a key ERM principle of consistency and completeness (ISO, 2018).</w:t>
      </w:r>
    </w:p>
    <w:p w14:paraId="45429459" w14:textId="71E0EF97" w:rsidR="004955B0" w:rsidRPr="00390868" w:rsidRDefault="004955B0" w:rsidP="00905241">
      <w:pPr>
        <w:spacing w:line="360" w:lineRule="auto"/>
        <w:rPr>
          <w:rFonts w:ascii="Arial" w:hAnsi="Arial" w:cs="Arial"/>
          <w:b/>
          <w:bCs/>
        </w:rPr>
      </w:pPr>
      <w:r w:rsidRPr="00390868">
        <w:rPr>
          <w:rFonts w:ascii="Arial" w:hAnsi="Arial" w:cs="Arial"/>
          <w:b/>
          <w:bCs/>
        </w:rPr>
        <w:t>Table 9.1: Strategic Risk Mapping and Structural Alignment for 1 STATION Ltd</w:t>
      </w:r>
    </w:p>
    <w:tbl>
      <w:tblPr>
        <w:tblStyle w:val="PlainTable1"/>
        <w:tblW w:w="0" w:type="auto"/>
        <w:tblLook w:val="04A0" w:firstRow="1" w:lastRow="0" w:firstColumn="1" w:lastColumn="0" w:noHBand="0" w:noVBand="1"/>
      </w:tblPr>
      <w:tblGrid>
        <w:gridCol w:w="2218"/>
        <w:gridCol w:w="2355"/>
        <w:gridCol w:w="1701"/>
        <w:gridCol w:w="2742"/>
      </w:tblGrid>
      <w:tr w:rsidR="004955B0" w:rsidRPr="00390868" w14:paraId="2C1C055F" w14:textId="77777777" w:rsidTr="007334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41F5BF" w14:textId="77777777" w:rsidR="004955B0" w:rsidRPr="00390868" w:rsidRDefault="004955B0" w:rsidP="00905241">
            <w:pPr>
              <w:spacing w:after="160" w:line="360" w:lineRule="auto"/>
              <w:rPr>
                <w:rFonts w:ascii="Arial" w:hAnsi="Arial" w:cs="Arial"/>
              </w:rPr>
            </w:pPr>
            <w:r w:rsidRPr="00390868">
              <w:rPr>
                <w:rFonts w:ascii="Arial" w:hAnsi="Arial" w:cs="Arial"/>
              </w:rPr>
              <w:t>Risk Category (Headline)</w:t>
            </w:r>
          </w:p>
        </w:tc>
        <w:tc>
          <w:tcPr>
            <w:tcW w:w="0" w:type="auto"/>
            <w:hideMark/>
          </w:tcPr>
          <w:p w14:paraId="4B7D6AF1"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Source of Risk</w:t>
            </w:r>
          </w:p>
        </w:tc>
        <w:tc>
          <w:tcPr>
            <w:tcW w:w="0" w:type="auto"/>
            <w:hideMark/>
          </w:tcPr>
          <w:p w14:paraId="257C6F20"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DBP Sections Creating Exposure</w:t>
            </w:r>
          </w:p>
        </w:tc>
        <w:tc>
          <w:tcPr>
            <w:tcW w:w="0" w:type="auto"/>
            <w:hideMark/>
          </w:tcPr>
          <w:p w14:paraId="31BFF4B8"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Structural Risk Response Embedded in Design</w:t>
            </w:r>
          </w:p>
        </w:tc>
      </w:tr>
      <w:tr w:rsidR="004955B0" w:rsidRPr="00390868" w14:paraId="61388B25" w14:textId="77777777" w:rsidTr="00733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6CEC6" w14:textId="77777777" w:rsidR="004955B0" w:rsidRPr="00390868" w:rsidRDefault="004955B0" w:rsidP="00905241">
            <w:pPr>
              <w:spacing w:after="160" w:line="360" w:lineRule="auto"/>
              <w:rPr>
                <w:rFonts w:ascii="Arial" w:hAnsi="Arial" w:cs="Arial"/>
              </w:rPr>
            </w:pPr>
            <w:r w:rsidRPr="00390868">
              <w:rPr>
                <w:rFonts w:ascii="Arial" w:hAnsi="Arial" w:cs="Arial"/>
              </w:rPr>
              <w:t>Market Conversion &amp; Retention Risk</w:t>
            </w:r>
          </w:p>
        </w:tc>
        <w:tc>
          <w:tcPr>
            <w:tcW w:w="0" w:type="auto"/>
            <w:hideMark/>
          </w:tcPr>
          <w:p w14:paraId="023763C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Fragmented local competition; low switching costs</w:t>
            </w:r>
          </w:p>
        </w:tc>
        <w:tc>
          <w:tcPr>
            <w:tcW w:w="0" w:type="auto"/>
            <w:hideMark/>
          </w:tcPr>
          <w:p w14:paraId="21FBF867"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Sections 3 &amp; 5</w:t>
            </w:r>
          </w:p>
        </w:tc>
        <w:tc>
          <w:tcPr>
            <w:tcW w:w="0" w:type="auto"/>
            <w:hideMark/>
          </w:tcPr>
          <w:p w14:paraId="5A754DD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Reliance on statutory MOT demand; bundled services; CRM-led retention</w:t>
            </w:r>
          </w:p>
        </w:tc>
      </w:tr>
      <w:tr w:rsidR="004955B0" w:rsidRPr="00390868" w14:paraId="4C3FDBE9" w14:textId="77777777" w:rsidTr="007334C3">
        <w:tc>
          <w:tcPr>
            <w:cnfStyle w:val="001000000000" w:firstRow="0" w:lastRow="0" w:firstColumn="1" w:lastColumn="0" w:oddVBand="0" w:evenVBand="0" w:oddHBand="0" w:evenHBand="0" w:firstRowFirstColumn="0" w:firstRowLastColumn="0" w:lastRowFirstColumn="0" w:lastRowLastColumn="0"/>
            <w:tcW w:w="0" w:type="auto"/>
            <w:hideMark/>
          </w:tcPr>
          <w:p w14:paraId="513EFA4F" w14:textId="77777777" w:rsidR="004955B0" w:rsidRPr="00390868" w:rsidRDefault="004955B0" w:rsidP="00905241">
            <w:pPr>
              <w:spacing w:after="160" w:line="360" w:lineRule="auto"/>
              <w:rPr>
                <w:rFonts w:ascii="Arial" w:hAnsi="Arial" w:cs="Arial"/>
              </w:rPr>
            </w:pPr>
            <w:r w:rsidRPr="00390868">
              <w:rPr>
                <w:rFonts w:ascii="Arial" w:hAnsi="Arial" w:cs="Arial"/>
              </w:rPr>
              <w:t>Under-Utilisation &amp; Break-Even Risk</w:t>
            </w:r>
          </w:p>
        </w:tc>
        <w:tc>
          <w:tcPr>
            <w:tcW w:w="0" w:type="auto"/>
            <w:hideMark/>
          </w:tcPr>
          <w:p w14:paraId="781589CE"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High fixed-cost estate model</w:t>
            </w:r>
          </w:p>
        </w:tc>
        <w:tc>
          <w:tcPr>
            <w:tcW w:w="0" w:type="auto"/>
            <w:hideMark/>
          </w:tcPr>
          <w:p w14:paraId="6D548D4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Sections 6 &amp; 8</w:t>
            </w:r>
          </w:p>
        </w:tc>
        <w:tc>
          <w:tcPr>
            <w:tcW w:w="0" w:type="auto"/>
            <w:hideMark/>
          </w:tcPr>
          <w:p w14:paraId="5FBC0CB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Capacity-led modelling; phased launch; utilisation-based staffing</w:t>
            </w:r>
          </w:p>
        </w:tc>
      </w:tr>
      <w:tr w:rsidR="004955B0" w:rsidRPr="00390868" w14:paraId="305E62AA" w14:textId="77777777" w:rsidTr="00733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E44BEA" w14:textId="77777777" w:rsidR="004955B0" w:rsidRPr="00390868" w:rsidRDefault="004955B0" w:rsidP="00905241">
            <w:pPr>
              <w:spacing w:after="160" w:line="360" w:lineRule="auto"/>
              <w:rPr>
                <w:rFonts w:ascii="Arial" w:hAnsi="Arial" w:cs="Arial"/>
              </w:rPr>
            </w:pPr>
            <w:r w:rsidRPr="00390868">
              <w:rPr>
                <w:rFonts w:ascii="Arial" w:hAnsi="Arial" w:cs="Arial"/>
              </w:rPr>
              <w:t>Labour &amp; Skills Availability Risk</w:t>
            </w:r>
          </w:p>
        </w:tc>
        <w:tc>
          <w:tcPr>
            <w:tcW w:w="0" w:type="auto"/>
            <w:hideMark/>
          </w:tcPr>
          <w:p w14:paraId="79413AC7"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Shortage of EV and diagnostic technicians</w:t>
            </w:r>
          </w:p>
        </w:tc>
        <w:tc>
          <w:tcPr>
            <w:tcW w:w="0" w:type="auto"/>
            <w:hideMark/>
          </w:tcPr>
          <w:p w14:paraId="5678DE46"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Sections 6 &amp; 7</w:t>
            </w:r>
          </w:p>
        </w:tc>
        <w:tc>
          <w:tcPr>
            <w:tcW w:w="0" w:type="auto"/>
            <w:hideMark/>
          </w:tcPr>
          <w:p w14:paraId="75F4188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Phased recruitment; cross-skilling pods; IMI-aligned training</w:t>
            </w:r>
          </w:p>
        </w:tc>
      </w:tr>
      <w:tr w:rsidR="004955B0" w:rsidRPr="00390868" w14:paraId="0E0D9AD1" w14:textId="77777777" w:rsidTr="007334C3">
        <w:tc>
          <w:tcPr>
            <w:cnfStyle w:val="001000000000" w:firstRow="0" w:lastRow="0" w:firstColumn="1" w:lastColumn="0" w:oddVBand="0" w:evenVBand="0" w:oddHBand="0" w:evenHBand="0" w:firstRowFirstColumn="0" w:firstRowLastColumn="0" w:lastRowFirstColumn="0" w:lastRowLastColumn="0"/>
            <w:tcW w:w="0" w:type="auto"/>
            <w:hideMark/>
          </w:tcPr>
          <w:p w14:paraId="2FFBE967" w14:textId="77777777" w:rsidR="004955B0" w:rsidRPr="00390868" w:rsidRDefault="004955B0" w:rsidP="00905241">
            <w:pPr>
              <w:spacing w:after="160" w:line="360" w:lineRule="auto"/>
              <w:rPr>
                <w:rFonts w:ascii="Arial" w:hAnsi="Arial" w:cs="Arial"/>
              </w:rPr>
            </w:pPr>
            <w:r w:rsidRPr="00390868">
              <w:rPr>
                <w:rFonts w:ascii="Arial" w:hAnsi="Arial" w:cs="Arial"/>
              </w:rPr>
              <w:t>Operational Coordination &amp; Bottleneck Risk</w:t>
            </w:r>
          </w:p>
        </w:tc>
        <w:tc>
          <w:tcPr>
            <w:tcW w:w="0" w:type="auto"/>
            <w:hideMark/>
          </w:tcPr>
          <w:p w14:paraId="6E35DF7E"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Eight interdependent service units</w:t>
            </w:r>
          </w:p>
        </w:tc>
        <w:tc>
          <w:tcPr>
            <w:tcW w:w="0" w:type="auto"/>
            <w:hideMark/>
          </w:tcPr>
          <w:p w14:paraId="23CBE52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Section 6</w:t>
            </w:r>
          </w:p>
        </w:tc>
        <w:tc>
          <w:tcPr>
            <w:tcW w:w="0" w:type="auto"/>
            <w:hideMark/>
          </w:tcPr>
          <w:p w14:paraId="6021DC4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Centralised CRM/WMS; standardised workflows; dual-entry governance</w:t>
            </w:r>
          </w:p>
        </w:tc>
      </w:tr>
      <w:tr w:rsidR="004955B0" w:rsidRPr="00390868" w14:paraId="4D8A15DC" w14:textId="77777777" w:rsidTr="00733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90EC8" w14:textId="77777777" w:rsidR="004955B0" w:rsidRPr="00390868" w:rsidRDefault="004955B0" w:rsidP="00905241">
            <w:pPr>
              <w:spacing w:after="160" w:line="360" w:lineRule="auto"/>
              <w:rPr>
                <w:rFonts w:ascii="Arial" w:hAnsi="Arial" w:cs="Arial"/>
              </w:rPr>
            </w:pPr>
            <w:r w:rsidRPr="00390868">
              <w:rPr>
                <w:rFonts w:ascii="Arial" w:hAnsi="Arial" w:cs="Arial"/>
              </w:rPr>
              <w:t>Liquidity &amp; Cash-Timing Risk</w:t>
            </w:r>
          </w:p>
        </w:tc>
        <w:tc>
          <w:tcPr>
            <w:tcW w:w="0" w:type="auto"/>
            <w:hideMark/>
          </w:tcPr>
          <w:p w14:paraId="7FB8D3B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Pre-revenue cash burn; debt servicing</w:t>
            </w:r>
          </w:p>
        </w:tc>
        <w:tc>
          <w:tcPr>
            <w:tcW w:w="0" w:type="auto"/>
            <w:hideMark/>
          </w:tcPr>
          <w:p w14:paraId="709FE5A1"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Section 8</w:t>
            </w:r>
          </w:p>
        </w:tc>
        <w:tc>
          <w:tcPr>
            <w:tcW w:w="0" w:type="auto"/>
            <w:hideMark/>
          </w:tcPr>
          <w:p w14:paraId="413947F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Asset-backed finance; working-capital buffer; conservative ramp-up</w:t>
            </w:r>
          </w:p>
        </w:tc>
      </w:tr>
      <w:tr w:rsidR="004955B0" w:rsidRPr="00390868" w14:paraId="619D815B" w14:textId="77777777" w:rsidTr="007334C3">
        <w:tc>
          <w:tcPr>
            <w:cnfStyle w:val="001000000000" w:firstRow="0" w:lastRow="0" w:firstColumn="1" w:lastColumn="0" w:oddVBand="0" w:evenVBand="0" w:oddHBand="0" w:evenHBand="0" w:firstRowFirstColumn="0" w:firstRowLastColumn="0" w:lastRowFirstColumn="0" w:lastRowLastColumn="0"/>
            <w:tcW w:w="0" w:type="auto"/>
            <w:hideMark/>
          </w:tcPr>
          <w:p w14:paraId="457577EE" w14:textId="77777777" w:rsidR="004955B0" w:rsidRPr="00390868" w:rsidRDefault="004955B0" w:rsidP="00905241">
            <w:pPr>
              <w:spacing w:after="160" w:line="360" w:lineRule="auto"/>
              <w:rPr>
                <w:rFonts w:ascii="Arial" w:hAnsi="Arial" w:cs="Arial"/>
              </w:rPr>
            </w:pPr>
            <w:r w:rsidRPr="00390868">
              <w:rPr>
                <w:rFonts w:ascii="Arial" w:hAnsi="Arial" w:cs="Arial"/>
              </w:rPr>
              <w:t>Regulatory &amp; Compliance Risk</w:t>
            </w:r>
          </w:p>
        </w:tc>
        <w:tc>
          <w:tcPr>
            <w:tcW w:w="0" w:type="auto"/>
            <w:hideMark/>
          </w:tcPr>
          <w:p w14:paraId="4686CB9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DVSA, HSE, environmental regulation</w:t>
            </w:r>
          </w:p>
        </w:tc>
        <w:tc>
          <w:tcPr>
            <w:tcW w:w="0" w:type="auto"/>
            <w:hideMark/>
          </w:tcPr>
          <w:p w14:paraId="3C3D2970"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Sections 6 &amp; 7</w:t>
            </w:r>
          </w:p>
        </w:tc>
        <w:tc>
          <w:tcPr>
            <w:tcW w:w="0" w:type="auto"/>
            <w:hideMark/>
          </w:tcPr>
          <w:p w14:paraId="116B6F6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Design-led compliance; segregated units; documented SOPs</w:t>
            </w:r>
          </w:p>
        </w:tc>
      </w:tr>
      <w:tr w:rsidR="004955B0" w:rsidRPr="00390868" w14:paraId="4707167A" w14:textId="77777777" w:rsidTr="00733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87013" w14:textId="77777777" w:rsidR="004955B0" w:rsidRPr="00390868" w:rsidRDefault="004955B0" w:rsidP="00905241">
            <w:pPr>
              <w:spacing w:after="160" w:line="360" w:lineRule="auto"/>
              <w:rPr>
                <w:rFonts w:ascii="Arial" w:hAnsi="Arial" w:cs="Arial"/>
              </w:rPr>
            </w:pPr>
            <w:r w:rsidRPr="00390868">
              <w:rPr>
                <w:rFonts w:ascii="Arial" w:hAnsi="Arial" w:cs="Arial"/>
              </w:rPr>
              <w:lastRenderedPageBreak/>
              <w:t>Supply Chain &amp; Input Cost Risk</w:t>
            </w:r>
          </w:p>
        </w:tc>
        <w:tc>
          <w:tcPr>
            <w:tcW w:w="0" w:type="auto"/>
            <w:hideMark/>
          </w:tcPr>
          <w:p w14:paraId="117077F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Parts availability; price volatility</w:t>
            </w:r>
          </w:p>
        </w:tc>
        <w:tc>
          <w:tcPr>
            <w:tcW w:w="0" w:type="auto"/>
            <w:hideMark/>
          </w:tcPr>
          <w:p w14:paraId="22B6603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Section 6.5</w:t>
            </w:r>
          </w:p>
        </w:tc>
        <w:tc>
          <w:tcPr>
            <w:tcW w:w="0" w:type="auto"/>
            <w:hideMark/>
          </w:tcPr>
          <w:p w14:paraId="499728D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Supplier diversification; buffer stock for critical items</w:t>
            </w:r>
          </w:p>
        </w:tc>
      </w:tr>
      <w:tr w:rsidR="004955B0" w:rsidRPr="00390868" w14:paraId="0231DA50" w14:textId="77777777" w:rsidTr="007334C3">
        <w:tc>
          <w:tcPr>
            <w:cnfStyle w:val="001000000000" w:firstRow="0" w:lastRow="0" w:firstColumn="1" w:lastColumn="0" w:oddVBand="0" w:evenVBand="0" w:oddHBand="0" w:evenHBand="0" w:firstRowFirstColumn="0" w:firstRowLastColumn="0" w:lastRowFirstColumn="0" w:lastRowLastColumn="0"/>
            <w:tcW w:w="0" w:type="auto"/>
            <w:hideMark/>
          </w:tcPr>
          <w:p w14:paraId="75F613A5" w14:textId="77777777" w:rsidR="004955B0" w:rsidRPr="00390868" w:rsidRDefault="004955B0" w:rsidP="00905241">
            <w:pPr>
              <w:spacing w:after="160" w:line="360" w:lineRule="auto"/>
              <w:rPr>
                <w:rFonts w:ascii="Arial" w:hAnsi="Arial" w:cs="Arial"/>
              </w:rPr>
            </w:pPr>
            <w:r w:rsidRPr="00390868">
              <w:rPr>
                <w:rFonts w:ascii="Arial" w:hAnsi="Arial" w:cs="Arial"/>
              </w:rPr>
              <w:t>Strategic Over-Scaling Risk</w:t>
            </w:r>
          </w:p>
        </w:tc>
        <w:tc>
          <w:tcPr>
            <w:tcW w:w="0" w:type="auto"/>
            <w:hideMark/>
          </w:tcPr>
          <w:p w14:paraId="7C5C8C29"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Premature expansion assumptions</w:t>
            </w:r>
          </w:p>
        </w:tc>
        <w:tc>
          <w:tcPr>
            <w:tcW w:w="0" w:type="auto"/>
            <w:hideMark/>
          </w:tcPr>
          <w:p w14:paraId="0579FE6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Section 8</w:t>
            </w:r>
          </w:p>
        </w:tc>
        <w:tc>
          <w:tcPr>
            <w:tcW w:w="0" w:type="auto"/>
            <w:hideMark/>
          </w:tcPr>
          <w:p w14:paraId="3421727C"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Single-site constraint across five-year forecast</w:t>
            </w:r>
          </w:p>
        </w:tc>
      </w:tr>
    </w:tbl>
    <w:p w14:paraId="4D90EBAE" w14:textId="7FD2DF42" w:rsidR="004955B0" w:rsidRPr="00390868" w:rsidRDefault="004955B0" w:rsidP="00905241">
      <w:pPr>
        <w:spacing w:line="360" w:lineRule="auto"/>
        <w:rPr>
          <w:rFonts w:ascii="Arial" w:hAnsi="Arial" w:cs="Arial"/>
        </w:rPr>
      </w:pPr>
    </w:p>
    <w:p w14:paraId="4BAE4A07" w14:textId="77777777" w:rsidR="004955B0" w:rsidRPr="00390868" w:rsidRDefault="004955B0" w:rsidP="00905241">
      <w:pPr>
        <w:pStyle w:val="Heading2"/>
        <w:spacing w:line="360" w:lineRule="auto"/>
        <w:rPr>
          <w:rFonts w:ascii="Arial" w:hAnsi="Arial" w:cs="Arial"/>
        </w:rPr>
      </w:pPr>
      <w:bookmarkStart w:id="135" w:name="_Toc218629298"/>
      <w:r w:rsidRPr="00390868">
        <w:rPr>
          <w:rFonts w:ascii="Arial" w:hAnsi="Arial" w:cs="Arial"/>
        </w:rPr>
        <w:t>9.3 Operational Risk Register and Control Framework</w:t>
      </w:r>
      <w:bookmarkEnd w:id="135"/>
    </w:p>
    <w:p w14:paraId="32DC4DF6" w14:textId="0518A84A" w:rsidR="00324A4F" w:rsidRPr="00390868" w:rsidRDefault="00324A4F" w:rsidP="00905241">
      <w:pPr>
        <w:spacing w:line="360" w:lineRule="auto"/>
        <w:rPr>
          <w:rFonts w:ascii="Arial" w:hAnsi="Arial" w:cs="Arial"/>
        </w:rPr>
      </w:pPr>
      <w:r w:rsidRPr="00390868">
        <w:rPr>
          <w:rFonts w:ascii="Arial" w:hAnsi="Arial" w:cs="Arial"/>
        </w:rPr>
        <w:t>Table 9.2 operationalises the headline risks into a detailed, actionable register. It defines specific controls, assigns ownership, and—most critically—establishes quantifiable performance triggers. This transforms risk management from a passive assessment into an active governance system, a practice shown to significantly improve operational resilience in SMEs (Kraus et al., 2020).</w:t>
      </w:r>
    </w:p>
    <w:p w14:paraId="785ADAE3" w14:textId="4925312C" w:rsidR="004955B0" w:rsidRPr="00390868" w:rsidRDefault="004955B0" w:rsidP="00905241">
      <w:pPr>
        <w:spacing w:line="360" w:lineRule="auto"/>
        <w:rPr>
          <w:rFonts w:ascii="Arial" w:hAnsi="Arial" w:cs="Arial"/>
          <w:b/>
          <w:bCs/>
        </w:rPr>
      </w:pPr>
      <w:r w:rsidRPr="00390868">
        <w:rPr>
          <w:rFonts w:ascii="Arial" w:hAnsi="Arial" w:cs="Arial"/>
          <w:b/>
          <w:bCs/>
        </w:rPr>
        <w:t>Table 9.2: Risk Register, Controls, Ownership, and Triggers</w:t>
      </w:r>
    </w:p>
    <w:tbl>
      <w:tblPr>
        <w:tblStyle w:val="PlainTable1"/>
        <w:tblW w:w="0" w:type="auto"/>
        <w:tblLook w:val="04A0" w:firstRow="1" w:lastRow="0" w:firstColumn="1" w:lastColumn="0" w:noHBand="0" w:noVBand="1"/>
      </w:tblPr>
      <w:tblGrid>
        <w:gridCol w:w="402"/>
        <w:gridCol w:w="1277"/>
        <w:gridCol w:w="318"/>
        <w:gridCol w:w="309"/>
        <w:gridCol w:w="567"/>
        <w:gridCol w:w="1221"/>
        <w:gridCol w:w="1332"/>
        <w:gridCol w:w="1221"/>
        <w:gridCol w:w="1166"/>
        <w:gridCol w:w="1203"/>
      </w:tblGrid>
      <w:tr w:rsidR="004955B0" w:rsidRPr="00390868" w14:paraId="12B9F16F" w14:textId="77777777" w:rsidTr="00495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8C2954" w14:textId="77777777" w:rsidR="004955B0" w:rsidRPr="00390868" w:rsidRDefault="004955B0" w:rsidP="00905241">
            <w:pPr>
              <w:spacing w:after="160" w:line="360" w:lineRule="auto"/>
              <w:rPr>
                <w:rFonts w:ascii="Arial" w:hAnsi="Arial" w:cs="Arial"/>
              </w:rPr>
            </w:pPr>
            <w:r w:rsidRPr="00390868">
              <w:rPr>
                <w:rFonts w:ascii="Arial" w:hAnsi="Arial" w:cs="Arial"/>
              </w:rPr>
              <w:t>#</w:t>
            </w:r>
          </w:p>
        </w:tc>
        <w:tc>
          <w:tcPr>
            <w:tcW w:w="0" w:type="auto"/>
            <w:hideMark/>
          </w:tcPr>
          <w:p w14:paraId="2C1A66E4"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Risk (Detailed)</w:t>
            </w:r>
          </w:p>
        </w:tc>
        <w:tc>
          <w:tcPr>
            <w:tcW w:w="0" w:type="auto"/>
            <w:hideMark/>
          </w:tcPr>
          <w:p w14:paraId="0BE9F779"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L</w:t>
            </w:r>
          </w:p>
        </w:tc>
        <w:tc>
          <w:tcPr>
            <w:tcW w:w="0" w:type="auto"/>
            <w:hideMark/>
          </w:tcPr>
          <w:p w14:paraId="29C78ABD"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w:t>
            </w:r>
          </w:p>
        </w:tc>
        <w:tc>
          <w:tcPr>
            <w:tcW w:w="0" w:type="auto"/>
            <w:hideMark/>
          </w:tcPr>
          <w:p w14:paraId="67224DD3"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RPN</w:t>
            </w:r>
          </w:p>
        </w:tc>
        <w:tc>
          <w:tcPr>
            <w:tcW w:w="0" w:type="auto"/>
            <w:hideMark/>
          </w:tcPr>
          <w:p w14:paraId="2A107756"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Preventive Controls</w:t>
            </w:r>
          </w:p>
        </w:tc>
        <w:tc>
          <w:tcPr>
            <w:tcW w:w="0" w:type="auto"/>
            <w:hideMark/>
          </w:tcPr>
          <w:p w14:paraId="54BEF65B"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Detection Controls</w:t>
            </w:r>
          </w:p>
        </w:tc>
        <w:tc>
          <w:tcPr>
            <w:tcW w:w="0" w:type="auto"/>
            <w:hideMark/>
          </w:tcPr>
          <w:p w14:paraId="3CFDF247"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Response / Contingency</w:t>
            </w:r>
          </w:p>
        </w:tc>
        <w:tc>
          <w:tcPr>
            <w:tcW w:w="0" w:type="auto"/>
            <w:hideMark/>
          </w:tcPr>
          <w:p w14:paraId="754452E0"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Owner</w:t>
            </w:r>
          </w:p>
        </w:tc>
        <w:tc>
          <w:tcPr>
            <w:tcW w:w="0" w:type="auto"/>
            <w:hideMark/>
          </w:tcPr>
          <w:p w14:paraId="592C4758" w14:textId="77777777" w:rsidR="004955B0" w:rsidRPr="00390868" w:rsidRDefault="004955B0"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Trigger</w:t>
            </w:r>
          </w:p>
        </w:tc>
      </w:tr>
      <w:tr w:rsidR="004955B0" w:rsidRPr="00390868" w14:paraId="39355322"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6FE979" w14:textId="77777777" w:rsidR="004955B0" w:rsidRPr="00390868" w:rsidRDefault="004955B0" w:rsidP="00905241">
            <w:pPr>
              <w:spacing w:after="160" w:line="360" w:lineRule="auto"/>
              <w:rPr>
                <w:rFonts w:ascii="Arial" w:hAnsi="Arial" w:cs="Arial"/>
              </w:rPr>
            </w:pPr>
            <w:r w:rsidRPr="00390868">
              <w:rPr>
                <w:rFonts w:ascii="Arial" w:hAnsi="Arial" w:cs="Arial"/>
              </w:rPr>
              <w:t>1</w:t>
            </w:r>
          </w:p>
        </w:tc>
        <w:tc>
          <w:tcPr>
            <w:tcW w:w="0" w:type="auto"/>
            <w:hideMark/>
          </w:tcPr>
          <w:p w14:paraId="1A5C78A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Market conversion failure</w:t>
            </w:r>
          </w:p>
        </w:tc>
        <w:tc>
          <w:tcPr>
            <w:tcW w:w="0" w:type="auto"/>
            <w:hideMark/>
          </w:tcPr>
          <w:p w14:paraId="688CC91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7C0BCAA6"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6B6A4B32"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67D3B7F8"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Transparent pricing; bundled offers; CRM reminders</w:t>
            </w:r>
          </w:p>
        </w:tc>
        <w:tc>
          <w:tcPr>
            <w:tcW w:w="0" w:type="auto"/>
            <w:hideMark/>
          </w:tcPr>
          <w:p w14:paraId="40459A35"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Booking &amp; repeat-rate dashboards</w:t>
            </w:r>
          </w:p>
        </w:tc>
        <w:tc>
          <w:tcPr>
            <w:tcW w:w="0" w:type="auto"/>
            <w:hideMark/>
          </w:tcPr>
          <w:p w14:paraId="4939B96C"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Intensify local partnerships; pricing review</w:t>
            </w:r>
          </w:p>
        </w:tc>
        <w:tc>
          <w:tcPr>
            <w:tcW w:w="0" w:type="auto"/>
            <w:hideMark/>
          </w:tcPr>
          <w:p w14:paraId="468B39B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Commercial Lead</w:t>
            </w:r>
          </w:p>
        </w:tc>
        <w:tc>
          <w:tcPr>
            <w:tcW w:w="0" w:type="auto"/>
            <w:hideMark/>
          </w:tcPr>
          <w:p w14:paraId="66327813" w14:textId="4B03CC3D"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Repeat rate &lt;3</w:t>
            </w:r>
            <w:r w:rsidR="00324A4F" w:rsidRPr="00390868">
              <w:rPr>
                <w:rFonts w:ascii="Arial" w:hAnsi="Arial" w:cs="Arial"/>
              </w:rPr>
              <w:t>5</w:t>
            </w:r>
            <w:r w:rsidRPr="00390868">
              <w:rPr>
                <w:rFonts w:ascii="Arial" w:hAnsi="Arial" w:cs="Arial"/>
              </w:rPr>
              <w:t>%</w:t>
            </w:r>
          </w:p>
        </w:tc>
      </w:tr>
      <w:tr w:rsidR="004955B0" w:rsidRPr="00390868" w14:paraId="311A6E59"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4DC31E36" w14:textId="77777777" w:rsidR="004955B0" w:rsidRPr="00390868" w:rsidRDefault="004955B0" w:rsidP="00905241">
            <w:pPr>
              <w:spacing w:after="160" w:line="360" w:lineRule="auto"/>
              <w:rPr>
                <w:rFonts w:ascii="Arial" w:hAnsi="Arial" w:cs="Arial"/>
              </w:rPr>
            </w:pPr>
            <w:r w:rsidRPr="00390868">
              <w:rPr>
                <w:rFonts w:ascii="Arial" w:hAnsi="Arial" w:cs="Arial"/>
              </w:rPr>
              <w:t>2</w:t>
            </w:r>
          </w:p>
        </w:tc>
        <w:tc>
          <w:tcPr>
            <w:tcW w:w="0" w:type="auto"/>
            <w:hideMark/>
          </w:tcPr>
          <w:p w14:paraId="516AD5C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Under-utilisation below break-even</w:t>
            </w:r>
          </w:p>
        </w:tc>
        <w:tc>
          <w:tcPr>
            <w:tcW w:w="0" w:type="auto"/>
            <w:hideMark/>
          </w:tcPr>
          <w:p w14:paraId="0A993806"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3306FF25"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w:t>
            </w:r>
          </w:p>
        </w:tc>
        <w:tc>
          <w:tcPr>
            <w:tcW w:w="0" w:type="auto"/>
            <w:hideMark/>
          </w:tcPr>
          <w:p w14:paraId="2E76F46D"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w:t>
            </w:r>
          </w:p>
        </w:tc>
        <w:tc>
          <w:tcPr>
            <w:tcW w:w="0" w:type="auto"/>
            <w:hideMark/>
          </w:tcPr>
          <w:p w14:paraId="248BC61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Phased staffing; delayed unit activation</w:t>
            </w:r>
          </w:p>
        </w:tc>
        <w:tc>
          <w:tcPr>
            <w:tcW w:w="0" w:type="auto"/>
            <w:hideMark/>
          </w:tcPr>
          <w:p w14:paraId="213B986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Weekly utilisation reporting</w:t>
            </w:r>
          </w:p>
        </w:tc>
        <w:tc>
          <w:tcPr>
            <w:tcW w:w="0" w:type="auto"/>
            <w:hideMark/>
          </w:tcPr>
          <w:p w14:paraId="06519F4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Pause expansion; redeploy labour; boost fleet work</w:t>
            </w:r>
          </w:p>
        </w:tc>
        <w:tc>
          <w:tcPr>
            <w:tcW w:w="0" w:type="auto"/>
            <w:hideMark/>
          </w:tcPr>
          <w:p w14:paraId="045818B3"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Ops &amp; Finance</w:t>
            </w:r>
          </w:p>
        </w:tc>
        <w:tc>
          <w:tcPr>
            <w:tcW w:w="0" w:type="auto"/>
            <w:hideMark/>
          </w:tcPr>
          <w:p w14:paraId="42B83D74"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Utilisation &lt;55% for 8 weeks</w:t>
            </w:r>
          </w:p>
        </w:tc>
      </w:tr>
      <w:tr w:rsidR="004955B0" w:rsidRPr="00390868" w14:paraId="4D2D3148"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0812B0" w14:textId="77777777" w:rsidR="004955B0" w:rsidRPr="00390868" w:rsidRDefault="004955B0" w:rsidP="00905241">
            <w:pPr>
              <w:spacing w:after="160" w:line="360" w:lineRule="auto"/>
              <w:rPr>
                <w:rFonts w:ascii="Arial" w:hAnsi="Arial" w:cs="Arial"/>
              </w:rPr>
            </w:pPr>
            <w:r w:rsidRPr="00390868">
              <w:rPr>
                <w:rFonts w:ascii="Arial" w:hAnsi="Arial" w:cs="Arial"/>
              </w:rPr>
              <w:t>3</w:t>
            </w:r>
          </w:p>
        </w:tc>
        <w:tc>
          <w:tcPr>
            <w:tcW w:w="0" w:type="auto"/>
            <w:hideMark/>
          </w:tcPr>
          <w:p w14:paraId="76C1D947"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Cash-flow timing shortfall</w:t>
            </w:r>
          </w:p>
        </w:tc>
        <w:tc>
          <w:tcPr>
            <w:tcW w:w="0" w:type="auto"/>
            <w:hideMark/>
          </w:tcPr>
          <w:p w14:paraId="05B975DA"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36EAE5D1"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w:t>
            </w:r>
          </w:p>
        </w:tc>
        <w:tc>
          <w:tcPr>
            <w:tcW w:w="0" w:type="auto"/>
            <w:hideMark/>
          </w:tcPr>
          <w:p w14:paraId="6C7F508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20</w:t>
            </w:r>
          </w:p>
        </w:tc>
        <w:tc>
          <w:tcPr>
            <w:tcW w:w="0" w:type="auto"/>
            <w:hideMark/>
          </w:tcPr>
          <w:p w14:paraId="6B4211F4"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£417k working-capital </w:t>
            </w:r>
            <w:r w:rsidRPr="00390868">
              <w:rPr>
                <w:rFonts w:ascii="Arial" w:hAnsi="Arial" w:cs="Arial"/>
              </w:rPr>
              <w:lastRenderedPageBreak/>
              <w:t>buffer; staged hiring</w:t>
            </w:r>
          </w:p>
        </w:tc>
        <w:tc>
          <w:tcPr>
            <w:tcW w:w="0" w:type="auto"/>
            <w:hideMark/>
          </w:tcPr>
          <w:p w14:paraId="60B7AAA9"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lastRenderedPageBreak/>
              <w:t>12-week rolling cash forecast</w:t>
            </w:r>
          </w:p>
        </w:tc>
        <w:tc>
          <w:tcPr>
            <w:tcW w:w="0" w:type="auto"/>
            <w:hideMark/>
          </w:tcPr>
          <w:p w14:paraId="011AFA54"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Freeze discretionary </w:t>
            </w:r>
            <w:r w:rsidRPr="00390868">
              <w:rPr>
                <w:rFonts w:ascii="Arial" w:hAnsi="Arial" w:cs="Arial"/>
              </w:rPr>
              <w:lastRenderedPageBreak/>
              <w:t>spend; renegotiate terms</w:t>
            </w:r>
          </w:p>
        </w:tc>
        <w:tc>
          <w:tcPr>
            <w:tcW w:w="0" w:type="auto"/>
            <w:hideMark/>
          </w:tcPr>
          <w:p w14:paraId="03020F55"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lastRenderedPageBreak/>
              <w:t>Finance Lead</w:t>
            </w:r>
          </w:p>
        </w:tc>
        <w:tc>
          <w:tcPr>
            <w:tcW w:w="0" w:type="auto"/>
            <w:hideMark/>
          </w:tcPr>
          <w:p w14:paraId="0112E6C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Cash runway </w:t>
            </w:r>
            <w:r w:rsidRPr="00390868">
              <w:rPr>
                <w:rFonts w:ascii="Arial" w:hAnsi="Arial" w:cs="Arial"/>
              </w:rPr>
              <w:lastRenderedPageBreak/>
              <w:t>&lt;10 weeks</w:t>
            </w:r>
          </w:p>
        </w:tc>
      </w:tr>
      <w:tr w:rsidR="004955B0" w:rsidRPr="00390868" w14:paraId="2A871DBD"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59C86A72" w14:textId="77777777" w:rsidR="004955B0" w:rsidRPr="00390868" w:rsidRDefault="004955B0" w:rsidP="00905241">
            <w:pPr>
              <w:spacing w:after="160" w:line="360" w:lineRule="auto"/>
              <w:rPr>
                <w:rFonts w:ascii="Arial" w:hAnsi="Arial" w:cs="Arial"/>
              </w:rPr>
            </w:pPr>
            <w:r w:rsidRPr="00390868">
              <w:rPr>
                <w:rFonts w:ascii="Arial" w:hAnsi="Arial" w:cs="Arial"/>
              </w:rPr>
              <w:lastRenderedPageBreak/>
              <w:t>4</w:t>
            </w:r>
          </w:p>
        </w:tc>
        <w:tc>
          <w:tcPr>
            <w:tcW w:w="0" w:type="auto"/>
            <w:hideMark/>
          </w:tcPr>
          <w:p w14:paraId="78A8842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Workflow coordination failure (queues, rework)</w:t>
            </w:r>
          </w:p>
        </w:tc>
        <w:tc>
          <w:tcPr>
            <w:tcW w:w="0" w:type="auto"/>
            <w:hideMark/>
          </w:tcPr>
          <w:p w14:paraId="73E1FBB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3F81B28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6DA9ECC8"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2AEDA068"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CRM-enforced scheduling; SOPs</w:t>
            </w:r>
          </w:p>
        </w:tc>
        <w:tc>
          <w:tcPr>
            <w:tcW w:w="0" w:type="auto"/>
            <w:hideMark/>
          </w:tcPr>
          <w:p w14:paraId="792F710C"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Cycle-time &amp; rework KPIs</w:t>
            </w:r>
          </w:p>
        </w:tc>
        <w:tc>
          <w:tcPr>
            <w:tcW w:w="0" w:type="auto"/>
            <w:hideMark/>
          </w:tcPr>
          <w:p w14:paraId="2C10CD33"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Process redesign; bay reallocation</w:t>
            </w:r>
          </w:p>
        </w:tc>
        <w:tc>
          <w:tcPr>
            <w:tcW w:w="0" w:type="auto"/>
            <w:hideMark/>
          </w:tcPr>
          <w:p w14:paraId="1B9CF07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Ops Manager</w:t>
            </w:r>
          </w:p>
        </w:tc>
        <w:tc>
          <w:tcPr>
            <w:tcW w:w="0" w:type="auto"/>
            <w:hideMark/>
          </w:tcPr>
          <w:p w14:paraId="6EC22EB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Cycle time +20% vs plan</w:t>
            </w:r>
          </w:p>
        </w:tc>
      </w:tr>
      <w:tr w:rsidR="004955B0" w:rsidRPr="00390868" w14:paraId="482FA595"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CADDC" w14:textId="77777777" w:rsidR="004955B0" w:rsidRPr="00390868" w:rsidRDefault="004955B0" w:rsidP="00905241">
            <w:pPr>
              <w:spacing w:after="160" w:line="360" w:lineRule="auto"/>
              <w:rPr>
                <w:rFonts w:ascii="Arial" w:hAnsi="Arial" w:cs="Arial"/>
              </w:rPr>
            </w:pPr>
            <w:r w:rsidRPr="00390868">
              <w:rPr>
                <w:rFonts w:ascii="Arial" w:hAnsi="Arial" w:cs="Arial"/>
              </w:rPr>
              <w:t>5</w:t>
            </w:r>
          </w:p>
        </w:tc>
        <w:tc>
          <w:tcPr>
            <w:tcW w:w="0" w:type="auto"/>
            <w:hideMark/>
          </w:tcPr>
          <w:p w14:paraId="5BF68E5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Skills shortage or technician turnover</w:t>
            </w:r>
          </w:p>
        </w:tc>
        <w:tc>
          <w:tcPr>
            <w:tcW w:w="0" w:type="auto"/>
            <w:hideMark/>
          </w:tcPr>
          <w:p w14:paraId="1CC05D87"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1AD0D26C"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58252C8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w:t>
            </w:r>
          </w:p>
        </w:tc>
        <w:tc>
          <w:tcPr>
            <w:tcW w:w="0" w:type="auto"/>
            <w:hideMark/>
          </w:tcPr>
          <w:p w14:paraId="252B540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Cross-skilling; IMI pipeline; retention incentives</w:t>
            </w:r>
          </w:p>
        </w:tc>
        <w:tc>
          <w:tcPr>
            <w:tcW w:w="0" w:type="auto"/>
            <w:hideMark/>
          </w:tcPr>
          <w:p w14:paraId="0A4431F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Vacancy &amp; overtime monitoring</w:t>
            </w:r>
          </w:p>
        </w:tc>
        <w:tc>
          <w:tcPr>
            <w:tcW w:w="0" w:type="auto"/>
            <w:hideMark/>
          </w:tcPr>
          <w:p w14:paraId="753EAAB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Temporary contractors; wage adjustment</w:t>
            </w:r>
          </w:p>
        </w:tc>
        <w:tc>
          <w:tcPr>
            <w:tcW w:w="0" w:type="auto"/>
            <w:hideMark/>
          </w:tcPr>
          <w:p w14:paraId="00295A8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HR Lead</w:t>
            </w:r>
          </w:p>
        </w:tc>
        <w:tc>
          <w:tcPr>
            <w:tcW w:w="0" w:type="auto"/>
            <w:hideMark/>
          </w:tcPr>
          <w:p w14:paraId="4D837BC2"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Vacancy &gt;45 days</w:t>
            </w:r>
          </w:p>
        </w:tc>
      </w:tr>
      <w:tr w:rsidR="004955B0" w:rsidRPr="00390868" w14:paraId="5331ADBA"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66F020C4" w14:textId="77777777" w:rsidR="004955B0" w:rsidRPr="00390868" w:rsidRDefault="004955B0" w:rsidP="00905241">
            <w:pPr>
              <w:spacing w:after="160" w:line="360" w:lineRule="auto"/>
              <w:rPr>
                <w:rFonts w:ascii="Arial" w:hAnsi="Arial" w:cs="Arial"/>
              </w:rPr>
            </w:pPr>
            <w:r w:rsidRPr="00390868">
              <w:rPr>
                <w:rFonts w:ascii="Arial" w:hAnsi="Arial" w:cs="Arial"/>
              </w:rPr>
              <w:t>6</w:t>
            </w:r>
          </w:p>
        </w:tc>
        <w:tc>
          <w:tcPr>
            <w:tcW w:w="0" w:type="auto"/>
            <w:hideMark/>
          </w:tcPr>
          <w:p w14:paraId="2525DEA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DVSA MOT non-compliance</w:t>
            </w:r>
          </w:p>
        </w:tc>
        <w:tc>
          <w:tcPr>
            <w:tcW w:w="0" w:type="auto"/>
            <w:hideMark/>
          </w:tcPr>
          <w:p w14:paraId="38DBE2F8"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w:t>
            </w:r>
          </w:p>
        </w:tc>
        <w:tc>
          <w:tcPr>
            <w:tcW w:w="0" w:type="auto"/>
            <w:hideMark/>
          </w:tcPr>
          <w:p w14:paraId="669F1B4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w:t>
            </w:r>
          </w:p>
        </w:tc>
        <w:tc>
          <w:tcPr>
            <w:tcW w:w="0" w:type="auto"/>
            <w:hideMark/>
          </w:tcPr>
          <w:p w14:paraId="00E7900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w:t>
            </w:r>
          </w:p>
        </w:tc>
        <w:tc>
          <w:tcPr>
            <w:tcW w:w="0" w:type="auto"/>
            <w:hideMark/>
          </w:tcPr>
          <w:p w14:paraId="4E8D065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Separate MOT unit; audit-ready logs</w:t>
            </w:r>
          </w:p>
        </w:tc>
        <w:tc>
          <w:tcPr>
            <w:tcW w:w="0" w:type="auto"/>
            <w:hideMark/>
          </w:tcPr>
          <w:p w14:paraId="1339922D"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Internal compliance audits</w:t>
            </w:r>
          </w:p>
        </w:tc>
        <w:tc>
          <w:tcPr>
            <w:tcW w:w="0" w:type="auto"/>
            <w:hideMark/>
          </w:tcPr>
          <w:p w14:paraId="22A9815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Immediate corrective action; retraining</w:t>
            </w:r>
          </w:p>
        </w:tc>
        <w:tc>
          <w:tcPr>
            <w:tcW w:w="0" w:type="auto"/>
            <w:hideMark/>
          </w:tcPr>
          <w:p w14:paraId="5BD4D5C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Compliance Lead</w:t>
            </w:r>
          </w:p>
        </w:tc>
        <w:tc>
          <w:tcPr>
            <w:tcW w:w="0" w:type="auto"/>
            <w:hideMark/>
          </w:tcPr>
          <w:p w14:paraId="0F192874"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Major audit finding</w:t>
            </w:r>
          </w:p>
        </w:tc>
      </w:tr>
      <w:tr w:rsidR="004955B0" w:rsidRPr="00390868" w14:paraId="24708BE7"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E28C44" w14:textId="77777777" w:rsidR="004955B0" w:rsidRPr="00390868" w:rsidRDefault="004955B0" w:rsidP="00905241">
            <w:pPr>
              <w:spacing w:after="160" w:line="360" w:lineRule="auto"/>
              <w:rPr>
                <w:rFonts w:ascii="Arial" w:hAnsi="Arial" w:cs="Arial"/>
              </w:rPr>
            </w:pPr>
            <w:r w:rsidRPr="00390868">
              <w:rPr>
                <w:rFonts w:ascii="Arial" w:hAnsi="Arial" w:cs="Arial"/>
              </w:rPr>
              <w:t>7</w:t>
            </w:r>
          </w:p>
        </w:tc>
        <w:tc>
          <w:tcPr>
            <w:tcW w:w="0" w:type="auto"/>
            <w:hideMark/>
          </w:tcPr>
          <w:p w14:paraId="152BE26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EV / high-voltage safety incident</w:t>
            </w:r>
          </w:p>
        </w:tc>
        <w:tc>
          <w:tcPr>
            <w:tcW w:w="0" w:type="auto"/>
            <w:hideMark/>
          </w:tcPr>
          <w:p w14:paraId="4F9A1B48"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w:t>
            </w:r>
          </w:p>
        </w:tc>
        <w:tc>
          <w:tcPr>
            <w:tcW w:w="0" w:type="auto"/>
            <w:hideMark/>
          </w:tcPr>
          <w:p w14:paraId="66156F06"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w:t>
            </w:r>
          </w:p>
        </w:tc>
        <w:tc>
          <w:tcPr>
            <w:tcW w:w="0" w:type="auto"/>
            <w:hideMark/>
          </w:tcPr>
          <w:p w14:paraId="5F511929"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w:t>
            </w:r>
          </w:p>
        </w:tc>
        <w:tc>
          <w:tcPr>
            <w:tcW w:w="0" w:type="auto"/>
            <w:hideMark/>
          </w:tcPr>
          <w:p w14:paraId="453F2DE2"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HV isolation zones; certified staff only</w:t>
            </w:r>
          </w:p>
        </w:tc>
        <w:tc>
          <w:tcPr>
            <w:tcW w:w="0" w:type="auto"/>
            <w:hideMark/>
          </w:tcPr>
          <w:p w14:paraId="23D017D6"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Near-miss reporting</w:t>
            </w:r>
          </w:p>
        </w:tc>
        <w:tc>
          <w:tcPr>
            <w:tcW w:w="0" w:type="auto"/>
            <w:hideMark/>
          </w:tcPr>
          <w:p w14:paraId="012F3354"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Stop-work; incident review</w:t>
            </w:r>
          </w:p>
        </w:tc>
        <w:tc>
          <w:tcPr>
            <w:tcW w:w="0" w:type="auto"/>
            <w:hideMark/>
          </w:tcPr>
          <w:p w14:paraId="0AD0D50B"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EV Unit Lead</w:t>
            </w:r>
          </w:p>
        </w:tc>
        <w:tc>
          <w:tcPr>
            <w:tcW w:w="0" w:type="auto"/>
            <w:hideMark/>
          </w:tcPr>
          <w:p w14:paraId="0889AAF7"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Any HV near-miss</w:t>
            </w:r>
          </w:p>
        </w:tc>
      </w:tr>
      <w:tr w:rsidR="004955B0" w:rsidRPr="00390868" w14:paraId="28138E8A"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0CB3E7AA" w14:textId="77777777" w:rsidR="004955B0" w:rsidRPr="00390868" w:rsidRDefault="004955B0" w:rsidP="00905241">
            <w:pPr>
              <w:spacing w:after="160" w:line="360" w:lineRule="auto"/>
              <w:rPr>
                <w:rFonts w:ascii="Arial" w:hAnsi="Arial" w:cs="Arial"/>
              </w:rPr>
            </w:pPr>
            <w:r w:rsidRPr="00390868">
              <w:rPr>
                <w:rFonts w:ascii="Arial" w:hAnsi="Arial" w:cs="Arial"/>
              </w:rPr>
              <w:t>8</w:t>
            </w:r>
          </w:p>
        </w:tc>
        <w:tc>
          <w:tcPr>
            <w:tcW w:w="0" w:type="auto"/>
            <w:hideMark/>
          </w:tcPr>
          <w:p w14:paraId="6CCB0C35"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Environmental / waste breach</w:t>
            </w:r>
          </w:p>
        </w:tc>
        <w:tc>
          <w:tcPr>
            <w:tcW w:w="0" w:type="auto"/>
            <w:hideMark/>
          </w:tcPr>
          <w:p w14:paraId="44A02C3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4FCD7C9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1930BC2B"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7DAF69E6"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Licensed contractors; waste logs</w:t>
            </w:r>
          </w:p>
        </w:tc>
        <w:tc>
          <w:tcPr>
            <w:tcW w:w="0" w:type="auto"/>
            <w:hideMark/>
          </w:tcPr>
          <w:p w14:paraId="4D7EAA2B"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Documentation checks</w:t>
            </w:r>
          </w:p>
        </w:tc>
        <w:tc>
          <w:tcPr>
            <w:tcW w:w="0" w:type="auto"/>
            <w:hideMark/>
          </w:tcPr>
          <w:p w14:paraId="0F53192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Emergency collection; process fix</w:t>
            </w:r>
          </w:p>
        </w:tc>
        <w:tc>
          <w:tcPr>
            <w:tcW w:w="0" w:type="auto"/>
            <w:hideMark/>
          </w:tcPr>
          <w:p w14:paraId="01F8A55E"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Compliance Lead</w:t>
            </w:r>
          </w:p>
        </w:tc>
        <w:tc>
          <w:tcPr>
            <w:tcW w:w="0" w:type="auto"/>
            <w:hideMark/>
          </w:tcPr>
          <w:p w14:paraId="3AECC37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Missing compliance record</w:t>
            </w:r>
          </w:p>
        </w:tc>
      </w:tr>
      <w:tr w:rsidR="004955B0" w:rsidRPr="00390868" w14:paraId="64D90BD7"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01A9A" w14:textId="77777777" w:rsidR="004955B0" w:rsidRPr="00390868" w:rsidRDefault="004955B0" w:rsidP="00905241">
            <w:pPr>
              <w:spacing w:after="160" w:line="360" w:lineRule="auto"/>
              <w:rPr>
                <w:rFonts w:ascii="Arial" w:hAnsi="Arial" w:cs="Arial"/>
              </w:rPr>
            </w:pPr>
            <w:r w:rsidRPr="00390868">
              <w:rPr>
                <w:rFonts w:ascii="Arial" w:hAnsi="Arial" w:cs="Arial"/>
              </w:rPr>
              <w:t>9</w:t>
            </w:r>
          </w:p>
        </w:tc>
        <w:tc>
          <w:tcPr>
            <w:tcW w:w="0" w:type="auto"/>
            <w:hideMark/>
          </w:tcPr>
          <w:p w14:paraId="491950F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Supply chain disruption</w:t>
            </w:r>
          </w:p>
        </w:tc>
        <w:tc>
          <w:tcPr>
            <w:tcW w:w="0" w:type="auto"/>
            <w:hideMark/>
          </w:tcPr>
          <w:p w14:paraId="6B434D4C"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0FF94058"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68261A7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18D1AD9C"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Dual sourcing; buffer stock</w:t>
            </w:r>
          </w:p>
        </w:tc>
        <w:tc>
          <w:tcPr>
            <w:tcW w:w="0" w:type="auto"/>
            <w:hideMark/>
          </w:tcPr>
          <w:p w14:paraId="3EFDE881"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Fill-rate tracking</w:t>
            </w:r>
          </w:p>
        </w:tc>
        <w:tc>
          <w:tcPr>
            <w:tcW w:w="0" w:type="auto"/>
            <w:hideMark/>
          </w:tcPr>
          <w:p w14:paraId="2DCD647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Substitute parts; adjust lead times</w:t>
            </w:r>
          </w:p>
        </w:tc>
        <w:tc>
          <w:tcPr>
            <w:tcW w:w="0" w:type="auto"/>
            <w:hideMark/>
          </w:tcPr>
          <w:p w14:paraId="3B95287D"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Procurement</w:t>
            </w:r>
          </w:p>
        </w:tc>
        <w:tc>
          <w:tcPr>
            <w:tcW w:w="0" w:type="auto"/>
            <w:hideMark/>
          </w:tcPr>
          <w:p w14:paraId="643F20C5"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Fill rate &lt;92%</w:t>
            </w:r>
          </w:p>
        </w:tc>
      </w:tr>
      <w:tr w:rsidR="004955B0" w:rsidRPr="00390868" w14:paraId="4336301F"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75A834FB" w14:textId="77777777" w:rsidR="004955B0" w:rsidRPr="00390868" w:rsidRDefault="004955B0" w:rsidP="00905241">
            <w:pPr>
              <w:spacing w:after="160" w:line="360" w:lineRule="auto"/>
              <w:rPr>
                <w:rFonts w:ascii="Arial" w:hAnsi="Arial" w:cs="Arial"/>
              </w:rPr>
            </w:pPr>
            <w:r w:rsidRPr="00390868">
              <w:rPr>
                <w:rFonts w:ascii="Arial" w:hAnsi="Arial" w:cs="Arial"/>
              </w:rPr>
              <w:lastRenderedPageBreak/>
              <w:t>10</w:t>
            </w:r>
          </w:p>
        </w:tc>
        <w:tc>
          <w:tcPr>
            <w:tcW w:w="0" w:type="auto"/>
            <w:hideMark/>
          </w:tcPr>
          <w:p w14:paraId="5105876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Reputation / review shock</w:t>
            </w:r>
          </w:p>
        </w:tc>
        <w:tc>
          <w:tcPr>
            <w:tcW w:w="0" w:type="auto"/>
            <w:hideMark/>
          </w:tcPr>
          <w:p w14:paraId="5C277A5D"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718E31B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771694A5"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38516352"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Service transparency; complaint handling</w:t>
            </w:r>
          </w:p>
        </w:tc>
        <w:tc>
          <w:tcPr>
            <w:tcW w:w="0" w:type="auto"/>
            <w:hideMark/>
          </w:tcPr>
          <w:p w14:paraId="255C117D"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Review-score monitoring</w:t>
            </w:r>
          </w:p>
        </w:tc>
        <w:tc>
          <w:tcPr>
            <w:tcW w:w="0" w:type="auto"/>
            <w:hideMark/>
          </w:tcPr>
          <w:p w14:paraId="5817B3F0"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Service recovery escalation</w:t>
            </w:r>
          </w:p>
        </w:tc>
        <w:tc>
          <w:tcPr>
            <w:tcW w:w="0" w:type="auto"/>
            <w:hideMark/>
          </w:tcPr>
          <w:p w14:paraId="205EDBA0"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Customer Lead</w:t>
            </w:r>
          </w:p>
        </w:tc>
        <w:tc>
          <w:tcPr>
            <w:tcW w:w="0" w:type="auto"/>
            <w:hideMark/>
          </w:tcPr>
          <w:p w14:paraId="721C500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Rating &lt;4.4</w:t>
            </w:r>
          </w:p>
        </w:tc>
      </w:tr>
      <w:tr w:rsidR="004955B0" w:rsidRPr="00390868" w14:paraId="790F1F46" w14:textId="77777777" w:rsidTr="00495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E0F58C" w14:textId="77777777" w:rsidR="004955B0" w:rsidRPr="00390868" w:rsidRDefault="004955B0" w:rsidP="00905241">
            <w:pPr>
              <w:spacing w:after="160" w:line="360" w:lineRule="auto"/>
              <w:rPr>
                <w:rFonts w:ascii="Arial" w:hAnsi="Arial" w:cs="Arial"/>
              </w:rPr>
            </w:pPr>
            <w:r w:rsidRPr="00390868">
              <w:rPr>
                <w:rFonts w:ascii="Arial" w:hAnsi="Arial" w:cs="Arial"/>
              </w:rPr>
              <w:t>11</w:t>
            </w:r>
          </w:p>
        </w:tc>
        <w:tc>
          <w:tcPr>
            <w:tcW w:w="0" w:type="auto"/>
            <w:hideMark/>
          </w:tcPr>
          <w:p w14:paraId="2138BEFF"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Cyber / data breach</w:t>
            </w:r>
          </w:p>
        </w:tc>
        <w:tc>
          <w:tcPr>
            <w:tcW w:w="0" w:type="auto"/>
            <w:hideMark/>
          </w:tcPr>
          <w:p w14:paraId="19040CE3"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4B6F288C"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w:t>
            </w:r>
          </w:p>
        </w:tc>
        <w:tc>
          <w:tcPr>
            <w:tcW w:w="0" w:type="auto"/>
            <w:hideMark/>
          </w:tcPr>
          <w:p w14:paraId="027352A9"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15</w:t>
            </w:r>
          </w:p>
        </w:tc>
        <w:tc>
          <w:tcPr>
            <w:tcW w:w="0" w:type="auto"/>
            <w:hideMark/>
          </w:tcPr>
          <w:p w14:paraId="1D36E208"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Role-based access; backups; training</w:t>
            </w:r>
          </w:p>
        </w:tc>
        <w:tc>
          <w:tcPr>
            <w:tcW w:w="0" w:type="auto"/>
            <w:hideMark/>
          </w:tcPr>
          <w:p w14:paraId="5D8A0F12"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Security alerts</w:t>
            </w:r>
          </w:p>
        </w:tc>
        <w:tc>
          <w:tcPr>
            <w:tcW w:w="0" w:type="auto"/>
            <w:hideMark/>
          </w:tcPr>
          <w:p w14:paraId="1470FEEE"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Incident response; system isolation</w:t>
            </w:r>
          </w:p>
        </w:tc>
        <w:tc>
          <w:tcPr>
            <w:tcW w:w="0" w:type="auto"/>
            <w:hideMark/>
          </w:tcPr>
          <w:p w14:paraId="4DF0BEB0"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IT Lead</w:t>
            </w:r>
          </w:p>
        </w:tc>
        <w:tc>
          <w:tcPr>
            <w:tcW w:w="0" w:type="auto"/>
            <w:hideMark/>
          </w:tcPr>
          <w:p w14:paraId="27D031B1" w14:textId="77777777" w:rsidR="004955B0" w:rsidRPr="00390868" w:rsidRDefault="004955B0"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Unauthorised access</w:t>
            </w:r>
          </w:p>
        </w:tc>
      </w:tr>
      <w:tr w:rsidR="004955B0" w:rsidRPr="00390868" w14:paraId="6EF98E68" w14:textId="77777777" w:rsidTr="004955B0">
        <w:tc>
          <w:tcPr>
            <w:cnfStyle w:val="001000000000" w:firstRow="0" w:lastRow="0" w:firstColumn="1" w:lastColumn="0" w:oddVBand="0" w:evenVBand="0" w:oddHBand="0" w:evenHBand="0" w:firstRowFirstColumn="0" w:firstRowLastColumn="0" w:lastRowFirstColumn="0" w:lastRowLastColumn="0"/>
            <w:tcW w:w="0" w:type="auto"/>
            <w:hideMark/>
          </w:tcPr>
          <w:p w14:paraId="542FC7AD" w14:textId="77777777" w:rsidR="004955B0" w:rsidRPr="00390868" w:rsidRDefault="004955B0" w:rsidP="00905241">
            <w:pPr>
              <w:spacing w:after="160" w:line="360" w:lineRule="auto"/>
              <w:rPr>
                <w:rFonts w:ascii="Arial" w:hAnsi="Arial" w:cs="Arial"/>
              </w:rPr>
            </w:pPr>
            <w:r w:rsidRPr="00390868">
              <w:rPr>
                <w:rFonts w:ascii="Arial" w:hAnsi="Arial" w:cs="Arial"/>
              </w:rPr>
              <w:t>12</w:t>
            </w:r>
          </w:p>
        </w:tc>
        <w:tc>
          <w:tcPr>
            <w:tcW w:w="0" w:type="auto"/>
            <w:hideMark/>
          </w:tcPr>
          <w:p w14:paraId="480C0C71"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Theft / site security incident</w:t>
            </w:r>
          </w:p>
        </w:tc>
        <w:tc>
          <w:tcPr>
            <w:tcW w:w="0" w:type="auto"/>
            <w:hideMark/>
          </w:tcPr>
          <w:p w14:paraId="114627AA"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w:t>
            </w:r>
          </w:p>
        </w:tc>
        <w:tc>
          <w:tcPr>
            <w:tcW w:w="0" w:type="auto"/>
            <w:hideMark/>
          </w:tcPr>
          <w:p w14:paraId="4B6C6BB7"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w:t>
            </w:r>
          </w:p>
        </w:tc>
        <w:tc>
          <w:tcPr>
            <w:tcW w:w="0" w:type="auto"/>
            <w:hideMark/>
          </w:tcPr>
          <w:p w14:paraId="196D25D9"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w:t>
            </w:r>
          </w:p>
        </w:tc>
        <w:tc>
          <w:tcPr>
            <w:tcW w:w="0" w:type="auto"/>
            <w:hideMark/>
          </w:tcPr>
          <w:p w14:paraId="0B51AB8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CCTV; access control; on-site security</w:t>
            </w:r>
          </w:p>
        </w:tc>
        <w:tc>
          <w:tcPr>
            <w:tcW w:w="0" w:type="auto"/>
            <w:hideMark/>
          </w:tcPr>
          <w:p w14:paraId="572F497D"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Incident logs</w:t>
            </w:r>
          </w:p>
        </w:tc>
        <w:tc>
          <w:tcPr>
            <w:tcW w:w="0" w:type="auto"/>
            <w:hideMark/>
          </w:tcPr>
          <w:p w14:paraId="4C23379F"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Insurer protocol; security upgrade</w:t>
            </w:r>
          </w:p>
        </w:tc>
        <w:tc>
          <w:tcPr>
            <w:tcW w:w="0" w:type="auto"/>
            <w:hideMark/>
          </w:tcPr>
          <w:p w14:paraId="7E19A839"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Security Lead</w:t>
            </w:r>
          </w:p>
        </w:tc>
        <w:tc>
          <w:tcPr>
            <w:tcW w:w="0" w:type="auto"/>
            <w:hideMark/>
          </w:tcPr>
          <w:p w14:paraId="39578E44" w14:textId="77777777" w:rsidR="004955B0" w:rsidRPr="00390868" w:rsidRDefault="004955B0"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Any site breach</w:t>
            </w:r>
          </w:p>
        </w:tc>
      </w:tr>
    </w:tbl>
    <w:p w14:paraId="037F1F79" w14:textId="434F182A" w:rsidR="004955B0" w:rsidRPr="00390868" w:rsidRDefault="00BA4B59" w:rsidP="00905241">
      <w:pPr>
        <w:spacing w:line="360" w:lineRule="auto"/>
        <w:rPr>
          <w:rFonts w:ascii="Arial" w:hAnsi="Arial" w:cs="Arial"/>
        </w:rPr>
      </w:pPr>
      <w:r w:rsidRPr="00390868">
        <w:rPr>
          <w:rFonts w:ascii="Arial" w:hAnsi="Arial" w:cs="Arial"/>
          <w:i/>
          <w:iCs/>
        </w:rPr>
        <w:t xml:space="preserve">Note: </w:t>
      </w:r>
      <w:r w:rsidRPr="00390868">
        <w:rPr>
          <w:rFonts w:ascii="Arial" w:hAnsi="Arial" w:cs="Arial"/>
        </w:rPr>
        <w:t xml:space="preserve">The cash-runway trigger (&lt;10 weeks) is a conservative governance threshold, internally consistent with the £417k working-capital buffer and ~£109k monthly OpEx defined in Section 6.8, applying prudent SME liquidity management principles (Berger </w:t>
      </w:r>
      <w:r w:rsidR="008403B6" w:rsidRPr="00390868">
        <w:rPr>
          <w:rFonts w:ascii="Arial" w:hAnsi="Arial" w:cs="Arial"/>
        </w:rPr>
        <w:t>and</w:t>
      </w:r>
      <w:r w:rsidRPr="00390868">
        <w:rPr>
          <w:rFonts w:ascii="Arial" w:hAnsi="Arial" w:cs="Arial"/>
        </w:rPr>
        <w:t xml:space="preserve"> Udell, 2006).</w:t>
      </w:r>
      <w:r w:rsidR="00DE56A0" w:rsidRPr="00390868">
        <w:rPr>
          <w:rFonts w:ascii="Arial" w:hAnsi="Arial" w:cs="Arial"/>
        </w:rPr>
        <w:t xml:space="preserve"> </w:t>
      </w:r>
    </w:p>
    <w:p w14:paraId="6EADF5BE" w14:textId="349BFD47" w:rsidR="00DE56A0" w:rsidRPr="00390868" w:rsidRDefault="00DE56A0" w:rsidP="00905241">
      <w:pPr>
        <w:spacing w:line="360" w:lineRule="auto"/>
        <w:rPr>
          <w:rFonts w:ascii="Arial" w:hAnsi="Arial" w:cs="Arial"/>
        </w:rPr>
      </w:pPr>
      <w:r w:rsidRPr="00390868">
        <w:rPr>
          <w:rFonts w:ascii="Arial" w:hAnsi="Arial" w:cs="Arial"/>
        </w:rPr>
        <w:t xml:space="preserve">The liquidity thresholds and trigger-based controls discussed in this section are derived directly from the month-by-month cash-flow projections in </w:t>
      </w:r>
      <w:r w:rsidRPr="00A91680">
        <w:rPr>
          <w:rFonts w:ascii="Arial" w:hAnsi="Arial" w:cs="Arial"/>
        </w:rPr>
        <w:t>Appendix D</w:t>
      </w:r>
      <w:r w:rsidRPr="00390868">
        <w:rPr>
          <w:rFonts w:ascii="Arial" w:hAnsi="Arial" w:cs="Arial"/>
        </w:rPr>
        <w:t>, ensuring that financial risk monitoring is grounded in actual projected burn rates rather than annual averages.</w:t>
      </w:r>
    </w:p>
    <w:p w14:paraId="3EE72552" w14:textId="77777777" w:rsidR="004955B0" w:rsidRPr="00390868" w:rsidRDefault="004955B0" w:rsidP="00905241">
      <w:pPr>
        <w:pStyle w:val="Heading2"/>
        <w:spacing w:line="360" w:lineRule="auto"/>
        <w:rPr>
          <w:rFonts w:ascii="Arial" w:hAnsi="Arial" w:cs="Arial"/>
        </w:rPr>
      </w:pPr>
      <w:bookmarkStart w:id="136" w:name="_Toc218629299"/>
      <w:r w:rsidRPr="00390868">
        <w:rPr>
          <w:rFonts w:ascii="Arial" w:hAnsi="Arial" w:cs="Arial"/>
        </w:rPr>
        <w:t>9.4 Interpretation of the Risk Profile</w:t>
      </w:r>
      <w:bookmarkEnd w:id="136"/>
    </w:p>
    <w:p w14:paraId="4675C5A7" w14:textId="36D12E50" w:rsidR="00FA2BE9" w:rsidRPr="00390868" w:rsidRDefault="00FA2BE9" w:rsidP="00905241">
      <w:pPr>
        <w:spacing w:line="360" w:lineRule="auto"/>
        <w:rPr>
          <w:rFonts w:ascii="Arial" w:hAnsi="Arial" w:cs="Arial"/>
        </w:rPr>
      </w:pPr>
      <w:bookmarkStart w:id="137" w:name="_Toc218629300"/>
      <w:r w:rsidRPr="00390868">
        <w:rPr>
          <w:rStyle w:val="Heading3Char"/>
          <w:rFonts w:ascii="Arial" w:hAnsi="Arial" w:cs="Arial"/>
        </w:rPr>
        <w:t>9.4.1 Market and Revenue Risk: A Conversion Challenge</w:t>
      </w:r>
      <w:bookmarkEnd w:id="137"/>
      <w:r w:rsidRPr="00390868">
        <w:rPr>
          <w:rFonts w:ascii="Arial" w:hAnsi="Arial" w:cs="Arial"/>
        </w:rPr>
        <w:br/>
        <w:t xml:space="preserve">The market risk is fundamentally conversion-based, not demand-based. Underlying demand is anchored in non-discretionary, recurrent MOT testing and maintenance driven by an ageing vehicle parc (DfT, 2024). The strategic downside, therefore, arises not from a lack of need, but from failure to convert site visits into bundled service work and secure repeat utilisation. This reframing materially reduces the venture’s strategic exposure compared to discretionary consumer models. The embedded controls—using the MOT as a perpetual acquisition funnel and competing on integrated convenience rather than price alone—leverage the theory of switching costs and customer effort reduction, which are proven drivers of retention in service settings (Gupta </w:t>
      </w:r>
      <w:r w:rsidR="00F21D10" w:rsidRPr="00390868">
        <w:rPr>
          <w:rFonts w:ascii="Arial" w:hAnsi="Arial" w:cs="Arial"/>
        </w:rPr>
        <w:t>and</w:t>
      </w:r>
      <w:r w:rsidRPr="00390868">
        <w:rPr>
          <w:rFonts w:ascii="Arial" w:hAnsi="Arial" w:cs="Arial"/>
        </w:rPr>
        <w:t xml:space="preserve"> Zeithaml, 2006).</w:t>
      </w:r>
    </w:p>
    <w:p w14:paraId="2F2C5F00" w14:textId="0298EF4C" w:rsidR="00FA2BE9" w:rsidRPr="00390868" w:rsidRDefault="00FA2BE9" w:rsidP="00905241">
      <w:pPr>
        <w:spacing w:line="360" w:lineRule="auto"/>
        <w:rPr>
          <w:rFonts w:ascii="Arial" w:hAnsi="Arial" w:cs="Arial"/>
        </w:rPr>
      </w:pPr>
      <w:bookmarkStart w:id="138" w:name="_Toc218629301"/>
      <w:r w:rsidRPr="00390868">
        <w:rPr>
          <w:rStyle w:val="Heading3Char"/>
          <w:rFonts w:ascii="Arial" w:hAnsi="Arial" w:cs="Arial"/>
        </w:rPr>
        <w:lastRenderedPageBreak/>
        <w:t>9.4.2 Execution Complexity: The Systemic Risk of Integration</w:t>
      </w:r>
      <w:bookmarkEnd w:id="138"/>
      <w:r w:rsidRPr="00390868">
        <w:rPr>
          <w:rFonts w:ascii="Arial" w:hAnsi="Arial" w:cs="Arial"/>
        </w:rPr>
        <w:br/>
        <w:t xml:space="preserve">The eight-unit estate introduces significant coordination risk, wherein bottlenecks in one unit (e.g., diagnostics) cascade, delaying downstream services (e.g., MOT, tyres) and breaking the ‘one-visit’ promise. This is a classic systemic operational risk inherent in complex, interdependent service systems (Fitzsimmons </w:t>
      </w:r>
      <w:r w:rsidR="00F21D10" w:rsidRPr="00390868">
        <w:rPr>
          <w:rFonts w:ascii="Arial" w:hAnsi="Arial" w:cs="Arial"/>
        </w:rPr>
        <w:t xml:space="preserve">and </w:t>
      </w:r>
      <w:r w:rsidRPr="00390868">
        <w:rPr>
          <w:rFonts w:ascii="Arial" w:hAnsi="Arial" w:cs="Arial"/>
        </w:rPr>
        <w:t>Fitzsimmons, 2018). The primary mitigation is the rigor of the designed system itself. The mandated central CRM/WMS acts as the operational central nervous system, enforcing workflow rules and providing real-time visibility. This aligns with service operations management theory, which posits that in complex environments, resilience is derived from formalised processes and integrated information systems, not merely skilled labour (Johnston et al., 2012).</w:t>
      </w:r>
    </w:p>
    <w:p w14:paraId="544559D7" w14:textId="5F92372C" w:rsidR="00FA2BE9" w:rsidRPr="00390868" w:rsidRDefault="00FA2BE9" w:rsidP="00905241">
      <w:pPr>
        <w:spacing w:line="360" w:lineRule="auto"/>
        <w:rPr>
          <w:rFonts w:ascii="Arial" w:hAnsi="Arial" w:cs="Arial"/>
        </w:rPr>
      </w:pPr>
      <w:bookmarkStart w:id="139" w:name="_Toc218629302"/>
      <w:r w:rsidRPr="00390868">
        <w:rPr>
          <w:rStyle w:val="Heading3Char"/>
          <w:rFonts w:ascii="Arial" w:hAnsi="Arial" w:cs="Arial"/>
        </w:rPr>
        <w:t>9.4.3 Financial and Liquidity Risk: A Front-Loaded Exposure</w:t>
      </w:r>
      <w:bookmarkEnd w:id="139"/>
      <w:r w:rsidRPr="00390868">
        <w:rPr>
          <w:rFonts w:ascii="Arial" w:hAnsi="Arial" w:cs="Arial"/>
        </w:rPr>
        <w:br/>
        <w:t xml:space="preserve">Financial risk is highly front-loaded, concentrated in the pre-revenue and early ramp-up phases (Months 1-18). The high fixed-cost base creates acute sensitivity to utilisation rates before the break-even point. This illiquidity risk is typical of capital-intensive start-ups (Berger </w:t>
      </w:r>
      <w:r w:rsidR="00F21D10" w:rsidRPr="00390868">
        <w:rPr>
          <w:rFonts w:ascii="Arial" w:hAnsi="Arial" w:cs="Arial"/>
        </w:rPr>
        <w:t>and</w:t>
      </w:r>
      <w:r w:rsidRPr="00390868">
        <w:rPr>
          <w:rFonts w:ascii="Arial" w:hAnsi="Arial" w:cs="Arial"/>
        </w:rPr>
        <w:t xml:space="preserve"> Udell, 2006). However, the exposure is explicitly engineered to be manageable. The £417k working capital buffer provides a calculated absorptive capacity. Furthermore, the phased activation of services and staffing functions as a strategic real option, deferring irreversible cost commitments until performance signals (utilisation KPIs) validate the next stage of investment. This embodies a dynamic capability to reconfigure resource deployment in response to unfolding market feedback (Teece, 2007).</w:t>
      </w:r>
    </w:p>
    <w:p w14:paraId="03947AF4" w14:textId="286DD508" w:rsidR="00FA2BE9" w:rsidRPr="00390868" w:rsidRDefault="00FA2BE9" w:rsidP="00905241">
      <w:pPr>
        <w:spacing w:line="360" w:lineRule="auto"/>
        <w:rPr>
          <w:rFonts w:ascii="Arial" w:hAnsi="Arial" w:cs="Arial"/>
        </w:rPr>
      </w:pPr>
      <w:bookmarkStart w:id="140" w:name="_Toc218629303"/>
      <w:r w:rsidRPr="00390868">
        <w:rPr>
          <w:rStyle w:val="Heading3Char"/>
          <w:rFonts w:ascii="Arial" w:hAnsi="Arial" w:cs="Arial"/>
        </w:rPr>
        <w:t>9.4.4 Human Capital Risk: Transforming Scarcity into Capability</w:t>
      </w:r>
      <w:bookmarkEnd w:id="140"/>
      <w:r w:rsidRPr="00390868">
        <w:rPr>
          <w:rFonts w:ascii="Arial" w:hAnsi="Arial" w:cs="Arial"/>
        </w:rPr>
        <w:br/>
        <w:t xml:space="preserve">The sector-wide skills shortage, particularly for EV and diagnostic technicians (IMI, 2024), poses a structural, not cyclical, threat. A conventional ‘buy’ strategy would expose the venture to crippling wage inflation and recruitment failure. The response is a deliberate ‘build-not-buy’ strategic human resource management approach (Boxall </w:t>
      </w:r>
      <w:r w:rsidR="00F21D10" w:rsidRPr="00390868">
        <w:rPr>
          <w:rFonts w:ascii="Arial" w:hAnsi="Arial" w:cs="Arial"/>
        </w:rPr>
        <w:t>and</w:t>
      </w:r>
      <w:r w:rsidRPr="00390868">
        <w:rPr>
          <w:rFonts w:ascii="Arial" w:hAnsi="Arial" w:cs="Arial"/>
        </w:rPr>
        <w:t xml:space="preserve"> Purcell, 2016). By investing in cross-skilling core technicians and developing an internal IMI-certified training pipeline, 1 STATION Ltd aims to develop firm-specific human capital. This not only mitigates the immediate scarcity risk but also creates a valuable, difficult-to-imitate internal resource that enhances retention and operational flexibility, transforming a market vulnerability into a sustainable competitive advantage (Barney, 1991).</w:t>
      </w:r>
    </w:p>
    <w:p w14:paraId="723DA10E" w14:textId="77777777" w:rsidR="00FA2BE9" w:rsidRPr="00390868" w:rsidRDefault="00FA2BE9" w:rsidP="00905241">
      <w:pPr>
        <w:spacing w:line="360" w:lineRule="auto"/>
        <w:rPr>
          <w:rFonts w:ascii="Arial" w:hAnsi="Arial" w:cs="Arial"/>
        </w:rPr>
      </w:pPr>
      <w:bookmarkStart w:id="141" w:name="_Toc218629304"/>
      <w:r w:rsidRPr="00390868">
        <w:rPr>
          <w:rStyle w:val="Heading3Char"/>
          <w:rFonts w:ascii="Arial" w:hAnsi="Arial" w:cs="Arial"/>
        </w:rPr>
        <w:t>9.4.5 Regulatory and Compliance Risk: Designed-In Conformance</w:t>
      </w:r>
      <w:bookmarkEnd w:id="141"/>
      <w:r w:rsidRPr="00390868">
        <w:rPr>
          <w:rFonts w:ascii="Arial" w:hAnsi="Arial" w:cs="Arial"/>
        </w:rPr>
        <w:br/>
        <w:t xml:space="preserve">In a heavily regulated environment, non-compliance risk is elevated for informal operators. For 1 STATION Ltd, this risk is materially reduced through design-led regulation. Physical segregation of the MOT lane, EV isolation zones, and dedicated wash drainage are not </w:t>
      </w:r>
      <w:r w:rsidRPr="00390868">
        <w:rPr>
          <w:rFonts w:ascii="Arial" w:hAnsi="Arial" w:cs="Arial"/>
        </w:rPr>
        <w:lastRenderedPageBreak/>
        <w:t>afterthoughts but foundational design principles. This approach ‘designs in’ conformance from inception, significantly lowering the probability of enforcement action. The ongoing governance requirement is the maintenance of audit-ready documentation and procedural discipline, ensuring that the designed controls are consistently enacted (HSE, 2023).</w:t>
      </w:r>
    </w:p>
    <w:p w14:paraId="41587BB0" w14:textId="77777777" w:rsidR="00FA2BE9" w:rsidRPr="00390868" w:rsidRDefault="00FA2BE9" w:rsidP="00905241">
      <w:pPr>
        <w:pStyle w:val="Heading2"/>
        <w:spacing w:line="360" w:lineRule="auto"/>
        <w:rPr>
          <w:rFonts w:ascii="Arial" w:hAnsi="Arial" w:cs="Arial"/>
        </w:rPr>
      </w:pPr>
      <w:bookmarkStart w:id="142" w:name="_Toc218629305"/>
      <w:r w:rsidRPr="00390868">
        <w:rPr>
          <w:rFonts w:ascii="Arial" w:hAnsi="Arial" w:cs="Arial"/>
        </w:rPr>
        <w:t>9.5 Overall Risk Posture and Strategic Governance</w:t>
      </w:r>
      <w:bookmarkEnd w:id="142"/>
    </w:p>
    <w:p w14:paraId="7A8DF476" w14:textId="731315E0" w:rsidR="00FA2BE9" w:rsidRPr="00390868" w:rsidRDefault="00FA2BE9" w:rsidP="00905241">
      <w:pPr>
        <w:spacing w:line="360" w:lineRule="auto"/>
        <w:rPr>
          <w:rFonts w:ascii="Arial" w:hAnsi="Arial" w:cs="Arial"/>
        </w:rPr>
      </w:pPr>
      <w:r w:rsidRPr="00390868">
        <w:rPr>
          <w:rFonts w:ascii="Arial" w:hAnsi="Arial" w:cs="Arial"/>
        </w:rPr>
        <w:t xml:space="preserve">Synthesising the analysis, the aggregate risk profile of 1 STATION Ltd is characterised by high initial severity but high controllability. The most significant threats—liquidity drain and under-utilisation—are concentrated in the first 24 months and are precisely the focus of the phased execution and financial buffers detailed in Sections 6 and 8. Crucially, the majority of identified risks are endogenous; they are shaped by management decisions regarding spending, hiring, sequencing, and system enforcement, rather than by unpredictable external shocks (Mikes </w:t>
      </w:r>
      <w:r w:rsidR="00F21D10" w:rsidRPr="00390868">
        <w:rPr>
          <w:rFonts w:ascii="Arial" w:hAnsi="Arial" w:cs="Arial"/>
        </w:rPr>
        <w:t>and</w:t>
      </w:r>
      <w:r w:rsidRPr="00390868">
        <w:rPr>
          <w:rFonts w:ascii="Arial" w:hAnsi="Arial" w:cs="Arial"/>
        </w:rPr>
        <w:t xml:space="preserve"> Kaplan, 2014).</w:t>
      </w:r>
    </w:p>
    <w:p w14:paraId="32E857CB" w14:textId="77777777" w:rsidR="00FA2BE9" w:rsidRPr="00390868" w:rsidRDefault="00FA2BE9" w:rsidP="00905241">
      <w:pPr>
        <w:spacing w:line="360" w:lineRule="auto"/>
        <w:rPr>
          <w:rFonts w:ascii="Arial" w:hAnsi="Arial" w:cs="Arial"/>
        </w:rPr>
      </w:pPr>
      <w:r w:rsidRPr="00390868">
        <w:rPr>
          <w:rFonts w:ascii="Arial" w:hAnsi="Arial" w:cs="Arial"/>
        </w:rPr>
        <w:t>Therefore, the ultimate risk mitigation is executional discipline. Governance will be trigger-based, using the KPIs defined in Tables 9.1 and 9.2 as early-warning indicators. A formal rhythm of weekly operational reviews and monthly financial/compliance reviews will ensure proactive management. The self-imposed five-year single-site constraint stands as the ultimate strategic control, preventing the compounding of execution risks through premature geographical expansion. By embedding risk control into the very design, sequencing, and governance triggers of the venture, the project demonstrates a sophisticated capacity to transform inherent sector vulnerabilities into a structured, monitored, and executable rollout strategy.</w:t>
      </w:r>
    </w:p>
    <w:p w14:paraId="7D2792DD" w14:textId="77777777" w:rsidR="006935BF" w:rsidRPr="00390868" w:rsidRDefault="006935BF" w:rsidP="00905241">
      <w:pPr>
        <w:pStyle w:val="Heading1"/>
        <w:spacing w:line="360" w:lineRule="auto"/>
        <w:rPr>
          <w:rFonts w:ascii="Arial" w:hAnsi="Arial" w:cs="Arial"/>
        </w:rPr>
      </w:pPr>
      <w:bookmarkStart w:id="143" w:name="_Toc218629306"/>
      <w:r w:rsidRPr="00390868">
        <w:rPr>
          <w:rFonts w:ascii="Arial" w:hAnsi="Arial" w:cs="Arial"/>
        </w:rPr>
        <w:t>10. Implementation Plan</w:t>
      </w:r>
      <w:bookmarkEnd w:id="143"/>
    </w:p>
    <w:p w14:paraId="723A1920" w14:textId="77777777" w:rsidR="006935BF" w:rsidRPr="00390868" w:rsidRDefault="006935BF" w:rsidP="00905241">
      <w:pPr>
        <w:spacing w:line="360" w:lineRule="auto"/>
        <w:rPr>
          <w:rFonts w:ascii="Arial" w:hAnsi="Arial" w:cs="Arial"/>
        </w:rPr>
      </w:pPr>
      <w:r w:rsidRPr="00390868">
        <w:rPr>
          <w:rFonts w:ascii="Arial" w:hAnsi="Arial" w:cs="Arial"/>
        </w:rPr>
        <w:t>This section translates the strategic, operational, and financial design of 1 STATION Ltd into a structured, time-bound execution programme. The implementation plan is deliberately regulatory-first, capacity-gated, and control-driven, reflecting the capital intensity, compliance sensitivity, and multi-unit complexity of an integrated automotive service estate (Hopkin, 2018).</w:t>
      </w:r>
    </w:p>
    <w:p w14:paraId="39E2CFBF" w14:textId="77777777" w:rsidR="006935BF" w:rsidRPr="00390868" w:rsidRDefault="006935BF" w:rsidP="00905241">
      <w:pPr>
        <w:spacing w:line="360" w:lineRule="auto"/>
        <w:rPr>
          <w:rFonts w:ascii="Arial" w:hAnsi="Arial" w:cs="Arial"/>
        </w:rPr>
      </w:pPr>
      <w:r w:rsidRPr="00390868">
        <w:rPr>
          <w:rFonts w:ascii="Arial" w:hAnsi="Arial" w:cs="Arial"/>
        </w:rPr>
        <w:t xml:space="preserve">Rather than treating launch as a single event, implementation is structured as a stage-gated execution process, where progression between phases is permitted only when predefined regulatory, operational, and financial thresholds are met. This approach draws explicitly on Stage-Gate methodology for managing execution risk in complex ventures (Cooper, 2023), </w:t>
      </w:r>
      <w:r w:rsidRPr="00390868">
        <w:rPr>
          <w:rFonts w:ascii="Arial" w:hAnsi="Arial" w:cs="Arial"/>
        </w:rPr>
        <w:lastRenderedPageBreak/>
        <w:t>combined with lean and MVP principles to validate operational assumptions before full-scale deployment.</w:t>
      </w:r>
    </w:p>
    <w:p w14:paraId="746C2820" w14:textId="4288E800" w:rsidR="006935BF" w:rsidRPr="00390868" w:rsidRDefault="006935BF" w:rsidP="00905241">
      <w:pPr>
        <w:spacing w:line="360" w:lineRule="auto"/>
        <w:rPr>
          <w:rFonts w:ascii="Arial" w:hAnsi="Arial" w:cs="Arial"/>
        </w:rPr>
      </w:pPr>
      <w:r w:rsidRPr="00390868">
        <w:rPr>
          <w:rFonts w:ascii="Arial" w:hAnsi="Arial" w:cs="Arial"/>
        </w:rPr>
        <w:t>Accordingly, scale is released only when regulatory readiness, operational stability, and cash-flow tolerance are demonstrably secure.</w:t>
      </w:r>
    </w:p>
    <w:p w14:paraId="744C3B66" w14:textId="77777777" w:rsidR="006935BF" w:rsidRPr="00390868" w:rsidRDefault="006935BF" w:rsidP="00905241">
      <w:pPr>
        <w:pStyle w:val="Heading2"/>
        <w:spacing w:line="360" w:lineRule="auto"/>
        <w:rPr>
          <w:rFonts w:ascii="Arial" w:hAnsi="Arial" w:cs="Arial"/>
        </w:rPr>
      </w:pPr>
      <w:bookmarkStart w:id="144" w:name="_Toc218629307"/>
      <w:r w:rsidRPr="00390868">
        <w:rPr>
          <w:rFonts w:ascii="Arial" w:hAnsi="Arial" w:cs="Arial"/>
        </w:rPr>
        <w:t>10.1 Implementation Philosophy and Sequencing Logic</w:t>
      </w:r>
      <w:bookmarkEnd w:id="144"/>
    </w:p>
    <w:p w14:paraId="2B8FA7ED" w14:textId="77777777" w:rsidR="006935BF" w:rsidRPr="00390868" w:rsidRDefault="006935BF" w:rsidP="00905241">
      <w:pPr>
        <w:spacing w:line="360" w:lineRule="auto"/>
        <w:rPr>
          <w:rFonts w:ascii="Arial" w:hAnsi="Arial" w:cs="Arial"/>
        </w:rPr>
      </w:pPr>
      <w:r w:rsidRPr="00390868">
        <w:rPr>
          <w:rFonts w:ascii="Arial" w:hAnsi="Arial" w:cs="Arial"/>
        </w:rPr>
        <w:t>The implementation strategy is governed by three core principles.</w:t>
      </w:r>
    </w:p>
    <w:p w14:paraId="4129E9EB" w14:textId="77777777" w:rsidR="006935BF" w:rsidRPr="00390868" w:rsidRDefault="006935BF" w:rsidP="00905241">
      <w:pPr>
        <w:spacing w:line="360" w:lineRule="auto"/>
        <w:rPr>
          <w:rFonts w:ascii="Arial" w:hAnsi="Arial" w:cs="Arial"/>
        </w:rPr>
      </w:pPr>
      <w:r w:rsidRPr="00390868">
        <w:rPr>
          <w:rFonts w:ascii="Arial" w:hAnsi="Arial" w:cs="Arial"/>
        </w:rPr>
        <w:t>First, regulatory compliance precedes revenue optimisation.</w:t>
      </w:r>
      <w:r w:rsidRPr="00390868">
        <w:rPr>
          <w:rFonts w:ascii="Arial" w:hAnsi="Arial" w:cs="Arial"/>
        </w:rPr>
        <w:br/>
        <w:t>DVSA approval for MOT testing, HSE sign-off for EV operations, and environmental compliance for wash, paint, and waste handling are treated as non-negotiable gating conditions. No service unit is activated commercially until its regulatory status is formally secured. This reflects best practice in compliance-heavy operating environments, where premature trading materially increases legal, financial, and reputational risk (Hopkin, 2018).</w:t>
      </w:r>
    </w:p>
    <w:p w14:paraId="7FFFA666" w14:textId="77777777" w:rsidR="006935BF" w:rsidRPr="00390868" w:rsidRDefault="006935BF" w:rsidP="00905241">
      <w:pPr>
        <w:spacing w:line="360" w:lineRule="auto"/>
        <w:rPr>
          <w:rFonts w:ascii="Arial" w:hAnsi="Arial" w:cs="Arial"/>
        </w:rPr>
      </w:pPr>
      <w:r w:rsidRPr="00390868">
        <w:rPr>
          <w:rFonts w:ascii="Arial" w:hAnsi="Arial" w:cs="Arial"/>
        </w:rPr>
        <w:t>Second, capacity is released progressively rather than deployed in full at launch.</w:t>
      </w:r>
      <w:r w:rsidRPr="00390868">
        <w:rPr>
          <w:rFonts w:ascii="Arial" w:hAnsi="Arial" w:cs="Arial"/>
        </w:rPr>
        <w:br/>
        <w:t>Service units, staffing levels, and marketing intensity are activated in stages, directly linked to utilisation and liquidity thresholds, rather than fixed calendar dates. This sequencing aligns with Minimum Viable Product (MVP) logic, whereby a core service configuration is used to validate workflows, pricing logic, and customer behaviour before broader expansion (Mullenweg and Ries, 2023). This principle is fully consistent with the break-even and cash-flow controls established in Section 8.</w:t>
      </w:r>
    </w:p>
    <w:p w14:paraId="3B61346B" w14:textId="03209CEB" w:rsidR="006935BF" w:rsidRPr="00390868" w:rsidRDefault="006935BF" w:rsidP="00905241">
      <w:pPr>
        <w:spacing w:line="360" w:lineRule="auto"/>
        <w:rPr>
          <w:rFonts w:ascii="Arial" w:hAnsi="Arial" w:cs="Arial"/>
        </w:rPr>
      </w:pPr>
      <w:r w:rsidRPr="00390868">
        <w:rPr>
          <w:rFonts w:ascii="Arial" w:hAnsi="Arial" w:cs="Arial"/>
        </w:rPr>
        <w:t>Third, control visibility is prioritised over speed.</w:t>
      </w:r>
      <w:r w:rsidRPr="00390868">
        <w:rPr>
          <w:rFonts w:ascii="Arial" w:hAnsi="Arial" w:cs="Arial"/>
        </w:rPr>
        <w:br/>
        <w:t>Digital system integrity, workflow stability, and margin discipline are treated as prerequisites for growth. This reflects lean operations theory, which emphasises process stability and waste elimination before scaling (Slack et al., 2022), and responds directly to evidence that premature scale is a primary driver of early failure in complex service operations.</w:t>
      </w:r>
    </w:p>
    <w:p w14:paraId="1B24BFBF" w14:textId="77777777" w:rsidR="006935BF" w:rsidRPr="00390868" w:rsidRDefault="006935BF" w:rsidP="00905241">
      <w:pPr>
        <w:pStyle w:val="Heading2"/>
        <w:spacing w:line="360" w:lineRule="auto"/>
        <w:rPr>
          <w:rFonts w:ascii="Arial" w:hAnsi="Arial" w:cs="Arial"/>
        </w:rPr>
      </w:pPr>
      <w:bookmarkStart w:id="145" w:name="_Toc218629308"/>
      <w:r w:rsidRPr="00390868">
        <w:rPr>
          <w:rFonts w:ascii="Arial" w:hAnsi="Arial" w:cs="Arial"/>
        </w:rPr>
        <w:t>10.2 Phased Implementation Structure</w:t>
      </w:r>
      <w:bookmarkEnd w:id="145"/>
    </w:p>
    <w:p w14:paraId="0C9E77F2" w14:textId="48DF141A" w:rsidR="006935BF" w:rsidRPr="00390868" w:rsidRDefault="006935BF" w:rsidP="00905241">
      <w:pPr>
        <w:spacing w:line="360" w:lineRule="auto"/>
        <w:rPr>
          <w:rFonts w:ascii="Arial" w:hAnsi="Arial" w:cs="Arial"/>
        </w:rPr>
      </w:pPr>
      <w:r w:rsidRPr="00390868">
        <w:rPr>
          <w:rFonts w:ascii="Arial" w:hAnsi="Arial" w:cs="Arial"/>
        </w:rPr>
        <w:t>Implementation is structured across three primary phases, summarised visually in Appendix G (Implementation Roadmap). Each phase has a distinct objective, resource profile, and set of decision gates.</w:t>
      </w:r>
    </w:p>
    <w:p w14:paraId="366C2A4C" w14:textId="77777777" w:rsidR="006935BF" w:rsidRPr="00390868" w:rsidRDefault="006935BF" w:rsidP="00905241">
      <w:pPr>
        <w:spacing w:line="360" w:lineRule="auto"/>
        <w:rPr>
          <w:rFonts w:ascii="Arial" w:hAnsi="Arial" w:cs="Arial"/>
          <w:b/>
          <w:bCs/>
        </w:rPr>
      </w:pPr>
      <w:r w:rsidRPr="00390868">
        <w:rPr>
          <w:rFonts w:ascii="Arial" w:hAnsi="Arial" w:cs="Arial"/>
          <w:b/>
          <w:bCs/>
        </w:rPr>
        <w:t>Phase 1: Pre-Operational Setup and Regulatory Readiness (Months 1–6)</w:t>
      </w:r>
    </w:p>
    <w:p w14:paraId="6E9F85F7" w14:textId="77777777" w:rsidR="006935BF" w:rsidRPr="00390868" w:rsidRDefault="006935BF" w:rsidP="00905241">
      <w:pPr>
        <w:spacing w:line="360" w:lineRule="auto"/>
        <w:rPr>
          <w:rFonts w:ascii="Arial" w:hAnsi="Arial" w:cs="Arial"/>
        </w:rPr>
      </w:pPr>
      <w:r w:rsidRPr="00390868">
        <w:rPr>
          <w:rFonts w:ascii="Arial" w:hAnsi="Arial" w:cs="Arial"/>
          <w:b/>
          <w:bCs/>
        </w:rPr>
        <w:t>Objective:</w:t>
      </w:r>
      <w:r w:rsidRPr="00390868">
        <w:rPr>
          <w:rFonts w:ascii="Arial" w:hAnsi="Arial" w:cs="Arial"/>
        </w:rPr>
        <w:br/>
        <w:t>To establish a fully compliant, test-ready estate without exposing the business to premature revenue risk or uncontrolled cash burn.</w:t>
      </w:r>
    </w:p>
    <w:p w14:paraId="78E34532" w14:textId="77777777" w:rsidR="006935BF" w:rsidRPr="00390868" w:rsidRDefault="006935BF" w:rsidP="00905241">
      <w:pPr>
        <w:spacing w:line="360" w:lineRule="auto"/>
        <w:rPr>
          <w:rFonts w:ascii="Arial" w:hAnsi="Arial" w:cs="Arial"/>
        </w:rPr>
      </w:pPr>
      <w:r w:rsidRPr="00390868">
        <w:rPr>
          <w:rFonts w:ascii="Arial" w:hAnsi="Arial" w:cs="Arial"/>
          <w:b/>
          <w:bCs/>
        </w:rPr>
        <w:lastRenderedPageBreak/>
        <w:t>Key Activities:</w:t>
      </w:r>
    </w:p>
    <w:p w14:paraId="41E281BB"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Site acquisition and estate fit-out aligned with the layout defined in Section 6.2</w:t>
      </w:r>
    </w:p>
    <w:p w14:paraId="2997B26F"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Installation and calibration of MOT, diagnostic, and EV equipment</w:t>
      </w:r>
    </w:p>
    <w:p w14:paraId="3BA51B73"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Submission and management of DVSA MOT approval</w:t>
      </w:r>
    </w:p>
    <w:p w14:paraId="481ADD6C"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HSE inspection and certification for high-voltage EV infrastructure</w:t>
      </w:r>
    </w:p>
    <w:p w14:paraId="49AD5F7C"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Environmental permitting for waste, wash runoff, and paint operations</w:t>
      </w:r>
    </w:p>
    <w:p w14:paraId="1B34FD6D"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Recruitment of core management and compliance personnel</w:t>
      </w:r>
    </w:p>
    <w:p w14:paraId="5AEB0F38" w14:textId="77777777" w:rsidR="006935BF" w:rsidRPr="00390868" w:rsidRDefault="006935BF" w:rsidP="00905241">
      <w:pPr>
        <w:numPr>
          <w:ilvl w:val="0"/>
          <w:numId w:val="49"/>
        </w:numPr>
        <w:spacing w:line="360" w:lineRule="auto"/>
        <w:rPr>
          <w:rFonts w:ascii="Arial" w:hAnsi="Arial" w:cs="Arial"/>
        </w:rPr>
      </w:pPr>
      <w:r w:rsidRPr="00390868">
        <w:rPr>
          <w:rFonts w:ascii="Arial" w:hAnsi="Arial" w:cs="Arial"/>
        </w:rPr>
        <w:t>Configuration and testing of CRM, booking, and workshop management systems</w:t>
      </w:r>
    </w:p>
    <w:p w14:paraId="06B3C245" w14:textId="77777777" w:rsidR="006935BF" w:rsidRPr="00390868" w:rsidRDefault="006935BF" w:rsidP="00905241">
      <w:pPr>
        <w:spacing w:line="360" w:lineRule="auto"/>
        <w:rPr>
          <w:rFonts w:ascii="Arial" w:hAnsi="Arial" w:cs="Arial"/>
        </w:rPr>
      </w:pPr>
      <w:r w:rsidRPr="00390868">
        <w:rPr>
          <w:rFonts w:ascii="Arial" w:hAnsi="Arial" w:cs="Arial"/>
          <w:b/>
          <w:bCs/>
        </w:rPr>
        <w:t>Phase-Specific Resource Focus:</w:t>
      </w:r>
      <w:r w:rsidRPr="00390868">
        <w:rPr>
          <w:rFonts w:ascii="Arial" w:hAnsi="Arial" w:cs="Arial"/>
        </w:rPr>
        <w:br/>
        <w:t>Phase 1 absorbs approximately 70% of total upfront CapEx, consistent with the capital profile outlined in Section 8. Internal staffing is deliberately capped (≤5 FTE) to control pre-revenue burn. The founder’s role is predominantly external, focused on regulator engagement, landlord negotiations, and critical supplier contracts.</w:t>
      </w:r>
    </w:p>
    <w:p w14:paraId="39308C43" w14:textId="77777777" w:rsidR="006935BF" w:rsidRPr="00390868" w:rsidRDefault="006935BF" w:rsidP="00905241">
      <w:pPr>
        <w:spacing w:line="360" w:lineRule="auto"/>
        <w:rPr>
          <w:rFonts w:ascii="Arial" w:hAnsi="Arial" w:cs="Arial"/>
        </w:rPr>
      </w:pPr>
      <w:r w:rsidRPr="00390868">
        <w:rPr>
          <w:rFonts w:ascii="Arial" w:hAnsi="Arial" w:cs="Arial"/>
          <w:b/>
          <w:bCs/>
        </w:rPr>
        <w:t>Success Criteria (Control Gates):</w:t>
      </w:r>
    </w:p>
    <w:p w14:paraId="1681ACDA" w14:textId="77777777" w:rsidR="006935BF" w:rsidRPr="00390868" w:rsidRDefault="006935BF" w:rsidP="00905241">
      <w:pPr>
        <w:numPr>
          <w:ilvl w:val="0"/>
          <w:numId w:val="50"/>
        </w:numPr>
        <w:spacing w:line="360" w:lineRule="auto"/>
        <w:rPr>
          <w:rFonts w:ascii="Arial" w:hAnsi="Arial" w:cs="Arial"/>
        </w:rPr>
      </w:pPr>
      <w:r w:rsidRPr="00390868">
        <w:rPr>
          <w:rFonts w:ascii="Arial" w:hAnsi="Arial" w:cs="Arial"/>
        </w:rPr>
        <w:t>DVSA MOT approval confirmed in writing</w:t>
      </w:r>
    </w:p>
    <w:p w14:paraId="07D0D7C1" w14:textId="77777777" w:rsidR="006935BF" w:rsidRPr="00390868" w:rsidRDefault="006935BF" w:rsidP="00905241">
      <w:pPr>
        <w:numPr>
          <w:ilvl w:val="0"/>
          <w:numId w:val="50"/>
        </w:numPr>
        <w:spacing w:line="360" w:lineRule="auto"/>
        <w:rPr>
          <w:rFonts w:ascii="Arial" w:hAnsi="Arial" w:cs="Arial"/>
        </w:rPr>
      </w:pPr>
      <w:r w:rsidRPr="00390868">
        <w:rPr>
          <w:rFonts w:ascii="Arial" w:hAnsi="Arial" w:cs="Arial"/>
        </w:rPr>
        <w:t>HSE sign-off obtained for EV bay operation</w:t>
      </w:r>
    </w:p>
    <w:p w14:paraId="71F1AF32" w14:textId="77777777" w:rsidR="006935BF" w:rsidRPr="00390868" w:rsidRDefault="006935BF" w:rsidP="00905241">
      <w:pPr>
        <w:numPr>
          <w:ilvl w:val="0"/>
          <w:numId w:val="50"/>
        </w:numPr>
        <w:spacing w:line="360" w:lineRule="auto"/>
        <w:rPr>
          <w:rFonts w:ascii="Arial" w:hAnsi="Arial" w:cs="Arial"/>
        </w:rPr>
      </w:pPr>
      <w:r w:rsidRPr="00390868">
        <w:rPr>
          <w:rFonts w:ascii="Arial" w:hAnsi="Arial" w:cs="Arial"/>
        </w:rPr>
        <w:t>100% equipment calibration certificates in place</w:t>
      </w:r>
    </w:p>
    <w:p w14:paraId="5FDB182F" w14:textId="77777777" w:rsidR="006935BF" w:rsidRPr="00390868" w:rsidRDefault="006935BF" w:rsidP="00905241">
      <w:pPr>
        <w:numPr>
          <w:ilvl w:val="0"/>
          <w:numId w:val="50"/>
        </w:numPr>
        <w:spacing w:line="360" w:lineRule="auto"/>
        <w:rPr>
          <w:rFonts w:ascii="Arial" w:hAnsi="Arial" w:cs="Arial"/>
        </w:rPr>
      </w:pPr>
      <w:r w:rsidRPr="00390868">
        <w:rPr>
          <w:rFonts w:ascii="Arial" w:hAnsi="Arial" w:cs="Arial"/>
        </w:rPr>
        <w:t>End-to-end digital workflow test completed with &lt;2% error rate</w:t>
      </w:r>
    </w:p>
    <w:p w14:paraId="52D6F978" w14:textId="0BA86CDD" w:rsidR="006935BF" w:rsidRPr="00390868" w:rsidRDefault="006935BF" w:rsidP="00905241">
      <w:pPr>
        <w:numPr>
          <w:ilvl w:val="0"/>
          <w:numId w:val="50"/>
        </w:numPr>
        <w:spacing w:line="360" w:lineRule="auto"/>
        <w:rPr>
          <w:rFonts w:ascii="Arial" w:hAnsi="Arial" w:cs="Arial"/>
        </w:rPr>
      </w:pPr>
      <w:r w:rsidRPr="00390868">
        <w:rPr>
          <w:rFonts w:ascii="Arial" w:hAnsi="Arial" w:cs="Arial"/>
        </w:rPr>
        <w:t>CapEx variance within ±5% of approved budget</w:t>
      </w:r>
    </w:p>
    <w:p w14:paraId="1C2D58D2" w14:textId="77777777" w:rsidR="006935BF" w:rsidRPr="00390868" w:rsidRDefault="006935BF" w:rsidP="00905241">
      <w:pPr>
        <w:spacing w:line="360" w:lineRule="auto"/>
        <w:rPr>
          <w:rFonts w:ascii="Arial" w:hAnsi="Arial" w:cs="Arial"/>
          <w:b/>
          <w:bCs/>
        </w:rPr>
      </w:pPr>
      <w:r w:rsidRPr="00390868">
        <w:rPr>
          <w:rFonts w:ascii="Arial" w:hAnsi="Arial" w:cs="Arial"/>
          <w:b/>
          <w:bCs/>
        </w:rPr>
        <w:t>Phase 2: Controlled Operational Activation and Pilot (Months 7–9)</w:t>
      </w:r>
    </w:p>
    <w:p w14:paraId="12B53D2B" w14:textId="77777777" w:rsidR="006935BF" w:rsidRPr="00390868" w:rsidRDefault="006935BF" w:rsidP="00905241">
      <w:pPr>
        <w:spacing w:line="360" w:lineRule="auto"/>
        <w:rPr>
          <w:rFonts w:ascii="Arial" w:hAnsi="Arial" w:cs="Arial"/>
        </w:rPr>
      </w:pPr>
      <w:r w:rsidRPr="00390868">
        <w:rPr>
          <w:rFonts w:ascii="Arial" w:hAnsi="Arial" w:cs="Arial"/>
          <w:b/>
          <w:bCs/>
        </w:rPr>
        <w:t>Objective:</w:t>
      </w:r>
      <w:r w:rsidRPr="00390868">
        <w:rPr>
          <w:rFonts w:ascii="Arial" w:hAnsi="Arial" w:cs="Arial"/>
        </w:rPr>
        <w:br/>
        <w:t>To validate real-world workflows, pricing logic, and utilisation assumptions under controlled trading conditions.</w:t>
      </w:r>
    </w:p>
    <w:p w14:paraId="4DF85C08" w14:textId="77777777" w:rsidR="006935BF" w:rsidRPr="00390868" w:rsidRDefault="006935BF" w:rsidP="00905241">
      <w:pPr>
        <w:spacing w:line="360" w:lineRule="auto"/>
        <w:rPr>
          <w:rFonts w:ascii="Arial" w:hAnsi="Arial" w:cs="Arial"/>
        </w:rPr>
      </w:pPr>
      <w:r w:rsidRPr="00390868">
        <w:rPr>
          <w:rFonts w:ascii="Arial" w:hAnsi="Arial" w:cs="Arial"/>
          <w:b/>
          <w:bCs/>
        </w:rPr>
        <w:t>Operational Scope:</w:t>
      </w:r>
      <w:r w:rsidRPr="00390868">
        <w:rPr>
          <w:rFonts w:ascii="Arial" w:hAnsi="Arial" w:cs="Arial"/>
        </w:rPr>
        <w:br/>
        <w:t>Service activation is intentionally constrained to the operational MVP:</w:t>
      </w:r>
    </w:p>
    <w:p w14:paraId="4BEF8EB3" w14:textId="77777777" w:rsidR="006935BF" w:rsidRPr="00390868" w:rsidRDefault="006935BF" w:rsidP="00905241">
      <w:pPr>
        <w:numPr>
          <w:ilvl w:val="0"/>
          <w:numId w:val="51"/>
        </w:numPr>
        <w:spacing w:line="360" w:lineRule="auto"/>
        <w:rPr>
          <w:rFonts w:ascii="Arial" w:hAnsi="Arial" w:cs="Arial"/>
        </w:rPr>
      </w:pPr>
      <w:r w:rsidRPr="00390868">
        <w:rPr>
          <w:rFonts w:ascii="Arial" w:hAnsi="Arial" w:cs="Arial"/>
        </w:rPr>
        <w:t>MOT testing</w:t>
      </w:r>
    </w:p>
    <w:p w14:paraId="4042432B" w14:textId="77777777" w:rsidR="006935BF" w:rsidRPr="00390868" w:rsidRDefault="006935BF" w:rsidP="00905241">
      <w:pPr>
        <w:numPr>
          <w:ilvl w:val="0"/>
          <w:numId w:val="51"/>
        </w:numPr>
        <w:spacing w:line="360" w:lineRule="auto"/>
        <w:rPr>
          <w:rFonts w:ascii="Arial" w:hAnsi="Arial" w:cs="Arial"/>
        </w:rPr>
      </w:pPr>
      <w:r w:rsidRPr="00390868">
        <w:rPr>
          <w:rFonts w:ascii="Arial" w:hAnsi="Arial" w:cs="Arial"/>
        </w:rPr>
        <w:t>Mechanical servicing and diagnostics</w:t>
      </w:r>
    </w:p>
    <w:p w14:paraId="49178FCE" w14:textId="77777777" w:rsidR="006935BF" w:rsidRPr="00390868" w:rsidRDefault="006935BF" w:rsidP="00905241">
      <w:pPr>
        <w:numPr>
          <w:ilvl w:val="0"/>
          <w:numId w:val="51"/>
        </w:numPr>
        <w:spacing w:line="360" w:lineRule="auto"/>
        <w:rPr>
          <w:rFonts w:ascii="Arial" w:hAnsi="Arial" w:cs="Arial"/>
        </w:rPr>
      </w:pPr>
      <w:r w:rsidRPr="00390868">
        <w:rPr>
          <w:rFonts w:ascii="Arial" w:hAnsi="Arial" w:cs="Arial"/>
        </w:rPr>
        <w:t>Tyre fitting and alignment</w:t>
      </w:r>
    </w:p>
    <w:p w14:paraId="27F49ABE" w14:textId="77777777" w:rsidR="006935BF" w:rsidRPr="00390868" w:rsidRDefault="006935BF" w:rsidP="00905241">
      <w:pPr>
        <w:spacing w:line="360" w:lineRule="auto"/>
        <w:rPr>
          <w:rFonts w:ascii="Arial" w:hAnsi="Arial" w:cs="Arial"/>
        </w:rPr>
      </w:pPr>
      <w:r w:rsidRPr="00390868">
        <w:rPr>
          <w:rFonts w:ascii="Arial" w:hAnsi="Arial" w:cs="Arial"/>
        </w:rPr>
        <w:lastRenderedPageBreak/>
        <w:t>EV servicing, bodywork, and tinting remain inactive.</w:t>
      </w:r>
    </w:p>
    <w:p w14:paraId="6DE13ABF" w14:textId="77777777" w:rsidR="006935BF" w:rsidRPr="00390868" w:rsidRDefault="006935BF" w:rsidP="00905241">
      <w:pPr>
        <w:spacing w:line="360" w:lineRule="auto"/>
        <w:rPr>
          <w:rFonts w:ascii="Arial" w:hAnsi="Arial" w:cs="Arial"/>
        </w:rPr>
      </w:pPr>
      <w:r w:rsidRPr="00390868">
        <w:rPr>
          <w:rFonts w:ascii="Arial" w:hAnsi="Arial" w:cs="Arial"/>
          <w:b/>
          <w:bCs/>
        </w:rPr>
        <w:t>Staffing and Marketing:</w:t>
      </w:r>
      <w:r w:rsidRPr="00390868">
        <w:rPr>
          <w:rFonts w:ascii="Arial" w:hAnsi="Arial" w:cs="Arial"/>
        </w:rPr>
        <w:br/>
        <w:t>Staffing follows a lean, multi-skilled model (approximately 15–17 FTE). Marketing activity is restricted to high-intent local channels to generate manageable demand aligned with capacity.</w:t>
      </w:r>
    </w:p>
    <w:p w14:paraId="7497956A" w14:textId="77777777" w:rsidR="006935BF" w:rsidRPr="00390868" w:rsidRDefault="006935BF" w:rsidP="00905241">
      <w:pPr>
        <w:spacing w:line="360" w:lineRule="auto"/>
        <w:rPr>
          <w:rFonts w:ascii="Arial" w:hAnsi="Arial" w:cs="Arial"/>
        </w:rPr>
      </w:pPr>
      <w:r w:rsidRPr="00390868">
        <w:rPr>
          <w:rFonts w:ascii="Arial" w:hAnsi="Arial" w:cs="Arial"/>
          <w:b/>
          <w:bCs/>
        </w:rPr>
        <w:t>Control Metrics:</w:t>
      </w:r>
    </w:p>
    <w:p w14:paraId="764BF03A" w14:textId="77777777" w:rsidR="006935BF" w:rsidRPr="00390868" w:rsidRDefault="006935BF" w:rsidP="00905241">
      <w:pPr>
        <w:numPr>
          <w:ilvl w:val="0"/>
          <w:numId w:val="52"/>
        </w:numPr>
        <w:spacing w:line="360" w:lineRule="auto"/>
        <w:rPr>
          <w:rFonts w:ascii="Arial" w:hAnsi="Arial" w:cs="Arial"/>
        </w:rPr>
      </w:pPr>
      <w:r w:rsidRPr="00390868">
        <w:rPr>
          <w:rFonts w:ascii="Arial" w:hAnsi="Arial" w:cs="Arial"/>
        </w:rPr>
        <w:t>Technician utilisation ≥ 40% without overtime</w:t>
      </w:r>
    </w:p>
    <w:p w14:paraId="5A4BD07D" w14:textId="77777777" w:rsidR="006935BF" w:rsidRPr="00390868" w:rsidRDefault="006935BF" w:rsidP="00905241">
      <w:pPr>
        <w:numPr>
          <w:ilvl w:val="0"/>
          <w:numId w:val="52"/>
        </w:numPr>
        <w:spacing w:line="360" w:lineRule="auto"/>
        <w:rPr>
          <w:rFonts w:ascii="Arial" w:hAnsi="Arial" w:cs="Arial"/>
        </w:rPr>
      </w:pPr>
      <w:r w:rsidRPr="00390868">
        <w:rPr>
          <w:rFonts w:ascii="Arial" w:hAnsi="Arial" w:cs="Arial"/>
        </w:rPr>
        <w:t>Quoted vs invoiced price variance &lt; 3%</w:t>
      </w:r>
    </w:p>
    <w:p w14:paraId="298A2926" w14:textId="77777777" w:rsidR="006935BF" w:rsidRPr="00390868" w:rsidRDefault="006935BF" w:rsidP="00905241">
      <w:pPr>
        <w:numPr>
          <w:ilvl w:val="0"/>
          <w:numId w:val="52"/>
        </w:numPr>
        <w:spacing w:line="360" w:lineRule="auto"/>
        <w:rPr>
          <w:rFonts w:ascii="Arial" w:hAnsi="Arial" w:cs="Arial"/>
        </w:rPr>
      </w:pPr>
      <w:r w:rsidRPr="00390868">
        <w:rPr>
          <w:rFonts w:ascii="Arial" w:hAnsi="Arial" w:cs="Arial"/>
        </w:rPr>
        <w:t>First-time-fix rate &gt; 90%; rework rate &lt; 5%</w:t>
      </w:r>
    </w:p>
    <w:p w14:paraId="34595333" w14:textId="77777777" w:rsidR="006935BF" w:rsidRPr="00390868" w:rsidRDefault="006935BF" w:rsidP="00905241">
      <w:pPr>
        <w:numPr>
          <w:ilvl w:val="0"/>
          <w:numId w:val="52"/>
        </w:numPr>
        <w:spacing w:line="360" w:lineRule="auto"/>
        <w:rPr>
          <w:rFonts w:ascii="Arial" w:hAnsi="Arial" w:cs="Arial"/>
        </w:rPr>
      </w:pPr>
      <w:r w:rsidRPr="00390868">
        <w:rPr>
          <w:rFonts w:ascii="Arial" w:hAnsi="Arial" w:cs="Arial"/>
        </w:rPr>
        <w:t>Weekly cash burn within forecast tolerance</w:t>
      </w:r>
    </w:p>
    <w:p w14:paraId="723A4064" w14:textId="560FAECB" w:rsidR="006935BF" w:rsidRPr="00390868" w:rsidRDefault="006935BF" w:rsidP="00905241">
      <w:pPr>
        <w:spacing w:line="360" w:lineRule="auto"/>
        <w:rPr>
          <w:rFonts w:ascii="Arial" w:hAnsi="Arial" w:cs="Arial"/>
        </w:rPr>
      </w:pPr>
      <w:r w:rsidRPr="00390868">
        <w:rPr>
          <w:rFonts w:ascii="Arial" w:hAnsi="Arial" w:cs="Arial"/>
        </w:rPr>
        <w:t>Failure to meet any threshold pauses further activation, reinforcing discipline rather than accelerating scale.</w:t>
      </w:r>
    </w:p>
    <w:p w14:paraId="3FC53723" w14:textId="77777777" w:rsidR="006935BF" w:rsidRPr="00390868" w:rsidRDefault="006935BF" w:rsidP="00905241">
      <w:pPr>
        <w:spacing w:line="360" w:lineRule="auto"/>
        <w:rPr>
          <w:rFonts w:ascii="Arial" w:hAnsi="Arial" w:cs="Arial"/>
          <w:b/>
          <w:bCs/>
        </w:rPr>
      </w:pPr>
      <w:r w:rsidRPr="00390868">
        <w:rPr>
          <w:rFonts w:ascii="Arial" w:hAnsi="Arial" w:cs="Arial"/>
          <w:b/>
          <w:bCs/>
        </w:rPr>
        <w:t>Phase 3: Full Estate Activation and Optimisation (Month 10 onwards)</w:t>
      </w:r>
    </w:p>
    <w:p w14:paraId="0BE10878" w14:textId="77777777" w:rsidR="006935BF" w:rsidRPr="00390868" w:rsidRDefault="006935BF" w:rsidP="00905241">
      <w:pPr>
        <w:spacing w:line="360" w:lineRule="auto"/>
        <w:rPr>
          <w:rFonts w:ascii="Arial" w:hAnsi="Arial" w:cs="Arial"/>
        </w:rPr>
      </w:pPr>
      <w:r w:rsidRPr="00390868">
        <w:rPr>
          <w:rFonts w:ascii="Arial" w:hAnsi="Arial" w:cs="Arial"/>
          <w:b/>
          <w:bCs/>
        </w:rPr>
        <w:t>Objective:</w:t>
      </w:r>
      <w:r w:rsidRPr="00390868">
        <w:rPr>
          <w:rFonts w:ascii="Arial" w:hAnsi="Arial" w:cs="Arial"/>
        </w:rPr>
        <w:br/>
        <w:t>To transition from validation to systematic growth and margin protection.</w:t>
      </w:r>
    </w:p>
    <w:p w14:paraId="530E9366" w14:textId="77777777" w:rsidR="006935BF" w:rsidRPr="00390868" w:rsidRDefault="006935BF" w:rsidP="00905241">
      <w:pPr>
        <w:spacing w:line="360" w:lineRule="auto"/>
        <w:rPr>
          <w:rFonts w:ascii="Arial" w:hAnsi="Arial" w:cs="Arial"/>
        </w:rPr>
      </w:pPr>
      <w:r w:rsidRPr="00390868">
        <w:rPr>
          <w:rFonts w:ascii="Arial" w:hAnsi="Arial" w:cs="Arial"/>
          <w:b/>
          <w:bCs/>
        </w:rPr>
        <w:t>Full Activation:</w:t>
      </w:r>
      <w:r w:rsidRPr="00390868">
        <w:rPr>
          <w:rFonts w:ascii="Arial" w:hAnsi="Arial" w:cs="Arial"/>
        </w:rPr>
        <w:br/>
        <w:t>All eight service units are activated sequentially based on proven demand signals. Staffing transitions to the steady-state structure defined in Section 7.</w:t>
      </w:r>
    </w:p>
    <w:p w14:paraId="7139858C" w14:textId="77777777" w:rsidR="006935BF" w:rsidRPr="00390868" w:rsidRDefault="006935BF" w:rsidP="00905241">
      <w:pPr>
        <w:spacing w:line="360" w:lineRule="auto"/>
        <w:rPr>
          <w:rFonts w:ascii="Arial" w:hAnsi="Arial" w:cs="Arial"/>
        </w:rPr>
      </w:pPr>
      <w:r w:rsidRPr="00390868">
        <w:rPr>
          <w:rFonts w:ascii="Arial" w:hAnsi="Arial" w:cs="Arial"/>
          <w:b/>
          <w:bCs/>
        </w:rPr>
        <w:t>Control Metrics and Governance:</w:t>
      </w:r>
      <w:r w:rsidRPr="00390868">
        <w:rPr>
          <w:rFonts w:ascii="Arial" w:hAnsi="Arial" w:cs="Arial"/>
        </w:rPr>
        <w:br/>
        <w:t>Performance is monitored using a Balanced Scorecard framework, ensuring alignment between financial outcomes, customer performance, internal processes, and learning capability (Kaplan and Norton, 1992).</w:t>
      </w:r>
    </w:p>
    <w:p w14:paraId="46C52F5D" w14:textId="77777777" w:rsidR="006935BF" w:rsidRPr="00390868" w:rsidRDefault="006935BF" w:rsidP="00905241">
      <w:pPr>
        <w:spacing w:line="360" w:lineRule="auto"/>
        <w:rPr>
          <w:rFonts w:ascii="Arial" w:hAnsi="Arial" w:cs="Arial"/>
        </w:rPr>
      </w:pPr>
      <w:r w:rsidRPr="00390868">
        <w:rPr>
          <w:rFonts w:ascii="Arial" w:hAnsi="Arial" w:cs="Arial"/>
        </w:rPr>
        <w:t>Key thresholds include:</w:t>
      </w:r>
    </w:p>
    <w:p w14:paraId="15B6E505" w14:textId="77777777" w:rsidR="006935BF" w:rsidRPr="00390868" w:rsidRDefault="006935BF" w:rsidP="00905241">
      <w:pPr>
        <w:numPr>
          <w:ilvl w:val="0"/>
          <w:numId w:val="53"/>
        </w:numPr>
        <w:spacing w:line="360" w:lineRule="auto"/>
        <w:rPr>
          <w:rFonts w:ascii="Arial" w:hAnsi="Arial" w:cs="Arial"/>
        </w:rPr>
      </w:pPr>
      <w:r w:rsidRPr="00390868">
        <w:rPr>
          <w:rFonts w:ascii="Arial" w:hAnsi="Arial" w:cs="Arial"/>
        </w:rPr>
        <w:t>Estate-wide utilisation ≥ 65%</w:t>
      </w:r>
    </w:p>
    <w:p w14:paraId="247CA950" w14:textId="77777777" w:rsidR="006935BF" w:rsidRPr="00390868" w:rsidRDefault="006935BF" w:rsidP="00905241">
      <w:pPr>
        <w:numPr>
          <w:ilvl w:val="0"/>
          <w:numId w:val="53"/>
        </w:numPr>
        <w:spacing w:line="360" w:lineRule="auto"/>
        <w:rPr>
          <w:rFonts w:ascii="Arial" w:hAnsi="Arial" w:cs="Arial"/>
        </w:rPr>
      </w:pPr>
      <w:r w:rsidRPr="00390868">
        <w:rPr>
          <w:rFonts w:ascii="Arial" w:hAnsi="Arial" w:cs="Arial"/>
        </w:rPr>
        <w:t>Rolling monthly EBITDA positive</w:t>
      </w:r>
    </w:p>
    <w:p w14:paraId="5D783A40" w14:textId="77777777" w:rsidR="006935BF" w:rsidRPr="00390868" w:rsidRDefault="006935BF" w:rsidP="00905241">
      <w:pPr>
        <w:numPr>
          <w:ilvl w:val="0"/>
          <w:numId w:val="53"/>
        </w:numPr>
        <w:spacing w:line="360" w:lineRule="auto"/>
        <w:rPr>
          <w:rFonts w:ascii="Arial" w:hAnsi="Arial" w:cs="Arial"/>
        </w:rPr>
      </w:pPr>
      <w:r w:rsidRPr="00390868">
        <w:rPr>
          <w:rFonts w:ascii="Arial" w:hAnsi="Arial" w:cs="Arial"/>
        </w:rPr>
        <w:t>Contribution margin maintained at ~65%</w:t>
      </w:r>
    </w:p>
    <w:p w14:paraId="37C106A7" w14:textId="4C913F61" w:rsidR="006935BF" w:rsidRPr="00390868" w:rsidRDefault="006935BF" w:rsidP="00905241">
      <w:pPr>
        <w:numPr>
          <w:ilvl w:val="0"/>
          <w:numId w:val="53"/>
        </w:numPr>
        <w:spacing w:line="360" w:lineRule="auto"/>
        <w:rPr>
          <w:rFonts w:ascii="Arial" w:hAnsi="Arial" w:cs="Arial"/>
        </w:rPr>
      </w:pPr>
      <w:r w:rsidRPr="00390868">
        <w:rPr>
          <w:rFonts w:ascii="Arial" w:hAnsi="Arial" w:cs="Arial"/>
        </w:rPr>
        <w:t>Repeat customer rate ≥ 35%</w:t>
      </w:r>
    </w:p>
    <w:p w14:paraId="0328FAA8" w14:textId="77777777" w:rsidR="006935BF" w:rsidRPr="00390868" w:rsidRDefault="006935BF" w:rsidP="00905241">
      <w:pPr>
        <w:pStyle w:val="Heading2"/>
        <w:spacing w:line="360" w:lineRule="auto"/>
        <w:rPr>
          <w:rFonts w:ascii="Arial" w:hAnsi="Arial" w:cs="Arial"/>
        </w:rPr>
      </w:pPr>
      <w:bookmarkStart w:id="146" w:name="_Toc218629309"/>
      <w:r w:rsidRPr="00390868">
        <w:rPr>
          <w:rFonts w:ascii="Arial" w:hAnsi="Arial" w:cs="Arial"/>
        </w:rPr>
        <w:t>10.3 Critical Path and Dependency Narrative</w:t>
      </w:r>
      <w:bookmarkEnd w:id="146"/>
    </w:p>
    <w:p w14:paraId="5624A52B" w14:textId="77777777" w:rsidR="006935BF" w:rsidRPr="00390868" w:rsidRDefault="006935BF" w:rsidP="00905241">
      <w:pPr>
        <w:spacing w:line="360" w:lineRule="auto"/>
        <w:rPr>
          <w:rFonts w:ascii="Arial" w:hAnsi="Arial" w:cs="Arial"/>
        </w:rPr>
      </w:pPr>
      <w:r w:rsidRPr="00390868">
        <w:rPr>
          <w:rFonts w:ascii="Arial" w:hAnsi="Arial" w:cs="Arial"/>
        </w:rPr>
        <w:t>The implementation critical path follows a Stage-Gate dependency structure (Cooper, 2023).</w:t>
      </w:r>
    </w:p>
    <w:p w14:paraId="56E14DEB" w14:textId="77777777" w:rsidR="006935BF" w:rsidRPr="00390868" w:rsidRDefault="006935BF" w:rsidP="00905241">
      <w:pPr>
        <w:numPr>
          <w:ilvl w:val="0"/>
          <w:numId w:val="54"/>
        </w:numPr>
        <w:spacing w:line="360" w:lineRule="auto"/>
        <w:rPr>
          <w:rFonts w:ascii="Arial" w:hAnsi="Arial" w:cs="Arial"/>
        </w:rPr>
      </w:pPr>
      <w:r w:rsidRPr="00390868">
        <w:rPr>
          <w:rFonts w:ascii="Arial" w:hAnsi="Arial" w:cs="Arial"/>
        </w:rPr>
        <w:lastRenderedPageBreak/>
        <w:t>Site acquisition and basic fit-out (Month 1) form the foundational activity</w:t>
      </w:r>
    </w:p>
    <w:p w14:paraId="1C772569" w14:textId="77777777" w:rsidR="006935BF" w:rsidRPr="00390868" w:rsidRDefault="006935BF" w:rsidP="00905241">
      <w:pPr>
        <w:numPr>
          <w:ilvl w:val="0"/>
          <w:numId w:val="54"/>
        </w:numPr>
        <w:spacing w:line="360" w:lineRule="auto"/>
        <w:rPr>
          <w:rFonts w:ascii="Arial" w:hAnsi="Arial" w:cs="Arial"/>
        </w:rPr>
      </w:pPr>
      <w:r w:rsidRPr="00390868">
        <w:rPr>
          <w:rFonts w:ascii="Arial" w:hAnsi="Arial" w:cs="Arial"/>
        </w:rPr>
        <w:t>DVSA MOT application submission (Month 2) is the longest-lead regulatory item (12–16 weeks) and gates all MOT revenue</w:t>
      </w:r>
    </w:p>
    <w:p w14:paraId="21E2FC59" w14:textId="77777777" w:rsidR="006935BF" w:rsidRPr="00390868" w:rsidRDefault="006935BF" w:rsidP="00905241">
      <w:pPr>
        <w:numPr>
          <w:ilvl w:val="0"/>
          <w:numId w:val="54"/>
        </w:numPr>
        <w:spacing w:line="360" w:lineRule="auto"/>
        <w:rPr>
          <w:rFonts w:ascii="Arial" w:hAnsi="Arial" w:cs="Arial"/>
        </w:rPr>
      </w:pPr>
      <w:r w:rsidRPr="00390868">
        <w:rPr>
          <w:rFonts w:ascii="Arial" w:hAnsi="Arial" w:cs="Arial"/>
        </w:rPr>
        <w:t>HSE consultation for the EV bay must conclude before specialist equipment installation (Month 4)</w:t>
      </w:r>
    </w:p>
    <w:p w14:paraId="1BF79596" w14:textId="77777777" w:rsidR="006935BF" w:rsidRPr="00390868" w:rsidRDefault="006935BF" w:rsidP="00905241">
      <w:pPr>
        <w:numPr>
          <w:ilvl w:val="0"/>
          <w:numId w:val="54"/>
        </w:numPr>
        <w:spacing w:line="360" w:lineRule="auto"/>
        <w:rPr>
          <w:rFonts w:ascii="Arial" w:hAnsi="Arial" w:cs="Arial"/>
        </w:rPr>
      </w:pPr>
      <w:r w:rsidRPr="00390868">
        <w:rPr>
          <w:rFonts w:ascii="Arial" w:hAnsi="Arial" w:cs="Arial"/>
        </w:rPr>
        <w:t>System testing cannot commence until core IT infrastructure is installed (Month 5)</w:t>
      </w:r>
    </w:p>
    <w:p w14:paraId="1A70C1BB" w14:textId="07ACF0EA" w:rsidR="006935BF" w:rsidRPr="00390868" w:rsidRDefault="006935BF" w:rsidP="00905241">
      <w:pPr>
        <w:spacing w:line="360" w:lineRule="auto"/>
        <w:rPr>
          <w:rFonts w:ascii="Arial" w:hAnsi="Arial" w:cs="Arial"/>
        </w:rPr>
      </w:pPr>
      <w:r w:rsidRPr="00390868">
        <w:rPr>
          <w:rFonts w:ascii="Arial" w:hAnsi="Arial" w:cs="Arial"/>
        </w:rPr>
        <w:t>Marketing activation and staff training are never scheduled before digital workflow validation. Any slippage triggers a formal replan that delays downstream activities rather than compressing them, preserving compliance and control integrity.</w:t>
      </w:r>
    </w:p>
    <w:p w14:paraId="72C4F008" w14:textId="77777777" w:rsidR="006935BF" w:rsidRPr="00390868" w:rsidRDefault="006935BF" w:rsidP="00905241">
      <w:pPr>
        <w:pStyle w:val="Heading2"/>
        <w:spacing w:line="360" w:lineRule="auto"/>
        <w:rPr>
          <w:rFonts w:ascii="Arial" w:hAnsi="Arial" w:cs="Arial"/>
        </w:rPr>
      </w:pPr>
      <w:bookmarkStart w:id="147" w:name="_Toc218629310"/>
      <w:r w:rsidRPr="00390868">
        <w:rPr>
          <w:rFonts w:ascii="Arial" w:hAnsi="Arial" w:cs="Arial"/>
        </w:rPr>
        <w:t>10.4 Governance and Performance Dashboard</w:t>
      </w:r>
      <w:bookmarkEnd w:id="147"/>
    </w:p>
    <w:p w14:paraId="08395F97" w14:textId="77777777" w:rsidR="006935BF" w:rsidRPr="00390868" w:rsidRDefault="006935BF" w:rsidP="00905241">
      <w:pPr>
        <w:spacing w:line="360" w:lineRule="auto"/>
        <w:rPr>
          <w:rFonts w:ascii="Arial" w:hAnsi="Arial" w:cs="Arial"/>
        </w:rPr>
      </w:pPr>
      <w:r w:rsidRPr="00390868">
        <w:rPr>
          <w:rFonts w:ascii="Arial" w:hAnsi="Arial" w:cs="Arial"/>
        </w:rPr>
        <w:t>Implementation governance is operationalised through a weekly Execution Dashboard, reviewed by the Estate Manager and Founder.</w:t>
      </w:r>
    </w:p>
    <w:p w14:paraId="1C14E0ED" w14:textId="77777777" w:rsidR="006935BF" w:rsidRPr="00390868" w:rsidRDefault="006935BF" w:rsidP="00905241">
      <w:pPr>
        <w:spacing w:line="360" w:lineRule="auto"/>
        <w:rPr>
          <w:rFonts w:ascii="Arial" w:hAnsi="Arial" w:cs="Arial"/>
        </w:rPr>
      </w:pPr>
      <w:r w:rsidRPr="00390868">
        <w:rPr>
          <w:rFonts w:ascii="Arial" w:hAnsi="Arial" w:cs="Arial"/>
        </w:rPr>
        <w:t>The dashboard integrates:</w:t>
      </w:r>
    </w:p>
    <w:p w14:paraId="680598FF" w14:textId="77777777" w:rsidR="006935BF" w:rsidRPr="00390868" w:rsidRDefault="006935BF" w:rsidP="00905241">
      <w:pPr>
        <w:numPr>
          <w:ilvl w:val="0"/>
          <w:numId w:val="55"/>
        </w:numPr>
        <w:spacing w:line="360" w:lineRule="auto"/>
        <w:rPr>
          <w:rFonts w:ascii="Arial" w:hAnsi="Arial" w:cs="Arial"/>
        </w:rPr>
      </w:pPr>
      <w:r w:rsidRPr="00390868">
        <w:rPr>
          <w:rFonts w:ascii="Arial" w:hAnsi="Arial" w:cs="Arial"/>
        </w:rPr>
        <w:t>Regulatory milestone tracking</w:t>
      </w:r>
    </w:p>
    <w:p w14:paraId="39CB519E" w14:textId="77777777" w:rsidR="006935BF" w:rsidRPr="00390868" w:rsidRDefault="006935BF" w:rsidP="00905241">
      <w:pPr>
        <w:numPr>
          <w:ilvl w:val="0"/>
          <w:numId w:val="55"/>
        </w:numPr>
        <w:spacing w:line="360" w:lineRule="auto"/>
        <w:rPr>
          <w:rFonts w:ascii="Arial" w:hAnsi="Arial" w:cs="Arial"/>
        </w:rPr>
      </w:pPr>
      <w:r w:rsidRPr="00390868">
        <w:rPr>
          <w:rFonts w:ascii="Arial" w:hAnsi="Arial" w:cs="Arial"/>
        </w:rPr>
        <w:t>Operational vital signs (utilisation, rework, cycle time)</w:t>
      </w:r>
    </w:p>
    <w:p w14:paraId="4806F237" w14:textId="77777777" w:rsidR="006935BF" w:rsidRPr="00390868" w:rsidRDefault="006935BF" w:rsidP="00905241">
      <w:pPr>
        <w:numPr>
          <w:ilvl w:val="0"/>
          <w:numId w:val="55"/>
        </w:numPr>
        <w:spacing w:line="360" w:lineRule="auto"/>
        <w:rPr>
          <w:rFonts w:ascii="Arial" w:hAnsi="Arial" w:cs="Arial"/>
        </w:rPr>
      </w:pPr>
      <w:r w:rsidRPr="00390868">
        <w:rPr>
          <w:rFonts w:ascii="Arial" w:hAnsi="Arial" w:cs="Arial"/>
        </w:rPr>
        <w:t>Financial burn versus forecast</w:t>
      </w:r>
    </w:p>
    <w:p w14:paraId="4EB12EB8" w14:textId="6AF55622" w:rsidR="006935BF" w:rsidRPr="00390868" w:rsidRDefault="006935BF" w:rsidP="00905241">
      <w:pPr>
        <w:spacing w:line="360" w:lineRule="auto"/>
        <w:rPr>
          <w:rFonts w:ascii="Arial" w:hAnsi="Arial" w:cs="Arial"/>
        </w:rPr>
      </w:pPr>
      <w:r w:rsidRPr="00390868">
        <w:rPr>
          <w:rFonts w:ascii="Arial" w:hAnsi="Arial" w:cs="Arial"/>
        </w:rPr>
        <w:t>A RAG (Red-Amber-Green) system is applied. Any red status escalates automatically to a Monthly Strategic Implementation Review, triggering predefined corrective actions. This creates a closed-loop control system linking real-time data to strategic decision-making (Kaplan and Norton, 1992).</w:t>
      </w:r>
    </w:p>
    <w:p w14:paraId="7E5A3350" w14:textId="77777777" w:rsidR="006935BF" w:rsidRPr="00390868" w:rsidRDefault="006935BF" w:rsidP="00905241">
      <w:pPr>
        <w:pStyle w:val="Heading2"/>
        <w:spacing w:line="360" w:lineRule="auto"/>
        <w:rPr>
          <w:rFonts w:ascii="Arial" w:hAnsi="Arial" w:cs="Arial"/>
        </w:rPr>
      </w:pPr>
      <w:bookmarkStart w:id="148" w:name="_Toc218629311"/>
      <w:r w:rsidRPr="00390868">
        <w:rPr>
          <w:rFonts w:ascii="Arial" w:hAnsi="Arial" w:cs="Arial"/>
        </w:rPr>
        <w:t>10.5 Risk-Contingency Activation Matrix</w:t>
      </w:r>
      <w:bookmarkEnd w:id="148"/>
    </w:p>
    <w:p w14:paraId="656F8889" w14:textId="77777777" w:rsidR="006935BF" w:rsidRPr="00390868" w:rsidRDefault="006935BF" w:rsidP="00905241">
      <w:pPr>
        <w:spacing w:line="360" w:lineRule="auto"/>
        <w:rPr>
          <w:rFonts w:ascii="Arial" w:hAnsi="Arial" w:cs="Arial"/>
        </w:rPr>
      </w:pPr>
      <w:r w:rsidRPr="00390868">
        <w:rPr>
          <w:rFonts w:ascii="Arial" w:hAnsi="Arial" w:cs="Arial"/>
        </w:rPr>
        <w:t>The phased structure itself is the primary risk mitigant. Predefined contingency actions are embedded for key triggers.</w:t>
      </w:r>
    </w:p>
    <w:p w14:paraId="02D5CF02" w14:textId="77777777" w:rsidR="006935BF" w:rsidRPr="00390868" w:rsidRDefault="006935BF" w:rsidP="00905241">
      <w:pPr>
        <w:spacing w:line="360" w:lineRule="auto"/>
        <w:rPr>
          <w:rFonts w:ascii="Arial" w:hAnsi="Arial" w:cs="Arial"/>
        </w:rPr>
      </w:pPr>
      <w:r w:rsidRPr="00390868">
        <w:rPr>
          <w:rFonts w:ascii="Arial" w:hAnsi="Arial" w:cs="Arial"/>
          <w:b/>
          <w:bCs/>
        </w:rPr>
        <w:t>Table 10.1: Risk-Contingency Activation Matrix</w:t>
      </w:r>
    </w:p>
    <w:tbl>
      <w:tblPr>
        <w:tblStyle w:val="PlainTable1"/>
        <w:tblW w:w="0" w:type="auto"/>
        <w:tblLook w:val="04A0" w:firstRow="1" w:lastRow="0" w:firstColumn="1" w:lastColumn="0" w:noHBand="0" w:noVBand="1"/>
      </w:tblPr>
      <w:tblGrid>
        <w:gridCol w:w="2935"/>
        <w:gridCol w:w="1509"/>
        <w:gridCol w:w="4572"/>
      </w:tblGrid>
      <w:tr w:rsidR="006935BF" w:rsidRPr="00390868" w14:paraId="772AB5EB" w14:textId="77777777" w:rsidTr="00240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32E08" w14:textId="77777777" w:rsidR="006935BF" w:rsidRPr="00390868" w:rsidRDefault="006935BF" w:rsidP="00905241">
            <w:pPr>
              <w:spacing w:after="160" w:line="360" w:lineRule="auto"/>
              <w:rPr>
                <w:rFonts w:ascii="Arial" w:hAnsi="Arial" w:cs="Arial"/>
              </w:rPr>
            </w:pPr>
            <w:r w:rsidRPr="00390868">
              <w:rPr>
                <w:rFonts w:ascii="Arial" w:hAnsi="Arial" w:cs="Arial"/>
              </w:rPr>
              <w:t>Trigger Event</w:t>
            </w:r>
          </w:p>
        </w:tc>
        <w:tc>
          <w:tcPr>
            <w:tcW w:w="0" w:type="auto"/>
            <w:hideMark/>
          </w:tcPr>
          <w:p w14:paraId="60B9CC7D" w14:textId="77777777" w:rsidR="006935BF" w:rsidRPr="00390868" w:rsidRDefault="006935B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Phase Affected</w:t>
            </w:r>
          </w:p>
        </w:tc>
        <w:tc>
          <w:tcPr>
            <w:tcW w:w="0" w:type="auto"/>
            <w:hideMark/>
          </w:tcPr>
          <w:p w14:paraId="52E6B140" w14:textId="77777777" w:rsidR="006935BF" w:rsidRPr="00390868" w:rsidRDefault="006935BF"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Contingency Action</w:t>
            </w:r>
          </w:p>
        </w:tc>
      </w:tr>
      <w:tr w:rsidR="006935BF" w:rsidRPr="00390868" w14:paraId="2EDF7726" w14:textId="77777777" w:rsidTr="00240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91F820" w14:textId="77777777" w:rsidR="006935BF" w:rsidRPr="00390868" w:rsidRDefault="006935BF" w:rsidP="00905241">
            <w:pPr>
              <w:spacing w:after="160" w:line="360" w:lineRule="auto"/>
              <w:rPr>
                <w:rFonts w:ascii="Arial" w:hAnsi="Arial" w:cs="Arial"/>
              </w:rPr>
            </w:pPr>
            <w:r w:rsidRPr="00390868">
              <w:rPr>
                <w:rFonts w:ascii="Arial" w:hAnsi="Arial" w:cs="Arial"/>
              </w:rPr>
              <w:t>DVSA approval delayed &gt;30 days</w:t>
            </w:r>
          </w:p>
        </w:tc>
        <w:tc>
          <w:tcPr>
            <w:tcW w:w="0" w:type="auto"/>
            <w:hideMark/>
          </w:tcPr>
          <w:p w14:paraId="46E8B1ED" w14:textId="77777777" w:rsidR="006935BF" w:rsidRPr="00390868" w:rsidRDefault="006935B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Phase 2</w:t>
            </w:r>
          </w:p>
        </w:tc>
        <w:tc>
          <w:tcPr>
            <w:tcW w:w="0" w:type="auto"/>
            <w:hideMark/>
          </w:tcPr>
          <w:p w14:paraId="67FEA3D1" w14:textId="77777777" w:rsidR="006935BF" w:rsidRPr="00390868" w:rsidRDefault="006935B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MOT lane repurposed for pre-MOT inspections and servicing</w:t>
            </w:r>
          </w:p>
        </w:tc>
      </w:tr>
      <w:tr w:rsidR="006935BF" w:rsidRPr="00390868" w14:paraId="6AD5A114" w14:textId="77777777" w:rsidTr="00240DF2">
        <w:tc>
          <w:tcPr>
            <w:cnfStyle w:val="001000000000" w:firstRow="0" w:lastRow="0" w:firstColumn="1" w:lastColumn="0" w:oddVBand="0" w:evenVBand="0" w:oddHBand="0" w:evenHBand="0" w:firstRowFirstColumn="0" w:firstRowLastColumn="0" w:lastRowFirstColumn="0" w:lastRowLastColumn="0"/>
            <w:tcW w:w="0" w:type="auto"/>
            <w:hideMark/>
          </w:tcPr>
          <w:p w14:paraId="4DEAA7B3" w14:textId="77777777" w:rsidR="006935BF" w:rsidRPr="00390868" w:rsidRDefault="006935BF" w:rsidP="00905241">
            <w:pPr>
              <w:spacing w:after="160" w:line="360" w:lineRule="auto"/>
              <w:rPr>
                <w:rFonts w:ascii="Arial" w:hAnsi="Arial" w:cs="Arial"/>
              </w:rPr>
            </w:pPr>
            <w:r w:rsidRPr="00390868">
              <w:rPr>
                <w:rFonts w:ascii="Arial" w:hAnsi="Arial" w:cs="Arial"/>
              </w:rPr>
              <w:lastRenderedPageBreak/>
              <w:t>Utilisation &lt;40% in Phase 2</w:t>
            </w:r>
          </w:p>
        </w:tc>
        <w:tc>
          <w:tcPr>
            <w:tcW w:w="0" w:type="auto"/>
            <w:hideMark/>
          </w:tcPr>
          <w:p w14:paraId="3E304F06" w14:textId="77777777" w:rsidR="006935BF" w:rsidRPr="00390868" w:rsidRDefault="006935B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Phase 2</w:t>
            </w:r>
          </w:p>
        </w:tc>
        <w:tc>
          <w:tcPr>
            <w:tcW w:w="0" w:type="auto"/>
            <w:hideMark/>
          </w:tcPr>
          <w:p w14:paraId="5E548094" w14:textId="77777777" w:rsidR="006935BF" w:rsidRPr="00390868" w:rsidRDefault="006935B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Reallocate marketing spend to fleet and trade partnerships</w:t>
            </w:r>
          </w:p>
        </w:tc>
      </w:tr>
      <w:tr w:rsidR="006935BF" w:rsidRPr="00390868" w14:paraId="35423E7B" w14:textId="77777777" w:rsidTr="00240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16B03" w14:textId="77777777" w:rsidR="006935BF" w:rsidRPr="00390868" w:rsidRDefault="006935BF" w:rsidP="00905241">
            <w:pPr>
              <w:spacing w:after="160" w:line="360" w:lineRule="auto"/>
              <w:rPr>
                <w:rFonts w:ascii="Arial" w:hAnsi="Arial" w:cs="Arial"/>
              </w:rPr>
            </w:pPr>
            <w:r w:rsidRPr="00390868">
              <w:rPr>
                <w:rFonts w:ascii="Arial" w:hAnsi="Arial" w:cs="Arial"/>
              </w:rPr>
              <w:t>Cash burn exceeds forecast by &gt;10%</w:t>
            </w:r>
          </w:p>
        </w:tc>
        <w:tc>
          <w:tcPr>
            <w:tcW w:w="0" w:type="auto"/>
            <w:hideMark/>
          </w:tcPr>
          <w:p w14:paraId="05C3178D" w14:textId="77777777" w:rsidR="006935BF" w:rsidRPr="00390868" w:rsidRDefault="006935B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All</w:t>
            </w:r>
          </w:p>
        </w:tc>
        <w:tc>
          <w:tcPr>
            <w:tcW w:w="0" w:type="auto"/>
            <w:hideMark/>
          </w:tcPr>
          <w:p w14:paraId="286B3E50" w14:textId="77777777" w:rsidR="006935BF" w:rsidRPr="00390868" w:rsidRDefault="006935BF"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Immediate pause on non-essential CapEx and discretionary spend</w:t>
            </w:r>
          </w:p>
        </w:tc>
      </w:tr>
      <w:tr w:rsidR="006935BF" w:rsidRPr="00390868" w14:paraId="042D887B" w14:textId="77777777" w:rsidTr="00240DF2">
        <w:tc>
          <w:tcPr>
            <w:cnfStyle w:val="001000000000" w:firstRow="0" w:lastRow="0" w:firstColumn="1" w:lastColumn="0" w:oddVBand="0" w:evenVBand="0" w:oddHBand="0" w:evenHBand="0" w:firstRowFirstColumn="0" w:firstRowLastColumn="0" w:lastRowFirstColumn="0" w:lastRowLastColumn="0"/>
            <w:tcW w:w="0" w:type="auto"/>
            <w:hideMark/>
          </w:tcPr>
          <w:p w14:paraId="4963D019" w14:textId="77777777" w:rsidR="006935BF" w:rsidRPr="00390868" w:rsidRDefault="006935BF" w:rsidP="00905241">
            <w:pPr>
              <w:spacing w:after="160" w:line="360" w:lineRule="auto"/>
              <w:rPr>
                <w:rFonts w:ascii="Arial" w:hAnsi="Arial" w:cs="Arial"/>
              </w:rPr>
            </w:pPr>
            <w:r w:rsidRPr="00390868">
              <w:rPr>
                <w:rFonts w:ascii="Arial" w:hAnsi="Arial" w:cs="Arial"/>
              </w:rPr>
              <w:t>CRM workflow instability</w:t>
            </w:r>
          </w:p>
        </w:tc>
        <w:tc>
          <w:tcPr>
            <w:tcW w:w="0" w:type="auto"/>
            <w:hideMark/>
          </w:tcPr>
          <w:p w14:paraId="153319A3" w14:textId="77777777" w:rsidR="006935BF" w:rsidRPr="00390868" w:rsidRDefault="006935B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Phase 1/2</w:t>
            </w:r>
          </w:p>
        </w:tc>
        <w:tc>
          <w:tcPr>
            <w:tcW w:w="0" w:type="auto"/>
            <w:hideMark/>
          </w:tcPr>
          <w:p w14:paraId="646B51C9" w14:textId="77777777" w:rsidR="006935BF" w:rsidRPr="00390868" w:rsidRDefault="006935BF"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Halt marketing and revert to controlled manual scheduling</w:t>
            </w:r>
          </w:p>
        </w:tc>
      </w:tr>
    </w:tbl>
    <w:p w14:paraId="61D97ED8" w14:textId="1B62DF9F" w:rsidR="006935BF" w:rsidRPr="00390868" w:rsidRDefault="006935BF" w:rsidP="00905241">
      <w:pPr>
        <w:spacing w:line="360" w:lineRule="auto"/>
        <w:rPr>
          <w:rFonts w:ascii="Arial" w:hAnsi="Arial" w:cs="Arial"/>
        </w:rPr>
      </w:pPr>
    </w:p>
    <w:p w14:paraId="6FE40C18" w14:textId="77777777" w:rsidR="006935BF" w:rsidRPr="00390868" w:rsidRDefault="006935BF" w:rsidP="00905241">
      <w:pPr>
        <w:pStyle w:val="Heading2"/>
        <w:spacing w:line="360" w:lineRule="auto"/>
        <w:rPr>
          <w:rFonts w:ascii="Arial" w:hAnsi="Arial" w:cs="Arial"/>
        </w:rPr>
      </w:pPr>
      <w:bookmarkStart w:id="149" w:name="_Toc218629312"/>
      <w:r w:rsidRPr="00390868">
        <w:rPr>
          <w:rFonts w:ascii="Arial" w:hAnsi="Arial" w:cs="Arial"/>
        </w:rPr>
        <w:t>10.6 Conclusion: Proof-of-Concept and Scalability</w:t>
      </w:r>
      <w:bookmarkEnd w:id="149"/>
    </w:p>
    <w:p w14:paraId="1AB0D694" w14:textId="77777777" w:rsidR="006935BF" w:rsidRPr="00390868" w:rsidRDefault="006935BF" w:rsidP="00905241">
      <w:pPr>
        <w:spacing w:line="360" w:lineRule="auto"/>
        <w:rPr>
          <w:rFonts w:ascii="Arial" w:hAnsi="Arial" w:cs="Arial"/>
        </w:rPr>
      </w:pPr>
      <w:r w:rsidRPr="00390868">
        <w:rPr>
          <w:rFonts w:ascii="Arial" w:hAnsi="Arial" w:cs="Arial"/>
        </w:rPr>
        <w:t>This implementation plan provides a disciplined bridge between strategy and scalability. Completion of Phase 2 validates the integrated service hypothesis under real operating conditions. Achieving Phase 3 thresholds delivers the operational credibility and financial performance required to support future expansion.</w:t>
      </w:r>
    </w:p>
    <w:p w14:paraId="74F2ED4D" w14:textId="6E7B989B" w:rsidR="006339F7" w:rsidRPr="00390868" w:rsidRDefault="006935BF" w:rsidP="00905241">
      <w:pPr>
        <w:spacing w:line="360" w:lineRule="auto"/>
        <w:rPr>
          <w:rFonts w:ascii="Arial" w:hAnsi="Arial" w:cs="Arial"/>
        </w:rPr>
      </w:pPr>
      <w:r w:rsidRPr="00390868">
        <w:rPr>
          <w:rFonts w:ascii="Arial" w:hAnsi="Arial" w:cs="Arial"/>
        </w:rPr>
        <w:t xml:space="preserve">Ultimately, the plan is designed not merely to launch a garage, but to </w:t>
      </w:r>
      <w:r w:rsidRPr="007C1450">
        <w:rPr>
          <w:rFonts w:ascii="Arial" w:hAnsi="Arial" w:cs="Arial"/>
        </w:rPr>
        <w:t>systematise a repeatable, de-risked method for building and scaling an integrated automotive service estate.</w:t>
      </w:r>
    </w:p>
    <w:p w14:paraId="5A6AB4AD" w14:textId="4DC4575E" w:rsidR="004B36CF" w:rsidRPr="00390868" w:rsidRDefault="00CD08CD" w:rsidP="007C1450">
      <w:pPr>
        <w:pStyle w:val="Heading1"/>
        <w:spacing w:line="360" w:lineRule="auto"/>
        <w:rPr>
          <w:rFonts w:ascii="Arial" w:hAnsi="Arial" w:cs="Arial"/>
        </w:rPr>
      </w:pPr>
      <w:bookmarkStart w:id="150" w:name="_Toc218629313"/>
      <w:r w:rsidRPr="00390868">
        <w:rPr>
          <w:rFonts w:ascii="Arial" w:hAnsi="Arial" w:cs="Arial"/>
        </w:rPr>
        <w:t>Reference</w:t>
      </w:r>
      <w:r w:rsidR="00D2190E" w:rsidRPr="00390868">
        <w:rPr>
          <w:rFonts w:ascii="Arial" w:hAnsi="Arial" w:cs="Arial"/>
        </w:rPr>
        <w:t>s</w:t>
      </w:r>
      <w:bookmarkEnd w:id="150"/>
    </w:p>
    <w:p w14:paraId="2E87F8C9" w14:textId="77777777" w:rsidR="007C1450" w:rsidRPr="00F02D58" w:rsidRDefault="007C1450" w:rsidP="009A562A">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ABI (2024) Motor insurers pay out record amounts to help keep motorists mobile. Available at: </w:t>
      </w:r>
      <w:hyperlink r:id="rId20" w:history="1">
        <w:r w:rsidRPr="001A5810">
          <w:rPr>
            <w:rStyle w:val="Hyperlink"/>
            <w:rFonts w:ascii="Arial" w:eastAsiaTheme="majorEastAsia" w:hAnsi="Arial" w:cs="Arial"/>
            <w:sz w:val="22"/>
            <w:szCs w:val="22"/>
          </w:rPr>
          <w:t>https://www.abi.org.uk/news/news-articles/2024/4/motor-insurers-pay-out-record-amounts-to-help-keep-motorists-mobile/</w:t>
        </w:r>
      </w:hyperlink>
      <w:r>
        <w:rPr>
          <w:rStyle w:val="Strong"/>
          <w:rFonts w:ascii="Arial" w:eastAsiaTheme="majorEastAsia" w:hAnsi="Arial" w:cs="Arial"/>
          <w:b w:val="0"/>
          <w:bCs w:val="0"/>
          <w:sz w:val="22"/>
          <w:szCs w:val="22"/>
        </w:rPr>
        <w:t xml:space="preserve"> </w:t>
      </w:r>
      <w:r w:rsidRPr="00F02D58">
        <w:rPr>
          <w:rStyle w:val="Strong"/>
          <w:rFonts w:ascii="Arial" w:eastAsiaTheme="majorEastAsia" w:hAnsi="Arial" w:cs="Arial"/>
          <w:b w:val="0"/>
          <w:bCs w:val="0"/>
          <w:sz w:val="22"/>
          <w:szCs w:val="22"/>
        </w:rPr>
        <w:t xml:space="preserve">(Accessed: </w:t>
      </w:r>
      <w:r>
        <w:rPr>
          <w:rStyle w:val="Strong"/>
          <w:rFonts w:ascii="Arial" w:eastAsiaTheme="majorEastAsia" w:hAnsi="Arial" w:cs="Arial"/>
          <w:b w:val="0"/>
          <w:bCs w:val="0"/>
          <w:sz w:val="22"/>
          <w:szCs w:val="22"/>
        </w:rPr>
        <w:t>10</w:t>
      </w:r>
      <w:r w:rsidRPr="00F02D58">
        <w:rPr>
          <w:rStyle w:val="Strong"/>
          <w:rFonts w:ascii="Arial" w:eastAsiaTheme="majorEastAsia" w:hAnsi="Arial" w:cs="Arial"/>
          <w:b w:val="0"/>
          <w:bCs w:val="0"/>
          <w:sz w:val="22"/>
          <w:szCs w:val="22"/>
        </w:rPr>
        <w:t xml:space="preserve"> </w:t>
      </w:r>
      <w:r>
        <w:rPr>
          <w:rStyle w:val="Strong"/>
          <w:rFonts w:ascii="Arial" w:eastAsiaTheme="majorEastAsia" w:hAnsi="Arial" w:cs="Arial"/>
          <w:b w:val="0"/>
          <w:bCs w:val="0"/>
          <w:sz w:val="22"/>
          <w:szCs w:val="22"/>
        </w:rPr>
        <w:t>October</w:t>
      </w:r>
      <w:r w:rsidRPr="00F02D58">
        <w:rPr>
          <w:rStyle w:val="Strong"/>
          <w:rFonts w:ascii="Arial" w:eastAsiaTheme="majorEastAsia" w:hAnsi="Arial" w:cs="Arial"/>
          <w:b w:val="0"/>
          <w:bCs w:val="0"/>
          <w:sz w:val="22"/>
          <w:szCs w:val="22"/>
        </w:rPr>
        <w:t xml:space="preserve"> 202</w:t>
      </w:r>
      <w:r>
        <w:rPr>
          <w:rStyle w:val="Strong"/>
          <w:rFonts w:ascii="Arial" w:eastAsiaTheme="majorEastAsia" w:hAnsi="Arial" w:cs="Arial"/>
          <w:b w:val="0"/>
          <w:bCs w:val="0"/>
          <w:sz w:val="22"/>
          <w:szCs w:val="22"/>
        </w:rPr>
        <w:t>5</w:t>
      </w:r>
      <w:r w:rsidRPr="00F02D58">
        <w:rPr>
          <w:rStyle w:val="Strong"/>
          <w:rFonts w:ascii="Arial" w:eastAsiaTheme="majorEastAsia" w:hAnsi="Arial" w:cs="Arial"/>
          <w:b w:val="0"/>
          <w:bCs w:val="0"/>
          <w:sz w:val="22"/>
          <w:szCs w:val="22"/>
        </w:rPr>
        <w:t>).</w:t>
      </w:r>
    </w:p>
    <w:p w14:paraId="31600FBD"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Armstrong, M. (2009) Armstrong’s Handbook of Performance Management: An Evidence-based Guide to Delivering High Performance. 4th edn. London: Kogan Page</w:t>
      </w:r>
      <w:r w:rsidRPr="00F02D58">
        <w:rPr>
          <w:rStyle w:val="Strong"/>
          <w:rFonts w:ascii="Arial" w:eastAsiaTheme="majorEastAsia" w:hAnsi="Arial" w:cs="Arial"/>
          <w:b w:val="0"/>
          <w:bCs w:val="0"/>
          <w:sz w:val="22"/>
          <w:szCs w:val="22"/>
        </w:rPr>
        <w:t>.</w:t>
      </w:r>
    </w:p>
    <w:p w14:paraId="4D488709"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Armstrong, M. (2023) Armstrong’s Handbook of Human Resource Management Practice. 16th edn. London: Kogan Page.</w:t>
      </w:r>
    </w:p>
    <w:p w14:paraId="72713D65"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Barney, J. (1991) ‘Firm resources and sustained competitive advantage’, Journal of Management, 17(1), pp. 99–120.</w:t>
      </w:r>
    </w:p>
    <w:p w14:paraId="7D4D3B08"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BEIS (2023) Review of Net Zero. London: Department for Business, Energy &amp; Industrial Strategy. Available at: </w:t>
      </w:r>
      <w:hyperlink r:id="rId21" w:history="1">
        <w:r w:rsidRPr="001A5810">
          <w:rPr>
            <w:rStyle w:val="Hyperlink"/>
            <w:rFonts w:ascii="Arial" w:eastAsiaTheme="majorEastAsia" w:hAnsi="Arial" w:cs="Arial"/>
            <w:sz w:val="22"/>
            <w:szCs w:val="22"/>
          </w:rPr>
          <w:t>https://www.gov.uk/government/publications/review-of-net-zero</w:t>
        </w:r>
      </w:hyperlink>
      <w:r>
        <w:rPr>
          <w:rStyle w:val="Strong"/>
          <w:rFonts w:ascii="Arial" w:eastAsiaTheme="majorEastAsia" w:hAnsi="Arial" w:cs="Arial"/>
          <w:b w:val="0"/>
          <w:bCs w:val="0"/>
          <w:sz w:val="22"/>
          <w:szCs w:val="22"/>
        </w:rPr>
        <w:t xml:space="preserve"> </w:t>
      </w:r>
      <w:r w:rsidRPr="00F02D58">
        <w:rPr>
          <w:rStyle w:val="Strong"/>
          <w:rFonts w:ascii="Arial" w:eastAsiaTheme="majorEastAsia" w:hAnsi="Arial" w:cs="Arial"/>
          <w:b w:val="0"/>
          <w:bCs w:val="0"/>
          <w:sz w:val="22"/>
          <w:szCs w:val="22"/>
        </w:rPr>
        <w:t xml:space="preserve"> (Accessed: </w:t>
      </w:r>
      <w:r>
        <w:rPr>
          <w:rStyle w:val="Strong"/>
          <w:rFonts w:ascii="Arial" w:eastAsiaTheme="majorEastAsia" w:hAnsi="Arial" w:cs="Arial"/>
          <w:b w:val="0"/>
          <w:bCs w:val="0"/>
          <w:sz w:val="22"/>
          <w:szCs w:val="22"/>
        </w:rPr>
        <w:t>26</w:t>
      </w:r>
      <w:r w:rsidRPr="007C1450">
        <w:rPr>
          <w:rStyle w:val="Strong"/>
          <w:rFonts w:ascii="Arial" w:eastAsiaTheme="majorEastAsia" w:hAnsi="Arial" w:cs="Arial"/>
          <w:b w:val="0"/>
          <w:bCs w:val="0"/>
          <w:sz w:val="22"/>
          <w:szCs w:val="22"/>
        </w:rPr>
        <w:t xml:space="preserve"> October 2025</w:t>
      </w:r>
      <w:r w:rsidRPr="00F02D58">
        <w:rPr>
          <w:rStyle w:val="Strong"/>
          <w:rFonts w:ascii="Arial" w:eastAsiaTheme="majorEastAsia" w:hAnsi="Arial" w:cs="Arial"/>
          <w:b w:val="0"/>
          <w:bCs w:val="0"/>
          <w:sz w:val="22"/>
          <w:szCs w:val="22"/>
        </w:rPr>
        <w:t>).</w:t>
      </w:r>
    </w:p>
    <w:p w14:paraId="16DE9F1D"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lastRenderedPageBreak/>
        <w:t>Berger, A. N., and Udell, G. F. (2006). A more complete conceptual framework for SME finance. </w:t>
      </w:r>
      <w:r w:rsidRPr="00F02D58">
        <w:rPr>
          <w:rStyle w:val="Strong"/>
          <w:rFonts w:ascii="Arial" w:eastAsiaTheme="majorEastAsia" w:hAnsi="Arial" w:cs="Arial"/>
          <w:b w:val="0"/>
          <w:bCs w:val="0"/>
          <w:i/>
          <w:iCs/>
          <w:sz w:val="22"/>
          <w:szCs w:val="22"/>
        </w:rPr>
        <w:t>Journal of Banking &amp; Finance</w:t>
      </w:r>
      <w:r w:rsidRPr="00F02D58">
        <w:rPr>
          <w:rStyle w:val="Strong"/>
          <w:rFonts w:ascii="Arial" w:eastAsiaTheme="majorEastAsia" w:hAnsi="Arial" w:cs="Arial"/>
          <w:b w:val="0"/>
          <w:bCs w:val="0"/>
          <w:sz w:val="22"/>
          <w:szCs w:val="22"/>
        </w:rPr>
        <w:t>.</w:t>
      </w:r>
    </w:p>
    <w:p w14:paraId="758AE317"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Berk, J. and DeMarzo, P. (2023) </w:t>
      </w:r>
      <w:r w:rsidRPr="00F02D58">
        <w:rPr>
          <w:rStyle w:val="Strong"/>
          <w:rFonts w:ascii="Arial" w:eastAsiaTheme="majorEastAsia" w:hAnsi="Arial" w:cs="Arial"/>
          <w:b w:val="0"/>
          <w:bCs w:val="0"/>
          <w:i/>
          <w:iCs/>
          <w:sz w:val="22"/>
          <w:szCs w:val="22"/>
        </w:rPr>
        <w:t>Corporate Finance</w:t>
      </w:r>
      <w:r w:rsidRPr="00F02D58">
        <w:rPr>
          <w:rStyle w:val="Strong"/>
          <w:rFonts w:ascii="Arial" w:eastAsiaTheme="majorEastAsia" w:hAnsi="Arial" w:cs="Arial"/>
          <w:b w:val="0"/>
          <w:bCs w:val="0"/>
          <w:sz w:val="22"/>
          <w:szCs w:val="22"/>
        </w:rPr>
        <w:t>. 6th global edn. Harlow: Pearson.</w:t>
      </w:r>
    </w:p>
    <w:p w14:paraId="6C36D51A" w14:textId="77777777" w:rsidR="007C1450" w:rsidRPr="00F02D58" w:rsidRDefault="007C1450" w:rsidP="00F02D58">
      <w:pPr>
        <w:pStyle w:val="NormalWeb"/>
        <w:spacing w:line="360" w:lineRule="auto"/>
        <w:ind w:left="360"/>
        <w:rPr>
          <w:rStyle w:val="Strong"/>
          <w:rFonts w:ascii="Arial" w:eastAsiaTheme="majorEastAsia" w:hAnsi="Arial" w:cs="Arial"/>
          <w:b w:val="0"/>
          <w:bCs w:val="0"/>
          <w:sz w:val="22"/>
          <w:szCs w:val="22"/>
        </w:rPr>
      </w:pPr>
      <w:r w:rsidRPr="00F02D58">
        <w:rPr>
          <w:rStyle w:val="Strong"/>
          <w:rFonts w:ascii="Arial" w:eastAsiaTheme="majorEastAsia" w:hAnsi="Arial" w:cs="Arial"/>
          <w:b w:val="0"/>
          <w:bCs w:val="0"/>
          <w:sz w:val="22"/>
          <w:szCs w:val="22"/>
        </w:rPr>
        <w:t>Boxall, P., and Purcell, J. (2016). </w:t>
      </w:r>
      <w:r w:rsidRPr="00F02D58">
        <w:rPr>
          <w:rStyle w:val="Strong"/>
          <w:rFonts w:ascii="Arial" w:eastAsiaTheme="majorEastAsia" w:hAnsi="Arial" w:cs="Arial"/>
          <w:b w:val="0"/>
          <w:bCs w:val="0"/>
          <w:i/>
          <w:iCs/>
          <w:sz w:val="22"/>
          <w:szCs w:val="22"/>
        </w:rPr>
        <w:t>Strategy and human resource management</w:t>
      </w:r>
      <w:r w:rsidRPr="00F02D58">
        <w:rPr>
          <w:rStyle w:val="Strong"/>
          <w:rFonts w:ascii="Arial" w:eastAsiaTheme="majorEastAsia" w:hAnsi="Arial" w:cs="Arial"/>
          <w:b w:val="0"/>
          <w:bCs w:val="0"/>
          <w:sz w:val="22"/>
          <w:szCs w:val="22"/>
        </w:rPr>
        <w:t>. Palgrave Macmillan.</w:t>
      </w:r>
    </w:p>
    <w:p w14:paraId="0E9A2815" w14:textId="77777777" w:rsidR="007C1450" w:rsidRPr="00F02D58" w:rsidRDefault="007C1450" w:rsidP="00F02D58">
      <w:pPr>
        <w:pStyle w:val="NormalWeb"/>
        <w:spacing w:line="360" w:lineRule="auto"/>
        <w:ind w:left="360"/>
        <w:rPr>
          <w:rStyle w:val="Strong"/>
          <w:rFonts w:eastAsiaTheme="majorEastAsia"/>
          <w:b w:val="0"/>
          <w:bCs w:val="0"/>
          <w:sz w:val="22"/>
          <w:szCs w:val="22"/>
        </w:rPr>
      </w:pPr>
      <w:r w:rsidRPr="00F02D58">
        <w:rPr>
          <w:rStyle w:val="Strong"/>
          <w:rFonts w:ascii="Arial" w:eastAsiaTheme="majorEastAsia" w:hAnsi="Arial" w:cs="Arial"/>
          <w:b w:val="0"/>
          <w:bCs w:val="0"/>
          <w:sz w:val="22"/>
          <w:szCs w:val="22"/>
        </w:rPr>
        <w:t>Cassar, G. (2022) ‘Financial planning and startup performance’, </w:t>
      </w:r>
      <w:r w:rsidRPr="00F02D58">
        <w:rPr>
          <w:rStyle w:val="Strong"/>
          <w:rFonts w:ascii="Arial" w:eastAsiaTheme="majorEastAsia" w:hAnsi="Arial" w:cs="Arial"/>
          <w:b w:val="0"/>
          <w:bCs w:val="0"/>
          <w:i/>
          <w:iCs/>
          <w:sz w:val="22"/>
          <w:szCs w:val="22"/>
        </w:rPr>
        <w:t>Journal of Business Venturing</w:t>
      </w:r>
      <w:r w:rsidRPr="00F02D58">
        <w:rPr>
          <w:rStyle w:val="Strong"/>
          <w:rFonts w:ascii="Arial" w:eastAsiaTheme="majorEastAsia" w:hAnsi="Arial" w:cs="Arial"/>
          <w:b w:val="0"/>
          <w:bCs w:val="0"/>
          <w:sz w:val="22"/>
          <w:szCs w:val="22"/>
        </w:rPr>
        <w:t>, 37(5), p. 106246.</w:t>
      </w:r>
    </w:p>
    <w:p w14:paraId="4B0054D1"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Christopher, M.</w:t>
      </w:r>
      <w:r w:rsidRPr="00390868">
        <w:rPr>
          <w:rFonts w:ascii="Arial" w:hAnsi="Arial" w:cs="Arial"/>
          <w:sz w:val="22"/>
          <w:szCs w:val="22"/>
        </w:rPr>
        <w:t xml:space="preserve"> (2016) </w:t>
      </w:r>
      <w:r w:rsidRPr="00390868">
        <w:rPr>
          <w:rStyle w:val="Emphasis"/>
          <w:rFonts w:ascii="Arial" w:eastAsiaTheme="majorEastAsia" w:hAnsi="Arial" w:cs="Arial"/>
          <w:sz w:val="22"/>
          <w:szCs w:val="22"/>
        </w:rPr>
        <w:t>Logistics and supply chain management</w:t>
      </w:r>
      <w:r w:rsidRPr="00390868">
        <w:rPr>
          <w:rFonts w:ascii="Arial" w:hAnsi="Arial" w:cs="Arial"/>
          <w:sz w:val="22"/>
          <w:szCs w:val="22"/>
        </w:rPr>
        <w:t>. 5th edn. Harlow: Pearson Education.</w:t>
      </w:r>
    </w:p>
    <w:p w14:paraId="66C2AFB0" w14:textId="77777777" w:rsidR="007C1450" w:rsidRPr="00EE7BF3" w:rsidRDefault="007C1450" w:rsidP="00EE7BF3">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Companies Act 2006, c. 46. Available at: </w:t>
      </w:r>
      <w:hyperlink r:id="rId22" w:history="1">
        <w:r w:rsidRPr="001A5810">
          <w:rPr>
            <w:rStyle w:val="Hyperlink"/>
            <w:rFonts w:ascii="Arial" w:eastAsiaTheme="majorEastAsia" w:hAnsi="Arial" w:cs="Arial"/>
            <w:sz w:val="22"/>
            <w:szCs w:val="22"/>
          </w:rPr>
          <w:t>https://www.legislation.gov.uk/ukpga/2006/46/contents</w:t>
        </w:r>
      </w:hyperlink>
      <w:r>
        <w:rPr>
          <w:rStyle w:val="Strong"/>
          <w:rFonts w:ascii="Arial" w:eastAsiaTheme="majorEastAsia" w:hAnsi="Arial" w:cs="Arial"/>
          <w:b w:val="0"/>
          <w:bCs w:val="0"/>
          <w:sz w:val="22"/>
          <w:szCs w:val="22"/>
        </w:rPr>
        <w:t xml:space="preserve"> </w:t>
      </w:r>
      <w:r w:rsidRPr="00EE7BF3">
        <w:rPr>
          <w:rStyle w:val="Strong"/>
          <w:rFonts w:ascii="Arial" w:eastAsiaTheme="majorEastAsia" w:hAnsi="Arial" w:cs="Arial"/>
          <w:b w:val="0"/>
          <w:bCs w:val="0"/>
          <w:sz w:val="22"/>
          <w:szCs w:val="22"/>
        </w:rPr>
        <w:t>(Accessed: 27 September 2025).</w:t>
      </w:r>
    </w:p>
    <w:p w14:paraId="55DAE401" w14:textId="77777777" w:rsidR="007C1450" w:rsidRPr="00EE7BF3" w:rsidRDefault="007C1450" w:rsidP="00EE7BF3">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 xml:space="preserve">Companies House (2024) Set up a private limited company. </w:t>
      </w:r>
      <w:hyperlink r:id="rId23" w:history="1">
        <w:r w:rsidRPr="001A5810">
          <w:rPr>
            <w:rStyle w:val="Hyperlink"/>
            <w:rFonts w:ascii="Arial" w:eastAsiaTheme="majorEastAsia" w:hAnsi="Arial" w:cs="Arial"/>
            <w:sz w:val="22"/>
            <w:szCs w:val="22"/>
          </w:rPr>
          <w:t>https://www.gov.uk/limited-company-formation</w:t>
        </w:r>
      </w:hyperlink>
      <w:r>
        <w:rPr>
          <w:rStyle w:val="Strong"/>
          <w:rFonts w:ascii="Arial" w:eastAsiaTheme="majorEastAsia" w:hAnsi="Arial" w:cs="Arial"/>
          <w:b w:val="0"/>
          <w:bCs w:val="0"/>
          <w:sz w:val="22"/>
          <w:szCs w:val="22"/>
        </w:rPr>
        <w:t xml:space="preserve"> </w:t>
      </w:r>
      <w:r w:rsidRPr="00EE7BF3">
        <w:rPr>
          <w:rStyle w:val="Strong"/>
          <w:rFonts w:ascii="Arial" w:eastAsiaTheme="majorEastAsia" w:hAnsi="Arial" w:cs="Arial"/>
          <w:b w:val="0"/>
          <w:bCs w:val="0"/>
          <w:sz w:val="22"/>
          <w:szCs w:val="22"/>
        </w:rPr>
        <w:t xml:space="preserve">(Accessed: </w:t>
      </w:r>
      <w:r>
        <w:rPr>
          <w:rStyle w:val="Strong"/>
          <w:rFonts w:ascii="Arial" w:eastAsiaTheme="majorEastAsia" w:hAnsi="Arial" w:cs="Arial"/>
          <w:b w:val="0"/>
          <w:bCs w:val="0"/>
          <w:sz w:val="22"/>
          <w:szCs w:val="22"/>
        </w:rPr>
        <w:t>29</w:t>
      </w:r>
      <w:r w:rsidRPr="00EE7BF3">
        <w:rPr>
          <w:rStyle w:val="Strong"/>
          <w:rFonts w:ascii="Arial" w:eastAsiaTheme="majorEastAsia" w:hAnsi="Arial" w:cs="Arial"/>
          <w:b w:val="0"/>
          <w:bCs w:val="0"/>
          <w:sz w:val="22"/>
          <w:szCs w:val="22"/>
        </w:rPr>
        <w:t xml:space="preserve"> September 2025).</w:t>
      </w:r>
    </w:p>
    <w:p w14:paraId="4969D7E0" w14:textId="77777777" w:rsidR="007C1450" w:rsidRPr="00EE7BF3" w:rsidRDefault="007C1450" w:rsidP="003B3BEF">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 xml:space="preserve">Cooper, R.G. (2023) </w:t>
      </w:r>
      <w:r w:rsidRPr="00EE7BF3">
        <w:rPr>
          <w:rStyle w:val="Strong"/>
          <w:rFonts w:ascii="Arial" w:eastAsiaTheme="majorEastAsia" w:hAnsi="Arial" w:cs="Arial"/>
          <w:b w:val="0"/>
          <w:bCs w:val="0"/>
          <w:i/>
          <w:iCs/>
          <w:sz w:val="22"/>
          <w:szCs w:val="22"/>
        </w:rPr>
        <w:t>The Stage-Gate® model: an overview</w:t>
      </w:r>
      <w:r w:rsidRPr="00EE7BF3">
        <w:rPr>
          <w:rStyle w:val="Strong"/>
          <w:rFonts w:ascii="Arial" w:eastAsiaTheme="majorEastAsia" w:hAnsi="Arial" w:cs="Arial"/>
          <w:b w:val="0"/>
          <w:bCs w:val="0"/>
          <w:sz w:val="22"/>
          <w:szCs w:val="22"/>
        </w:rPr>
        <w:t xml:space="preserve">. Available at: </w:t>
      </w:r>
      <w:hyperlink r:id="rId24" w:history="1">
        <w:r w:rsidRPr="001A5810">
          <w:rPr>
            <w:rStyle w:val="Hyperlink"/>
            <w:rFonts w:ascii="Arial" w:eastAsiaTheme="majorEastAsia" w:hAnsi="Arial" w:cs="Arial"/>
            <w:sz w:val="22"/>
            <w:szCs w:val="22"/>
          </w:rPr>
          <w:t>https://www.stage-gate.com/blog/the-stage-gate-model-an-overview/</w:t>
        </w:r>
      </w:hyperlink>
      <w:r>
        <w:rPr>
          <w:rFonts w:ascii="Arial" w:eastAsiaTheme="majorEastAsia" w:hAnsi="Arial" w:cs="Arial"/>
          <w:sz w:val="22"/>
          <w:szCs w:val="22"/>
        </w:rPr>
        <w:t xml:space="preserve"> </w:t>
      </w:r>
      <w:r w:rsidRPr="00EE7BF3">
        <w:rPr>
          <w:rStyle w:val="Strong"/>
          <w:rFonts w:ascii="Arial" w:eastAsiaTheme="majorEastAsia" w:hAnsi="Arial" w:cs="Arial"/>
          <w:b w:val="0"/>
          <w:bCs w:val="0"/>
          <w:sz w:val="22"/>
          <w:szCs w:val="22"/>
        </w:rPr>
        <w:t xml:space="preserve">(Accessed: </w:t>
      </w:r>
      <w:r>
        <w:rPr>
          <w:rStyle w:val="Strong"/>
          <w:rFonts w:ascii="Arial" w:eastAsiaTheme="majorEastAsia" w:hAnsi="Arial" w:cs="Arial"/>
          <w:b w:val="0"/>
          <w:bCs w:val="0"/>
          <w:sz w:val="22"/>
          <w:szCs w:val="22"/>
        </w:rPr>
        <w:t>1</w:t>
      </w:r>
      <w:r w:rsidRPr="00EE7BF3">
        <w:rPr>
          <w:rStyle w:val="Strong"/>
          <w:rFonts w:ascii="Arial" w:eastAsiaTheme="majorEastAsia" w:hAnsi="Arial" w:cs="Arial"/>
          <w:b w:val="0"/>
          <w:bCs w:val="0"/>
          <w:sz w:val="22"/>
          <w:szCs w:val="22"/>
        </w:rPr>
        <w:t xml:space="preserve">5 </w:t>
      </w:r>
      <w:r>
        <w:rPr>
          <w:rStyle w:val="Strong"/>
          <w:rFonts w:ascii="Arial" w:eastAsiaTheme="majorEastAsia" w:hAnsi="Arial" w:cs="Arial"/>
          <w:b w:val="0"/>
          <w:bCs w:val="0"/>
          <w:sz w:val="22"/>
          <w:szCs w:val="22"/>
        </w:rPr>
        <w:t>November</w:t>
      </w:r>
      <w:r w:rsidRPr="00EE7BF3">
        <w:rPr>
          <w:rStyle w:val="Strong"/>
          <w:rFonts w:ascii="Arial" w:eastAsiaTheme="majorEastAsia" w:hAnsi="Arial" w:cs="Arial"/>
          <w:b w:val="0"/>
          <w:bCs w:val="0"/>
          <w:sz w:val="22"/>
          <w:szCs w:val="22"/>
        </w:rPr>
        <w:t xml:space="preserve"> 202</w:t>
      </w:r>
      <w:r>
        <w:rPr>
          <w:rStyle w:val="Strong"/>
          <w:rFonts w:ascii="Arial" w:eastAsiaTheme="majorEastAsia" w:hAnsi="Arial" w:cs="Arial"/>
          <w:b w:val="0"/>
          <w:bCs w:val="0"/>
          <w:sz w:val="22"/>
          <w:szCs w:val="22"/>
        </w:rPr>
        <w:t>5</w:t>
      </w:r>
      <w:r w:rsidRPr="00EE7BF3">
        <w:rPr>
          <w:rStyle w:val="Strong"/>
          <w:rFonts w:ascii="Arial" w:eastAsiaTheme="majorEastAsia" w:hAnsi="Arial" w:cs="Arial"/>
          <w:b w:val="0"/>
          <w:bCs w:val="0"/>
          <w:sz w:val="22"/>
          <w:szCs w:val="22"/>
        </w:rPr>
        <w:t>).</w:t>
      </w:r>
    </w:p>
    <w:p w14:paraId="7C8B7A39" w14:textId="77777777" w:rsidR="007C1450" w:rsidRPr="00EE7BF3" w:rsidRDefault="007C1450" w:rsidP="00EE7BF3">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Damodaran, A. (2021) </w:t>
      </w:r>
      <w:r w:rsidRPr="00EE7BF3">
        <w:rPr>
          <w:rStyle w:val="Strong"/>
          <w:rFonts w:ascii="Arial" w:eastAsiaTheme="majorEastAsia" w:hAnsi="Arial" w:cs="Arial"/>
          <w:b w:val="0"/>
          <w:bCs w:val="0"/>
          <w:i/>
          <w:iCs/>
          <w:sz w:val="22"/>
          <w:szCs w:val="22"/>
        </w:rPr>
        <w:t>Narrative and Numbers: The Value of Stories in Business</w:t>
      </w:r>
      <w:r w:rsidRPr="00EE7BF3">
        <w:rPr>
          <w:rStyle w:val="Strong"/>
          <w:rFonts w:ascii="Arial" w:eastAsiaTheme="majorEastAsia" w:hAnsi="Arial" w:cs="Arial"/>
          <w:b w:val="0"/>
          <w:bCs w:val="0"/>
          <w:sz w:val="22"/>
          <w:szCs w:val="22"/>
        </w:rPr>
        <w:t>. New York: Columbia University Press.</w:t>
      </w:r>
    </w:p>
    <w:p w14:paraId="0DDCD259" w14:textId="77777777" w:rsidR="007C1450" w:rsidRPr="00EE7BF3" w:rsidRDefault="007C1450" w:rsidP="00EE7BF3">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Data Protection Act 2018, c. 12. Available at: </w:t>
      </w:r>
      <w:hyperlink r:id="rId25" w:history="1">
        <w:r w:rsidRPr="001A5810">
          <w:rPr>
            <w:rStyle w:val="Hyperlink"/>
            <w:rFonts w:ascii="Arial" w:eastAsiaTheme="majorEastAsia" w:hAnsi="Arial" w:cs="Arial"/>
            <w:sz w:val="22"/>
            <w:szCs w:val="22"/>
          </w:rPr>
          <w:t>https://www.legislation.gov.uk/ukpga/2018/12/contents</w:t>
        </w:r>
      </w:hyperlink>
      <w:r>
        <w:rPr>
          <w:rStyle w:val="Strong"/>
          <w:rFonts w:ascii="Arial" w:eastAsiaTheme="majorEastAsia" w:hAnsi="Arial" w:cs="Arial"/>
          <w:b w:val="0"/>
          <w:bCs w:val="0"/>
          <w:sz w:val="22"/>
          <w:szCs w:val="22"/>
        </w:rPr>
        <w:t xml:space="preserve"> </w:t>
      </w:r>
      <w:r w:rsidRPr="00EE7BF3">
        <w:rPr>
          <w:rStyle w:val="Strong"/>
          <w:rFonts w:ascii="Arial" w:eastAsiaTheme="majorEastAsia" w:hAnsi="Arial" w:cs="Arial"/>
          <w:b w:val="0"/>
          <w:bCs w:val="0"/>
          <w:sz w:val="22"/>
          <w:szCs w:val="22"/>
        </w:rPr>
        <w:t xml:space="preserve">(Accessed: </w:t>
      </w:r>
      <w:r>
        <w:rPr>
          <w:rStyle w:val="Strong"/>
          <w:rFonts w:ascii="Arial" w:eastAsiaTheme="majorEastAsia" w:hAnsi="Arial" w:cs="Arial"/>
          <w:b w:val="0"/>
          <w:bCs w:val="0"/>
          <w:sz w:val="22"/>
          <w:szCs w:val="22"/>
        </w:rPr>
        <w:t>29</w:t>
      </w:r>
      <w:r w:rsidRPr="00EE7BF3">
        <w:rPr>
          <w:rStyle w:val="Strong"/>
          <w:rFonts w:ascii="Arial" w:eastAsiaTheme="majorEastAsia" w:hAnsi="Arial" w:cs="Arial"/>
          <w:b w:val="0"/>
          <w:bCs w:val="0"/>
          <w:sz w:val="22"/>
          <w:szCs w:val="22"/>
        </w:rPr>
        <w:t xml:space="preserve"> </w:t>
      </w:r>
      <w:r>
        <w:rPr>
          <w:rStyle w:val="Strong"/>
          <w:rFonts w:ascii="Arial" w:eastAsiaTheme="majorEastAsia" w:hAnsi="Arial" w:cs="Arial"/>
          <w:b w:val="0"/>
          <w:bCs w:val="0"/>
          <w:sz w:val="22"/>
          <w:szCs w:val="22"/>
        </w:rPr>
        <w:t>September</w:t>
      </w:r>
      <w:r w:rsidRPr="00EE7BF3">
        <w:rPr>
          <w:rStyle w:val="Strong"/>
          <w:rFonts w:ascii="Arial" w:eastAsiaTheme="majorEastAsia" w:hAnsi="Arial" w:cs="Arial"/>
          <w:b w:val="0"/>
          <w:bCs w:val="0"/>
          <w:sz w:val="22"/>
          <w:szCs w:val="22"/>
        </w:rPr>
        <w:t xml:space="preserve"> 202</w:t>
      </w:r>
      <w:r>
        <w:rPr>
          <w:rStyle w:val="Strong"/>
          <w:rFonts w:ascii="Arial" w:eastAsiaTheme="majorEastAsia" w:hAnsi="Arial" w:cs="Arial"/>
          <w:b w:val="0"/>
          <w:bCs w:val="0"/>
          <w:sz w:val="22"/>
          <w:szCs w:val="22"/>
        </w:rPr>
        <w:t>5</w:t>
      </w:r>
      <w:r w:rsidRPr="00EE7BF3">
        <w:rPr>
          <w:rStyle w:val="Strong"/>
          <w:rFonts w:ascii="Arial" w:eastAsiaTheme="majorEastAsia" w:hAnsi="Arial" w:cs="Arial"/>
          <w:b w:val="0"/>
          <w:bCs w:val="0"/>
          <w:sz w:val="22"/>
          <w:szCs w:val="22"/>
        </w:rPr>
        <w:t>).</w:t>
      </w:r>
    </w:p>
    <w:p w14:paraId="6B7E5AB3"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DEFRA</w:t>
      </w:r>
      <w:r w:rsidRPr="00390868">
        <w:rPr>
          <w:rFonts w:ascii="Arial" w:hAnsi="Arial" w:cs="Arial"/>
          <w:sz w:val="22"/>
          <w:szCs w:val="22"/>
        </w:rPr>
        <w:t xml:space="preserve"> (2024) </w:t>
      </w:r>
      <w:r w:rsidRPr="00390868">
        <w:rPr>
          <w:rStyle w:val="Emphasis"/>
          <w:rFonts w:ascii="Arial" w:eastAsiaTheme="majorEastAsia" w:hAnsi="Arial" w:cs="Arial"/>
          <w:sz w:val="22"/>
          <w:szCs w:val="22"/>
        </w:rPr>
        <w:t>Guidance on waste management for automotive businesses</w:t>
      </w:r>
      <w:r w:rsidRPr="00390868">
        <w:rPr>
          <w:rFonts w:ascii="Arial" w:hAnsi="Arial" w:cs="Arial"/>
          <w:sz w:val="22"/>
          <w:szCs w:val="22"/>
        </w:rPr>
        <w:t>. London: Department for Environment, Food &amp; Rural Affairs.</w:t>
      </w:r>
    </w:p>
    <w:p w14:paraId="696A71F9"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Deloitte</w:t>
      </w:r>
      <w:r w:rsidRPr="00390868">
        <w:rPr>
          <w:rFonts w:ascii="Arial" w:hAnsi="Arial" w:cs="Arial"/>
          <w:sz w:val="22"/>
          <w:szCs w:val="22"/>
        </w:rPr>
        <w:t xml:space="preserve"> (2023) </w:t>
      </w:r>
      <w:r w:rsidRPr="00390868">
        <w:rPr>
          <w:rStyle w:val="Emphasis"/>
          <w:rFonts w:ascii="Arial" w:eastAsiaTheme="majorEastAsia" w:hAnsi="Arial" w:cs="Arial"/>
          <w:sz w:val="22"/>
          <w:szCs w:val="22"/>
        </w:rPr>
        <w:t>Data-driven operations in complex service environments</w:t>
      </w:r>
      <w:r w:rsidRPr="00390868">
        <w:rPr>
          <w:rFonts w:ascii="Arial" w:hAnsi="Arial" w:cs="Arial"/>
          <w:sz w:val="22"/>
          <w:szCs w:val="22"/>
        </w:rPr>
        <w:t>. London: Deloitte Insights.</w:t>
      </w:r>
    </w:p>
    <w:p w14:paraId="33A33B7E" w14:textId="77777777" w:rsidR="007C1450" w:rsidRPr="00390868" w:rsidRDefault="007C1450" w:rsidP="00905241">
      <w:pPr>
        <w:spacing w:line="360" w:lineRule="auto"/>
        <w:ind w:left="360"/>
        <w:rPr>
          <w:rFonts w:ascii="Arial" w:hAnsi="Arial" w:cs="Arial"/>
        </w:rPr>
      </w:pPr>
      <w:r w:rsidRPr="00390868">
        <w:rPr>
          <w:rFonts w:ascii="Arial" w:hAnsi="Arial" w:cs="Arial"/>
        </w:rPr>
        <w:t>Denzin, N.K. (2012) </w:t>
      </w:r>
      <w:r w:rsidRPr="00390868">
        <w:rPr>
          <w:rFonts w:ascii="Arial" w:hAnsi="Arial" w:cs="Arial"/>
          <w:i/>
          <w:iCs/>
        </w:rPr>
        <w:t>The Research Act: A Theoretical Introduction to Sociological Methods</w:t>
      </w:r>
      <w:r w:rsidRPr="00390868">
        <w:rPr>
          <w:rFonts w:ascii="Arial" w:hAnsi="Arial" w:cs="Arial"/>
        </w:rPr>
        <w:t>. New York: Routledge.</w:t>
      </w:r>
    </w:p>
    <w:p w14:paraId="182E290B" w14:textId="77777777" w:rsidR="007C1450" w:rsidRPr="00390868" w:rsidRDefault="007C1450" w:rsidP="00905241">
      <w:pPr>
        <w:spacing w:line="360" w:lineRule="auto"/>
        <w:ind w:left="360"/>
        <w:rPr>
          <w:rFonts w:ascii="Arial" w:hAnsi="Arial" w:cs="Arial"/>
        </w:rPr>
      </w:pPr>
      <w:r w:rsidRPr="00390868">
        <w:rPr>
          <w:rFonts w:ascii="Arial" w:hAnsi="Arial" w:cs="Arial"/>
        </w:rPr>
        <w:lastRenderedPageBreak/>
        <w:t>Department for Transport (DfT) (2024) </w:t>
      </w:r>
      <w:r w:rsidRPr="00390868">
        <w:rPr>
          <w:rFonts w:ascii="Arial" w:hAnsi="Arial" w:cs="Arial"/>
          <w:i/>
          <w:iCs/>
        </w:rPr>
        <w:t>Vehicle licensing statistics: 2023</w:t>
      </w:r>
      <w:r w:rsidRPr="00390868">
        <w:rPr>
          <w:rFonts w:ascii="Arial" w:hAnsi="Arial" w:cs="Arial"/>
        </w:rPr>
        <w:t>. Available at: </w:t>
      </w:r>
      <w:hyperlink r:id="rId26" w:tgtFrame="_blank" w:history="1">
        <w:r w:rsidRPr="00390868">
          <w:rPr>
            <w:rStyle w:val="Hyperlink"/>
            <w:rFonts w:ascii="Arial" w:hAnsi="Arial" w:cs="Arial"/>
          </w:rPr>
          <w:t>https://www.gov.uk/government/statistics/vehicle-licensing-statistics-2023</w:t>
        </w:r>
      </w:hyperlink>
      <w:r w:rsidRPr="00390868">
        <w:rPr>
          <w:rFonts w:ascii="Arial" w:hAnsi="Arial" w:cs="Arial"/>
        </w:rPr>
        <w:t> </w:t>
      </w:r>
      <w:r w:rsidRPr="00EE7BF3">
        <w:rPr>
          <w:rFonts w:ascii="Arial" w:hAnsi="Arial" w:cs="Arial"/>
        </w:rPr>
        <w:t>(Accessed: 4 October 2025).</w:t>
      </w:r>
    </w:p>
    <w:p w14:paraId="3DE93D6C" w14:textId="77777777" w:rsidR="007C1450" w:rsidRPr="00390868" w:rsidRDefault="007C1450" w:rsidP="00905241">
      <w:pPr>
        <w:spacing w:line="360" w:lineRule="auto"/>
        <w:ind w:left="360"/>
        <w:rPr>
          <w:rFonts w:ascii="Arial" w:hAnsi="Arial" w:cs="Arial"/>
        </w:rPr>
      </w:pPr>
      <w:r w:rsidRPr="00390868">
        <w:rPr>
          <w:rFonts w:ascii="Arial" w:hAnsi="Arial" w:cs="Arial"/>
        </w:rPr>
        <w:t>Driver and Vehicle Standards Agency (DVSA) (2024) </w:t>
      </w:r>
      <w:r w:rsidRPr="00390868">
        <w:rPr>
          <w:rFonts w:ascii="Arial" w:hAnsi="Arial" w:cs="Arial"/>
          <w:i/>
          <w:iCs/>
        </w:rPr>
        <w:t>MOT testing guide</w:t>
      </w:r>
      <w:r w:rsidRPr="00390868">
        <w:rPr>
          <w:rFonts w:ascii="Arial" w:hAnsi="Arial" w:cs="Arial"/>
        </w:rPr>
        <w:t>. Available at: </w:t>
      </w:r>
      <w:hyperlink r:id="rId27" w:tgtFrame="_blank" w:history="1">
        <w:r w:rsidRPr="00390868">
          <w:rPr>
            <w:rStyle w:val="Hyperlink"/>
            <w:rFonts w:ascii="Arial" w:hAnsi="Arial" w:cs="Arial"/>
          </w:rPr>
          <w:t>https://www.gov.uk/guidance/mot-testing-guide</w:t>
        </w:r>
      </w:hyperlink>
      <w:r w:rsidRPr="00390868">
        <w:rPr>
          <w:rFonts w:ascii="Arial" w:hAnsi="Arial" w:cs="Arial"/>
        </w:rPr>
        <w:t xml:space="preserve"> (Accessed: </w:t>
      </w:r>
      <w:r>
        <w:rPr>
          <w:rFonts w:ascii="Arial" w:hAnsi="Arial" w:cs="Arial"/>
        </w:rPr>
        <w:t>4</w:t>
      </w:r>
      <w:r w:rsidRPr="00390868">
        <w:rPr>
          <w:rFonts w:ascii="Arial" w:hAnsi="Arial" w:cs="Arial"/>
        </w:rPr>
        <w:t xml:space="preserve"> </w:t>
      </w:r>
      <w:r>
        <w:rPr>
          <w:rFonts w:ascii="Arial" w:hAnsi="Arial" w:cs="Arial"/>
        </w:rPr>
        <w:t>October</w:t>
      </w:r>
      <w:r w:rsidRPr="00390868">
        <w:rPr>
          <w:rFonts w:ascii="Arial" w:hAnsi="Arial" w:cs="Arial"/>
        </w:rPr>
        <w:t xml:space="preserve"> 202</w:t>
      </w:r>
      <w:r>
        <w:rPr>
          <w:rFonts w:ascii="Arial" w:hAnsi="Arial" w:cs="Arial"/>
        </w:rPr>
        <w:t>5</w:t>
      </w:r>
      <w:r w:rsidRPr="00390868">
        <w:rPr>
          <w:rFonts w:ascii="Arial" w:hAnsi="Arial" w:cs="Arial"/>
        </w:rPr>
        <w:t>).</w:t>
      </w:r>
    </w:p>
    <w:p w14:paraId="37E63B71" w14:textId="77777777" w:rsidR="007C1450" w:rsidRPr="00390868" w:rsidRDefault="007C1450" w:rsidP="00905241">
      <w:pPr>
        <w:spacing w:line="360" w:lineRule="auto"/>
        <w:ind w:left="360"/>
        <w:rPr>
          <w:rFonts w:ascii="Arial" w:hAnsi="Arial" w:cs="Arial"/>
        </w:rPr>
      </w:pPr>
      <w:r w:rsidRPr="00390868">
        <w:rPr>
          <w:rFonts w:ascii="Arial" w:hAnsi="Arial" w:cs="Arial"/>
        </w:rPr>
        <w:t>Driver and Vehicle Standards Agency (DVSA) (2025) </w:t>
      </w:r>
      <w:r w:rsidRPr="00390868">
        <w:rPr>
          <w:rFonts w:ascii="Arial" w:hAnsi="Arial" w:cs="Arial"/>
          <w:i/>
          <w:iCs/>
        </w:rPr>
        <w:t>MOT testing data for Great Britain</w:t>
      </w:r>
      <w:r w:rsidRPr="00390868">
        <w:rPr>
          <w:rFonts w:ascii="Arial" w:hAnsi="Arial" w:cs="Arial"/>
        </w:rPr>
        <w:t>. Available at: </w:t>
      </w:r>
      <w:hyperlink r:id="rId28" w:tgtFrame="_blank" w:history="1">
        <w:r w:rsidRPr="00390868">
          <w:rPr>
            <w:rStyle w:val="Hyperlink"/>
            <w:rFonts w:ascii="Arial" w:hAnsi="Arial" w:cs="Arial"/>
          </w:rPr>
          <w:t>https://www.gov.uk/government/statistical-data-sets/mot-testing-data-for-great-britain</w:t>
        </w:r>
      </w:hyperlink>
      <w:r w:rsidRPr="00390868">
        <w:rPr>
          <w:rFonts w:ascii="Arial" w:hAnsi="Arial" w:cs="Arial"/>
        </w:rPr>
        <w:t> (Accessed: 27 September 2025).</w:t>
      </w:r>
    </w:p>
    <w:p w14:paraId="16832469" w14:textId="77777777" w:rsidR="007C1450" w:rsidRPr="00390868" w:rsidRDefault="007C1450" w:rsidP="00905241">
      <w:pPr>
        <w:spacing w:line="360" w:lineRule="auto"/>
        <w:ind w:left="360"/>
        <w:rPr>
          <w:rFonts w:ascii="Arial" w:hAnsi="Arial" w:cs="Arial"/>
        </w:rPr>
      </w:pPr>
      <w:r w:rsidRPr="00390868">
        <w:rPr>
          <w:rFonts w:ascii="Arial" w:hAnsi="Arial" w:cs="Arial"/>
        </w:rPr>
        <w:t>FCA (2024) </w:t>
      </w:r>
      <w:r w:rsidRPr="00390868">
        <w:rPr>
          <w:rFonts w:ascii="Arial" w:hAnsi="Arial" w:cs="Arial"/>
          <w:i/>
          <w:iCs/>
        </w:rPr>
        <w:t>Update on motor finance work</w:t>
      </w:r>
      <w:r w:rsidRPr="00390868">
        <w:rPr>
          <w:rFonts w:ascii="Arial" w:hAnsi="Arial" w:cs="Arial"/>
        </w:rPr>
        <w:t>. Available at: </w:t>
      </w:r>
      <w:hyperlink r:id="rId29" w:tgtFrame="_blank" w:history="1">
        <w:r w:rsidRPr="00390868">
          <w:rPr>
            <w:rStyle w:val="Hyperlink"/>
            <w:rFonts w:ascii="Arial" w:hAnsi="Arial" w:cs="Arial"/>
          </w:rPr>
          <w:t>https://www.fca.org.uk/news/statements/update-motor-finance-work</w:t>
        </w:r>
      </w:hyperlink>
      <w:r w:rsidRPr="00390868">
        <w:rPr>
          <w:rFonts w:ascii="Arial" w:hAnsi="Arial" w:cs="Arial"/>
        </w:rPr>
        <w:t> (Accessed: 2 January 2026).</w:t>
      </w:r>
    </w:p>
    <w:p w14:paraId="40189920" w14:textId="77777777" w:rsidR="007C1450" w:rsidRPr="00390868" w:rsidRDefault="007C1450" w:rsidP="00905241">
      <w:pPr>
        <w:spacing w:line="360" w:lineRule="auto"/>
        <w:ind w:left="360"/>
        <w:rPr>
          <w:rFonts w:ascii="Arial" w:hAnsi="Arial" w:cs="Arial"/>
        </w:rPr>
      </w:pPr>
      <w:r w:rsidRPr="00390868">
        <w:rPr>
          <w:rFonts w:ascii="Arial" w:hAnsi="Arial" w:cs="Arial"/>
        </w:rPr>
        <w:t>Financial Reporting Council (2024) </w:t>
      </w:r>
      <w:r w:rsidRPr="00390868">
        <w:rPr>
          <w:rFonts w:ascii="Arial" w:hAnsi="Arial" w:cs="Arial"/>
          <w:i/>
          <w:iCs/>
        </w:rPr>
        <w:t>The UK Corporate Governance Code</w:t>
      </w:r>
      <w:r w:rsidRPr="00390868">
        <w:rPr>
          <w:rFonts w:ascii="Arial" w:hAnsi="Arial" w:cs="Arial"/>
        </w:rPr>
        <w:t>. London: Financial Reporting Council. Available at: </w:t>
      </w:r>
      <w:hyperlink r:id="rId30" w:tgtFrame="_blank" w:history="1">
        <w:r w:rsidRPr="00390868">
          <w:rPr>
            <w:rStyle w:val="Hyperlink"/>
            <w:rFonts w:ascii="Arial" w:hAnsi="Arial" w:cs="Arial"/>
          </w:rPr>
          <w:t>https://www.frc.org.uk/library/standards-codes-policy/corporate-governance/uk-corporate-governance-code/</w:t>
        </w:r>
      </w:hyperlink>
      <w:r w:rsidRPr="00390868">
        <w:rPr>
          <w:rFonts w:ascii="Arial" w:hAnsi="Arial" w:cs="Arial"/>
        </w:rPr>
        <w:t xml:space="preserve"> (Accessed: </w:t>
      </w:r>
      <w:r>
        <w:rPr>
          <w:rFonts w:ascii="Arial" w:hAnsi="Arial" w:cs="Arial"/>
        </w:rPr>
        <w:t>21</w:t>
      </w:r>
      <w:r w:rsidRPr="00390868">
        <w:rPr>
          <w:rFonts w:ascii="Arial" w:hAnsi="Arial" w:cs="Arial"/>
        </w:rPr>
        <w:t xml:space="preserve"> </w:t>
      </w:r>
      <w:r>
        <w:rPr>
          <w:rFonts w:ascii="Arial" w:hAnsi="Arial" w:cs="Arial"/>
        </w:rPr>
        <w:t>December</w:t>
      </w:r>
      <w:r w:rsidRPr="00390868">
        <w:rPr>
          <w:rFonts w:ascii="Arial" w:hAnsi="Arial" w:cs="Arial"/>
        </w:rPr>
        <w:t xml:space="preserve"> 202</w:t>
      </w:r>
      <w:r>
        <w:rPr>
          <w:rFonts w:ascii="Arial" w:hAnsi="Arial" w:cs="Arial"/>
        </w:rPr>
        <w:t>5</w:t>
      </w:r>
      <w:r w:rsidRPr="00390868">
        <w:rPr>
          <w:rFonts w:ascii="Arial" w:hAnsi="Arial" w:cs="Arial"/>
        </w:rPr>
        <w:t>).</w:t>
      </w:r>
    </w:p>
    <w:p w14:paraId="0AB73752" w14:textId="77777777" w:rsidR="007C1450" w:rsidRPr="00EE430F" w:rsidRDefault="007C1450" w:rsidP="00EE430F">
      <w:pPr>
        <w:pStyle w:val="NormalWeb"/>
        <w:spacing w:line="360" w:lineRule="auto"/>
        <w:ind w:left="360"/>
        <w:rPr>
          <w:rFonts w:ascii="Arial" w:hAnsi="Arial" w:cs="Arial"/>
          <w:sz w:val="22"/>
          <w:szCs w:val="22"/>
        </w:rPr>
      </w:pPr>
      <w:r w:rsidRPr="00EE430F">
        <w:rPr>
          <w:rFonts w:ascii="Arial" w:hAnsi="Arial" w:cs="Arial"/>
          <w:sz w:val="22"/>
          <w:szCs w:val="22"/>
        </w:rPr>
        <w:t>Fitzsimmons, J. A., and Fitzsimmons, M. J. (2018). </w:t>
      </w:r>
      <w:r w:rsidRPr="00EE430F">
        <w:rPr>
          <w:i/>
          <w:iCs/>
        </w:rPr>
        <w:t>Service management: Operations, strategy, information technology</w:t>
      </w:r>
      <w:r w:rsidRPr="00EE430F">
        <w:rPr>
          <w:rFonts w:ascii="Arial" w:hAnsi="Arial" w:cs="Arial"/>
          <w:sz w:val="22"/>
          <w:szCs w:val="22"/>
        </w:rPr>
        <w:t xml:space="preserve">. McGraw-Hill. </w:t>
      </w:r>
    </w:p>
    <w:p w14:paraId="31D1FE56" w14:textId="77777777" w:rsidR="007C1450" w:rsidRPr="00EE430F" w:rsidRDefault="007C1450" w:rsidP="00EE430F">
      <w:pPr>
        <w:pStyle w:val="NormalWeb"/>
        <w:spacing w:line="360" w:lineRule="auto"/>
        <w:ind w:left="360"/>
        <w:rPr>
          <w:rFonts w:ascii="Arial" w:hAnsi="Arial" w:cs="Arial"/>
          <w:sz w:val="22"/>
          <w:szCs w:val="22"/>
        </w:rPr>
      </w:pPr>
      <w:r w:rsidRPr="00EE430F">
        <w:rPr>
          <w:rFonts w:ascii="Arial" w:hAnsi="Arial" w:cs="Arial"/>
          <w:sz w:val="22"/>
          <w:szCs w:val="22"/>
        </w:rPr>
        <w:t xml:space="preserve">Frost and Sullivan (2023) European Automotive Aftermarket Outlook. London: Frost &amp; Sullivan. </w:t>
      </w:r>
    </w:p>
    <w:p w14:paraId="6016EFE6" w14:textId="77777777" w:rsidR="007C1450" w:rsidRPr="00EE430F" w:rsidRDefault="007C1450" w:rsidP="00EE430F">
      <w:pPr>
        <w:pStyle w:val="NormalWeb"/>
        <w:spacing w:line="360" w:lineRule="auto"/>
        <w:ind w:left="360"/>
        <w:rPr>
          <w:rFonts w:ascii="Arial" w:hAnsi="Arial" w:cs="Arial"/>
          <w:sz w:val="22"/>
          <w:szCs w:val="22"/>
        </w:rPr>
      </w:pPr>
      <w:r w:rsidRPr="00EE430F">
        <w:rPr>
          <w:rFonts w:ascii="Arial" w:hAnsi="Arial" w:cs="Arial"/>
          <w:sz w:val="22"/>
          <w:szCs w:val="22"/>
        </w:rPr>
        <w:t>Graham, J.R. and Harvey, C.R. (2022) ‘The equity risk premium, the cost of capital, and CFO expectations’, </w:t>
      </w:r>
      <w:r w:rsidRPr="00EE430F">
        <w:rPr>
          <w:i/>
          <w:iCs/>
          <w:sz w:val="22"/>
          <w:szCs w:val="22"/>
        </w:rPr>
        <w:t>Financial Management</w:t>
      </w:r>
      <w:r w:rsidRPr="00EE430F">
        <w:rPr>
          <w:rFonts w:ascii="Arial" w:hAnsi="Arial" w:cs="Arial"/>
          <w:sz w:val="22"/>
          <w:szCs w:val="22"/>
        </w:rPr>
        <w:t>, 51(1), pp. 3-35.</w:t>
      </w:r>
    </w:p>
    <w:p w14:paraId="6AFE2F68" w14:textId="77777777" w:rsidR="007C1450" w:rsidRPr="00EE430F" w:rsidRDefault="007C1450" w:rsidP="00EE430F">
      <w:pPr>
        <w:pStyle w:val="NormalWeb"/>
        <w:spacing w:line="360" w:lineRule="auto"/>
        <w:ind w:left="360"/>
        <w:rPr>
          <w:rFonts w:ascii="Arial" w:hAnsi="Arial" w:cs="Arial"/>
          <w:sz w:val="22"/>
          <w:szCs w:val="22"/>
        </w:rPr>
      </w:pPr>
      <w:r w:rsidRPr="00EE430F">
        <w:rPr>
          <w:rFonts w:ascii="Arial" w:hAnsi="Arial" w:cs="Arial"/>
          <w:sz w:val="22"/>
          <w:szCs w:val="22"/>
        </w:rPr>
        <w:t>Gupta, S., and Zeithaml, V. (2006). Customer metrics and their impact on financial performance. </w:t>
      </w:r>
      <w:r w:rsidRPr="00EE430F">
        <w:rPr>
          <w:i/>
          <w:iCs/>
          <w:sz w:val="22"/>
          <w:szCs w:val="22"/>
        </w:rPr>
        <w:t>Marketing Science</w:t>
      </w:r>
      <w:r w:rsidRPr="00EE430F">
        <w:rPr>
          <w:rFonts w:ascii="Arial" w:hAnsi="Arial" w:cs="Arial"/>
          <w:sz w:val="22"/>
          <w:szCs w:val="22"/>
        </w:rPr>
        <w:t>.</w:t>
      </w:r>
    </w:p>
    <w:p w14:paraId="346D955A" w14:textId="77777777" w:rsidR="007C1450" w:rsidRPr="00EE430F" w:rsidRDefault="007C1450" w:rsidP="00EE430F">
      <w:pPr>
        <w:pStyle w:val="NormalWeb"/>
        <w:spacing w:line="360" w:lineRule="auto"/>
        <w:ind w:left="360"/>
        <w:rPr>
          <w:rFonts w:ascii="Arial" w:hAnsi="Arial" w:cs="Arial"/>
          <w:sz w:val="22"/>
          <w:szCs w:val="22"/>
        </w:rPr>
      </w:pPr>
      <w:r w:rsidRPr="00EE430F">
        <w:rPr>
          <w:rFonts w:ascii="Arial" w:hAnsi="Arial" w:cs="Arial"/>
          <w:sz w:val="22"/>
          <w:szCs w:val="22"/>
        </w:rPr>
        <w:t>HM Revenue and Customs (2024) Seed Enterprise Investment Scheme (SEIS) and Enterprise Investment Scheme (EIS). Available at: </w:t>
      </w:r>
      <w:hyperlink r:id="rId31" w:history="1">
        <w:r w:rsidRPr="001A5810">
          <w:rPr>
            <w:rStyle w:val="Hyperlink"/>
            <w:rFonts w:ascii="Arial" w:hAnsi="Arial" w:cs="Arial"/>
            <w:sz w:val="22"/>
            <w:szCs w:val="22"/>
          </w:rPr>
          <w:t>https://www.gov.uk/guidance/venture-capital-schemes-tax-relief-for-investors</w:t>
        </w:r>
      </w:hyperlink>
      <w:r>
        <w:rPr>
          <w:rFonts w:ascii="Arial" w:hAnsi="Arial" w:cs="Arial"/>
          <w:sz w:val="22"/>
          <w:szCs w:val="22"/>
        </w:rPr>
        <w:t xml:space="preserve"> </w:t>
      </w:r>
      <w:r w:rsidRPr="00EE430F">
        <w:rPr>
          <w:rFonts w:ascii="Arial" w:hAnsi="Arial" w:cs="Arial"/>
          <w:sz w:val="22"/>
          <w:szCs w:val="22"/>
        </w:rPr>
        <w:t>(Accessed: 27 September 2025).</w:t>
      </w:r>
    </w:p>
    <w:p w14:paraId="6B077F2D" w14:textId="77777777" w:rsidR="007C1450" w:rsidRPr="00390868" w:rsidRDefault="007C1450" w:rsidP="00905241">
      <w:pPr>
        <w:pStyle w:val="NormalWeb"/>
        <w:spacing w:line="360" w:lineRule="auto"/>
        <w:ind w:left="360"/>
        <w:rPr>
          <w:rFonts w:ascii="Arial" w:hAnsi="Arial" w:cs="Arial"/>
          <w:sz w:val="22"/>
          <w:szCs w:val="22"/>
        </w:rPr>
      </w:pPr>
      <w:r w:rsidRPr="00390868">
        <w:rPr>
          <w:rFonts w:ascii="Arial" w:hAnsi="Arial" w:cs="Arial"/>
          <w:sz w:val="22"/>
          <w:szCs w:val="22"/>
        </w:rPr>
        <w:t xml:space="preserve">Hopkin, P. (2018) </w:t>
      </w:r>
      <w:r w:rsidRPr="00390868">
        <w:rPr>
          <w:rStyle w:val="Emphasis"/>
          <w:rFonts w:ascii="Arial" w:eastAsiaTheme="majorEastAsia" w:hAnsi="Arial" w:cs="Arial"/>
          <w:sz w:val="22"/>
          <w:szCs w:val="22"/>
        </w:rPr>
        <w:t>Fundamentals of risk management</w:t>
      </w:r>
      <w:r w:rsidRPr="00390868">
        <w:rPr>
          <w:rFonts w:ascii="Arial" w:hAnsi="Arial" w:cs="Arial"/>
          <w:sz w:val="22"/>
          <w:szCs w:val="22"/>
        </w:rPr>
        <w:t>. 5th edn. London: Kogan Page.</w:t>
      </w:r>
    </w:p>
    <w:p w14:paraId="19A6C741"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HSE</w:t>
      </w:r>
      <w:r w:rsidRPr="00390868">
        <w:rPr>
          <w:rFonts w:ascii="Arial" w:hAnsi="Arial" w:cs="Arial"/>
          <w:sz w:val="22"/>
          <w:szCs w:val="22"/>
        </w:rPr>
        <w:t xml:space="preserve"> (2023) </w:t>
      </w:r>
      <w:r w:rsidRPr="00390868">
        <w:rPr>
          <w:rStyle w:val="Emphasis"/>
          <w:rFonts w:ascii="Arial" w:eastAsiaTheme="majorEastAsia" w:hAnsi="Arial" w:cs="Arial"/>
          <w:sz w:val="22"/>
          <w:szCs w:val="22"/>
        </w:rPr>
        <w:t>Health and safety in motor vehicle repair and maintenance</w:t>
      </w:r>
      <w:r w:rsidRPr="00390868">
        <w:rPr>
          <w:rFonts w:ascii="Arial" w:hAnsi="Arial" w:cs="Arial"/>
          <w:sz w:val="22"/>
          <w:szCs w:val="22"/>
        </w:rPr>
        <w:t>. London: Health and Safety Executive.</w:t>
      </w:r>
    </w:p>
    <w:p w14:paraId="2E36BD4A" w14:textId="77777777" w:rsidR="007C1450" w:rsidRPr="00390868" w:rsidRDefault="007C1450" w:rsidP="00905241">
      <w:pPr>
        <w:pStyle w:val="NormalWeb"/>
        <w:spacing w:line="360" w:lineRule="auto"/>
        <w:ind w:left="360"/>
        <w:rPr>
          <w:rFonts w:ascii="Arial" w:hAnsi="Arial" w:cs="Arial"/>
          <w:color w:val="0F1115"/>
        </w:rPr>
      </w:pPr>
      <w:r w:rsidRPr="00390868">
        <w:rPr>
          <w:rFonts w:ascii="Arial" w:hAnsi="Arial" w:cs="Arial"/>
          <w:color w:val="0F1115"/>
        </w:rPr>
        <w:lastRenderedPageBreak/>
        <w:t xml:space="preserve">IBISWorld (2024) </w:t>
      </w:r>
      <w:r w:rsidRPr="00390868">
        <w:rPr>
          <w:rFonts w:ascii="Arial" w:hAnsi="Arial" w:cs="Arial"/>
          <w:i/>
          <w:iCs/>
          <w:color w:val="0F1115"/>
        </w:rPr>
        <w:t>Car servicing and repair in the UK</w:t>
      </w:r>
      <w:r w:rsidRPr="00390868">
        <w:rPr>
          <w:rFonts w:ascii="Arial" w:hAnsi="Arial" w:cs="Arial"/>
          <w:color w:val="0F1115"/>
        </w:rPr>
        <w:t>. London: IBISWorld.</w:t>
      </w:r>
    </w:p>
    <w:p w14:paraId="05088DF6" w14:textId="77777777" w:rsidR="007C1450" w:rsidRPr="00390868" w:rsidRDefault="007C1450" w:rsidP="00905241">
      <w:pPr>
        <w:spacing w:line="360" w:lineRule="auto"/>
        <w:ind w:left="360"/>
        <w:rPr>
          <w:rFonts w:ascii="Arial" w:hAnsi="Arial" w:cs="Arial"/>
        </w:rPr>
      </w:pPr>
      <w:r w:rsidRPr="00390868">
        <w:rPr>
          <w:rFonts w:ascii="Arial" w:hAnsi="Arial" w:cs="Arial"/>
        </w:rPr>
        <w:t>Information Commissioner’s Office (2021) </w:t>
      </w:r>
      <w:r w:rsidRPr="00390868">
        <w:rPr>
          <w:rFonts w:ascii="Arial" w:hAnsi="Arial" w:cs="Arial"/>
          <w:i/>
          <w:iCs/>
        </w:rPr>
        <w:t>Guide to the UK General Data Protection Regulation (UK GDPR)</w:t>
      </w:r>
      <w:r w:rsidRPr="00390868">
        <w:rPr>
          <w:rFonts w:ascii="Arial" w:hAnsi="Arial" w:cs="Arial"/>
        </w:rPr>
        <w:t>. Available at: </w:t>
      </w:r>
      <w:hyperlink r:id="rId32" w:tgtFrame="_blank" w:history="1">
        <w:r w:rsidRPr="00390868">
          <w:rPr>
            <w:rStyle w:val="Hyperlink"/>
            <w:rFonts w:ascii="Arial" w:hAnsi="Arial" w:cs="Arial"/>
          </w:rPr>
          <w:t>https://ico.org.uk/for-organisations/uk-gdpr-guidance-and-resources</w:t>
        </w:r>
      </w:hyperlink>
      <w:r w:rsidRPr="00390868">
        <w:rPr>
          <w:rFonts w:ascii="Arial" w:hAnsi="Arial" w:cs="Arial"/>
        </w:rPr>
        <w:t> (Accessed: 27 September 2025).</w:t>
      </w:r>
    </w:p>
    <w:p w14:paraId="343AD42F" w14:textId="77777777" w:rsidR="007C1450" w:rsidRPr="00390868" w:rsidRDefault="007C1450" w:rsidP="00905241">
      <w:pPr>
        <w:spacing w:line="360" w:lineRule="auto"/>
        <w:ind w:left="360"/>
        <w:rPr>
          <w:rFonts w:ascii="Arial" w:hAnsi="Arial" w:cs="Arial"/>
        </w:rPr>
      </w:pPr>
      <w:r w:rsidRPr="00390868">
        <w:rPr>
          <w:rFonts w:ascii="Arial" w:hAnsi="Arial" w:cs="Arial"/>
        </w:rPr>
        <w:t>Institute of the Motor Industry (2024) </w:t>
      </w:r>
      <w:r w:rsidRPr="00390868">
        <w:rPr>
          <w:rFonts w:ascii="Arial" w:hAnsi="Arial" w:cs="Arial"/>
          <w:i/>
          <w:iCs/>
        </w:rPr>
        <w:t>Automotive labour market and electric vehicle skills gap report</w:t>
      </w:r>
      <w:r w:rsidRPr="00390868">
        <w:rPr>
          <w:rFonts w:ascii="Arial" w:hAnsi="Arial" w:cs="Arial"/>
        </w:rPr>
        <w:t>. London: Institute of the Motor Industry.</w:t>
      </w:r>
    </w:p>
    <w:p w14:paraId="4FEAE34B" w14:textId="77777777" w:rsidR="007C1450" w:rsidRPr="00390868" w:rsidRDefault="007C1450" w:rsidP="00905241">
      <w:pPr>
        <w:pStyle w:val="ds-markdown-paragraph"/>
        <w:shd w:val="clear" w:color="auto" w:fill="FFFFFF"/>
        <w:spacing w:before="0" w:beforeAutospacing="0" w:after="0" w:afterAutospacing="0" w:line="360" w:lineRule="auto"/>
        <w:ind w:left="360"/>
        <w:rPr>
          <w:rFonts w:ascii="Arial" w:hAnsi="Arial" w:cs="Arial"/>
          <w:color w:val="0F1115"/>
        </w:rPr>
      </w:pPr>
      <w:r w:rsidRPr="00390868">
        <w:rPr>
          <w:rFonts w:ascii="Arial" w:hAnsi="Arial" w:cs="Arial"/>
        </w:rPr>
        <w:t xml:space="preserve">Institute of the Motor Industry (IMI) </w:t>
      </w:r>
      <w:r w:rsidRPr="00390868">
        <w:rPr>
          <w:rFonts w:ascii="Arial" w:hAnsi="Arial" w:cs="Arial"/>
          <w:color w:val="0F1115"/>
        </w:rPr>
        <w:t>(2023). </w:t>
      </w:r>
      <w:r w:rsidRPr="00390868">
        <w:rPr>
          <w:rStyle w:val="Emphasis"/>
          <w:rFonts w:ascii="Arial" w:eastAsiaTheme="majorEastAsia" w:hAnsi="Arial" w:cs="Arial"/>
          <w:color w:val="0F1115"/>
        </w:rPr>
        <w:t>UK Automotive Labour Market Report</w:t>
      </w:r>
      <w:r w:rsidRPr="00390868">
        <w:rPr>
          <w:rFonts w:ascii="Arial" w:hAnsi="Arial" w:cs="Arial"/>
          <w:color w:val="0F1115"/>
        </w:rPr>
        <w:t>.</w:t>
      </w:r>
    </w:p>
    <w:p w14:paraId="011E9462"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ISO</w:t>
      </w:r>
      <w:r w:rsidRPr="00390868">
        <w:rPr>
          <w:rFonts w:ascii="Arial" w:hAnsi="Arial" w:cs="Arial"/>
          <w:sz w:val="22"/>
          <w:szCs w:val="22"/>
        </w:rPr>
        <w:t xml:space="preserve"> (2018) </w:t>
      </w:r>
      <w:r w:rsidRPr="00390868">
        <w:rPr>
          <w:rStyle w:val="Emphasis"/>
          <w:rFonts w:ascii="Arial" w:eastAsiaTheme="majorEastAsia" w:hAnsi="Arial" w:cs="Arial"/>
          <w:sz w:val="22"/>
          <w:szCs w:val="22"/>
        </w:rPr>
        <w:t>ISO 31000: Risk management – Guidelines</w:t>
      </w:r>
      <w:r w:rsidRPr="00390868">
        <w:rPr>
          <w:rFonts w:ascii="Arial" w:hAnsi="Arial" w:cs="Arial"/>
          <w:sz w:val="22"/>
          <w:szCs w:val="22"/>
        </w:rPr>
        <w:t>. Geneva: International Organization for Standardization.</w:t>
      </w:r>
    </w:p>
    <w:p w14:paraId="0D2F28CE" w14:textId="77777777" w:rsidR="007C1450" w:rsidRPr="00390868" w:rsidRDefault="007C1450" w:rsidP="00905241">
      <w:pPr>
        <w:pStyle w:val="ds-markdown-paragraph"/>
        <w:shd w:val="clear" w:color="auto" w:fill="FFFFFF"/>
        <w:spacing w:before="240" w:beforeAutospacing="0" w:after="240" w:afterAutospacing="0" w:line="360" w:lineRule="auto"/>
        <w:ind w:left="360"/>
        <w:rPr>
          <w:rFonts w:ascii="Arial" w:hAnsi="Arial" w:cs="Arial"/>
          <w:color w:val="0F1115"/>
        </w:rPr>
      </w:pPr>
      <w:r w:rsidRPr="00390868">
        <w:rPr>
          <w:rFonts w:ascii="Arial" w:hAnsi="Arial" w:cs="Arial"/>
          <w:color w:val="0F1115"/>
        </w:rPr>
        <w:t>J.D. Power (2023) UK Customer Service Index: Automotive Aftersales. London: J.D. Power.</w:t>
      </w:r>
    </w:p>
    <w:p w14:paraId="653D18F6" w14:textId="77777777" w:rsidR="007C1450" w:rsidRPr="00390868" w:rsidRDefault="007C1450" w:rsidP="00905241">
      <w:pPr>
        <w:pStyle w:val="ds-markdown-paragraph"/>
        <w:shd w:val="clear" w:color="auto" w:fill="FFFFFF"/>
        <w:spacing w:before="240" w:beforeAutospacing="0" w:after="240" w:afterAutospacing="0" w:line="360" w:lineRule="auto"/>
        <w:ind w:left="360"/>
        <w:rPr>
          <w:rFonts w:ascii="Arial" w:hAnsi="Arial" w:cs="Arial"/>
          <w:color w:val="0F1115"/>
        </w:rPr>
      </w:pPr>
      <w:r w:rsidRPr="00390868">
        <w:rPr>
          <w:rFonts w:ascii="Arial" w:hAnsi="Arial" w:cs="Arial"/>
          <w:color w:val="0F1115"/>
        </w:rPr>
        <w:t>Johnson, G., Scholes, K. and Whittington, R. (2020) </w:t>
      </w:r>
      <w:r w:rsidRPr="00390868">
        <w:rPr>
          <w:rStyle w:val="Emphasis"/>
          <w:rFonts w:ascii="Arial" w:eastAsiaTheme="majorEastAsia" w:hAnsi="Arial" w:cs="Arial"/>
          <w:color w:val="0F1115"/>
        </w:rPr>
        <w:t>Exploring strategy</w:t>
      </w:r>
      <w:r w:rsidRPr="00390868">
        <w:rPr>
          <w:rFonts w:ascii="Arial" w:hAnsi="Arial" w:cs="Arial"/>
          <w:color w:val="0F1115"/>
        </w:rPr>
        <w:t>. 12th edn. Harlow: Pearson.</w:t>
      </w:r>
    </w:p>
    <w:p w14:paraId="73F38E90" w14:textId="77777777" w:rsidR="007C1450" w:rsidRPr="00390868" w:rsidRDefault="007C1450" w:rsidP="00905241">
      <w:pPr>
        <w:pStyle w:val="NormalWeb"/>
        <w:spacing w:line="360" w:lineRule="auto"/>
        <w:ind w:left="360"/>
        <w:rPr>
          <w:rFonts w:ascii="Arial" w:eastAsiaTheme="minorHAnsi" w:hAnsi="Arial" w:cs="Arial"/>
          <w:i/>
          <w:iCs/>
          <w:kern w:val="2"/>
          <w:sz w:val="22"/>
          <w:szCs w:val="22"/>
          <w:lang w:eastAsia="en-US"/>
          <w14:ligatures w14:val="standardContextual"/>
        </w:rPr>
      </w:pPr>
      <w:r w:rsidRPr="00390868">
        <w:rPr>
          <w:rFonts w:ascii="Arial" w:eastAsiaTheme="minorHAnsi" w:hAnsi="Arial" w:cs="Arial"/>
          <w:i/>
          <w:iCs/>
          <w:kern w:val="2"/>
          <w:sz w:val="22"/>
          <w:szCs w:val="22"/>
          <w:lang w:eastAsia="en-US"/>
          <w14:ligatures w14:val="standardContextual"/>
        </w:rPr>
        <w:t xml:space="preserve">Kaplan, R.S. and Mikes, A. (2012) ‘Managing risks: a new framework’, </w:t>
      </w:r>
      <w:r w:rsidRPr="00390868">
        <w:rPr>
          <w:rFonts w:ascii="Arial" w:eastAsiaTheme="minorHAnsi" w:hAnsi="Arial" w:cs="Arial"/>
          <w:kern w:val="2"/>
          <w:sz w:val="22"/>
          <w:szCs w:val="22"/>
          <w:lang w:eastAsia="en-US"/>
          <w14:ligatures w14:val="standardContextual"/>
        </w:rPr>
        <w:t>Harvard Business Review</w:t>
      </w:r>
      <w:r w:rsidRPr="00390868">
        <w:rPr>
          <w:rFonts w:ascii="Arial" w:eastAsiaTheme="minorHAnsi" w:hAnsi="Arial" w:cs="Arial"/>
          <w:i/>
          <w:iCs/>
          <w:kern w:val="2"/>
          <w:sz w:val="22"/>
          <w:szCs w:val="22"/>
          <w:lang w:eastAsia="en-US"/>
          <w14:ligatures w14:val="standardContextual"/>
        </w:rPr>
        <w:t>, 90(6), pp. 48–60.</w:t>
      </w:r>
    </w:p>
    <w:p w14:paraId="61B10FC4" w14:textId="77777777" w:rsidR="007C1450" w:rsidRPr="00390868" w:rsidRDefault="007C1450" w:rsidP="00905241">
      <w:pPr>
        <w:pStyle w:val="NormalWeb"/>
        <w:spacing w:line="360" w:lineRule="auto"/>
        <w:ind w:left="360"/>
        <w:rPr>
          <w:rFonts w:ascii="Arial" w:hAnsi="Arial" w:cs="Arial"/>
          <w:sz w:val="22"/>
          <w:szCs w:val="22"/>
        </w:rPr>
      </w:pPr>
      <w:r w:rsidRPr="00390868">
        <w:rPr>
          <w:rFonts w:ascii="Arial" w:hAnsi="Arial" w:cs="Arial"/>
          <w:sz w:val="22"/>
          <w:szCs w:val="22"/>
        </w:rPr>
        <w:t xml:space="preserve">Kaplan, R.S. and Norton, D.P. (1992) ‘The Balanced Scorecard – measures that drive performance’, </w:t>
      </w:r>
      <w:r w:rsidRPr="00390868">
        <w:rPr>
          <w:rStyle w:val="Emphasis"/>
          <w:rFonts w:ascii="Arial" w:eastAsiaTheme="majorEastAsia" w:hAnsi="Arial" w:cs="Arial"/>
          <w:sz w:val="22"/>
          <w:szCs w:val="22"/>
        </w:rPr>
        <w:t>Harvard Business Review</w:t>
      </w:r>
      <w:r w:rsidRPr="00390868">
        <w:rPr>
          <w:rFonts w:ascii="Arial" w:hAnsi="Arial" w:cs="Arial"/>
          <w:sz w:val="22"/>
          <w:szCs w:val="22"/>
        </w:rPr>
        <w:t>, 70(1), pp. 71–79.</w:t>
      </w:r>
    </w:p>
    <w:p w14:paraId="60B6A9F1" w14:textId="77777777" w:rsidR="007C1450" w:rsidRPr="00390868" w:rsidRDefault="007C1450" w:rsidP="00905241">
      <w:pPr>
        <w:spacing w:line="360" w:lineRule="auto"/>
        <w:ind w:left="360"/>
        <w:rPr>
          <w:rFonts w:ascii="Arial" w:hAnsi="Arial" w:cs="Arial"/>
        </w:rPr>
      </w:pPr>
      <w:r w:rsidRPr="00390868">
        <w:rPr>
          <w:rFonts w:ascii="Arial" w:hAnsi="Arial" w:cs="Arial"/>
        </w:rPr>
        <w:t>Kotler, P. and Keller, K.L. (2022) </w:t>
      </w:r>
      <w:r w:rsidRPr="00390868">
        <w:rPr>
          <w:rFonts w:ascii="Arial" w:hAnsi="Arial" w:cs="Arial"/>
          <w:i/>
          <w:iCs/>
        </w:rPr>
        <w:t>Marketing Management</w:t>
      </w:r>
      <w:r w:rsidRPr="00390868">
        <w:rPr>
          <w:rFonts w:ascii="Arial" w:hAnsi="Arial" w:cs="Arial"/>
        </w:rPr>
        <w:t>. 16th edn. Harlow: Pearson Education.</w:t>
      </w:r>
    </w:p>
    <w:p w14:paraId="5AA2774A" w14:textId="77777777" w:rsidR="007C1450" w:rsidRPr="00390868" w:rsidRDefault="007C1450" w:rsidP="00905241">
      <w:pPr>
        <w:spacing w:line="360" w:lineRule="auto"/>
        <w:ind w:left="360"/>
        <w:rPr>
          <w:rFonts w:ascii="Arial" w:hAnsi="Arial" w:cs="Arial"/>
        </w:rPr>
      </w:pPr>
      <w:r w:rsidRPr="00390868">
        <w:rPr>
          <w:rFonts w:ascii="Arial" w:hAnsi="Arial" w:cs="Arial"/>
        </w:rPr>
        <w:t>McKinsey and Company (2023) </w:t>
      </w:r>
      <w:r w:rsidRPr="00390868">
        <w:rPr>
          <w:rFonts w:ascii="Arial" w:hAnsi="Arial" w:cs="Arial"/>
          <w:i/>
          <w:iCs/>
        </w:rPr>
        <w:t>The future of the car</w:t>
      </w:r>
      <w:r w:rsidRPr="00390868">
        <w:rPr>
          <w:rFonts w:ascii="Arial" w:hAnsi="Arial" w:cs="Arial"/>
        </w:rPr>
        <w:t>. Available at: </w:t>
      </w:r>
      <w:hyperlink r:id="rId33" w:tgtFrame="_blank" w:history="1">
        <w:r w:rsidRPr="00390868">
          <w:rPr>
            <w:rStyle w:val="Hyperlink"/>
            <w:rFonts w:ascii="Arial" w:hAnsi="Arial" w:cs="Arial"/>
          </w:rPr>
          <w:t>https://www.mckinsey.com/featured-insights/themes/the-future-of-the-car</w:t>
        </w:r>
      </w:hyperlink>
      <w:r w:rsidRPr="00390868">
        <w:rPr>
          <w:rFonts w:ascii="Arial" w:hAnsi="Arial" w:cs="Arial"/>
        </w:rPr>
        <w:t> (Accessed: 2 January 2026).</w:t>
      </w:r>
    </w:p>
    <w:p w14:paraId="25C72B93" w14:textId="77777777" w:rsidR="007C1450" w:rsidRPr="00390868" w:rsidRDefault="007C1450" w:rsidP="00905241">
      <w:pPr>
        <w:pStyle w:val="ds-markdown-paragraph"/>
        <w:shd w:val="clear" w:color="auto" w:fill="FFFFFF"/>
        <w:spacing w:before="0" w:beforeAutospacing="0" w:after="0" w:afterAutospacing="0" w:line="360" w:lineRule="auto"/>
        <w:ind w:left="360"/>
        <w:rPr>
          <w:rFonts w:ascii="Arial" w:hAnsi="Arial" w:cs="Arial"/>
          <w:color w:val="0F1115"/>
        </w:rPr>
      </w:pPr>
      <w:r w:rsidRPr="00390868">
        <w:rPr>
          <w:rFonts w:ascii="Arial" w:hAnsi="Arial" w:cs="Arial"/>
          <w:color w:val="0F1115"/>
        </w:rPr>
        <w:t>Mikes, A., and Kaplan, R. S. (2014). Towards a contingency theory of enterprise risk management. </w:t>
      </w:r>
      <w:r w:rsidRPr="00390868">
        <w:rPr>
          <w:rStyle w:val="Emphasis"/>
          <w:rFonts w:ascii="Arial" w:eastAsiaTheme="majorEastAsia" w:hAnsi="Arial" w:cs="Arial"/>
          <w:color w:val="0F1115"/>
        </w:rPr>
        <w:t>Harvard Business School Working Paper</w:t>
      </w:r>
      <w:r w:rsidRPr="00390868">
        <w:rPr>
          <w:rFonts w:ascii="Arial" w:hAnsi="Arial" w:cs="Arial"/>
          <w:color w:val="0F1115"/>
        </w:rPr>
        <w:t>.</w:t>
      </w:r>
    </w:p>
    <w:p w14:paraId="64DF6A23" w14:textId="77777777" w:rsidR="007C1450" w:rsidRPr="00390868" w:rsidRDefault="007C1450" w:rsidP="00905241">
      <w:pPr>
        <w:spacing w:line="360" w:lineRule="auto"/>
        <w:ind w:left="360"/>
        <w:rPr>
          <w:rFonts w:ascii="Arial" w:hAnsi="Arial" w:cs="Arial"/>
        </w:rPr>
      </w:pPr>
      <w:r w:rsidRPr="00390868">
        <w:rPr>
          <w:rFonts w:ascii="Arial" w:hAnsi="Arial" w:cs="Arial"/>
        </w:rPr>
        <w:t>Mintel (2024) </w:t>
      </w:r>
      <w:r w:rsidRPr="00390868">
        <w:rPr>
          <w:rFonts w:ascii="Arial" w:hAnsi="Arial" w:cs="Arial"/>
          <w:i/>
          <w:iCs/>
        </w:rPr>
        <w:t>UK Car Aftermarket Market Report 2024</w:t>
      </w:r>
      <w:r w:rsidRPr="00390868">
        <w:rPr>
          <w:rFonts w:ascii="Arial" w:hAnsi="Arial" w:cs="Arial"/>
        </w:rPr>
        <w:t>. Available at: </w:t>
      </w:r>
      <w:hyperlink r:id="rId34" w:tgtFrame="_blank" w:history="1">
        <w:r w:rsidRPr="00390868">
          <w:rPr>
            <w:rStyle w:val="Hyperlink"/>
            <w:rFonts w:ascii="Arial" w:hAnsi="Arial" w:cs="Arial"/>
          </w:rPr>
          <w:t>https://store.mintel.com/report/uk-car-aftermarket-market-report-2024</w:t>
        </w:r>
      </w:hyperlink>
      <w:r w:rsidRPr="00390868">
        <w:rPr>
          <w:rFonts w:ascii="Arial" w:hAnsi="Arial" w:cs="Arial"/>
        </w:rPr>
        <w:t> (Accessed: 27 September 2025).</w:t>
      </w:r>
    </w:p>
    <w:p w14:paraId="69F7A258" w14:textId="77777777" w:rsidR="007C1450" w:rsidRPr="00390868" w:rsidRDefault="007C1450" w:rsidP="00905241">
      <w:pPr>
        <w:pStyle w:val="NormalWeb"/>
        <w:spacing w:line="360" w:lineRule="auto"/>
        <w:ind w:left="360"/>
        <w:rPr>
          <w:rFonts w:ascii="Arial" w:hAnsi="Arial" w:cs="Arial"/>
          <w:sz w:val="22"/>
          <w:szCs w:val="22"/>
        </w:rPr>
      </w:pPr>
      <w:r w:rsidRPr="00390868">
        <w:rPr>
          <w:rFonts w:ascii="Arial" w:hAnsi="Arial" w:cs="Arial"/>
          <w:sz w:val="22"/>
          <w:szCs w:val="22"/>
        </w:rPr>
        <w:lastRenderedPageBreak/>
        <w:t xml:space="preserve">Mullenweg, M. and Ries, E. (2023) ‘Your MVP is just the beginning’, </w:t>
      </w:r>
      <w:r w:rsidRPr="00390868">
        <w:rPr>
          <w:rStyle w:val="Emphasis"/>
          <w:rFonts w:ascii="Arial" w:eastAsiaTheme="majorEastAsia" w:hAnsi="Arial" w:cs="Arial"/>
          <w:sz w:val="22"/>
          <w:szCs w:val="22"/>
        </w:rPr>
        <w:t>Medium</w:t>
      </w:r>
      <w:r w:rsidRPr="00390868">
        <w:rPr>
          <w:rFonts w:ascii="Arial" w:hAnsi="Arial" w:cs="Arial"/>
          <w:sz w:val="22"/>
          <w:szCs w:val="22"/>
        </w:rPr>
        <w:t xml:space="preserve">. Available at: </w:t>
      </w:r>
      <w:hyperlink r:id="rId35" w:tgtFrame="_new" w:history="1">
        <w:r w:rsidRPr="00390868">
          <w:rPr>
            <w:rStyle w:val="Hyperlink"/>
            <w:rFonts w:ascii="Arial" w:eastAsiaTheme="majorEastAsia" w:hAnsi="Arial" w:cs="Arial"/>
            <w:sz w:val="22"/>
            <w:szCs w:val="22"/>
          </w:rPr>
          <w:t>https://medium.com/design-bootcamp/your-mvp-is-just-the-beginning-24ad00aa2dc1</w:t>
        </w:r>
      </w:hyperlink>
      <w:r w:rsidRPr="00390868">
        <w:rPr>
          <w:rFonts w:ascii="Arial" w:hAnsi="Arial" w:cs="Arial"/>
          <w:sz w:val="22"/>
          <w:szCs w:val="22"/>
        </w:rPr>
        <w:t xml:space="preserve"> (Accessed: </w:t>
      </w:r>
      <w:r>
        <w:rPr>
          <w:rFonts w:ascii="Arial" w:hAnsi="Arial" w:cs="Arial"/>
          <w:sz w:val="22"/>
          <w:szCs w:val="22"/>
        </w:rPr>
        <w:t>2</w:t>
      </w:r>
      <w:r w:rsidRPr="00390868">
        <w:rPr>
          <w:rFonts w:ascii="Arial" w:hAnsi="Arial" w:cs="Arial"/>
          <w:sz w:val="22"/>
          <w:szCs w:val="22"/>
        </w:rPr>
        <w:t xml:space="preserve"> January 2026).</w:t>
      </w:r>
    </w:p>
    <w:p w14:paraId="5C1BFDCE" w14:textId="77777777" w:rsidR="007C1450" w:rsidRPr="00390868" w:rsidRDefault="007C1450" w:rsidP="00905241">
      <w:pPr>
        <w:spacing w:line="360" w:lineRule="auto"/>
        <w:ind w:left="360"/>
        <w:rPr>
          <w:rFonts w:ascii="Arial" w:hAnsi="Arial" w:cs="Arial"/>
        </w:rPr>
      </w:pPr>
      <w:r w:rsidRPr="00390868">
        <w:rPr>
          <w:rFonts w:ascii="Arial" w:hAnsi="Arial" w:cs="Arial"/>
        </w:rPr>
        <w:t>NimbleFins (2023) </w:t>
      </w:r>
      <w:r w:rsidRPr="00390868">
        <w:rPr>
          <w:rFonts w:ascii="Arial" w:hAnsi="Arial" w:cs="Arial"/>
          <w:i/>
          <w:iCs/>
        </w:rPr>
        <w:t>UK car ownership statistics and regional analysis</w:t>
      </w:r>
      <w:r w:rsidRPr="00390868">
        <w:rPr>
          <w:rFonts w:ascii="Arial" w:hAnsi="Arial" w:cs="Arial"/>
        </w:rPr>
        <w:t>. London: NimbleFins.</w:t>
      </w:r>
    </w:p>
    <w:p w14:paraId="38E4C0FF" w14:textId="77777777" w:rsidR="007C1450" w:rsidRPr="00390868" w:rsidRDefault="007C1450" w:rsidP="00905241">
      <w:pPr>
        <w:spacing w:line="360" w:lineRule="auto"/>
        <w:ind w:left="360"/>
        <w:rPr>
          <w:rFonts w:ascii="Arial" w:hAnsi="Arial" w:cs="Arial"/>
        </w:rPr>
      </w:pPr>
      <w:r w:rsidRPr="00390868">
        <w:rPr>
          <w:rFonts w:ascii="Arial" w:hAnsi="Arial" w:cs="Arial"/>
        </w:rPr>
        <w:t>OECD (2023) </w:t>
      </w:r>
      <w:r w:rsidRPr="00390868">
        <w:rPr>
          <w:rFonts w:ascii="Arial" w:hAnsi="Arial" w:cs="Arial"/>
          <w:i/>
          <w:iCs/>
        </w:rPr>
        <w:t>Transport Strategies for Net-Zero Systems by Design</w:t>
      </w:r>
      <w:r w:rsidRPr="00390868">
        <w:rPr>
          <w:rFonts w:ascii="Arial" w:hAnsi="Arial" w:cs="Arial"/>
        </w:rPr>
        <w:t>. Paris: OECD Publishing. Available at: </w:t>
      </w:r>
      <w:hyperlink r:id="rId36" w:tgtFrame="_blank" w:history="1">
        <w:r w:rsidRPr="00390868">
          <w:rPr>
            <w:rStyle w:val="Hyperlink"/>
            <w:rFonts w:ascii="Arial" w:hAnsi="Arial" w:cs="Arial"/>
          </w:rPr>
          <w:t>https://www.oecd.org/en/publications/transport-strategies-for-net-zero-systems-by-design_0a20f779-en.html</w:t>
        </w:r>
      </w:hyperlink>
      <w:r w:rsidRPr="00390868">
        <w:rPr>
          <w:rFonts w:ascii="Arial" w:hAnsi="Arial" w:cs="Arial"/>
        </w:rPr>
        <w:t> (Accessed: 8 November 202</w:t>
      </w:r>
      <w:r>
        <w:rPr>
          <w:rFonts w:ascii="Arial" w:hAnsi="Arial" w:cs="Arial"/>
        </w:rPr>
        <w:t>5</w:t>
      </w:r>
      <w:r w:rsidRPr="00390868">
        <w:rPr>
          <w:rFonts w:ascii="Arial" w:hAnsi="Arial" w:cs="Arial"/>
        </w:rPr>
        <w:t>).</w:t>
      </w:r>
    </w:p>
    <w:p w14:paraId="3ACCC576" w14:textId="77777777" w:rsidR="007C1450" w:rsidRPr="00390868" w:rsidRDefault="007C1450" w:rsidP="00905241">
      <w:pPr>
        <w:spacing w:line="360" w:lineRule="auto"/>
        <w:ind w:left="360"/>
        <w:rPr>
          <w:rFonts w:ascii="Arial" w:hAnsi="Arial" w:cs="Arial"/>
        </w:rPr>
      </w:pPr>
      <w:r w:rsidRPr="00390868">
        <w:rPr>
          <w:rFonts w:ascii="Arial" w:hAnsi="Arial" w:cs="Arial"/>
        </w:rPr>
        <w:t>ONS (2024) </w:t>
      </w:r>
      <w:r w:rsidRPr="00390868">
        <w:rPr>
          <w:rFonts w:ascii="Arial" w:hAnsi="Arial" w:cs="Arial"/>
          <w:i/>
          <w:iCs/>
        </w:rPr>
        <w:t>UK Business Counts</w:t>
      </w:r>
      <w:r w:rsidRPr="00390868">
        <w:rPr>
          <w:rFonts w:ascii="Arial" w:hAnsi="Arial" w:cs="Arial"/>
        </w:rPr>
        <w:t>. Available at: </w:t>
      </w:r>
      <w:hyperlink r:id="rId37" w:tgtFrame="_blank" w:history="1">
        <w:r w:rsidRPr="00390868">
          <w:rPr>
            <w:rStyle w:val="Hyperlink"/>
            <w:rFonts w:ascii="Arial" w:hAnsi="Arial" w:cs="Arial"/>
          </w:rPr>
          <w:t>https://www.ons.gov.uk/businessindustryandtrade/business/activitysizeandlocation/datasets/businessdemographyreferencetable</w:t>
        </w:r>
      </w:hyperlink>
      <w:r w:rsidRPr="00390868">
        <w:rPr>
          <w:rFonts w:ascii="Arial" w:hAnsi="Arial" w:cs="Arial"/>
        </w:rPr>
        <w:t> (Accessed:</w:t>
      </w:r>
      <w:r>
        <w:rPr>
          <w:rFonts w:ascii="Arial" w:hAnsi="Arial" w:cs="Arial"/>
        </w:rPr>
        <w:t xml:space="preserve"> 7</w:t>
      </w:r>
      <w:r w:rsidRPr="00390868">
        <w:rPr>
          <w:rFonts w:ascii="Arial" w:hAnsi="Arial" w:cs="Arial"/>
        </w:rPr>
        <w:t xml:space="preserve"> November 202</w:t>
      </w:r>
      <w:r>
        <w:rPr>
          <w:rFonts w:ascii="Arial" w:hAnsi="Arial" w:cs="Arial"/>
        </w:rPr>
        <w:t>5</w:t>
      </w:r>
      <w:r w:rsidRPr="00390868">
        <w:rPr>
          <w:rFonts w:ascii="Arial" w:hAnsi="Arial" w:cs="Arial"/>
        </w:rPr>
        <w:t>).</w:t>
      </w:r>
    </w:p>
    <w:p w14:paraId="5CC01D00" w14:textId="77777777" w:rsidR="007C1450" w:rsidRPr="00EE7BF3" w:rsidRDefault="007C1450" w:rsidP="00EE7BF3">
      <w:pPr>
        <w:pStyle w:val="NormalWeb"/>
        <w:spacing w:line="360" w:lineRule="auto"/>
        <w:ind w:left="360"/>
        <w:rPr>
          <w:rStyle w:val="Strong"/>
          <w:rFonts w:ascii="Arial" w:eastAsiaTheme="majorEastAsia" w:hAnsi="Arial" w:cs="Arial"/>
          <w:b w:val="0"/>
          <w:bCs w:val="0"/>
          <w:sz w:val="22"/>
          <w:szCs w:val="22"/>
        </w:rPr>
      </w:pPr>
      <w:r w:rsidRPr="00EE7BF3">
        <w:rPr>
          <w:rStyle w:val="Strong"/>
          <w:rFonts w:ascii="Arial" w:eastAsiaTheme="majorEastAsia" w:hAnsi="Arial" w:cs="Arial"/>
          <w:b w:val="0"/>
          <w:bCs w:val="0"/>
          <w:sz w:val="22"/>
          <w:szCs w:val="22"/>
        </w:rPr>
        <w:t>Osterwalder, A. and Pigneur, Y. (2010) Business Model Generation: A Handbook for Visionaries, Game Changers, and Challengers. New Jersey: Wiley.</w:t>
      </w:r>
    </w:p>
    <w:p w14:paraId="512580BC" w14:textId="77777777" w:rsidR="007C1450" w:rsidRPr="00390868" w:rsidRDefault="007C1450" w:rsidP="00905241">
      <w:pPr>
        <w:pStyle w:val="ds-markdown-paragraph"/>
        <w:shd w:val="clear" w:color="auto" w:fill="FFFFFF"/>
        <w:spacing w:before="240" w:beforeAutospacing="0" w:after="240" w:afterAutospacing="0" w:line="360" w:lineRule="auto"/>
        <w:ind w:left="360"/>
        <w:rPr>
          <w:rFonts w:ascii="Arial" w:hAnsi="Arial" w:cs="Arial"/>
          <w:color w:val="0F1115"/>
        </w:rPr>
      </w:pPr>
      <w:r w:rsidRPr="00390868">
        <w:rPr>
          <w:rFonts w:ascii="Arial" w:hAnsi="Arial" w:cs="Arial"/>
          <w:color w:val="0F1115"/>
        </w:rPr>
        <w:t>Osterwalder, A. and Pigneur, Y. (2010) </w:t>
      </w:r>
      <w:r w:rsidRPr="00390868">
        <w:rPr>
          <w:rStyle w:val="Emphasis"/>
          <w:rFonts w:ascii="Arial" w:eastAsiaTheme="majorEastAsia" w:hAnsi="Arial" w:cs="Arial"/>
          <w:color w:val="0F1115"/>
        </w:rPr>
        <w:t>Business model generation</w:t>
      </w:r>
      <w:r w:rsidRPr="00390868">
        <w:rPr>
          <w:rFonts w:ascii="Arial" w:hAnsi="Arial" w:cs="Arial"/>
          <w:color w:val="0F1115"/>
        </w:rPr>
        <w:t>. Hoboken, NJ: John Wiley &amp; Sons.</w:t>
      </w:r>
    </w:p>
    <w:p w14:paraId="26C8902E" w14:textId="77777777" w:rsidR="007C1450" w:rsidRPr="00390868" w:rsidRDefault="007C1450" w:rsidP="00905241">
      <w:pPr>
        <w:pStyle w:val="NormalWeb"/>
        <w:spacing w:line="360" w:lineRule="auto"/>
        <w:ind w:left="360"/>
        <w:rPr>
          <w:rFonts w:ascii="Arial" w:hAnsi="Arial" w:cs="Arial"/>
          <w:color w:val="0F1115"/>
        </w:rPr>
      </w:pPr>
      <w:r w:rsidRPr="00390868">
        <w:rPr>
          <w:rFonts w:ascii="Arial" w:hAnsi="Arial" w:cs="Arial"/>
          <w:color w:val="0F1115"/>
        </w:rPr>
        <w:t xml:space="preserve">Parasuraman, A., Zeithaml, V.A. and Berry, L.L. (1985) ‘A conceptual model of service quality and its implications for future research’, </w:t>
      </w:r>
      <w:r w:rsidRPr="00390868">
        <w:rPr>
          <w:rFonts w:ascii="Arial" w:hAnsi="Arial" w:cs="Arial"/>
          <w:i/>
          <w:iCs/>
          <w:color w:val="0F1115"/>
        </w:rPr>
        <w:t>Journal of Marketing</w:t>
      </w:r>
      <w:r w:rsidRPr="00390868">
        <w:rPr>
          <w:rFonts w:ascii="Arial" w:hAnsi="Arial" w:cs="Arial"/>
          <w:color w:val="0F1115"/>
        </w:rPr>
        <w:t>, 49(4), pp. 41–50.</w:t>
      </w:r>
    </w:p>
    <w:p w14:paraId="774FED0E" w14:textId="77777777" w:rsidR="007C1450" w:rsidRPr="00390868" w:rsidRDefault="007C1450" w:rsidP="00905241">
      <w:pPr>
        <w:pStyle w:val="ds-markdown-paragraph"/>
        <w:shd w:val="clear" w:color="auto" w:fill="FFFFFF"/>
        <w:spacing w:before="240" w:beforeAutospacing="0" w:after="240" w:afterAutospacing="0" w:line="360" w:lineRule="auto"/>
        <w:ind w:left="360"/>
        <w:rPr>
          <w:rFonts w:ascii="Arial" w:hAnsi="Arial" w:cs="Arial"/>
          <w:color w:val="0F1115"/>
        </w:rPr>
      </w:pPr>
      <w:r w:rsidRPr="00390868">
        <w:rPr>
          <w:rFonts w:ascii="Arial" w:hAnsi="Arial" w:cs="Arial"/>
          <w:color w:val="0F1115"/>
        </w:rPr>
        <w:t>Porter, M.E. (2008) ‘The five competitive forces that shape strategy’, </w:t>
      </w:r>
      <w:r w:rsidRPr="00390868">
        <w:rPr>
          <w:rStyle w:val="Emphasis"/>
          <w:rFonts w:ascii="Arial" w:eastAsiaTheme="majorEastAsia" w:hAnsi="Arial" w:cs="Arial"/>
          <w:color w:val="0F1115"/>
        </w:rPr>
        <w:t>Harvard Business Review</w:t>
      </w:r>
      <w:r w:rsidRPr="00390868">
        <w:rPr>
          <w:rFonts w:ascii="Arial" w:hAnsi="Arial" w:cs="Arial"/>
          <w:color w:val="0F1115"/>
        </w:rPr>
        <w:t>, 86(1), pp. 78–93.</w:t>
      </w:r>
    </w:p>
    <w:p w14:paraId="504622B4" w14:textId="77777777" w:rsidR="007C1450" w:rsidRPr="00390868" w:rsidRDefault="007C1450" w:rsidP="00905241">
      <w:pPr>
        <w:pStyle w:val="NormalWeb"/>
        <w:spacing w:line="360" w:lineRule="auto"/>
        <w:ind w:left="360"/>
        <w:rPr>
          <w:rFonts w:ascii="Arial" w:eastAsiaTheme="minorHAnsi" w:hAnsi="Arial" w:cs="Arial"/>
          <w:i/>
          <w:iCs/>
          <w:kern w:val="2"/>
          <w:sz w:val="22"/>
          <w:szCs w:val="22"/>
          <w:lang w:eastAsia="en-US"/>
          <w14:ligatures w14:val="standardContextual"/>
        </w:rPr>
      </w:pPr>
      <w:r w:rsidRPr="00390868">
        <w:rPr>
          <w:rFonts w:ascii="Arial" w:eastAsiaTheme="minorHAnsi" w:hAnsi="Arial" w:cs="Arial"/>
          <w:i/>
          <w:iCs/>
          <w:kern w:val="2"/>
          <w:sz w:val="22"/>
          <w:szCs w:val="22"/>
          <w:lang w:eastAsia="en-US"/>
          <w14:ligatures w14:val="standardContextual"/>
        </w:rPr>
        <w:t xml:space="preserve">Project Management Institute (PMI) (2019) </w:t>
      </w:r>
      <w:r w:rsidRPr="00390868">
        <w:rPr>
          <w:rFonts w:ascii="Arial" w:eastAsiaTheme="minorHAnsi" w:hAnsi="Arial" w:cs="Arial"/>
          <w:kern w:val="2"/>
          <w:sz w:val="22"/>
          <w:szCs w:val="22"/>
          <w:lang w:eastAsia="en-US"/>
          <w14:ligatures w14:val="standardContextual"/>
        </w:rPr>
        <w:t>Practice Standard for Project Risk Management</w:t>
      </w:r>
      <w:r w:rsidRPr="00390868">
        <w:rPr>
          <w:rFonts w:ascii="Arial" w:eastAsiaTheme="minorHAnsi" w:hAnsi="Arial" w:cs="Arial"/>
          <w:i/>
          <w:iCs/>
          <w:kern w:val="2"/>
          <w:sz w:val="22"/>
          <w:szCs w:val="22"/>
          <w:lang w:eastAsia="en-US"/>
          <w14:ligatures w14:val="standardContextual"/>
        </w:rPr>
        <w:t>. Newtown Square, PA: PMI.</w:t>
      </w:r>
    </w:p>
    <w:p w14:paraId="2DAE2D88" w14:textId="77777777" w:rsidR="007C1450" w:rsidRPr="00390868" w:rsidRDefault="007C1450" w:rsidP="00905241">
      <w:pPr>
        <w:pStyle w:val="NormalWeb"/>
        <w:spacing w:line="360" w:lineRule="auto"/>
        <w:ind w:left="360"/>
        <w:rPr>
          <w:rFonts w:ascii="Arial" w:hAnsi="Arial" w:cs="Arial"/>
          <w:sz w:val="22"/>
          <w:szCs w:val="22"/>
        </w:rPr>
      </w:pPr>
      <w:r w:rsidRPr="00390868">
        <w:rPr>
          <w:rStyle w:val="Strong"/>
          <w:rFonts w:ascii="Arial" w:eastAsiaTheme="majorEastAsia" w:hAnsi="Arial" w:cs="Arial"/>
          <w:b w:val="0"/>
          <w:bCs w:val="0"/>
          <w:sz w:val="22"/>
          <w:szCs w:val="22"/>
        </w:rPr>
        <w:t>PwC</w:t>
      </w:r>
      <w:r w:rsidRPr="00390868">
        <w:rPr>
          <w:rFonts w:ascii="Arial" w:hAnsi="Arial" w:cs="Arial"/>
          <w:sz w:val="22"/>
          <w:szCs w:val="22"/>
        </w:rPr>
        <w:t xml:space="preserve"> (2023) </w:t>
      </w:r>
      <w:r w:rsidRPr="00390868">
        <w:rPr>
          <w:rStyle w:val="Emphasis"/>
          <w:rFonts w:ascii="Arial" w:eastAsiaTheme="majorEastAsia" w:hAnsi="Arial" w:cs="Arial"/>
          <w:sz w:val="22"/>
          <w:szCs w:val="22"/>
        </w:rPr>
        <w:t>Automotive aftersales and service consolidation trends</w:t>
      </w:r>
      <w:r w:rsidRPr="00390868">
        <w:rPr>
          <w:rFonts w:ascii="Arial" w:hAnsi="Arial" w:cs="Arial"/>
          <w:sz w:val="22"/>
          <w:szCs w:val="22"/>
        </w:rPr>
        <w:t>. London: PricewaterhouseCoopers.</w:t>
      </w:r>
    </w:p>
    <w:p w14:paraId="0E158197" w14:textId="77777777" w:rsidR="007C1450" w:rsidRPr="00390868" w:rsidRDefault="007C1450" w:rsidP="00905241">
      <w:pPr>
        <w:spacing w:line="360" w:lineRule="auto"/>
        <w:ind w:left="360"/>
        <w:rPr>
          <w:rFonts w:ascii="Arial" w:hAnsi="Arial" w:cs="Arial"/>
        </w:rPr>
      </w:pPr>
      <w:r w:rsidRPr="00390868">
        <w:rPr>
          <w:rFonts w:ascii="Arial" w:hAnsi="Arial" w:cs="Arial"/>
        </w:rPr>
        <w:t>PwC (2024) </w:t>
      </w:r>
      <w:r w:rsidRPr="00390868">
        <w:rPr>
          <w:rFonts w:ascii="Arial" w:hAnsi="Arial" w:cs="Arial"/>
          <w:i/>
          <w:iCs/>
        </w:rPr>
        <w:t>Global Automotive Executive Survey</w:t>
      </w:r>
      <w:r w:rsidRPr="00390868">
        <w:rPr>
          <w:rFonts w:ascii="Arial" w:hAnsi="Arial" w:cs="Arial"/>
        </w:rPr>
        <w:t>. Available at: </w:t>
      </w:r>
      <w:hyperlink r:id="rId38" w:tgtFrame="_blank" w:history="1">
        <w:r w:rsidRPr="00390868">
          <w:rPr>
            <w:rStyle w:val="Hyperlink"/>
            <w:rFonts w:ascii="Arial" w:hAnsi="Arial" w:cs="Arial"/>
          </w:rPr>
          <w:t>https://www.pwc.com/gx/en/industries/automotive/publications/global-automotive-executive-survey.html</w:t>
        </w:r>
      </w:hyperlink>
      <w:r w:rsidRPr="00390868">
        <w:rPr>
          <w:rFonts w:ascii="Arial" w:hAnsi="Arial" w:cs="Arial"/>
        </w:rPr>
        <w:t> (Accessed: 27 September 2025).</w:t>
      </w:r>
    </w:p>
    <w:p w14:paraId="6A1946C2" w14:textId="77777777" w:rsidR="007C1450" w:rsidRPr="00390868" w:rsidRDefault="007C1450" w:rsidP="00905241">
      <w:pPr>
        <w:spacing w:line="360" w:lineRule="auto"/>
        <w:ind w:left="360"/>
        <w:rPr>
          <w:rFonts w:ascii="Arial" w:hAnsi="Arial" w:cs="Arial"/>
        </w:rPr>
      </w:pPr>
      <w:r w:rsidRPr="00390868">
        <w:rPr>
          <w:rFonts w:ascii="Arial" w:hAnsi="Arial" w:cs="Arial"/>
        </w:rPr>
        <w:t>RAC (2023) </w:t>
      </w:r>
      <w:r w:rsidRPr="00390868">
        <w:rPr>
          <w:rFonts w:ascii="Arial" w:hAnsi="Arial" w:cs="Arial"/>
          <w:i/>
          <w:iCs/>
        </w:rPr>
        <w:t>Report on Motoring</w:t>
      </w:r>
      <w:r w:rsidRPr="00390868">
        <w:rPr>
          <w:rFonts w:ascii="Arial" w:hAnsi="Arial" w:cs="Arial"/>
        </w:rPr>
        <w:t>. London: Royal Automobile Club. Available at: </w:t>
      </w:r>
      <w:hyperlink r:id="rId39" w:tgtFrame="_blank" w:history="1">
        <w:r w:rsidRPr="00390868">
          <w:rPr>
            <w:rStyle w:val="Hyperlink"/>
            <w:rFonts w:ascii="Arial" w:hAnsi="Arial" w:cs="Arial"/>
          </w:rPr>
          <w:t>https://www.rac.co.uk/drive/news/motoring-news/</w:t>
        </w:r>
      </w:hyperlink>
      <w:r w:rsidRPr="00390868">
        <w:rPr>
          <w:rFonts w:ascii="Arial" w:hAnsi="Arial" w:cs="Arial"/>
        </w:rPr>
        <w:t xml:space="preserve"> (Accessed: </w:t>
      </w:r>
      <w:r>
        <w:rPr>
          <w:rFonts w:ascii="Arial" w:hAnsi="Arial" w:cs="Arial"/>
        </w:rPr>
        <w:t>2</w:t>
      </w:r>
      <w:r w:rsidRPr="00390868">
        <w:rPr>
          <w:rFonts w:ascii="Arial" w:hAnsi="Arial" w:cs="Arial"/>
        </w:rPr>
        <w:t xml:space="preserve">2 </w:t>
      </w:r>
      <w:r>
        <w:rPr>
          <w:rFonts w:ascii="Arial" w:hAnsi="Arial" w:cs="Arial"/>
        </w:rPr>
        <w:t>October</w:t>
      </w:r>
      <w:r w:rsidRPr="00390868">
        <w:rPr>
          <w:rFonts w:ascii="Arial" w:hAnsi="Arial" w:cs="Arial"/>
        </w:rPr>
        <w:t xml:space="preserve"> 202</w:t>
      </w:r>
      <w:r>
        <w:rPr>
          <w:rFonts w:ascii="Arial" w:hAnsi="Arial" w:cs="Arial"/>
        </w:rPr>
        <w:t>5</w:t>
      </w:r>
      <w:r w:rsidRPr="00390868">
        <w:rPr>
          <w:rFonts w:ascii="Arial" w:hAnsi="Arial" w:cs="Arial"/>
        </w:rPr>
        <w:t>).</w:t>
      </w:r>
    </w:p>
    <w:p w14:paraId="66BC7690" w14:textId="77777777" w:rsidR="007C1450" w:rsidRPr="00390868" w:rsidRDefault="007C1450" w:rsidP="00905241">
      <w:pPr>
        <w:pStyle w:val="NormalWeb"/>
        <w:spacing w:line="360" w:lineRule="auto"/>
        <w:ind w:left="360"/>
        <w:rPr>
          <w:rFonts w:ascii="Arial" w:hAnsi="Arial" w:cs="Arial"/>
          <w:color w:val="0F1115"/>
        </w:rPr>
      </w:pPr>
      <w:r w:rsidRPr="00390868">
        <w:rPr>
          <w:rFonts w:ascii="Arial" w:hAnsi="Arial" w:cs="Arial"/>
          <w:color w:val="0F1115"/>
        </w:rPr>
        <w:lastRenderedPageBreak/>
        <w:t xml:space="preserve">Reichheld, F.F. and Sasser, W.E. (1990) ‘Zero defections: Quality comes to services’, </w:t>
      </w:r>
      <w:r w:rsidRPr="00390868">
        <w:rPr>
          <w:rFonts w:ascii="Arial" w:hAnsi="Arial" w:cs="Arial"/>
          <w:i/>
          <w:iCs/>
          <w:color w:val="0F1115"/>
        </w:rPr>
        <w:t>Harvard Business Review</w:t>
      </w:r>
      <w:r w:rsidRPr="00390868">
        <w:rPr>
          <w:rFonts w:ascii="Arial" w:hAnsi="Arial" w:cs="Arial"/>
          <w:color w:val="0F1115"/>
        </w:rPr>
        <w:t>, 68(5), pp. 105–111.</w:t>
      </w:r>
    </w:p>
    <w:p w14:paraId="671D5657" w14:textId="77777777" w:rsidR="007C1450" w:rsidRPr="00390868" w:rsidRDefault="007C1450" w:rsidP="00905241">
      <w:pPr>
        <w:spacing w:line="360" w:lineRule="auto"/>
        <w:ind w:left="360"/>
        <w:rPr>
          <w:rFonts w:ascii="Arial" w:hAnsi="Arial" w:cs="Arial"/>
        </w:rPr>
      </w:pPr>
      <w:r w:rsidRPr="00390868">
        <w:rPr>
          <w:rFonts w:ascii="Arial" w:hAnsi="Arial" w:cs="Arial"/>
        </w:rPr>
        <w:t>Rogers, E.M. (2003) </w:t>
      </w:r>
      <w:r w:rsidRPr="00390868">
        <w:rPr>
          <w:rFonts w:ascii="Arial" w:hAnsi="Arial" w:cs="Arial"/>
          <w:i/>
          <w:iCs/>
        </w:rPr>
        <w:t>Diffusion of Innovations</w:t>
      </w:r>
      <w:r w:rsidRPr="00390868">
        <w:rPr>
          <w:rFonts w:ascii="Arial" w:hAnsi="Arial" w:cs="Arial"/>
        </w:rPr>
        <w:t>. 5th edn. New York: Free Press.</w:t>
      </w:r>
    </w:p>
    <w:p w14:paraId="6B863440" w14:textId="77777777" w:rsidR="007C1450" w:rsidRPr="00390868" w:rsidRDefault="007C1450" w:rsidP="00905241">
      <w:pPr>
        <w:spacing w:line="360" w:lineRule="auto"/>
        <w:ind w:left="360"/>
        <w:rPr>
          <w:rFonts w:ascii="Arial" w:hAnsi="Arial" w:cs="Arial"/>
        </w:rPr>
      </w:pPr>
      <w:r w:rsidRPr="00390868">
        <w:rPr>
          <w:rFonts w:ascii="Arial" w:hAnsi="Arial" w:cs="Arial"/>
        </w:rPr>
        <w:t>Sandwell Council (2023) </w:t>
      </w:r>
      <w:r w:rsidRPr="00390868">
        <w:rPr>
          <w:rFonts w:ascii="Arial" w:hAnsi="Arial" w:cs="Arial"/>
          <w:i/>
          <w:iCs/>
        </w:rPr>
        <w:t>Climate Change Strategy</w:t>
      </w:r>
      <w:r w:rsidRPr="00390868">
        <w:rPr>
          <w:rFonts w:ascii="Arial" w:hAnsi="Arial" w:cs="Arial"/>
        </w:rPr>
        <w:t>. Available at: </w:t>
      </w:r>
      <w:hyperlink r:id="rId40" w:tgtFrame="_blank" w:history="1">
        <w:r w:rsidRPr="00390868">
          <w:rPr>
            <w:rStyle w:val="Hyperlink"/>
            <w:rFonts w:ascii="Arial" w:hAnsi="Arial" w:cs="Arial"/>
          </w:rPr>
          <w:t>https://www.sandwell.gov.uk/downloads/file/39/climate-change-strategy</w:t>
        </w:r>
      </w:hyperlink>
      <w:r w:rsidRPr="00390868">
        <w:rPr>
          <w:rFonts w:ascii="Arial" w:hAnsi="Arial" w:cs="Arial"/>
        </w:rPr>
        <w:t xml:space="preserve"> (Accessed: </w:t>
      </w:r>
      <w:r>
        <w:rPr>
          <w:rFonts w:ascii="Arial" w:hAnsi="Arial" w:cs="Arial"/>
        </w:rPr>
        <w:t>21</w:t>
      </w:r>
      <w:r w:rsidRPr="00390868">
        <w:rPr>
          <w:rFonts w:ascii="Arial" w:hAnsi="Arial" w:cs="Arial"/>
        </w:rPr>
        <w:t xml:space="preserve"> </w:t>
      </w:r>
      <w:r>
        <w:rPr>
          <w:rFonts w:ascii="Arial" w:hAnsi="Arial" w:cs="Arial"/>
        </w:rPr>
        <w:t>October</w:t>
      </w:r>
      <w:r w:rsidRPr="00390868">
        <w:rPr>
          <w:rFonts w:ascii="Arial" w:hAnsi="Arial" w:cs="Arial"/>
        </w:rPr>
        <w:t xml:space="preserve"> 202</w:t>
      </w:r>
      <w:r>
        <w:rPr>
          <w:rFonts w:ascii="Arial" w:hAnsi="Arial" w:cs="Arial"/>
        </w:rPr>
        <w:t>5</w:t>
      </w:r>
      <w:r w:rsidRPr="00390868">
        <w:rPr>
          <w:rFonts w:ascii="Arial" w:hAnsi="Arial" w:cs="Arial"/>
        </w:rPr>
        <w:t>).</w:t>
      </w:r>
    </w:p>
    <w:p w14:paraId="168F63A1" w14:textId="77777777" w:rsidR="007C1450" w:rsidRPr="00390868" w:rsidRDefault="007C1450" w:rsidP="00905241">
      <w:pPr>
        <w:pStyle w:val="NormalWeb"/>
        <w:spacing w:line="360" w:lineRule="auto"/>
        <w:ind w:left="360"/>
        <w:rPr>
          <w:rFonts w:ascii="Arial" w:eastAsiaTheme="minorHAnsi" w:hAnsi="Arial" w:cs="Arial"/>
          <w:i/>
          <w:iCs/>
          <w:kern w:val="2"/>
          <w:sz w:val="22"/>
          <w:szCs w:val="22"/>
          <w:lang w:eastAsia="en-US"/>
          <w14:ligatures w14:val="standardContextual"/>
        </w:rPr>
      </w:pPr>
      <w:r w:rsidRPr="00390868">
        <w:rPr>
          <w:rFonts w:ascii="Arial" w:eastAsiaTheme="minorHAnsi" w:hAnsi="Arial" w:cs="Arial"/>
          <w:i/>
          <w:iCs/>
          <w:kern w:val="2"/>
          <w:sz w:val="22"/>
          <w:szCs w:val="22"/>
          <w:lang w:eastAsia="en-US"/>
          <w14:ligatures w14:val="standardContextual"/>
        </w:rPr>
        <w:t xml:space="preserve">Sheffi, Y. (2005) </w:t>
      </w:r>
      <w:r w:rsidRPr="00390868">
        <w:rPr>
          <w:rFonts w:ascii="Arial" w:eastAsiaTheme="minorHAnsi" w:hAnsi="Arial" w:cs="Arial"/>
          <w:kern w:val="2"/>
          <w:sz w:val="22"/>
          <w:szCs w:val="22"/>
          <w:lang w:eastAsia="en-US"/>
          <w14:ligatures w14:val="standardContextual"/>
        </w:rPr>
        <w:t>The Resilient Enterprise: Overcoming Vulnerability for Competitive Advantage</w:t>
      </w:r>
      <w:r w:rsidRPr="00390868">
        <w:rPr>
          <w:rFonts w:ascii="Arial" w:eastAsiaTheme="minorHAnsi" w:hAnsi="Arial" w:cs="Arial"/>
          <w:i/>
          <w:iCs/>
          <w:kern w:val="2"/>
          <w:sz w:val="22"/>
          <w:szCs w:val="22"/>
          <w:lang w:eastAsia="en-US"/>
          <w14:ligatures w14:val="standardContextual"/>
        </w:rPr>
        <w:t>. Cambridge, MA: MIT Press.</w:t>
      </w:r>
    </w:p>
    <w:p w14:paraId="15EDCC04" w14:textId="77777777" w:rsidR="007C1450" w:rsidRPr="00390868" w:rsidRDefault="007C1450" w:rsidP="00905241">
      <w:pPr>
        <w:pStyle w:val="NormalWeb"/>
        <w:spacing w:line="360" w:lineRule="auto"/>
        <w:ind w:left="360"/>
        <w:rPr>
          <w:rFonts w:ascii="Arial" w:eastAsiaTheme="minorHAnsi" w:hAnsi="Arial" w:cs="Arial"/>
          <w:i/>
          <w:iCs/>
          <w:kern w:val="2"/>
          <w:sz w:val="22"/>
          <w:szCs w:val="22"/>
          <w:lang w:eastAsia="en-US"/>
          <w14:ligatures w14:val="standardContextual"/>
        </w:rPr>
      </w:pPr>
      <w:r w:rsidRPr="00390868">
        <w:rPr>
          <w:rFonts w:ascii="Arial" w:eastAsiaTheme="minorHAnsi" w:hAnsi="Arial" w:cs="Arial"/>
          <w:i/>
          <w:iCs/>
          <w:kern w:val="2"/>
          <w:sz w:val="22"/>
          <w:szCs w:val="22"/>
          <w:lang w:eastAsia="en-US"/>
          <w14:ligatures w14:val="standardContextual"/>
        </w:rPr>
        <w:t xml:space="preserve">Slack, N., Brandon-Jones, A. and Burgess, N. (2022) </w:t>
      </w:r>
      <w:r w:rsidRPr="00390868">
        <w:rPr>
          <w:rFonts w:ascii="Arial" w:eastAsiaTheme="minorHAnsi" w:hAnsi="Arial" w:cs="Arial"/>
          <w:kern w:val="2"/>
          <w:sz w:val="22"/>
          <w:szCs w:val="22"/>
          <w:lang w:eastAsia="en-US"/>
          <w14:ligatures w14:val="standardContextual"/>
        </w:rPr>
        <w:t>Operations and Process Management</w:t>
      </w:r>
      <w:r w:rsidRPr="00390868">
        <w:rPr>
          <w:rFonts w:ascii="Arial" w:eastAsiaTheme="minorHAnsi" w:hAnsi="Arial" w:cs="Arial"/>
          <w:i/>
          <w:iCs/>
          <w:kern w:val="2"/>
          <w:sz w:val="22"/>
          <w:szCs w:val="22"/>
          <w:lang w:eastAsia="en-US"/>
          <w14:ligatures w14:val="standardContextual"/>
        </w:rPr>
        <w:t>. 6th edn. Harlow: Pearson Education.</w:t>
      </w:r>
    </w:p>
    <w:p w14:paraId="5EB87597" w14:textId="77777777" w:rsidR="007C1450" w:rsidRPr="00390868" w:rsidRDefault="007C1450" w:rsidP="00905241">
      <w:pPr>
        <w:pStyle w:val="NormalWeb"/>
        <w:spacing w:line="360" w:lineRule="auto"/>
        <w:ind w:left="360"/>
        <w:rPr>
          <w:rFonts w:ascii="Arial" w:hAnsi="Arial" w:cs="Arial"/>
          <w:sz w:val="22"/>
          <w:szCs w:val="22"/>
        </w:rPr>
      </w:pPr>
      <w:r w:rsidRPr="00390868">
        <w:rPr>
          <w:rFonts w:ascii="Arial" w:hAnsi="Arial" w:cs="Arial"/>
          <w:sz w:val="22"/>
          <w:szCs w:val="22"/>
        </w:rPr>
        <w:t xml:space="preserve">Slack, N., Brandon-Jones, A. and Burgess, N. (2022) </w:t>
      </w:r>
      <w:r w:rsidRPr="00390868">
        <w:rPr>
          <w:rStyle w:val="Emphasis"/>
          <w:rFonts w:ascii="Arial" w:eastAsiaTheme="majorEastAsia" w:hAnsi="Arial" w:cs="Arial"/>
          <w:sz w:val="22"/>
          <w:szCs w:val="22"/>
        </w:rPr>
        <w:t>Operations and process management</w:t>
      </w:r>
      <w:r w:rsidRPr="00390868">
        <w:rPr>
          <w:rFonts w:ascii="Arial" w:hAnsi="Arial" w:cs="Arial"/>
          <w:sz w:val="22"/>
          <w:szCs w:val="22"/>
        </w:rPr>
        <w:t>. 6th edn. Harlow: Pearson Education.</w:t>
      </w:r>
    </w:p>
    <w:p w14:paraId="65840E46" w14:textId="77777777" w:rsidR="007C1450" w:rsidRPr="00390868" w:rsidRDefault="007C1450" w:rsidP="00905241">
      <w:pPr>
        <w:spacing w:line="360" w:lineRule="auto"/>
        <w:ind w:left="360"/>
        <w:rPr>
          <w:rFonts w:ascii="Arial" w:hAnsi="Arial" w:cs="Arial"/>
        </w:rPr>
      </w:pPr>
      <w:r w:rsidRPr="00390868">
        <w:rPr>
          <w:rFonts w:ascii="Arial" w:hAnsi="Arial" w:cs="Arial"/>
        </w:rPr>
        <w:t>SMMT (2024) </w:t>
      </w:r>
      <w:r w:rsidRPr="00390868">
        <w:rPr>
          <w:rFonts w:ascii="Arial" w:hAnsi="Arial" w:cs="Arial"/>
          <w:i/>
          <w:iCs/>
        </w:rPr>
        <w:t>UK Automotive Sustainability Report</w:t>
      </w:r>
      <w:r w:rsidRPr="00390868">
        <w:rPr>
          <w:rFonts w:ascii="Arial" w:hAnsi="Arial" w:cs="Arial"/>
        </w:rPr>
        <w:t>. London: Society of Motor Manufacturers and Traders.</w:t>
      </w:r>
    </w:p>
    <w:p w14:paraId="16248D44" w14:textId="77777777" w:rsidR="007C1450" w:rsidRPr="00390868" w:rsidRDefault="007C1450" w:rsidP="00905241">
      <w:pPr>
        <w:spacing w:line="360" w:lineRule="auto"/>
        <w:ind w:left="360"/>
        <w:rPr>
          <w:rFonts w:ascii="Arial" w:hAnsi="Arial" w:cs="Arial"/>
        </w:rPr>
      </w:pPr>
      <w:r w:rsidRPr="00390868">
        <w:rPr>
          <w:rFonts w:ascii="Arial" w:hAnsi="Arial" w:cs="Arial"/>
        </w:rPr>
        <w:t>Statista (2024) </w:t>
      </w:r>
      <w:r w:rsidRPr="00390868">
        <w:rPr>
          <w:rFonts w:ascii="Arial" w:hAnsi="Arial" w:cs="Arial"/>
          <w:i/>
          <w:iCs/>
        </w:rPr>
        <w:t>Consumers in the UK</w:t>
      </w:r>
      <w:r w:rsidRPr="00390868">
        <w:rPr>
          <w:rFonts w:ascii="Arial" w:hAnsi="Arial" w:cs="Arial"/>
        </w:rPr>
        <w:t>. Available at: </w:t>
      </w:r>
      <w:hyperlink r:id="rId41" w:tgtFrame="_blank" w:history="1">
        <w:r w:rsidRPr="00390868">
          <w:rPr>
            <w:rStyle w:val="Hyperlink"/>
            <w:rFonts w:ascii="Arial" w:hAnsi="Arial" w:cs="Arial"/>
          </w:rPr>
          <w:t>https://www.statista.com/study/108023/consumers-in-the-uk/</w:t>
        </w:r>
      </w:hyperlink>
      <w:r w:rsidRPr="00390868">
        <w:rPr>
          <w:rFonts w:ascii="Arial" w:hAnsi="Arial" w:cs="Arial"/>
        </w:rPr>
        <w:t xml:space="preserve"> (Accessed: </w:t>
      </w:r>
      <w:r>
        <w:rPr>
          <w:rFonts w:ascii="Arial" w:hAnsi="Arial" w:cs="Arial"/>
        </w:rPr>
        <w:t>1</w:t>
      </w:r>
      <w:r w:rsidRPr="00390868">
        <w:rPr>
          <w:rFonts w:ascii="Arial" w:hAnsi="Arial" w:cs="Arial"/>
        </w:rPr>
        <w:t>2 November 202</w:t>
      </w:r>
      <w:r>
        <w:rPr>
          <w:rFonts w:ascii="Arial" w:hAnsi="Arial" w:cs="Arial"/>
        </w:rPr>
        <w:t>5</w:t>
      </w:r>
      <w:r w:rsidRPr="00390868">
        <w:rPr>
          <w:rFonts w:ascii="Arial" w:hAnsi="Arial" w:cs="Arial"/>
        </w:rPr>
        <w:t>).</w:t>
      </w:r>
    </w:p>
    <w:p w14:paraId="134C2A85" w14:textId="77777777" w:rsidR="007C1450" w:rsidRPr="00390868" w:rsidRDefault="007C1450" w:rsidP="00905241">
      <w:pPr>
        <w:pStyle w:val="ds-markdown-paragraph"/>
        <w:shd w:val="clear" w:color="auto" w:fill="FFFFFF"/>
        <w:spacing w:before="0" w:beforeAutospacing="0" w:after="0" w:afterAutospacing="0" w:line="360" w:lineRule="auto"/>
        <w:ind w:left="360"/>
        <w:rPr>
          <w:rFonts w:ascii="Arial" w:hAnsi="Arial" w:cs="Arial"/>
          <w:color w:val="0F1115"/>
        </w:rPr>
      </w:pPr>
      <w:r w:rsidRPr="00390868">
        <w:rPr>
          <w:rFonts w:ascii="Arial" w:hAnsi="Arial" w:cs="Arial"/>
          <w:color w:val="0F1115"/>
        </w:rPr>
        <w:t>Teece, D. J. (2007). Explicating dynamic capabilities: The nature and microfoundations of (sustainable) enterprise performance. </w:t>
      </w:r>
      <w:r w:rsidRPr="00390868">
        <w:rPr>
          <w:rStyle w:val="Emphasis"/>
          <w:rFonts w:ascii="Arial" w:eastAsiaTheme="majorEastAsia" w:hAnsi="Arial" w:cs="Arial"/>
          <w:color w:val="0F1115"/>
        </w:rPr>
        <w:t>Strategic Management Journal</w:t>
      </w:r>
      <w:r w:rsidRPr="00390868">
        <w:rPr>
          <w:rFonts w:ascii="Arial" w:hAnsi="Arial" w:cs="Arial"/>
          <w:color w:val="0F1115"/>
        </w:rPr>
        <w:t>.</w:t>
      </w:r>
    </w:p>
    <w:p w14:paraId="6C07E85C" w14:textId="77777777" w:rsidR="007C1450" w:rsidRPr="00390868" w:rsidRDefault="007C1450" w:rsidP="00905241">
      <w:pPr>
        <w:spacing w:line="360" w:lineRule="auto"/>
        <w:ind w:left="360"/>
        <w:rPr>
          <w:rFonts w:ascii="Arial" w:hAnsi="Arial" w:cs="Arial"/>
        </w:rPr>
      </w:pPr>
      <w:r w:rsidRPr="00390868">
        <w:rPr>
          <w:rFonts w:ascii="Arial" w:hAnsi="Arial" w:cs="Arial"/>
        </w:rPr>
        <w:t>TyreSafe (2024) </w:t>
      </w:r>
      <w:r w:rsidRPr="00390868">
        <w:rPr>
          <w:rFonts w:ascii="Arial" w:hAnsi="Arial" w:cs="Arial"/>
          <w:i/>
          <w:iCs/>
        </w:rPr>
        <w:t>UK Vehicle Statistics - Road Usage, Car &amp; Motorbike Safety</w:t>
      </w:r>
      <w:r w:rsidRPr="00390868">
        <w:rPr>
          <w:rFonts w:ascii="Arial" w:hAnsi="Arial" w:cs="Arial"/>
        </w:rPr>
        <w:t>. Available at: </w:t>
      </w:r>
      <w:hyperlink r:id="rId42" w:tgtFrame="_blank" w:history="1">
        <w:r w:rsidRPr="00390868">
          <w:rPr>
            <w:rStyle w:val="Hyperlink"/>
            <w:rFonts w:ascii="Arial" w:hAnsi="Arial" w:cs="Arial"/>
          </w:rPr>
          <w:t>https://www.tyresafe.org/road-safety/vehicle-statistics/</w:t>
        </w:r>
      </w:hyperlink>
      <w:r w:rsidRPr="00390868">
        <w:rPr>
          <w:rFonts w:ascii="Arial" w:hAnsi="Arial" w:cs="Arial"/>
        </w:rPr>
        <w:t xml:space="preserve"> (Accessed: </w:t>
      </w:r>
      <w:r>
        <w:rPr>
          <w:rFonts w:ascii="Arial" w:hAnsi="Arial" w:cs="Arial"/>
        </w:rPr>
        <w:t>06</w:t>
      </w:r>
      <w:r w:rsidRPr="00390868">
        <w:rPr>
          <w:rFonts w:ascii="Arial" w:hAnsi="Arial" w:cs="Arial"/>
        </w:rPr>
        <w:t xml:space="preserve"> </w:t>
      </w:r>
      <w:r>
        <w:rPr>
          <w:rFonts w:ascii="Arial" w:hAnsi="Arial" w:cs="Arial"/>
        </w:rPr>
        <w:t>October</w:t>
      </w:r>
      <w:r w:rsidRPr="00390868">
        <w:rPr>
          <w:rFonts w:ascii="Arial" w:hAnsi="Arial" w:cs="Arial"/>
        </w:rPr>
        <w:t xml:space="preserve"> 202</w:t>
      </w:r>
      <w:r>
        <w:rPr>
          <w:rFonts w:ascii="Arial" w:hAnsi="Arial" w:cs="Arial"/>
        </w:rPr>
        <w:t>5</w:t>
      </w:r>
      <w:r w:rsidRPr="00390868">
        <w:rPr>
          <w:rFonts w:ascii="Arial" w:hAnsi="Arial" w:cs="Arial"/>
        </w:rPr>
        <w:t>).</w:t>
      </w:r>
    </w:p>
    <w:p w14:paraId="066A0C88" w14:textId="77777777" w:rsidR="007C1450" w:rsidRPr="00390868" w:rsidRDefault="007C1450" w:rsidP="00905241">
      <w:pPr>
        <w:pStyle w:val="ds-markdown-paragraph"/>
        <w:shd w:val="clear" w:color="auto" w:fill="FFFFFF"/>
        <w:spacing w:before="0" w:beforeAutospacing="0" w:after="0" w:afterAutospacing="0" w:line="360" w:lineRule="auto"/>
        <w:ind w:left="360"/>
        <w:rPr>
          <w:rFonts w:ascii="Arial" w:hAnsi="Arial" w:cs="Arial"/>
          <w:color w:val="0F1115"/>
        </w:rPr>
      </w:pPr>
      <w:r w:rsidRPr="00390868">
        <w:rPr>
          <w:rFonts w:ascii="Arial" w:hAnsi="Arial" w:cs="Arial"/>
          <w:color w:val="0F1115"/>
        </w:rPr>
        <w:t>UK Venture Capital and Private Equity Association (BVCA) (2023) </w:t>
      </w:r>
      <w:r w:rsidRPr="00390868">
        <w:rPr>
          <w:rStyle w:val="Emphasis"/>
          <w:rFonts w:ascii="Arial" w:eastAsiaTheme="majorEastAsia" w:hAnsi="Arial" w:cs="Arial"/>
          <w:color w:val="0F1115"/>
        </w:rPr>
        <w:t>The Economic Impact of VC and PE in the UK</w:t>
      </w:r>
      <w:r w:rsidRPr="00390868">
        <w:rPr>
          <w:rFonts w:ascii="Arial" w:hAnsi="Arial" w:cs="Arial"/>
          <w:color w:val="0F1115"/>
        </w:rPr>
        <w:t>. London: BVCA.</w:t>
      </w:r>
    </w:p>
    <w:p w14:paraId="2D6F81AB" w14:textId="77777777" w:rsidR="007C1450" w:rsidRPr="00390868" w:rsidRDefault="007C1450" w:rsidP="00905241">
      <w:pPr>
        <w:pStyle w:val="NormalWeb"/>
        <w:spacing w:line="360" w:lineRule="auto"/>
        <w:ind w:left="360"/>
        <w:rPr>
          <w:rFonts w:ascii="Arial" w:hAnsi="Arial" w:cs="Arial"/>
          <w:color w:val="0F1115"/>
        </w:rPr>
      </w:pPr>
      <w:r w:rsidRPr="00390868">
        <w:rPr>
          <w:rFonts w:ascii="Arial" w:hAnsi="Arial" w:cs="Arial"/>
          <w:color w:val="0F1115"/>
        </w:rPr>
        <w:t xml:space="preserve">Which? (2024) </w:t>
      </w:r>
      <w:r w:rsidRPr="00390868">
        <w:rPr>
          <w:rFonts w:ascii="Arial" w:hAnsi="Arial" w:cs="Arial"/>
          <w:i/>
          <w:iCs/>
          <w:color w:val="0F1115"/>
        </w:rPr>
        <w:t>Car servicing and repair: consumer trust and pricing transparency</w:t>
      </w:r>
      <w:r w:rsidRPr="00390868">
        <w:rPr>
          <w:rFonts w:ascii="Arial" w:hAnsi="Arial" w:cs="Arial"/>
          <w:color w:val="0F1115"/>
        </w:rPr>
        <w:t>. London: Which?.</w:t>
      </w:r>
    </w:p>
    <w:p w14:paraId="29CE42CE" w14:textId="77777777" w:rsidR="007C1450" w:rsidRPr="00390868" w:rsidRDefault="007C1450" w:rsidP="00905241">
      <w:pPr>
        <w:pStyle w:val="NormalWeb"/>
        <w:spacing w:line="360" w:lineRule="auto"/>
        <w:ind w:left="360"/>
        <w:rPr>
          <w:rFonts w:ascii="Arial" w:hAnsi="Arial" w:cs="Arial"/>
          <w:color w:val="0F1115"/>
        </w:rPr>
      </w:pPr>
      <w:r w:rsidRPr="00390868">
        <w:rPr>
          <w:rFonts w:ascii="Arial" w:hAnsi="Arial" w:cs="Arial"/>
          <w:color w:val="0F1115"/>
        </w:rPr>
        <w:t xml:space="preserve">Zeithaml, V.A., Bitner, M.J. and Gremler, D.D. (2018) </w:t>
      </w:r>
      <w:r w:rsidRPr="00390868">
        <w:rPr>
          <w:rFonts w:ascii="Arial" w:hAnsi="Arial" w:cs="Arial"/>
          <w:i/>
          <w:iCs/>
          <w:color w:val="0F1115"/>
        </w:rPr>
        <w:t>Services marketing: Integrating customer focus across the firm</w:t>
      </w:r>
      <w:r w:rsidRPr="00390868">
        <w:rPr>
          <w:rFonts w:ascii="Arial" w:hAnsi="Arial" w:cs="Arial"/>
          <w:color w:val="0F1115"/>
        </w:rPr>
        <w:t xml:space="preserve">. 7th edn. New York: McGraw-Hill Education.  </w:t>
      </w:r>
    </w:p>
    <w:p w14:paraId="7B5A1C06" w14:textId="5FDDB822" w:rsidR="00011112" w:rsidRPr="00390868" w:rsidRDefault="00011112" w:rsidP="00905241">
      <w:pPr>
        <w:pStyle w:val="NormalWeb"/>
        <w:spacing w:line="360" w:lineRule="auto"/>
        <w:rPr>
          <w:rFonts w:ascii="Arial" w:hAnsi="Arial" w:cs="Arial"/>
          <w:sz w:val="20"/>
          <w:szCs w:val="20"/>
        </w:rPr>
      </w:pPr>
    </w:p>
    <w:p w14:paraId="37E68A8C" w14:textId="77777777" w:rsidR="001510ED" w:rsidRPr="00390868" w:rsidRDefault="001510ED" w:rsidP="00905241">
      <w:pPr>
        <w:pStyle w:val="Heading1"/>
        <w:spacing w:line="360" w:lineRule="auto"/>
        <w:rPr>
          <w:rFonts w:ascii="Arial" w:hAnsi="Arial" w:cs="Arial"/>
        </w:rPr>
      </w:pPr>
      <w:bookmarkStart w:id="151" w:name="_Toc218629314"/>
      <w:r w:rsidRPr="00390868">
        <w:rPr>
          <w:rFonts w:ascii="Arial" w:hAnsi="Arial" w:cs="Arial"/>
        </w:rPr>
        <w:t>Appendices</w:t>
      </w:r>
      <w:bookmarkEnd w:id="151"/>
    </w:p>
    <w:p w14:paraId="225DEF5C" w14:textId="77777777" w:rsidR="001510ED" w:rsidRPr="00390868" w:rsidRDefault="001510ED" w:rsidP="00905241">
      <w:pPr>
        <w:pStyle w:val="Heading2"/>
        <w:spacing w:line="360" w:lineRule="auto"/>
        <w:rPr>
          <w:rFonts w:ascii="Arial" w:hAnsi="Arial" w:cs="Arial"/>
        </w:rPr>
      </w:pPr>
      <w:bookmarkStart w:id="152" w:name="_Toc218629315"/>
      <w:r w:rsidRPr="00390868">
        <w:rPr>
          <w:rFonts w:ascii="Arial" w:hAnsi="Arial" w:cs="Arial"/>
        </w:rPr>
        <w:t>Appendix A: Site Layout and Facility Plans</w:t>
      </w:r>
      <w:bookmarkEnd w:id="152"/>
    </w:p>
    <w:p w14:paraId="08B44F60" w14:textId="77777777" w:rsidR="001510ED" w:rsidRPr="00390868" w:rsidRDefault="001510ED" w:rsidP="00905241">
      <w:pPr>
        <w:spacing w:line="360" w:lineRule="auto"/>
        <w:rPr>
          <w:rFonts w:ascii="Arial" w:hAnsi="Arial" w:cs="Arial"/>
          <w:b/>
          <w:bCs/>
        </w:rPr>
      </w:pPr>
      <w:r w:rsidRPr="00390868">
        <w:rPr>
          <w:rFonts w:ascii="Arial" w:hAnsi="Arial" w:cs="Arial"/>
          <w:b/>
          <w:bCs/>
          <w:noProof/>
        </w:rPr>
        <w:drawing>
          <wp:inline distT="0" distB="0" distL="0" distR="0" wp14:anchorId="35B3B08A" wp14:editId="498873B3">
            <wp:extent cx="5731510" cy="3820795"/>
            <wp:effectExtent l="0" t="0" r="2540" b="8255"/>
            <wp:docPr id="1850556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56422" name="Picture 185055642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855DD23" w14:textId="77777777" w:rsidR="001510ED" w:rsidRPr="00390868" w:rsidRDefault="001510ED" w:rsidP="00905241">
      <w:pPr>
        <w:spacing w:line="360" w:lineRule="auto"/>
        <w:rPr>
          <w:rFonts w:ascii="Arial" w:hAnsi="Arial" w:cs="Arial"/>
          <w:b/>
          <w:bCs/>
        </w:rPr>
      </w:pPr>
      <w:r w:rsidRPr="00390868">
        <w:rPr>
          <w:rFonts w:ascii="Arial" w:hAnsi="Arial" w:cs="Arial"/>
          <w:b/>
          <w:bCs/>
        </w:rPr>
        <w:t>Site Specifications:</w:t>
      </w:r>
    </w:p>
    <w:p w14:paraId="61113139" w14:textId="77777777" w:rsidR="001510ED" w:rsidRPr="00390868" w:rsidRDefault="001510ED" w:rsidP="00905241">
      <w:pPr>
        <w:numPr>
          <w:ilvl w:val="0"/>
          <w:numId w:val="36"/>
        </w:numPr>
        <w:spacing w:line="360" w:lineRule="auto"/>
        <w:rPr>
          <w:rFonts w:ascii="Arial" w:hAnsi="Arial" w:cs="Arial"/>
        </w:rPr>
      </w:pPr>
      <w:r w:rsidRPr="00390868">
        <w:rPr>
          <w:rFonts w:ascii="Arial" w:hAnsi="Arial" w:cs="Arial"/>
        </w:rPr>
        <w:t>Total Area: 30,000–40,000 sq. ft. industrial unit</w:t>
      </w:r>
    </w:p>
    <w:p w14:paraId="6B9A49AC" w14:textId="77777777" w:rsidR="001510ED" w:rsidRPr="00390868" w:rsidRDefault="001510ED" w:rsidP="00905241">
      <w:pPr>
        <w:numPr>
          <w:ilvl w:val="0"/>
          <w:numId w:val="36"/>
        </w:numPr>
        <w:spacing w:line="360" w:lineRule="auto"/>
        <w:rPr>
          <w:rFonts w:ascii="Arial" w:hAnsi="Arial" w:cs="Arial"/>
        </w:rPr>
      </w:pPr>
      <w:r w:rsidRPr="00390868">
        <w:rPr>
          <w:rFonts w:ascii="Arial" w:hAnsi="Arial" w:cs="Arial"/>
        </w:rPr>
        <w:t>Layout: Campus-style with central administrative hub</w:t>
      </w:r>
    </w:p>
    <w:p w14:paraId="19092FE4" w14:textId="77777777" w:rsidR="001510ED" w:rsidRPr="00390868" w:rsidRDefault="001510ED" w:rsidP="00905241">
      <w:pPr>
        <w:numPr>
          <w:ilvl w:val="0"/>
          <w:numId w:val="36"/>
        </w:numPr>
        <w:spacing w:line="360" w:lineRule="auto"/>
        <w:rPr>
          <w:rFonts w:ascii="Arial" w:hAnsi="Arial" w:cs="Arial"/>
        </w:rPr>
      </w:pPr>
      <w:r w:rsidRPr="00390868">
        <w:rPr>
          <w:rFonts w:ascii="Arial" w:hAnsi="Arial" w:cs="Arial"/>
        </w:rPr>
        <w:t>Service Units: 8 dedicated zones with controlled vehicle flow</w:t>
      </w:r>
    </w:p>
    <w:p w14:paraId="107F0098" w14:textId="77777777" w:rsidR="001510ED" w:rsidRPr="00390868" w:rsidRDefault="001510ED" w:rsidP="00905241">
      <w:pPr>
        <w:numPr>
          <w:ilvl w:val="0"/>
          <w:numId w:val="36"/>
        </w:numPr>
        <w:spacing w:line="360" w:lineRule="auto"/>
        <w:rPr>
          <w:rFonts w:ascii="Arial" w:hAnsi="Arial" w:cs="Arial"/>
          <w:b/>
          <w:bCs/>
        </w:rPr>
      </w:pPr>
      <w:r w:rsidRPr="00390868">
        <w:rPr>
          <w:rFonts w:ascii="Arial" w:hAnsi="Arial" w:cs="Arial"/>
          <w:b/>
          <w:bCs/>
        </w:rPr>
        <w:t>Key Features:</w:t>
      </w:r>
    </w:p>
    <w:p w14:paraId="7346749F"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t>Dedicated DVSA-approved MOT testing unit</w:t>
      </w:r>
    </w:p>
    <w:p w14:paraId="70F4FACF"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t>Separate high-voltage EV servicing zone</w:t>
      </w:r>
    </w:p>
    <w:p w14:paraId="0146CB91"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t>Compliant spray booth with extraction</w:t>
      </w:r>
    </w:p>
    <w:p w14:paraId="13FC309A"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t>Water-recycling car wash system</w:t>
      </w:r>
    </w:p>
    <w:p w14:paraId="4CE13CE4"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t>Climate-controlled tinting studio</w:t>
      </w:r>
    </w:p>
    <w:p w14:paraId="77E9DDF7" w14:textId="77777777" w:rsidR="001510ED" w:rsidRPr="00390868" w:rsidRDefault="001510ED" w:rsidP="00905241">
      <w:pPr>
        <w:numPr>
          <w:ilvl w:val="1"/>
          <w:numId w:val="36"/>
        </w:numPr>
        <w:spacing w:line="360" w:lineRule="auto"/>
        <w:rPr>
          <w:rFonts w:ascii="Arial" w:hAnsi="Arial" w:cs="Arial"/>
        </w:rPr>
      </w:pPr>
      <w:r w:rsidRPr="00390868">
        <w:rPr>
          <w:rFonts w:ascii="Arial" w:hAnsi="Arial" w:cs="Arial"/>
        </w:rPr>
        <w:lastRenderedPageBreak/>
        <w:t>One-way internal circulation routes</w:t>
      </w:r>
    </w:p>
    <w:p w14:paraId="61F53AE0" w14:textId="77777777" w:rsidR="001510ED" w:rsidRPr="00390868" w:rsidRDefault="001510ED" w:rsidP="00905241">
      <w:pPr>
        <w:spacing w:line="360" w:lineRule="auto"/>
        <w:rPr>
          <w:rFonts w:ascii="Arial" w:hAnsi="Arial" w:cs="Arial"/>
          <w:b/>
          <w:bCs/>
        </w:rPr>
      </w:pPr>
      <w:r w:rsidRPr="00390868">
        <w:rPr>
          <w:rFonts w:ascii="Arial" w:hAnsi="Arial" w:cs="Arial"/>
          <w:b/>
          <w:bCs/>
        </w:rPr>
        <w:t>Zoning Compliance:</w:t>
      </w:r>
    </w:p>
    <w:p w14:paraId="17E07DD1" w14:textId="77777777" w:rsidR="001510ED" w:rsidRPr="00390868" w:rsidRDefault="001510ED" w:rsidP="00905241">
      <w:pPr>
        <w:numPr>
          <w:ilvl w:val="0"/>
          <w:numId w:val="37"/>
        </w:numPr>
        <w:spacing w:line="360" w:lineRule="auto"/>
        <w:rPr>
          <w:rFonts w:ascii="Arial" w:hAnsi="Arial" w:cs="Arial"/>
        </w:rPr>
      </w:pPr>
      <w:r w:rsidRPr="00390868">
        <w:rPr>
          <w:rFonts w:ascii="Arial" w:hAnsi="Arial" w:cs="Arial"/>
        </w:rPr>
        <w:t>High-risk activities (EV, paint, chemicals) physically isolated</w:t>
      </w:r>
    </w:p>
    <w:p w14:paraId="1A47779F" w14:textId="77777777" w:rsidR="001510ED" w:rsidRPr="00390868" w:rsidRDefault="001510ED" w:rsidP="00905241">
      <w:pPr>
        <w:numPr>
          <w:ilvl w:val="0"/>
          <w:numId w:val="37"/>
        </w:numPr>
        <w:spacing w:line="360" w:lineRule="auto"/>
        <w:rPr>
          <w:rFonts w:ascii="Arial" w:hAnsi="Arial" w:cs="Arial"/>
        </w:rPr>
      </w:pPr>
      <w:r w:rsidRPr="00390868">
        <w:rPr>
          <w:rFonts w:ascii="Arial" w:hAnsi="Arial" w:cs="Arial"/>
        </w:rPr>
        <w:t>Customer reception and waiting areas centrally located</w:t>
      </w:r>
    </w:p>
    <w:p w14:paraId="42C4C72F" w14:textId="77777777" w:rsidR="001510ED" w:rsidRPr="00390868" w:rsidRDefault="001510ED" w:rsidP="00905241">
      <w:pPr>
        <w:numPr>
          <w:ilvl w:val="0"/>
          <w:numId w:val="37"/>
        </w:numPr>
        <w:spacing w:line="360" w:lineRule="auto"/>
        <w:rPr>
          <w:rFonts w:ascii="Arial" w:hAnsi="Arial" w:cs="Arial"/>
        </w:rPr>
      </w:pPr>
      <w:r w:rsidRPr="00390868">
        <w:rPr>
          <w:rFonts w:ascii="Arial" w:hAnsi="Arial" w:cs="Arial"/>
        </w:rPr>
        <w:t>Parts storage and waste collection at perimeter</w:t>
      </w:r>
    </w:p>
    <w:p w14:paraId="121A274D" w14:textId="77777777" w:rsidR="001510ED" w:rsidRPr="00390868" w:rsidRDefault="001510ED" w:rsidP="00905241">
      <w:pPr>
        <w:numPr>
          <w:ilvl w:val="0"/>
          <w:numId w:val="37"/>
        </w:numPr>
        <w:spacing w:line="360" w:lineRule="auto"/>
        <w:rPr>
          <w:rFonts w:ascii="Arial" w:hAnsi="Arial" w:cs="Arial"/>
        </w:rPr>
      </w:pPr>
      <w:r w:rsidRPr="00390868">
        <w:rPr>
          <w:rFonts w:ascii="Arial" w:hAnsi="Arial" w:cs="Arial"/>
        </w:rPr>
        <w:t>Security-controlled vehicle holding areas</w:t>
      </w:r>
    </w:p>
    <w:p w14:paraId="1062648E" w14:textId="77777777" w:rsidR="001510ED" w:rsidRPr="00390868" w:rsidRDefault="001510ED" w:rsidP="00905241">
      <w:pPr>
        <w:pStyle w:val="Heading2"/>
        <w:spacing w:line="360" w:lineRule="auto"/>
        <w:rPr>
          <w:rFonts w:ascii="Arial" w:hAnsi="Arial" w:cs="Arial"/>
        </w:rPr>
      </w:pPr>
      <w:bookmarkStart w:id="153" w:name="_Toc218629316"/>
      <w:r w:rsidRPr="00390868">
        <w:rPr>
          <w:rFonts w:ascii="Arial" w:hAnsi="Arial" w:cs="Arial"/>
        </w:rPr>
        <w:t>Appendix B: Secondary Market Research Data Sources</w:t>
      </w:r>
      <w:bookmarkEnd w:id="153"/>
    </w:p>
    <w:p w14:paraId="29B85C2D" w14:textId="77777777" w:rsidR="001510ED" w:rsidRPr="00390868" w:rsidRDefault="001510ED" w:rsidP="00905241">
      <w:pPr>
        <w:spacing w:line="360" w:lineRule="auto"/>
        <w:rPr>
          <w:rFonts w:ascii="Arial" w:hAnsi="Arial" w:cs="Arial"/>
          <w:b/>
          <w:bCs/>
        </w:rPr>
      </w:pPr>
    </w:p>
    <w:tbl>
      <w:tblPr>
        <w:tblStyle w:val="PlainTable1"/>
        <w:tblW w:w="0" w:type="auto"/>
        <w:tblLook w:val="04A0" w:firstRow="1" w:lastRow="0" w:firstColumn="1" w:lastColumn="0" w:noHBand="0" w:noVBand="1"/>
      </w:tblPr>
      <w:tblGrid>
        <w:gridCol w:w="1707"/>
        <w:gridCol w:w="2182"/>
        <w:gridCol w:w="3038"/>
        <w:gridCol w:w="2089"/>
      </w:tblGrid>
      <w:tr w:rsidR="001510ED" w:rsidRPr="00390868" w14:paraId="21D4A372"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4F3DB" w14:textId="77777777" w:rsidR="001510ED" w:rsidRPr="00390868" w:rsidRDefault="001510ED" w:rsidP="00905241">
            <w:pPr>
              <w:spacing w:after="160" w:line="360" w:lineRule="auto"/>
              <w:rPr>
                <w:rFonts w:ascii="Arial" w:hAnsi="Arial" w:cs="Arial"/>
              </w:rPr>
            </w:pPr>
            <w:r w:rsidRPr="00390868">
              <w:rPr>
                <w:rFonts w:ascii="Arial" w:hAnsi="Arial" w:cs="Arial"/>
              </w:rPr>
              <w:t>Data Category</w:t>
            </w:r>
          </w:p>
        </w:tc>
        <w:tc>
          <w:tcPr>
            <w:tcW w:w="0" w:type="auto"/>
            <w:hideMark/>
          </w:tcPr>
          <w:p w14:paraId="58FBD34D"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Key Sources &amp; References</w:t>
            </w:r>
          </w:p>
        </w:tc>
        <w:tc>
          <w:tcPr>
            <w:tcW w:w="0" w:type="auto"/>
            <w:hideMark/>
          </w:tcPr>
          <w:p w14:paraId="4FE61A65"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Critical Insights</w:t>
            </w:r>
          </w:p>
        </w:tc>
        <w:tc>
          <w:tcPr>
            <w:tcW w:w="0" w:type="auto"/>
            <w:hideMark/>
          </w:tcPr>
          <w:p w14:paraId="498F8456"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Application in DBP</w:t>
            </w:r>
          </w:p>
        </w:tc>
      </w:tr>
      <w:tr w:rsidR="001510ED" w:rsidRPr="00390868" w14:paraId="08282A5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8F1BD6" w14:textId="77777777" w:rsidR="001510ED" w:rsidRPr="00390868" w:rsidRDefault="001510ED" w:rsidP="00905241">
            <w:pPr>
              <w:spacing w:after="160" w:line="360" w:lineRule="auto"/>
              <w:rPr>
                <w:rFonts w:ascii="Arial" w:hAnsi="Arial" w:cs="Arial"/>
              </w:rPr>
            </w:pPr>
            <w:r w:rsidRPr="00390868">
              <w:rPr>
                <w:rFonts w:ascii="Arial" w:hAnsi="Arial" w:cs="Arial"/>
              </w:rPr>
              <w:t>Market Size &amp; Trends</w:t>
            </w:r>
          </w:p>
        </w:tc>
        <w:tc>
          <w:tcPr>
            <w:tcW w:w="0" w:type="auto"/>
            <w:hideMark/>
          </w:tcPr>
          <w:p w14:paraId="0E2BCF44"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IBISWorld (2024); Mintel (2024); PwC (2024)</w:t>
            </w:r>
          </w:p>
        </w:tc>
        <w:tc>
          <w:tcPr>
            <w:tcW w:w="0" w:type="auto"/>
            <w:hideMark/>
          </w:tcPr>
          <w:p w14:paraId="41BB142F"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UK automotive aftermarket valued at £34.1B; 71% of drivers prefer one-stop solutions</w:t>
            </w:r>
          </w:p>
        </w:tc>
        <w:tc>
          <w:tcPr>
            <w:tcW w:w="0" w:type="auto"/>
            <w:hideMark/>
          </w:tcPr>
          <w:p w14:paraId="4102168E"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Validates integrated model demand</w:t>
            </w:r>
          </w:p>
        </w:tc>
      </w:tr>
      <w:tr w:rsidR="001510ED" w:rsidRPr="00390868" w14:paraId="34FD4142"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7EE1764" w14:textId="77777777" w:rsidR="001510ED" w:rsidRPr="00390868" w:rsidRDefault="001510ED" w:rsidP="00905241">
            <w:pPr>
              <w:spacing w:after="160" w:line="360" w:lineRule="auto"/>
              <w:rPr>
                <w:rFonts w:ascii="Arial" w:hAnsi="Arial" w:cs="Arial"/>
              </w:rPr>
            </w:pPr>
            <w:r w:rsidRPr="00390868">
              <w:rPr>
                <w:rFonts w:ascii="Arial" w:hAnsi="Arial" w:cs="Arial"/>
              </w:rPr>
              <w:t>Vehicle &amp; MOT Statistics</w:t>
            </w:r>
          </w:p>
        </w:tc>
        <w:tc>
          <w:tcPr>
            <w:tcW w:w="0" w:type="auto"/>
            <w:hideMark/>
          </w:tcPr>
          <w:p w14:paraId="5404167E"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DfT (2024); DVSA (2025); SMMT (2024)</w:t>
            </w:r>
          </w:p>
        </w:tc>
        <w:tc>
          <w:tcPr>
            <w:tcW w:w="0" w:type="auto"/>
            <w:hideMark/>
          </w:tcPr>
          <w:p w14:paraId="3BDFBE5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30M+ annual MOT tests; average vehicle age 9.3 years; EV registrations 21-23% of new cars (2024)</w:t>
            </w:r>
          </w:p>
        </w:tc>
        <w:tc>
          <w:tcPr>
            <w:tcW w:w="0" w:type="auto"/>
            <w:hideMark/>
          </w:tcPr>
          <w:p w14:paraId="1195A59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Supports demand projections and service mix</w:t>
            </w:r>
          </w:p>
        </w:tc>
      </w:tr>
      <w:tr w:rsidR="001510ED" w:rsidRPr="00390868" w14:paraId="167A3C60"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BD4070" w14:textId="77777777" w:rsidR="001510ED" w:rsidRPr="00390868" w:rsidRDefault="001510ED" w:rsidP="00905241">
            <w:pPr>
              <w:spacing w:after="160" w:line="360" w:lineRule="auto"/>
              <w:rPr>
                <w:rFonts w:ascii="Arial" w:hAnsi="Arial" w:cs="Arial"/>
              </w:rPr>
            </w:pPr>
            <w:r w:rsidRPr="00390868">
              <w:rPr>
                <w:rFonts w:ascii="Arial" w:hAnsi="Arial" w:cs="Arial"/>
              </w:rPr>
              <w:t>Skills &amp; Capability Gaps</w:t>
            </w:r>
          </w:p>
        </w:tc>
        <w:tc>
          <w:tcPr>
            <w:tcW w:w="0" w:type="auto"/>
            <w:hideMark/>
          </w:tcPr>
          <w:p w14:paraId="615E031E"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IMI (2024); McKinsey (2023)</w:t>
            </w:r>
          </w:p>
        </w:tc>
        <w:tc>
          <w:tcPr>
            <w:tcW w:w="0" w:type="auto"/>
            <w:hideMark/>
          </w:tcPr>
          <w:p w14:paraId="6EAA8E9B"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Only 6% of UK technicians EV-certified; &lt;15% garages have advanced electrical diagnostics</w:t>
            </w:r>
          </w:p>
        </w:tc>
        <w:tc>
          <w:tcPr>
            <w:tcW w:w="0" w:type="auto"/>
            <w:hideMark/>
          </w:tcPr>
          <w:p w14:paraId="202DC20D"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Justifies EV investment and training strategy</w:t>
            </w:r>
          </w:p>
        </w:tc>
      </w:tr>
      <w:tr w:rsidR="001510ED" w:rsidRPr="00390868" w14:paraId="07ED7D1F"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6A6AE592" w14:textId="77777777" w:rsidR="001510ED" w:rsidRPr="00390868" w:rsidRDefault="001510ED" w:rsidP="00905241">
            <w:pPr>
              <w:spacing w:after="160" w:line="360" w:lineRule="auto"/>
              <w:rPr>
                <w:rFonts w:ascii="Arial" w:hAnsi="Arial" w:cs="Arial"/>
              </w:rPr>
            </w:pPr>
            <w:r w:rsidRPr="00390868">
              <w:rPr>
                <w:rFonts w:ascii="Arial" w:hAnsi="Arial" w:cs="Arial"/>
              </w:rPr>
              <w:t>Consumer Behavior</w:t>
            </w:r>
          </w:p>
        </w:tc>
        <w:tc>
          <w:tcPr>
            <w:tcW w:w="0" w:type="auto"/>
            <w:hideMark/>
          </w:tcPr>
          <w:p w14:paraId="21F602CF"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Mintel (2024); RAC (2025); Which? (2024)</w:t>
            </w:r>
          </w:p>
        </w:tc>
        <w:tc>
          <w:tcPr>
            <w:tcW w:w="0" w:type="auto"/>
            <w:hideMark/>
          </w:tcPr>
          <w:p w14:paraId="75D680D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68% cite multi-garage coordination as primary frustration; transparency &gt; price for 64%</w:t>
            </w:r>
          </w:p>
        </w:tc>
        <w:tc>
          <w:tcPr>
            <w:tcW w:w="0" w:type="auto"/>
            <w:hideMark/>
          </w:tcPr>
          <w:p w14:paraId="41197014"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Informs marketing and value proposition</w:t>
            </w:r>
          </w:p>
        </w:tc>
      </w:tr>
      <w:tr w:rsidR="001510ED" w:rsidRPr="00390868" w14:paraId="7063E5F8"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E5B72C" w14:textId="77777777" w:rsidR="001510ED" w:rsidRPr="00390868" w:rsidRDefault="001510ED" w:rsidP="00905241">
            <w:pPr>
              <w:spacing w:after="160" w:line="360" w:lineRule="auto"/>
              <w:rPr>
                <w:rFonts w:ascii="Arial" w:hAnsi="Arial" w:cs="Arial"/>
              </w:rPr>
            </w:pPr>
            <w:r w:rsidRPr="00390868">
              <w:rPr>
                <w:rFonts w:ascii="Arial" w:hAnsi="Arial" w:cs="Arial"/>
              </w:rPr>
              <w:t>Local Sandwell Data</w:t>
            </w:r>
          </w:p>
        </w:tc>
        <w:tc>
          <w:tcPr>
            <w:tcW w:w="0" w:type="auto"/>
            <w:hideMark/>
          </w:tcPr>
          <w:p w14:paraId="53B0F391"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ONS/NOMIS (2024); DVSA (2025)</w:t>
            </w:r>
          </w:p>
        </w:tc>
        <w:tc>
          <w:tcPr>
            <w:tcW w:w="0" w:type="auto"/>
            <w:hideMark/>
          </w:tcPr>
          <w:p w14:paraId="467CE0AF"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136,830 licensed cars; 115 MOT stations (1,190 cars/station); 211 </w:t>
            </w:r>
            <w:r w:rsidRPr="00390868">
              <w:rPr>
                <w:rFonts w:ascii="Arial" w:hAnsi="Arial" w:cs="Arial"/>
              </w:rPr>
              <w:lastRenderedPageBreak/>
              <w:t>mechanical repair businesses</w:t>
            </w:r>
          </w:p>
        </w:tc>
        <w:tc>
          <w:tcPr>
            <w:tcW w:w="0" w:type="auto"/>
            <w:hideMark/>
          </w:tcPr>
          <w:p w14:paraId="3FC47FB4"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lastRenderedPageBreak/>
              <w:t>Validates location strategy and capacity need</w:t>
            </w:r>
          </w:p>
        </w:tc>
      </w:tr>
      <w:tr w:rsidR="001510ED" w:rsidRPr="00390868" w14:paraId="4E71D721"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37A432B" w14:textId="77777777" w:rsidR="001510ED" w:rsidRPr="00390868" w:rsidRDefault="001510ED" w:rsidP="00905241">
            <w:pPr>
              <w:spacing w:after="160" w:line="360" w:lineRule="auto"/>
              <w:rPr>
                <w:rFonts w:ascii="Arial" w:hAnsi="Arial" w:cs="Arial"/>
              </w:rPr>
            </w:pPr>
            <w:r w:rsidRPr="00390868">
              <w:rPr>
                <w:rFonts w:ascii="Arial" w:hAnsi="Arial" w:cs="Arial"/>
              </w:rPr>
              <w:t>Competitive Landscape</w:t>
            </w:r>
          </w:p>
        </w:tc>
        <w:tc>
          <w:tcPr>
            <w:tcW w:w="0" w:type="auto"/>
            <w:hideMark/>
          </w:tcPr>
          <w:p w14:paraId="446FAE0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ONS Business Counts (2024); Frost &amp; Sullivan (2023)</w:t>
            </w:r>
          </w:p>
        </w:tc>
        <w:tc>
          <w:tcPr>
            <w:tcW w:w="0" w:type="auto"/>
            <w:hideMark/>
          </w:tcPr>
          <w:p w14:paraId="0B7306A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90% independents single-specialty; micro-business dominance</w:t>
            </w:r>
          </w:p>
        </w:tc>
        <w:tc>
          <w:tcPr>
            <w:tcW w:w="0" w:type="auto"/>
            <w:hideMark/>
          </w:tcPr>
          <w:p w14:paraId="56D1ECAF"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Supports differentiation strategy</w:t>
            </w:r>
          </w:p>
        </w:tc>
      </w:tr>
      <w:tr w:rsidR="001510ED" w:rsidRPr="00390868" w14:paraId="1863A4AC"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56F9DD" w14:textId="77777777" w:rsidR="001510ED" w:rsidRPr="00390868" w:rsidRDefault="001510ED" w:rsidP="00905241">
            <w:pPr>
              <w:spacing w:after="160" w:line="360" w:lineRule="auto"/>
              <w:rPr>
                <w:rFonts w:ascii="Arial" w:hAnsi="Arial" w:cs="Arial"/>
              </w:rPr>
            </w:pPr>
            <w:r w:rsidRPr="00390868">
              <w:rPr>
                <w:rFonts w:ascii="Arial" w:hAnsi="Arial" w:cs="Arial"/>
              </w:rPr>
              <w:t>Regulatory &amp; Policy</w:t>
            </w:r>
          </w:p>
        </w:tc>
        <w:tc>
          <w:tcPr>
            <w:tcW w:w="0" w:type="auto"/>
            <w:hideMark/>
          </w:tcPr>
          <w:p w14:paraId="23BC43D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BEIS (2023); HSE (2023); DEFRA (2024)</w:t>
            </w:r>
          </w:p>
        </w:tc>
        <w:tc>
          <w:tcPr>
            <w:tcW w:w="0" w:type="auto"/>
            <w:hideMark/>
          </w:tcPr>
          <w:p w14:paraId="08835D90"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Net Zero Strategy; EV infrastructure targets; waste compliance tightening</w:t>
            </w:r>
          </w:p>
        </w:tc>
        <w:tc>
          <w:tcPr>
            <w:tcW w:w="0" w:type="auto"/>
            <w:hideMark/>
          </w:tcPr>
          <w:p w14:paraId="32A8FFA1"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Informs compliance investment</w:t>
            </w:r>
          </w:p>
        </w:tc>
      </w:tr>
      <w:tr w:rsidR="001510ED" w:rsidRPr="00390868" w14:paraId="135BE89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1B12484" w14:textId="77777777" w:rsidR="001510ED" w:rsidRPr="00390868" w:rsidRDefault="001510ED" w:rsidP="00905241">
            <w:pPr>
              <w:spacing w:after="160" w:line="360" w:lineRule="auto"/>
              <w:rPr>
                <w:rFonts w:ascii="Arial" w:hAnsi="Arial" w:cs="Arial"/>
              </w:rPr>
            </w:pPr>
            <w:r w:rsidRPr="00390868">
              <w:rPr>
                <w:rFonts w:ascii="Arial" w:hAnsi="Arial" w:cs="Arial"/>
              </w:rPr>
              <w:t>Economic Indicators</w:t>
            </w:r>
          </w:p>
        </w:tc>
        <w:tc>
          <w:tcPr>
            <w:tcW w:w="0" w:type="auto"/>
            <w:hideMark/>
          </w:tcPr>
          <w:p w14:paraId="43D2A11D"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ONS (2024); Statista (2024)</w:t>
            </w:r>
          </w:p>
        </w:tc>
        <w:tc>
          <w:tcPr>
            <w:tcW w:w="0" w:type="auto"/>
            <w:hideMark/>
          </w:tcPr>
          <w:p w14:paraId="027BA21E"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Household disposable income pressure; digital booking growth 23% YoY</w:t>
            </w:r>
          </w:p>
        </w:tc>
        <w:tc>
          <w:tcPr>
            <w:tcW w:w="0" w:type="auto"/>
            <w:hideMark/>
          </w:tcPr>
          <w:p w14:paraId="5C06FE7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Guides pricing and channel strategy</w:t>
            </w:r>
          </w:p>
        </w:tc>
      </w:tr>
    </w:tbl>
    <w:p w14:paraId="47F74B97" w14:textId="77777777" w:rsidR="001510ED" w:rsidRPr="00390868" w:rsidRDefault="001510ED" w:rsidP="00905241">
      <w:pPr>
        <w:spacing w:line="360" w:lineRule="auto"/>
        <w:rPr>
          <w:rFonts w:ascii="Arial" w:hAnsi="Arial" w:cs="Arial"/>
          <w:b/>
          <w:bCs/>
        </w:rPr>
      </w:pPr>
      <w:r w:rsidRPr="00390868">
        <w:rPr>
          <w:rFonts w:ascii="Arial" w:hAnsi="Arial" w:cs="Arial"/>
          <w:b/>
          <w:bCs/>
        </w:rPr>
        <w:t>Data Triangulation Summary:</w:t>
      </w:r>
      <w:r w:rsidRPr="00390868">
        <w:rPr>
          <w:rFonts w:ascii="Arial" w:hAnsi="Arial" w:cs="Arial"/>
          <w:b/>
          <w:bCs/>
        </w:rPr>
        <w:br/>
      </w:r>
      <w:r w:rsidRPr="00390868">
        <w:rPr>
          <w:rFonts w:ascii="Arial" w:hAnsi="Arial" w:cs="Arial"/>
        </w:rPr>
        <w:t>All secondary data has been cross-referenced across at least two reputable sources. Government statistics (DfT, DVSA, ONS) provide the foundational dataset, complemented by industry analysis (IMI, IBISWorld) and consumer research (Mintel, Which?). No primary surveys were conducted, ensuring objectivity and reducing confirmation bias.</w:t>
      </w:r>
    </w:p>
    <w:p w14:paraId="751BAC0E" w14:textId="77777777" w:rsidR="001510ED" w:rsidRPr="00390868" w:rsidRDefault="001510ED" w:rsidP="00905241">
      <w:pPr>
        <w:spacing w:line="360" w:lineRule="auto"/>
        <w:rPr>
          <w:rFonts w:ascii="Arial" w:hAnsi="Arial" w:cs="Arial"/>
          <w:b/>
          <w:bCs/>
        </w:rPr>
      </w:pPr>
    </w:p>
    <w:p w14:paraId="41A48AE0" w14:textId="77777777" w:rsidR="001510ED" w:rsidRPr="00390868" w:rsidRDefault="001510ED" w:rsidP="00905241">
      <w:pPr>
        <w:pStyle w:val="Heading2"/>
        <w:spacing w:line="360" w:lineRule="auto"/>
        <w:rPr>
          <w:rFonts w:ascii="Arial" w:hAnsi="Arial" w:cs="Arial"/>
        </w:rPr>
      </w:pPr>
      <w:bookmarkStart w:id="154" w:name="_Toc218629317"/>
      <w:r w:rsidRPr="00390868">
        <w:rPr>
          <w:rFonts w:ascii="Arial" w:hAnsi="Arial" w:cs="Arial"/>
        </w:rPr>
        <w:t>Appendix C: Customer Journey and Conversion Funnel</w:t>
      </w:r>
      <w:bookmarkEnd w:id="154"/>
    </w:p>
    <w:p w14:paraId="60707B87" w14:textId="77777777" w:rsidR="001510ED" w:rsidRPr="00390868" w:rsidRDefault="001510ED" w:rsidP="00905241">
      <w:pPr>
        <w:spacing w:line="360" w:lineRule="auto"/>
        <w:rPr>
          <w:rFonts w:ascii="Arial" w:hAnsi="Arial" w:cs="Arial"/>
        </w:rPr>
      </w:pPr>
      <w:r w:rsidRPr="00390868">
        <w:rPr>
          <w:rFonts w:ascii="Arial" w:hAnsi="Arial" w:cs="Arial"/>
        </w:rPr>
        <w:t>This appendix provides a consolidated visual and analytical summary of the customer journey and conversion funnel underpinning the Marketing and Sales Strategy outlined in Section 5. It maps customer mindset, key touchpoints, operational actions and performance indicators across the full acquisition-to-retention lifecycle.</w:t>
      </w:r>
    </w:p>
    <w:p w14:paraId="563FE72C" w14:textId="77777777" w:rsidR="001510ED" w:rsidRPr="00390868" w:rsidRDefault="001510ED" w:rsidP="00905241">
      <w:pPr>
        <w:spacing w:line="360" w:lineRule="auto"/>
        <w:rPr>
          <w:rFonts w:ascii="Arial" w:hAnsi="Arial" w:cs="Arial"/>
          <w:b/>
          <w:bCs/>
        </w:rPr>
      </w:pPr>
      <w:r w:rsidRPr="00390868">
        <w:rPr>
          <w:rFonts w:ascii="Arial" w:hAnsi="Arial" w:cs="Arial"/>
          <w:b/>
          <w:bCs/>
        </w:rPr>
        <w:t>Customer Journey and Conversion Funnel</w:t>
      </w:r>
    </w:p>
    <w:tbl>
      <w:tblPr>
        <w:tblStyle w:val="PlainTable1"/>
        <w:tblW w:w="0" w:type="auto"/>
        <w:tblLook w:val="04A0" w:firstRow="1" w:lastRow="0" w:firstColumn="1" w:lastColumn="0" w:noHBand="0" w:noVBand="1"/>
      </w:tblPr>
      <w:tblGrid>
        <w:gridCol w:w="1730"/>
        <w:gridCol w:w="1585"/>
        <w:gridCol w:w="2080"/>
        <w:gridCol w:w="1801"/>
        <w:gridCol w:w="1820"/>
      </w:tblGrid>
      <w:tr w:rsidR="001510ED" w:rsidRPr="00390868" w14:paraId="36D211CF"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9469DC" w14:textId="77777777" w:rsidR="001510ED" w:rsidRPr="00390868" w:rsidRDefault="001510ED" w:rsidP="00905241">
            <w:pPr>
              <w:spacing w:after="160" w:line="360" w:lineRule="auto"/>
              <w:rPr>
                <w:rFonts w:ascii="Arial" w:hAnsi="Arial" w:cs="Arial"/>
              </w:rPr>
            </w:pPr>
            <w:r w:rsidRPr="00390868">
              <w:rPr>
                <w:rFonts w:ascii="Arial" w:hAnsi="Arial" w:cs="Arial"/>
              </w:rPr>
              <w:t>Journey Stage</w:t>
            </w:r>
          </w:p>
        </w:tc>
        <w:tc>
          <w:tcPr>
            <w:tcW w:w="0" w:type="auto"/>
            <w:hideMark/>
          </w:tcPr>
          <w:p w14:paraId="14AE05D3"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Customer Mindset</w:t>
            </w:r>
          </w:p>
        </w:tc>
        <w:tc>
          <w:tcPr>
            <w:tcW w:w="0" w:type="auto"/>
            <w:hideMark/>
          </w:tcPr>
          <w:p w14:paraId="73222E84"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Primary Touchpoints</w:t>
            </w:r>
          </w:p>
        </w:tc>
        <w:tc>
          <w:tcPr>
            <w:tcW w:w="0" w:type="auto"/>
            <w:hideMark/>
          </w:tcPr>
          <w:p w14:paraId="015F6702"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Operational Actions</w:t>
            </w:r>
          </w:p>
        </w:tc>
        <w:tc>
          <w:tcPr>
            <w:tcW w:w="0" w:type="auto"/>
            <w:hideMark/>
          </w:tcPr>
          <w:p w14:paraId="43FF5E51"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Key KPIs (Gate Metrics)</w:t>
            </w:r>
          </w:p>
        </w:tc>
      </w:tr>
      <w:tr w:rsidR="001510ED" w:rsidRPr="00390868" w14:paraId="048ED29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0202F9" w14:textId="77777777" w:rsidR="001510ED" w:rsidRPr="00390868" w:rsidRDefault="001510ED" w:rsidP="00905241">
            <w:pPr>
              <w:spacing w:after="160" w:line="360" w:lineRule="auto"/>
              <w:rPr>
                <w:rFonts w:ascii="Arial" w:hAnsi="Arial" w:cs="Arial"/>
              </w:rPr>
            </w:pPr>
            <w:r w:rsidRPr="00390868">
              <w:rPr>
                <w:rFonts w:ascii="Arial" w:hAnsi="Arial" w:cs="Arial"/>
              </w:rPr>
              <w:t>Awareness</w:t>
            </w:r>
          </w:p>
        </w:tc>
        <w:tc>
          <w:tcPr>
            <w:tcW w:w="0" w:type="auto"/>
            <w:hideMark/>
          </w:tcPr>
          <w:p w14:paraId="4C38DCF4"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 need a trusted garage nearby”</w:t>
            </w:r>
          </w:p>
        </w:tc>
        <w:tc>
          <w:tcPr>
            <w:tcW w:w="0" w:type="auto"/>
            <w:hideMark/>
          </w:tcPr>
          <w:p w14:paraId="3C8155F5"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Google Search, Google Maps, Reviews, Local Signage</w:t>
            </w:r>
          </w:p>
        </w:tc>
        <w:tc>
          <w:tcPr>
            <w:tcW w:w="0" w:type="auto"/>
            <w:hideMark/>
          </w:tcPr>
          <w:p w14:paraId="48CB5F4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 xml:space="preserve">SEO-optimised service pages; Google Business Profile </w:t>
            </w:r>
            <w:r w:rsidRPr="00390868">
              <w:rPr>
                <w:rFonts w:ascii="Arial" w:hAnsi="Arial" w:cs="Arial"/>
              </w:rPr>
              <w:lastRenderedPageBreak/>
              <w:t>optimisation; review visibility</w:t>
            </w:r>
          </w:p>
        </w:tc>
        <w:tc>
          <w:tcPr>
            <w:tcW w:w="0" w:type="auto"/>
            <w:hideMark/>
          </w:tcPr>
          <w:p w14:paraId="3D125D3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lastRenderedPageBreak/>
              <w:t>Search impressions; click-through rate (CTR); profile views</w:t>
            </w:r>
          </w:p>
        </w:tc>
      </w:tr>
      <w:tr w:rsidR="001510ED" w:rsidRPr="00390868" w14:paraId="03714F9D"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6318288" w14:textId="77777777" w:rsidR="001510ED" w:rsidRPr="00390868" w:rsidRDefault="001510ED" w:rsidP="00905241">
            <w:pPr>
              <w:spacing w:after="160" w:line="360" w:lineRule="auto"/>
              <w:rPr>
                <w:rFonts w:ascii="Arial" w:hAnsi="Arial" w:cs="Arial"/>
              </w:rPr>
            </w:pPr>
            <w:r w:rsidRPr="00390868">
              <w:rPr>
                <w:rFonts w:ascii="Arial" w:hAnsi="Arial" w:cs="Arial"/>
              </w:rPr>
              <w:t>Consideration</w:t>
            </w:r>
          </w:p>
        </w:tc>
        <w:tc>
          <w:tcPr>
            <w:tcW w:w="0" w:type="auto"/>
            <w:hideMark/>
          </w:tcPr>
          <w:p w14:paraId="64698487"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“Is this place trustworthy and fairly priced?”</w:t>
            </w:r>
          </w:p>
        </w:tc>
        <w:tc>
          <w:tcPr>
            <w:tcW w:w="0" w:type="auto"/>
            <w:hideMark/>
          </w:tcPr>
          <w:p w14:paraId="3F0E294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Website, Reviews, Pricing Menus, Phone/WhatsApp</w:t>
            </w:r>
          </w:p>
        </w:tc>
        <w:tc>
          <w:tcPr>
            <w:tcW w:w="0" w:type="auto"/>
            <w:hideMark/>
          </w:tcPr>
          <w:p w14:paraId="1D515FE8"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Fixed-price menus; rapid enquiry response; visible DVSA and compliance credentials</w:t>
            </w:r>
          </w:p>
        </w:tc>
        <w:tc>
          <w:tcPr>
            <w:tcW w:w="0" w:type="auto"/>
            <w:hideMark/>
          </w:tcPr>
          <w:p w14:paraId="55D91116"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Enquiry-to-booking ratio; average response time</w:t>
            </w:r>
          </w:p>
        </w:tc>
      </w:tr>
      <w:tr w:rsidR="001510ED" w:rsidRPr="00390868" w14:paraId="2D5DE868"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07EC9D" w14:textId="77777777" w:rsidR="001510ED" w:rsidRPr="00390868" w:rsidRDefault="001510ED" w:rsidP="00905241">
            <w:pPr>
              <w:spacing w:after="160" w:line="360" w:lineRule="auto"/>
              <w:rPr>
                <w:rFonts w:ascii="Arial" w:hAnsi="Arial" w:cs="Arial"/>
              </w:rPr>
            </w:pPr>
            <w:r w:rsidRPr="00390868">
              <w:rPr>
                <w:rFonts w:ascii="Arial" w:hAnsi="Arial" w:cs="Arial"/>
              </w:rPr>
              <w:t>Booking</w:t>
            </w:r>
          </w:p>
        </w:tc>
        <w:tc>
          <w:tcPr>
            <w:tcW w:w="0" w:type="auto"/>
            <w:hideMark/>
          </w:tcPr>
          <w:p w14:paraId="240D0DD1"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“Can I book quickly and confidently?”</w:t>
            </w:r>
          </w:p>
        </w:tc>
        <w:tc>
          <w:tcPr>
            <w:tcW w:w="0" w:type="auto"/>
            <w:hideMark/>
          </w:tcPr>
          <w:p w14:paraId="23D7C90B"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Online booking system; WhatsApp; phone</w:t>
            </w:r>
          </w:p>
        </w:tc>
        <w:tc>
          <w:tcPr>
            <w:tcW w:w="0" w:type="auto"/>
            <w:hideMark/>
          </w:tcPr>
          <w:p w14:paraId="284874B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Frictionless booking; immediate confirmation; capacity-aware scheduling</w:t>
            </w:r>
          </w:p>
        </w:tc>
        <w:tc>
          <w:tcPr>
            <w:tcW w:w="0" w:type="auto"/>
            <w:hideMark/>
          </w:tcPr>
          <w:p w14:paraId="7EB2D33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Booking completion rate; booking abandonment rate</w:t>
            </w:r>
          </w:p>
        </w:tc>
      </w:tr>
      <w:tr w:rsidR="001510ED" w:rsidRPr="00390868" w14:paraId="26E8664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6A9A857" w14:textId="77777777" w:rsidR="001510ED" w:rsidRPr="00390868" w:rsidRDefault="001510ED" w:rsidP="00905241">
            <w:pPr>
              <w:spacing w:after="160" w:line="360" w:lineRule="auto"/>
              <w:rPr>
                <w:rFonts w:ascii="Arial" w:hAnsi="Arial" w:cs="Arial"/>
              </w:rPr>
            </w:pPr>
            <w:r w:rsidRPr="00390868">
              <w:rPr>
                <w:rFonts w:ascii="Arial" w:hAnsi="Arial" w:cs="Arial"/>
              </w:rPr>
              <w:t>Service Delivery</w:t>
            </w:r>
          </w:p>
        </w:tc>
        <w:tc>
          <w:tcPr>
            <w:tcW w:w="0" w:type="auto"/>
            <w:hideMark/>
          </w:tcPr>
          <w:p w14:paraId="35ABBAD1"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“Did they do what they promised?”</w:t>
            </w:r>
          </w:p>
        </w:tc>
        <w:tc>
          <w:tcPr>
            <w:tcW w:w="0" w:type="auto"/>
            <w:hideMark/>
          </w:tcPr>
          <w:p w14:paraId="182ABA0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On-site reception; digital updates; service reports</w:t>
            </w:r>
          </w:p>
        </w:tc>
        <w:tc>
          <w:tcPr>
            <w:tcW w:w="0" w:type="auto"/>
            <w:hideMark/>
          </w:tcPr>
          <w:p w14:paraId="3A2F2058"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Standardised diagnostics; real-time updates; transparent approvals</w:t>
            </w:r>
          </w:p>
        </w:tc>
        <w:tc>
          <w:tcPr>
            <w:tcW w:w="0" w:type="auto"/>
            <w:hideMark/>
          </w:tcPr>
          <w:p w14:paraId="3CF8913B"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First-time fix rate; average turnaround time; customer satisfaction</w:t>
            </w:r>
          </w:p>
        </w:tc>
      </w:tr>
      <w:tr w:rsidR="001510ED" w:rsidRPr="00390868" w14:paraId="792D2D59"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90744" w14:textId="77777777" w:rsidR="001510ED" w:rsidRPr="00390868" w:rsidRDefault="001510ED" w:rsidP="00905241">
            <w:pPr>
              <w:spacing w:after="160" w:line="360" w:lineRule="auto"/>
              <w:rPr>
                <w:rFonts w:ascii="Arial" w:hAnsi="Arial" w:cs="Arial"/>
              </w:rPr>
            </w:pPr>
            <w:r w:rsidRPr="00390868">
              <w:rPr>
                <w:rFonts w:ascii="Arial" w:hAnsi="Arial" w:cs="Arial"/>
              </w:rPr>
              <w:t>Retention &amp; Advocacy</w:t>
            </w:r>
          </w:p>
        </w:tc>
        <w:tc>
          <w:tcPr>
            <w:tcW w:w="0" w:type="auto"/>
            <w:hideMark/>
          </w:tcPr>
          <w:p w14:paraId="3B88822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“I’ll come back here”</w:t>
            </w:r>
          </w:p>
        </w:tc>
        <w:tc>
          <w:tcPr>
            <w:tcW w:w="0" w:type="auto"/>
            <w:hideMark/>
          </w:tcPr>
          <w:p w14:paraId="7EF548A9"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CRM reminders; follow-up messages; service history</w:t>
            </w:r>
          </w:p>
        </w:tc>
        <w:tc>
          <w:tcPr>
            <w:tcW w:w="0" w:type="auto"/>
            <w:hideMark/>
          </w:tcPr>
          <w:p w14:paraId="22F17455"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MOT-linked reminders; retained service records; targeted follow-ups</w:t>
            </w:r>
          </w:p>
        </w:tc>
        <w:tc>
          <w:tcPr>
            <w:tcW w:w="0" w:type="auto"/>
            <w:hideMark/>
          </w:tcPr>
          <w:p w14:paraId="24089AF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Repeat visit ratio; cross-service conversion rate; customer lifetime value (CLV)</w:t>
            </w:r>
          </w:p>
        </w:tc>
      </w:tr>
    </w:tbl>
    <w:p w14:paraId="55319DB3" w14:textId="77777777" w:rsidR="001510ED" w:rsidRPr="00390868" w:rsidRDefault="001510ED" w:rsidP="00905241">
      <w:pPr>
        <w:spacing w:line="360" w:lineRule="auto"/>
        <w:rPr>
          <w:rFonts w:ascii="Arial" w:hAnsi="Arial" w:cs="Arial"/>
          <w:b/>
          <w:bCs/>
        </w:rPr>
      </w:pPr>
      <w:r w:rsidRPr="00390868">
        <w:rPr>
          <w:rFonts w:ascii="Arial" w:hAnsi="Arial" w:cs="Arial"/>
          <w:b/>
          <w:bCs/>
        </w:rPr>
        <w:t>Analytical Notes</w:t>
      </w:r>
    </w:p>
    <w:p w14:paraId="6B7BCB4B" w14:textId="77777777" w:rsidR="001510ED" w:rsidRPr="00390868" w:rsidRDefault="001510ED" w:rsidP="00905241">
      <w:pPr>
        <w:numPr>
          <w:ilvl w:val="0"/>
          <w:numId w:val="6"/>
        </w:numPr>
        <w:spacing w:line="360" w:lineRule="auto"/>
        <w:rPr>
          <w:rFonts w:ascii="Arial" w:hAnsi="Arial" w:cs="Arial"/>
        </w:rPr>
      </w:pPr>
      <w:r w:rsidRPr="00390868">
        <w:rPr>
          <w:rFonts w:ascii="Arial" w:hAnsi="Arial" w:cs="Arial"/>
        </w:rPr>
        <w:t>The funnel is capacity-led, ensuring that demand generation aligns with workshop throughput and staffing constraints.</w:t>
      </w:r>
    </w:p>
    <w:p w14:paraId="0732F256" w14:textId="77777777" w:rsidR="001510ED" w:rsidRPr="00390868" w:rsidRDefault="001510ED" w:rsidP="00905241">
      <w:pPr>
        <w:numPr>
          <w:ilvl w:val="0"/>
          <w:numId w:val="6"/>
        </w:numPr>
        <w:spacing w:line="360" w:lineRule="auto"/>
        <w:rPr>
          <w:rFonts w:ascii="Arial" w:hAnsi="Arial" w:cs="Arial"/>
        </w:rPr>
      </w:pPr>
      <w:r w:rsidRPr="00390868">
        <w:rPr>
          <w:rFonts w:ascii="Arial" w:hAnsi="Arial" w:cs="Arial"/>
        </w:rPr>
        <w:t>Trust signals (pricing transparency, diagnostics, compliance visibility) operate as conversion accelerators, reducing decision friction rather than relying on price competition.</w:t>
      </w:r>
    </w:p>
    <w:p w14:paraId="48878AE8" w14:textId="77777777" w:rsidR="001510ED" w:rsidRPr="00390868" w:rsidRDefault="001510ED" w:rsidP="00905241">
      <w:pPr>
        <w:numPr>
          <w:ilvl w:val="0"/>
          <w:numId w:val="6"/>
        </w:numPr>
        <w:spacing w:line="360" w:lineRule="auto"/>
        <w:rPr>
          <w:rFonts w:ascii="Arial" w:hAnsi="Arial" w:cs="Arial"/>
        </w:rPr>
      </w:pPr>
      <w:r w:rsidRPr="00390868">
        <w:rPr>
          <w:rFonts w:ascii="Arial" w:hAnsi="Arial" w:cs="Arial"/>
        </w:rPr>
        <w:lastRenderedPageBreak/>
        <w:t>Retention mechanisms (CRM reminders, service histories) embed switching costs, stabilising revenue and lowering long-term acquisition costs.</w:t>
      </w:r>
    </w:p>
    <w:p w14:paraId="12E8D2EE" w14:textId="77777777" w:rsidR="001510ED" w:rsidRPr="00390868" w:rsidRDefault="001510ED" w:rsidP="00905241">
      <w:pPr>
        <w:numPr>
          <w:ilvl w:val="0"/>
          <w:numId w:val="6"/>
        </w:numPr>
        <w:spacing w:line="360" w:lineRule="auto"/>
        <w:rPr>
          <w:rFonts w:ascii="Arial" w:hAnsi="Arial" w:cs="Arial"/>
        </w:rPr>
      </w:pPr>
      <w:r w:rsidRPr="00390868">
        <w:rPr>
          <w:rFonts w:ascii="Arial" w:hAnsi="Arial" w:cs="Arial"/>
        </w:rPr>
        <w:t>Performance metrics at each stage function as control points, allowing marketing effectiveness to be evaluated in operational and financial terms, consistent with Sections 6 and 8.</w:t>
      </w:r>
    </w:p>
    <w:p w14:paraId="08F0B67A" w14:textId="77777777" w:rsidR="001510ED" w:rsidRPr="00390868" w:rsidRDefault="001510ED" w:rsidP="00905241">
      <w:pPr>
        <w:pStyle w:val="Heading2"/>
        <w:spacing w:line="360" w:lineRule="auto"/>
        <w:rPr>
          <w:rFonts w:ascii="Arial" w:hAnsi="Arial" w:cs="Arial"/>
        </w:rPr>
      </w:pPr>
      <w:bookmarkStart w:id="155" w:name="_Toc218629318"/>
      <w:r w:rsidRPr="00390868">
        <w:rPr>
          <w:rFonts w:ascii="Arial" w:hAnsi="Arial" w:cs="Arial"/>
        </w:rPr>
        <w:t>Appendix D: Monthly Cash Flow Projections (Years 1–3)</w:t>
      </w:r>
      <w:bookmarkEnd w:id="155"/>
    </w:p>
    <w:p w14:paraId="15951AC6" w14:textId="77777777" w:rsidR="001510ED" w:rsidRPr="00390868" w:rsidRDefault="001510ED" w:rsidP="00905241">
      <w:pPr>
        <w:spacing w:line="360" w:lineRule="auto"/>
        <w:rPr>
          <w:rFonts w:ascii="Arial" w:hAnsi="Arial" w:cs="Arial"/>
          <w:b/>
          <w:bCs/>
        </w:rPr>
      </w:pPr>
      <w:r w:rsidRPr="00390868">
        <w:rPr>
          <w:rFonts w:ascii="Arial" w:hAnsi="Arial" w:cs="Arial"/>
          <w:b/>
          <w:bCs/>
        </w:rPr>
        <w:t>Year 1 (Launch Year - Q4 Only)</w:t>
      </w:r>
    </w:p>
    <w:tbl>
      <w:tblPr>
        <w:tblStyle w:val="PlainTable1"/>
        <w:tblW w:w="0" w:type="auto"/>
        <w:tblLook w:val="04A0" w:firstRow="1" w:lastRow="0" w:firstColumn="1" w:lastColumn="0" w:noHBand="0" w:noVBand="1"/>
      </w:tblPr>
      <w:tblGrid>
        <w:gridCol w:w="967"/>
        <w:gridCol w:w="1844"/>
        <w:gridCol w:w="1631"/>
        <w:gridCol w:w="1542"/>
        <w:gridCol w:w="1499"/>
        <w:gridCol w:w="1533"/>
      </w:tblGrid>
      <w:tr w:rsidR="00410029" w:rsidRPr="00390868" w14:paraId="779ED3DB" w14:textId="77777777" w:rsidTr="00410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E8402" w14:textId="77777777" w:rsidR="00410029" w:rsidRPr="00390868" w:rsidRDefault="00410029" w:rsidP="00905241">
            <w:pPr>
              <w:spacing w:after="160" w:line="360" w:lineRule="auto"/>
              <w:rPr>
                <w:rFonts w:ascii="Arial" w:hAnsi="Arial" w:cs="Arial"/>
              </w:rPr>
            </w:pPr>
            <w:r w:rsidRPr="00390868">
              <w:rPr>
                <w:rFonts w:ascii="Arial" w:hAnsi="Arial" w:cs="Arial"/>
              </w:rPr>
              <w:t>Month</w:t>
            </w:r>
          </w:p>
        </w:tc>
        <w:tc>
          <w:tcPr>
            <w:tcW w:w="0" w:type="auto"/>
            <w:hideMark/>
          </w:tcPr>
          <w:p w14:paraId="02CB24D6" w14:textId="77777777" w:rsidR="00410029" w:rsidRPr="00390868" w:rsidRDefault="0041002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w:t>
            </w:r>
          </w:p>
        </w:tc>
        <w:tc>
          <w:tcPr>
            <w:tcW w:w="0" w:type="auto"/>
            <w:hideMark/>
          </w:tcPr>
          <w:p w14:paraId="4650CCA1" w14:textId="77777777" w:rsidR="00410029" w:rsidRPr="00390868" w:rsidRDefault="0041002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Investing (CapEx)</w:t>
            </w:r>
          </w:p>
        </w:tc>
        <w:tc>
          <w:tcPr>
            <w:tcW w:w="0" w:type="auto"/>
            <w:hideMark/>
          </w:tcPr>
          <w:p w14:paraId="24C720BF" w14:textId="77777777" w:rsidR="00410029" w:rsidRPr="00390868" w:rsidRDefault="0041002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Financing (Net)</w:t>
            </w:r>
          </w:p>
        </w:tc>
        <w:tc>
          <w:tcPr>
            <w:tcW w:w="0" w:type="auto"/>
            <w:hideMark/>
          </w:tcPr>
          <w:p w14:paraId="06400B38" w14:textId="77777777" w:rsidR="00410029" w:rsidRPr="00390868" w:rsidRDefault="0041002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Net Cash Flow</w:t>
            </w:r>
          </w:p>
        </w:tc>
        <w:tc>
          <w:tcPr>
            <w:tcW w:w="0" w:type="auto"/>
            <w:hideMark/>
          </w:tcPr>
          <w:p w14:paraId="61FB0FED" w14:textId="77777777" w:rsidR="00410029" w:rsidRPr="00390868" w:rsidRDefault="0041002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Closing Balance</w:t>
            </w:r>
          </w:p>
        </w:tc>
      </w:tr>
      <w:tr w:rsidR="00410029" w:rsidRPr="00390868" w14:paraId="4C3AFC00"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3273D1" w14:textId="77777777" w:rsidR="00410029" w:rsidRPr="00390868" w:rsidRDefault="00410029" w:rsidP="00905241">
            <w:pPr>
              <w:spacing w:after="160" w:line="360" w:lineRule="auto"/>
              <w:rPr>
                <w:rFonts w:ascii="Arial" w:hAnsi="Arial" w:cs="Arial"/>
              </w:rPr>
            </w:pPr>
            <w:r w:rsidRPr="00390868">
              <w:rPr>
                <w:rFonts w:ascii="Arial" w:hAnsi="Arial" w:cs="Arial"/>
              </w:rPr>
              <w:t>Jan</w:t>
            </w:r>
          </w:p>
        </w:tc>
        <w:tc>
          <w:tcPr>
            <w:tcW w:w="0" w:type="auto"/>
            <w:hideMark/>
          </w:tcPr>
          <w:p w14:paraId="6191EB1F"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35F5E811"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35D4ABEB"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+£940,000</w:t>
            </w:r>
          </w:p>
        </w:tc>
        <w:tc>
          <w:tcPr>
            <w:tcW w:w="0" w:type="auto"/>
            <w:hideMark/>
          </w:tcPr>
          <w:p w14:paraId="3AD424BF"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+£760,000</w:t>
            </w:r>
          </w:p>
        </w:tc>
        <w:tc>
          <w:tcPr>
            <w:tcW w:w="0" w:type="auto"/>
            <w:hideMark/>
          </w:tcPr>
          <w:p w14:paraId="77928D13"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£760,000</w:t>
            </w:r>
          </w:p>
        </w:tc>
      </w:tr>
      <w:tr w:rsidR="00410029" w:rsidRPr="00390868" w14:paraId="36CEBA4E"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0DE26DA3" w14:textId="77777777" w:rsidR="00410029" w:rsidRPr="00390868" w:rsidRDefault="00410029" w:rsidP="00905241">
            <w:pPr>
              <w:spacing w:after="160" w:line="360" w:lineRule="auto"/>
              <w:rPr>
                <w:rFonts w:ascii="Arial" w:hAnsi="Arial" w:cs="Arial"/>
              </w:rPr>
            </w:pPr>
            <w:r w:rsidRPr="00390868">
              <w:rPr>
                <w:rFonts w:ascii="Arial" w:hAnsi="Arial" w:cs="Arial"/>
              </w:rPr>
              <w:t>Feb</w:t>
            </w:r>
          </w:p>
        </w:tc>
        <w:tc>
          <w:tcPr>
            <w:tcW w:w="0" w:type="auto"/>
            <w:hideMark/>
          </w:tcPr>
          <w:p w14:paraId="4294AD54"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5CCA424F"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-£100,000</w:t>
            </w:r>
          </w:p>
        </w:tc>
        <w:tc>
          <w:tcPr>
            <w:tcW w:w="0" w:type="auto"/>
            <w:hideMark/>
          </w:tcPr>
          <w:p w14:paraId="565EC5E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0CDA729B"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-£100,000</w:t>
            </w:r>
          </w:p>
        </w:tc>
        <w:tc>
          <w:tcPr>
            <w:tcW w:w="0" w:type="auto"/>
            <w:hideMark/>
          </w:tcPr>
          <w:p w14:paraId="336B4F52"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£660,000</w:t>
            </w:r>
          </w:p>
        </w:tc>
      </w:tr>
      <w:tr w:rsidR="00410029" w:rsidRPr="00390868" w14:paraId="717E22AD"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E210C" w14:textId="77777777" w:rsidR="00410029" w:rsidRPr="00390868" w:rsidRDefault="00410029" w:rsidP="00905241">
            <w:pPr>
              <w:spacing w:after="160" w:line="360" w:lineRule="auto"/>
              <w:rPr>
                <w:rFonts w:ascii="Arial" w:hAnsi="Arial" w:cs="Arial"/>
              </w:rPr>
            </w:pPr>
            <w:r w:rsidRPr="00390868">
              <w:rPr>
                <w:rFonts w:ascii="Arial" w:hAnsi="Arial" w:cs="Arial"/>
              </w:rPr>
              <w:t>Mar</w:t>
            </w:r>
          </w:p>
        </w:tc>
        <w:tc>
          <w:tcPr>
            <w:tcW w:w="0" w:type="auto"/>
            <w:hideMark/>
          </w:tcPr>
          <w:p w14:paraId="05D6939E"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13E9C81A"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-£80,000</w:t>
            </w:r>
          </w:p>
        </w:tc>
        <w:tc>
          <w:tcPr>
            <w:tcW w:w="0" w:type="auto"/>
            <w:hideMark/>
          </w:tcPr>
          <w:p w14:paraId="0AAE4DAA"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5BE6196B"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-£80,000</w:t>
            </w:r>
          </w:p>
        </w:tc>
        <w:tc>
          <w:tcPr>
            <w:tcW w:w="0" w:type="auto"/>
            <w:hideMark/>
          </w:tcPr>
          <w:p w14:paraId="256A1396"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£580,000</w:t>
            </w:r>
          </w:p>
        </w:tc>
      </w:tr>
      <w:tr w:rsidR="00410029" w:rsidRPr="00390868" w14:paraId="365B4D96"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0F05481A" w14:textId="77777777" w:rsidR="00410029" w:rsidRPr="00390868" w:rsidRDefault="00410029" w:rsidP="00905241">
            <w:pPr>
              <w:spacing w:after="160" w:line="360" w:lineRule="auto"/>
              <w:rPr>
                <w:rFonts w:ascii="Arial" w:hAnsi="Arial" w:cs="Arial"/>
              </w:rPr>
            </w:pPr>
            <w:r w:rsidRPr="00390868">
              <w:rPr>
                <w:rFonts w:ascii="Arial" w:hAnsi="Arial" w:cs="Arial"/>
              </w:rPr>
              <w:t>Apr</w:t>
            </w:r>
          </w:p>
        </w:tc>
        <w:tc>
          <w:tcPr>
            <w:tcW w:w="0" w:type="auto"/>
            <w:hideMark/>
          </w:tcPr>
          <w:p w14:paraId="58ABCDA8"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51FD996C"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08F39396"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0371A2AF"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397AC81A"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£530,000</w:t>
            </w:r>
          </w:p>
        </w:tc>
      </w:tr>
      <w:tr w:rsidR="00410029" w:rsidRPr="00390868" w14:paraId="47CE7CC5"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C398C" w14:textId="77777777" w:rsidR="00410029" w:rsidRPr="00390868" w:rsidRDefault="00410029" w:rsidP="00905241">
            <w:pPr>
              <w:spacing w:after="160" w:line="360" w:lineRule="auto"/>
              <w:rPr>
                <w:rFonts w:ascii="Arial" w:hAnsi="Arial" w:cs="Arial"/>
              </w:rPr>
            </w:pPr>
            <w:r w:rsidRPr="00390868">
              <w:rPr>
                <w:rFonts w:ascii="Arial" w:hAnsi="Arial" w:cs="Arial"/>
              </w:rPr>
              <w:t>May</w:t>
            </w:r>
          </w:p>
        </w:tc>
        <w:tc>
          <w:tcPr>
            <w:tcW w:w="0" w:type="auto"/>
            <w:hideMark/>
          </w:tcPr>
          <w:p w14:paraId="3AF8A9B2"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7092D279"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-£40,000</w:t>
            </w:r>
          </w:p>
        </w:tc>
        <w:tc>
          <w:tcPr>
            <w:tcW w:w="0" w:type="auto"/>
            <w:hideMark/>
          </w:tcPr>
          <w:p w14:paraId="4BA170BB"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0B6E8AAE"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-£40,000</w:t>
            </w:r>
          </w:p>
        </w:tc>
        <w:tc>
          <w:tcPr>
            <w:tcW w:w="0" w:type="auto"/>
            <w:hideMark/>
          </w:tcPr>
          <w:p w14:paraId="2ACAF966"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£490,000</w:t>
            </w:r>
          </w:p>
        </w:tc>
      </w:tr>
      <w:tr w:rsidR="00410029" w:rsidRPr="00390868" w14:paraId="7A17C806"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57956CAE" w14:textId="77777777" w:rsidR="00410029" w:rsidRPr="00390868" w:rsidRDefault="00410029" w:rsidP="00905241">
            <w:pPr>
              <w:spacing w:after="160" w:line="360" w:lineRule="auto"/>
              <w:rPr>
                <w:rFonts w:ascii="Arial" w:hAnsi="Arial" w:cs="Arial"/>
              </w:rPr>
            </w:pPr>
            <w:r w:rsidRPr="00390868">
              <w:rPr>
                <w:rFonts w:ascii="Arial" w:hAnsi="Arial" w:cs="Arial"/>
              </w:rPr>
              <w:t>Jun</w:t>
            </w:r>
          </w:p>
        </w:tc>
        <w:tc>
          <w:tcPr>
            <w:tcW w:w="0" w:type="auto"/>
            <w:hideMark/>
          </w:tcPr>
          <w:p w14:paraId="1A772442"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67B6B1AB"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w:t>
            </w:r>
          </w:p>
        </w:tc>
        <w:tc>
          <w:tcPr>
            <w:tcW w:w="0" w:type="auto"/>
            <w:hideMark/>
          </w:tcPr>
          <w:p w14:paraId="66CAE814"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113623E1"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w:t>
            </w:r>
          </w:p>
        </w:tc>
        <w:tc>
          <w:tcPr>
            <w:tcW w:w="0" w:type="auto"/>
            <w:hideMark/>
          </w:tcPr>
          <w:p w14:paraId="650B35B2"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£470,000</w:t>
            </w:r>
          </w:p>
        </w:tc>
      </w:tr>
      <w:tr w:rsidR="00410029" w:rsidRPr="00390868" w14:paraId="7A692EB9"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190A0" w14:textId="77777777" w:rsidR="00410029" w:rsidRPr="00390868" w:rsidRDefault="00410029" w:rsidP="00905241">
            <w:pPr>
              <w:spacing w:after="160" w:line="360" w:lineRule="auto"/>
              <w:rPr>
                <w:rFonts w:ascii="Arial" w:hAnsi="Arial" w:cs="Arial"/>
              </w:rPr>
            </w:pPr>
            <w:r w:rsidRPr="00390868">
              <w:rPr>
                <w:rFonts w:ascii="Arial" w:hAnsi="Arial" w:cs="Arial"/>
              </w:rPr>
              <w:t>Jul</w:t>
            </w:r>
          </w:p>
        </w:tc>
        <w:tc>
          <w:tcPr>
            <w:tcW w:w="0" w:type="auto"/>
            <w:hideMark/>
          </w:tcPr>
          <w:p w14:paraId="22F65378"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5EECFA7C"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-£10,000</w:t>
            </w:r>
          </w:p>
        </w:tc>
        <w:tc>
          <w:tcPr>
            <w:tcW w:w="0" w:type="auto"/>
            <w:hideMark/>
          </w:tcPr>
          <w:p w14:paraId="4452435C"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22EEF1DF"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-£10,000</w:t>
            </w:r>
          </w:p>
        </w:tc>
        <w:tc>
          <w:tcPr>
            <w:tcW w:w="0" w:type="auto"/>
            <w:hideMark/>
          </w:tcPr>
          <w:p w14:paraId="43C1BC7F"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£460,000</w:t>
            </w:r>
          </w:p>
        </w:tc>
      </w:tr>
      <w:tr w:rsidR="00410029" w:rsidRPr="00390868" w14:paraId="4F5DDA38"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30326033" w14:textId="77777777" w:rsidR="00410029" w:rsidRPr="00390868" w:rsidRDefault="00410029" w:rsidP="00905241">
            <w:pPr>
              <w:spacing w:after="160" w:line="360" w:lineRule="auto"/>
              <w:rPr>
                <w:rFonts w:ascii="Arial" w:hAnsi="Arial" w:cs="Arial"/>
              </w:rPr>
            </w:pPr>
            <w:r w:rsidRPr="00390868">
              <w:rPr>
                <w:rFonts w:ascii="Arial" w:hAnsi="Arial" w:cs="Arial"/>
              </w:rPr>
              <w:t>Aug</w:t>
            </w:r>
          </w:p>
        </w:tc>
        <w:tc>
          <w:tcPr>
            <w:tcW w:w="0" w:type="auto"/>
            <w:hideMark/>
          </w:tcPr>
          <w:p w14:paraId="17A15B1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242F938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w:t>
            </w:r>
          </w:p>
        </w:tc>
        <w:tc>
          <w:tcPr>
            <w:tcW w:w="0" w:type="auto"/>
            <w:hideMark/>
          </w:tcPr>
          <w:p w14:paraId="503AD77D"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7C69BA8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w:t>
            </w:r>
          </w:p>
        </w:tc>
        <w:tc>
          <w:tcPr>
            <w:tcW w:w="0" w:type="auto"/>
            <w:hideMark/>
          </w:tcPr>
          <w:p w14:paraId="7F25273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£450,000</w:t>
            </w:r>
          </w:p>
        </w:tc>
      </w:tr>
      <w:tr w:rsidR="00410029" w:rsidRPr="00390868" w14:paraId="27E43E23"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97893" w14:textId="77777777" w:rsidR="00410029" w:rsidRPr="00390868" w:rsidRDefault="00410029" w:rsidP="00905241">
            <w:pPr>
              <w:spacing w:after="160" w:line="360" w:lineRule="auto"/>
              <w:rPr>
                <w:rFonts w:ascii="Arial" w:hAnsi="Arial" w:cs="Arial"/>
              </w:rPr>
            </w:pPr>
            <w:r w:rsidRPr="00390868">
              <w:rPr>
                <w:rFonts w:ascii="Arial" w:hAnsi="Arial" w:cs="Arial"/>
              </w:rPr>
              <w:t>Sep</w:t>
            </w:r>
          </w:p>
        </w:tc>
        <w:tc>
          <w:tcPr>
            <w:tcW w:w="0" w:type="auto"/>
            <w:hideMark/>
          </w:tcPr>
          <w:p w14:paraId="5AE37E43"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646FA887"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2AA13B3B"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066A0766"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2CAA9A0A"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£450,000</w:t>
            </w:r>
          </w:p>
        </w:tc>
      </w:tr>
      <w:tr w:rsidR="00410029" w:rsidRPr="00390868" w14:paraId="06323043"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7A3089A5" w14:textId="77777777" w:rsidR="00410029" w:rsidRPr="00390868" w:rsidRDefault="00410029" w:rsidP="00905241">
            <w:pPr>
              <w:spacing w:after="160" w:line="360" w:lineRule="auto"/>
              <w:rPr>
                <w:rFonts w:ascii="Arial" w:hAnsi="Arial" w:cs="Arial"/>
              </w:rPr>
            </w:pPr>
            <w:r w:rsidRPr="00390868">
              <w:rPr>
                <w:rFonts w:ascii="Arial" w:hAnsi="Arial" w:cs="Arial"/>
              </w:rPr>
              <w:t>Oct</w:t>
            </w:r>
          </w:p>
        </w:tc>
        <w:tc>
          <w:tcPr>
            <w:tcW w:w="0" w:type="auto"/>
            <w:hideMark/>
          </w:tcPr>
          <w:p w14:paraId="331D8357"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+£80,000</w:t>
            </w:r>
          </w:p>
        </w:tc>
        <w:tc>
          <w:tcPr>
            <w:tcW w:w="0" w:type="auto"/>
            <w:hideMark/>
          </w:tcPr>
          <w:p w14:paraId="0E4478F3"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73E0BBAB"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0F8C9492"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+£80,000</w:t>
            </w:r>
          </w:p>
        </w:tc>
        <w:tc>
          <w:tcPr>
            <w:tcW w:w="0" w:type="auto"/>
            <w:hideMark/>
          </w:tcPr>
          <w:p w14:paraId="1F2C6BD9"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£530,000</w:t>
            </w:r>
          </w:p>
        </w:tc>
      </w:tr>
      <w:tr w:rsidR="00410029" w:rsidRPr="00390868" w14:paraId="4324473A"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72384E" w14:textId="77777777" w:rsidR="00410029" w:rsidRPr="00390868" w:rsidRDefault="00410029" w:rsidP="00905241">
            <w:pPr>
              <w:spacing w:after="160" w:line="360" w:lineRule="auto"/>
              <w:rPr>
                <w:rFonts w:ascii="Arial" w:hAnsi="Arial" w:cs="Arial"/>
              </w:rPr>
            </w:pPr>
            <w:r w:rsidRPr="00390868">
              <w:rPr>
                <w:rFonts w:ascii="Arial" w:hAnsi="Arial" w:cs="Arial"/>
              </w:rPr>
              <w:t>Nov</w:t>
            </w:r>
          </w:p>
        </w:tc>
        <w:tc>
          <w:tcPr>
            <w:tcW w:w="0" w:type="auto"/>
            <w:hideMark/>
          </w:tcPr>
          <w:p w14:paraId="0EE6EA7F"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+£120,000</w:t>
            </w:r>
          </w:p>
        </w:tc>
        <w:tc>
          <w:tcPr>
            <w:tcW w:w="0" w:type="auto"/>
            <w:hideMark/>
          </w:tcPr>
          <w:p w14:paraId="4BBEBBAA"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6F324511"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769094FC"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+£120,000</w:t>
            </w:r>
          </w:p>
        </w:tc>
        <w:tc>
          <w:tcPr>
            <w:tcW w:w="0" w:type="auto"/>
            <w:hideMark/>
          </w:tcPr>
          <w:p w14:paraId="23B07279"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£650,000</w:t>
            </w:r>
          </w:p>
        </w:tc>
      </w:tr>
      <w:tr w:rsidR="00410029" w:rsidRPr="00390868" w14:paraId="085AE285" w14:textId="77777777" w:rsidTr="00410029">
        <w:tc>
          <w:tcPr>
            <w:cnfStyle w:val="001000000000" w:firstRow="0" w:lastRow="0" w:firstColumn="1" w:lastColumn="0" w:oddVBand="0" w:evenVBand="0" w:oddHBand="0" w:evenHBand="0" w:firstRowFirstColumn="0" w:firstRowLastColumn="0" w:lastRowFirstColumn="0" w:lastRowLastColumn="0"/>
            <w:tcW w:w="0" w:type="auto"/>
            <w:hideMark/>
          </w:tcPr>
          <w:p w14:paraId="61CD498B" w14:textId="77777777" w:rsidR="00410029" w:rsidRPr="00390868" w:rsidRDefault="00410029" w:rsidP="00905241">
            <w:pPr>
              <w:spacing w:after="160" w:line="360" w:lineRule="auto"/>
              <w:rPr>
                <w:rFonts w:ascii="Arial" w:hAnsi="Arial" w:cs="Arial"/>
              </w:rPr>
            </w:pPr>
            <w:r w:rsidRPr="00390868">
              <w:rPr>
                <w:rFonts w:ascii="Arial" w:hAnsi="Arial" w:cs="Arial"/>
              </w:rPr>
              <w:t>Dec</w:t>
            </w:r>
          </w:p>
        </w:tc>
        <w:tc>
          <w:tcPr>
            <w:tcW w:w="0" w:type="auto"/>
            <w:hideMark/>
          </w:tcPr>
          <w:p w14:paraId="1B8B52A8"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+£150,000</w:t>
            </w:r>
          </w:p>
        </w:tc>
        <w:tc>
          <w:tcPr>
            <w:tcW w:w="0" w:type="auto"/>
            <w:hideMark/>
          </w:tcPr>
          <w:p w14:paraId="4AEEC5DB"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45293FB2"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5A7D6109"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+£150,000</w:t>
            </w:r>
          </w:p>
        </w:tc>
        <w:tc>
          <w:tcPr>
            <w:tcW w:w="0" w:type="auto"/>
            <w:hideMark/>
          </w:tcPr>
          <w:p w14:paraId="17007A27" w14:textId="77777777" w:rsidR="00410029" w:rsidRPr="00390868" w:rsidRDefault="0041002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£800,000</w:t>
            </w:r>
          </w:p>
        </w:tc>
      </w:tr>
      <w:tr w:rsidR="00410029" w:rsidRPr="00390868" w14:paraId="62452EF1" w14:textId="77777777" w:rsidTr="00410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B0AC36" w14:textId="77777777" w:rsidR="00410029" w:rsidRPr="00390868" w:rsidRDefault="00410029" w:rsidP="00905241">
            <w:pPr>
              <w:spacing w:after="160" w:line="360" w:lineRule="auto"/>
              <w:rPr>
                <w:rFonts w:ascii="Arial" w:hAnsi="Arial" w:cs="Arial"/>
              </w:rPr>
            </w:pPr>
            <w:r w:rsidRPr="00390868">
              <w:rPr>
                <w:rFonts w:ascii="Arial" w:hAnsi="Arial" w:cs="Arial"/>
              </w:rPr>
              <w:t>Y1 Total</w:t>
            </w:r>
          </w:p>
        </w:tc>
        <w:tc>
          <w:tcPr>
            <w:tcW w:w="0" w:type="auto"/>
            <w:hideMark/>
          </w:tcPr>
          <w:p w14:paraId="11CB4752"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+£350,000</w:t>
            </w:r>
          </w:p>
        </w:tc>
        <w:tc>
          <w:tcPr>
            <w:tcW w:w="0" w:type="auto"/>
            <w:hideMark/>
          </w:tcPr>
          <w:p w14:paraId="3E7BD501"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-£490,000</w:t>
            </w:r>
          </w:p>
        </w:tc>
        <w:tc>
          <w:tcPr>
            <w:tcW w:w="0" w:type="auto"/>
            <w:hideMark/>
          </w:tcPr>
          <w:p w14:paraId="2FA75464"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+£940,000</w:t>
            </w:r>
          </w:p>
        </w:tc>
        <w:tc>
          <w:tcPr>
            <w:tcW w:w="0" w:type="auto"/>
            <w:hideMark/>
          </w:tcPr>
          <w:p w14:paraId="415D4FAD"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+£800,000</w:t>
            </w:r>
          </w:p>
        </w:tc>
        <w:tc>
          <w:tcPr>
            <w:tcW w:w="0" w:type="auto"/>
            <w:hideMark/>
          </w:tcPr>
          <w:p w14:paraId="33C68766" w14:textId="77777777" w:rsidR="00410029" w:rsidRPr="00390868" w:rsidRDefault="0041002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£800,000</w:t>
            </w:r>
          </w:p>
        </w:tc>
      </w:tr>
    </w:tbl>
    <w:p w14:paraId="62034C12" w14:textId="77777777" w:rsidR="00410029" w:rsidRPr="00390868" w:rsidRDefault="00410029" w:rsidP="00905241">
      <w:pPr>
        <w:spacing w:line="360" w:lineRule="auto"/>
        <w:rPr>
          <w:rFonts w:ascii="Arial" w:hAnsi="Arial" w:cs="Arial"/>
        </w:rPr>
      </w:pPr>
    </w:p>
    <w:p w14:paraId="5A76CD9A" w14:textId="77777777" w:rsidR="001510ED" w:rsidRPr="00390868" w:rsidRDefault="001510ED" w:rsidP="00905241">
      <w:pPr>
        <w:spacing w:line="360" w:lineRule="auto"/>
        <w:rPr>
          <w:rFonts w:ascii="Arial" w:hAnsi="Arial" w:cs="Arial"/>
          <w:b/>
          <w:bCs/>
        </w:rPr>
      </w:pPr>
      <w:r w:rsidRPr="00390868">
        <w:rPr>
          <w:rFonts w:ascii="Arial" w:hAnsi="Arial" w:cs="Arial"/>
          <w:b/>
          <w:bCs/>
        </w:rPr>
        <w:t>Year 2 (First Full Year)</w:t>
      </w:r>
    </w:p>
    <w:tbl>
      <w:tblPr>
        <w:tblStyle w:val="PlainTable1"/>
        <w:tblW w:w="0" w:type="auto"/>
        <w:tblLook w:val="04A0" w:firstRow="1" w:lastRow="0" w:firstColumn="1" w:lastColumn="0" w:noHBand="0" w:noVBand="1"/>
      </w:tblPr>
      <w:tblGrid>
        <w:gridCol w:w="950"/>
        <w:gridCol w:w="1845"/>
        <w:gridCol w:w="1549"/>
        <w:gridCol w:w="1541"/>
        <w:gridCol w:w="1563"/>
        <w:gridCol w:w="1568"/>
      </w:tblGrid>
      <w:tr w:rsidR="008D5CAD" w:rsidRPr="00390868" w14:paraId="2EF76850" w14:textId="77777777" w:rsidTr="008D5C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B9968" w14:textId="77777777" w:rsidR="008D5CAD" w:rsidRPr="00390868" w:rsidRDefault="008D5CAD" w:rsidP="00905241">
            <w:pPr>
              <w:spacing w:after="160" w:line="360" w:lineRule="auto"/>
              <w:rPr>
                <w:rFonts w:ascii="Arial" w:hAnsi="Arial" w:cs="Arial"/>
              </w:rPr>
            </w:pPr>
            <w:r w:rsidRPr="00390868">
              <w:rPr>
                <w:rFonts w:ascii="Arial" w:hAnsi="Arial" w:cs="Arial"/>
              </w:rPr>
              <w:t>Month</w:t>
            </w:r>
          </w:p>
        </w:tc>
        <w:tc>
          <w:tcPr>
            <w:tcW w:w="0" w:type="auto"/>
            <w:hideMark/>
          </w:tcPr>
          <w:p w14:paraId="1B9918DA" w14:textId="77777777" w:rsidR="008D5CAD" w:rsidRPr="00390868" w:rsidRDefault="008D5CA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w:t>
            </w:r>
          </w:p>
        </w:tc>
        <w:tc>
          <w:tcPr>
            <w:tcW w:w="0" w:type="auto"/>
            <w:hideMark/>
          </w:tcPr>
          <w:p w14:paraId="5B5B3697" w14:textId="77777777" w:rsidR="008D5CAD" w:rsidRPr="00390868" w:rsidRDefault="008D5CA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Investing (CapEx)</w:t>
            </w:r>
          </w:p>
        </w:tc>
        <w:tc>
          <w:tcPr>
            <w:tcW w:w="0" w:type="auto"/>
            <w:hideMark/>
          </w:tcPr>
          <w:p w14:paraId="554A1F10" w14:textId="77777777" w:rsidR="008D5CAD" w:rsidRPr="00390868" w:rsidRDefault="008D5CA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Financing (Debt)</w:t>
            </w:r>
          </w:p>
        </w:tc>
        <w:tc>
          <w:tcPr>
            <w:tcW w:w="0" w:type="auto"/>
            <w:hideMark/>
          </w:tcPr>
          <w:p w14:paraId="17968B59" w14:textId="77777777" w:rsidR="008D5CAD" w:rsidRPr="00390868" w:rsidRDefault="008D5CA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Net Cash Flow</w:t>
            </w:r>
          </w:p>
        </w:tc>
        <w:tc>
          <w:tcPr>
            <w:tcW w:w="0" w:type="auto"/>
            <w:hideMark/>
          </w:tcPr>
          <w:p w14:paraId="056C8358" w14:textId="77777777" w:rsidR="008D5CAD" w:rsidRPr="00390868" w:rsidRDefault="008D5CA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Closing Balance</w:t>
            </w:r>
          </w:p>
        </w:tc>
      </w:tr>
      <w:tr w:rsidR="008D5CAD" w:rsidRPr="00390868" w14:paraId="1934EF5E"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699862" w14:textId="77777777" w:rsidR="008D5CAD" w:rsidRPr="00390868" w:rsidRDefault="008D5CAD" w:rsidP="00905241">
            <w:pPr>
              <w:spacing w:after="160" w:line="360" w:lineRule="auto"/>
              <w:rPr>
                <w:rFonts w:ascii="Arial" w:hAnsi="Arial" w:cs="Arial"/>
              </w:rPr>
            </w:pPr>
            <w:r w:rsidRPr="00390868">
              <w:rPr>
                <w:rFonts w:ascii="Arial" w:hAnsi="Arial" w:cs="Arial"/>
              </w:rPr>
              <w:lastRenderedPageBreak/>
              <w:t>Jan</w:t>
            </w:r>
          </w:p>
        </w:tc>
        <w:tc>
          <w:tcPr>
            <w:tcW w:w="0" w:type="auto"/>
            <w:hideMark/>
          </w:tcPr>
          <w:p w14:paraId="4207C0D7"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+£120,000</w:t>
            </w:r>
          </w:p>
        </w:tc>
        <w:tc>
          <w:tcPr>
            <w:tcW w:w="0" w:type="auto"/>
            <w:hideMark/>
          </w:tcPr>
          <w:p w14:paraId="3E7DDEC2"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7DD78C78"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5134C92F"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+£109,000</w:t>
            </w:r>
          </w:p>
        </w:tc>
        <w:tc>
          <w:tcPr>
            <w:tcW w:w="0" w:type="auto"/>
            <w:hideMark/>
          </w:tcPr>
          <w:p w14:paraId="7116F7FF"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£909,000</w:t>
            </w:r>
          </w:p>
        </w:tc>
      </w:tr>
      <w:tr w:rsidR="008D5CAD" w:rsidRPr="00390868" w14:paraId="659072C2"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1ECFBB33" w14:textId="77777777" w:rsidR="008D5CAD" w:rsidRPr="00390868" w:rsidRDefault="008D5CAD" w:rsidP="00905241">
            <w:pPr>
              <w:spacing w:after="160" w:line="360" w:lineRule="auto"/>
              <w:rPr>
                <w:rFonts w:ascii="Arial" w:hAnsi="Arial" w:cs="Arial"/>
              </w:rPr>
            </w:pPr>
            <w:r w:rsidRPr="00390868">
              <w:rPr>
                <w:rFonts w:ascii="Arial" w:hAnsi="Arial" w:cs="Arial"/>
              </w:rPr>
              <w:t>Feb</w:t>
            </w:r>
          </w:p>
        </w:tc>
        <w:tc>
          <w:tcPr>
            <w:tcW w:w="0" w:type="auto"/>
            <w:hideMark/>
          </w:tcPr>
          <w:p w14:paraId="224D4309"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+£110,000</w:t>
            </w:r>
          </w:p>
        </w:tc>
        <w:tc>
          <w:tcPr>
            <w:tcW w:w="0" w:type="auto"/>
            <w:hideMark/>
          </w:tcPr>
          <w:p w14:paraId="091169E5"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7C181D73"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442ECBE0"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+£99,000</w:t>
            </w:r>
          </w:p>
        </w:tc>
        <w:tc>
          <w:tcPr>
            <w:tcW w:w="0" w:type="auto"/>
            <w:hideMark/>
          </w:tcPr>
          <w:p w14:paraId="52501708"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£1,008,000</w:t>
            </w:r>
          </w:p>
        </w:tc>
      </w:tr>
      <w:tr w:rsidR="008D5CAD" w:rsidRPr="00390868" w14:paraId="2BD9C08E"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F690C" w14:textId="77777777" w:rsidR="008D5CAD" w:rsidRPr="00390868" w:rsidRDefault="008D5CAD" w:rsidP="00905241">
            <w:pPr>
              <w:spacing w:after="160" w:line="360" w:lineRule="auto"/>
              <w:rPr>
                <w:rFonts w:ascii="Arial" w:hAnsi="Arial" w:cs="Arial"/>
              </w:rPr>
            </w:pPr>
            <w:r w:rsidRPr="00390868">
              <w:rPr>
                <w:rFonts w:ascii="Arial" w:hAnsi="Arial" w:cs="Arial"/>
              </w:rPr>
              <w:t>Mar</w:t>
            </w:r>
          </w:p>
        </w:tc>
        <w:tc>
          <w:tcPr>
            <w:tcW w:w="0" w:type="auto"/>
            <w:hideMark/>
          </w:tcPr>
          <w:p w14:paraId="25BDD2C5"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+£130,000</w:t>
            </w:r>
          </w:p>
        </w:tc>
        <w:tc>
          <w:tcPr>
            <w:tcW w:w="0" w:type="auto"/>
            <w:hideMark/>
          </w:tcPr>
          <w:p w14:paraId="7E4B8822"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32B285E0"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05C6B03B"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+£119,000</w:t>
            </w:r>
          </w:p>
        </w:tc>
        <w:tc>
          <w:tcPr>
            <w:tcW w:w="0" w:type="auto"/>
            <w:hideMark/>
          </w:tcPr>
          <w:p w14:paraId="32637058"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£1,127,000</w:t>
            </w:r>
          </w:p>
        </w:tc>
      </w:tr>
      <w:tr w:rsidR="008D5CAD" w:rsidRPr="00390868" w14:paraId="1BBEB7E0"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5BBCC03B" w14:textId="77777777" w:rsidR="008D5CAD" w:rsidRPr="00390868" w:rsidRDefault="008D5CAD" w:rsidP="00905241">
            <w:pPr>
              <w:spacing w:after="160" w:line="360" w:lineRule="auto"/>
              <w:rPr>
                <w:rFonts w:ascii="Arial" w:hAnsi="Arial" w:cs="Arial"/>
              </w:rPr>
            </w:pPr>
            <w:r w:rsidRPr="00390868">
              <w:rPr>
                <w:rFonts w:ascii="Arial" w:hAnsi="Arial" w:cs="Arial"/>
              </w:rPr>
              <w:t>Apr</w:t>
            </w:r>
          </w:p>
        </w:tc>
        <w:tc>
          <w:tcPr>
            <w:tcW w:w="0" w:type="auto"/>
            <w:hideMark/>
          </w:tcPr>
          <w:p w14:paraId="73277D8F"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+£140,000</w:t>
            </w:r>
          </w:p>
        </w:tc>
        <w:tc>
          <w:tcPr>
            <w:tcW w:w="0" w:type="auto"/>
            <w:hideMark/>
          </w:tcPr>
          <w:p w14:paraId="4D08C6E4"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64C3010D"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280C42F7"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+£129,000</w:t>
            </w:r>
          </w:p>
        </w:tc>
        <w:tc>
          <w:tcPr>
            <w:tcW w:w="0" w:type="auto"/>
            <w:hideMark/>
          </w:tcPr>
          <w:p w14:paraId="7971BF24"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£1,256,000</w:t>
            </w:r>
          </w:p>
        </w:tc>
      </w:tr>
      <w:tr w:rsidR="008D5CAD" w:rsidRPr="00390868" w14:paraId="0689E42C"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0C026" w14:textId="77777777" w:rsidR="008D5CAD" w:rsidRPr="00390868" w:rsidRDefault="008D5CAD" w:rsidP="00905241">
            <w:pPr>
              <w:spacing w:after="160" w:line="360" w:lineRule="auto"/>
              <w:rPr>
                <w:rFonts w:ascii="Arial" w:hAnsi="Arial" w:cs="Arial"/>
              </w:rPr>
            </w:pPr>
            <w:r w:rsidRPr="00390868">
              <w:rPr>
                <w:rFonts w:ascii="Arial" w:hAnsi="Arial" w:cs="Arial"/>
              </w:rPr>
              <w:t>May</w:t>
            </w:r>
          </w:p>
        </w:tc>
        <w:tc>
          <w:tcPr>
            <w:tcW w:w="0" w:type="auto"/>
            <w:hideMark/>
          </w:tcPr>
          <w:p w14:paraId="77F85F59"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+£150,000</w:t>
            </w:r>
          </w:p>
        </w:tc>
        <w:tc>
          <w:tcPr>
            <w:tcW w:w="0" w:type="auto"/>
            <w:hideMark/>
          </w:tcPr>
          <w:p w14:paraId="0E6EC8C1"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4B184B7C"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7E14B6CD"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+£139,000</w:t>
            </w:r>
          </w:p>
        </w:tc>
        <w:tc>
          <w:tcPr>
            <w:tcW w:w="0" w:type="auto"/>
            <w:hideMark/>
          </w:tcPr>
          <w:p w14:paraId="7BB5BFBE"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£1,395,000</w:t>
            </w:r>
          </w:p>
        </w:tc>
      </w:tr>
      <w:tr w:rsidR="008D5CAD" w:rsidRPr="00390868" w14:paraId="64C77E2A"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7303211B" w14:textId="77777777" w:rsidR="008D5CAD" w:rsidRPr="00390868" w:rsidRDefault="008D5CAD" w:rsidP="00905241">
            <w:pPr>
              <w:spacing w:after="160" w:line="360" w:lineRule="auto"/>
              <w:rPr>
                <w:rFonts w:ascii="Arial" w:hAnsi="Arial" w:cs="Arial"/>
              </w:rPr>
            </w:pPr>
            <w:r w:rsidRPr="00390868">
              <w:rPr>
                <w:rFonts w:ascii="Arial" w:hAnsi="Arial" w:cs="Arial"/>
              </w:rPr>
              <w:t>Jun</w:t>
            </w:r>
          </w:p>
        </w:tc>
        <w:tc>
          <w:tcPr>
            <w:tcW w:w="0" w:type="auto"/>
            <w:hideMark/>
          </w:tcPr>
          <w:p w14:paraId="5A1A00B1"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+£160,000</w:t>
            </w:r>
          </w:p>
        </w:tc>
        <w:tc>
          <w:tcPr>
            <w:tcW w:w="0" w:type="auto"/>
            <w:hideMark/>
          </w:tcPr>
          <w:p w14:paraId="3299781E"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44A1ED5E"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131BFA28"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+£149,000</w:t>
            </w:r>
          </w:p>
        </w:tc>
        <w:tc>
          <w:tcPr>
            <w:tcW w:w="0" w:type="auto"/>
            <w:hideMark/>
          </w:tcPr>
          <w:p w14:paraId="33587D31"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£1,544,000</w:t>
            </w:r>
          </w:p>
        </w:tc>
      </w:tr>
      <w:tr w:rsidR="008D5CAD" w:rsidRPr="00390868" w14:paraId="500A33F8"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400865" w14:textId="77777777" w:rsidR="008D5CAD" w:rsidRPr="00390868" w:rsidRDefault="008D5CAD" w:rsidP="00905241">
            <w:pPr>
              <w:spacing w:after="160" w:line="360" w:lineRule="auto"/>
              <w:rPr>
                <w:rFonts w:ascii="Arial" w:hAnsi="Arial" w:cs="Arial"/>
              </w:rPr>
            </w:pPr>
            <w:r w:rsidRPr="00390868">
              <w:rPr>
                <w:rFonts w:ascii="Arial" w:hAnsi="Arial" w:cs="Arial"/>
              </w:rPr>
              <w:t>Jul</w:t>
            </w:r>
          </w:p>
        </w:tc>
        <w:tc>
          <w:tcPr>
            <w:tcW w:w="0" w:type="auto"/>
            <w:hideMark/>
          </w:tcPr>
          <w:p w14:paraId="378EDD30"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+£155,000</w:t>
            </w:r>
          </w:p>
        </w:tc>
        <w:tc>
          <w:tcPr>
            <w:tcW w:w="0" w:type="auto"/>
            <w:hideMark/>
          </w:tcPr>
          <w:p w14:paraId="7EC853C0"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6641DA5E"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07633E77"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+£144,000</w:t>
            </w:r>
          </w:p>
        </w:tc>
        <w:tc>
          <w:tcPr>
            <w:tcW w:w="0" w:type="auto"/>
            <w:hideMark/>
          </w:tcPr>
          <w:p w14:paraId="05600771"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£1,688,000</w:t>
            </w:r>
          </w:p>
        </w:tc>
      </w:tr>
      <w:tr w:rsidR="008D5CAD" w:rsidRPr="00390868" w14:paraId="2896A9F2"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32789A98" w14:textId="77777777" w:rsidR="008D5CAD" w:rsidRPr="00390868" w:rsidRDefault="008D5CAD" w:rsidP="00905241">
            <w:pPr>
              <w:spacing w:after="160" w:line="360" w:lineRule="auto"/>
              <w:rPr>
                <w:rFonts w:ascii="Arial" w:hAnsi="Arial" w:cs="Arial"/>
              </w:rPr>
            </w:pPr>
            <w:r w:rsidRPr="00390868">
              <w:rPr>
                <w:rFonts w:ascii="Arial" w:hAnsi="Arial" w:cs="Arial"/>
              </w:rPr>
              <w:t>Aug</w:t>
            </w:r>
          </w:p>
        </w:tc>
        <w:tc>
          <w:tcPr>
            <w:tcW w:w="0" w:type="auto"/>
            <w:hideMark/>
          </w:tcPr>
          <w:p w14:paraId="57CF8977"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+£165,000</w:t>
            </w:r>
          </w:p>
        </w:tc>
        <w:tc>
          <w:tcPr>
            <w:tcW w:w="0" w:type="auto"/>
            <w:hideMark/>
          </w:tcPr>
          <w:p w14:paraId="4FD988AD"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675D24A5"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7B53B8F0"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+£154,000</w:t>
            </w:r>
          </w:p>
        </w:tc>
        <w:tc>
          <w:tcPr>
            <w:tcW w:w="0" w:type="auto"/>
            <w:hideMark/>
          </w:tcPr>
          <w:p w14:paraId="55EAB7B6"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£1,842,000</w:t>
            </w:r>
          </w:p>
        </w:tc>
      </w:tr>
      <w:tr w:rsidR="008D5CAD" w:rsidRPr="00390868" w14:paraId="03DB9721"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260D0" w14:textId="77777777" w:rsidR="008D5CAD" w:rsidRPr="00390868" w:rsidRDefault="008D5CAD" w:rsidP="00905241">
            <w:pPr>
              <w:spacing w:after="160" w:line="360" w:lineRule="auto"/>
              <w:rPr>
                <w:rFonts w:ascii="Arial" w:hAnsi="Arial" w:cs="Arial"/>
              </w:rPr>
            </w:pPr>
            <w:r w:rsidRPr="00390868">
              <w:rPr>
                <w:rFonts w:ascii="Arial" w:hAnsi="Arial" w:cs="Arial"/>
              </w:rPr>
              <w:t>Sep</w:t>
            </w:r>
          </w:p>
        </w:tc>
        <w:tc>
          <w:tcPr>
            <w:tcW w:w="0" w:type="auto"/>
            <w:hideMark/>
          </w:tcPr>
          <w:p w14:paraId="7148D25E"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+£170,000</w:t>
            </w:r>
          </w:p>
        </w:tc>
        <w:tc>
          <w:tcPr>
            <w:tcW w:w="0" w:type="auto"/>
            <w:hideMark/>
          </w:tcPr>
          <w:p w14:paraId="11BB52F1"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5A69A584"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21FF9B1D"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+£159,000</w:t>
            </w:r>
          </w:p>
        </w:tc>
        <w:tc>
          <w:tcPr>
            <w:tcW w:w="0" w:type="auto"/>
            <w:hideMark/>
          </w:tcPr>
          <w:p w14:paraId="65EE5910"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£2,001,000</w:t>
            </w:r>
          </w:p>
        </w:tc>
      </w:tr>
      <w:tr w:rsidR="008D5CAD" w:rsidRPr="00390868" w14:paraId="2D5832B8"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1A417813" w14:textId="77777777" w:rsidR="008D5CAD" w:rsidRPr="00390868" w:rsidRDefault="008D5CAD" w:rsidP="00905241">
            <w:pPr>
              <w:spacing w:after="160" w:line="360" w:lineRule="auto"/>
              <w:rPr>
                <w:rFonts w:ascii="Arial" w:hAnsi="Arial" w:cs="Arial"/>
              </w:rPr>
            </w:pPr>
            <w:r w:rsidRPr="00390868">
              <w:rPr>
                <w:rFonts w:ascii="Arial" w:hAnsi="Arial" w:cs="Arial"/>
              </w:rPr>
              <w:t>Oct</w:t>
            </w:r>
          </w:p>
        </w:tc>
        <w:tc>
          <w:tcPr>
            <w:tcW w:w="0" w:type="auto"/>
            <w:hideMark/>
          </w:tcPr>
          <w:p w14:paraId="5CA83563"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3C14F18E"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0A839F38"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767FD785"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+£169,000</w:t>
            </w:r>
          </w:p>
        </w:tc>
        <w:tc>
          <w:tcPr>
            <w:tcW w:w="0" w:type="auto"/>
            <w:hideMark/>
          </w:tcPr>
          <w:p w14:paraId="217C01A7"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£2,170,000</w:t>
            </w:r>
          </w:p>
        </w:tc>
      </w:tr>
      <w:tr w:rsidR="008D5CAD" w:rsidRPr="00390868" w14:paraId="27571225"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E8886" w14:textId="77777777" w:rsidR="008D5CAD" w:rsidRPr="00390868" w:rsidRDefault="008D5CAD" w:rsidP="00905241">
            <w:pPr>
              <w:spacing w:after="160" w:line="360" w:lineRule="auto"/>
              <w:rPr>
                <w:rFonts w:ascii="Arial" w:hAnsi="Arial" w:cs="Arial"/>
              </w:rPr>
            </w:pPr>
            <w:r w:rsidRPr="00390868">
              <w:rPr>
                <w:rFonts w:ascii="Arial" w:hAnsi="Arial" w:cs="Arial"/>
              </w:rPr>
              <w:t>Nov</w:t>
            </w:r>
          </w:p>
        </w:tc>
        <w:tc>
          <w:tcPr>
            <w:tcW w:w="0" w:type="auto"/>
            <w:hideMark/>
          </w:tcPr>
          <w:p w14:paraId="7BE841AF"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+£185,000</w:t>
            </w:r>
          </w:p>
        </w:tc>
        <w:tc>
          <w:tcPr>
            <w:tcW w:w="0" w:type="auto"/>
            <w:hideMark/>
          </w:tcPr>
          <w:p w14:paraId="182CE1F2"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0CE4AEB3"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3C0EBBD4"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+£174,000</w:t>
            </w:r>
          </w:p>
        </w:tc>
        <w:tc>
          <w:tcPr>
            <w:tcW w:w="0" w:type="auto"/>
            <w:hideMark/>
          </w:tcPr>
          <w:p w14:paraId="1C4893B4"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£2,344,000</w:t>
            </w:r>
          </w:p>
        </w:tc>
      </w:tr>
      <w:tr w:rsidR="008D5CAD" w:rsidRPr="00390868" w14:paraId="31CDC763" w14:textId="77777777" w:rsidTr="008D5CAD">
        <w:tc>
          <w:tcPr>
            <w:cnfStyle w:val="001000000000" w:firstRow="0" w:lastRow="0" w:firstColumn="1" w:lastColumn="0" w:oddVBand="0" w:evenVBand="0" w:oddHBand="0" w:evenHBand="0" w:firstRowFirstColumn="0" w:firstRowLastColumn="0" w:lastRowFirstColumn="0" w:lastRowLastColumn="0"/>
            <w:tcW w:w="0" w:type="auto"/>
            <w:hideMark/>
          </w:tcPr>
          <w:p w14:paraId="525FE04B" w14:textId="77777777" w:rsidR="008D5CAD" w:rsidRPr="00390868" w:rsidRDefault="008D5CAD" w:rsidP="00905241">
            <w:pPr>
              <w:spacing w:after="160" w:line="360" w:lineRule="auto"/>
              <w:rPr>
                <w:rFonts w:ascii="Arial" w:hAnsi="Arial" w:cs="Arial"/>
              </w:rPr>
            </w:pPr>
            <w:r w:rsidRPr="00390868">
              <w:rPr>
                <w:rFonts w:ascii="Arial" w:hAnsi="Arial" w:cs="Arial"/>
              </w:rPr>
              <w:t>Dec</w:t>
            </w:r>
          </w:p>
        </w:tc>
        <w:tc>
          <w:tcPr>
            <w:tcW w:w="0" w:type="auto"/>
            <w:hideMark/>
          </w:tcPr>
          <w:p w14:paraId="432C88B2"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+£190,000</w:t>
            </w:r>
          </w:p>
        </w:tc>
        <w:tc>
          <w:tcPr>
            <w:tcW w:w="0" w:type="auto"/>
            <w:hideMark/>
          </w:tcPr>
          <w:p w14:paraId="1E84DA46"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w:t>
            </w:r>
          </w:p>
        </w:tc>
        <w:tc>
          <w:tcPr>
            <w:tcW w:w="0" w:type="auto"/>
            <w:hideMark/>
          </w:tcPr>
          <w:p w14:paraId="69B67F73"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19445EAF"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+£179,000</w:t>
            </w:r>
          </w:p>
        </w:tc>
        <w:tc>
          <w:tcPr>
            <w:tcW w:w="0" w:type="auto"/>
            <w:hideMark/>
          </w:tcPr>
          <w:p w14:paraId="6EF1155F" w14:textId="77777777" w:rsidR="008D5CAD" w:rsidRPr="00390868" w:rsidRDefault="008D5CA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£2,523,000</w:t>
            </w:r>
          </w:p>
        </w:tc>
      </w:tr>
      <w:tr w:rsidR="008D5CAD" w:rsidRPr="00390868" w14:paraId="3C944B7D" w14:textId="77777777" w:rsidTr="008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66EDC4" w14:textId="77777777" w:rsidR="008D5CAD" w:rsidRPr="00390868" w:rsidRDefault="008D5CAD" w:rsidP="00905241">
            <w:pPr>
              <w:spacing w:after="160" w:line="360" w:lineRule="auto"/>
              <w:rPr>
                <w:rFonts w:ascii="Arial" w:hAnsi="Arial" w:cs="Arial"/>
              </w:rPr>
            </w:pPr>
            <w:r w:rsidRPr="00390868">
              <w:rPr>
                <w:rFonts w:ascii="Arial" w:hAnsi="Arial" w:cs="Arial"/>
              </w:rPr>
              <w:t>Y2 Total</w:t>
            </w:r>
          </w:p>
        </w:tc>
        <w:tc>
          <w:tcPr>
            <w:tcW w:w="0" w:type="auto"/>
            <w:hideMark/>
          </w:tcPr>
          <w:p w14:paraId="0DBC5904"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+£1,855,000</w:t>
            </w:r>
          </w:p>
        </w:tc>
        <w:tc>
          <w:tcPr>
            <w:tcW w:w="0" w:type="auto"/>
            <w:hideMark/>
          </w:tcPr>
          <w:p w14:paraId="0DAF95A5"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-£60,000</w:t>
            </w:r>
          </w:p>
        </w:tc>
        <w:tc>
          <w:tcPr>
            <w:tcW w:w="0" w:type="auto"/>
            <w:hideMark/>
          </w:tcPr>
          <w:p w14:paraId="240C8E58"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10BD90AD"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+£1,723,000</w:t>
            </w:r>
          </w:p>
        </w:tc>
        <w:tc>
          <w:tcPr>
            <w:tcW w:w="0" w:type="auto"/>
            <w:hideMark/>
          </w:tcPr>
          <w:p w14:paraId="5363F3FE" w14:textId="77777777" w:rsidR="008D5CAD" w:rsidRPr="00390868" w:rsidRDefault="008D5CA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£2,523,000</w:t>
            </w:r>
          </w:p>
        </w:tc>
      </w:tr>
    </w:tbl>
    <w:p w14:paraId="43E40CA4" w14:textId="77777777" w:rsidR="008D5CAD" w:rsidRPr="00390868" w:rsidRDefault="008D5CAD" w:rsidP="00905241">
      <w:pPr>
        <w:spacing w:line="360" w:lineRule="auto"/>
        <w:rPr>
          <w:rFonts w:ascii="Arial" w:hAnsi="Arial" w:cs="Arial"/>
        </w:rPr>
      </w:pPr>
    </w:p>
    <w:p w14:paraId="61F9C9BD" w14:textId="77777777" w:rsidR="001510ED" w:rsidRPr="00390868" w:rsidRDefault="001510ED" w:rsidP="00905241">
      <w:pPr>
        <w:spacing w:line="360" w:lineRule="auto"/>
        <w:rPr>
          <w:rFonts w:ascii="Arial" w:hAnsi="Arial" w:cs="Arial"/>
          <w:b/>
          <w:bCs/>
        </w:rPr>
      </w:pPr>
      <w:r w:rsidRPr="00390868">
        <w:rPr>
          <w:rFonts w:ascii="Arial" w:hAnsi="Arial" w:cs="Arial"/>
          <w:b/>
          <w:bCs/>
        </w:rPr>
        <w:t>Year 3 (Steady-State Operations)</w:t>
      </w:r>
    </w:p>
    <w:tbl>
      <w:tblPr>
        <w:tblStyle w:val="PlainTable1"/>
        <w:tblW w:w="0" w:type="auto"/>
        <w:tblLook w:val="04A0" w:firstRow="1" w:lastRow="0" w:firstColumn="1" w:lastColumn="0" w:noHBand="0" w:noVBand="1"/>
      </w:tblPr>
      <w:tblGrid>
        <w:gridCol w:w="950"/>
        <w:gridCol w:w="1845"/>
        <w:gridCol w:w="1549"/>
        <w:gridCol w:w="1541"/>
        <w:gridCol w:w="1563"/>
        <w:gridCol w:w="1568"/>
      </w:tblGrid>
      <w:tr w:rsidR="007A7EA9" w:rsidRPr="00390868" w14:paraId="1014364A" w14:textId="77777777" w:rsidTr="007A7E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7E0454" w14:textId="77777777" w:rsidR="007A7EA9" w:rsidRPr="00390868" w:rsidRDefault="007A7EA9" w:rsidP="00905241">
            <w:pPr>
              <w:spacing w:after="160" w:line="360" w:lineRule="auto"/>
              <w:rPr>
                <w:rFonts w:ascii="Arial" w:hAnsi="Arial" w:cs="Arial"/>
              </w:rPr>
            </w:pPr>
            <w:r w:rsidRPr="00390868">
              <w:rPr>
                <w:rFonts w:ascii="Arial" w:hAnsi="Arial" w:cs="Arial"/>
              </w:rPr>
              <w:t>Month</w:t>
            </w:r>
          </w:p>
        </w:tc>
        <w:tc>
          <w:tcPr>
            <w:tcW w:w="0" w:type="auto"/>
            <w:hideMark/>
          </w:tcPr>
          <w:p w14:paraId="5278E3C1" w14:textId="77777777" w:rsidR="007A7EA9" w:rsidRPr="00390868" w:rsidRDefault="007A7EA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w:t>
            </w:r>
          </w:p>
        </w:tc>
        <w:tc>
          <w:tcPr>
            <w:tcW w:w="0" w:type="auto"/>
            <w:hideMark/>
          </w:tcPr>
          <w:p w14:paraId="02C649C5" w14:textId="77777777" w:rsidR="007A7EA9" w:rsidRPr="00390868" w:rsidRDefault="007A7EA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Investing (CapEx)</w:t>
            </w:r>
          </w:p>
        </w:tc>
        <w:tc>
          <w:tcPr>
            <w:tcW w:w="0" w:type="auto"/>
            <w:hideMark/>
          </w:tcPr>
          <w:p w14:paraId="0C08B834" w14:textId="77777777" w:rsidR="007A7EA9" w:rsidRPr="00390868" w:rsidRDefault="007A7EA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Financing (Debt)</w:t>
            </w:r>
          </w:p>
        </w:tc>
        <w:tc>
          <w:tcPr>
            <w:tcW w:w="0" w:type="auto"/>
            <w:hideMark/>
          </w:tcPr>
          <w:p w14:paraId="458F47C2" w14:textId="77777777" w:rsidR="007A7EA9" w:rsidRPr="00390868" w:rsidRDefault="007A7EA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Net Cash Flow</w:t>
            </w:r>
          </w:p>
        </w:tc>
        <w:tc>
          <w:tcPr>
            <w:tcW w:w="0" w:type="auto"/>
            <w:hideMark/>
          </w:tcPr>
          <w:p w14:paraId="24C0B609" w14:textId="77777777" w:rsidR="007A7EA9" w:rsidRPr="00390868" w:rsidRDefault="007A7EA9"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Closing Balance</w:t>
            </w:r>
          </w:p>
        </w:tc>
      </w:tr>
      <w:tr w:rsidR="007A7EA9" w:rsidRPr="00390868" w14:paraId="095A5D7A"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35F24" w14:textId="77777777" w:rsidR="007A7EA9" w:rsidRPr="00390868" w:rsidRDefault="007A7EA9" w:rsidP="00905241">
            <w:pPr>
              <w:spacing w:after="160" w:line="360" w:lineRule="auto"/>
              <w:rPr>
                <w:rFonts w:ascii="Arial" w:hAnsi="Arial" w:cs="Arial"/>
              </w:rPr>
            </w:pPr>
            <w:r w:rsidRPr="00390868">
              <w:rPr>
                <w:rFonts w:ascii="Arial" w:hAnsi="Arial" w:cs="Arial"/>
              </w:rPr>
              <w:t>Jan</w:t>
            </w:r>
          </w:p>
        </w:tc>
        <w:tc>
          <w:tcPr>
            <w:tcW w:w="0" w:type="auto"/>
            <w:hideMark/>
          </w:tcPr>
          <w:p w14:paraId="4F15D300"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+£210,000</w:t>
            </w:r>
          </w:p>
        </w:tc>
        <w:tc>
          <w:tcPr>
            <w:tcW w:w="0" w:type="auto"/>
            <w:hideMark/>
          </w:tcPr>
          <w:p w14:paraId="134C88A2"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7A227C53"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18087550"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+£201,500</w:t>
            </w:r>
          </w:p>
        </w:tc>
        <w:tc>
          <w:tcPr>
            <w:tcW w:w="0" w:type="auto"/>
            <w:hideMark/>
          </w:tcPr>
          <w:p w14:paraId="17894CF7"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£2,724,500</w:t>
            </w:r>
          </w:p>
        </w:tc>
      </w:tr>
      <w:tr w:rsidR="007A7EA9" w:rsidRPr="00390868" w14:paraId="4436366C"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6AC0B835" w14:textId="77777777" w:rsidR="007A7EA9" w:rsidRPr="00390868" w:rsidRDefault="007A7EA9" w:rsidP="00905241">
            <w:pPr>
              <w:spacing w:after="160" w:line="360" w:lineRule="auto"/>
              <w:rPr>
                <w:rFonts w:ascii="Arial" w:hAnsi="Arial" w:cs="Arial"/>
              </w:rPr>
            </w:pPr>
            <w:r w:rsidRPr="00390868">
              <w:rPr>
                <w:rFonts w:ascii="Arial" w:hAnsi="Arial" w:cs="Arial"/>
              </w:rPr>
              <w:t>Feb</w:t>
            </w:r>
          </w:p>
        </w:tc>
        <w:tc>
          <w:tcPr>
            <w:tcW w:w="0" w:type="auto"/>
            <w:hideMark/>
          </w:tcPr>
          <w:p w14:paraId="7E67AD81"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+£205,000</w:t>
            </w:r>
          </w:p>
        </w:tc>
        <w:tc>
          <w:tcPr>
            <w:tcW w:w="0" w:type="auto"/>
            <w:hideMark/>
          </w:tcPr>
          <w:p w14:paraId="6A782F69"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1FBFD199"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1CD89720"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+£196,500</w:t>
            </w:r>
          </w:p>
        </w:tc>
        <w:tc>
          <w:tcPr>
            <w:tcW w:w="0" w:type="auto"/>
            <w:hideMark/>
          </w:tcPr>
          <w:p w14:paraId="3C2A7779"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£2,921,000</w:t>
            </w:r>
          </w:p>
        </w:tc>
      </w:tr>
      <w:tr w:rsidR="007A7EA9" w:rsidRPr="00390868" w14:paraId="47FD3F86"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2A26D" w14:textId="77777777" w:rsidR="007A7EA9" w:rsidRPr="00390868" w:rsidRDefault="007A7EA9" w:rsidP="00905241">
            <w:pPr>
              <w:spacing w:after="160" w:line="360" w:lineRule="auto"/>
              <w:rPr>
                <w:rFonts w:ascii="Arial" w:hAnsi="Arial" w:cs="Arial"/>
              </w:rPr>
            </w:pPr>
            <w:r w:rsidRPr="00390868">
              <w:rPr>
                <w:rFonts w:ascii="Arial" w:hAnsi="Arial" w:cs="Arial"/>
              </w:rPr>
              <w:t>Mar</w:t>
            </w:r>
          </w:p>
        </w:tc>
        <w:tc>
          <w:tcPr>
            <w:tcW w:w="0" w:type="auto"/>
            <w:hideMark/>
          </w:tcPr>
          <w:p w14:paraId="21AE1D98"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+£220,000</w:t>
            </w:r>
          </w:p>
        </w:tc>
        <w:tc>
          <w:tcPr>
            <w:tcW w:w="0" w:type="auto"/>
            <w:hideMark/>
          </w:tcPr>
          <w:p w14:paraId="2FB21C92"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5EFEEA66"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74733154"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+£211,500</w:t>
            </w:r>
          </w:p>
        </w:tc>
        <w:tc>
          <w:tcPr>
            <w:tcW w:w="0" w:type="auto"/>
            <w:hideMark/>
          </w:tcPr>
          <w:p w14:paraId="02386166"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£3,132,500</w:t>
            </w:r>
          </w:p>
        </w:tc>
      </w:tr>
      <w:tr w:rsidR="007A7EA9" w:rsidRPr="00390868" w14:paraId="39FF23B0"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597ADDBC" w14:textId="77777777" w:rsidR="007A7EA9" w:rsidRPr="00390868" w:rsidRDefault="007A7EA9" w:rsidP="00905241">
            <w:pPr>
              <w:spacing w:after="160" w:line="360" w:lineRule="auto"/>
              <w:rPr>
                <w:rFonts w:ascii="Arial" w:hAnsi="Arial" w:cs="Arial"/>
              </w:rPr>
            </w:pPr>
            <w:r w:rsidRPr="00390868">
              <w:rPr>
                <w:rFonts w:ascii="Arial" w:hAnsi="Arial" w:cs="Arial"/>
              </w:rPr>
              <w:t>Apr</w:t>
            </w:r>
          </w:p>
        </w:tc>
        <w:tc>
          <w:tcPr>
            <w:tcW w:w="0" w:type="auto"/>
            <w:hideMark/>
          </w:tcPr>
          <w:p w14:paraId="59994EE9"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+£225,000</w:t>
            </w:r>
          </w:p>
        </w:tc>
        <w:tc>
          <w:tcPr>
            <w:tcW w:w="0" w:type="auto"/>
            <w:hideMark/>
          </w:tcPr>
          <w:p w14:paraId="697523C6"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4DEA48AF"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2FF32EAD"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+£216,500</w:t>
            </w:r>
          </w:p>
        </w:tc>
        <w:tc>
          <w:tcPr>
            <w:tcW w:w="0" w:type="auto"/>
            <w:hideMark/>
          </w:tcPr>
          <w:p w14:paraId="1F52792B"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£3,349,000</w:t>
            </w:r>
          </w:p>
        </w:tc>
      </w:tr>
      <w:tr w:rsidR="007A7EA9" w:rsidRPr="00390868" w14:paraId="6A417E9D"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08F234" w14:textId="77777777" w:rsidR="007A7EA9" w:rsidRPr="00390868" w:rsidRDefault="007A7EA9" w:rsidP="00905241">
            <w:pPr>
              <w:spacing w:after="160" w:line="360" w:lineRule="auto"/>
              <w:rPr>
                <w:rFonts w:ascii="Arial" w:hAnsi="Arial" w:cs="Arial"/>
              </w:rPr>
            </w:pPr>
            <w:r w:rsidRPr="00390868">
              <w:rPr>
                <w:rFonts w:ascii="Arial" w:hAnsi="Arial" w:cs="Arial"/>
              </w:rPr>
              <w:t>May</w:t>
            </w:r>
          </w:p>
        </w:tc>
        <w:tc>
          <w:tcPr>
            <w:tcW w:w="0" w:type="auto"/>
            <w:hideMark/>
          </w:tcPr>
          <w:p w14:paraId="4E407182"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+£230,000</w:t>
            </w:r>
          </w:p>
        </w:tc>
        <w:tc>
          <w:tcPr>
            <w:tcW w:w="0" w:type="auto"/>
            <w:hideMark/>
          </w:tcPr>
          <w:p w14:paraId="194F600C"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15245B58"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2ED0EE2D"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+£221,500</w:t>
            </w:r>
          </w:p>
        </w:tc>
        <w:tc>
          <w:tcPr>
            <w:tcW w:w="0" w:type="auto"/>
            <w:hideMark/>
          </w:tcPr>
          <w:p w14:paraId="204DF876"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£3,570,500</w:t>
            </w:r>
          </w:p>
        </w:tc>
      </w:tr>
      <w:tr w:rsidR="007A7EA9" w:rsidRPr="00390868" w14:paraId="4DCF8DFB"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6DA32C44" w14:textId="77777777" w:rsidR="007A7EA9" w:rsidRPr="00390868" w:rsidRDefault="007A7EA9" w:rsidP="00905241">
            <w:pPr>
              <w:spacing w:after="160" w:line="360" w:lineRule="auto"/>
              <w:rPr>
                <w:rFonts w:ascii="Arial" w:hAnsi="Arial" w:cs="Arial"/>
              </w:rPr>
            </w:pPr>
            <w:r w:rsidRPr="00390868">
              <w:rPr>
                <w:rFonts w:ascii="Arial" w:hAnsi="Arial" w:cs="Arial"/>
              </w:rPr>
              <w:t>Jun</w:t>
            </w:r>
          </w:p>
        </w:tc>
        <w:tc>
          <w:tcPr>
            <w:tcW w:w="0" w:type="auto"/>
            <w:hideMark/>
          </w:tcPr>
          <w:p w14:paraId="27E627BD"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+£235,000</w:t>
            </w:r>
          </w:p>
        </w:tc>
        <w:tc>
          <w:tcPr>
            <w:tcW w:w="0" w:type="auto"/>
            <w:hideMark/>
          </w:tcPr>
          <w:p w14:paraId="438F3B07"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68D84C50"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4CF491EC"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+£226,500</w:t>
            </w:r>
          </w:p>
        </w:tc>
        <w:tc>
          <w:tcPr>
            <w:tcW w:w="0" w:type="auto"/>
            <w:hideMark/>
          </w:tcPr>
          <w:p w14:paraId="5D8EE40C"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£3,797,000</w:t>
            </w:r>
          </w:p>
        </w:tc>
      </w:tr>
      <w:tr w:rsidR="007A7EA9" w:rsidRPr="00390868" w14:paraId="5D9BAE54"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86A60F" w14:textId="77777777" w:rsidR="007A7EA9" w:rsidRPr="00390868" w:rsidRDefault="007A7EA9" w:rsidP="00905241">
            <w:pPr>
              <w:spacing w:after="160" w:line="360" w:lineRule="auto"/>
              <w:rPr>
                <w:rFonts w:ascii="Arial" w:hAnsi="Arial" w:cs="Arial"/>
              </w:rPr>
            </w:pPr>
            <w:r w:rsidRPr="00390868">
              <w:rPr>
                <w:rFonts w:ascii="Arial" w:hAnsi="Arial" w:cs="Arial"/>
              </w:rPr>
              <w:t>Jul</w:t>
            </w:r>
          </w:p>
        </w:tc>
        <w:tc>
          <w:tcPr>
            <w:tcW w:w="0" w:type="auto"/>
            <w:hideMark/>
          </w:tcPr>
          <w:p w14:paraId="7E9D590C"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+£240,000</w:t>
            </w:r>
          </w:p>
        </w:tc>
        <w:tc>
          <w:tcPr>
            <w:tcW w:w="0" w:type="auto"/>
            <w:hideMark/>
          </w:tcPr>
          <w:p w14:paraId="756E2C20"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1E9FB0C0"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6F4C8998"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+£231,500</w:t>
            </w:r>
          </w:p>
        </w:tc>
        <w:tc>
          <w:tcPr>
            <w:tcW w:w="0" w:type="auto"/>
            <w:hideMark/>
          </w:tcPr>
          <w:p w14:paraId="66476FDF"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£4,028,500</w:t>
            </w:r>
          </w:p>
        </w:tc>
      </w:tr>
      <w:tr w:rsidR="007A7EA9" w:rsidRPr="00390868" w14:paraId="4734F71C"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387BB112" w14:textId="77777777" w:rsidR="007A7EA9" w:rsidRPr="00390868" w:rsidRDefault="007A7EA9" w:rsidP="00905241">
            <w:pPr>
              <w:spacing w:after="160" w:line="360" w:lineRule="auto"/>
              <w:rPr>
                <w:rFonts w:ascii="Arial" w:hAnsi="Arial" w:cs="Arial"/>
              </w:rPr>
            </w:pPr>
            <w:r w:rsidRPr="00390868">
              <w:rPr>
                <w:rFonts w:ascii="Arial" w:hAnsi="Arial" w:cs="Arial"/>
              </w:rPr>
              <w:t>Aug</w:t>
            </w:r>
          </w:p>
        </w:tc>
        <w:tc>
          <w:tcPr>
            <w:tcW w:w="0" w:type="auto"/>
            <w:hideMark/>
          </w:tcPr>
          <w:p w14:paraId="7C44D03C"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+£245,000</w:t>
            </w:r>
          </w:p>
        </w:tc>
        <w:tc>
          <w:tcPr>
            <w:tcW w:w="0" w:type="auto"/>
            <w:hideMark/>
          </w:tcPr>
          <w:p w14:paraId="76F57FAF"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43306060"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31EE09D5"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+£236,500</w:t>
            </w:r>
          </w:p>
        </w:tc>
        <w:tc>
          <w:tcPr>
            <w:tcW w:w="0" w:type="auto"/>
            <w:hideMark/>
          </w:tcPr>
          <w:p w14:paraId="13FC0ABF"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£4,265,000</w:t>
            </w:r>
          </w:p>
        </w:tc>
      </w:tr>
      <w:tr w:rsidR="007A7EA9" w:rsidRPr="00390868" w14:paraId="282EBA3B"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8D014" w14:textId="77777777" w:rsidR="007A7EA9" w:rsidRPr="00390868" w:rsidRDefault="007A7EA9" w:rsidP="00905241">
            <w:pPr>
              <w:spacing w:after="160" w:line="360" w:lineRule="auto"/>
              <w:rPr>
                <w:rFonts w:ascii="Arial" w:hAnsi="Arial" w:cs="Arial"/>
              </w:rPr>
            </w:pPr>
            <w:r w:rsidRPr="00390868">
              <w:rPr>
                <w:rFonts w:ascii="Arial" w:hAnsi="Arial" w:cs="Arial"/>
              </w:rPr>
              <w:lastRenderedPageBreak/>
              <w:t>Sep</w:t>
            </w:r>
          </w:p>
        </w:tc>
        <w:tc>
          <w:tcPr>
            <w:tcW w:w="0" w:type="auto"/>
            <w:hideMark/>
          </w:tcPr>
          <w:p w14:paraId="4553601D"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+£250,000</w:t>
            </w:r>
          </w:p>
        </w:tc>
        <w:tc>
          <w:tcPr>
            <w:tcW w:w="0" w:type="auto"/>
            <w:hideMark/>
          </w:tcPr>
          <w:p w14:paraId="2A9B1200"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1A0E5F32"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3466C8CC"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+£241,500</w:t>
            </w:r>
          </w:p>
        </w:tc>
        <w:tc>
          <w:tcPr>
            <w:tcW w:w="0" w:type="auto"/>
            <w:hideMark/>
          </w:tcPr>
          <w:p w14:paraId="66320676"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£4,506,500</w:t>
            </w:r>
          </w:p>
        </w:tc>
      </w:tr>
      <w:tr w:rsidR="007A7EA9" w:rsidRPr="00390868" w14:paraId="32D414D8"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23AB2959" w14:textId="77777777" w:rsidR="007A7EA9" w:rsidRPr="00390868" w:rsidRDefault="007A7EA9" w:rsidP="00905241">
            <w:pPr>
              <w:spacing w:after="160" w:line="360" w:lineRule="auto"/>
              <w:rPr>
                <w:rFonts w:ascii="Arial" w:hAnsi="Arial" w:cs="Arial"/>
              </w:rPr>
            </w:pPr>
            <w:r w:rsidRPr="00390868">
              <w:rPr>
                <w:rFonts w:ascii="Arial" w:hAnsi="Arial" w:cs="Arial"/>
              </w:rPr>
              <w:t>Oct</w:t>
            </w:r>
          </w:p>
        </w:tc>
        <w:tc>
          <w:tcPr>
            <w:tcW w:w="0" w:type="auto"/>
            <w:hideMark/>
          </w:tcPr>
          <w:p w14:paraId="785E12D8"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+£255,000</w:t>
            </w:r>
          </w:p>
        </w:tc>
        <w:tc>
          <w:tcPr>
            <w:tcW w:w="0" w:type="auto"/>
            <w:hideMark/>
          </w:tcPr>
          <w:p w14:paraId="4C05EEAA"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1AA1D5E3"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4D972F0B"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+£246,500</w:t>
            </w:r>
          </w:p>
        </w:tc>
        <w:tc>
          <w:tcPr>
            <w:tcW w:w="0" w:type="auto"/>
            <w:hideMark/>
          </w:tcPr>
          <w:p w14:paraId="3BF4A112"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£4,753,000</w:t>
            </w:r>
          </w:p>
        </w:tc>
      </w:tr>
      <w:tr w:rsidR="007A7EA9" w:rsidRPr="00390868" w14:paraId="0A183A9A"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306C20" w14:textId="77777777" w:rsidR="007A7EA9" w:rsidRPr="00390868" w:rsidRDefault="007A7EA9" w:rsidP="00905241">
            <w:pPr>
              <w:spacing w:after="160" w:line="360" w:lineRule="auto"/>
              <w:rPr>
                <w:rFonts w:ascii="Arial" w:hAnsi="Arial" w:cs="Arial"/>
              </w:rPr>
            </w:pPr>
            <w:r w:rsidRPr="00390868">
              <w:rPr>
                <w:rFonts w:ascii="Arial" w:hAnsi="Arial" w:cs="Arial"/>
              </w:rPr>
              <w:t>Nov</w:t>
            </w:r>
          </w:p>
        </w:tc>
        <w:tc>
          <w:tcPr>
            <w:tcW w:w="0" w:type="auto"/>
            <w:hideMark/>
          </w:tcPr>
          <w:p w14:paraId="15B0D04F"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+£260,000</w:t>
            </w:r>
          </w:p>
        </w:tc>
        <w:tc>
          <w:tcPr>
            <w:tcW w:w="0" w:type="auto"/>
            <w:hideMark/>
          </w:tcPr>
          <w:p w14:paraId="3B342185"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59F6B558"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6897DC7D"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+£251,500</w:t>
            </w:r>
          </w:p>
        </w:tc>
        <w:tc>
          <w:tcPr>
            <w:tcW w:w="0" w:type="auto"/>
            <w:hideMark/>
          </w:tcPr>
          <w:p w14:paraId="24F29A5A"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£5,004,500</w:t>
            </w:r>
          </w:p>
        </w:tc>
      </w:tr>
      <w:tr w:rsidR="007A7EA9" w:rsidRPr="00390868" w14:paraId="586CD253" w14:textId="77777777" w:rsidTr="007A7EA9">
        <w:tc>
          <w:tcPr>
            <w:cnfStyle w:val="001000000000" w:firstRow="0" w:lastRow="0" w:firstColumn="1" w:lastColumn="0" w:oddVBand="0" w:evenVBand="0" w:oddHBand="0" w:evenHBand="0" w:firstRowFirstColumn="0" w:firstRowLastColumn="0" w:lastRowFirstColumn="0" w:lastRowLastColumn="0"/>
            <w:tcW w:w="0" w:type="auto"/>
            <w:hideMark/>
          </w:tcPr>
          <w:p w14:paraId="5E8CD97F" w14:textId="77777777" w:rsidR="007A7EA9" w:rsidRPr="00390868" w:rsidRDefault="007A7EA9" w:rsidP="00905241">
            <w:pPr>
              <w:spacing w:after="160" w:line="360" w:lineRule="auto"/>
              <w:rPr>
                <w:rFonts w:ascii="Arial" w:hAnsi="Arial" w:cs="Arial"/>
              </w:rPr>
            </w:pPr>
            <w:r w:rsidRPr="00390868">
              <w:rPr>
                <w:rFonts w:ascii="Arial" w:hAnsi="Arial" w:cs="Arial"/>
              </w:rPr>
              <w:t>Dec</w:t>
            </w:r>
          </w:p>
        </w:tc>
        <w:tc>
          <w:tcPr>
            <w:tcW w:w="0" w:type="auto"/>
            <w:hideMark/>
          </w:tcPr>
          <w:p w14:paraId="5C80B5C7"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+£265,000</w:t>
            </w:r>
          </w:p>
        </w:tc>
        <w:tc>
          <w:tcPr>
            <w:tcW w:w="0" w:type="auto"/>
            <w:hideMark/>
          </w:tcPr>
          <w:p w14:paraId="50CA6890"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-£2,500</w:t>
            </w:r>
          </w:p>
        </w:tc>
        <w:tc>
          <w:tcPr>
            <w:tcW w:w="0" w:type="auto"/>
            <w:hideMark/>
          </w:tcPr>
          <w:p w14:paraId="001A2AEB"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-£6,000</w:t>
            </w:r>
          </w:p>
        </w:tc>
        <w:tc>
          <w:tcPr>
            <w:tcW w:w="0" w:type="auto"/>
            <w:hideMark/>
          </w:tcPr>
          <w:p w14:paraId="06ED1B3E"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+£256,500</w:t>
            </w:r>
          </w:p>
        </w:tc>
        <w:tc>
          <w:tcPr>
            <w:tcW w:w="0" w:type="auto"/>
            <w:hideMark/>
          </w:tcPr>
          <w:p w14:paraId="513AD0E5" w14:textId="77777777" w:rsidR="007A7EA9" w:rsidRPr="00390868" w:rsidRDefault="007A7EA9"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£5,261,000</w:t>
            </w:r>
          </w:p>
        </w:tc>
      </w:tr>
      <w:tr w:rsidR="007A7EA9" w:rsidRPr="00390868" w14:paraId="3D173258" w14:textId="77777777" w:rsidTr="007A7E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CD8F58" w14:textId="77777777" w:rsidR="007A7EA9" w:rsidRPr="00390868" w:rsidRDefault="007A7EA9" w:rsidP="00905241">
            <w:pPr>
              <w:spacing w:after="160" w:line="360" w:lineRule="auto"/>
              <w:rPr>
                <w:rFonts w:ascii="Arial" w:hAnsi="Arial" w:cs="Arial"/>
              </w:rPr>
            </w:pPr>
            <w:r w:rsidRPr="00390868">
              <w:rPr>
                <w:rFonts w:ascii="Arial" w:hAnsi="Arial" w:cs="Arial"/>
              </w:rPr>
              <w:t>Y3 Total</w:t>
            </w:r>
          </w:p>
        </w:tc>
        <w:tc>
          <w:tcPr>
            <w:tcW w:w="0" w:type="auto"/>
            <w:hideMark/>
          </w:tcPr>
          <w:p w14:paraId="260110F7"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+£2,840,000</w:t>
            </w:r>
          </w:p>
        </w:tc>
        <w:tc>
          <w:tcPr>
            <w:tcW w:w="0" w:type="auto"/>
            <w:hideMark/>
          </w:tcPr>
          <w:p w14:paraId="11F4A016"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-£30,000</w:t>
            </w:r>
          </w:p>
        </w:tc>
        <w:tc>
          <w:tcPr>
            <w:tcW w:w="0" w:type="auto"/>
            <w:hideMark/>
          </w:tcPr>
          <w:p w14:paraId="70AE22FD"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-£72,000</w:t>
            </w:r>
          </w:p>
        </w:tc>
        <w:tc>
          <w:tcPr>
            <w:tcW w:w="0" w:type="auto"/>
            <w:hideMark/>
          </w:tcPr>
          <w:p w14:paraId="63812A2F"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+£2,738,000</w:t>
            </w:r>
          </w:p>
        </w:tc>
        <w:tc>
          <w:tcPr>
            <w:tcW w:w="0" w:type="auto"/>
            <w:hideMark/>
          </w:tcPr>
          <w:p w14:paraId="6D3C4B07" w14:textId="77777777" w:rsidR="007A7EA9" w:rsidRPr="00390868" w:rsidRDefault="007A7EA9"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£5,261,000</w:t>
            </w:r>
          </w:p>
        </w:tc>
      </w:tr>
    </w:tbl>
    <w:p w14:paraId="267C1E59" w14:textId="77777777" w:rsidR="007A7EA9" w:rsidRPr="00390868" w:rsidRDefault="007A7EA9" w:rsidP="00905241">
      <w:pPr>
        <w:spacing w:line="360" w:lineRule="auto"/>
        <w:rPr>
          <w:rFonts w:ascii="Arial" w:hAnsi="Arial" w:cs="Arial"/>
        </w:rPr>
      </w:pPr>
    </w:p>
    <w:p w14:paraId="63250295" w14:textId="77777777" w:rsidR="001510ED" w:rsidRPr="00390868" w:rsidRDefault="001510ED" w:rsidP="00905241">
      <w:pPr>
        <w:spacing w:line="360" w:lineRule="auto"/>
        <w:rPr>
          <w:rFonts w:ascii="Arial" w:hAnsi="Arial" w:cs="Arial"/>
          <w:b/>
          <w:bCs/>
        </w:rPr>
      </w:pPr>
      <w:r w:rsidRPr="00390868">
        <w:rPr>
          <w:rFonts w:ascii="Arial" w:hAnsi="Arial" w:cs="Arial"/>
          <w:b/>
          <w:bCs/>
        </w:rPr>
        <w:t>Key Assumptions:</w:t>
      </w:r>
    </w:p>
    <w:p w14:paraId="217AF8F9" w14:textId="77777777" w:rsidR="0070319F" w:rsidRPr="00390868" w:rsidRDefault="0070319F" w:rsidP="00905241">
      <w:pPr>
        <w:pStyle w:val="ds-markdown-paragraph"/>
        <w:numPr>
          <w:ilvl w:val="0"/>
          <w:numId w:val="38"/>
        </w:numPr>
        <w:shd w:val="clear" w:color="auto" w:fill="FFFFFF"/>
        <w:spacing w:before="0" w:beforeAutospacing="0" w:after="0" w:afterAutospacing="0" w:line="360" w:lineRule="auto"/>
        <w:rPr>
          <w:rFonts w:ascii="Arial" w:hAnsi="Arial" w:cs="Arial"/>
          <w:color w:val="0F1115"/>
          <w:sz w:val="22"/>
          <w:szCs w:val="22"/>
        </w:rPr>
      </w:pPr>
      <w:r w:rsidRPr="00390868">
        <w:rPr>
          <w:rFonts w:ascii="Arial" w:hAnsi="Arial" w:cs="Arial"/>
          <w:color w:val="0F1115"/>
          <w:sz w:val="22"/>
          <w:szCs w:val="22"/>
        </w:rPr>
        <w:t>Operating cash flow calculated as EBITDA less changes in working capital</w:t>
      </w:r>
    </w:p>
    <w:p w14:paraId="05AE31AA" w14:textId="77777777" w:rsidR="0070319F" w:rsidRPr="00390868" w:rsidRDefault="0070319F" w:rsidP="00905241">
      <w:pPr>
        <w:pStyle w:val="ds-markdown-paragraph"/>
        <w:numPr>
          <w:ilvl w:val="0"/>
          <w:numId w:val="38"/>
        </w:numPr>
        <w:shd w:val="clear" w:color="auto" w:fill="FFFFFF"/>
        <w:spacing w:before="0" w:beforeAutospacing="0" w:after="0" w:afterAutospacing="0" w:line="360" w:lineRule="auto"/>
        <w:rPr>
          <w:rFonts w:ascii="Arial" w:hAnsi="Arial" w:cs="Arial"/>
          <w:b/>
          <w:bCs/>
          <w:color w:val="0F1115"/>
          <w:sz w:val="22"/>
          <w:szCs w:val="22"/>
        </w:rPr>
      </w:pPr>
      <w:r w:rsidRPr="00390868">
        <w:rPr>
          <w:rStyle w:val="Strong"/>
          <w:rFonts w:ascii="Arial" w:eastAsiaTheme="majorEastAsia" w:hAnsi="Arial" w:cs="Arial"/>
          <w:b w:val="0"/>
          <w:bCs w:val="0"/>
          <w:color w:val="0F1115"/>
          <w:sz w:val="22"/>
          <w:szCs w:val="22"/>
        </w:rPr>
        <w:t>Debt repayment: £72,000 annually (£6,000 monthly) on £240,000 asset finance</w:t>
      </w:r>
    </w:p>
    <w:p w14:paraId="06B40BFF" w14:textId="77777777" w:rsidR="0070319F" w:rsidRPr="00390868" w:rsidRDefault="0070319F" w:rsidP="00905241">
      <w:pPr>
        <w:pStyle w:val="ds-markdown-paragraph"/>
        <w:numPr>
          <w:ilvl w:val="0"/>
          <w:numId w:val="38"/>
        </w:numPr>
        <w:shd w:val="clear" w:color="auto" w:fill="FFFFFF"/>
        <w:spacing w:before="0" w:beforeAutospacing="0" w:after="0" w:afterAutospacing="0" w:line="360" w:lineRule="auto"/>
        <w:rPr>
          <w:rFonts w:ascii="Arial" w:hAnsi="Arial" w:cs="Arial"/>
          <w:color w:val="0F1115"/>
          <w:sz w:val="22"/>
          <w:szCs w:val="22"/>
        </w:rPr>
      </w:pPr>
      <w:r w:rsidRPr="00390868">
        <w:rPr>
          <w:rFonts w:ascii="Arial" w:hAnsi="Arial" w:cs="Arial"/>
          <w:color w:val="0F1115"/>
          <w:sz w:val="22"/>
          <w:szCs w:val="22"/>
        </w:rPr>
        <w:t>CapEx: Front-loaded in Year 1, maintenance only in Years 2-3</w:t>
      </w:r>
    </w:p>
    <w:p w14:paraId="443CE2D2" w14:textId="77777777" w:rsidR="0070319F" w:rsidRPr="00390868" w:rsidRDefault="0070319F" w:rsidP="00905241">
      <w:pPr>
        <w:pStyle w:val="ds-markdown-paragraph"/>
        <w:numPr>
          <w:ilvl w:val="0"/>
          <w:numId w:val="38"/>
        </w:numPr>
        <w:shd w:val="clear" w:color="auto" w:fill="FFFFFF"/>
        <w:spacing w:before="0" w:beforeAutospacing="0" w:after="0" w:afterAutospacing="0" w:line="360" w:lineRule="auto"/>
        <w:rPr>
          <w:rFonts w:ascii="Arial" w:hAnsi="Arial" w:cs="Arial"/>
          <w:color w:val="0F1115"/>
          <w:sz w:val="22"/>
          <w:szCs w:val="22"/>
        </w:rPr>
      </w:pPr>
      <w:r w:rsidRPr="00390868">
        <w:rPr>
          <w:rFonts w:ascii="Arial" w:hAnsi="Arial" w:cs="Arial"/>
          <w:color w:val="0F1115"/>
          <w:sz w:val="22"/>
          <w:szCs w:val="22"/>
        </w:rPr>
        <w:t>No dividend payments or equity returns in projection period</w:t>
      </w:r>
    </w:p>
    <w:p w14:paraId="6ED65A11" w14:textId="77777777" w:rsidR="0070319F" w:rsidRPr="00390868" w:rsidRDefault="0070319F" w:rsidP="00905241">
      <w:pPr>
        <w:pStyle w:val="ds-markdown-paragraph"/>
        <w:numPr>
          <w:ilvl w:val="0"/>
          <w:numId w:val="38"/>
        </w:numPr>
        <w:shd w:val="clear" w:color="auto" w:fill="FFFFFF"/>
        <w:spacing w:before="0" w:beforeAutospacing="0" w:after="0" w:afterAutospacing="0" w:line="360" w:lineRule="auto"/>
        <w:rPr>
          <w:rFonts w:ascii="Arial" w:hAnsi="Arial" w:cs="Arial"/>
          <w:color w:val="0F1115"/>
        </w:rPr>
      </w:pPr>
      <w:r w:rsidRPr="00390868">
        <w:rPr>
          <w:rFonts w:ascii="Arial" w:hAnsi="Arial" w:cs="Arial"/>
          <w:color w:val="0F1115"/>
          <w:sz w:val="22"/>
          <w:szCs w:val="22"/>
        </w:rPr>
        <w:t>Tax payments commence Year 3 (not shown in cash flow above)</w:t>
      </w:r>
    </w:p>
    <w:p w14:paraId="1A830ABD" w14:textId="3BBDB3FF" w:rsidR="001510ED" w:rsidRPr="00390868" w:rsidRDefault="001510ED" w:rsidP="00905241">
      <w:pPr>
        <w:spacing w:line="360" w:lineRule="auto"/>
        <w:ind w:left="720"/>
        <w:rPr>
          <w:rFonts w:ascii="Arial" w:hAnsi="Arial" w:cs="Arial"/>
        </w:rPr>
      </w:pPr>
    </w:p>
    <w:p w14:paraId="303FA6DD" w14:textId="77777777" w:rsidR="001510ED" w:rsidRPr="00390868" w:rsidRDefault="001510ED" w:rsidP="00905241">
      <w:pPr>
        <w:pStyle w:val="Heading2"/>
        <w:spacing w:line="360" w:lineRule="auto"/>
        <w:rPr>
          <w:rFonts w:ascii="Arial" w:hAnsi="Arial" w:cs="Arial"/>
        </w:rPr>
      </w:pPr>
      <w:bookmarkStart w:id="156" w:name="_Toc218629319"/>
      <w:r w:rsidRPr="00390868">
        <w:rPr>
          <w:rFonts w:ascii="Arial" w:hAnsi="Arial" w:cs="Arial"/>
        </w:rPr>
        <w:t>Appendix E: Financial Statements</w:t>
      </w:r>
      <w:bookmarkEnd w:id="156"/>
    </w:p>
    <w:p w14:paraId="14F13A97" w14:textId="77777777" w:rsidR="001510ED" w:rsidRPr="00390868" w:rsidRDefault="001510ED" w:rsidP="00905241">
      <w:pPr>
        <w:spacing w:line="360" w:lineRule="auto"/>
        <w:rPr>
          <w:rFonts w:ascii="Arial" w:hAnsi="Arial" w:cs="Arial"/>
          <w:b/>
          <w:bCs/>
        </w:rPr>
      </w:pPr>
      <w:r w:rsidRPr="00390868">
        <w:rPr>
          <w:rFonts w:ascii="Arial" w:hAnsi="Arial" w:cs="Arial"/>
          <w:b/>
          <w:bCs/>
        </w:rPr>
        <w:t>E1: Pro-Forma Income Statement (Years 1-5)</w:t>
      </w:r>
    </w:p>
    <w:tbl>
      <w:tblPr>
        <w:tblStyle w:val="PlainTable1"/>
        <w:tblW w:w="0" w:type="auto"/>
        <w:tblLook w:val="04A0" w:firstRow="1" w:lastRow="0" w:firstColumn="1" w:lastColumn="0" w:noHBand="0" w:noVBand="1"/>
      </w:tblPr>
      <w:tblGrid>
        <w:gridCol w:w="2399"/>
        <w:gridCol w:w="1345"/>
        <w:gridCol w:w="1318"/>
        <w:gridCol w:w="1318"/>
        <w:gridCol w:w="1318"/>
        <w:gridCol w:w="1318"/>
      </w:tblGrid>
      <w:tr w:rsidR="002956B1" w:rsidRPr="00390868" w14:paraId="514E3CC1" w14:textId="77777777" w:rsidTr="002956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87FE2D" w14:textId="77777777" w:rsidR="002956B1" w:rsidRPr="00390868" w:rsidRDefault="002956B1" w:rsidP="00905241">
            <w:pPr>
              <w:spacing w:after="160" w:line="360" w:lineRule="auto"/>
              <w:rPr>
                <w:rFonts w:ascii="Arial" w:hAnsi="Arial" w:cs="Arial"/>
              </w:rPr>
            </w:pPr>
            <w:r w:rsidRPr="00390868">
              <w:rPr>
                <w:rFonts w:ascii="Arial" w:hAnsi="Arial" w:cs="Arial"/>
              </w:rPr>
              <w:t>Line Item</w:t>
            </w:r>
          </w:p>
        </w:tc>
        <w:tc>
          <w:tcPr>
            <w:tcW w:w="0" w:type="auto"/>
            <w:hideMark/>
          </w:tcPr>
          <w:p w14:paraId="4D2EC7A2" w14:textId="77777777" w:rsidR="002956B1" w:rsidRPr="00390868" w:rsidRDefault="002956B1"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1 (Q4)</w:t>
            </w:r>
          </w:p>
        </w:tc>
        <w:tc>
          <w:tcPr>
            <w:tcW w:w="0" w:type="auto"/>
            <w:hideMark/>
          </w:tcPr>
          <w:p w14:paraId="16AD700A" w14:textId="77777777" w:rsidR="002956B1" w:rsidRPr="00390868" w:rsidRDefault="002956B1"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2</w:t>
            </w:r>
          </w:p>
        </w:tc>
        <w:tc>
          <w:tcPr>
            <w:tcW w:w="0" w:type="auto"/>
            <w:hideMark/>
          </w:tcPr>
          <w:p w14:paraId="16AFEF79" w14:textId="77777777" w:rsidR="002956B1" w:rsidRPr="00390868" w:rsidRDefault="002956B1"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3</w:t>
            </w:r>
          </w:p>
        </w:tc>
        <w:tc>
          <w:tcPr>
            <w:tcW w:w="0" w:type="auto"/>
            <w:hideMark/>
          </w:tcPr>
          <w:p w14:paraId="7682C580" w14:textId="77777777" w:rsidR="002956B1" w:rsidRPr="00390868" w:rsidRDefault="002956B1"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4</w:t>
            </w:r>
          </w:p>
        </w:tc>
        <w:tc>
          <w:tcPr>
            <w:tcW w:w="0" w:type="auto"/>
            <w:hideMark/>
          </w:tcPr>
          <w:p w14:paraId="11DFC9D2" w14:textId="77777777" w:rsidR="002956B1" w:rsidRPr="00390868" w:rsidRDefault="002956B1"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5</w:t>
            </w:r>
          </w:p>
        </w:tc>
      </w:tr>
      <w:tr w:rsidR="002956B1" w:rsidRPr="00390868" w14:paraId="447C06F1"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7D8C2F" w14:textId="77777777" w:rsidR="002956B1" w:rsidRPr="00390868" w:rsidRDefault="002956B1" w:rsidP="00905241">
            <w:pPr>
              <w:spacing w:after="160" w:line="360" w:lineRule="auto"/>
              <w:rPr>
                <w:rFonts w:ascii="Arial" w:hAnsi="Arial" w:cs="Arial"/>
              </w:rPr>
            </w:pPr>
            <w:r w:rsidRPr="00390868">
              <w:rPr>
                <w:rFonts w:ascii="Arial" w:hAnsi="Arial" w:cs="Arial"/>
              </w:rPr>
              <w:t>Revenue</w:t>
            </w:r>
          </w:p>
        </w:tc>
        <w:tc>
          <w:tcPr>
            <w:tcW w:w="0" w:type="auto"/>
            <w:hideMark/>
          </w:tcPr>
          <w:p w14:paraId="0877B946"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740B6FDE"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£2,150,000</w:t>
            </w:r>
          </w:p>
        </w:tc>
        <w:tc>
          <w:tcPr>
            <w:tcW w:w="0" w:type="auto"/>
            <w:hideMark/>
          </w:tcPr>
          <w:p w14:paraId="75CF95C0"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£2,550,000</w:t>
            </w:r>
          </w:p>
        </w:tc>
        <w:tc>
          <w:tcPr>
            <w:tcW w:w="0" w:type="auto"/>
            <w:hideMark/>
          </w:tcPr>
          <w:p w14:paraId="37B0DB90"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£2,700,000</w:t>
            </w:r>
          </w:p>
        </w:tc>
        <w:tc>
          <w:tcPr>
            <w:tcW w:w="0" w:type="auto"/>
            <w:hideMark/>
          </w:tcPr>
          <w:p w14:paraId="16E4040C"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£2,750,000</w:t>
            </w:r>
          </w:p>
        </w:tc>
      </w:tr>
      <w:tr w:rsidR="002956B1" w:rsidRPr="00390868" w14:paraId="2DFA574D"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6523296F" w14:textId="77777777" w:rsidR="002956B1" w:rsidRPr="00390868" w:rsidRDefault="002956B1" w:rsidP="00905241">
            <w:pPr>
              <w:spacing w:after="160" w:line="360" w:lineRule="auto"/>
              <w:rPr>
                <w:rFonts w:ascii="Arial" w:hAnsi="Arial" w:cs="Arial"/>
              </w:rPr>
            </w:pPr>
            <w:r w:rsidRPr="00390868">
              <w:rPr>
                <w:rFonts w:ascii="Arial" w:hAnsi="Arial" w:cs="Arial"/>
              </w:rPr>
              <w:t>Cost of Sales</w:t>
            </w:r>
          </w:p>
        </w:tc>
        <w:tc>
          <w:tcPr>
            <w:tcW w:w="0" w:type="auto"/>
            <w:hideMark/>
          </w:tcPr>
          <w:p w14:paraId="10F97805"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£157,500</w:t>
            </w:r>
          </w:p>
        </w:tc>
        <w:tc>
          <w:tcPr>
            <w:tcW w:w="0" w:type="auto"/>
            <w:hideMark/>
          </w:tcPr>
          <w:p w14:paraId="4D7E127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£752,500</w:t>
            </w:r>
          </w:p>
        </w:tc>
        <w:tc>
          <w:tcPr>
            <w:tcW w:w="0" w:type="auto"/>
            <w:hideMark/>
          </w:tcPr>
          <w:p w14:paraId="78980180"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£892,500</w:t>
            </w:r>
          </w:p>
        </w:tc>
        <w:tc>
          <w:tcPr>
            <w:tcW w:w="0" w:type="auto"/>
            <w:hideMark/>
          </w:tcPr>
          <w:p w14:paraId="7A7E7F43"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£945,000</w:t>
            </w:r>
          </w:p>
        </w:tc>
        <w:tc>
          <w:tcPr>
            <w:tcW w:w="0" w:type="auto"/>
            <w:hideMark/>
          </w:tcPr>
          <w:p w14:paraId="61E51F9B"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£962,500</w:t>
            </w:r>
          </w:p>
        </w:tc>
      </w:tr>
      <w:tr w:rsidR="002956B1" w:rsidRPr="00390868" w14:paraId="02ADF265"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F3DE37" w14:textId="77777777" w:rsidR="002956B1" w:rsidRPr="00390868" w:rsidRDefault="002956B1" w:rsidP="00905241">
            <w:pPr>
              <w:spacing w:after="160" w:line="360" w:lineRule="auto"/>
              <w:rPr>
                <w:rFonts w:ascii="Arial" w:hAnsi="Arial" w:cs="Arial"/>
              </w:rPr>
            </w:pPr>
            <w:r w:rsidRPr="00390868">
              <w:rPr>
                <w:rFonts w:ascii="Arial" w:hAnsi="Arial" w:cs="Arial"/>
                <w:i/>
                <w:iCs/>
              </w:rPr>
              <w:t>Parts &amp; Materials</w:t>
            </w:r>
          </w:p>
        </w:tc>
        <w:tc>
          <w:tcPr>
            <w:tcW w:w="0" w:type="auto"/>
            <w:hideMark/>
          </w:tcPr>
          <w:p w14:paraId="61A0DB7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£90,000</w:t>
            </w:r>
          </w:p>
        </w:tc>
        <w:tc>
          <w:tcPr>
            <w:tcW w:w="0" w:type="auto"/>
            <w:hideMark/>
          </w:tcPr>
          <w:p w14:paraId="73113FD2"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£430,000</w:t>
            </w:r>
          </w:p>
        </w:tc>
        <w:tc>
          <w:tcPr>
            <w:tcW w:w="0" w:type="auto"/>
            <w:hideMark/>
          </w:tcPr>
          <w:p w14:paraId="77CA4D54"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£510,000</w:t>
            </w:r>
          </w:p>
        </w:tc>
        <w:tc>
          <w:tcPr>
            <w:tcW w:w="0" w:type="auto"/>
            <w:hideMark/>
          </w:tcPr>
          <w:p w14:paraId="27057B0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£540,000</w:t>
            </w:r>
          </w:p>
        </w:tc>
        <w:tc>
          <w:tcPr>
            <w:tcW w:w="0" w:type="auto"/>
            <w:hideMark/>
          </w:tcPr>
          <w:p w14:paraId="184DFB4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£550,000</w:t>
            </w:r>
          </w:p>
        </w:tc>
      </w:tr>
      <w:tr w:rsidR="002956B1" w:rsidRPr="00390868" w14:paraId="489FE447"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6638BC1E" w14:textId="77777777" w:rsidR="002956B1" w:rsidRPr="00390868" w:rsidRDefault="002956B1" w:rsidP="00905241">
            <w:pPr>
              <w:spacing w:after="160" w:line="360" w:lineRule="auto"/>
              <w:rPr>
                <w:rFonts w:ascii="Arial" w:hAnsi="Arial" w:cs="Arial"/>
              </w:rPr>
            </w:pPr>
            <w:r w:rsidRPr="00390868">
              <w:rPr>
                <w:rFonts w:ascii="Arial" w:hAnsi="Arial" w:cs="Arial"/>
                <w:i/>
                <w:iCs/>
              </w:rPr>
              <w:t>Direct Labour</w:t>
            </w:r>
          </w:p>
        </w:tc>
        <w:tc>
          <w:tcPr>
            <w:tcW w:w="0" w:type="auto"/>
            <w:hideMark/>
          </w:tcPr>
          <w:p w14:paraId="2995CA48"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£67,500</w:t>
            </w:r>
          </w:p>
        </w:tc>
        <w:tc>
          <w:tcPr>
            <w:tcW w:w="0" w:type="auto"/>
            <w:hideMark/>
          </w:tcPr>
          <w:p w14:paraId="727DEE8A"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£322,500</w:t>
            </w:r>
          </w:p>
        </w:tc>
        <w:tc>
          <w:tcPr>
            <w:tcW w:w="0" w:type="auto"/>
            <w:hideMark/>
          </w:tcPr>
          <w:p w14:paraId="643521C9"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£382,500</w:t>
            </w:r>
          </w:p>
        </w:tc>
        <w:tc>
          <w:tcPr>
            <w:tcW w:w="0" w:type="auto"/>
            <w:hideMark/>
          </w:tcPr>
          <w:p w14:paraId="655E0D62"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£405,000</w:t>
            </w:r>
          </w:p>
        </w:tc>
        <w:tc>
          <w:tcPr>
            <w:tcW w:w="0" w:type="auto"/>
            <w:hideMark/>
          </w:tcPr>
          <w:p w14:paraId="643461F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£412,500</w:t>
            </w:r>
          </w:p>
        </w:tc>
      </w:tr>
      <w:tr w:rsidR="002956B1" w:rsidRPr="00390868" w14:paraId="52501823"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54891" w14:textId="77777777" w:rsidR="002956B1" w:rsidRPr="00390868" w:rsidRDefault="002956B1" w:rsidP="00905241">
            <w:pPr>
              <w:spacing w:after="160" w:line="360" w:lineRule="auto"/>
              <w:rPr>
                <w:rFonts w:ascii="Arial" w:hAnsi="Arial" w:cs="Arial"/>
              </w:rPr>
            </w:pPr>
            <w:r w:rsidRPr="00390868">
              <w:rPr>
                <w:rFonts w:ascii="Arial" w:hAnsi="Arial" w:cs="Arial"/>
              </w:rPr>
              <w:t>Gross Profit</w:t>
            </w:r>
          </w:p>
        </w:tc>
        <w:tc>
          <w:tcPr>
            <w:tcW w:w="0" w:type="auto"/>
            <w:hideMark/>
          </w:tcPr>
          <w:p w14:paraId="1ABDB52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£292,500</w:t>
            </w:r>
          </w:p>
        </w:tc>
        <w:tc>
          <w:tcPr>
            <w:tcW w:w="0" w:type="auto"/>
            <w:hideMark/>
          </w:tcPr>
          <w:p w14:paraId="7ADC324C"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£1,397,500</w:t>
            </w:r>
          </w:p>
        </w:tc>
        <w:tc>
          <w:tcPr>
            <w:tcW w:w="0" w:type="auto"/>
            <w:hideMark/>
          </w:tcPr>
          <w:p w14:paraId="6C827B3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£1,657,500</w:t>
            </w:r>
          </w:p>
        </w:tc>
        <w:tc>
          <w:tcPr>
            <w:tcW w:w="0" w:type="auto"/>
            <w:hideMark/>
          </w:tcPr>
          <w:p w14:paraId="64BE5661"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£1,755,000</w:t>
            </w:r>
          </w:p>
        </w:tc>
        <w:tc>
          <w:tcPr>
            <w:tcW w:w="0" w:type="auto"/>
            <w:hideMark/>
          </w:tcPr>
          <w:p w14:paraId="7504C03F"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£1,787,500</w:t>
            </w:r>
          </w:p>
        </w:tc>
      </w:tr>
      <w:tr w:rsidR="002956B1" w:rsidRPr="00390868" w14:paraId="66EFDE35"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65BADC3E" w14:textId="77777777" w:rsidR="002956B1" w:rsidRPr="00390868" w:rsidRDefault="002956B1" w:rsidP="00905241">
            <w:pPr>
              <w:spacing w:after="160" w:line="360" w:lineRule="auto"/>
              <w:rPr>
                <w:rFonts w:ascii="Arial" w:hAnsi="Arial" w:cs="Arial"/>
              </w:rPr>
            </w:pPr>
            <w:r w:rsidRPr="00390868">
              <w:rPr>
                <w:rFonts w:ascii="Arial" w:hAnsi="Arial" w:cs="Arial"/>
              </w:rPr>
              <w:t>Gross Margin</w:t>
            </w:r>
          </w:p>
        </w:tc>
        <w:tc>
          <w:tcPr>
            <w:tcW w:w="0" w:type="auto"/>
            <w:hideMark/>
          </w:tcPr>
          <w:p w14:paraId="4CA01515"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65%</w:t>
            </w:r>
          </w:p>
        </w:tc>
        <w:tc>
          <w:tcPr>
            <w:tcW w:w="0" w:type="auto"/>
            <w:hideMark/>
          </w:tcPr>
          <w:p w14:paraId="3455A94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65%</w:t>
            </w:r>
          </w:p>
        </w:tc>
        <w:tc>
          <w:tcPr>
            <w:tcW w:w="0" w:type="auto"/>
            <w:hideMark/>
          </w:tcPr>
          <w:p w14:paraId="554D1E01"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65%</w:t>
            </w:r>
          </w:p>
        </w:tc>
        <w:tc>
          <w:tcPr>
            <w:tcW w:w="0" w:type="auto"/>
            <w:hideMark/>
          </w:tcPr>
          <w:p w14:paraId="0A84F232"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65%</w:t>
            </w:r>
          </w:p>
        </w:tc>
        <w:tc>
          <w:tcPr>
            <w:tcW w:w="0" w:type="auto"/>
            <w:hideMark/>
          </w:tcPr>
          <w:p w14:paraId="294C15D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65%</w:t>
            </w:r>
          </w:p>
        </w:tc>
      </w:tr>
      <w:tr w:rsidR="002956B1" w:rsidRPr="00390868" w14:paraId="424D6822"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C7B10" w14:textId="77777777" w:rsidR="002956B1" w:rsidRPr="00390868" w:rsidRDefault="002956B1" w:rsidP="00905241">
            <w:pPr>
              <w:spacing w:after="160" w:line="360" w:lineRule="auto"/>
              <w:rPr>
                <w:rFonts w:ascii="Arial" w:hAnsi="Arial" w:cs="Arial"/>
              </w:rPr>
            </w:pPr>
            <w:r w:rsidRPr="00390868">
              <w:rPr>
                <w:rFonts w:ascii="Arial" w:hAnsi="Arial" w:cs="Arial"/>
              </w:rPr>
              <w:t>Operating Expenses</w:t>
            </w:r>
          </w:p>
        </w:tc>
        <w:tc>
          <w:tcPr>
            <w:tcW w:w="0" w:type="auto"/>
            <w:hideMark/>
          </w:tcPr>
          <w:p w14:paraId="1479C631"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£390,000</w:t>
            </w:r>
          </w:p>
        </w:tc>
        <w:tc>
          <w:tcPr>
            <w:tcW w:w="0" w:type="auto"/>
            <w:hideMark/>
          </w:tcPr>
          <w:p w14:paraId="1EB5142E"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£1,197,500</w:t>
            </w:r>
          </w:p>
        </w:tc>
        <w:tc>
          <w:tcPr>
            <w:tcW w:w="0" w:type="auto"/>
            <w:hideMark/>
          </w:tcPr>
          <w:p w14:paraId="23D3DC0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£1,277,500</w:t>
            </w:r>
          </w:p>
        </w:tc>
        <w:tc>
          <w:tcPr>
            <w:tcW w:w="0" w:type="auto"/>
            <w:hideMark/>
          </w:tcPr>
          <w:p w14:paraId="11AD2F5F"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£1,305,000</w:t>
            </w:r>
          </w:p>
        </w:tc>
        <w:tc>
          <w:tcPr>
            <w:tcW w:w="0" w:type="auto"/>
            <w:hideMark/>
          </w:tcPr>
          <w:p w14:paraId="3BFF0AC8"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£1,307,500</w:t>
            </w:r>
          </w:p>
        </w:tc>
      </w:tr>
      <w:tr w:rsidR="002956B1" w:rsidRPr="00390868" w14:paraId="43304C4B"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2EA0B326" w14:textId="77777777" w:rsidR="002956B1" w:rsidRPr="00390868" w:rsidRDefault="002956B1" w:rsidP="00905241">
            <w:pPr>
              <w:spacing w:after="160" w:line="360" w:lineRule="auto"/>
              <w:rPr>
                <w:rFonts w:ascii="Arial" w:hAnsi="Arial" w:cs="Arial"/>
              </w:rPr>
            </w:pPr>
            <w:r w:rsidRPr="00390868">
              <w:rPr>
                <w:rFonts w:ascii="Arial" w:hAnsi="Arial" w:cs="Arial"/>
                <w:i/>
                <w:iCs/>
              </w:rPr>
              <w:t>Staff (non-direct)</w:t>
            </w:r>
          </w:p>
        </w:tc>
        <w:tc>
          <w:tcPr>
            <w:tcW w:w="0" w:type="auto"/>
            <w:hideMark/>
          </w:tcPr>
          <w:p w14:paraId="660587A1"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£210,000</w:t>
            </w:r>
          </w:p>
        </w:tc>
        <w:tc>
          <w:tcPr>
            <w:tcW w:w="0" w:type="auto"/>
            <w:hideMark/>
          </w:tcPr>
          <w:p w14:paraId="7D31089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£840,000</w:t>
            </w:r>
          </w:p>
        </w:tc>
        <w:tc>
          <w:tcPr>
            <w:tcW w:w="0" w:type="auto"/>
            <w:hideMark/>
          </w:tcPr>
          <w:p w14:paraId="5D24B37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£920,000</w:t>
            </w:r>
          </w:p>
        </w:tc>
        <w:tc>
          <w:tcPr>
            <w:tcW w:w="0" w:type="auto"/>
            <w:hideMark/>
          </w:tcPr>
          <w:p w14:paraId="6406F32A"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£940,000</w:t>
            </w:r>
          </w:p>
        </w:tc>
        <w:tc>
          <w:tcPr>
            <w:tcW w:w="0" w:type="auto"/>
            <w:hideMark/>
          </w:tcPr>
          <w:p w14:paraId="79AB7EE7"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£940,000</w:t>
            </w:r>
          </w:p>
        </w:tc>
      </w:tr>
      <w:tr w:rsidR="002956B1" w:rsidRPr="00390868" w14:paraId="0FE9E78F"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BB423" w14:textId="77777777" w:rsidR="002956B1" w:rsidRPr="00390868" w:rsidRDefault="002956B1" w:rsidP="00905241">
            <w:pPr>
              <w:spacing w:after="160" w:line="360" w:lineRule="auto"/>
              <w:rPr>
                <w:rFonts w:ascii="Arial" w:hAnsi="Arial" w:cs="Arial"/>
              </w:rPr>
            </w:pPr>
            <w:r w:rsidRPr="00390868">
              <w:rPr>
                <w:rFonts w:ascii="Arial" w:hAnsi="Arial" w:cs="Arial"/>
                <w:i/>
                <w:iCs/>
              </w:rPr>
              <w:t>Rent &amp; Rates</w:t>
            </w:r>
          </w:p>
        </w:tc>
        <w:tc>
          <w:tcPr>
            <w:tcW w:w="0" w:type="auto"/>
            <w:hideMark/>
          </w:tcPr>
          <w:p w14:paraId="236A62DB"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£45,000</w:t>
            </w:r>
          </w:p>
        </w:tc>
        <w:tc>
          <w:tcPr>
            <w:tcW w:w="0" w:type="auto"/>
            <w:hideMark/>
          </w:tcPr>
          <w:p w14:paraId="435F319E"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35FF4DDF"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1E5B24D4"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29A09110"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£180,000</w:t>
            </w:r>
          </w:p>
        </w:tc>
      </w:tr>
      <w:tr w:rsidR="002956B1" w:rsidRPr="00390868" w14:paraId="7A7E3155"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1B651D23" w14:textId="77777777" w:rsidR="002956B1" w:rsidRPr="00390868" w:rsidRDefault="002956B1" w:rsidP="00905241">
            <w:pPr>
              <w:spacing w:after="160" w:line="360" w:lineRule="auto"/>
              <w:rPr>
                <w:rFonts w:ascii="Arial" w:hAnsi="Arial" w:cs="Arial"/>
              </w:rPr>
            </w:pPr>
            <w:r w:rsidRPr="00390868">
              <w:rPr>
                <w:rFonts w:ascii="Arial" w:hAnsi="Arial" w:cs="Arial"/>
                <w:i/>
                <w:iCs/>
              </w:rPr>
              <w:lastRenderedPageBreak/>
              <w:t>Utilities</w:t>
            </w:r>
          </w:p>
        </w:tc>
        <w:tc>
          <w:tcPr>
            <w:tcW w:w="0" w:type="auto"/>
            <w:hideMark/>
          </w:tcPr>
          <w:p w14:paraId="111B866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£15,000</w:t>
            </w:r>
          </w:p>
        </w:tc>
        <w:tc>
          <w:tcPr>
            <w:tcW w:w="0" w:type="auto"/>
            <w:hideMark/>
          </w:tcPr>
          <w:p w14:paraId="68010512"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£84,000</w:t>
            </w:r>
          </w:p>
        </w:tc>
        <w:tc>
          <w:tcPr>
            <w:tcW w:w="0" w:type="auto"/>
            <w:hideMark/>
          </w:tcPr>
          <w:p w14:paraId="0A2C7EF3"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£84,000</w:t>
            </w:r>
          </w:p>
        </w:tc>
        <w:tc>
          <w:tcPr>
            <w:tcW w:w="0" w:type="auto"/>
            <w:hideMark/>
          </w:tcPr>
          <w:p w14:paraId="680EE9F8"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£84,000</w:t>
            </w:r>
          </w:p>
        </w:tc>
        <w:tc>
          <w:tcPr>
            <w:tcW w:w="0" w:type="auto"/>
            <w:hideMark/>
          </w:tcPr>
          <w:p w14:paraId="1F32CA0E"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£84,000</w:t>
            </w:r>
          </w:p>
        </w:tc>
      </w:tr>
      <w:tr w:rsidR="002956B1" w:rsidRPr="00390868" w14:paraId="5052B047"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77733" w14:textId="77777777" w:rsidR="002956B1" w:rsidRPr="00390868" w:rsidRDefault="002956B1" w:rsidP="00905241">
            <w:pPr>
              <w:spacing w:after="160" w:line="360" w:lineRule="auto"/>
              <w:rPr>
                <w:rFonts w:ascii="Arial" w:hAnsi="Arial" w:cs="Arial"/>
              </w:rPr>
            </w:pPr>
            <w:r w:rsidRPr="00390868">
              <w:rPr>
                <w:rFonts w:ascii="Arial" w:hAnsi="Arial" w:cs="Arial"/>
                <w:i/>
                <w:iCs/>
              </w:rPr>
              <w:t>Marketing</w:t>
            </w:r>
          </w:p>
        </w:tc>
        <w:tc>
          <w:tcPr>
            <w:tcW w:w="0" w:type="auto"/>
            <w:hideMark/>
          </w:tcPr>
          <w:p w14:paraId="28E4B9F8"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69BF1BC9"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w:t>
            </w:r>
          </w:p>
        </w:tc>
        <w:tc>
          <w:tcPr>
            <w:tcW w:w="0" w:type="auto"/>
            <w:hideMark/>
          </w:tcPr>
          <w:p w14:paraId="6399CCC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w:t>
            </w:r>
          </w:p>
        </w:tc>
        <w:tc>
          <w:tcPr>
            <w:tcW w:w="0" w:type="auto"/>
            <w:hideMark/>
          </w:tcPr>
          <w:p w14:paraId="1E52CC10"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w:t>
            </w:r>
          </w:p>
        </w:tc>
        <w:tc>
          <w:tcPr>
            <w:tcW w:w="0" w:type="auto"/>
            <w:hideMark/>
          </w:tcPr>
          <w:p w14:paraId="696B3164"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w:t>
            </w:r>
          </w:p>
        </w:tc>
      </w:tr>
      <w:tr w:rsidR="002956B1" w:rsidRPr="00390868" w14:paraId="394BEA59"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0F4183AA" w14:textId="77777777" w:rsidR="002956B1" w:rsidRPr="00390868" w:rsidRDefault="002956B1" w:rsidP="00905241">
            <w:pPr>
              <w:spacing w:after="160" w:line="360" w:lineRule="auto"/>
              <w:rPr>
                <w:rFonts w:ascii="Arial" w:hAnsi="Arial" w:cs="Arial"/>
              </w:rPr>
            </w:pPr>
            <w:r w:rsidRPr="00390868">
              <w:rPr>
                <w:rFonts w:ascii="Arial" w:hAnsi="Arial" w:cs="Arial"/>
                <w:i/>
                <w:iCs/>
              </w:rPr>
              <w:t>Insurance</w:t>
            </w:r>
          </w:p>
        </w:tc>
        <w:tc>
          <w:tcPr>
            <w:tcW w:w="0" w:type="auto"/>
            <w:hideMark/>
          </w:tcPr>
          <w:p w14:paraId="5F64CB80"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£7,500</w:t>
            </w:r>
          </w:p>
        </w:tc>
        <w:tc>
          <w:tcPr>
            <w:tcW w:w="0" w:type="auto"/>
            <w:hideMark/>
          </w:tcPr>
          <w:p w14:paraId="38DFD6ED"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7E450B60"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39D25471"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54FE428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r>
      <w:tr w:rsidR="002956B1" w:rsidRPr="00390868" w14:paraId="2B55EFEB"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A2AFB" w14:textId="77777777" w:rsidR="002956B1" w:rsidRPr="00390868" w:rsidRDefault="002956B1" w:rsidP="00905241">
            <w:pPr>
              <w:spacing w:after="160" w:line="360" w:lineRule="auto"/>
              <w:rPr>
                <w:rFonts w:ascii="Arial" w:hAnsi="Arial" w:cs="Arial"/>
              </w:rPr>
            </w:pPr>
            <w:r w:rsidRPr="00390868">
              <w:rPr>
                <w:rFonts w:ascii="Arial" w:hAnsi="Arial" w:cs="Arial"/>
                <w:i/>
                <w:iCs/>
              </w:rPr>
              <w:t>Other Overheads</w:t>
            </w:r>
          </w:p>
        </w:tc>
        <w:tc>
          <w:tcPr>
            <w:tcW w:w="0" w:type="auto"/>
            <w:hideMark/>
          </w:tcPr>
          <w:p w14:paraId="73FFA012"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£82,500</w:t>
            </w:r>
          </w:p>
        </w:tc>
        <w:tc>
          <w:tcPr>
            <w:tcW w:w="0" w:type="auto"/>
            <w:hideMark/>
          </w:tcPr>
          <w:p w14:paraId="30ACB7EB"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£27,500</w:t>
            </w:r>
          </w:p>
        </w:tc>
        <w:tc>
          <w:tcPr>
            <w:tcW w:w="0" w:type="auto"/>
            <w:hideMark/>
          </w:tcPr>
          <w:p w14:paraId="6D188311"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£27,500</w:t>
            </w:r>
          </w:p>
        </w:tc>
        <w:tc>
          <w:tcPr>
            <w:tcW w:w="0" w:type="auto"/>
            <w:hideMark/>
          </w:tcPr>
          <w:p w14:paraId="60691511"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£35,000</w:t>
            </w:r>
          </w:p>
        </w:tc>
        <w:tc>
          <w:tcPr>
            <w:tcW w:w="0" w:type="auto"/>
            <w:hideMark/>
          </w:tcPr>
          <w:p w14:paraId="3A5A0A9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£37,500</w:t>
            </w:r>
          </w:p>
        </w:tc>
      </w:tr>
      <w:tr w:rsidR="002956B1" w:rsidRPr="00390868" w14:paraId="70F0782A"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1AE1DDC5" w14:textId="77777777" w:rsidR="002956B1" w:rsidRPr="00390868" w:rsidRDefault="002956B1" w:rsidP="00905241">
            <w:pPr>
              <w:spacing w:after="160" w:line="360" w:lineRule="auto"/>
              <w:rPr>
                <w:rFonts w:ascii="Arial" w:hAnsi="Arial" w:cs="Arial"/>
              </w:rPr>
            </w:pPr>
            <w:r w:rsidRPr="00390868">
              <w:rPr>
                <w:rFonts w:ascii="Arial" w:hAnsi="Arial" w:cs="Arial"/>
              </w:rPr>
              <w:t>EBITDA</w:t>
            </w:r>
          </w:p>
        </w:tc>
        <w:tc>
          <w:tcPr>
            <w:tcW w:w="0" w:type="auto"/>
            <w:hideMark/>
          </w:tcPr>
          <w:p w14:paraId="66058869"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(£97,500)</w:t>
            </w:r>
          </w:p>
        </w:tc>
        <w:tc>
          <w:tcPr>
            <w:tcW w:w="0" w:type="auto"/>
            <w:hideMark/>
          </w:tcPr>
          <w:p w14:paraId="7D4F06A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£200,000</w:t>
            </w:r>
          </w:p>
        </w:tc>
        <w:tc>
          <w:tcPr>
            <w:tcW w:w="0" w:type="auto"/>
            <w:hideMark/>
          </w:tcPr>
          <w:p w14:paraId="5BBFEF37"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£380,000</w:t>
            </w:r>
          </w:p>
        </w:tc>
        <w:tc>
          <w:tcPr>
            <w:tcW w:w="0" w:type="auto"/>
            <w:hideMark/>
          </w:tcPr>
          <w:p w14:paraId="6D48FF33"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£450,000</w:t>
            </w:r>
          </w:p>
        </w:tc>
        <w:tc>
          <w:tcPr>
            <w:tcW w:w="0" w:type="auto"/>
            <w:hideMark/>
          </w:tcPr>
          <w:p w14:paraId="247328C9"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£480,000</w:t>
            </w:r>
          </w:p>
        </w:tc>
      </w:tr>
      <w:tr w:rsidR="002956B1" w:rsidRPr="00390868" w14:paraId="7B673813"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3ED898" w14:textId="77777777" w:rsidR="002956B1" w:rsidRPr="00390868" w:rsidRDefault="002956B1" w:rsidP="00905241">
            <w:pPr>
              <w:spacing w:after="160" w:line="360" w:lineRule="auto"/>
              <w:rPr>
                <w:rFonts w:ascii="Arial" w:hAnsi="Arial" w:cs="Arial"/>
              </w:rPr>
            </w:pPr>
            <w:r w:rsidRPr="00390868">
              <w:rPr>
                <w:rFonts w:ascii="Arial" w:hAnsi="Arial" w:cs="Arial"/>
              </w:rPr>
              <w:t>EBITDA Margin</w:t>
            </w:r>
          </w:p>
        </w:tc>
        <w:tc>
          <w:tcPr>
            <w:tcW w:w="0" w:type="auto"/>
            <w:hideMark/>
          </w:tcPr>
          <w:p w14:paraId="0A082A72"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-21.7%</w:t>
            </w:r>
          </w:p>
        </w:tc>
        <w:tc>
          <w:tcPr>
            <w:tcW w:w="0" w:type="auto"/>
            <w:hideMark/>
          </w:tcPr>
          <w:p w14:paraId="7651081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9.3%</w:t>
            </w:r>
          </w:p>
        </w:tc>
        <w:tc>
          <w:tcPr>
            <w:tcW w:w="0" w:type="auto"/>
            <w:hideMark/>
          </w:tcPr>
          <w:p w14:paraId="1DB1434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14.9%</w:t>
            </w:r>
          </w:p>
        </w:tc>
        <w:tc>
          <w:tcPr>
            <w:tcW w:w="0" w:type="auto"/>
            <w:hideMark/>
          </w:tcPr>
          <w:p w14:paraId="346F2003"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16.7%</w:t>
            </w:r>
          </w:p>
        </w:tc>
        <w:tc>
          <w:tcPr>
            <w:tcW w:w="0" w:type="auto"/>
            <w:hideMark/>
          </w:tcPr>
          <w:p w14:paraId="262BDA6C"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17.5%</w:t>
            </w:r>
          </w:p>
        </w:tc>
      </w:tr>
      <w:tr w:rsidR="002956B1" w:rsidRPr="00390868" w14:paraId="2DC5AD9E"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41DF1EBF" w14:textId="77777777" w:rsidR="002956B1" w:rsidRPr="00390868" w:rsidRDefault="002956B1" w:rsidP="00905241">
            <w:pPr>
              <w:spacing w:after="160" w:line="360" w:lineRule="auto"/>
              <w:rPr>
                <w:rFonts w:ascii="Arial" w:hAnsi="Arial" w:cs="Arial"/>
              </w:rPr>
            </w:pPr>
            <w:r w:rsidRPr="00390868">
              <w:rPr>
                <w:rFonts w:ascii="Arial" w:hAnsi="Arial" w:cs="Arial"/>
              </w:rPr>
              <w:t>Depreciation</w:t>
            </w:r>
          </w:p>
        </w:tc>
        <w:tc>
          <w:tcPr>
            <w:tcW w:w="0" w:type="auto"/>
            <w:hideMark/>
          </w:tcPr>
          <w:p w14:paraId="27AB6A51"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£40,000</w:t>
            </w:r>
          </w:p>
        </w:tc>
        <w:tc>
          <w:tcPr>
            <w:tcW w:w="0" w:type="auto"/>
            <w:hideMark/>
          </w:tcPr>
          <w:p w14:paraId="761A7299"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£160,000</w:t>
            </w:r>
          </w:p>
        </w:tc>
        <w:tc>
          <w:tcPr>
            <w:tcW w:w="0" w:type="auto"/>
            <w:hideMark/>
          </w:tcPr>
          <w:p w14:paraId="6FAB5B3A"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£120,000</w:t>
            </w:r>
          </w:p>
        </w:tc>
        <w:tc>
          <w:tcPr>
            <w:tcW w:w="0" w:type="auto"/>
            <w:hideMark/>
          </w:tcPr>
          <w:p w14:paraId="1BD7C5D2"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£100,000</w:t>
            </w:r>
          </w:p>
        </w:tc>
        <w:tc>
          <w:tcPr>
            <w:tcW w:w="0" w:type="auto"/>
            <w:hideMark/>
          </w:tcPr>
          <w:p w14:paraId="3FCCC59B"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£100,000</w:t>
            </w:r>
          </w:p>
        </w:tc>
      </w:tr>
      <w:tr w:rsidR="002956B1" w:rsidRPr="00390868" w14:paraId="6408C7D5"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245DE" w14:textId="77777777" w:rsidR="002956B1" w:rsidRPr="00390868" w:rsidRDefault="002956B1" w:rsidP="00905241">
            <w:pPr>
              <w:spacing w:after="160" w:line="360" w:lineRule="auto"/>
              <w:rPr>
                <w:rFonts w:ascii="Arial" w:hAnsi="Arial" w:cs="Arial"/>
              </w:rPr>
            </w:pPr>
            <w:r w:rsidRPr="00390868">
              <w:rPr>
                <w:rFonts w:ascii="Arial" w:hAnsi="Arial" w:cs="Arial"/>
              </w:rPr>
              <w:t>Interest</w:t>
            </w:r>
          </w:p>
        </w:tc>
        <w:tc>
          <w:tcPr>
            <w:tcW w:w="0" w:type="auto"/>
            <w:hideMark/>
          </w:tcPr>
          <w:p w14:paraId="535F035B"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£25,000</w:t>
            </w:r>
          </w:p>
        </w:tc>
        <w:tc>
          <w:tcPr>
            <w:tcW w:w="0" w:type="auto"/>
            <w:hideMark/>
          </w:tcPr>
          <w:p w14:paraId="7F108C40"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£60,000</w:t>
            </w:r>
          </w:p>
        </w:tc>
        <w:tc>
          <w:tcPr>
            <w:tcW w:w="0" w:type="auto"/>
            <w:hideMark/>
          </w:tcPr>
          <w:p w14:paraId="38E17D6B"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£60,000</w:t>
            </w:r>
          </w:p>
        </w:tc>
        <w:tc>
          <w:tcPr>
            <w:tcW w:w="0" w:type="auto"/>
            <w:hideMark/>
          </w:tcPr>
          <w:p w14:paraId="3D95499D"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£50,000</w:t>
            </w:r>
          </w:p>
        </w:tc>
        <w:tc>
          <w:tcPr>
            <w:tcW w:w="0" w:type="auto"/>
            <w:hideMark/>
          </w:tcPr>
          <w:p w14:paraId="2335DA6A"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£40,000</w:t>
            </w:r>
          </w:p>
        </w:tc>
      </w:tr>
      <w:tr w:rsidR="002956B1" w:rsidRPr="00390868" w14:paraId="083FFF3C"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3FE7207A" w14:textId="77777777" w:rsidR="002956B1" w:rsidRPr="00390868" w:rsidRDefault="002956B1" w:rsidP="00905241">
            <w:pPr>
              <w:spacing w:after="160" w:line="360" w:lineRule="auto"/>
              <w:rPr>
                <w:rFonts w:ascii="Arial" w:hAnsi="Arial" w:cs="Arial"/>
              </w:rPr>
            </w:pPr>
            <w:r w:rsidRPr="00390868">
              <w:rPr>
                <w:rFonts w:ascii="Arial" w:hAnsi="Arial" w:cs="Arial"/>
              </w:rPr>
              <w:t>Profit Before Tax</w:t>
            </w:r>
          </w:p>
        </w:tc>
        <w:tc>
          <w:tcPr>
            <w:tcW w:w="0" w:type="auto"/>
            <w:hideMark/>
          </w:tcPr>
          <w:p w14:paraId="20D5C9F4"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(£162,500)</w:t>
            </w:r>
          </w:p>
        </w:tc>
        <w:tc>
          <w:tcPr>
            <w:tcW w:w="0" w:type="auto"/>
            <w:hideMark/>
          </w:tcPr>
          <w:p w14:paraId="44B1631E"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(£60,000)</w:t>
            </w:r>
          </w:p>
        </w:tc>
        <w:tc>
          <w:tcPr>
            <w:tcW w:w="0" w:type="auto"/>
            <w:hideMark/>
          </w:tcPr>
          <w:p w14:paraId="643448B1"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£200,000</w:t>
            </w:r>
          </w:p>
        </w:tc>
        <w:tc>
          <w:tcPr>
            <w:tcW w:w="0" w:type="auto"/>
            <w:hideMark/>
          </w:tcPr>
          <w:p w14:paraId="44D5A37D"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£300,000</w:t>
            </w:r>
          </w:p>
        </w:tc>
        <w:tc>
          <w:tcPr>
            <w:tcW w:w="0" w:type="auto"/>
            <w:hideMark/>
          </w:tcPr>
          <w:p w14:paraId="52EDCF8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£340,000</w:t>
            </w:r>
          </w:p>
        </w:tc>
      </w:tr>
      <w:tr w:rsidR="002956B1" w:rsidRPr="00390868" w14:paraId="2C25B7C8" w14:textId="77777777" w:rsidTr="00295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2F5E51" w14:textId="77777777" w:rsidR="002956B1" w:rsidRPr="00390868" w:rsidRDefault="002956B1" w:rsidP="00905241">
            <w:pPr>
              <w:spacing w:after="160" w:line="360" w:lineRule="auto"/>
              <w:rPr>
                <w:rFonts w:ascii="Arial" w:hAnsi="Arial" w:cs="Arial"/>
              </w:rPr>
            </w:pPr>
            <w:r w:rsidRPr="00390868">
              <w:rPr>
                <w:rFonts w:ascii="Arial" w:hAnsi="Arial" w:cs="Arial"/>
              </w:rPr>
              <w:t>Corporation Tax @ 25%</w:t>
            </w:r>
          </w:p>
        </w:tc>
        <w:tc>
          <w:tcPr>
            <w:tcW w:w="0" w:type="auto"/>
            <w:hideMark/>
          </w:tcPr>
          <w:p w14:paraId="264201C6"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4D4AD32F"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4A948C23"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3FD1014B"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£75,000</w:t>
            </w:r>
          </w:p>
        </w:tc>
        <w:tc>
          <w:tcPr>
            <w:tcW w:w="0" w:type="auto"/>
            <w:hideMark/>
          </w:tcPr>
          <w:p w14:paraId="502B6746" w14:textId="77777777" w:rsidR="002956B1" w:rsidRPr="00390868" w:rsidRDefault="002956B1"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£85,000</w:t>
            </w:r>
          </w:p>
        </w:tc>
      </w:tr>
      <w:tr w:rsidR="002956B1" w:rsidRPr="00390868" w14:paraId="42E9D6E8" w14:textId="77777777" w:rsidTr="002956B1">
        <w:tc>
          <w:tcPr>
            <w:cnfStyle w:val="001000000000" w:firstRow="0" w:lastRow="0" w:firstColumn="1" w:lastColumn="0" w:oddVBand="0" w:evenVBand="0" w:oddHBand="0" w:evenHBand="0" w:firstRowFirstColumn="0" w:firstRowLastColumn="0" w:lastRowFirstColumn="0" w:lastRowLastColumn="0"/>
            <w:tcW w:w="0" w:type="auto"/>
            <w:hideMark/>
          </w:tcPr>
          <w:p w14:paraId="3E0834D8" w14:textId="77777777" w:rsidR="002956B1" w:rsidRPr="00390868" w:rsidRDefault="002956B1" w:rsidP="00905241">
            <w:pPr>
              <w:spacing w:after="160" w:line="360" w:lineRule="auto"/>
              <w:rPr>
                <w:rFonts w:ascii="Arial" w:hAnsi="Arial" w:cs="Arial"/>
              </w:rPr>
            </w:pPr>
            <w:r w:rsidRPr="00390868">
              <w:rPr>
                <w:rFonts w:ascii="Arial" w:hAnsi="Arial" w:cs="Arial"/>
              </w:rPr>
              <w:t>Net Profit/(Loss)</w:t>
            </w:r>
          </w:p>
        </w:tc>
        <w:tc>
          <w:tcPr>
            <w:tcW w:w="0" w:type="auto"/>
            <w:hideMark/>
          </w:tcPr>
          <w:p w14:paraId="5BE01D5B"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(£162,500)</w:t>
            </w:r>
          </w:p>
        </w:tc>
        <w:tc>
          <w:tcPr>
            <w:tcW w:w="0" w:type="auto"/>
            <w:hideMark/>
          </w:tcPr>
          <w:p w14:paraId="3FD31290"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(£60,000)</w:t>
            </w:r>
          </w:p>
        </w:tc>
        <w:tc>
          <w:tcPr>
            <w:tcW w:w="0" w:type="auto"/>
            <w:hideMark/>
          </w:tcPr>
          <w:p w14:paraId="1F7BE45F"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£150,000</w:t>
            </w:r>
          </w:p>
        </w:tc>
        <w:tc>
          <w:tcPr>
            <w:tcW w:w="0" w:type="auto"/>
            <w:hideMark/>
          </w:tcPr>
          <w:p w14:paraId="6EF4E3FB"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£225,000</w:t>
            </w:r>
          </w:p>
        </w:tc>
        <w:tc>
          <w:tcPr>
            <w:tcW w:w="0" w:type="auto"/>
            <w:hideMark/>
          </w:tcPr>
          <w:p w14:paraId="43DAFB5C" w14:textId="77777777" w:rsidR="002956B1" w:rsidRPr="00390868" w:rsidRDefault="002956B1"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£255,000</w:t>
            </w:r>
          </w:p>
        </w:tc>
      </w:tr>
    </w:tbl>
    <w:p w14:paraId="3770A101" w14:textId="77777777" w:rsidR="002956B1" w:rsidRPr="00390868" w:rsidRDefault="002956B1" w:rsidP="00905241">
      <w:pPr>
        <w:spacing w:line="360" w:lineRule="auto"/>
        <w:rPr>
          <w:rFonts w:ascii="Arial" w:hAnsi="Arial" w:cs="Arial"/>
        </w:rPr>
      </w:pPr>
    </w:p>
    <w:p w14:paraId="116E33EC" w14:textId="77777777" w:rsidR="001510ED" w:rsidRPr="00390868" w:rsidRDefault="001510ED" w:rsidP="00905241">
      <w:pPr>
        <w:spacing w:line="360" w:lineRule="auto"/>
        <w:rPr>
          <w:rFonts w:ascii="Arial" w:hAnsi="Arial" w:cs="Arial"/>
          <w:b/>
          <w:bCs/>
        </w:rPr>
      </w:pPr>
      <w:r w:rsidRPr="00390868">
        <w:rPr>
          <w:rFonts w:ascii="Arial" w:hAnsi="Arial" w:cs="Arial"/>
          <w:b/>
          <w:bCs/>
        </w:rPr>
        <w:t>E2: Opening Balance Sheet</w:t>
      </w:r>
    </w:p>
    <w:tbl>
      <w:tblPr>
        <w:tblStyle w:val="PlainTable1"/>
        <w:tblW w:w="0" w:type="auto"/>
        <w:tblLook w:val="04A0" w:firstRow="1" w:lastRow="0" w:firstColumn="1" w:lastColumn="0" w:noHBand="0" w:noVBand="1"/>
      </w:tblPr>
      <w:tblGrid>
        <w:gridCol w:w="3033"/>
        <w:gridCol w:w="1134"/>
        <w:gridCol w:w="3345"/>
        <w:gridCol w:w="1134"/>
      </w:tblGrid>
      <w:tr w:rsidR="00AF60B6" w:rsidRPr="00390868" w14:paraId="6EBD3103" w14:textId="77777777" w:rsidTr="00AF60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82AF4B" w14:textId="77777777" w:rsidR="00AF60B6" w:rsidRPr="00390868" w:rsidRDefault="00AF60B6" w:rsidP="00905241">
            <w:pPr>
              <w:spacing w:after="160" w:line="360" w:lineRule="auto"/>
              <w:rPr>
                <w:rFonts w:ascii="Arial" w:hAnsi="Arial" w:cs="Arial"/>
              </w:rPr>
            </w:pPr>
            <w:r w:rsidRPr="00390868">
              <w:rPr>
                <w:rFonts w:ascii="Arial" w:hAnsi="Arial" w:cs="Arial"/>
              </w:rPr>
              <w:t>ASSETS</w:t>
            </w:r>
          </w:p>
        </w:tc>
        <w:tc>
          <w:tcPr>
            <w:tcW w:w="0" w:type="auto"/>
            <w:hideMark/>
          </w:tcPr>
          <w:p w14:paraId="398B9974" w14:textId="77777777" w:rsidR="00AF60B6" w:rsidRPr="00390868" w:rsidRDefault="00AF60B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B8ABC60" w14:textId="77777777" w:rsidR="00AF60B6" w:rsidRPr="00390868" w:rsidRDefault="00AF60B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LIABILITIES &amp; EQUITY</w:t>
            </w:r>
          </w:p>
        </w:tc>
        <w:tc>
          <w:tcPr>
            <w:tcW w:w="0" w:type="auto"/>
            <w:hideMark/>
          </w:tcPr>
          <w:p w14:paraId="5469826B" w14:textId="77777777" w:rsidR="00AF60B6" w:rsidRPr="00390868" w:rsidRDefault="00AF60B6"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AF60B6" w:rsidRPr="00390868" w14:paraId="130CBF3D"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0E40BD" w14:textId="77777777" w:rsidR="00AF60B6" w:rsidRPr="00390868" w:rsidRDefault="00AF60B6" w:rsidP="00905241">
            <w:pPr>
              <w:spacing w:after="160" w:line="360" w:lineRule="auto"/>
              <w:rPr>
                <w:rFonts w:ascii="Arial" w:hAnsi="Arial" w:cs="Arial"/>
              </w:rPr>
            </w:pPr>
            <w:r w:rsidRPr="00390868">
              <w:rPr>
                <w:rFonts w:ascii="Arial" w:hAnsi="Arial" w:cs="Arial"/>
              </w:rPr>
              <w:t>Current Assets</w:t>
            </w:r>
          </w:p>
        </w:tc>
        <w:tc>
          <w:tcPr>
            <w:tcW w:w="0" w:type="auto"/>
            <w:hideMark/>
          </w:tcPr>
          <w:p w14:paraId="1CD68E38"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E1AC20C"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Current Liabilities</w:t>
            </w:r>
          </w:p>
        </w:tc>
        <w:tc>
          <w:tcPr>
            <w:tcW w:w="0" w:type="auto"/>
            <w:hideMark/>
          </w:tcPr>
          <w:p w14:paraId="1393400C"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F60B6" w:rsidRPr="00390868" w14:paraId="419308C3"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6B114772" w14:textId="77777777" w:rsidR="00AF60B6" w:rsidRPr="00390868" w:rsidRDefault="00AF60B6" w:rsidP="00905241">
            <w:pPr>
              <w:spacing w:after="160" w:line="360" w:lineRule="auto"/>
              <w:rPr>
                <w:rFonts w:ascii="Arial" w:hAnsi="Arial" w:cs="Arial"/>
              </w:rPr>
            </w:pPr>
            <w:r w:rsidRPr="00390868">
              <w:rPr>
                <w:rFonts w:ascii="Arial" w:hAnsi="Arial" w:cs="Arial"/>
              </w:rPr>
              <w:t>Cash</w:t>
            </w:r>
          </w:p>
        </w:tc>
        <w:tc>
          <w:tcPr>
            <w:tcW w:w="0" w:type="auto"/>
            <w:hideMark/>
          </w:tcPr>
          <w:p w14:paraId="10EEDAC6"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£400,000</w:t>
            </w:r>
          </w:p>
        </w:tc>
        <w:tc>
          <w:tcPr>
            <w:tcW w:w="0" w:type="auto"/>
            <w:hideMark/>
          </w:tcPr>
          <w:p w14:paraId="364BA93C"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Trade Payables</w:t>
            </w:r>
          </w:p>
        </w:tc>
        <w:tc>
          <w:tcPr>
            <w:tcW w:w="0" w:type="auto"/>
            <w:hideMark/>
          </w:tcPr>
          <w:p w14:paraId="0FA82B55"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£0</w:t>
            </w:r>
          </w:p>
        </w:tc>
      </w:tr>
      <w:tr w:rsidR="00AF60B6" w:rsidRPr="00390868" w14:paraId="397B007C"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C3F31D" w14:textId="77777777" w:rsidR="00AF60B6" w:rsidRPr="00390868" w:rsidRDefault="00AF60B6" w:rsidP="00905241">
            <w:pPr>
              <w:spacing w:after="160" w:line="360" w:lineRule="auto"/>
              <w:rPr>
                <w:rFonts w:ascii="Arial" w:hAnsi="Arial" w:cs="Arial"/>
              </w:rPr>
            </w:pPr>
            <w:r w:rsidRPr="00390868">
              <w:rPr>
                <w:rFonts w:ascii="Arial" w:hAnsi="Arial" w:cs="Arial"/>
              </w:rPr>
              <w:t>Inventory</w:t>
            </w:r>
          </w:p>
        </w:tc>
        <w:tc>
          <w:tcPr>
            <w:tcW w:w="0" w:type="auto"/>
            <w:hideMark/>
          </w:tcPr>
          <w:p w14:paraId="385263F2"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4BD10E89"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Short-term Debt</w:t>
            </w:r>
          </w:p>
        </w:tc>
        <w:tc>
          <w:tcPr>
            <w:tcW w:w="0" w:type="auto"/>
            <w:hideMark/>
          </w:tcPr>
          <w:p w14:paraId="2E276C85"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r>
      <w:tr w:rsidR="00AF60B6" w:rsidRPr="00390868" w14:paraId="0AE95FA0"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3ECE6A8A" w14:textId="77777777" w:rsidR="00AF60B6" w:rsidRPr="00390868" w:rsidRDefault="00AF60B6" w:rsidP="00905241">
            <w:pPr>
              <w:spacing w:after="160" w:line="360" w:lineRule="auto"/>
              <w:rPr>
                <w:rFonts w:ascii="Arial" w:hAnsi="Arial" w:cs="Arial"/>
              </w:rPr>
            </w:pPr>
            <w:r w:rsidRPr="00390868">
              <w:rPr>
                <w:rFonts w:ascii="Arial" w:hAnsi="Arial" w:cs="Arial"/>
              </w:rPr>
              <w:t>Total Current Assets</w:t>
            </w:r>
          </w:p>
        </w:tc>
        <w:tc>
          <w:tcPr>
            <w:tcW w:w="0" w:type="auto"/>
            <w:hideMark/>
          </w:tcPr>
          <w:p w14:paraId="0FDA13A4"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£450,000</w:t>
            </w:r>
          </w:p>
        </w:tc>
        <w:tc>
          <w:tcPr>
            <w:tcW w:w="0" w:type="auto"/>
            <w:hideMark/>
          </w:tcPr>
          <w:p w14:paraId="3C303672"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Total Current Liabilities</w:t>
            </w:r>
          </w:p>
        </w:tc>
        <w:tc>
          <w:tcPr>
            <w:tcW w:w="0" w:type="auto"/>
            <w:hideMark/>
          </w:tcPr>
          <w:p w14:paraId="20A59247"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£0</w:t>
            </w:r>
          </w:p>
        </w:tc>
      </w:tr>
      <w:tr w:rsidR="00AF60B6" w:rsidRPr="00390868" w14:paraId="43F5EDF1"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62896" w14:textId="77777777" w:rsidR="00AF60B6" w:rsidRPr="00390868" w:rsidRDefault="00AF60B6" w:rsidP="00905241">
            <w:pPr>
              <w:spacing w:after="160" w:line="360" w:lineRule="auto"/>
              <w:rPr>
                <w:rFonts w:ascii="Arial" w:hAnsi="Arial" w:cs="Arial"/>
              </w:rPr>
            </w:pPr>
            <w:r w:rsidRPr="00390868">
              <w:rPr>
                <w:rFonts w:ascii="Arial" w:hAnsi="Arial" w:cs="Arial"/>
              </w:rPr>
              <w:t>Non-Current Assets</w:t>
            </w:r>
          </w:p>
        </w:tc>
        <w:tc>
          <w:tcPr>
            <w:tcW w:w="0" w:type="auto"/>
            <w:hideMark/>
          </w:tcPr>
          <w:p w14:paraId="254FC375"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00A257E"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Non-Current Liabilities</w:t>
            </w:r>
          </w:p>
        </w:tc>
        <w:tc>
          <w:tcPr>
            <w:tcW w:w="0" w:type="auto"/>
            <w:hideMark/>
          </w:tcPr>
          <w:p w14:paraId="204CF8EA"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F60B6" w:rsidRPr="00390868" w14:paraId="49983D2A"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4CB62239" w14:textId="77777777" w:rsidR="00AF60B6" w:rsidRPr="00390868" w:rsidRDefault="00AF60B6" w:rsidP="00905241">
            <w:pPr>
              <w:spacing w:after="160" w:line="360" w:lineRule="auto"/>
              <w:rPr>
                <w:rFonts w:ascii="Arial" w:hAnsi="Arial" w:cs="Arial"/>
              </w:rPr>
            </w:pPr>
            <w:r w:rsidRPr="00390868">
              <w:rPr>
                <w:rFonts w:ascii="Arial" w:hAnsi="Arial" w:cs="Arial"/>
              </w:rPr>
              <w:t>Property &amp; Equipment</w:t>
            </w:r>
          </w:p>
        </w:tc>
        <w:tc>
          <w:tcPr>
            <w:tcW w:w="0" w:type="auto"/>
            <w:hideMark/>
          </w:tcPr>
          <w:p w14:paraId="024BBF39"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£490,000</w:t>
            </w:r>
          </w:p>
        </w:tc>
        <w:tc>
          <w:tcPr>
            <w:tcW w:w="0" w:type="auto"/>
            <w:hideMark/>
          </w:tcPr>
          <w:p w14:paraId="2EF3B15E"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Long-term Debt</w:t>
            </w:r>
          </w:p>
        </w:tc>
        <w:tc>
          <w:tcPr>
            <w:tcW w:w="0" w:type="auto"/>
            <w:hideMark/>
          </w:tcPr>
          <w:p w14:paraId="55E83DD0"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£240,000</w:t>
            </w:r>
          </w:p>
        </w:tc>
      </w:tr>
      <w:tr w:rsidR="00AF60B6" w:rsidRPr="00390868" w14:paraId="0595BE96"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6F3D9C" w14:textId="77777777" w:rsidR="00AF60B6" w:rsidRPr="00390868" w:rsidRDefault="00AF60B6" w:rsidP="00905241">
            <w:pPr>
              <w:spacing w:after="160" w:line="360" w:lineRule="auto"/>
              <w:rPr>
                <w:rFonts w:ascii="Arial" w:hAnsi="Arial" w:cs="Arial"/>
              </w:rPr>
            </w:pPr>
            <w:r w:rsidRPr="00390868">
              <w:rPr>
                <w:rFonts w:ascii="Arial" w:hAnsi="Arial" w:cs="Arial"/>
              </w:rPr>
              <w:t>Less: Accum. Depreciation</w:t>
            </w:r>
          </w:p>
        </w:tc>
        <w:tc>
          <w:tcPr>
            <w:tcW w:w="0" w:type="auto"/>
            <w:hideMark/>
          </w:tcPr>
          <w:p w14:paraId="769B8334"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c>
          <w:tcPr>
            <w:tcW w:w="0" w:type="auto"/>
            <w:hideMark/>
          </w:tcPr>
          <w:p w14:paraId="470553B5"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Total Liabilities</w:t>
            </w:r>
          </w:p>
        </w:tc>
        <w:tc>
          <w:tcPr>
            <w:tcW w:w="0" w:type="auto"/>
            <w:hideMark/>
          </w:tcPr>
          <w:p w14:paraId="32691D4C"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£240,000</w:t>
            </w:r>
          </w:p>
        </w:tc>
      </w:tr>
      <w:tr w:rsidR="00AF60B6" w:rsidRPr="00390868" w14:paraId="69F9B04A"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5CBD2907" w14:textId="77777777" w:rsidR="00AF60B6" w:rsidRPr="00390868" w:rsidRDefault="00AF60B6" w:rsidP="00905241">
            <w:pPr>
              <w:spacing w:after="160" w:line="360" w:lineRule="auto"/>
              <w:rPr>
                <w:rFonts w:ascii="Arial" w:hAnsi="Arial" w:cs="Arial"/>
              </w:rPr>
            </w:pPr>
            <w:r w:rsidRPr="00390868">
              <w:rPr>
                <w:rFonts w:ascii="Arial" w:hAnsi="Arial" w:cs="Arial"/>
              </w:rPr>
              <w:t>Net Fixed Assets</w:t>
            </w:r>
          </w:p>
        </w:tc>
        <w:tc>
          <w:tcPr>
            <w:tcW w:w="0" w:type="auto"/>
            <w:hideMark/>
          </w:tcPr>
          <w:p w14:paraId="5FDBD5A5"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£490,000</w:t>
            </w:r>
          </w:p>
        </w:tc>
        <w:tc>
          <w:tcPr>
            <w:tcW w:w="0" w:type="auto"/>
            <w:hideMark/>
          </w:tcPr>
          <w:p w14:paraId="0FA00E8F"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Equity</w:t>
            </w:r>
          </w:p>
        </w:tc>
        <w:tc>
          <w:tcPr>
            <w:tcW w:w="0" w:type="auto"/>
            <w:hideMark/>
          </w:tcPr>
          <w:p w14:paraId="0A5B41D8"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F60B6" w:rsidRPr="00390868" w14:paraId="47A9575C"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ED0942" w14:textId="77777777" w:rsidR="00AF60B6" w:rsidRPr="00390868" w:rsidRDefault="00AF60B6" w:rsidP="00905241">
            <w:pPr>
              <w:spacing w:after="160" w:line="360" w:lineRule="auto"/>
              <w:rPr>
                <w:rFonts w:ascii="Arial" w:hAnsi="Arial" w:cs="Arial"/>
              </w:rPr>
            </w:pPr>
          </w:p>
        </w:tc>
        <w:tc>
          <w:tcPr>
            <w:tcW w:w="0" w:type="auto"/>
            <w:hideMark/>
          </w:tcPr>
          <w:p w14:paraId="628904E9"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D8E59FA"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Share Capital</w:t>
            </w:r>
          </w:p>
        </w:tc>
        <w:tc>
          <w:tcPr>
            <w:tcW w:w="0" w:type="auto"/>
            <w:hideMark/>
          </w:tcPr>
          <w:p w14:paraId="191EA4EA"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£250,000</w:t>
            </w:r>
          </w:p>
        </w:tc>
      </w:tr>
      <w:tr w:rsidR="00AF60B6" w:rsidRPr="00390868" w14:paraId="74680434"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468940A9" w14:textId="77777777" w:rsidR="00AF60B6" w:rsidRPr="00390868" w:rsidRDefault="00AF60B6" w:rsidP="00905241">
            <w:pPr>
              <w:spacing w:after="160" w:line="360" w:lineRule="auto"/>
              <w:rPr>
                <w:rFonts w:ascii="Arial" w:hAnsi="Arial" w:cs="Arial"/>
              </w:rPr>
            </w:pPr>
          </w:p>
        </w:tc>
        <w:tc>
          <w:tcPr>
            <w:tcW w:w="0" w:type="auto"/>
            <w:hideMark/>
          </w:tcPr>
          <w:p w14:paraId="1A825DE0"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65822FC"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SEIS/EIS Investment</w:t>
            </w:r>
          </w:p>
        </w:tc>
        <w:tc>
          <w:tcPr>
            <w:tcW w:w="0" w:type="auto"/>
            <w:hideMark/>
          </w:tcPr>
          <w:p w14:paraId="4E42D166"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£450,000</w:t>
            </w:r>
          </w:p>
        </w:tc>
      </w:tr>
      <w:tr w:rsidR="00AF60B6" w:rsidRPr="00390868" w14:paraId="684CB302"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762A0A" w14:textId="77777777" w:rsidR="00AF60B6" w:rsidRPr="00390868" w:rsidRDefault="00AF60B6" w:rsidP="00905241">
            <w:pPr>
              <w:spacing w:after="160" w:line="360" w:lineRule="auto"/>
              <w:rPr>
                <w:rFonts w:ascii="Arial" w:hAnsi="Arial" w:cs="Arial"/>
              </w:rPr>
            </w:pPr>
          </w:p>
        </w:tc>
        <w:tc>
          <w:tcPr>
            <w:tcW w:w="0" w:type="auto"/>
            <w:hideMark/>
          </w:tcPr>
          <w:p w14:paraId="313791E2"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BE4532F"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Retained Earnings</w:t>
            </w:r>
          </w:p>
        </w:tc>
        <w:tc>
          <w:tcPr>
            <w:tcW w:w="0" w:type="auto"/>
            <w:hideMark/>
          </w:tcPr>
          <w:p w14:paraId="415801E0"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£0</w:t>
            </w:r>
          </w:p>
        </w:tc>
      </w:tr>
      <w:tr w:rsidR="00AF60B6" w:rsidRPr="00390868" w14:paraId="52D29D45" w14:textId="77777777" w:rsidTr="00AF60B6">
        <w:tc>
          <w:tcPr>
            <w:cnfStyle w:val="001000000000" w:firstRow="0" w:lastRow="0" w:firstColumn="1" w:lastColumn="0" w:oddVBand="0" w:evenVBand="0" w:oddHBand="0" w:evenHBand="0" w:firstRowFirstColumn="0" w:firstRowLastColumn="0" w:lastRowFirstColumn="0" w:lastRowLastColumn="0"/>
            <w:tcW w:w="0" w:type="auto"/>
            <w:hideMark/>
          </w:tcPr>
          <w:p w14:paraId="617C3C40" w14:textId="77777777" w:rsidR="00AF60B6" w:rsidRPr="00390868" w:rsidRDefault="00AF60B6" w:rsidP="00905241">
            <w:pPr>
              <w:spacing w:after="160" w:line="360" w:lineRule="auto"/>
              <w:rPr>
                <w:rFonts w:ascii="Arial" w:hAnsi="Arial" w:cs="Arial"/>
              </w:rPr>
            </w:pPr>
          </w:p>
        </w:tc>
        <w:tc>
          <w:tcPr>
            <w:tcW w:w="0" w:type="auto"/>
            <w:hideMark/>
          </w:tcPr>
          <w:p w14:paraId="76204BFF"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010734A"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Total Equity</w:t>
            </w:r>
          </w:p>
        </w:tc>
        <w:tc>
          <w:tcPr>
            <w:tcW w:w="0" w:type="auto"/>
            <w:hideMark/>
          </w:tcPr>
          <w:p w14:paraId="2223CF40" w14:textId="77777777" w:rsidR="00AF60B6" w:rsidRPr="00390868" w:rsidRDefault="00AF60B6"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£700,000</w:t>
            </w:r>
          </w:p>
        </w:tc>
      </w:tr>
      <w:tr w:rsidR="00AF60B6" w:rsidRPr="00390868" w14:paraId="39B3CD98" w14:textId="77777777" w:rsidTr="00AF6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E843CB" w14:textId="77777777" w:rsidR="00AF60B6" w:rsidRPr="00390868" w:rsidRDefault="00AF60B6" w:rsidP="00905241">
            <w:pPr>
              <w:spacing w:after="160" w:line="360" w:lineRule="auto"/>
              <w:rPr>
                <w:rFonts w:ascii="Arial" w:hAnsi="Arial" w:cs="Arial"/>
              </w:rPr>
            </w:pPr>
            <w:r w:rsidRPr="00390868">
              <w:rPr>
                <w:rFonts w:ascii="Arial" w:hAnsi="Arial" w:cs="Arial"/>
              </w:rPr>
              <w:t>TOTAL ASSETS</w:t>
            </w:r>
          </w:p>
        </w:tc>
        <w:tc>
          <w:tcPr>
            <w:tcW w:w="0" w:type="auto"/>
            <w:hideMark/>
          </w:tcPr>
          <w:p w14:paraId="0D7DB9E3"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£940,000</w:t>
            </w:r>
          </w:p>
        </w:tc>
        <w:tc>
          <w:tcPr>
            <w:tcW w:w="0" w:type="auto"/>
            <w:hideMark/>
          </w:tcPr>
          <w:p w14:paraId="2B50E5C0"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TOTAL LIABILITIES &amp; EQUITY</w:t>
            </w:r>
          </w:p>
        </w:tc>
        <w:tc>
          <w:tcPr>
            <w:tcW w:w="0" w:type="auto"/>
            <w:hideMark/>
          </w:tcPr>
          <w:p w14:paraId="598AB7A3" w14:textId="77777777" w:rsidR="00AF60B6" w:rsidRPr="00390868" w:rsidRDefault="00AF60B6"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£940,000</w:t>
            </w:r>
          </w:p>
        </w:tc>
      </w:tr>
    </w:tbl>
    <w:p w14:paraId="25276977" w14:textId="77777777" w:rsidR="002956B1" w:rsidRPr="00390868" w:rsidRDefault="002956B1" w:rsidP="00905241">
      <w:pPr>
        <w:spacing w:line="360" w:lineRule="auto"/>
        <w:rPr>
          <w:rFonts w:ascii="Arial" w:hAnsi="Arial" w:cs="Arial"/>
        </w:rPr>
      </w:pPr>
    </w:p>
    <w:p w14:paraId="41F132FB" w14:textId="77777777" w:rsidR="001510ED" w:rsidRPr="00390868" w:rsidRDefault="001510ED" w:rsidP="00905241">
      <w:pPr>
        <w:spacing w:line="360" w:lineRule="auto"/>
        <w:rPr>
          <w:rFonts w:ascii="Arial" w:hAnsi="Arial" w:cs="Arial"/>
          <w:b/>
          <w:bCs/>
        </w:rPr>
      </w:pPr>
      <w:r w:rsidRPr="00390868">
        <w:rPr>
          <w:rFonts w:ascii="Arial" w:hAnsi="Arial" w:cs="Arial"/>
          <w:b/>
          <w:bCs/>
        </w:rPr>
        <w:t>E3: Start-Up Cost Breakdown</w:t>
      </w:r>
    </w:p>
    <w:tbl>
      <w:tblPr>
        <w:tblStyle w:val="PlainTable1"/>
        <w:tblW w:w="0" w:type="auto"/>
        <w:tblLook w:val="04A0" w:firstRow="1" w:lastRow="0" w:firstColumn="1" w:lastColumn="0" w:noHBand="0" w:noVBand="1"/>
      </w:tblPr>
      <w:tblGrid>
        <w:gridCol w:w="4128"/>
        <w:gridCol w:w="1134"/>
        <w:gridCol w:w="1280"/>
        <w:gridCol w:w="2283"/>
      </w:tblGrid>
      <w:tr w:rsidR="002615B4" w:rsidRPr="00390868" w14:paraId="0D37287A" w14:textId="77777777" w:rsidTr="002615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A7919" w14:textId="77777777" w:rsidR="002615B4" w:rsidRPr="00390868" w:rsidRDefault="002615B4" w:rsidP="00905241">
            <w:pPr>
              <w:spacing w:after="160" w:line="360" w:lineRule="auto"/>
              <w:rPr>
                <w:rFonts w:ascii="Arial" w:hAnsi="Arial" w:cs="Arial"/>
              </w:rPr>
            </w:pPr>
            <w:r w:rsidRPr="00390868">
              <w:rPr>
                <w:rFonts w:ascii="Arial" w:hAnsi="Arial" w:cs="Arial"/>
              </w:rPr>
              <w:t>ategory</w:t>
            </w:r>
          </w:p>
        </w:tc>
        <w:tc>
          <w:tcPr>
            <w:tcW w:w="0" w:type="auto"/>
            <w:hideMark/>
          </w:tcPr>
          <w:p w14:paraId="40A46D1A" w14:textId="77777777" w:rsidR="002615B4" w:rsidRPr="00390868" w:rsidRDefault="002615B4"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Amount</w:t>
            </w:r>
          </w:p>
        </w:tc>
        <w:tc>
          <w:tcPr>
            <w:tcW w:w="0" w:type="auto"/>
            <w:hideMark/>
          </w:tcPr>
          <w:p w14:paraId="7EFA610C" w14:textId="77777777" w:rsidR="002615B4" w:rsidRPr="00390868" w:rsidRDefault="002615B4"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Timing</w:t>
            </w:r>
          </w:p>
        </w:tc>
        <w:tc>
          <w:tcPr>
            <w:tcW w:w="0" w:type="auto"/>
            <w:hideMark/>
          </w:tcPr>
          <w:p w14:paraId="666A0B0F" w14:textId="77777777" w:rsidR="002615B4" w:rsidRPr="00390868" w:rsidRDefault="002615B4"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Funding Source</w:t>
            </w:r>
          </w:p>
        </w:tc>
      </w:tr>
      <w:tr w:rsidR="002615B4" w:rsidRPr="00390868" w14:paraId="71C83D4D"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8849F" w14:textId="77777777" w:rsidR="002615B4" w:rsidRPr="00390868" w:rsidRDefault="002615B4" w:rsidP="00905241">
            <w:pPr>
              <w:spacing w:after="160" w:line="360" w:lineRule="auto"/>
              <w:rPr>
                <w:rFonts w:ascii="Arial" w:hAnsi="Arial" w:cs="Arial"/>
              </w:rPr>
            </w:pPr>
            <w:r w:rsidRPr="00390868">
              <w:rPr>
                <w:rFonts w:ascii="Arial" w:hAnsi="Arial" w:cs="Arial"/>
              </w:rPr>
              <w:t>Capital Expenditure</w:t>
            </w:r>
          </w:p>
        </w:tc>
        <w:tc>
          <w:tcPr>
            <w:tcW w:w="0" w:type="auto"/>
            <w:hideMark/>
          </w:tcPr>
          <w:p w14:paraId="7FA4995B"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89C30D7"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B0AA0D1"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615B4" w:rsidRPr="00390868" w14:paraId="7CD9E8B7"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29E4A8D6" w14:textId="77777777" w:rsidR="002615B4" w:rsidRPr="00390868" w:rsidRDefault="002615B4" w:rsidP="00905241">
            <w:pPr>
              <w:spacing w:after="160" w:line="360" w:lineRule="auto"/>
              <w:rPr>
                <w:rFonts w:ascii="Arial" w:hAnsi="Arial" w:cs="Arial"/>
              </w:rPr>
            </w:pPr>
            <w:r w:rsidRPr="00390868">
              <w:rPr>
                <w:rFonts w:ascii="Arial" w:hAnsi="Arial" w:cs="Arial"/>
              </w:rPr>
              <w:t>Estate Fit-Out &amp; Infrastructure</w:t>
            </w:r>
          </w:p>
        </w:tc>
        <w:tc>
          <w:tcPr>
            <w:tcW w:w="0" w:type="auto"/>
            <w:hideMark/>
          </w:tcPr>
          <w:p w14:paraId="442DE8F1"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£180,000</w:t>
            </w:r>
          </w:p>
        </w:tc>
        <w:tc>
          <w:tcPr>
            <w:tcW w:w="0" w:type="auto"/>
            <w:hideMark/>
          </w:tcPr>
          <w:p w14:paraId="304E3F2B"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1-3</w:t>
            </w:r>
          </w:p>
        </w:tc>
        <w:tc>
          <w:tcPr>
            <w:tcW w:w="0" w:type="auto"/>
            <w:hideMark/>
          </w:tcPr>
          <w:p w14:paraId="44DA1163"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Founder Equity</w:t>
            </w:r>
          </w:p>
        </w:tc>
      </w:tr>
      <w:tr w:rsidR="002615B4" w:rsidRPr="00390868" w14:paraId="4E08860B"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C1A7F2" w14:textId="77777777" w:rsidR="002615B4" w:rsidRPr="00390868" w:rsidRDefault="002615B4" w:rsidP="00905241">
            <w:pPr>
              <w:spacing w:after="160" w:line="360" w:lineRule="auto"/>
              <w:rPr>
                <w:rFonts w:ascii="Arial" w:hAnsi="Arial" w:cs="Arial"/>
              </w:rPr>
            </w:pPr>
            <w:r w:rsidRPr="00390868">
              <w:rPr>
                <w:rFonts w:ascii="Arial" w:hAnsi="Arial" w:cs="Arial"/>
              </w:rPr>
              <w:t>MOT Testing Unit (DVSA Class 4)</w:t>
            </w:r>
          </w:p>
        </w:tc>
        <w:tc>
          <w:tcPr>
            <w:tcW w:w="0" w:type="auto"/>
            <w:hideMark/>
          </w:tcPr>
          <w:p w14:paraId="7654C54E"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£60,000</w:t>
            </w:r>
          </w:p>
        </w:tc>
        <w:tc>
          <w:tcPr>
            <w:tcW w:w="0" w:type="auto"/>
            <w:hideMark/>
          </w:tcPr>
          <w:p w14:paraId="2D222BBC"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2-3</w:t>
            </w:r>
          </w:p>
        </w:tc>
        <w:tc>
          <w:tcPr>
            <w:tcW w:w="0" w:type="auto"/>
            <w:hideMark/>
          </w:tcPr>
          <w:p w14:paraId="12F4A271"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Asset Finance</w:t>
            </w:r>
          </w:p>
        </w:tc>
      </w:tr>
      <w:tr w:rsidR="002615B4" w:rsidRPr="00390868" w14:paraId="2C27931B"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380B284B" w14:textId="77777777" w:rsidR="002615B4" w:rsidRPr="00390868" w:rsidRDefault="002615B4" w:rsidP="00905241">
            <w:pPr>
              <w:spacing w:after="160" w:line="360" w:lineRule="auto"/>
              <w:rPr>
                <w:rFonts w:ascii="Arial" w:hAnsi="Arial" w:cs="Arial"/>
              </w:rPr>
            </w:pPr>
            <w:r w:rsidRPr="00390868">
              <w:rPr>
                <w:rFonts w:ascii="Arial" w:hAnsi="Arial" w:cs="Arial"/>
              </w:rPr>
              <w:t>Mechanical &amp; Diagnostics Equipment</w:t>
            </w:r>
          </w:p>
        </w:tc>
        <w:tc>
          <w:tcPr>
            <w:tcW w:w="0" w:type="auto"/>
            <w:hideMark/>
          </w:tcPr>
          <w:p w14:paraId="1F1585FD"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17C1EBFE"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3-4</w:t>
            </w:r>
          </w:p>
        </w:tc>
        <w:tc>
          <w:tcPr>
            <w:tcW w:w="0" w:type="auto"/>
            <w:hideMark/>
          </w:tcPr>
          <w:p w14:paraId="058721C7"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Asset Finance</w:t>
            </w:r>
          </w:p>
        </w:tc>
      </w:tr>
      <w:tr w:rsidR="002615B4" w:rsidRPr="00390868" w14:paraId="4FF96ABA"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43350D" w14:textId="77777777" w:rsidR="002615B4" w:rsidRPr="00390868" w:rsidRDefault="002615B4" w:rsidP="00905241">
            <w:pPr>
              <w:spacing w:after="160" w:line="360" w:lineRule="auto"/>
              <w:rPr>
                <w:rFonts w:ascii="Arial" w:hAnsi="Arial" w:cs="Arial"/>
              </w:rPr>
            </w:pPr>
            <w:r w:rsidRPr="00390868">
              <w:rPr>
                <w:rFonts w:ascii="Arial" w:hAnsi="Arial" w:cs="Arial"/>
              </w:rPr>
              <w:t>Tyre Fitting &amp; Alignment</w:t>
            </w:r>
          </w:p>
        </w:tc>
        <w:tc>
          <w:tcPr>
            <w:tcW w:w="0" w:type="auto"/>
            <w:hideMark/>
          </w:tcPr>
          <w:p w14:paraId="7E56D6B6"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w:t>
            </w:r>
          </w:p>
        </w:tc>
        <w:tc>
          <w:tcPr>
            <w:tcW w:w="0" w:type="auto"/>
            <w:hideMark/>
          </w:tcPr>
          <w:p w14:paraId="6477FDA6"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4</w:t>
            </w:r>
          </w:p>
        </w:tc>
        <w:tc>
          <w:tcPr>
            <w:tcW w:w="0" w:type="auto"/>
            <w:hideMark/>
          </w:tcPr>
          <w:p w14:paraId="6A4ABB1E"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Asset Finance</w:t>
            </w:r>
          </w:p>
        </w:tc>
      </w:tr>
      <w:tr w:rsidR="002615B4" w:rsidRPr="00390868" w14:paraId="49D43849"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2E8052F0" w14:textId="77777777" w:rsidR="002615B4" w:rsidRPr="00390868" w:rsidRDefault="002615B4" w:rsidP="00905241">
            <w:pPr>
              <w:spacing w:after="160" w:line="360" w:lineRule="auto"/>
              <w:rPr>
                <w:rFonts w:ascii="Arial" w:hAnsi="Arial" w:cs="Arial"/>
              </w:rPr>
            </w:pPr>
            <w:r w:rsidRPr="00390868">
              <w:rPr>
                <w:rFonts w:ascii="Arial" w:hAnsi="Arial" w:cs="Arial"/>
              </w:rPr>
              <w:t>Bodywork &amp; Respray Unit</w:t>
            </w:r>
          </w:p>
        </w:tc>
        <w:tc>
          <w:tcPr>
            <w:tcW w:w="0" w:type="auto"/>
            <w:hideMark/>
          </w:tcPr>
          <w:p w14:paraId="0BFA9436"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£80,000</w:t>
            </w:r>
          </w:p>
        </w:tc>
        <w:tc>
          <w:tcPr>
            <w:tcW w:w="0" w:type="auto"/>
            <w:hideMark/>
          </w:tcPr>
          <w:p w14:paraId="271498FC"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10+</w:t>
            </w:r>
          </w:p>
        </w:tc>
        <w:tc>
          <w:tcPr>
            <w:tcW w:w="0" w:type="auto"/>
            <w:hideMark/>
          </w:tcPr>
          <w:p w14:paraId="5C3DCC51"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w:t>
            </w:r>
          </w:p>
        </w:tc>
      </w:tr>
      <w:tr w:rsidR="002615B4" w:rsidRPr="00390868" w14:paraId="6D23E61D"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8021D5" w14:textId="77777777" w:rsidR="002615B4" w:rsidRPr="00390868" w:rsidRDefault="002615B4" w:rsidP="00905241">
            <w:pPr>
              <w:spacing w:after="160" w:line="360" w:lineRule="auto"/>
              <w:rPr>
                <w:rFonts w:ascii="Arial" w:hAnsi="Arial" w:cs="Arial"/>
              </w:rPr>
            </w:pPr>
            <w:r w:rsidRPr="00390868">
              <w:rPr>
                <w:rFonts w:ascii="Arial" w:hAnsi="Arial" w:cs="Arial"/>
              </w:rPr>
              <w:t>Hybrid &amp; EV Equipment</w:t>
            </w:r>
          </w:p>
        </w:tc>
        <w:tc>
          <w:tcPr>
            <w:tcW w:w="0" w:type="auto"/>
            <w:hideMark/>
          </w:tcPr>
          <w:p w14:paraId="679ED5FF"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£25,000</w:t>
            </w:r>
          </w:p>
        </w:tc>
        <w:tc>
          <w:tcPr>
            <w:tcW w:w="0" w:type="auto"/>
            <w:hideMark/>
          </w:tcPr>
          <w:p w14:paraId="53848DF3"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10+</w:t>
            </w:r>
          </w:p>
        </w:tc>
        <w:tc>
          <w:tcPr>
            <w:tcW w:w="0" w:type="auto"/>
            <w:hideMark/>
          </w:tcPr>
          <w:p w14:paraId="1F4675DA"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Operating Cash Flow</w:t>
            </w:r>
          </w:p>
        </w:tc>
      </w:tr>
      <w:tr w:rsidR="002615B4" w:rsidRPr="00390868" w14:paraId="4516D131"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153FD00A" w14:textId="77777777" w:rsidR="002615B4" w:rsidRPr="00390868" w:rsidRDefault="002615B4" w:rsidP="00905241">
            <w:pPr>
              <w:spacing w:after="160" w:line="360" w:lineRule="auto"/>
              <w:rPr>
                <w:rFonts w:ascii="Arial" w:hAnsi="Arial" w:cs="Arial"/>
              </w:rPr>
            </w:pPr>
            <w:r w:rsidRPr="00390868">
              <w:rPr>
                <w:rFonts w:ascii="Arial" w:hAnsi="Arial" w:cs="Arial"/>
              </w:rPr>
              <w:t>Car Wash &amp; Detailing System</w:t>
            </w:r>
          </w:p>
        </w:tc>
        <w:tc>
          <w:tcPr>
            <w:tcW w:w="0" w:type="auto"/>
            <w:hideMark/>
          </w:tcPr>
          <w:p w14:paraId="4C1CB984"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0505EB67"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10+</w:t>
            </w:r>
          </w:p>
        </w:tc>
        <w:tc>
          <w:tcPr>
            <w:tcW w:w="0" w:type="auto"/>
            <w:hideMark/>
          </w:tcPr>
          <w:p w14:paraId="4F2477DA"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Operating Cash Flow</w:t>
            </w:r>
          </w:p>
        </w:tc>
      </w:tr>
      <w:tr w:rsidR="002615B4" w:rsidRPr="00390868" w14:paraId="1B0D12C9"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42D54" w14:textId="77777777" w:rsidR="002615B4" w:rsidRPr="00390868" w:rsidRDefault="002615B4" w:rsidP="00905241">
            <w:pPr>
              <w:spacing w:after="160" w:line="360" w:lineRule="auto"/>
              <w:rPr>
                <w:rFonts w:ascii="Arial" w:hAnsi="Arial" w:cs="Arial"/>
              </w:rPr>
            </w:pPr>
            <w:r w:rsidRPr="00390868">
              <w:rPr>
                <w:rFonts w:ascii="Arial" w:hAnsi="Arial" w:cs="Arial"/>
              </w:rPr>
              <w:t>Tinting Unit</w:t>
            </w:r>
          </w:p>
        </w:tc>
        <w:tc>
          <w:tcPr>
            <w:tcW w:w="0" w:type="auto"/>
            <w:hideMark/>
          </w:tcPr>
          <w:p w14:paraId="792BB1E6"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£10,000</w:t>
            </w:r>
          </w:p>
        </w:tc>
        <w:tc>
          <w:tcPr>
            <w:tcW w:w="0" w:type="auto"/>
            <w:hideMark/>
          </w:tcPr>
          <w:p w14:paraId="1C54C236"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10+</w:t>
            </w:r>
          </w:p>
        </w:tc>
        <w:tc>
          <w:tcPr>
            <w:tcW w:w="0" w:type="auto"/>
            <w:hideMark/>
          </w:tcPr>
          <w:p w14:paraId="7AAB5C9E"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Operating Cash Flow</w:t>
            </w:r>
          </w:p>
        </w:tc>
      </w:tr>
      <w:tr w:rsidR="002615B4" w:rsidRPr="00390868" w14:paraId="4B9BF817"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5F966662" w14:textId="77777777" w:rsidR="002615B4" w:rsidRPr="00390868" w:rsidRDefault="002615B4" w:rsidP="00905241">
            <w:pPr>
              <w:spacing w:after="160" w:line="360" w:lineRule="auto"/>
              <w:rPr>
                <w:rFonts w:ascii="Arial" w:hAnsi="Arial" w:cs="Arial"/>
              </w:rPr>
            </w:pPr>
            <w:r w:rsidRPr="00390868">
              <w:rPr>
                <w:rFonts w:ascii="Arial" w:hAnsi="Arial" w:cs="Arial"/>
              </w:rPr>
              <w:t>Digital &amp; IT Systems</w:t>
            </w:r>
          </w:p>
        </w:tc>
        <w:tc>
          <w:tcPr>
            <w:tcW w:w="0" w:type="auto"/>
            <w:hideMark/>
          </w:tcPr>
          <w:p w14:paraId="27E2B4BD"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£30,000</w:t>
            </w:r>
          </w:p>
        </w:tc>
        <w:tc>
          <w:tcPr>
            <w:tcW w:w="0" w:type="auto"/>
            <w:hideMark/>
          </w:tcPr>
          <w:p w14:paraId="3F3C8928"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1-6</w:t>
            </w:r>
          </w:p>
        </w:tc>
        <w:tc>
          <w:tcPr>
            <w:tcW w:w="0" w:type="auto"/>
            <w:hideMark/>
          </w:tcPr>
          <w:p w14:paraId="10669CD9"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Founder Equity</w:t>
            </w:r>
          </w:p>
        </w:tc>
      </w:tr>
      <w:tr w:rsidR="002615B4" w:rsidRPr="00390868" w14:paraId="3E7F5571"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95A3B" w14:textId="77777777" w:rsidR="002615B4" w:rsidRPr="00390868" w:rsidRDefault="002615B4" w:rsidP="00905241">
            <w:pPr>
              <w:spacing w:after="160" w:line="360" w:lineRule="auto"/>
              <w:rPr>
                <w:rFonts w:ascii="Arial" w:hAnsi="Arial" w:cs="Arial"/>
              </w:rPr>
            </w:pPr>
            <w:r w:rsidRPr="00390868">
              <w:rPr>
                <w:rFonts w:ascii="Arial" w:hAnsi="Arial" w:cs="Arial"/>
              </w:rPr>
              <w:t>Total CapEx</w:t>
            </w:r>
          </w:p>
        </w:tc>
        <w:tc>
          <w:tcPr>
            <w:tcW w:w="0" w:type="auto"/>
            <w:hideMark/>
          </w:tcPr>
          <w:p w14:paraId="65575509"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£490,000</w:t>
            </w:r>
          </w:p>
        </w:tc>
        <w:tc>
          <w:tcPr>
            <w:tcW w:w="0" w:type="auto"/>
            <w:hideMark/>
          </w:tcPr>
          <w:p w14:paraId="62661EAC"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2B3959D"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615B4" w:rsidRPr="00390868" w14:paraId="42AAE41C"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35FDACBE" w14:textId="77777777" w:rsidR="002615B4" w:rsidRPr="00390868" w:rsidRDefault="002615B4" w:rsidP="00905241">
            <w:pPr>
              <w:spacing w:after="160" w:line="360" w:lineRule="auto"/>
              <w:rPr>
                <w:rFonts w:ascii="Arial" w:hAnsi="Arial" w:cs="Arial"/>
              </w:rPr>
            </w:pPr>
            <w:r w:rsidRPr="00390868">
              <w:rPr>
                <w:rFonts w:ascii="Arial" w:hAnsi="Arial" w:cs="Arial"/>
              </w:rPr>
              <w:t>Working Capital</w:t>
            </w:r>
          </w:p>
        </w:tc>
        <w:tc>
          <w:tcPr>
            <w:tcW w:w="0" w:type="auto"/>
            <w:hideMark/>
          </w:tcPr>
          <w:p w14:paraId="5FD8B396"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76E7509"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38C9132"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615B4" w:rsidRPr="00390868" w14:paraId="2DAD9701"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DE1CF" w14:textId="77777777" w:rsidR="002615B4" w:rsidRPr="00390868" w:rsidRDefault="002615B4" w:rsidP="00905241">
            <w:pPr>
              <w:spacing w:after="160" w:line="360" w:lineRule="auto"/>
              <w:rPr>
                <w:rFonts w:ascii="Arial" w:hAnsi="Arial" w:cs="Arial"/>
              </w:rPr>
            </w:pPr>
            <w:r w:rsidRPr="00390868">
              <w:rPr>
                <w:rFonts w:ascii="Arial" w:hAnsi="Arial" w:cs="Arial"/>
              </w:rPr>
              <w:t>Operational Runway (3 months)</w:t>
            </w:r>
          </w:p>
        </w:tc>
        <w:tc>
          <w:tcPr>
            <w:tcW w:w="0" w:type="auto"/>
            <w:hideMark/>
          </w:tcPr>
          <w:p w14:paraId="16CCA1A9"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£360,000</w:t>
            </w:r>
          </w:p>
        </w:tc>
        <w:tc>
          <w:tcPr>
            <w:tcW w:w="0" w:type="auto"/>
            <w:hideMark/>
          </w:tcPr>
          <w:p w14:paraId="4362939B"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Pre-launch</w:t>
            </w:r>
          </w:p>
        </w:tc>
        <w:tc>
          <w:tcPr>
            <w:tcW w:w="0" w:type="auto"/>
            <w:hideMark/>
          </w:tcPr>
          <w:p w14:paraId="37C57887"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SEIS/EIS</w:t>
            </w:r>
          </w:p>
        </w:tc>
      </w:tr>
      <w:tr w:rsidR="002615B4" w:rsidRPr="00390868" w14:paraId="6F591370"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7786D189" w14:textId="77777777" w:rsidR="002615B4" w:rsidRPr="00390868" w:rsidRDefault="002615B4" w:rsidP="00905241">
            <w:pPr>
              <w:spacing w:after="160" w:line="360" w:lineRule="auto"/>
              <w:rPr>
                <w:rFonts w:ascii="Arial" w:hAnsi="Arial" w:cs="Arial"/>
              </w:rPr>
            </w:pPr>
            <w:r w:rsidRPr="00390868">
              <w:rPr>
                <w:rFonts w:ascii="Arial" w:hAnsi="Arial" w:cs="Arial"/>
              </w:rPr>
              <w:t>Initial Inventory</w:t>
            </w:r>
          </w:p>
        </w:tc>
        <w:tc>
          <w:tcPr>
            <w:tcW w:w="0" w:type="auto"/>
            <w:hideMark/>
          </w:tcPr>
          <w:p w14:paraId="0A215C40"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£50,000</w:t>
            </w:r>
          </w:p>
        </w:tc>
        <w:tc>
          <w:tcPr>
            <w:tcW w:w="0" w:type="auto"/>
            <w:hideMark/>
          </w:tcPr>
          <w:p w14:paraId="3CDCB0E2"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6-7</w:t>
            </w:r>
          </w:p>
        </w:tc>
        <w:tc>
          <w:tcPr>
            <w:tcW w:w="0" w:type="auto"/>
            <w:hideMark/>
          </w:tcPr>
          <w:p w14:paraId="797A9954"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SEIS/EIS</w:t>
            </w:r>
          </w:p>
        </w:tc>
      </w:tr>
      <w:tr w:rsidR="002615B4" w:rsidRPr="00390868" w14:paraId="4695083C"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BAD7E" w14:textId="77777777" w:rsidR="002615B4" w:rsidRPr="00390868" w:rsidRDefault="002615B4" w:rsidP="00905241">
            <w:pPr>
              <w:spacing w:after="160" w:line="360" w:lineRule="auto"/>
              <w:rPr>
                <w:rFonts w:ascii="Arial" w:hAnsi="Arial" w:cs="Arial"/>
              </w:rPr>
            </w:pPr>
            <w:r w:rsidRPr="00390868">
              <w:rPr>
                <w:rFonts w:ascii="Arial" w:hAnsi="Arial" w:cs="Arial"/>
              </w:rPr>
              <w:t>Launch &amp; Contingency Buffer</w:t>
            </w:r>
          </w:p>
        </w:tc>
        <w:tc>
          <w:tcPr>
            <w:tcW w:w="0" w:type="auto"/>
            <w:hideMark/>
          </w:tcPr>
          <w:p w14:paraId="3D4B93B7"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£40,000</w:t>
            </w:r>
          </w:p>
        </w:tc>
        <w:tc>
          <w:tcPr>
            <w:tcW w:w="0" w:type="auto"/>
            <w:hideMark/>
          </w:tcPr>
          <w:p w14:paraId="176E9E43"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7-9</w:t>
            </w:r>
          </w:p>
        </w:tc>
        <w:tc>
          <w:tcPr>
            <w:tcW w:w="0" w:type="auto"/>
            <w:hideMark/>
          </w:tcPr>
          <w:p w14:paraId="09BA2E76"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SEIS/EIS</w:t>
            </w:r>
          </w:p>
        </w:tc>
      </w:tr>
      <w:tr w:rsidR="002615B4" w:rsidRPr="00390868" w14:paraId="4931ED97" w14:textId="77777777" w:rsidTr="002615B4">
        <w:tc>
          <w:tcPr>
            <w:cnfStyle w:val="001000000000" w:firstRow="0" w:lastRow="0" w:firstColumn="1" w:lastColumn="0" w:oddVBand="0" w:evenVBand="0" w:oddHBand="0" w:evenHBand="0" w:firstRowFirstColumn="0" w:firstRowLastColumn="0" w:lastRowFirstColumn="0" w:lastRowLastColumn="0"/>
            <w:tcW w:w="0" w:type="auto"/>
            <w:hideMark/>
          </w:tcPr>
          <w:p w14:paraId="5E69B572" w14:textId="77777777" w:rsidR="002615B4" w:rsidRPr="00390868" w:rsidRDefault="002615B4" w:rsidP="00905241">
            <w:pPr>
              <w:spacing w:after="160" w:line="360" w:lineRule="auto"/>
              <w:rPr>
                <w:rFonts w:ascii="Arial" w:hAnsi="Arial" w:cs="Arial"/>
              </w:rPr>
            </w:pPr>
            <w:r w:rsidRPr="00390868">
              <w:rPr>
                <w:rFonts w:ascii="Arial" w:hAnsi="Arial" w:cs="Arial"/>
              </w:rPr>
              <w:t>Total Working Capital</w:t>
            </w:r>
          </w:p>
        </w:tc>
        <w:tc>
          <w:tcPr>
            <w:tcW w:w="0" w:type="auto"/>
            <w:hideMark/>
          </w:tcPr>
          <w:p w14:paraId="1862B37A"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£450,000</w:t>
            </w:r>
          </w:p>
        </w:tc>
        <w:tc>
          <w:tcPr>
            <w:tcW w:w="0" w:type="auto"/>
            <w:hideMark/>
          </w:tcPr>
          <w:p w14:paraId="1D8C19BA"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2C3B636" w14:textId="77777777" w:rsidR="002615B4" w:rsidRPr="00390868" w:rsidRDefault="002615B4"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615B4" w:rsidRPr="00390868" w14:paraId="46060E9C" w14:textId="77777777" w:rsidTr="00261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7487A2" w14:textId="77777777" w:rsidR="002615B4" w:rsidRPr="00390868" w:rsidRDefault="002615B4" w:rsidP="00905241">
            <w:pPr>
              <w:spacing w:after="160" w:line="360" w:lineRule="auto"/>
              <w:rPr>
                <w:rFonts w:ascii="Arial" w:hAnsi="Arial" w:cs="Arial"/>
              </w:rPr>
            </w:pPr>
            <w:r w:rsidRPr="00390868">
              <w:rPr>
                <w:rFonts w:ascii="Arial" w:hAnsi="Arial" w:cs="Arial"/>
              </w:rPr>
              <w:t>TOTAL START-UP FUNDING</w:t>
            </w:r>
          </w:p>
        </w:tc>
        <w:tc>
          <w:tcPr>
            <w:tcW w:w="0" w:type="auto"/>
            <w:hideMark/>
          </w:tcPr>
          <w:p w14:paraId="60841A28"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£940,000</w:t>
            </w:r>
          </w:p>
        </w:tc>
        <w:tc>
          <w:tcPr>
            <w:tcW w:w="0" w:type="auto"/>
            <w:hideMark/>
          </w:tcPr>
          <w:p w14:paraId="46EC553C"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38EBD6E" w14:textId="77777777" w:rsidR="002615B4" w:rsidRPr="00390868" w:rsidRDefault="002615B4"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10170A1" w14:textId="77777777" w:rsidR="00AF60B6" w:rsidRPr="00390868" w:rsidRDefault="00AF60B6" w:rsidP="00905241">
      <w:pPr>
        <w:spacing w:line="360" w:lineRule="auto"/>
        <w:rPr>
          <w:rFonts w:ascii="Arial" w:hAnsi="Arial" w:cs="Arial"/>
        </w:rPr>
      </w:pPr>
    </w:p>
    <w:p w14:paraId="3976806B" w14:textId="77777777" w:rsidR="001510ED" w:rsidRPr="00390868" w:rsidRDefault="001510ED" w:rsidP="00905241">
      <w:pPr>
        <w:spacing w:line="360" w:lineRule="auto"/>
        <w:rPr>
          <w:rFonts w:ascii="Arial" w:hAnsi="Arial" w:cs="Arial"/>
          <w:b/>
          <w:bCs/>
        </w:rPr>
      </w:pPr>
      <w:r w:rsidRPr="00390868">
        <w:rPr>
          <w:rFonts w:ascii="Arial" w:hAnsi="Arial" w:cs="Arial"/>
          <w:b/>
          <w:bCs/>
        </w:rPr>
        <w:t>Funding Allocation:</w:t>
      </w:r>
    </w:p>
    <w:p w14:paraId="7CB8DABC" w14:textId="77777777" w:rsidR="005D6764" w:rsidRPr="00390868" w:rsidRDefault="005D6764" w:rsidP="00905241">
      <w:pPr>
        <w:numPr>
          <w:ilvl w:val="0"/>
          <w:numId w:val="48"/>
        </w:numPr>
        <w:spacing w:line="360" w:lineRule="auto"/>
        <w:rPr>
          <w:rFonts w:ascii="Arial" w:hAnsi="Arial" w:cs="Arial"/>
        </w:rPr>
      </w:pPr>
      <w:r w:rsidRPr="00390868">
        <w:rPr>
          <w:rFonts w:ascii="Arial" w:hAnsi="Arial" w:cs="Arial"/>
        </w:rPr>
        <w:lastRenderedPageBreak/>
        <w:t>Founder Equity: £250,000 (26.6%)</w:t>
      </w:r>
    </w:p>
    <w:p w14:paraId="5AAC65EA" w14:textId="77777777" w:rsidR="005D6764" w:rsidRPr="00390868" w:rsidRDefault="005D6764" w:rsidP="00905241">
      <w:pPr>
        <w:numPr>
          <w:ilvl w:val="0"/>
          <w:numId w:val="48"/>
        </w:numPr>
        <w:spacing w:line="360" w:lineRule="auto"/>
        <w:rPr>
          <w:rFonts w:ascii="Arial" w:hAnsi="Arial" w:cs="Arial"/>
        </w:rPr>
      </w:pPr>
      <w:r w:rsidRPr="00390868">
        <w:rPr>
          <w:rFonts w:ascii="Arial" w:hAnsi="Arial" w:cs="Arial"/>
        </w:rPr>
        <w:t>SEIS/EIS Investment: £450,000 (47.9%)</w:t>
      </w:r>
    </w:p>
    <w:p w14:paraId="22CEB985" w14:textId="77777777" w:rsidR="005D6764" w:rsidRPr="00390868" w:rsidRDefault="005D6764" w:rsidP="00905241">
      <w:pPr>
        <w:numPr>
          <w:ilvl w:val="0"/>
          <w:numId w:val="48"/>
        </w:numPr>
        <w:spacing w:line="360" w:lineRule="auto"/>
        <w:rPr>
          <w:rFonts w:ascii="Arial" w:hAnsi="Arial" w:cs="Arial"/>
        </w:rPr>
      </w:pPr>
      <w:r w:rsidRPr="00390868">
        <w:rPr>
          <w:rFonts w:ascii="Arial" w:hAnsi="Arial" w:cs="Arial"/>
          <w:b/>
          <w:bCs/>
        </w:rPr>
        <w:t>Asset-Backed Debt: £240,000 (25.5%)</w:t>
      </w:r>
    </w:p>
    <w:p w14:paraId="492CD309" w14:textId="77777777" w:rsidR="005D6764" w:rsidRPr="00390868" w:rsidRDefault="005D6764" w:rsidP="00905241">
      <w:pPr>
        <w:spacing w:line="360" w:lineRule="auto"/>
        <w:rPr>
          <w:rFonts w:ascii="Arial" w:hAnsi="Arial" w:cs="Arial"/>
        </w:rPr>
      </w:pPr>
    </w:p>
    <w:p w14:paraId="5E56C0D2" w14:textId="77777777" w:rsidR="001510ED" w:rsidRPr="00390868" w:rsidRDefault="001510ED" w:rsidP="00905241">
      <w:pPr>
        <w:spacing w:line="360" w:lineRule="auto"/>
        <w:rPr>
          <w:rFonts w:ascii="Arial" w:hAnsi="Arial" w:cs="Arial"/>
          <w:b/>
          <w:bCs/>
        </w:rPr>
      </w:pPr>
    </w:p>
    <w:p w14:paraId="41302B01" w14:textId="77777777" w:rsidR="001510ED" w:rsidRPr="00390868" w:rsidRDefault="001510ED" w:rsidP="00905241">
      <w:pPr>
        <w:pStyle w:val="Heading2"/>
        <w:spacing w:line="360" w:lineRule="auto"/>
        <w:rPr>
          <w:rFonts w:ascii="Arial" w:hAnsi="Arial" w:cs="Arial"/>
        </w:rPr>
      </w:pPr>
      <w:bookmarkStart w:id="157" w:name="_Toc218629320"/>
      <w:r w:rsidRPr="00390868">
        <w:rPr>
          <w:rFonts w:ascii="Arial" w:hAnsi="Arial" w:cs="Arial"/>
        </w:rPr>
        <w:t>Appendix F: Compliance and Regulatory Documentation</w:t>
      </w:r>
      <w:bookmarkEnd w:id="157"/>
    </w:p>
    <w:p w14:paraId="6FEEA2B9" w14:textId="77777777" w:rsidR="001510ED" w:rsidRPr="00390868" w:rsidRDefault="001510ED" w:rsidP="00905241">
      <w:pPr>
        <w:spacing w:line="360" w:lineRule="auto"/>
        <w:rPr>
          <w:rFonts w:ascii="Arial" w:hAnsi="Arial" w:cs="Arial"/>
          <w:b/>
          <w:bCs/>
        </w:rPr>
      </w:pPr>
      <w:r w:rsidRPr="00390868">
        <w:rPr>
          <w:rFonts w:ascii="Arial" w:hAnsi="Arial" w:cs="Arial"/>
          <w:b/>
          <w:bCs/>
        </w:rPr>
        <w:t>F1: Key Regulatory Compliance Requirements</w:t>
      </w:r>
    </w:p>
    <w:tbl>
      <w:tblPr>
        <w:tblStyle w:val="PlainTable1"/>
        <w:tblW w:w="0" w:type="auto"/>
        <w:tblLook w:val="04A0" w:firstRow="1" w:lastRow="0" w:firstColumn="1" w:lastColumn="0" w:noHBand="0" w:noVBand="1"/>
      </w:tblPr>
      <w:tblGrid>
        <w:gridCol w:w="1898"/>
        <w:gridCol w:w="1648"/>
        <w:gridCol w:w="3509"/>
        <w:gridCol w:w="1961"/>
      </w:tblGrid>
      <w:tr w:rsidR="001510ED" w:rsidRPr="00390868" w14:paraId="719A20F3"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5797C" w14:textId="77777777" w:rsidR="001510ED" w:rsidRPr="00390868" w:rsidRDefault="001510ED" w:rsidP="00905241">
            <w:pPr>
              <w:spacing w:after="160" w:line="360" w:lineRule="auto"/>
              <w:rPr>
                <w:rFonts w:ascii="Arial" w:hAnsi="Arial" w:cs="Arial"/>
              </w:rPr>
            </w:pPr>
            <w:r w:rsidRPr="00390868">
              <w:rPr>
                <w:rFonts w:ascii="Arial" w:hAnsi="Arial" w:cs="Arial"/>
              </w:rPr>
              <w:t>Regulatory Area</w:t>
            </w:r>
          </w:p>
        </w:tc>
        <w:tc>
          <w:tcPr>
            <w:tcW w:w="0" w:type="auto"/>
            <w:hideMark/>
          </w:tcPr>
          <w:p w14:paraId="6E7261A3"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Governing Body</w:t>
            </w:r>
          </w:p>
        </w:tc>
        <w:tc>
          <w:tcPr>
            <w:tcW w:w="0" w:type="auto"/>
            <w:hideMark/>
          </w:tcPr>
          <w:p w14:paraId="35189104"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Key Requirements</w:t>
            </w:r>
          </w:p>
        </w:tc>
        <w:tc>
          <w:tcPr>
            <w:tcW w:w="0" w:type="auto"/>
            <w:hideMark/>
          </w:tcPr>
          <w:p w14:paraId="0A802863"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1 STATION Compliance Status</w:t>
            </w:r>
          </w:p>
        </w:tc>
      </w:tr>
      <w:tr w:rsidR="001510ED" w:rsidRPr="00390868" w14:paraId="47978074"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EEF2F4" w14:textId="77777777" w:rsidR="001510ED" w:rsidRPr="00390868" w:rsidRDefault="001510ED" w:rsidP="00905241">
            <w:pPr>
              <w:spacing w:after="160" w:line="360" w:lineRule="auto"/>
              <w:rPr>
                <w:rFonts w:ascii="Arial" w:hAnsi="Arial" w:cs="Arial"/>
              </w:rPr>
            </w:pPr>
            <w:r w:rsidRPr="00390868">
              <w:rPr>
                <w:rFonts w:ascii="Arial" w:hAnsi="Arial" w:cs="Arial"/>
              </w:rPr>
              <w:t>Company Formation</w:t>
            </w:r>
          </w:p>
        </w:tc>
        <w:tc>
          <w:tcPr>
            <w:tcW w:w="0" w:type="auto"/>
            <w:hideMark/>
          </w:tcPr>
          <w:p w14:paraId="29EB4B0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Companies House</w:t>
            </w:r>
          </w:p>
        </w:tc>
        <w:tc>
          <w:tcPr>
            <w:tcW w:w="0" w:type="auto"/>
            <w:hideMark/>
          </w:tcPr>
          <w:p w14:paraId="42AA94A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Private Ltd registration; Annual accounts; Director duties</w:t>
            </w:r>
          </w:p>
        </w:tc>
        <w:tc>
          <w:tcPr>
            <w:tcW w:w="0" w:type="auto"/>
            <w:hideMark/>
          </w:tcPr>
          <w:p w14:paraId="2515923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To be completed pre-launch</w:t>
            </w:r>
          </w:p>
        </w:tc>
      </w:tr>
      <w:tr w:rsidR="001510ED" w:rsidRPr="00390868" w14:paraId="205CAA42"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1A27C3A0" w14:textId="77777777" w:rsidR="001510ED" w:rsidRPr="00390868" w:rsidRDefault="001510ED" w:rsidP="00905241">
            <w:pPr>
              <w:spacing w:after="160" w:line="360" w:lineRule="auto"/>
              <w:rPr>
                <w:rFonts w:ascii="Arial" w:hAnsi="Arial" w:cs="Arial"/>
              </w:rPr>
            </w:pPr>
            <w:r w:rsidRPr="00390868">
              <w:rPr>
                <w:rFonts w:ascii="Arial" w:hAnsi="Arial" w:cs="Arial"/>
              </w:rPr>
              <w:t>MOT Testing</w:t>
            </w:r>
          </w:p>
        </w:tc>
        <w:tc>
          <w:tcPr>
            <w:tcW w:w="0" w:type="auto"/>
            <w:hideMark/>
          </w:tcPr>
          <w:p w14:paraId="028890AB"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DVSA</w:t>
            </w:r>
          </w:p>
        </w:tc>
        <w:tc>
          <w:tcPr>
            <w:tcW w:w="0" w:type="auto"/>
            <w:hideMark/>
          </w:tcPr>
          <w:p w14:paraId="4C22A4CC"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Approved testing facility; Calibrated equipment; Certified testers</w:t>
            </w:r>
          </w:p>
        </w:tc>
        <w:tc>
          <w:tcPr>
            <w:tcW w:w="0" w:type="auto"/>
            <w:hideMark/>
          </w:tcPr>
          <w:p w14:paraId="6818F42F"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DVSA application in progress</w:t>
            </w:r>
          </w:p>
        </w:tc>
      </w:tr>
      <w:tr w:rsidR="001510ED" w:rsidRPr="00390868" w14:paraId="1A63BAE0"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C7122" w14:textId="77777777" w:rsidR="001510ED" w:rsidRPr="00390868" w:rsidRDefault="001510ED" w:rsidP="00905241">
            <w:pPr>
              <w:spacing w:after="160" w:line="360" w:lineRule="auto"/>
              <w:rPr>
                <w:rFonts w:ascii="Arial" w:hAnsi="Arial" w:cs="Arial"/>
              </w:rPr>
            </w:pPr>
            <w:r w:rsidRPr="00390868">
              <w:rPr>
                <w:rFonts w:ascii="Arial" w:hAnsi="Arial" w:cs="Arial"/>
              </w:rPr>
              <w:t>Health &amp; Safety</w:t>
            </w:r>
          </w:p>
        </w:tc>
        <w:tc>
          <w:tcPr>
            <w:tcW w:w="0" w:type="auto"/>
            <w:hideMark/>
          </w:tcPr>
          <w:p w14:paraId="788CDFF1"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HSE</w:t>
            </w:r>
          </w:p>
        </w:tc>
        <w:tc>
          <w:tcPr>
            <w:tcW w:w="0" w:type="auto"/>
            <w:hideMark/>
          </w:tcPr>
          <w:p w14:paraId="4F78226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Risk assessments; COSHH controls; Workshop safety; High-voltage protocols</w:t>
            </w:r>
          </w:p>
        </w:tc>
        <w:tc>
          <w:tcPr>
            <w:tcW w:w="0" w:type="auto"/>
            <w:hideMark/>
          </w:tcPr>
          <w:p w14:paraId="4ECC9B04"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HSE-compliant workshop design</w:t>
            </w:r>
          </w:p>
        </w:tc>
      </w:tr>
      <w:tr w:rsidR="001510ED" w:rsidRPr="00390868" w14:paraId="0563BC5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F04F5B8" w14:textId="77777777" w:rsidR="001510ED" w:rsidRPr="00390868" w:rsidRDefault="001510ED" w:rsidP="00905241">
            <w:pPr>
              <w:spacing w:after="160" w:line="360" w:lineRule="auto"/>
              <w:rPr>
                <w:rFonts w:ascii="Arial" w:hAnsi="Arial" w:cs="Arial"/>
              </w:rPr>
            </w:pPr>
            <w:r w:rsidRPr="00390868">
              <w:rPr>
                <w:rFonts w:ascii="Arial" w:hAnsi="Arial" w:cs="Arial"/>
              </w:rPr>
              <w:t>Environmental</w:t>
            </w:r>
          </w:p>
        </w:tc>
        <w:tc>
          <w:tcPr>
            <w:tcW w:w="0" w:type="auto"/>
            <w:hideMark/>
          </w:tcPr>
          <w:p w14:paraId="7C53859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Environment Agency</w:t>
            </w:r>
          </w:p>
        </w:tc>
        <w:tc>
          <w:tcPr>
            <w:tcW w:w="0" w:type="auto"/>
            <w:hideMark/>
          </w:tcPr>
          <w:p w14:paraId="2B389B24"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Waste oil management; Paint fume extraction; Water recycling; Hazardous waste disposal</w:t>
            </w:r>
          </w:p>
        </w:tc>
        <w:tc>
          <w:tcPr>
            <w:tcW w:w="0" w:type="auto"/>
            <w:hideMark/>
          </w:tcPr>
          <w:p w14:paraId="35A49137"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EPA-compliant systems specified</w:t>
            </w:r>
          </w:p>
        </w:tc>
      </w:tr>
      <w:tr w:rsidR="001510ED" w:rsidRPr="00390868" w14:paraId="42DEBAF0"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DAC93" w14:textId="77777777" w:rsidR="001510ED" w:rsidRPr="00390868" w:rsidRDefault="001510ED" w:rsidP="00905241">
            <w:pPr>
              <w:spacing w:after="160" w:line="360" w:lineRule="auto"/>
              <w:rPr>
                <w:rFonts w:ascii="Arial" w:hAnsi="Arial" w:cs="Arial"/>
              </w:rPr>
            </w:pPr>
            <w:r w:rsidRPr="00390868">
              <w:rPr>
                <w:rFonts w:ascii="Arial" w:hAnsi="Arial" w:cs="Arial"/>
              </w:rPr>
              <w:t>Data Protection</w:t>
            </w:r>
          </w:p>
        </w:tc>
        <w:tc>
          <w:tcPr>
            <w:tcW w:w="0" w:type="auto"/>
            <w:hideMark/>
          </w:tcPr>
          <w:p w14:paraId="7F12621C"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ICO</w:t>
            </w:r>
          </w:p>
        </w:tc>
        <w:tc>
          <w:tcPr>
            <w:tcW w:w="0" w:type="auto"/>
            <w:hideMark/>
          </w:tcPr>
          <w:p w14:paraId="7F4ABCC9"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UK GDPR compliance; Customer data security; Privacy notices</w:t>
            </w:r>
          </w:p>
        </w:tc>
        <w:tc>
          <w:tcPr>
            <w:tcW w:w="0" w:type="auto"/>
            <w:hideMark/>
          </w:tcPr>
          <w:p w14:paraId="71396B85"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Policy framework developed</w:t>
            </w:r>
          </w:p>
        </w:tc>
      </w:tr>
      <w:tr w:rsidR="001510ED" w:rsidRPr="00390868" w14:paraId="1A139F5C"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75B65922" w14:textId="77777777" w:rsidR="001510ED" w:rsidRPr="00390868" w:rsidRDefault="001510ED" w:rsidP="00905241">
            <w:pPr>
              <w:spacing w:after="160" w:line="360" w:lineRule="auto"/>
              <w:rPr>
                <w:rFonts w:ascii="Arial" w:hAnsi="Arial" w:cs="Arial"/>
              </w:rPr>
            </w:pPr>
            <w:r w:rsidRPr="00390868">
              <w:rPr>
                <w:rFonts w:ascii="Arial" w:hAnsi="Arial" w:cs="Arial"/>
              </w:rPr>
              <w:t>Electrical Safety</w:t>
            </w:r>
          </w:p>
        </w:tc>
        <w:tc>
          <w:tcPr>
            <w:tcW w:w="0" w:type="auto"/>
            <w:hideMark/>
          </w:tcPr>
          <w:p w14:paraId="6F866649"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NICEIC</w:t>
            </w:r>
          </w:p>
        </w:tc>
        <w:tc>
          <w:tcPr>
            <w:tcW w:w="0" w:type="auto"/>
            <w:hideMark/>
          </w:tcPr>
          <w:p w14:paraId="120EDEF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EV high-voltage systems; Workshop electrical installations</w:t>
            </w:r>
          </w:p>
        </w:tc>
        <w:tc>
          <w:tcPr>
            <w:tcW w:w="0" w:type="auto"/>
            <w:hideMark/>
          </w:tcPr>
          <w:p w14:paraId="5F8C07C9"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IMI-certified technicians required</w:t>
            </w:r>
          </w:p>
        </w:tc>
      </w:tr>
      <w:tr w:rsidR="001510ED" w:rsidRPr="00390868" w14:paraId="1C676237"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55121" w14:textId="77777777" w:rsidR="001510ED" w:rsidRPr="00390868" w:rsidRDefault="001510ED" w:rsidP="00905241">
            <w:pPr>
              <w:spacing w:after="160" w:line="360" w:lineRule="auto"/>
              <w:rPr>
                <w:rFonts w:ascii="Arial" w:hAnsi="Arial" w:cs="Arial"/>
              </w:rPr>
            </w:pPr>
            <w:r w:rsidRPr="00390868">
              <w:rPr>
                <w:rFonts w:ascii="Arial" w:hAnsi="Arial" w:cs="Arial"/>
              </w:rPr>
              <w:t>Employment Law</w:t>
            </w:r>
          </w:p>
        </w:tc>
        <w:tc>
          <w:tcPr>
            <w:tcW w:w="0" w:type="auto"/>
            <w:hideMark/>
          </w:tcPr>
          <w:p w14:paraId="7B964E7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ACAS</w:t>
            </w:r>
          </w:p>
        </w:tc>
        <w:tc>
          <w:tcPr>
            <w:tcW w:w="0" w:type="auto"/>
            <w:hideMark/>
          </w:tcPr>
          <w:p w14:paraId="504DA950"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Employment contracts; Right to work; Minimum wage; Pension auto-enrolment</w:t>
            </w:r>
          </w:p>
        </w:tc>
        <w:tc>
          <w:tcPr>
            <w:tcW w:w="0" w:type="auto"/>
            <w:hideMark/>
          </w:tcPr>
          <w:p w14:paraId="4E6539CE"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HR policy handbook drafted</w:t>
            </w:r>
          </w:p>
        </w:tc>
      </w:tr>
    </w:tbl>
    <w:p w14:paraId="452F8B4E" w14:textId="77777777" w:rsidR="001510ED" w:rsidRPr="00390868" w:rsidRDefault="001510ED" w:rsidP="00905241">
      <w:pPr>
        <w:spacing w:line="360" w:lineRule="auto"/>
        <w:rPr>
          <w:rFonts w:ascii="Arial" w:hAnsi="Arial" w:cs="Arial"/>
          <w:b/>
          <w:bCs/>
        </w:rPr>
      </w:pPr>
      <w:r w:rsidRPr="00390868">
        <w:rPr>
          <w:rFonts w:ascii="Arial" w:hAnsi="Arial" w:cs="Arial"/>
          <w:b/>
          <w:bCs/>
        </w:rPr>
        <w:t>F2: Certification and Licensing Timeline</w:t>
      </w:r>
    </w:p>
    <w:tbl>
      <w:tblPr>
        <w:tblStyle w:val="PlainTable1"/>
        <w:tblW w:w="0" w:type="auto"/>
        <w:tblLook w:val="04A0" w:firstRow="1" w:lastRow="0" w:firstColumn="1" w:lastColumn="0" w:noHBand="0" w:noVBand="1"/>
      </w:tblPr>
      <w:tblGrid>
        <w:gridCol w:w="3104"/>
        <w:gridCol w:w="1793"/>
        <w:gridCol w:w="1904"/>
        <w:gridCol w:w="2215"/>
      </w:tblGrid>
      <w:tr w:rsidR="001510ED" w:rsidRPr="00390868" w14:paraId="42837682"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0196F" w14:textId="77777777" w:rsidR="001510ED" w:rsidRPr="00390868" w:rsidRDefault="001510ED" w:rsidP="00905241">
            <w:pPr>
              <w:spacing w:after="160" w:line="360" w:lineRule="auto"/>
              <w:rPr>
                <w:rFonts w:ascii="Arial" w:hAnsi="Arial" w:cs="Arial"/>
              </w:rPr>
            </w:pPr>
            <w:r w:rsidRPr="00390868">
              <w:rPr>
                <w:rFonts w:ascii="Arial" w:hAnsi="Arial" w:cs="Arial"/>
              </w:rPr>
              <w:lastRenderedPageBreak/>
              <w:t>Document/Certificate</w:t>
            </w:r>
          </w:p>
        </w:tc>
        <w:tc>
          <w:tcPr>
            <w:tcW w:w="0" w:type="auto"/>
            <w:hideMark/>
          </w:tcPr>
          <w:p w14:paraId="3ADC98F5"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Application Date</w:t>
            </w:r>
          </w:p>
        </w:tc>
        <w:tc>
          <w:tcPr>
            <w:tcW w:w="0" w:type="auto"/>
            <w:hideMark/>
          </w:tcPr>
          <w:p w14:paraId="3BE4BC7B"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Expected Approval</w:t>
            </w:r>
          </w:p>
        </w:tc>
        <w:tc>
          <w:tcPr>
            <w:tcW w:w="0" w:type="auto"/>
            <w:hideMark/>
          </w:tcPr>
          <w:p w14:paraId="511F8D7B"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Responsible Party</w:t>
            </w:r>
          </w:p>
        </w:tc>
      </w:tr>
      <w:tr w:rsidR="001510ED" w:rsidRPr="00390868" w14:paraId="0094DAD1"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66365D" w14:textId="77777777" w:rsidR="001510ED" w:rsidRPr="00390868" w:rsidRDefault="001510ED" w:rsidP="00905241">
            <w:pPr>
              <w:spacing w:after="160" w:line="360" w:lineRule="auto"/>
              <w:rPr>
                <w:rFonts w:ascii="Arial" w:hAnsi="Arial" w:cs="Arial"/>
              </w:rPr>
            </w:pPr>
            <w:r w:rsidRPr="00390868">
              <w:rPr>
                <w:rFonts w:ascii="Arial" w:hAnsi="Arial" w:cs="Arial"/>
              </w:rPr>
              <w:t>Company Registration (Ltd)</w:t>
            </w:r>
          </w:p>
        </w:tc>
        <w:tc>
          <w:tcPr>
            <w:tcW w:w="0" w:type="auto"/>
            <w:hideMark/>
          </w:tcPr>
          <w:p w14:paraId="14405F29"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1</w:t>
            </w:r>
          </w:p>
        </w:tc>
        <w:tc>
          <w:tcPr>
            <w:tcW w:w="0" w:type="auto"/>
            <w:hideMark/>
          </w:tcPr>
          <w:p w14:paraId="048F656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1</w:t>
            </w:r>
          </w:p>
        </w:tc>
        <w:tc>
          <w:tcPr>
            <w:tcW w:w="0" w:type="auto"/>
            <w:hideMark/>
          </w:tcPr>
          <w:p w14:paraId="0C324BDB"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Founder/Accountant</w:t>
            </w:r>
          </w:p>
        </w:tc>
      </w:tr>
      <w:tr w:rsidR="001510ED" w:rsidRPr="00390868" w14:paraId="0FAEE13F"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699B37A0" w14:textId="77777777" w:rsidR="001510ED" w:rsidRPr="00390868" w:rsidRDefault="001510ED" w:rsidP="00905241">
            <w:pPr>
              <w:spacing w:after="160" w:line="360" w:lineRule="auto"/>
              <w:rPr>
                <w:rFonts w:ascii="Arial" w:hAnsi="Arial" w:cs="Arial"/>
              </w:rPr>
            </w:pPr>
            <w:r w:rsidRPr="00390868">
              <w:rPr>
                <w:rFonts w:ascii="Arial" w:hAnsi="Arial" w:cs="Arial"/>
              </w:rPr>
              <w:t>DVSA MOT Approval</w:t>
            </w:r>
          </w:p>
        </w:tc>
        <w:tc>
          <w:tcPr>
            <w:tcW w:w="0" w:type="auto"/>
            <w:hideMark/>
          </w:tcPr>
          <w:p w14:paraId="02B1DBB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4</w:t>
            </w:r>
          </w:p>
        </w:tc>
        <w:tc>
          <w:tcPr>
            <w:tcW w:w="0" w:type="auto"/>
            <w:hideMark/>
          </w:tcPr>
          <w:p w14:paraId="7C4660E1"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7</w:t>
            </w:r>
          </w:p>
        </w:tc>
        <w:tc>
          <w:tcPr>
            <w:tcW w:w="0" w:type="auto"/>
            <w:hideMark/>
          </w:tcPr>
          <w:p w14:paraId="32FF8570"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Estate Manager</w:t>
            </w:r>
          </w:p>
        </w:tc>
      </w:tr>
      <w:tr w:rsidR="001510ED" w:rsidRPr="00390868" w14:paraId="2874C7D1"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03F345" w14:textId="77777777" w:rsidR="001510ED" w:rsidRPr="00390868" w:rsidRDefault="001510ED" w:rsidP="00905241">
            <w:pPr>
              <w:spacing w:after="160" w:line="360" w:lineRule="auto"/>
              <w:rPr>
                <w:rFonts w:ascii="Arial" w:hAnsi="Arial" w:cs="Arial"/>
              </w:rPr>
            </w:pPr>
            <w:r w:rsidRPr="00390868">
              <w:rPr>
                <w:rFonts w:ascii="Arial" w:hAnsi="Arial" w:cs="Arial"/>
              </w:rPr>
              <w:t>HSE Workshop Registration</w:t>
            </w:r>
          </w:p>
        </w:tc>
        <w:tc>
          <w:tcPr>
            <w:tcW w:w="0" w:type="auto"/>
            <w:hideMark/>
          </w:tcPr>
          <w:p w14:paraId="09987F8D"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5</w:t>
            </w:r>
          </w:p>
        </w:tc>
        <w:tc>
          <w:tcPr>
            <w:tcW w:w="0" w:type="auto"/>
            <w:hideMark/>
          </w:tcPr>
          <w:p w14:paraId="3A6203C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6</w:t>
            </w:r>
          </w:p>
        </w:tc>
        <w:tc>
          <w:tcPr>
            <w:tcW w:w="0" w:type="auto"/>
            <w:hideMark/>
          </w:tcPr>
          <w:p w14:paraId="5D372AE0"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Compliance Lead</w:t>
            </w:r>
          </w:p>
        </w:tc>
      </w:tr>
      <w:tr w:rsidR="001510ED" w:rsidRPr="00390868" w14:paraId="18C85C95"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23225ABE" w14:textId="77777777" w:rsidR="001510ED" w:rsidRPr="00390868" w:rsidRDefault="001510ED" w:rsidP="00905241">
            <w:pPr>
              <w:spacing w:after="160" w:line="360" w:lineRule="auto"/>
              <w:rPr>
                <w:rFonts w:ascii="Arial" w:hAnsi="Arial" w:cs="Arial"/>
              </w:rPr>
            </w:pPr>
            <w:r w:rsidRPr="00390868">
              <w:rPr>
                <w:rFonts w:ascii="Arial" w:hAnsi="Arial" w:cs="Arial"/>
              </w:rPr>
              <w:t>Environmental Permit</w:t>
            </w:r>
          </w:p>
        </w:tc>
        <w:tc>
          <w:tcPr>
            <w:tcW w:w="0" w:type="auto"/>
            <w:hideMark/>
          </w:tcPr>
          <w:p w14:paraId="77FFFF3D"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5</w:t>
            </w:r>
          </w:p>
        </w:tc>
        <w:tc>
          <w:tcPr>
            <w:tcW w:w="0" w:type="auto"/>
            <w:hideMark/>
          </w:tcPr>
          <w:p w14:paraId="32EFCDA8"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7</w:t>
            </w:r>
          </w:p>
        </w:tc>
        <w:tc>
          <w:tcPr>
            <w:tcW w:w="0" w:type="auto"/>
            <w:hideMark/>
          </w:tcPr>
          <w:p w14:paraId="34B181AB"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Compliance Lead</w:t>
            </w:r>
          </w:p>
        </w:tc>
      </w:tr>
      <w:tr w:rsidR="001510ED" w:rsidRPr="00390868" w14:paraId="35DAB8BC"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48357" w14:textId="77777777" w:rsidR="001510ED" w:rsidRPr="00390868" w:rsidRDefault="001510ED" w:rsidP="00905241">
            <w:pPr>
              <w:spacing w:after="160" w:line="360" w:lineRule="auto"/>
              <w:rPr>
                <w:rFonts w:ascii="Arial" w:hAnsi="Arial" w:cs="Arial"/>
              </w:rPr>
            </w:pPr>
            <w:r w:rsidRPr="00390868">
              <w:rPr>
                <w:rFonts w:ascii="Arial" w:hAnsi="Arial" w:cs="Arial"/>
              </w:rPr>
              <w:t>Trade Waste Agreement</w:t>
            </w:r>
          </w:p>
        </w:tc>
        <w:tc>
          <w:tcPr>
            <w:tcW w:w="0" w:type="auto"/>
            <w:hideMark/>
          </w:tcPr>
          <w:p w14:paraId="317F77D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6</w:t>
            </w:r>
          </w:p>
        </w:tc>
        <w:tc>
          <w:tcPr>
            <w:tcW w:w="0" w:type="auto"/>
            <w:hideMark/>
          </w:tcPr>
          <w:p w14:paraId="02249D9E"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6</w:t>
            </w:r>
          </w:p>
        </w:tc>
        <w:tc>
          <w:tcPr>
            <w:tcW w:w="0" w:type="auto"/>
            <w:hideMark/>
          </w:tcPr>
          <w:p w14:paraId="51BF6035"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Operations Manager</w:t>
            </w:r>
          </w:p>
        </w:tc>
      </w:tr>
      <w:tr w:rsidR="001510ED" w:rsidRPr="00390868" w14:paraId="1C57D17B"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22EDC8DC" w14:textId="77777777" w:rsidR="001510ED" w:rsidRPr="00390868" w:rsidRDefault="001510ED" w:rsidP="00905241">
            <w:pPr>
              <w:spacing w:after="160" w:line="360" w:lineRule="auto"/>
              <w:rPr>
                <w:rFonts w:ascii="Arial" w:hAnsi="Arial" w:cs="Arial"/>
              </w:rPr>
            </w:pPr>
            <w:r w:rsidRPr="00390868">
              <w:rPr>
                <w:rFonts w:ascii="Arial" w:hAnsi="Arial" w:cs="Arial"/>
              </w:rPr>
              <w:t>Employer's Liability Insurance</w:t>
            </w:r>
          </w:p>
        </w:tc>
        <w:tc>
          <w:tcPr>
            <w:tcW w:w="0" w:type="auto"/>
            <w:hideMark/>
          </w:tcPr>
          <w:p w14:paraId="173F5B1E"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6</w:t>
            </w:r>
          </w:p>
        </w:tc>
        <w:tc>
          <w:tcPr>
            <w:tcW w:w="0" w:type="auto"/>
            <w:hideMark/>
          </w:tcPr>
          <w:p w14:paraId="74975467"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 6</w:t>
            </w:r>
          </w:p>
        </w:tc>
        <w:tc>
          <w:tcPr>
            <w:tcW w:w="0" w:type="auto"/>
            <w:hideMark/>
          </w:tcPr>
          <w:p w14:paraId="6C8DF0B2"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Finance Lead</w:t>
            </w:r>
          </w:p>
        </w:tc>
      </w:tr>
      <w:tr w:rsidR="001510ED" w:rsidRPr="00390868" w14:paraId="0440680E"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0C160D" w14:textId="77777777" w:rsidR="001510ED" w:rsidRPr="00390868" w:rsidRDefault="001510ED" w:rsidP="00905241">
            <w:pPr>
              <w:spacing w:after="160" w:line="360" w:lineRule="auto"/>
              <w:rPr>
                <w:rFonts w:ascii="Arial" w:hAnsi="Arial" w:cs="Arial"/>
              </w:rPr>
            </w:pPr>
            <w:r w:rsidRPr="00390868">
              <w:rPr>
                <w:rFonts w:ascii="Arial" w:hAnsi="Arial" w:cs="Arial"/>
              </w:rPr>
              <w:t>IMI EV Professional Register</w:t>
            </w:r>
          </w:p>
        </w:tc>
        <w:tc>
          <w:tcPr>
            <w:tcW w:w="0" w:type="auto"/>
            <w:hideMark/>
          </w:tcPr>
          <w:p w14:paraId="1AB6DDAC"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8</w:t>
            </w:r>
          </w:p>
        </w:tc>
        <w:tc>
          <w:tcPr>
            <w:tcW w:w="0" w:type="auto"/>
            <w:hideMark/>
          </w:tcPr>
          <w:p w14:paraId="7462C72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Month 9</w:t>
            </w:r>
          </w:p>
        </w:tc>
        <w:tc>
          <w:tcPr>
            <w:tcW w:w="0" w:type="auto"/>
            <w:hideMark/>
          </w:tcPr>
          <w:p w14:paraId="0C7F21CD"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HR Lead</w:t>
            </w:r>
          </w:p>
        </w:tc>
      </w:tr>
    </w:tbl>
    <w:p w14:paraId="35E48581" w14:textId="77777777" w:rsidR="001510ED" w:rsidRPr="00390868" w:rsidRDefault="001510ED" w:rsidP="00905241">
      <w:pPr>
        <w:spacing w:line="360" w:lineRule="auto"/>
        <w:rPr>
          <w:rFonts w:ascii="Arial" w:hAnsi="Arial" w:cs="Arial"/>
          <w:b/>
          <w:bCs/>
        </w:rPr>
      </w:pPr>
      <w:r w:rsidRPr="00390868">
        <w:rPr>
          <w:rFonts w:ascii="Arial" w:hAnsi="Arial" w:cs="Arial"/>
          <w:b/>
          <w:bCs/>
        </w:rPr>
        <w:t>F3: Risk Management Documentation</w:t>
      </w:r>
    </w:p>
    <w:p w14:paraId="1AE263FB" w14:textId="77777777" w:rsidR="001510ED" w:rsidRPr="00390868" w:rsidRDefault="001510ED" w:rsidP="00905241">
      <w:pPr>
        <w:spacing w:line="360" w:lineRule="auto"/>
        <w:rPr>
          <w:rFonts w:ascii="Arial" w:hAnsi="Arial" w:cs="Arial"/>
        </w:rPr>
      </w:pPr>
      <w:r w:rsidRPr="00390868">
        <w:rPr>
          <w:rFonts w:ascii="Arial" w:hAnsi="Arial" w:cs="Arial"/>
        </w:rPr>
        <w:t>Standard Operating Procedures (SOPs) to be Developed:</w:t>
      </w:r>
    </w:p>
    <w:p w14:paraId="7A225DE9"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MOT Testing Procedure (DVSA-compliant)</w:t>
      </w:r>
    </w:p>
    <w:p w14:paraId="1379A9A9"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High-Voltage EV Servicing Protocol</w:t>
      </w:r>
    </w:p>
    <w:p w14:paraId="3D6E6F2B"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Paint Booth Operation and Maintenance</w:t>
      </w:r>
    </w:p>
    <w:p w14:paraId="50AB95FE"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Waste Oil and Chemical Handling</w:t>
      </w:r>
    </w:p>
    <w:p w14:paraId="61A61527"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Customer Vehicle Security Protocol</w:t>
      </w:r>
    </w:p>
    <w:p w14:paraId="3B8657E1"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Data Protection and GDPR Compliance</w:t>
      </w:r>
    </w:p>
    <w:p w14:paraId="2BE61CFE" w14:textId="77777777" w:rsidR="001510ED" w:rsidRPr="00390868" w:rsidRDefault="001510ED" w:rsidP="00905241">
      <w:pPr>
        <w:numPr>
          <w:ilvl w:val="0"/>
          <w:numId w:val="40"/>
        </w:numPr>
        <w:spacing w:line="360" w:lineRule="auto"/>
        <w:rPr>
          <w:rFonts w:ascii="Arial" w:hAnsi="Arial" w:cs="Arial"/>
        </w:rPr>
      </w:pPr>
      <w:r w:rsidRPr="00390868">
        <w:rPr>
          <w:rFonts w:ascii="Arial" w:hAnsi="Arial" w:cs="Arial"/>
        </w:rPr>
        <w:t>Incident Reporting and Investigation</w:t>
      </w:r>
    </w:p>
    <w:p w14:paraId="35F31657" w14:textId="77777777" w:rsidR="001510ED" w:rsidRPr="00390868" w:rsidRDefault="001510ED" w:rsidP="00905241">
      <w:pPr>
        <w:spacing w:line="360" w:lineRule="auto"/>
        <w:rPr>
          <w:rFonts w:ascii="Arial" w:hAnsi="Arial" w:cs="Arial"/>
          <w:b/>
          <w:bCs/>
        </w:rPr>
      </w:pPr>
      <w:r w:rsidRPr="00390868">
        <w:rPr>
          <w:rFonts w:ascii="Arial" w:hAnsi="Arial" w:cs="Arial"/>
          <w:b/>
          <w:bCs/>
        </w:rPr>
        <w:t>Audit Schedule:</w:t>
      </w:r>
    </w:p>
    <w:p w14:paraId="49ACC7D2" w14:textId="77777777" w:rsidR="001510ED" w:rsidRPr="00390868" w:rsidRDefault="001510ED" w:rsidP="00905241">
      <w:pPr>
        <w:numPr>
          <w:ilvl w:val="0"/>
          <w:numId w:val="41"/>
        </w:numPr>
        <w:spacing w:line="360" w:lineRule="auto"/>
        <w:rPr>
          <w:rFonts w:ascii="Arial" w:hAnsi="Arial" w:cs="Arial"/>
        </w:rPr>
      </w:pPr>
      <w:r w:rsidRPr="00390868">
        <w:rPr>
          <w:rFonts w:ascii="Arial" w:hAnsi="Arial" w:cs="Arial"/>
        </w:rPr>
        <w:t>Monthly: Health &amp; Safety walkthrough</w:t>
      </w:r>
    </w:p>
    <w:p w14:paraId="047A9052" w14:textId="77777777" w:rsidR="001510ED" w:rsidRPr="00390868" w:rsidRDefault="001510ED" w:rsidP="00905241">
      <w:pPr>
        <w:numPr>
          <w:ilvl w:val="0"/>
          <w:numId w:val="41"/>
        </w:numPr>
        <w:spacing w:line="360" w:lineRule="auto"/>
        <w:rPr>
          <w:rFonts w:ascii="Arial" w:hAnsi="Arial" w:cs="Arial"/>
        </w:rPr>
      </w:pPr>
      <w:r w:rsidRPr="00390868">
        <w:rPr>
          <w:rFonts w:ascii="Arial" w:hAnsi="Arial" w:cs="Arial"/>
        </w:rPr>
        <w:t>Quarterly: Financial controls review</w:t>
      </w:r>
    </w:p>
    <w:p w14:paraId="6CFF42C6" w14:textId="77777777" w:rsidR="001510ED" w:rsidRPr="00390868" w:rsidRDefault="001510ED" w:rsidP="00905241">
      <w:pPr>
        <w:numPr>
          <w:ilvl w:val="0"/>
          <w:numId w:val="41"/>
        </w:numPr>
        <w:spacing w:line="360" w:lineRule="auto"/>
        <w:rPr>
          <w:rFonts w:ascii="Arial" w:hAnsi="Arial" w:cs="Arial"/>
        </w:rPr>
      </w:pPr>
      <w:r w:rsidRPr="00390868">
        <w:rPr>
          <w:rFonts w:ascii="Arial" w:hAnsi="Arial" w:cs="Arial"/>
        </w:rPr>
        <w:t>Bi-annually: DVSA MOT audit preparation</w:t>
      </w:r>
    </w:p>
    <w:p w14:paraId="17B18D7C" w14:textId="77777777" w:rsidR="001510ED" w:rsidRPr="00390868" w:rsidRDefault="001510ED" w:rsidP="00905241">
      <w:pPr>
        <w:numPr>
          <w:ilvl w:val="0"/>
          <w:numId w:val="41"/>
        </w:numPr>
        <w:spacing w:line="360" w:lineRule="auto"/>
        <w:rPr>
          <w:rFonts w:ascii="Arial" w:hAnsi="Arial" w:cs="Arial"/>
        </w:rPr>
      </w:pPr>
      <w:r w:rsidRPr="00390868">
        <w:rPr>
          <w:rFonts w:ascii="Arial" w:hAnsi="Arial" w:cs="Arial"/>
        </w:rPr>
        <w:t>Annually: Full compliance audit</w:t>
      </w:r>
    </w:p>
    <w:p w14:paraId="118D82BA" w14:textId="77777777" w:rsidR="001510ED" w:rsidRPr="00390868" w:rsidRDefault="001510ED" w:rsidP="00905241">
      <w:pPr>
        <w:spacing w:line="360" w:lineRule="auto"/>
        <w:rPr>
          <w:rFonts w:ascii="Arial" w:hAnsi="Arial" w:cs="Arial"/>
          <w:b/>
          <w:bCs/>
        </w:rPr>
      </w:pPr>
      <w:r w:rsidRPr="00390868">
        <w:rPr>
          <w:rFonts w:ascii="Arial" w:hAnsi="Arial" w:cs="Arial"/>
          <w:b/>
          <w:bCs/>
        </w:rPr>
        <w:lastRenderedPageBreak/>
        <w:t>Insurance Requirements:</w:t>
      </w:r>
    </w:p>
    <w:p w14:paraId="7CDCC147"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Employer's Liability: £10M minimum</w:t>
      </w:r>
    </w:p>
    <w:p w14:paraId="3BEFCB56"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Public Liability: £5M minimum</w:t>
      </w:r>
    </w:p>
    <w:p w14:paraId="79587689"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Motor Trade Road Risks: Comprehensive</w:t>
      </w:r>
    </w:p>
    <w:p w14:paraId="51C84CDF"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Professional Indemnity: £1M (for diagnostic services)</w:t>
      </w:r>
    </w:p>
    <w:p w14:paraId="0C39DE75"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Business Interruption: 12 months cover</w:t>
      </w:r>
    </w:p>
    <w:p w14:paraId="2317E102" w14:textId="77777777" w:rsidR="001510ED" w:rsidRPr="00390868" w:rsidRDefault="001510ED" w:rsidP="00905241">
      <w:pPr>
        <w:numPr>
          <w:ilvl w:val="0"/>
          <w:numId w:val="42"/>
        </w:numPr>
        <w:spacing w:line="360" w:lineRule="auto"/>
        <w:rPr>
          <w:rFonts w:ascii="Arial" w:hAnsi="Arial" w:cs="Arial"/>
        </w:rPr>
      </w:pPr>
      <w:r w:rsidRPr="00390868">
        <w:rPr>
          <w:rFonts w:ascii="Arial" w:hAnsi="Arial" w:cs="Arial"/>
        </w:rPr>
        <w:t>Cyber Liability: £500,000</w:t>
      </w:r>
    </w:p>
    <w:p w14:paraId="661FCD89" w14:textId="77777777" w:rsidR="001510ED" w:rsidRPr="00390868" w:rsidRDefault="001510ED" w:rsidP="00905241">
      <w:pPr>
        <w:spacing w:line="360" w:lineRule="auto"/>
        <w:rPr>
          <w:rFonts w:ascii="Arial" w:hAnsi="Arial" w:cs="Arial"/>
          <w:b/>
          <w:bCs/>
        </w:rPr>
      </w:pPr>
      <w:r w:rsidRPr="00390868">
        <w:rPr>
          <w:rFonts w:ascii="Arial" w:hAnsi="Arial" w:cs="Arial"/>
          <w:b/>
          <w:bCs/>
        </w:rPr>
        <w:t>F4: Environmental Compliance Measures</w:t>
      </w:r>
    </w:p>
    <w:tbl>
      <w:tblPr>
        <w:tblStyle w:val="PlainTable1"/>
        <w:tblW w:w="0" w:type="auto"/>
        <w:tblLook w:val="04A0" w:firstRow="1" w:lastRow="0" w:firstColumn="1" w:lastColumn="0" w:noHBand="0" w:noVBand="1"/>
      </w:tblPr>
      <w:tblGrid>
        <w:gridCol w:w="2084"/>
        <w:gridCol w:w="2067"/>
        <w:gridCol w:w="1914"/>
        <w:gridCol w:w="2951"/>
      </w:tblGrid>
      <w:tr w:rsidR="001510ED" w:rsidRPr="00390868" w14:paraId="1A63B1A5" w14:textId="77777777" w:rsidTr="001055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CE95E" w14:textId="77777777" w:rsidR="001510ED" w:rsidRPr="00390868" w:rsidRDefault="001510ED" w:rsidP="00905241">
            <w:pPr>
              <w:spacing w:after="160" w:line="360" w:lineRule="auto"/>
              <w:rPr>
                <w:rFonts w:ascii="Arial" w:hAnsi="Arial" w:cs="Arial"/>
              </w:rPr>
            </w:pPr>
            <w:r w:rsidRPr="00390868">
              <w:rPr>
                <w:rFonts w:ascii="Arial" w:hAnsi="Arial" w:cs="Arial"/>
              </w:rPr>
              <w:t>Waste Stream</w:t>
            </w:r>
          </w:p>
        </w:tc>
        <w:tc>
          <w:tcPr>
            <w:tcW w:w="0" w:type="auto"/>
            <w:hideMark/>
          </w:tcPr>
          <w:p w14:paraId="0931AADF"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Collection Method</w:t>
            </w:r>
          </w:p>
        </w:tc>
        <w:tc>
          <w:tcPr>
            <w:tcW w:w="0" w:type="auto"/>
            <w:hideMark/>
          </w:tcPr>
          <w:p w14:paraId="5174D9E5"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Licensed Contractor</w:t>
            </w:r>
          </w:p>
        </w:tc>
        <w:tc>
          <w:tcPr>
            <w:tcW w:w="0" w:type="auto"/>
            <w:hideMark/>
          </w:tcPr>
          <w:p w14:paraId="0AD7F877" w14:textId="77777777" w:rsidR="001510ED" w:rsidRPr="00390868" w:rsidRDefault="001510ED"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Documentation</w:t>
            </w:r>
          </w:p>
        </w:tc>
      </w:tr>
      <w:tr w:rsidR="001510ED" w:rsidRPr="00390868" w14:paraId="7E302350"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2B432" w14:textId="77777777" w:rsidR="001510ED" w:rsidRPr="00390868" w:rsidRDefault="001510ED" w:rsidP="00905241">
            <w:pPr>
              <w:spacing w:after="160" w:line="360" w:lineRule="auto"/>
              <w:rPr>
                <w:rFonts w:ascii="Arial" w:hAnsi="Arial" w:cs="Arial"/>
              </w:rPr>
            </w:pPr>
            <w:r w:rsidRPr="00390868">
              <w:rPr>
                <w:rFonts w:ascii="Arial" w:hAnsi="Arial" w:cs="Arial"/>
              </w:rPr>
              <w:t>Waste Oil</w:t>
            </w:r>
          </w:p>
        </w:tc>
        <w:tc>
          <w:tcPr>
            <w:tcW w:w="0" w:type="auto"/>
            <w:hideMark/>
          </w:tcPr>
          <w:p w14:paraId="65E7D746"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Dedicated storage tanks</w:t>
            </w:r>
          </w:p>
        </w:tc>
        <w:tc>
          <w:tcPr>
            <w:tcW w:w="0" w:type="auto"/>
            <w:hideMark/>
          </w:tcPr>
          <w:p w14:paraId="0A3A950A"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047456BC"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Waste transfer notes</w:t>
            </w:r>
          </w:p>
        </w:tc>
      </w:tr>
      <w:tr w:rsidR="001510ED" w:rsidRPr="00390868" w14:paraId="75E84462"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17C7BD09" w14:textId="77777777" w:rsidR="001510ED" w:rsidRPr="00390868" w:rsidRDefault="001510ED" w:rsidP="00905241">
            <w:pPr>
              <w:spacing w:after="160" w:line="360" w:lineRule="auto"/>
              <w:rPr>
                <w:rFonts w:ascii="Arial" w:hAnsi="Arial" w:cs="Arial"/>
              </w:rPr>
            </w:pPr>
            <w:r w:rsidRPr="00390868">
              <w:rPr>
                <w:rFonts w:ascii="Arial" w:hAnsi="Arial" w:cs="Arial"/>
              </w:rPr>
              <w:t>Used Tyres</w:t>
            </w:r>
          </w:p>
        </w:tc>
        <w:tc>
          <w:tcPr>
            <w:tcW w:w="0" w:type="auto"/>
            <w:hideMark/>
          </w:tcPr>
          <w:p w14:paraId="64ABB73E"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Secure storage area</w:t>
            </w:r>
          </w:p>
        </w:tc>
        <w:tc>
          <w:tcPr>
            <w:tcW w:w="0" w:type="auto"/>
            <w:hideMark/>
          </w:tcPr>
          <w:p w14:paraId="2AA1AF79"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17D588A8"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Waste transfer notes</w:t>
            </w:r>
          </w:p>
        </w:tc>
      </w:tr>
      <w:tr w:rsidR="001510ED" w:rsidRPr="00390868" w14:paraId="5A567DB4"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45C02" w14:textId="77777777" w:rsidR="001510ED" w:rsidRPr="00390868" w:rsidRDefault="001510ED" w:rsidP="00905241">
            <w:pPr>
              <w:spacing w:after="160" w:line="360" w:lineRule="auto"/>
              <w:rPr>
                <w:rFonts w:ascii="Arial" w:hAnsi="Arial" w:cs="Arial"/>
              </w:rPr>
            </w:pPr>
            <w:r w:rsidRPr="00390868">
              <w:rPr>
                <w:rFonts w:ascii="Arial" w:hAnsi="Arial" w:cs="Arial"/>
              </w:rPr>
              <w:t>Paint Residues</w:t>
            </w:r>
          </w:p>
        </w:tc>
        <w:tc>
          <w:tcPr>
            <w:tcW w:w="0" w:type="auto"/>
            <w:hideMark/>
          </w:tcPr>
          <w:p w14:paraId="589AB508"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Sealed containers</w:t>
            </w:r>
          </w:p>
        </w:tc>
        <w:tc>
          <w:tcPr>
            <w:tcW w:w="0" w:type="auto"/>
            <w:hideMark/>
          </w:tcPr>
          <w:p w14:paraId="421FDADC"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5B1BF36D"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Hazardous waste consignment notes</w:t>
            </w:r>
          </w:p>
        </w:tc>
      </w:tr>
      <w:tr w:rsidR="001510ED" w:rsidRPr="00390868" w14:paraId="5D44147C"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43214BD1" w14:textId="77777777" w:rsidR="001510ED" w:rsidRPr="00390868" w:rsidRDefault="001510ED" w:rsidP="00905241">
            <w:pPr>
              <w:spacing w:after="160" w:line="360" w:lineRule="auto"/>
              <w:rPr>
                <w:rFonts w:ascii="Arial" w:hAnsi="Arial" w:cs="Arial"/>
              </w:rPr>
            </w:pPr>
            <w:r w:rsidRPr="00390868">
              <w:rPr>
                <w:rFonts w:ascii="Arial" w:hAnsi="Arial" w:cs="Arial"/>
              </w:rPr>
              <w:t>Contaminated Wipes</w:t>
            </w:r>
          </w:p>
        </w:tc>
        <w:tc>
          <w:tcPr>
            <w:tcW w:w="0" w:type="auto"/>
            <w:hideMark/>
          </w:tcPr>
          <w:p w14:paraId="6F665A34"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Fireproof bins</w:t>
            </w:r>
          </w:p>
        </w:tc>
        <w:tc>
          <w:tcPr>
            <w:tcW w:w="0" w:type="auto"/>
            <w:hideMark/>
          </w:tcPr>
          <w:p w14:paraId="449F6F75"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3383AB01"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Waste transfer notes</w:t>
            </w:r>
          </w:p>
        </w:tc>
      </w:tr>
      <w:tr w:rsidR="001510ED" w:rsidRPr="00390868" w14:paraId="348FA886"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D2D20F" w14:textId="77777777" w:rsidR="001510ED" w:rsidRPr="00390868" w:rsidRDefault="001510ED" w:rsidP="00905241">
            <w:pPr>
              <w:spacing w:after="160" w:line="360" w:lineRule="auto"/>
              <w:rPr>
                <w:rFonts w:ascii="Arial" w:hAnsi="Arial" w:cs="Arial"/>
              </w:rPr>
            </w:pPr>
            <w:r w:rsidRPr="00390868">
              <w:rPr>
                <w:rFonts w:ascii="Arial" w:hAnsi="Arial" w:cs="Arial"/>
              </w:rPr>
              <w:t>Batteries (Lead-acid)</w:t>
            </w:r>
          </w:p>
        </w:tc>
        <w:tc>
          <w:tcPr>
            <w:tcW w:w="0" w:type="auto"/>
            <w:hideMark/>
          </w:tcPr>
          <w:p w14:paraId="0DD14A57"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Acid-resistant containers</w:t>
            </w:r>
          </w:p>
        </w:tc>
        <w:tc>
          <w:tcPr>
            <w:tcW w:w="0" w:type="auto"/>
            <w:hideMark/>
          </w:tcPr>
          <w:p w14:paraId="311DAA9F"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5A276662"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Waste transfer notes</w:t>
            </w:r>
          </w:p>
        </w:tc>
      </w:tr>
      <w:tr w:rsidR="001510ED" w:rsidRPr="00390868" w14:paraId="1463BB4A" w14:textId="77777777" w:rsidTr="0010552F">
        <w:tc>
          <w:tcPr>
            <w:cnfStyle w:val="001000000000" w:firstRow="0" w:lastRow="0" w:firstColumn="1" w:lastColumn="0" w:oddVBand="0" w:evenVBand="0" w:oddHBand="0" w:evenHBand="0" w:firstRowFirstColumn="0" w:firstRowLastColumn="0" w:lastRowFirstColumn="0" w:lastRowLastColumn="0"/>
            <w:tcW w:w="0" w:type="auto"/>
            <w:hideMark/>
          </w:tcPr>
          <w:p w14:paraId="0640FE3D" w14:textId="77777777" w:rsidR="001510ED" w:rsidRPr="00390868" w:rsidRDefault="001510ED" w:rsidP="00905241">
            <w:pPr>
              <w:spacing w:after="160" w:line="360" w:lineRule="auto"/>
              <w:rPr>
                <w:rFonts w:ascii="Arial" w:hAnsi="Arial" w:cs="Arial"/>
              </w:rPr>
            </w:pPr>
            <w:r w:rsidRPr="00390868">
              <w:rPr>
                <w:rFonts w:ascii="Arial" w:hAnsi="Arial" w:cs="Arial"/>
              </w:rPr>
              <w:t>EV Batteries</w:t>
            </w:r>
          </w:p>
        </w:tc>
        <w:tc>
          <w:tcPr>
            <w:tcW w:w="0" w:type="auto"/>
            <w:hideMark/>
          </w:tcPr>
          <w:p w14:paraId="066630AC"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Specialised containers</w:t>
            </w:r>
          </w:p>
        </w:tc>
        <w:tc>
          <w:tcPr>
            <w:tcW w:w="0" w:type="auto"/>
            <w:hideMark/>
          </w:tcPr>
          <w:p w14:paraId="1965E70A"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To be appointed</w:t>
            </w:r>
          </w:p>
        </w:tc>
        <w:tc>
          <w:tcPr>
            <w:tcW w:w="0" w:type="auto"/>
            <w:hideMark/>
          </w:tcPr>
          <w:p w14:paraId="755D3914" w14:textId="77777777" w:rsidR="001510ED" w:rsidRPr="00390868" w:rsidRDefault="001510ED"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Hazardous waste consignment notes</w:t>
            </w:r>
          </w:p>
        </w:tc>
      </w:tr>
      <w:tr w:rsidR="001510ED" w:rsidRPr="00390868" w14:paraId="615D9F52" w14:textId="77777777" w:rsidTr="001055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14C5A5" w14:textId="77777777" w:rsidR="001510ED" w:rsidRPr="00390868" w:rsidRDefault="001510ED" w:rsidP="00905241">
            <w:pPr>
              <w:spacing w:after="160" w:line="360" w:lineRule="auto"/>
              <w:rPr>
                <w:rFonts w:ascii="Arial" w:hAnsi="Arial" w:cs="Arial"/>
              </w:rPr>
            </w:pPr>
            <w:r w:rsidRPr="00390868">
              <w:rPr>
                <w:rFonts w:ascii="Arial" w:hAnsi="Arial" w:cs="Arial"/>
              </w:rPr>
              <w:t>Wash Water</w:t>
            </w:r>
          </w:p>
        </w:tc>
        <w:tc>
          <w:tcPr>
            <w:tcW w:w="0" w:type="auto"/>
            <w:hideMark/>
          </w:tcPr>
          <w:p w14:paraId="24EF3AE3"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Oil separator system</w:t>
            </w:r>
          </w:p>
        </w:tc>
        <w:tc>
          <w:tcPr>
            <w:tcW w:w="0" w:type="auto"/>
            <w:hideMark/>
          </w:tcPr>
          <w:p w14:paraId="08B2D82E"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N/A (recycled on-site)</w:t>
            </w:r>
          </w:p>
        </w:tc>
        <w:tc>
          <w:tcPr>
            <w:tcW w:w="0" w:type="auto"/>
            <w:hideMark/>
          </w:tcPr>
          <w:p w14:paraId="501C1BA6" w14:textId="77777777" w:rsidR="001510ED" w:rsidRPr="00390868" w:rsidRDefault="001510ED"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Maintenance logs</w:t>
            </w:r>
          </w:p>
        </w:tc>
      </w:tr>
    </w:tbl>
    <w:p w14:paraId="5FB5FBD5" w14:textId="77777777" w:rsidR="001510ED" w:rsidRPr="00390868" w:rsidRDefault="001510ED" w:rsidP="00905241">
      <w:pPr>
        <w:spacing w:line="360" w:lineRule="auto"/>
        <w:rPr>
          <w:rFonts w:ascii="Arial" w:hAnsi="Arial" w:cs="Arial"/>
          <w:b/>
          <w:bCs/>
        </w:rPr>
      </w:pPr>
      <w:r w:rsidRPr="00390868">
        <w:rPr>
          <w:rFonts w:ascii="Arial" w:hAnsi="Arial" w:cs="Arial"/>
          <w:b/>
          <w:bCs/>
        </w:rPr>
        <w:t>Sustainability Commitments:</w:t>
      </w:r>
    </w:p>
    <w:p w14:paraId="638AFB8F"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t>Target: Carbon-neutral core operations by 2028</w:t>
      </w:r>
    </w:p>
    <w:p w14:paraId="65E18D57"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t>All wash water recycled on-site</w:t>
      </w:r>
    </w:p>
    <w:p w14:paraId="18F82E21"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t>100% waste oil and coolant recycling</w:t>
      </w:r>
    </w:p>
    <w:p w14:paraId="040E7492"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lastRenderedPageBreak/>
        <w:t>LED lighting throughout facility</w:t>
      </w:r>
    </w:p>
    <w:p w14:paraId="399AAA94"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t>EV charging points for customer use</w:t>
      </w:r>
    </w:p>
    <w:p w14:paraId="7D8EC9AD" w14:textId="77777777" w:rsidR="001510ED" w:rsidRPr="00390868" w:rsidRDefault="001510ED" w:rsidP="00905241">
      <w:pPr>
        <w:numPr>
          <w:ilvl w:val="0"/>
          <w:numId w:val="43"/>
        </w:numPr>
        <w:spacing w:line="360" w:lineRule="auto"/>
        <w:rPr>
          <w:rFonts w:ascii="Arial" w:hAnsi="Arial" w:cs="Arial"/>
        </w:rPr>
      </w:pPr>
      <w:r w:rsidRPr="00390868">
        <w:rPr>
          <w:rFonts w:ascii="Arial" w:hAnsi="Arial" w:cs="Arial"/>
        </w:rPr>
        <w:t>Paperless administration where possible</w:t>
      </w:r>
    </w:p>
    <w:p w14:paraId="266E118B" w14:textId="77777777" w:rsidR="00683435" w:rsidRPr="00390868" w:rsidRDefault="00683435" w:rsidP="00905241">
      <w:pPr>
        <w:spacing w:line="360" w:lineRule="auto"/>
        <w:rPr>
          <w:rFonts w:ascii="Arial" w:hAnsi="Arial" w:cs="Arial"/>
          <w:b/>
          <w:bCs/>
        </w:rPr>
      </w:pPr>
      <w:r w:rsidRPr="00390868">
        <w:rPr>
          <w:rFonts w:ascii="Arial" w:hAnsi="Arial" w:cs="Arial"/>
          <w:b/>
          <w:bCs/>
        </w:rPr>
        <w:t>Appendix G: Implementation Roadmap (Gantt Chart)</w:t>
      </w:r>
    </w:p>
    <w:p w14:paraId="67A3D33E" w14:textId="77777777" w:rsidR="00683435" w:rsidRPr="00390868" w:rsidRDefault="00683435" w:rsidP="00905241">
      <w:pPr>
        <w:spacing w:line="360" w:lineRule="auto"/>
        <w:rPr>
          <w:rFonts w:ascii="Arial" w:hAnsi="Arial" w:cs="Arial"/>
        </w:rPr>
      </w:pPr>
      <w:r w:rsidRPr="00390868">
        <w:rPr>
          <w:rFonts w:ascii="Arial" w:hAnsi="Arial" w:cs="Arial"/>
          <w:b/>
          <w:bCs/>
        </w:rPr>
        <w:t>Reference:</w:t>
      </w:r>
      <w:r w:rsidRPr="00390868">
        <w:rPr>
          <w:rFonts w:ascii="Arial" w:hAnsi="Arial" w:cs="Arial"/>
        </w:rPr>
        <w:t xml:space="preserve"> Sections 10.2, 10.3, 10.4 and 10.5</w:t>
      </w:r>
    </w:p>
    <w:p w14:paraId="12EBD1E2" w14:textId="77777777" w:rsidR="00683435" w:rsidRPr="00390868" w:rsidRDefault="00683435" w:rsidP="00905241">
      <w:pPr>
        <w:spacing w:line="360" w:lineRule="auto"/>
        <w:rPr>
          <w:rFonts w:ascii="Arial" w:hAnsi="Arial" w:cs="Arial"/>
        </w:rPr>
      </w:pPr>
      <w:r w:rsidRPr="00390868">
        <w:rPr>
          <w:rFonts w:ascii="Arial" w:hAnsi="Arial" w:cs="Arial"/>
        </w:rPr>
        <w:t xml:space="preserve">This appendix presents a time-phased implementation roadmap illustrating the sequencing, dependencies, and decision gates governing the launch and scaling of 1 STATION Ltd. The roadmap reflects a </w:t>
      </w:r>
      <w:r w:rsidRPr="00390868">
        <w:rPr>
          <w:rFonts w:ascii="Arial" w:hAnsi="Arial" w:cs="Arial"/>
          <w:b/>
          <w:bCs/>
        </w:rPr>
        <w:t>regulatory-first, capacity-gated execution strategy</w:t>
      </w:r>
      <w:r w:rsidRPr="00390868">
        <w:rPr>
          <w:rFonts w:ascii="Arial" w:hAnsi="Arial" w:cs="Arial"/>
        </w:rPr>
        <w:t>, ensuring that operational scale is released only when compliance, system stability, and cash-flow tolerance are demonstrably secured.</w:t>
      </w:r>
    </w:p>
    <w:p w14:paraId="7BDF9534" w14:textId="77777777" w:rsidR="00683435" w:rsidRPr="00390868" w:rsidRDefault="00683435" w:rsidP="00905241">
      <w:pPr>
        <w:spacing w:line="360" w:lineRule="auto"/>
        <w:rPr>
          <w:rFonts w:ascii="Arial" w:hAnsi="Arial" w:cs="Arial"/>
          <w:b/>
          <w:bCs/>
        </w:rPr>
      </w:pPr>
      <w:r w:rsidRPr="00390868">
        <w:rPr>
          <w:rFonts w:ascii="Arial" w:hAnsi="Arial" w:cs="Arial"/>
          <w:b/>
          <w:bCs/>
        </w:rPr>
        <w:t>G.1 Phased Implementation Timeline and Decision Gates</w:t>
      </w:r>
    </w:p>
    <w:tbl>
      <w:tblPr>
        <w:tblStyle w:val="PlainTable1"/>
        <w:tblW w:w="0" w:type="auto"/>
        <w:tblLook w:val="04A0" w:firstRow="1" w:lastRow="0" w:firstColumn="1" w:lastColumn="0" w:noHBand="0" w:noVBand="1"/>
      </w:tblPr>
      <w:tblGrid>
        <w:gridCol w:w="1240"/>
        <w:gridCol w:w="1107"/>
        <w:gridCol w:w="1107"/>
        <w:gridCol w:w="1107"/>
        <w:gridCol w:w="1107"/>
        <w:gridCol w:w="1107"/>
        <w:gridCol w:w="1107"/>
        <w:gridCol w:w="1134"/>
      </w:tblGrid>
      <w:tr w:rsidR="00683435" w:rsidRPr="00390868" w14:paraId="7E0E3A83" w14:textId="77777777" w:rsidTr="006834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BDE61" w14:textId="77777777" w:rsidR="00683435" w:rsidRPr="00390868" w:rsidRDefault="00683435" w:rsidP="00905241">
            <w:pPr>
              <w:spacing w:after="160" w:line="360" w:lineRule="auto"/>
              <w:rPr>
                <w:rFonts w:ascii="Arial" w:hAnsi="Arial" w:cs="Arial"/>
              </w:rPr>
            </w:pPr>
            <w:r w:rsidRPr="00390868">
              <w:rPr>
                <w:rFonts w:ascii="Arial" w:hAnsi="Arial" w:cs="Arial"/>
              </w:rPr>
              <w:t>Phase / Key Activity</w:t>
            </w:r>
          </w:p>
        </w:tc>
        <w:tc>
          <w:tcPr>
            <w:tcW w:w="0" w:type="auto"/>
            <w:hideMark/>
          </w:tcPr>
          <w:p w14:paraId="043F1E10"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Months 1–3</w:t>
            </w:r>
          </w:p>
        </w:tc>
        <w:tc>
          <w:tcPr>
            <w:tcW w:w="0" w:type="auto"/>
            <w:hideMark/>
          </w:tcPr>
          <w:p w14:paraId="0470F1BB"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Months 4–6</w:t>
            </w:r>
          </w:p>
        </w:tc>
        <w:tc>
          <w:tcPr>
            <w:tcW w:w="0" w:type="auto"/>
            <w:hideMark/>
          </w:tcPr>
          <w:p w14:paraId="7BF642F6"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Months 7–9</w:t>
            </w:r>
          </w:p>
        </w:tc>
        <w:tc>
          <w:tcPr>
            <w:tcW w:w="0" w:type="auto"/>
            <w:hideMark/>
          </w:tcPr>
          <w:p w14:paraId="3173C1C4"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Months 10–12</w:t>
            </w:r>
          </w:p>
        </w:tc>
        <w:tc>
          <w:tcPr>
            <w:tcW w:w="0" w:type="auto"/>
            <w:hideMark/>
          </w:tcPr>
          <w:p w14:paraId="40DD5358"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2</w:t>
            </w:r>
          </w:p>
        </w:tc>
        <w:tc>
          <w:tcPr>
            <w:tcW w:w="0" w:type="auto"/>
            <w:hideMark/>
          </w:tcPr>
          <w:p w14:paraId="05D33A54"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Year 3</w:t>
            </w:r>
          </w:p>
        </w:tc>
        <w:tc>
          <w:tcPr>
            <w:tcW w:w="0" w:type="auto"/>
            <w:hideMark/>
          </w:tcPr>
          <w:p w14:paraId="13715673" w14:textId="77777777" w:rsidR="00683435" w:rsidRPr="00390868" w:rsidRDefault="00683435" w:rsidP="0090524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Milestone / Decision Gate</w:t>
            </w:r>
          </w:p>
        </w:tc>
      </w:tr>
      <w:tr w:rsidR="00683435" w:rsidRPr="00390868" w14:paraId="635A75B1" w14:textId="77777777" w:rsidTr="00854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8"/>
            <w:hideMark/>
          </w:tcPr>
          <w:p w14:paraId="40BE65F6" w14:textId="4299922D" w:rsidR="00683435" w:rsidRPr="00390868" w:rsidRDefault="00683435" w:rsidP="00905241">
            <w:pPr>
              <w:spacing w:after="160" w:line="360" w:lineRule="auto"/>
              <w:rPr>
                <w:rFonts w:ascii="Arial" w:hAnsi="Arial" w:cs="Arial"/>
              </w:rPr>
            </w:pPr>
            <w:r w:rsidRPr="00390868">
              <w:rPr>
                <w:rFonts w:ascii="Arial" w:hAnsi="Arial" w:cs="Arial"/>
              </w:rPr>
              <w:t>PHASE 1: SET-UP &amp; REGULATORY READINESS</w:t>
            </w:r>
          </w:p>
        </w:tc>
      </w:tr>
      <w:tr w:rsidR="00683435" w:rsidRPr="00390868" w14:paraId="72FBDE04"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2061F3A6" w14:textId="77777777" w:rsidR="00683435" w:rsidRPr="00390868" w:rsidRDefault="00683435" w:rsidP="00905241">
            <w:pPr>
              <w:spacing w:after="160" w:line="360" w:lineRule="auto"/>
              <w:rPr>
                <w:rFonts w:ascii="Arial" w:hAnsi="Arial" w:cs="Arial"/>
              </w:rPr>
            </w:pPr>
            <w:r w:rsidRPr="00390868">
              <w:rPr>
                <w:rFonts w:ascii="Arial" w:hAnsi="Arial" w:cs="Arial"/>
              </w:rPr>
              <w:t>Legal formation, funding close, site acquisition</w:t>
            </w:r>
          </w:p>
        </w:tc>
        <w:tc>
          <w:tcPr>
            <w:tcW w:w="0" w:type="auto"/>
            <w:hideMark/>
          </w:tcPr>
          <w:p w14:paraId="68CCF3CE"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19B21123"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F482363"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D82653A"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E726139"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508AAFD"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7894793C"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Gate 1:</w:t>
            </w:r>
            <w:r w:rsidRPr="00390868">
              <w:rPr>
                <w:rFonts w:ascii="Arial" w:hAnsi="Arial" w:cs="Arial"/>
              </w:rPr>
              <w:t xml:space="preserve"> Lease signed; funding secured</w:t>
            </w:r>
          </w:p>
        </w:tc>
      </w:tr>
      <w:tr w:rsidR="00683435" w:rsidRPr="00390868" w14:paraId="4770E948"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813CF5" w14:textId="17B4C05D" w:rsidR="00683435" w:rsidRPr="00390868" w:rsidRDefault="00683435" w:rsidP="00905241">
            <w:pPr>
              <w:spacing w:after="160" w:line="360" w:lineRule="auto"/>
              <w:rPr>
                <w:rFonts w:ascii="Arial" w:hAnsi="Arial" w:cs="Arial"/>
              </w:rPr>
            </w:pPr>
            <w:r w:rsidRPr="00390868">
              <w:rPr>
                <w:rFonts w:ascii="Arial" w:hAnsi="Arial" w:cs="Arial"/>
              </w:rPr>
              <w:t>Estate fit out &amp; core infrastructure</w:t>
            </w:r>
          </w:p>
        </w:tc>
        <w:tc>
          <w:tcPr>
            <w:tcW w:w="0" w:type="auto"/>
            <w:hideMark/>
          </w:tcPr>
          <w:p w14:paraId="500C666F"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06C28B97"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7071DC78"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B23E5C6"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B32B247"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2EDFD00"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F0FAD1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Fit-out ≥90% complete</w:t>
            </w:r>
          </w:p>
        </w:tc>
      </w:tr>
      <w:tr w:rsidR="00683435" w:rsidRPr="00390868" w14:paraId="35164A05"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51B24E64" w14:textId="77777777" w:rsidR="00683435" w:rsidRPr="00390868" w:rsidRDefault="00683435" w:rsidP="00905241">
            <w:pPr>
              <w:spacing w:after="160" w:line="360" w:lineRule="auto"/>
              <w:rPr>
                <w:rFonts w:ascii="Arial" w:hAnsi="Arial" w:cs="Arial"/>
              </w:rPr>
            </w:pPr>
            <w:r w:rsidRPr="00390868">
              <w:rPr>
                <w:rFonts w:ascii="Arial" w:hAnsi="Arial" w:cs="Arial"/>
              </w:rPr>
              <w:t>DVSA MOT applicati</w:t>
            </w:r>
            <w:r w:rsidRPr="00390868">
              <w:rPr>
                <w:rFonts w:ascii="Arial" w:hAnsi="Arial" w:cs="Arial"/>
              </w:rPr>
              <w:lastRenderedPageBreak/>
              <w:t>on &amp; approval process</w:t>
            </w:r>
          </w:p>
        </w:tc>
        <w:tc>
          <w:tcPr>
            <w:tcW w:w="0" w:type="auto"/>
            <w:hideMark/>
          </w:tcPr>
          <w:p w14:paraId="407626FF"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lastRenderedPageBreak/>
              <w:t>████████</w:t>
            </w:r>
          </w:p>
        </w:tc>
        <w:tc>
          <w:tcPr>
            <w:tcW w:w="0" w:type="auto"/>
            <w:hideMark/>
          </w:tcPr>
          <w:p w14:paraId="0FC2E83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43536F2E"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72DD1272"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6199E5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FDC646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5053D8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Gate 2:</w:t>
            </w:r>
            <w:r w:rsidRPr="00390868">
              <w:rPr>
                <w:rFonts w:ascii="Arial" w:hAnsi="Arial" w:cs="Arial"/>
              </w:rPr>
              <w:t xml:space="preserve"> DVSA MOT </w:t>
            </w:r>
            <w:r w:rsidRPr="00390868">
              <w:rPr>
                <w:rFonts w:ascii="Arial" w:hAnsi="Arial" w:cs="Arial"/>
              </w:rPr>
              <w:lastRenderedPageBreak/>
              <w:t>approval granted</w:t>
            </w:r>
          </w:p>
        </w:tc>
      </w:tr>
      <w:tr w:rsidR="00683435" w:rsidRPr="00390868" w14:paraId="6DF3489D"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283D3" w14:textId="77777777" w:rsidR="00683435" w:rsidRPr="00390868" w:rsidRDefault="00683435" w:rsidP="00905241">
            <w:pPr>
              <w:spacing w:after="160" w:line="360" w:lineRule="auto"/>
              <w:rPr>
                <w:rFonts w:ascii="Arial" w:hAnsi="Arial" w:cs="Arial"/>
              </w:rPr>
            </w:pPr>
            <w:r w:rsidRPr="00390868">
              <w:rPr>
                <w:rFonts w:ascii="Arial" w:hAnsi="Arial" w:cs="Arial"/>
              </w:rPr>
              <w:lastRenderedPageBreak/>
              <w:t>HSE EV bay inspection &amp; sign-off</w:t>
            </w:r>
          </w:p>
        </w:tc>
        <w:tc>
          <w:tcPr>
            <w:tcW w:w="0" w:type="auto"/>
            <w:hideMark/>
          </w:tcPr>
          <w:p w14:paraId="4E27FF9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F85C1DC"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796B0BF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AB78E27"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ED52C49"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310B640"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32C84E6"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Gate 3:</w:t>
            </w:r>
            <w:r w:rsidRPr="00390868">
              <w:rPr>
                <w:rFonts w:ascii="Arial" w:hAnsi="Arial" w:cs="Arial"/>
              </w:rPr>
              <w:t xml:space="preserve"> HSE compliance confirmed</w:t>
            </w:r>
          </w:p>
        </w:tc>
      </w:tr>
      <w:tr w:rsidR="00683435" w:rsidRPr="00390868" w14:paraId="242D345C"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29359FCE" w14:textId="77777777" w:rsidR="00683435" w:rsidRPr="00390868" w:rsidRDefault="00683435" w:rsidP="00905241">
            <w:pPr>
              <w:spacing w:after="160" w:line="360" w:lineRule="auto"/>
              <w:rPr>
                <w:rFonts w:ascii="Arial" w:hAnsi="Arial" w:cs="Arial"/>
              </w:rPr>
            </w:pPr>
            <w:r w:rsidRPr="00390868">
              <w:rPr>
                <w:rFonts w:ascii="Arial" w:hAnsi="Arial" w:cs="Arial"/>
              </w:rPr>
              <w:t>Core management recruitment</w:t>
            </w:r>
          </w:p>
        </w:tc>
        <w:tc>
          <w:tcPr>
            <w:tcW w:w="0" w:type="auto"/>
            <w:hideMark/>
          </w:tcPr>
          <w:p w14:paraId="0940638D"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0637D72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27462FEA"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AA8ECB0"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D8CFD1E"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4D7584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462FA6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Management team in place</w:t>
            </w:r>
          </w:p>
        </w:tc>
      </w:tr>
      <w:tr w:rsidR="00683435" w:rsidRPr="00390868" w14:paraId="2823225F"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E7952" w14:textId="77777777" w:rsidR="00683435" w:rsidRPr="00390868" w:rsidRDefault="00683435" w:rsidP="00905241">
            <w:pPr>
              <w:spacing w:after="160" w:line="360" w:lineRule="auto"/>
              <w:rPr>
                <w:rFonts w:ascii="Arial" w:hAnsi="Arial" w:cs="Arial"/>
              </w:rPr>
            </w:pPr>
            <w:r w:rsidRPr="00390868">
              <w:rPr>
                <w:rFonts w:ascii="Arial" w:hAnsi="Arial" w:cs="Arial"/>
              </w:rPr>
              <w:t>CRM &amp; systems configuration and testing</w:t>
            </w:r>
          </w:p>
        </w:tc>
        <w:tc>
          <w:tcPr>
            <w:tcW w:w="0" w:type="auto"/>
            <w:hideMark/>
          </w:tcPr>
          <w:p w14:paraId="78C13F10"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89D47D1"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34D8F245"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1D316A3"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A182F5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CDC614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D8C3D9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Gate 4:</w:t>
            </w:r>
            <w:r w:rsidRPr="00390868">
              <w:rPr>
                <w:rFonts w:ascii="Arial" w:hAnsi="Arial" w:cs="Arial"/>
              </w:rPr>
              <w:t xml:space="preserve"> System error rate &lt;2%</w:t>
            </w:r>
          </w:p>
        </w:tc>
      </w:tr>
      <w:tr w:rsidR="00683435" w:rsidRPr="00390868" w14:paraId="23912D67" w14:textId="77777777" w:rsidTr="000056A5">
        <w:tc>
          <w:tcPr>
            <w:cnfStyle w:val="001000000000" w:firstRow="0" w:lastRow="0" w:firstColumn="1" w:lastColumn="0" w:oddVBand="0" w:evenVBand="0" w:oddHBand="0" w:evenHBand="0" w:firstRowFirstColumn="0" w:firstRowLastColumn="0" w:lastRowFirstColumn="0" w:lastRowLastColumn="0"/>
            <w:tcW w:w="0" w:type="auto"/>
            <w:gridSpan w:val="8"/>
            <w:hideMark/>
          </w:tcPr>
          <w:p w14:paraId="766BE084" w14:textId="0EE9C9DA" w:rsidR="00683435" w:rsidRPr="00390868" w:rsidRDefault="00683435" w:rsidP="00905241">
            <w:pPr>
              <w:spacing w:after="160" w:line="360" w:lineRule="auto"/>
              <w:rPr>
                <w:rFonts w:ascii="Arial" w:hAnsi="Arial" w:cs="Arial"/>
              </w:rPr>
            </w:pPr>
            <w:r w:rsidRPr="00390868">
              <w:rPr>
                <w:rFonts w:ascii="Arial" w:hAnsi="Arial" w:cs="Arial"/>
              </w:rPr>
              <w:t>PHASE 2: CONTROLLED OPERATIONAL ACTIVATION</w:t>
            </w:r>
          </w:p>
        </w:tc>
      </w:tr>
      <w:tr w:rsidR="00683435" w:rsidRPr="00390868" w14:paraId="62057F48"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78F3A" w14:textId="77777777" w:rsidR="00683435" w:rsidRPr="00390868" w:rsidRDefault="00683435" w:rsidP="00905241">
            <w:pPr>
              <w:spacing w:after="160" w:line="360" w:lineRule="auto"/>
              <w:rPr>
                <w:rFonts w:ascii="Arial" w:hAnsi="Arial" w:cs="Arial"/>
              </w:rPr>
            </w:pPr>
            <w:r w:rsidRPr="00390868">
              <w:rPr>
                <w:rFonts w:ascii="Arial" w:hAnsi="Arial" w:cs="Arial"/>
              </w:rPr>
              <w:t>Soft launch: MOT, mechanical &amp; tyres</w:t>
            </w:r>
          </w:p>
        </w:tc>
        <w:tc>
          <w:tcPr>
            <w:tcW w:w="0" w:type="auto"/>
            <w:hideMark/>
          </w:tcPr>
          <w:p w14:paraId="528E707F"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D7E9C77"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D456363"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2A02A4D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27B41DF"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D9AD976"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895485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83435" w:rsidRPr="00390868" w14:paraId="0C2D3212"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07F0DE27" w14:textId="77777777" w:rsidR="00683435" w:rsidRPr="00390868" w:rsidRDefault="00683435" w:rsidP="00905241">
            <w:pPr>
              <w:spacing w:after="160" w:line="360" w:lineRule="auto"/>
              <w:rPr>
                <w:rFonts w:ascii="Arial" w:hAnsi="Arial" w:cs="Arial"/>
              </w:rPr>
            </w:pPr>
            <w:r w:rsidRPr="00390868">
              <w:rPr>
                <w:rFonts w:ascii="Arial" w:hAnsi="Arial" w:cs="Arial"/>
              </w:rPr>
              <w:t>Lean staffing ramp-up (15–17 FTE)</w:t>
            </w:r>
          </w:p>
        </w:tc>
        <w:tc>
          <w:tcPr>
            <w:tcW w:w="0" w:type="auto"/>
            <w:hideMark/>
          </w:tcPr>
          <w:p w14:paraId="3E872E59"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309DE4D"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CA2253D"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437B52E7"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D28352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A8C96E0"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E84EAB7"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83435" w:rsidRPr="00390868" w14:paraId="532FFED4"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E689DF" w14:textId="77777777" w:rsidR="00683435" w:rsidRPr="00390868" w:rsidRDefault="00683435" w:rsidP="00905241">
            <w:pPr>
              <w:spacing w:after="160" w:line="360" w:lineRule="auto"/>
              <w:rPr>
                <w:rFonts w:ascii="Arial" w:hAnsi="Arial" w:cs="Arial"/>
              </w:rPr>
            </w:pPr>
            <w:r w:rsidRPr="00390868">
              <w:rPr>
                <w:rFonts w:ascii="Arial" w:hAnsi="Arial" w:cs="Arial"/>
              </w:rPr>
              <w:t>Limited local &amp; high-</w:t>
            </w:r>
            <w:r w:rsidRPr="00390868">
              <w:rPr>
                <w:rFonts w:ascii="Arial" w:hAnsi="Arial" w:cs="Arial"/>
              </w:rPr>
              <w:lastRenderedPageBreak/>
              <w:t>intent marketing</w:t>
            </w:r>
          </w:p>
        </w:tc>
        <w:tc>
          <w:tcPr>
            <w:tcW w:w="0" w:type="auto"/>
            <w:hideMark/>
          </w:tcPr>
          <w:p w14:paraId="734405BA"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39CA8FC"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C0B7B1F"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5F7F6193"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4CF346C"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C1ADBEB"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D738130"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83435" w:rsidRPr="00390868" w14:paraId="4EE58CD8"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734FF689" w14:textId="77777777" w:rsidR="00683435" w:rsidRPr="00390868" w:rsidRDefault="00683435" w:rsidP="00905241">
            <w:pPr>
              <w:spacing w:after="160" w:line="360" w:lineRule="auto"/>
              <w:rPr>
                <w:rFonts w:ascii="Arial" w:hAnsi="Arial" w:cs="Arial"/>
              </w:rPr>
            </w:pPr>
            <w:r w:rsidRPr="00390868">
              <w:rPr>
                <w:rFonts w:ascii="Arial" w:hAnsi="Arial" w:cs="Arial"/>
              </w:rPr>
              <w:t>Workflow, pricing &amp; utilisation validation</w:t>
            </w:r>
          </w:p>
        </w:tc>
        <w:tc>
          <w:tcPr>
            <w:tcW w:w="0" w:type="auto"/>
            <w:hideMark/>
          </w:tcPr>
          <w:p w14:paraId="5DB1D8B5"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AD38A2C"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70687B7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7355A15A"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71BF627"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6BF04C5"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926C1CD"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b/>
                <w:bCs/>
              </w:rPr>
              <w:t>Gate 5:</w:t>
            </w:r>
            <w:r w:rsidRPr="00390868">
              <w:rPr>
                <w:rFonts w:ascii="Arial" w:hAnsi="Arial" w:cs="Arial"/>
              </w:rPr>
              <w:t xml:space="preserve"> Utilisation ≥40%; rework &lt;5%</w:t>
            </w:r>
          </w:p>
        </w:tc>
      </w:tr>
      <w:tr w:rsidR="00683435" w:rsidRPr="00390868" w14:paraId="681F6DF0" w14:textId="77777777" w:rsidTr="006B0D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8"/>
            <w:hideMark/>
          </w:tcPr>
          <w:p w14:paraId="344F7A9B" w14:textId="21474347" w:rsidR="00683435" w:rsidRPr="00390868" w:rsidRDefault="00683435" w:rsidP="00905241">
            <w:pPr>
              <w:spacing w:after="160" w:line="360" w:lineRule="auto"/>
              <w:rPr>
                <w:rFonts w:ascii="Arial" w:hAnsi="Arial" w:cs="Arial"/>
              </w:rPr>
            </w:pPr>
            <w:r w:rsidRPr="00390868">
              <w:rPr>
                <w:rFonts w:ascii="Arial" w:hAnsi="Arial" w:cs="Arial"/>
              </w:rPr>
              <w:t>PHASE 3: FULL ESTATE ACTIVATION &amp; OPTIMISATION</w:t>
            </w:r>
          </w:p>
        </w:tc>
      </w:tr>
      <w:tr w:rsidR="00683435" w:rsidRPr="00390868" w14:paraId="3186D6AD"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18C98408" w14:textId="77777777" w:rsidR="00683435" w:rsidRPr="00390868" w:rsidRDefault="00683435" w:rsidP="00905241">
            <w:pPr>
              <w:spacing w:after="160" w:line="360" w:lineRule="auto"/>
              <w:rPr>
                <w:rFonts w:ascii="Arial" w:hAnsi="Arial" w:cs="Arial"/>
              </w:rPr>
            </w:pPr>
            <w:r w:rsidRPr="00390868">
              <w:rPr>
                <w:rFonts w:ascii="Arial" w:hAnsi="Arial" w:cs="Arial"/>
              </w:rPr>
              <w:t>Activation of EV servicing &amp; bodywork units</w:t>
            </w:r>
          </w:p>
        </w:tc>
        <w:tc>
          <w:tcPr>
            <w:tcW w:w="0" w:type="auto"/>
            <w:hideMark/>
          </w:tcPr>
          <w:p w14:paraId="05DAD35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6EA7F6E"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D277C1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ED09C74"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340EF205"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3C678887"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AED6D4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83435" w:rsidRPr="00390868" w14:paraId="30C783DB"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66B37" w14:textId="77777777" w:rsidR="00683435" w:rsidRPr="00390868" w:rsidRDefault="00683435" w:rsidP="00905241">
            <w:pPr>
              <w:spacing w:after="160" w:line="360" w:lineRule="auto"/>
              <w:rPr>
                <w:rFonts w:ascii="Arial" w:hAnsi="Arial" w:cs="Arial"/>
              </w:rPr>
            </w:pPr>
            <w:r w:rsidRPr="00390868">
              <w:rPr>
                <w:rFonts w:ascii="Arial" w:hAnsi="Arial" w:cs="Arial"/>
              </w:rPr>
              <w:t>Tinting unit launch &amp; service bundling</w:t>
            </w:r>
          </w:p>
        </w:tc>
        <w:tc>
          <w:tcPr>
            <w:tcW w:w="0" w:type="auto"/>
            <w:hideMark/>
          </w:tcPr>
          <w:p w14:paraId="4EABD19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094083D"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A0CCE19"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84B68EE"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20052FC1"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0205C8EC"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2F9B5FD"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83435" w:rsidRPr="00390868" w14:paraId="03B624A9"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711A23F9" w14:textId="77777777" w:rsidR="00683435" w:rsidRPr="00390868" w:rsidRDefault="00683435" w:rsidP="00905241">
            <w:pPr>
              <w:spacing w:after="160" w:line="360" w:lineRule="auto"/>
              <w:rPr>
                <w:rFonts w:ascii="Arial" w:hAnsi="Arial" w:cs="Arial"/>
              </w:rPr>
            </w:pPr>
            <w:r w:rsidRPr="00390868">
              <w:rPr>
                <w:rFonts w:ascii="Arial" w:hAnsi="Arial" w:cs="Arial"/>
              </w:rPr>
              <w:t>Full staffing build-out (≈32 FTE)</w:t>
            </w:r>
          </w:p>
        </w:tc>
        <w:tc>
          <w:tcPr>
            <w:tcW w:w="0" w:type="auto"/>
            <w:hideMark/>
          </w:tcPr>
          <w:p w14:paraId="12E3093C"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AE60D5A"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69B0545"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425FE29"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1094396C"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216BA580"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9B8DAFE"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83435" w:rsidRPr="00390868" w14:paraId="51B01530" w14:textId="77777777" w:rsidTr="00683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90776" w14:textId="77777777" w:rsidR="00683435" w:rsidRPr="00390868" w:rsidRDefault="00683435" w:rsidP="00905241">
            <w:pPr>
              <w:spacing w:after="160" w:line="360" w:lineRule="auto"/>
              <w:rPr>
                <w:rFonts w:ascii="Arial" w:hAnsi="Arial" w:cs="Arial"/>
              </w:rPr>
            </w:pPr>
            <w:r w:rsidRPr="00390868">
              <w:rPr>
                <w:rFonts w:ascii="Arial" w:hAnsi="Arial" w:cs="Arial"/>
              </w:rPr>
              <w:t>EBITDA break-even achievement</w:t>
            </w:r>
          </w:p>
        </w:tc>
        <w:tc>
          <w:tcPr>
            <w:tcW w:w="0" w:type="auto"/>
            <w:hideMark/>
          </w:tcPr>
          <w:p w14:paraId="5890302E"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E95275C"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B13B550"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E1F7D1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90E38E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01A94764"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6248285" w14:textId="77777777" w:rsidR="00683435" w:rsidRPr="00390868" w:rsidRDefault="00683435" w:rsidP="0090524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90868">
              <w:rPr>
                <w:rFonts w:ascii="Arial" w:hAnsi="Arial" w:cs="Arial"/>
                <w:b/>
                <w:bCs/>
              </w:rPr>
              <w:t>Gate 6:</w:t>
            </w:r>
            <w:r w:rsidRPr="00390868">
              <w:rPr>
                <w:rFonts w:ascii="Arial" w:hAnsi="Arial" w:cs="Arial"/>
              </w:rPr>
              <w:t xml:space="preserve"> EBITDA positive</w:t>
            </w:r>
          </w:p>
        </w:tc>
      </w:tr>
      <w:tr w:rsidR="00683435" w:rsidRPr="00390868" w14:paraId="53A95A07" w14:textId="77777777" w:rsidTr="00683435">
        <w:tc>
          <w:tcPr>
            <w:cnfStyle w:val="001000000000" w:firstRow="0" w:lastRow="0" w:firstColumn="1" w:lastColumn="0" w:oddVBand="0" w:evenVBand="0" w:oddHBand="0" w:evenHBand="0" w:firstRowFirstColumn="0" w:firstRowLastColumn="0" w:lastRowFirstColumn="0" w:lastRowLastColumn="0"/>
            <w:tcW w:w="0" w:type="auto"/>
            <w:hideMark/>
          </w:tcPr>
          <w:p w14:paraId="6B29B4D1" w14:textId="77777777" w:rsidR="00683435" w:rsidRPr="00390868" w:rsidRDefault="00683435" w:rsidP="00905241">
            <w:pPr>
              <w:spacing w:after="160" w:line="360" w:lineRule="auto"/>
              <w:rPr>
                <w:rFonts w:ascii="Arial" w:hAnsi="Arial" w:cs="Arial"/>
              </w:rPr>
            </w:pPr>
            <w:r w:rsidRPr="00390868">
              <w:rPr>
                <w:rFonts w:ascii="Arial" w:hAnsi="Arial" w:cs="Arial"/>
              </w:rPr>
              <w:t xml:space="preserve">Utilisation </w:t>
            </w:r>
            <w:r w:rsidRPr="00390868">
              <w:rPr>
                <w:rFonts w:ascii="Arial" w:hAnsi="Arial" w:cs="Arial"/>
              </w:rPr>
              <w:lastRenderedPageBreak/>
              <w:t>optimisation &amp; margin expansion</w:t>
            </w:r>
          </w:p>
        </w:tc>
        <w:tc>
          <w:tcPr>
            <w:tcW w:w="0" w:type="auto"/>
            <w:hideMark/>
          </w:tcPr>
          <w:p w14:paraId="3A0AA2B9"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5116328"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4715C81A"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9AA6DBB"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A406213"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62FF1CC9"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w:t>
            </w:r>
          </w:p>
        </w:tc>
        <w:tc>
          <w:tcPr>
            <w:tcW w:w="0" w:type="auto"/>
            <w:hideMark/>
          </w:tcPr>
          <w:p w14:paraId="70003976" w14:textId="77777777" w:rsidR="00683435" w:rsidRPr="00390868" w:rsidRDefault="00683435" w:rsidP="0090524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90868">
              <w:rPr>
                <w:rFonts w:ascii="Arial" w:hAnsi="Arial" w:cs="Arial"/>
              </w:rPr>
              <w:t xml:space="preserve">Target EBITDA </w:t>
            </w:r>
            <w:r w:rsidRPr="00390868">
              <w:rPr>
                <w:rFonts w:ascii="Arial" w:hAnsi="Arial" w:cs="Arial"/>
              </w:rPr>
              <w:lastRenderedPageBreak/>
              <w:t>margin ≥14.9%</w:t>
            </w:r>
          </w:p>
        </w:tc>
      </w:tr>
    </w:tbl>
    <w:p w14:paraId="22EFA99E" w14:textId="4C65ED1E" w:rsidR="00683435" w:rsidRPr="00390868" w:rsidRDefault="00683435" w:rsidP="00905241">
      <w:pPr>
        <w:spacing w:line="360" w:lineRule="auto"/>
        <w:rPr>
          <w:rFonts w:ascii="Arial" w:hAnsi="Arial" w:cs="Arial"/>
        </w:rPr>
      </w:pPr>
    </w:p>
    <w:p w14:paraId="5F4ADB87" w14:textId="77777777" w:rsidR="00683435" w:rsidRPr="00390868" w:rsidRDefault="00683435" w:rsidP="00905241">
      <w:pPr>
        <w:spacing w:line="360" w:lineRule="auto"/>
        <w:rPr>
          <w:rFonts w:ascii="Arial" w:hAnsi="Arial" w:cs="Arial"/>
          <w:b/>
          <w:bCs/>
        </w:rPr>
      </w:pPr>
      <w:r w:rsidRPr="00390868">
        <w:rPr>
          <w:rFonts w:ascii="Arial" w:hAnsi="Arial" w:cs="Arial"/>
          <w:b/>
          <w:bCs/>
        </w:rPr>
        <w:t>G.2 Interpretation and Governance Logic</w:t>
      </w:r>
    </w:p>
    <w:p w14:paraId="55D4AEAC" w14:textId="77777777" w:rsidR="00683435" w:rsidRPr="00390868" w:rsidRDefault="00683435" w:rsidP="00905241">
      <w:pPr>
        <w:numPr>
          <w:ilvl w:val="0"/>
          <w:numId w:val="57"/>
        </w:numPr>
        <w:spacing w:line="360" w:lineRule="auto"/>
        <w:rPr>
          <w:rFonts w:ascii="Arial" w:hAnsi="Arial" w:cs="Arial"/>
        </w:rPr>
      </w:pPr>
      <w:r w:rsidRPr="00390868">
        <w:rPr>
          <w:rFonts w:ascii="Arial" w:hAnsi="Arial" w:cs="Arial"/>
        </w:rPr>
        <w:t>Decision gates operate as hard controls: failure to meet a gate delays downstream activities rather than compressing timelines.</w:t>
      </w:r>
    </w:p>
    <w:p w14:paraId="5B3DD426" w14:textId="77777777" w:rsidR="00683435" w:rsidRPr="00390868" w:rsidRDefault="00683435" w:rsidP="00905241">
      <w:pPr>
        <w:numPr>
          <w:ilvl w:val="0"/>
          <w:numId w:val="57"/>
        </w:numPr>
        <w:spacing w:line="360" w:lineRule="auto"/>
        <w:rPr>
          <w:rFonts w:ascii="Arial" w:hAnsi="Arial" w:cs="Arial"/>
        </w:rPr>
      </w:pPr>
      <w:r w:rsidRPr="00390868">
        <w:rPr>
          <w:rFonts w:ascii="Arial" w:hAnsi="Arial" w:cs="Arial"/>
        </w:rPr>
        <w:t>DVSA approval represents the longest-lead dependency and governs early revenue timing.</w:t>
      </w:r>
    </w:p>
    <w:p w14:paraId="6E00A392" w14:textId="77777777" w:rsidR="00683435" w:rsidRPr="00390868" w:rsidRDefault="00683435" w:rsidP="00905241">
      <w:pPr>
        <w:numPr>
          <w:ilvl w:val="0"/>
          <w:numId w:val="57"/>
        </w:numPr>
        <w:spacing w:line="360" w:lineRule="auto"/>
        <w:rPr>
          <w:rFonts w:ascii="Arial" w:hAnsi="Arial" w:cs="Arial"/>
        </w:rPr>
      </w:pPr>
      <w:r w:rsidRPr="00390868">
        <w:rPr>
          <w:rFonts w:ascii="Arial" w:hAnsi="Arial" w:cs="Arial"/>
        </w:rPr>
        <w:t>Phase 2 acts as a proof-of-concept stage, validating utilisation, pricing discipline, and workflow integration before full fixed-cost exposure.</w:t>
      </w:r>
    </w:p>
    <w:p w14:paraId="29901C37" w14:textId="77777777" w:rsidR="00683435" w:rsidRPr="00390868" w:rsidRDefault="00683435" w:rsidP="00905241">
      <w:pPr>
        <w:numPr>
          <w:ilvl w:val="0"/>
          <w:numId w:val="57"/>
        </w:numPr>
        <w:spacing w:line="360" w:lineRule="auto"/>
        <w:rPr>
          <w:rFonts w:ascii="Arial" w:hAnsi="Arial" w:cs="Arial"/>
        </w:rPr>
      </w:pPr>
      <w:r w:rsidRPr="00390868">
        <w:rPr>
          <w:rFonts w:ascii="Arial" w:hAnsi="Arial" w:cs="Arial"/>
        </w:rPr>
        <w:t>Phase 3 transitions the estate from validation to optimisation, focusing on utilisation depth, contribution margin protection, and repeat customer growth.</w:t>
      </w:r>
    </w:p>
    <w:p w14:paraId="18972D58" w14:textId="77777777" w:rsidR="00683435" w:rsidRPr="00390868" w:rsidRDefault="00683435" w:rsidP="00905241">
      <w:pPr>
        <w:spacing w:line="360" w:lineRule="auto"/>
        <w:rPr>
          <w:rFonts w:ascii="Arial" w:hAnsi="Arial" w:cs="Arial"/>
        </w:rPr>
      </w:pPr>
      <w:r w:rsidRPr="00390868">
        <w:rPr>
          <w:rFonts w:ascii="Arial" w:hAnsi="Arial" w:cs="Arial"/>
        </w:rPr>
        <w:t>This roadmap operationalises the Stage-Gate execution logic described in Section 10, translating strategy into a controlled, auditable, and scalable implementation programme.</w:t>
      </w:r>
    </w:p>
    <w:p w14:paraId="4D33C366" w14:textId="77777777" w:rsidR="00683435" w:rsidRPr="00390868" w:rsidRDefault="00683435" w:rsidP="00905241">
      <w:pPr>
        <w:spacing w:line="360" w:lineRule="auto"/>
        <w:rPr>
          <w:rFonts w:ascii="Arial" w:hAnsi="Arial" w:cs="Arial"/>
        </w:rPr>
      </w:pPr>
    </w:p>
    <w:sectPr w:rsidR="00683435" w:rsidRPr="00390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871"/>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F2527"/>
    <w:multiLevelType w:val="multilevel"/>
    <w:tmpl w:val="2408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134EC"/>
    <w:multiLevelType w:val="multilevel"/>
    <w:tmpl w:val="EFCC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C3739"/>
    <w:multiLevelType w:val="multilevel"/>
    <w:tmpl w:val="839C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C058A"/>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156F0"/>
    <w:multiLevelType w:val="multilevel"/>
    <w:tmpl w:val="1D7C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33CE6"/>
    <w:multiLevelType w:val="multilevel"/>
    <w:tmpl w:val="1ED8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C41D0"/>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52510F"/>
    <w:multiLevelType w:val="multilevel"/>
    <w:tmpl w:val="FE827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56934"/>
    <w:multiLevelType w:val="hybridMultilevel"/>
    <w:tmpl w:val="A3F691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6463A26"/>
    <w:multiLevelType w:val="multilevel"/>
    <w:tmpl w:val="178E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193C3A"/>
    <w:multiLevelType w:val="multilevel"/>
    <w:tmpl w:val="8B54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15A52"/>
    <w:multiLevelType w:val="multilevel"/>
    <w:tmpl w:val="94EA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EC414B"/>
    <w:multiLevelType w:val="multilevel"/>
    <w:tmpl w:val="2C6C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55A14"/>
    <w:multiLevelType w:val="multilevel"/>
    <w:tmpl w:val="0E34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9C3B00"/>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1C6CF4"/>
    <w:multiLevelType w:val="multilevel"/>
    <w:tmpl w:val="4E8C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256AB4"/>
    <w:multiLevelType w:val="multilevel"/>
    <w:tmpl w:val="829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5D60E1"/>
    <w:multiLevelType w:val="multilevel"/>
    <w:tmpl w:val="A150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DC2238"/>
    <w:multiLevelType w:val="multilevel"/>
    <w:tmpl w:val="1108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19226F"/>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7C2824"/>
    <w:multiLevelType w:val="multilevel"/>
    <w:tmpl w:val="59B2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F6191"/>
    <w:multiLevelType w:val="multilevel"/>
    <w:tmpl w:val="8BD2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22609"/>
    <w:multiLevelType w:val="multilevel"/>
    <w:tmpl w:val="A010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B77F7"/>
    <w:multiLevelType w:val="multilevel"/>
    <w:tmpl w:val="1086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15017"/>
    <w:multiLevelType w:val="multilevel"/>
    <w:tmpl w:val="8F705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0B35E9"/>
    <w:multiLevelType w:val="multilevel"/>
    <w:tmpl w:val="D9DA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406938"/>
    <w:multiLevelType w:val="multilevel"/>
    <w:tmpl w:val="D0A01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EE2C3C"/>
    <w:multiLevelType w:val="multilevel"/>
    <w:tmpl w:val="4CF8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482CC0"/>
    <w:multiLevelType w:val="multilevel"/>
    <w:tmpl w:val="F4564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5C544C"/>
    <w:multiLevelType w:val="multilevel"/>
    <w:tmpl w:val="4DE6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07FB9"/>
    <w:multiLevelType w:val="multilevel"/>
    <w:tmpl w:val="7C10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F35832"/>
    <w:multiLevelType w:val="multilevel"/>
    <w:tmpl w:val="63EA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100ABC"/>
    <w:multiLevelType w:val="multilevel"/>
    <w:tmpl w:val="E2DE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8925BE"/>
    <w:multiLevelType w:val="multilevel"/>
    <w:tmpl w:val="6C7E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157CCB"/>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604480"/>
    <w:multiLevelType w:val="multilevel"/>
    <w:tmpl w:val="3BE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68770A"/>
    <w:multiLevelType w:val="multilevel"/>
    <w:tmpl w:val="2CF4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FC3933"/>
    <w:multiLevelType w:val="multilevel"/>
    <w:tmpl w:val="278A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8D60A0"/>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3D4856"/>
    <w:multiLevelType w:val="hybridMultilevel"/>
    <w:tmpl w:val="A3F69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B12FF0"/>
    <w:multiLevelType w:val="multilevel"/>
    <w:tmpl w:val="87485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2D6B20"/>
    <w:multiLevelType w:val="multilevel"/>
    <w:tmpl w:val="CD92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792C64"/>
    <w:multiLevelType w:val="multilevel"/>
    <w:tmpl w:val="6A48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446E18"/>
    <w:multiLevelType w:val="multilevel"/>
    <w:tmpl w:val="AFA2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B52D0F"/>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701366"/>
    <w:multiLevelType w:val="hybridMultilevel"/>
    <w:tmpl w:val="A9D86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F5559FD"/>
    <w:multiLevelType w:val="multilevel"/>
    <w:tmpl w:val="1CA4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762189"/>
    <w:multiLevelType w:val="multilevel"/>
    <w:tmpl w:val="6E7A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620CF4"/>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44E3416"/>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4AA7116"/>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75A1B12"/>
    <w:multiLevelType w:val="multilevel"/>
    <w:tmpl w:val="6FB4C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574432"/>
    <w:multiLevelType w:val="multilevel"/>
    <w:tmpl w:val="0BA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3D395F"/>
    <w:multiLevelType w:val="multilevel"/>
    <w:tmpl w:val="83EE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4B4BA1"/>
    <w:multiLevelType w:val="multilevel"/>
    <w:tmpl w:val="8034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8843AC"/>
    <w:multiLevelType w:val="multilevel"/>
    <w:tmpl w:val="E54C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FB48D8"/>
    <w:multiLevelType w:val="multilevel"/>
    <w:tmpl w:val="92D8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869708">
    <w:abstractNumId w:val="25"/>
  </w:num>
  <w:num w:numId="2" w16cid:durableId="191654760">
    <w:abstractNumId w:val="40"/>
  </w:num>
  <w:num w:numId="3" w16cid:durableId="845948967">
    <w:abstractNumId w:val="1"/>
  </w:num>
  <w:num w:numId="4" w16cid:durableId="803037149">
    <w:abstractNumId w:val="3"/>
  </w:num>
  <w:num w:numId="5" w16cid:durableId="748962630">
    <w:abstractNumId w:val="4"/>
  </w:num>
  <w:num w:numId="6" w16cid:durableId="1459757353">
    <w:abstractNumId w:val="10"/>
  </w:num>
  <w:num w:numId="7" w16cid:durableId="998771187">
    <w:abstractNumId w:val="51"/>
  </w:num>
  <w:num w:numId="8" w16cid:durableId="2003312507">
    <w:abstractNumId w:val="48"/>
  </w:num>
  <w:num w:numId="9" w16cid:durableId="2024041978">
    <w:abstractNumId w:val="52"/>
  </w:num>
  <w:num w:numId="10" w16cid:durableId="531839927">
    <w:abstractNumId w:val="54"/>
  </w:num>
  <w:num w:numId="11" w16cid:durableId="543832033">
    <w:abstractNumId w:val="8"/>
  </w:num>
  <w:num w:numId="12" w16cid:durableId="1190676638">
    <w:abstractNumId w:val="5"/>
  </w:num>
  <w:num w:numId="13" w16cid:durableId="1851796690">
    <w:abstractNumId w:val="47"/>
  </w:num>
  <w:num w:numId="14" w16cid:durableId="2130659935">
    <w:abstractNumId w:val="50"/>
  </w:num>
  <w:num w:numId="15" w16cid:durableId="1706325975">
    <w:abstractNumId w:val="36"/>
  </w:num>
  <w:num w:numId="16" w16cid:durableId="1736931549">
    <w:abstractNumId w:val="13"/>
  </w:num>
  <w:num w:numId="17" w16cid:durableId="936451852">
    <w:abstractNumId w:val="26"/>
  </w:num>
  <w:num w:numId="18" w16cid:durableId="2092239172">
    <w:abstractNumId w:val="2"/>
  </w:num>
  <w:num w:numId="19" w16cid:durableId="741759750">
    <w:abstractNumId w:val="15"/>
  </w:num>
  <w:num w:numId="20" w16cid:durableId="1537086477">
    <w:abstractNumId w:val="22"/>
  </w:num>
  <w:num w:numId="21" w16cid:durableId="1660692478">
    <w:abstractNumId w:val="32"/>
  </w:num>
  <w:num w:numId="22" w16cid:durableId="309753954">
    <w:abstractNumId w:val="55"/>
  </w:num>
  <w:num w:numId="23" w16cid:durableId="879629776">
    <w:abstractNumId w:val="39"/>
  </w:num>
  <w:num w:numId="24" w16cid:durableId="722217421">
    <w:abstractNumId w:val="11"/>
  </w:num>
  <w:num w:numId="25" w16cid:durableId="134955350">
    <w:abstractNumId w:val="0"/>
  </w:num>
  <w:num w:numId="26" w16cid:durableId="307521089">
    <w:abstractNumId w:val="7"/>
  </w:num>
  <w:num w:numId="27" w16cid:durableId="296837644">
    <w:abstractNumId w:val="29"/>
  </w:num>
  <w:num w:numId="28" w16cid:durableId="1469349432">
    <w:abstractNumId w:val="6"/>
  </w:num>
  <w:num w:numId="29" w16cid:durableId="1190801279">
    <w:abstractNumId w:val="41"/>
  </w:num>
  <w:num w:numId="30" w16cid:durableId="1408723494">
    <w:abstractNumId w:val="57"/>
  </w:num>
  <w:num w:numId="31" w16cid:durableId="865337734">
    <w:abstractNumId w:val="43"/>
  </w:num>
  <w:num w:numId="32" w16cid:durableId="1311013426">
    <w:abstractNumId w:val="16"/>
  </w:num>
  <w:num w:numId="33" w16cid:durableId="2049454175">
    <w:abstractNumId w:val="38"/>
  </w:num>
  <w:num w:numId="34" w16cid:durableId="1142308168">
    <w:abstractNumId w:val="45"/>
  </w:num>
  <w:num w:numId="35" w16cid:durableId="147790810">
    <w:abstractNumId w:val="23"/>
  </w:num>
  <w:num w:numId="36" w16cid:durableId="424569724">
    <w:abstractNumId w:val="27"/>
  </w:num>
  <w:num w:numId="37" w16cid:durableId="1452899292">
    <w:abstractNumId w:val="33"/>
  </w:num>
  <w:num w:numId="38" w16cid:durableId="1145705955">
    <w:abstractNumId w:val="34"/>
  </w:num>
  <w:num w:numId="39" w16cid:durableId="1542325427">
    <w:abstractNumId w:val="53"/>
  </w:num>
  <w:num w:numId="40" w16cid:durableId="697895588">
    <w:abstractNumId w:val="49"/>
  </w:num>
  <w:num w:numId="41" w16cid:durableId="597101797">
    <w:abstractNumId w:val="44"/>
  </w:num>
  <w:num w:numId="42" w16cid:durableId="470749510">
    <w:abstractNumId w:val="37"/>
  </w:num>
  <w:num w:numId="43" w16cid:durableId="1944682104">
    <w:abstractNumId w:val="17"/>
  </w:num>
  <w:num w:numId="44" w16cid:durableId="13850775">
    <w:abstractNumId w:val="42"/>
  </w:num>
  <w:num w:numId="45" w16cid:durableId="1566143158">
    <w:abstractNumId w:val="35"/>
  </w:num>
  <w:num w:numId="46" w16cid:durableId="1362558996">
    <w:abstractNumId w:val="30"/>
  </w:num>
  <w:num w:numId="47" w16cid:durableId="1352342940">
    <w:abstractNumId w:val="31"/>
  </w:num>
  <w:num w:numId="48" w16cid:durableId="190413868">
    <w:abstractNumId w:val="14"/>
  </w:num>
  <w:num w:numId="49" w16cid:durableId="1194728883">
    <w:abstractNumId w:val="19"/>
  </w:num>
  <w:num w:numId="50" w16cid:durableId="2009285873">
    <w:abstractNumId w:val="12"/>
  </w:num>
  <w:num w:numId="51" w16cid:durableId="1641571813">
    <w:abstractNumId w:val="18"/>
  </w:num>
  <w:num w:numId="52" w16cid:durableId="1814593185">
    <w:abstractNumId w:val="24"/>
  </w:num>
  <w:num w:numId="53" w16cid:durableId="1022514284">
    <w:abstractNumId w:val="28"/>
  </w:num>
  <w:num w:numId="54" w16cid:durableId="1539313992">
    <w:abstractNumId w:val="56"/>
  </w:num>
  <w:num w:numId="55" w16cid:durableId="992490083">
    <w:abstractNumId w:val="20"/>
  </w:num>
  <w:num w:numId="56" w16cid:durableId="914126504">
    <w:abstractNumId w:val="9"/>
  </w:num>
  <w:num w:numId="57" w16cid:durableId="423038491">
    <w:abstractNumId w:val="21"/>
  </w:num>
  <w:num w:numId="58" w16cid:durableId="151526540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97E"/>
    <w:rsid w:val="0000091A"/>
    <w:rsid w:val="00011112"/>
    <w:rsid w:val="00064D52"/>
    <w:rsid w:val="00066C84"/>
    <w:rsid w:val="000751CA"/>
    <w:rsid w:val="000A7384"/>
    <w:rsid w:val="000D2EB3"/>
    <w:rsid w:val="000E7ECB"/>
    <w:rsid w:val="00123AB2"/>
    <w:rsid w:val="00132B8B"/>
    <w:rsid w:val="00133386"/>
    <w:rsid w:val="001510ED"/>
    <w:rsid w:val="001636E8"/>
    <w:rsid w:val="00190947"/>
    <w:rsid w:val="001B1834"/>
    <w:rsid w:val="001E395A"/>
    <w:rsid w:val="00231A9E"/>
    <w:rsid w:val="00234F03"/>
    <w:rsid w:val="00240DF2"/>
    <w:rsid w:val="002615B4"/>
    <w:rsid w:val="00267FCE"/>
    <w:rsid w:val="00282F9C"/>
    <w:rsid w:val="0029097B"/>
    <w:rsid w:val="002956B1"/>
    <w:rsid w:val="00297018"/>
    <w:rsid w:val="002A169D"/>
    <w:rsid w:val="002B10F7"/>
    <w:rsid w:val="002D1A0B"/>
    <w:rsid w:val="002E5DDE"/>
    <w:rsid w:val="002F19FC"/>
    <w:rsid w:val="00301C76"/>
    <w:rsid w:val="00315C87"/>
    <w:rsid w:val="00324A4F"/>
    <w:rsid w:val="003861FB"/>
    <w:rsid w:val="00390868"/>
    <w:rsid w:val="0039197E"/>
    <w:rsid w:val="003A4A44"/>
    <w:rsid w:val="003A6716"/>
    <w:rsid w:val="003B060F"/>
    <w:rsid w:val="003B3BEF"/>
    <w:rsid w:val="003E26DF"/>
    <w:rsid w:val="003F4DF5"/>
    <w:rsid w:val="003F79E2"/>
    <w:rsid w:val="00400B5F"/>
    <w:rsid w:val="00410029"/>
    <w:rsid w:val="004207B3"/>
    <w:rsid w:val="00421CF3"/>
    <w:rsid w:val="0043241A"/>
    <w:rsid w:val="004955B0"/>
    <w:rsid w:val="004B36CF"/>
    <w:rsid w:val="004C424C"/>
    <w:rsid w:val="005141C4"/>
    <w:rsid w:val="00514A56"/>
    <w:rsid w:val="00522AFA"/>
    <w:rsid w:val="005306FD"/>
    <w:rsid w:val="00536DE4"/>
    <w:rsid w:val="0054020F"/>
    <w:rsid w:val="00541B46"/>
    <w:rsid w:val="00542A18"/>
    <w:rsid w:val="00563527"/>
    <w:rsid w:val="00563A50"/>
    <w:rsid w:val="00594F9E"/>
    <w:rsid w:val="005D6764"/>
    <w:rsid w:val="005D7453"/>
    <w:rsid w:val="005E32B2"/>
    <w:rsid w:val="005E5534"/>
    <w:rsid w:val="005E6C6F"/>
    <w:rsid w:val="005F4218"/>
    <w:rsid w:val="00600AA3"/>
    <w:rsid w:val="0061272F"/>
    <w:rsid w:val="00613250"/>
    <w:rsid w:val="006339F7"/>
    <w:rsid w:val="006465E9"/>
    <w:rsid w:val="00651B6F"/>
    <w:rsid w:val="006649A9"/>
    <w:rsid w:val="00666F69"/>
    <w:rsid w:val="00683435"/>
    <w:rsid w:val="006861BC"/>
    <w:rsid w:val="00687C01"/>
    <w:rsid w:val="006935BF"/>
    <w:rsid w:val="006B5F70"/>
    <w:rsid w:val="006C0511"/>
    <w:rsid w:val="006C63F4"/>
    <w:rsid w:val="006C666A"/>
    <w:rsid w:val="006D3796"/>
    <w:rsid w:val="0070319F"/>
    <w:rsid w:val="00703CD4"/>
    <w:rsid w:val="00720C9F"/>
    <w:rsid w:val="00732014"/>
    <w:rsid w:val="007334C3"/>
    <w:rsid w:val="00742236"/>
    <w:rsid w:val="0074567B"/>
    <w:rsid w:val="0077056A"/>
    <w:rsid w:val="00772E52"/>
    <w:rsid w:val="00775AE6"/>
    <w:rsid w:val="007A7EA9"/>
    <w:rsid w:val="007C1450"/>
    <w:rsid w:val="007D79B7"/>
    <w:rsid w:val="00811DD3"/>
    <w:rsid w:val="008403B6"/>
    <w:rsid w:val="00842ECB"/>
    <w:rsid w:val="0085148C"/>
    <w:rsid w:val="008766E4"/>
    <w:rsid w:val="00893046"/>
    <w:rsid w:val="008D5CAD"/>
    <w:rsid w:val="008D5D09"/>
    <w:rsid w:val="008E59B7"/>
    <w:rsid w:val="00905241"/>
    <w:rsid w:val="0092251A"/>
    <w:rsid w:val="00953DD0"/>
    <w:rsid w:val="00971382"/>
    <w:rsid w:val="00975CC9"/>
    <w:rsid w:val="00984575"/>
    <w:rsid w:val="00996E07"/>
    <w:rsid w:val="009A562A"/>
    <w:rsid w:val="009B7747"/>
    <w:rsid w:val="009C2CCC"/>
    <w:rsid w:val="009C32DB"/>
    <w:rsid w:val="009D4695"/>
    <w:rsid w:val="009D54AF"/>
    <w:rsid w:val="009E5ECB"/>
    <w:rsid w:val="009F6ECA"/>
    <w:rsid w:val="00A03B1C"/>
    <w:rsid w:val="00A11D3B"/>
    <w:rsid w:val="00A15D62"/>
    <w:rsid w:val="00A3466E"/>
    <w:rsid w:val="00A619DC"/>
    <w:rsid w:val="00A91680"/>
    <w:rsid w:val="00AA029B"/>
    <w:rsid w:val="00AA0FEF"/>
    <w:rsid w:val="00AA75A5"/>
    <w:rsid w:val="00AD2167"/>
    <w:rsid w:val="00AE386A"/>
    <w:rsid w:val="00AF3D2D"/>
    <w:rsid w:val="00AF60B6"/>
    <w:rsid w:val="00B13717"/>
    <w:rsid w:val="00B156F8"/>
    <w:rsid w:val="00B20002"/>
    <w:rsid w:val="00B445EB"/>
    <w:rsid w:val="00B7008C"/>
    <w:rsid w:val="00B73AF1"/>
    <w:rsid w:val="00B747A2"/>
    <w:rsid w:val="00BA3E08"/>
    <w:rsid w:val="00BA4B59"/>
    <w:rsid w:val="00BA7261"/>
    <w:rsid w:val="00BE5DC0"/>
    <w:rsid w:val="00BE69E7"/>
    <w:rsid w:val="00C00C04"/>
    <w:rsid w:val="00C013E8"/>
    <w:rsid w:val="00C10AEB"/>
    <w:rsid w:val="00C1528A"/>
    <w:rsid w:val="00C2063C"/>
    <w:rsid w:val="00C26417"/>
    <w:rsid w:val="00C667D6"/>
    <w:rsid w:val="00C72D45"/>
    <w:rsid w:val="00C72FAE"/>
    <w:rsid w:val="00C81943"/>
    <w:rsid w:val="00C82268"/>
    <w:rsid w:val="00C84423"/>
    <w:rsid w:val="00C845B6"/>
    <w:rsid w:val="00CC38B6"/>
    <w:rsid w:val="00CD08CD"/>
    <w:rsid w:val="00D05C95"/>
    <w:rsid w:val="00D102A4"/>
    <w:rsid w:val="00D108F2"/>
    <w:rsid w:val="00D2190E"/>
    <w:rsid w:val="00D4094E"/>
    <w:rsid w:val="00D41D9B"/>
    <w:rsid w:val="00D47FD9"/>
    <w:rsid w:val="00D92644"/>
    <w:rsid w:val="00DB5315"/>
    <w:rsid w:val="00DD108A"/>
    <w:rsid w:val="00DD6B9E"/>
    <w:rsid w:val="00DE56A0"/>
    <w:rsid w:val="00DF0A46"/>
    <w:rsid w:val="00E02458"/>
    <w:rsid w:val="00E17688"/>
    <w:rsid w:val="00E305BF"/>
    <w:rsid w:val="00E333E0"/>
    <w:rsid w:val="00E62B4C"/>
    <w:rsid w:val="00EA2867"/>
    <w:rsid w:val="00EB2BDB"/>
    <w:rsid w:val="00EE430F"/>
    <w:rsid w:val="00EE7BF3"/>
    <w:rsid w:val="00F022CA"/>
    <w:rsid w:val="00F02D58"/>
    <w:rsid w:val="00F1694A"/>
    <w:rsid w:val="00F17D2A"/>
    <w:rsid w:val="00F21D10"/>
    <w:rsid w:val="00F41495"/>
    <w:rsid w:val="00F644A8"/>
    <w:rsid w:val="00F645A6"/>
    <w:rsid w:val="00F84284"/>
    <w:rsid w:val="00F85753"/>
    <w:rsid w:val="00FA2B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A5E7"/>
  <w15:chartTrackingRefBased/>
  <w15:docId w15:val="{15205509-7411-4BA3-B4C3-90610757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2F"/>
  </w:style>
  <w:style w:type="paragraph" w:styleId="Heading1">
    <w:name w:val="heading 1"/>
    <w:basedOn w:val="Normal"/>
    <w:next w:val="Normal"/>
    <w:link w:val="Heading1Char"/>
    <w:uiPriority w:val="9"/>
    <w:qFormat/>
    <w:rsid w:val="003919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919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919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19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19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1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9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919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919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19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19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1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97E"/>
    <w:rPr>
      <w:rFonts w:eastAsiaTheme="majorEastAsia" w:cstheme="majorBidi"/>
      <w:color w:val="272727" w:themeColor="text1" w:themeTint="D8"/>
    </w:rPr>
  </w:style>
  <w:style w:type="paragraph" w:styleId="Title">
    <w:name w:val="Title"/>
    <w:basedOn w:val="Normal"/>
    <w:next w:val="Normal"/>
    <w:link w:val="TitleChar"/>
    <w:uiPriority w:val="10"/>
    <w:qFormat/>
    <w:rsid w:val="00391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97E"/>
    <w:pPr>
      <w:spacing w:before="160"/>
      <w:jc w:val="center"/>
    </w:pPr>
    <w:rPr>
      <w:i/>
      <w:iCs/>
      <w:color w:val="404040" w:themeColor="text1" w:themeTint="BF"/>
    </w:rPr>
  </w:style>
  <w:style w:type="character" w:customStyle="1" w:styleId="QuoteChar">
    <w:name w:val="Quote Char"/>
    <w:basedOn w:val="DefaultParagraphFont"/>
    <w:link w:val="Quote"/>
    <w:uiPriority w:val="29"/>
    <w:rsid w:val="0039197E"/>
    <w:rPr>
      <w:i/>
      <w:iCs/>
      <w:color w:val="404040" w:themeColor="text1" w:themeTint="BF"/>
    </w:rPr>
  </w:style>
  <w:style w:type="paragraph" w:styleId="ListParagraph">
    <w:name w:val="List Paragraph"/>
    <w:basedOn w:val="Normal"/>
    <w:uiPriority w:val="34"/>
    <w:qFormat/>
    <w:rsid w:val="0039197E"/>
    <w:pPr>
      <w:ind w:left="720"/>
      <w:contextualSpacing/>
    </w:pPr>
  </w:style>
  <w:style w:type="character" w:styleId="IntenseEmphasis">
    <w:name w:val="Intense Emphasis"/>
    <w:basedOn w:val="DefaultParagraphFont"/>
    <w:uiPriority w:val="21"/>
    <w:qFormat/>
    <w:rsid w:val="0039197E"/>
    <w:rPr>
      <w:i/>
      <w:iCs/>
      <w:color w:val="2F5496" w:themeColor="accent1" w:themeShade="BF"/>
    </w:rPr>
  </w:style>
  <w:style w:type="paragraph" w:styleId="IntenseQuote">
    <w:name w:val="Intense Quote"/>
    <w:basedOn w:val="Normal"/>
    <w:next w:val="Normal"/>
    <w:link w:val="IntenseQuoteChar"/>
    <w:uiPriority w:val="30"/>
    <w:qFormat/>
    <w:rsid w:val="003919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197E"/>
    <w:rPr>
      <w:i/>
      <w:iCs/>
      <w:color w:val="2F5496" w:themeColor="accent1" w:themeShade="BF"/>
    </w:rPr>
  </w:style>
  <w:style w:type="character" w:styleId="IntenseReference">
    <w:name w:val="Intense Reference"/>
    <w:basedOn w:val="DefaultParagraphFont"/>
    <w:uiPriority w:val="32"/>
    <w:qFormat/>
    <w:rsid w:val="0039197E"/>
    <w:rPr>
      <w:b/>
      <w:bCs/>
      <w:smallCaps/>
      <w:color w:val="2F5496" w:themeColor="accent1" w:themeShade="BF"/>
      <w:spacing w:val="5"/>
    </w:rPr>
  </w:style>
  <w:style w:type="table" w:styleId="PlainTable1">
    <w:name w:val="Plain Table 1"/>
    <w:basedOn w:val="TableNormal"/>
    <w:uiPriority w:val="41"/>
    <w:rsid w:val="006127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D1A0B"/>
    <w:rPr>
      <w:color w:val="0563C1" w:themeColor="hyperlink"/>
      <w:u w:val="single"/>
    </w:rPr>
  </w:style>
  <w:style w:type="paragraph" w:customStyle="1" w:styleId="ds-markdown-paragraph">
    <w:name w:val="ds-markdown-paragraph"/>
    <w:basedOn w:val="Normal"/>
    <w:rsid w:val="002D1A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D1A0B"/>
    <w:rPr>
      <w:i/>
      <w:iCs/>
    </w:rPr>
  </w:style>
  <w:style w:type="paragraph" w:styleId="NormalWeb">
    <w:name w:val="Normal (Web)"/>
    <w:basedOn w:val="Normal"/>
    <w:uiPriority w:val="99"/>
    <w:unhideWhenUsed/>
    <w:rsid w:val="002D1A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A75A5"/>
    <w:rPr>
      <w:b/>
      <w:bCs/>
    </w:rPr>
  </w:style>
  <w:style w:type="paragraph" w:styleId="Caption">
    <w:name w:val="caption"/>
    <w:basedOn w:val="Normal"/>
    <w:next w:val="Normal"/>
    <w:uiPriority w:val="35"/>
    <w:unhideWhenUsed/>
    <w:qFormat/>
    <w:rsid w:val="003E26DF"/>
    <w:pPr>
      <w:spacing w:after="200" w:line="240" w:lineRule="auto"/>
    </w:pPr>
    <w:rPr>
      <w:i/>
      <w:iCs/>
      <w:color w:val="44546A" w:themeColor="text2"/>
      <w:sz w:val="18"/>
      <w:szCs w:val="18"/>
    </w:rPr>
  </w:style>
  <w:style w:type="paragraph" w:customStyle="1" w:styleId="msonormal0">
    <w:name w:val="msonormal"/>
    <w:basedOn w:val="Normal"/>
    <w:rsid w:val="00421C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421CF3"/>
    <w:rPr>
      <w:color w:val="800080"/>
      <w:u w:val="single"/>
    </w:rPr>
  </w:style>
  <w:style w:type="character" w:styleId="UnresolvedMention">
    <w:name w:val="Unresolved Mention"/>
    <w:basedOn w:val="DefaultParagraphFont"/>
    <w:uiPriority w:val="99"/>
    <w:semiHidden/>
    <w:unhideWhenUsed/>
    <w:rsid w:val="00421CF3"/>
    <w:rPr>
      <w:color w:val="605E5C"/>
      <w:shd w:val="clear" w:color="auto" w:fill="E1DFDD"/>
    </w:rPr>
  </w:style>
  <w:style w:type="table" w:styleId="PlainTable2">
    <w:name w:val="Plain Table 2"/>
    <w:basedOn w:val="TableNormal"/>
    <w:uiPriority w:val="42"/>
    <w:rsid w:val="00E62B4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4C424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C424C"/>
    <w:pPr>
      <w:spacing w:after="100"/>
    </w:pPr>
  </w:style>
  <w:style w:type="paragraph" w:styleId="TOC2">
    <w:name w:val="toc 2"/>
    <w:basedOn w:val="Normal"/>
    <w:next w:val="Normal"/>
    <w:autoRedefine/>
    <w:uiPriority w:val="39"/>
    <w:unhideWhenUsed/>
    <w:rsid w:val="00703CD4"/>
    <w:pPr>
      <w:tabs>
        <w:tab w:val="right" w:leader="dot" w:pos="9016"/>
      </w:tabs>
      <w:spacing w:after="100"/>
      <w:ind w:left="220"/>
    </w:pPr>
    <w:rPr>
      <w:rFonts w:ascii="Arial" w:hAnsi="Arial" w:cs="Arial"/>
      <w:noProof/>
    </w:rPr>
  </w:style>
  <w:style w:type="paragraph" w:styleId="TOC3">
    <w:name w:val="toc 3"/>
    <w:basedOn w:val="Normal"/>
    <w:next w:val="Normal"/>
    <w:autoRedefine/>
    <w:uiPriority w:val="39"/>
    <w:unhideWhenUsed/>
    <w:rsid w:val="004C424C"/>
    <w:pPr>
      <w:spacing w:after="100"/>
      <w:ind w:left="440"/>
    </w:pPr>
  </w:style>
  <w:style w:type="paragraph" w:styleId="TOC4">
    <w:name w:val="toc 4"/>
    <w:basedOn w:val="Normal"/>
    <w:next w:val="Normal"/>
    <w:autoRedefine/>
    <w:uiPriority w:val="39"/>
    <w:unhideWhenUsed/>
    <w:rsid w:val="004C424C"/>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4C424C"/>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4C424C"/>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4C424C"/>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4C424C"/>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4C424C"/>
    <w:pPr>
      <w:spacing w:after="100" w:line="278" w:lineRule="auto"/>
      <w:ind w:left="192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chart" Target="charts/chart4.xml"/><Relationship Id="rId26" Type="http://schemas.openxmlformats.org/officeDocument/2006/relationships/hyperlink" Target="https://www.gov.uk/government/statistics/vehicle-licensing-statistics-2023" TargetMode="External"/><Relationship Id="rId39" Type="http://schemas.openxmlformats.org/officeDocument/2006/relationships/hyperlink" Target="https://www.rac.co.uk/drive/news/motoring-news/" TargetMode="External"/><Relationship Id="rId21" Type="http://schemas.openxmlformats.org/officeDocument/2006/relationships/hyperlink" Target="https://www.gov.uk/government/publications/review-of-net-zero" TargetMode="External"/><Relationship Id="rId34" Type="http://schemas.openxmlformats.org/officeDocument/2006/relationships/hyperlink" Target="https://store.mintel.com/report/uk-car-aftermarket-market-report-2024" TargetMode="External"/><Relationship Id="rId42" Type="http://schemas.openxmlformats.org/officeDocument/2006/relationships/hyperlink" Target="https://www.tyresafe.org/road-safety/vehicle-statistics/"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www.fca.org.uk/news/statements/update-motor-finance-wor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3.xml"/><Relationship Id="rId24" Type="http://schemas.openxmlformats.org/officeDocument/2006/relationships/hyperlink" Target="https://www.stage-gate.com/blog/the-stage-gate-model-an-overview/" TargetMode="External"/><Relationship Id="rId32" Type="http://schemas.openxmlformats.org/officeDocument/2006/relationships/hyperlink" Target="https://ico.org.uk/for-organisations/uk-gdpr-guidance-and-resources" TargetMode="External"/><Relationship Id="rId37" Type="http://schemas.openxmlformats.org/officeDocument/2006/relationships/hyperlink" Target="https://www.ons.gov.uk/businessindustryandtrade/business/activitysizeandlocation/datasets/businessdemographyreferencetable" TargetMode="External"/><Relationship Id="rId40" Type="http://schemas.openxmlformats.org/officeDocument/2006/relationships/hyperlink" Target="https://www.sandwell.gov.uk/downloads/file/39/climate-change-strategy"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gov.uk/limited-company-formation" TargetMode="External"/><Relationship Id="rId28" Type="http://schemas.openxmlformats.org/officeDocument/2006/relationships/hyperlink" Target="https://www.gov.uk/government/statistical-data-sets/mot-testing-data-for-great-britain" TargetMode="External"/><Relationship Id="rId36" Type="http://schemas.openxmlformats.org/officeDocument/2006/relationships/hyperlink" Target="https://www.oecd.org/en/publications/transport-strategies-for-net-zero-systems-by-design_0a20f779-en.html" TargetMode="External"/><Relationship Id="rId10" Type="http://schemas.openxmlformats.org/officeDocument/2006/relationships/chart" Target="charts/chart2.xml"/><Relationship Id="rId19" Type="http://schemas.openxmlformats.org/officeDocument/2006/relationships/chart" Target="charts/chart5.xml"/><Relationship Id="rId31" Type="http://schemas.openxmlformats.org/officeDocument/2006/relationships/hyperlink" Target="https://www.gov.uk/guidance/venture-capital-schemes-tax-relief-for-investor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Layout" Target="diagrams/layout1.xml"/><Relationship Id="rId22" Type="http://schemas.openxmlformats.org/officeDocument/2006/relationships/hyperlink" Target="https://www.legislation.gov.uk/ukpga/2006/46/contents" TargetMode="External"/><Relationship Id="rId27" Type="http://schemas.openxmlformats.org/officeDocument/2006/relationships/hyperlink" Target="https://www.gov.uk/guidance/mot-testing-guide" TargetMode="External"/><Relationship Id="rId30" Type="http://schemas.openxmlformats.org/officeDocument/2006/relationships/hyperlink" Target="https://www.frc.org.uk/library/standards-codes-policy/corporate-governance/uk-corporate-governance-code/" TargetMode="External"/><Relationship Id="rId35" Type="http://schemas.openxmlformats.org/officeDocument/2006/relationships/hyperlink" Target="https://medium.com/design-bootcamp/your-mvp-is-just-the-beginning-24ad00aa2dc1" TargetMode="External"/><Relationship Id="rId43" Type="http://schemas.openxmlformats.org/officeDocument/2006/relationships/image" Target="media/image5.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hyperlink" Target="https://www.legislation.gov.uk/ukpga/2018/12/contents" TargetMode="External"/><Relationship Id="rId33" Type="http://schemas.openxmlformats.org/officeDocument/2006/relationships/hyperlink" Target="https://www.mckinsey.com/featured-insights/themes/the-future-of-the-car" TargetMode="External"/><Relationship Id="rId38" Type="http://schemas.openxmlformats.org/officeDocument/2006/relationships/hyperlink" Target="https://www.pwc.com/gx/en/industries/automotive/publications/global-automotive-executive-survey.html" TargetMode="External"/><Relationship Id="rId20" Type="http://schemas.openxmlformats.org/officeDocument/2006/relationships/hyperlink" Target="https://www.abi.org.uk/news/news-articles/2024/4/motor-insurers-pay-out-record-amounts-to-help-keep-motorists-mobile/" TargetMode="External"/><Relationship Id="rId41" Type="http://schemas.openxmlformats.org/officeDocument/2006/relationships/hyperlink" Target="https://www.statista.com/study/108023/consumers-in-the-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ir\Downloads\UK_Automotive_Aftermarket_Market_Data_2019_20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ir\Downloads\UK_Annual_Tyre_Demand_and_EV_Share_2019_20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ir\Downloads\UK_Accident_Repair_Demand_vs_Bodyshop_Capacity_2019_202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ir\AppData\Roaming\Microsoft\Excel\active-mot-stations%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ir\AppData\Roaming\Microsoft\Excel\active-mot-stations%20(version%201).xlsb"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solidFill>
                  <a:schemeClr val="tx1"/>
                </a:solidFill>
                <a:effectLst/>
              </a:rPr>
              <a:t>UK Automotive Service Market Size and Vehicle Parc (2019–2024)</a:t>
            </a: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'UK Automotive Aftermarket Data'!$B$1</c:f>
              <c:strCache>
                <c:ptCount val="1"/>
                <c:pt idx="0">
                  <c:v>Market Size (£bn)</c:v>
                </c:pt>
              </c:strCache>
            </c:strRef>
          </c:tx>
          <c:spPr>
            <a:ln w="28575" cap="rnd">
              <a:solidFill>
                <a:schemeClr val="accent1"/>
              </a:solidFill>
              <a:round/>
            </a:ln>
            <a:effectLst/>
          </c:spPr>
          <c:marker>
            <c:symbol val="none"/>
          </c:marker>
          <c:cat>
            <c:numRef>
              <c:f>'UK Automotive Aftermarket Data'!$A$2:$A$7</c:f>
              <c:numCache>
                <c:formatCode>General</c:formatCode>
                <c:ptCount val="6"/>
                <c:pt idx="0">
                  <c:v>2019</c:v>
                </c:pt>
                <c:pt idx="1">
                  <c:v>2020</c:v>
                </c:pt>
                <c:pt idx="2">
                  <c:v>2021</c:v>
                </c:pt>
                <c:pt idx="3">
                  <c:v>2022</c:v>
                </c:pt>
                <c:pt idx="4">
                  <c:v>2023</c:v>
                </c:pt>
                <c:pt idx="5">
                  <c:v>2024</c:v>
                </c:pt>
              </c:numCache>
            </c:numRef>
          </c:cat>
          <c:val>
            <c:numRef>
              <c:f>'UK Automotive Aftermarket Data'!$B$2:$B$7</c:f>
              <c:numCache>
                <c:formatCode>General</c:formatCode>
                <c:ptCount val="6"/>
                <c:pt idx="0">
                  <c:v>30.5</c:v>
                </c:pt>
                <c:pt idx="1">
                  <c:v>28</c:v>
                </c:pt>
                <c:pt idx="2">
                  <c:v>29.7</c:v>
                </c:pt>
                <c:pt idx="3">
                  <c:v>32.1</c:v>
                </c:pt>
                <c:pt idx="4">
                  <c:v>33.4</c:v>
                </c:pt>
                <c:pt idx="5">
                  <c:v>34.1</c:v>
                </c:pt>
              </c:numCache>
            </c:numRef>
          </c:val>
          <c:smooth val="0"/>
          <c:extLst>
            <c:ext xmlns:c16="http://schemas.microsoft.com/office/drawing/2014/chart" uri="{C3380CC4-5D6E-409C-BE32-E72D297353CC}">
              <c16:uniqueId val="{00000000-8B7F-4A40-9D4B-E1BF2FF08F85}"/>
            </c:ext>
          </c:extLst>
        </c:ser>
        <c:ser>
          <c:idx val="1"/>
          <c:order val="1"/>
          <c:tx>
            <c:strRef>
              <c:f>'UK Automotive Aftermarket Data'!$C$1</c:f>
              <c:strCache>
                <c:ptCount val="1"/>
                <c:pt idx="0">
                  <c:v>Vehicle Parc (million)</c:v>
                </c:pt>
              </c:strCache>
            </c:strRef>
          </c:tx>
          <c:spPr>
            <a:ln w="28575" cap="rnd">
              <a:solidFill>
                <a:schemeClr val="accent2"/>
              </a:solidFill>
              <a:round/>
            </a:ln>
            <a:effectLst/>
          </c:spPr>
          <c:marker>
            <c:symbol val="none"/>
          </c:marker>
          <c:cat>
            <c:numRef>
              <c:f>'UK Automotive Aftermarket Data'!$A$2:$A$7</c:f>
              <c:numCache>
                <c:formatCode>General</c:formatCode>
                <c:ptCount val="6"/>
                <c:pt idx="0">
                  <c:v>2019</c:v>
                </c:pt>
                <c:pt idx="1">
                  <c:v>2020</c:v>
                </c:pt>
                <c:pt idx="2">
                  <c:v>2021</c:v>
                </c:pt>
                <c:pt idx="3">
                  <c:v>2022</c:v>
                </c:pt>
                <c:pt idx="4">
                  <c:v>2023</c:v>
                </c:pt>
                <c:pt idx="5">
                  <c:v>2024</c:v>
                </c:pt>
              </c:numCache>
            </c:numRef>
          </c:cat>
          <c:val>
            <c:numRef>
              <c:f>'UK Automotive Aftermarket Data'!$C$2:$C$7</c:f>
              <c:numCache>
                <c:formatCode>General</c:formatCode>
                <c:ptCount val="6"/>
                <c:pt idx="0">
                  <c:v>31.5</c:v>
                </c:pt>
                <c:pt idx="1">
                  <c:v>31.2</c:v>
                </c:pt>
                <c:pt idx="2">
                  <c:v>31.8</c:v>
                </c:pt>
                <c:pt idx="3">
                  <c:v>32.200000000000003</c:v>
                </c:pt>
                <c:pt idx="4">
                  <c:v>32.5</c:v>
                </c:pt>
                <c:pt idx="5">
                  <c:v>32.6</c:v>
                </c:pt>
              </c:numCache>
            </c:numRef>
          </c:val>
          <c:smooth val="0"/>
          <c:extLst>
            <c:ext xmlns:c16="http://schemas.microsoft.com/office/drawing/2014/chart" uri="{C3380CC4-5D6E-409C-BE32-E72D297353CC}">
              <c16:uniqueId val="{00000001-8B7F-4A40-9D4B-E1BF2FF08F85}"/>
            </c:ext>
          </c:extLst>
        </c:ser>
        <c:dLbls>
          <c:showLegendKey val="0"/>
          <c:showVal val="0"/>
          <c:showCatName val="0"/>
          <c:showSerName val="0"/>
          <c:showPercent val="0"/>
          <c:showBubbleSize val="0"/>
        </c:dLbls>
        <c:smooth val="0"/>
        <c:axId val="938278159"/>
        <c:axId val="938273359"/>
      </c:lineChart>
      <c:catAx>
        <c:axId val="9382781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years</a:t>
                </a:r>
                <a:endParaRPr lang="en-GB"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273359"/>
        <c:crosses val="autoZero"/>
        <c:auto val="1"/>
        <c:lblAlgn val="ctr"/>
        <c:lblOffset val="100"/>
        <c:noMultiLvlLbl val="0"/>
      </c:catAx>
      <c:valAx>
        <c:axId val="9382733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B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278159"/>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'UK Tyre Demand &amp; EV Share'!$B$1</c:f>
              <c:strCache>
                <c:ptCount val="1"/>
                <c:pt idx="0">
                  <c:v>Total Tyre Units (million)</c:v>
                </c:pt>
              </c:strCache>
            </c:strRef>
          </c:tx>
          <c:spPr>
            <a:ln w="28575" cap="rnd">
              <a:solidFill>
                <a:schemeClr val="accent1"/>
              </a:solidFill>
              <a:round/>
            </a:ln>
            <a:effectLst/>
          </c:spPr>
          <c:marker>
            <c:symbol val="none"/>
          </c:marker>
          <c:cat>
            <c:numRef>
              <c:f>'UK Tyre Demand &amp; EV Share'!$A$2:$A$7</c:f>
              <c:numCache>
                <c:formatCode>General</c:formatCode>
                <c:ptCount val="6"/>
                <c:pt idx="0">
                  <c:v>2019</c:v>
                </c:pt>
                <c:pt idx="1">
                  <c:v>2020</c:v>
                </c:pt>
                <c:pt idx="2">
                  <c:v>2021</c:v>
                </c:pt>
                <c:pt idx="3">
                  <c:v>2022</c:v>
                </c:pt>
                <c:pt idx="4">
                  <c:v>2023</c:v>
                </c:pt>
                <c:pt idx="5">
                  <c:v>2024</c:v>
                </c:pt>
              </c:numCache>
            </c:numRef>
          </c:cat>
          <c:val>
            <c:numRef>
              <c:f>'UK Tyre Demand &amp; EV Share'!$B$2:$B$7</c:f>
              <c:numCache>
                <c:formatCode>General</c:formatCode>
                <c:ptCount val="6"/>
                <c:pt idx="0">
                  <c:v>25.5</c:v>
                </c:pt>
                <c:pt idx="1">
                  <c:v>25.6</c:v>
                </c:pt>
                <c:pt idx="2">
                  <c:v>27.2</c:v>
                </c:pt>
                <c:pt idx="3">
                  <c:v>29</c:v>
                </c:pt>
                <c:pt idx="4">
                  <c:v>31</c:v>
                </c:pt>
                <c:pt idx="5">
                  <c:v>33</c:v>
                </c:pt>
              </c:numCache>
            </c:numRef>
          </c:val>
          <c:smooth val="0"/>
          <c:extLst>
            <c:ext xmlns:c16="http://schemas.microsoft.com/office/drawing/2014/chart" uri="{C3380CC4-5D6E-409C-BE32-E72D297353CC}">
              <c16:uniqueId val="{00000000-5371-424A-9E7D-198687994D56}"/>
            </c:ext>
          </c:extLst>
        </c:ser>
        <c:ser>
          <c:idx val="1"/>
          <c:order val="1"/>
          <c:tx>
            <c:strRef>
              <c:f>'UK Tyre Demand &amp; EV Share'!$C$1</c:f>
              <c:strCache>
                <c:ptCount val="1"/>
                <c:pt idx="0">
                  <c:v>EV-related Share (%)</c:v>
                </c:pt>
              </c:strCache>
            </c:strRef>
          </c:tx>
          <c:spPr>
            <a:ln w="28575" cap="rnd">
              <a:solidFill>
                <a:schemeClr val="accent2"/>
              </a:solidFill>
              <a:round/>
            </a:ln>
            <a:effectLst/>
          </c:spPr>
          <c:marker>
            <c:symbol val="none"/>
          </c:marker>
          <c:cat>
            <c:numRef>
              <c:f>'UK Tyre Demand &amp; EV Share'!$A$2:$A$7</c:f>
              <c:numCache>
                <c:formatCode>General</c:formatCode>
                <c:ptCount val="6"/>
                <c:pt idx="0">
                  <c:v>2019</c:v>
                </c:pt>
                <c:pt idx="1">
                  <c:v>2020</c:v>
                </c:pt>
                <c:pt idx="2">
                  <c:v>2021</c:v>
                </c:pt>
                <c:pt idx="3">
                  <c:v>2022</c:v>
                </c:pt>
                <c:pt idx="4">
                  <c:v>2023</c:v>
                </c:pt>
                <c:pt idx="5">
                  <c:v>2024</c:v>
                </c:pt>
              </c:numCache>
            </c:numRef>
          </c:cat>
          <c:val>
            <c:numRef>
              <c:f>'UK Tyre Demand &amp; EV Share'!$C$2:$C$7</c:f>
              <c:numCache>
                <c:formatCode>General</c:formatCode>
                <c:ptCount val="6"/>
                <c:pt idx="0">
                  <c:v>3</c:v>
                </c:pt>
                <c:pt idx="1">
                  <c:v>5</c:v>
                </c:pt>
                <c:pt idx="2">
                  <c:v>8</c:v>
                </c:pt>
                <c:pt idx="3">
                  <c:v>11</c:v>
                </c:pt>
                <c:pt idx="4">
                  <c:v>14</c:v>
                </c:pt>
                <c:pt idx="5">
                  <c:v>18</c:v>
                </c:pt>
              </c:numCache>
            </c:numRef>
          </c:val>
          <c:smooth val="0"/>
          <c:extLst>
            <c:ext xmlns:c16="http://schemas.microsoft.com/office/drawing/2014/chart" uri="{C3380CC4-5D6E-409C-BE32-E72D297353CC}">
              <c16:uniqueId val="{00000001-5371-424A-9E7D-198687994D56}"/>
            </c:ext>
          </c:extLst>
        </c:ser>
        <c:dLbls>
          <c:showLegendKey val="0"/>
          <c:showVal val="0"/>
          <c:showCatName val="0"/>
          <c:showSerName val="0"/>
          <c:showPercent val="0"/>
          <c:showBubbleSize val="0"/>
        </c:dLbls>
        <c:smooth val="0"/>
        <c:axId val="1425749072"/>
        <c:axId val="1425747632"/>
      </c:lineChart>
      <c:catAx>
        <c:axId val="142574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5747632"/>
        <c:crosses val="autoZero"/>
        <c:auto val="1"/>
        <c:lblAlgn val="ctr"/>
        <c:lblOffset val="100"/>
        <c:noMultiLvlLbl val="0"/>
      </c:catAx>
      <c:valAx>
        <c:axId val="142574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574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Estimated UK Accident-Repair Demand vs Available Bodyshop Capacity (2019–2024)</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'UK Accident Repair Demand &amp; Cap'!$B$1</c:f>
              <c:strCache>
                <c:ptCount val="1"/>
                <c:pt idx="0">
                  <c:v>Accident Repair Demand (million jobs)</c:v>
                </c:pt>
              </c:strCache>
            </c:strRef>
          </c:tx>
          <c:spPr>
            <a:solidFill>
              <a:schemeClr val="accent1"/>
            </a:solidFill>
            <a:ln>
              <a:noFill/>
            </a:ln>
            <a:effectLst/>
          </c:spPr>
          <c:invertIfNegative val="0"/>
          <c:cat>
            <c:numRef>
              <c:f>'UK Accident Repair Demand &amp; Cap'!$A$2:$A$7</c:f>
              <c:numCache>
                <c:formatCode>General</c:formatCode>
                <c:ptCount val="6"/>
                <c:pt idx="0">
                  <c:v>2019</c:v>
                </c:pt>
                <c:pt idx="1">
                  <c:v>2020</c:v>
                </c:pt>
                <c:pt idx="2">
                  <c:v>2021</c:v>
                </c:pt>
                <c:pt idx="3">
                  <c:v>2022</c:v>
                </c:pt>
                <c:pt idx="4">
                  <c:v>2023</c:v>
                </c:pt>
                <c:pt idx="5">
                  <c:v>2024</c:v>
                </c:pt>
              </c:numCache>
            </c:numRef>
          </c:cat>
          <c:val>
            <c:numRef>
              <c:f>'UK Accident Repair Demand &amp; Cap'!$B$2:$B$7</c:f>
              <c:numCache>
                <c:formatCode>General</c:formatCode>
                <c:ptCount val="6"/>
                <c:pt idx="0">
                  <c:v>2.1</c:v>
                </c:pt>
                <c:pt idx="1">
                  <c:v>2.0499999999999998</c:v>
                </c:pt>
                <c:pt idx="2">
                  <c:v>2.15</c:v>
                </c:pt>
                <c:pt idx="3">
                  <c:v>2.25</c:v>
                </c:pt>
                <c:pt idx="4">
                  <c:v>2.2999999999999998</c:v>
                </c:pt>
                <c:pt idx="5">
                  <c:v>2.35</c:v>
                </c:pt>
              </c:numCache>
            </c:numRef>
          </c:val>
          <c:extLst>
            <c:ext xmlns:c16="http://schemas.microsoft.com/office/drawing/2014/chart" uri="{C3380CC4-5D6E-409C-BE32-E72D297353CC}">
              <c16:uniqueId val="{00000000-0B7C-40CD-B057-548E17CF8757}"/>
            </c:ext>
          </c:extLst>
        </c:ser>
        <c:ser>
          <c:idx val="1"/>
          <c:order val="1"/>
          <c:tx>
            <c:strRef>
              <c:f>'UK Accident Repair Demand &amp; Cap'!$C$1</c:f>
              <c:strCache>
                <c:ptCount val="1"/>
                <c:pt idx="0">
                  <c:v>Available Bodyshop Capacity (million jobs)</c:v>
                </c:pt>
              </c:strCache>
            </c:strRef>
          </c:tx>
          <c:spPr>
            <a:solidFill>
              <a:schemeClr val="accent2"/>
            </a:solidFill>
            <a:ln>
              <a:noFill/>
            </a:ln>
            <a:effectLst/>
          </c:spPr>
          <c:invertIfNegative val="0"/>
          <c:cat>
            <c:numRef>
              <c:f>'UK Accident Repair Demand &amp; Cap'!$A$2:$A$7</c:f>
              <c:numCache>
                <c:formatCode>General</c:formatCode>
                <c:ptCount val="6"/>
                <c:pt idx="0">
                  <c:v>2019</c:v>
                </c:pt>
                <c:pt idx="1">
                  <c:v>2020</c:v>
                </c:pt>
                <c:pt idx="2">
                  <c:v>2021</c:v>
                </c:pt>
                <c:pt idx="3">
                  <c:v>2022</c:v>
                </c:pt>
                <c:pt idx="4">
                  <c:v>2023</c:v>
                </c:pt>
                <c:pt idx="5">
                  <c:v>2024</c:v>
                </c:pt>
              </c:numCache>
            </c:numRef>
          </c:cat>
          <c:val>
            <c:numRef>
              <c:f>'UK Accident Repair Demand &amp; Cap'!$C$2:$C$7</c:f>
              <c:numCache>
                <c:formatCode>General</c:formatCode>
                <c:ptCount val="6"/>
                <c:pt idx="0">
                  <c:v>1.95</c:v>
                </c:pt>
                <c:pt idx="1">
                  <c:v>1.9</c:v>
                </c:pt>
                <c:pt idx="2">
                  <c:v>1.88</c:v>
                </c:pt>
                <c:pt idx="3">
                  <c:v>1.87</c:v>
                </c:pt>
                <c:pt idx="4">
                  <c:v>1.86</c:v>
                </c:pt>
                <c:pt idx="5">
                  <c:v>1.85</c:v>
                </c:pt>
              </c:numCache>
            </c:numRef>
          </c:val>
          <c:extLst>
            <c:ext xmlns:c16="http://schemas.microsoft.com/office/drawing/2014/chart" uri="{C3380CC4-5D6E-409C-BE32-E72D297353CC}">
              <c16:uniqueId val="{00000001-0B7C-40CD-B057-548E17CF8757}"/>
            </c:ext>
          </c:extLst>
        </c:ser>
        <c:dLbls>
          <c:showLegendKey val="0"/>
          <c:showVal val="0"/>
          <c:showCatName val="0"/>
          <c:showSerName val="0"/>
          <c:showPercent val="0"/>
          <c:showBubbleSize val="0"/>
        </c:dLbls>
        <c:gapWidth val="219"/>
        <c:overlap val="-27"/>
        <c:axId val="1625572400"/>
        <c:axId val="1625579600"/>
      </c:barChart>
      <c:catAx>
        <c:axId val="1625572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year</a:t>
                </a:r>
                <a:endParaRPr lang="en-GB"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579600"/>
        <c:crosses val="autoZero"/>
        <c:auto val="1"/>
        <c:lblAlgn val="ctr"/>
        <c:lblOffset val="100"/>
        <c:noMultiLvlLbl val="0"/>
      </c:catAx>
      <c:valAx>
        <c:axId val="162557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B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572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Human Resource Allocation by Functional Category (Steady-State)</a:t>
            </a:r>
            <a:endParaRPr lang="en-US"/>
          </a:p>
        </c:rich>
      </c:tx>
      <c:layout>
        <c:manualLayout>
          <c:xMode val="edge"/>
          <c:yMode val="edge"/>
          <c:x val="4.5812628793301675E-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1"/>
          <c:order val="1"/>
          <c:tx>
            <c:strRef>
              <c:f>Sheet1!$F$5</c:f>
              <c:strCache>
                <c:ptCount val="1"/>
                <c:pt idx="0">
                  <c:v>% of 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A0-4527-8510-0094EEED82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A0-4527-8510-0094EEED82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A0-4527-8510-0094EEED823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EA0-4527-8510-0094EEED823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Sheet1!$D$6:$D$9</c:f>
              <c:strCache>
                <c:ptCount val="4"/>
                <c:pt idx="0">
                  <c:v>Core Technical Services (Mech, MOT, EV, Body, Electrical)</c:v>
                </c:pt>
                <c:pt idx="1">
                  <c:v>Support Services (Tyres, Wash, Tinting)</c:v>
                </c:pt>
                <c:pt idx="2">
                  <c:v>Management &amp; Administration</c:v>
                </c:pt>
                <c:pt idx="3">
                  <c:v>Logistics &amp; Security</c:v>
                </c:pt>
              </c:strCache>
            </c:strRef>
          </c:cat>
          <c:val>
            <c:numRef>
              <c:f>Sheet1!$F$6:$F$9</c:f>
              <c:numCache>
                <c:formatCode>0%</c:formatCode>
                <c:ptCount val="4"/>
                <c:pt idx="0">
                  <c:v>0.5</c:v>
                </c:pt>
                <c:pt idx="1">
                  <c:v>0.19</c:v>
                </c:pt>
                <c:pt idx="2">
                  <c:v>0.09</c:v>
                </c:pt>
                <c:pt idx="3">
                  <c:v>0.22</c:v>
                </c:pt>
              </c:numCache>
            </c:numRef>
          </c:val>
          <c:extLst>
            <c:ext xmlns:c16="http://schemas.microsoft.com/office/drawing/2014/chart" uri="{C3380CC4-5D6E-409C-BE32-E72D297353CC}">
              <c16:uniqueId val="{00000008-3EA0-4527-8510-0094EEED8235}"/>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0"/>
                <c:order val="0"/>
                <c:tx>
                  <c:strRef>
                    <c:extLst>
                      <c:ext uri="{02D57815-91ED-43cb-92C2-25804820EDAC}">
                        <c15:formulaRef>
                          <c15:sqref>Sheet1!$E$5</c15:sqref>
                        </c15:formulaRef>
                      </c:ext>
                    </c:extLst>
                    <c:strCache>
                      <c:ptCount val="1"/>
                      <c:pt idx="0">
                        <c:v>Headcount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3EA0-4527-8510-0094EEED82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3EA0-4527-8510-0094EEED82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3EA0-4527-8510-0094EEED823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3EA0-4527-8510-0094EEED823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Sheet1!$D$6:$D$9</c15:sqref>
                        </c15:formulaRef>
                      </c:ext>
                    </c:extLst>
                    <c:strCache>
                      <c:ptCount val="4"/>
                      <c:pt idx="0">
                        <c:v>Core Technical Services (Mech, MOT, EV, Body, Electrical)</c:v>
                      </c:pt>
                      <c:pt idx="1">
                        <c:v>Support Services (Tyres, Wash, Tinting)</c:v>
                      </c:pt>
                      <c:pt idx="2">
                        <c:v>Management &amp; Administration</c:v>
                      </c:pt>
                      <c:pt idx="3">
                        <c:v>Logistics &amp; Security</c:v>
                      </c:pt>
                    </c:strCache>
                  </c:strRef>
                </c:cat>
                <c:val>
                  <c:numRef>
                    <c:extLst>
                      <c:ext uri="{02D57815-91ED-43cb-92C2-25804820EDAC}">
                        <c15:formulaRef>
                          <c15:sqref>Sheet1!$E$6:$E$9</c15:sqref>
                        </c15:formulaRef>
                      </c:ext>
                    </c:extLst>
                    <c:numCache>
                      <c:formatCode>General</c:formatCode>
                      <c:ptCount val="4"/>
                      <c:pt idx="0">
                        <c:v>16</c:v>
                      </c:pt>
                      <c:pt idx="1">
                        <c:v>6</c:v>
                      </c:pt>
                      <c:pt idx="2">
                        <c:v>3</c:v>
                      </c:pt>
                      <c:pt idx="3">
                        <c:v>7</c:v>
                      </c:pt>
                    </c:numCache>
                  </c:numRef>
                </c:val>
                <c:extLst>
                  <c:ext xmlns:c16="http://schemas.microsoft.com/office/drawing/2014/chart" uri="{C3380CC4-5D6E-409C-BE32-E72D297353CC}">
                    <c16:uniqueId val="{00000011-3EA0-4527-8510-0094EEED8235}"/>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Projected Workforce Growth Across Operational Phases – 1 STATION Ltd</a:t>
            </a:r>
          </a:p>
        </c:rich>
      </c:tx>
      <c:layout>
        <c:manualLayout>
          <c:xMode val="edge"/>
          <c:yMode val="edge"/>
          <c:x val="0.12198622047244097"/>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2"/>
          <c:tx>
            <c:strRef>
              <c:f>Sheet2!$M$13</c:f>
              <c:strCache>
                <c:ptCount val="1"/>
                <c:pt idx="0">
                  <c:v>Number of Employees (FTE)</c:v>
                </c:pt>
              </c:strCache>
            </c:strRef>
          </c:tx>
          <c:spPr>
            <a:ln w="28575" cap="rnd">
              <a:solidFill>
                <a:schemeClr val="accent3"/>
              </a:solidFill>
              <a:round/>
            </a:ln>
            <a:effectLst/>
          </c:spPr>
          <c:marker>
            <c:symbol val="none"/>
          </c:marker>
          <c:val>
            <c:numRef>
              <c:f>Sheet2!$M$14:$M$17</c:f>
              <c:numCache>
                <c:formatCode>General</c:formatCode>
                <c:ptCount val="4"/>
                <c:pt idx="0">
                  <c:v>16</c:v>
                </c:pt>
                <c:pt idx="1">
                  <c:v>24</c:v>
                </c:pt>
                <c:pt idx="2">
                  <c:v>32</c:v>
                </c:pt>
              </c:numCache>
            </c:numRef>
          </c:val>
          <c:smooth val="0"/>
          <c:extLst>
            <c:ext xmlns:c16="http://schemas.microsoft.com/office/drawing/2014/chart" uri="{C3380CC4-5D6E-409C-BE32-E72D297353CC}">
              <c16:uniqueId val="{00000000-18AC-46DC-948D-A1D83F5B41AA}"/>
            </c:ext>
          </c:extLst>
        </c:ser>
        <c:dLbls>
          <c:showLegendKey val="0"/>
          <c:showVal val="0"/>
          <c:showCatName val="0"/>
          <c:showSerName val="0"/>
          <c:showPercent val="0"/>
          <c:showBubbleSize val="0"/>
        </c:dLbls>
        <c:smooth val="0"/>
        <c:axId val="1852619120"/>
        <c:axId val="1852611920"/>
        <c:extLst>
          <c:ext xmlns:c15="http://schemas.microsoft.com/office/drawing/2012/chart" uri="{02D57815-91ED-43cb-92C2-25804820EDAC}">
            <c15:filteredLineSeries>
              <c15:ser>
                <c:idx val="0"/>
                <c:order val="0"/>
                <c:tx>
                  <c:strRef>
                    <c:extLst>
                      <c:ext uri="{02D57815-91ED-43cb-92C2-25804820EDAC}">
                        <c15:formulaRef>
                          <c15:sqref>Sheet2!$K$13</c15:sqref>
                        </c15:formulaRef>
                      </c:ext>
                    </c:extLst>
                    <c:strCache>
                      <c:ptCount val="1"/>
                      <c:pt idx="0">
                        <c:v>Operational Phase</c:v>
                      </c:pt>
                    </c:strCache>
                  </c:strRef>
                </c:tx>
                <c:spPr>
                  <a:ln w="28575" cap="rnd">
                    <a:solidFill>
                      <a:schemeClr val="accent1"/>
                    </a:solidFill>
                    <a:round/>
                  </a:ln>
                  <a:effectLst/>
                </c:spPr>
                <c:marker>
                  <c:symbol val="none"/>
                </c:marker>
                <c:val>
                  <c:numRef>
                    <c:extLst>
                      <c:ext uri="{02D57815-91ED-43cb-92C2-25804820EDAC}">
                        <c15:formulaRef>
                          <c15:sqref>Sheet2!$K$14:$K$17</c15:sqref>
                        </c15:formulaRef>
                      </c:ext>
                    </c:extLst>
                    <c:numCache>
                      <c:formatCode>General</c:formatCode>
                      <c:ptCount val="4"/>
                      <c:pt idx="0">
                        <c:v>0</c:v>
                      </c:pt>
                      <c:pt idx="1">
                        <c:v>0</c:v>
                      </c:pt>
                      <c:pt idx="2">
                        <c:v>0</c:v>
                      </c:pt>
                    </c:numCache>
                  </c:numRef>
                </c:val>
                <c:smooth val="0"/>
                <c:extLst>
                  <c:ext xmlns:c16="http://schemas.microsoft.com/office/drawing/2014/chart" uri="{C3380CC4-5D6E-409C-BE32-E72D297353CC}">
                    <c16:uniqueId val="{00000001-18AC-46DC-948D-A1D83F5B41AA}"/>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Sheet2!$L$13</c15:sqref>
                        </c15:formulaRef>
                      </c:ext>
                    </c:extLst>
                    <c:strCache>
                      <c:ptCount val="1"/>
                      <c:pt idx="0">
                        <c:v>Timeframe</c:v>
                      </c:pt>
                    </c:strCache>
                  </c:strRef>
                </c:tx>
                <c:spPr>
                  <a:ln w="28575" cap="rnd">
                    <a:solidFill>
                      <a:schemeClr val="accent2"/>
                    </a:solidFill>
                    <a:round/>
                  </a:ln>
                  <a:effectLst/>
                </c:spPr>
                <c:marker>
                  <c:symbol val="none"/>
                </c:marker>
                <c:val>
                  <c:numRef>
                    <c:extLst xmlns:c15="http://schemas.microsoft.com/office/drawing/2012/chart">
                      <c:ext xmlns:c15="http://schemas.microsoft.com/office/drawing/2012/chart" uri="{02D57815-91ED-43cb-92C2-25804820EDAC}">
                        <c15:formulaRef>
                          <c15:sqref>Sheet2!$L$14:$L$17</c15:sqref>
                        </c15:formulaRef>
                      </c:ext>
                    </c:extLst>
                    <c:numCache>
                      <c:formatCode>General</c:formatCode>
                      <c:ptCount val="4"/>
                      <c:pt idx="0">
                        <c:v>0</c:v>
                      </c:pt>
                      <c:pt idx="1">
                        <c:v>0</c:v>
                      </c:pt>
                      <c:pt idx="2">
                        <c:v>0</c:v>
                      </c:pt>
                    </c:numCache>
                  </c:numRef>
                </c:val>
                <c:smooth val="0"/>
                <c:extLst xmlns:c15="http://schemas.microsoft.com/office/drawing/2012/chart">
                  <c:ext xmlns:c16="http://schemas.microsoft.com/office/drawing/2014/chart" uri="{C3380CC4-5D6E-409C-BE32-E72D297353CC}">
                    <c16:uniqueId val="{00000002-18AC-46DC-948D-A1D83F5B41AA}"/>
                  </c:ext>
                </c:extLst>
              </c15:ser>
            </c15:filteredLineSeries>
          </c:ext>
        </c:extLst>
      </c:lineChart>
      <c:catAx>
        <c:axId val="18526191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0"/>
                  <a:t>year</a:t>
                </a:r>
                <a:endParaRPr lang="en-GB" b="0"/>
              </a:p>
            </c:rich>
          </c:tx>
          <c:layout>
            <c:manualLayout>
              <c:xMode val="edge"/>
              <c:yMode val="edge"/>
              <c:x val="0.48522090988626421"/>
              <c:y val="0.7547911198600174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611920"/>
        <c:crosses val="autoZero"/>
        <c:auto val="1"/>
        <c:lblAlgn val="ctr"/>
        <c:lblOffset val="100"/>
        <c:noMultiLvlLbl val="0"/>
      </c:catAx>
      <c:valAx>
        <c:axId val="185261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0"/>
                  <a:t>(FTE)</a:t>
                </a:r>
              </a:p>
            </c:rich>
          </c:tx>
          <c:layout>
            <c:manualLayout>
              <c:xMode val="edge"/>
              <c:yMode val="edge"/>
              <c:x val="2.5000000000000001E-2"/>
              <c:y val="0.3573148148148148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619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4E3784-AB34-48B1-9CDE-C7AA62555FD4}"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9DDE19B-724C-4DA0-BF10-D8C0D714A99C}">
      <dgm:prSet phldrT="[Text]" custT="1"/>
      <dgm:spPr/>
      <dgm:t>
        <a:bodyPr/>
        <a:lstStyle/>
        <a:p>
          <a:pPr>
            <a:buNone/>
          </a:pPr>
          <a:endParaRPr lang="en-GB" sz="1100" b="1"/>
        </a:p>
        <a:p>
          <a:pPr>
            <a:buNone/>
          </a:pPr>
          <a:r>
            <a:rPr lang="en-GB" sz="1400" b="1"/>
            <a:t>Industry Rivalry</a:t>
          </a:r>
          <a:br>
            <a:rPr lang="en-GB" sz="1100"/>
          </a:br>
          <a:r>
            <a:rPr lang="en-GB" sz="1200"/>
            <a:t>High competitive rivalry due to the large number of independent garages and strong customer choice, intensifying competition on service quality, trust and convenience rather than price alone</a:t>
          </a:r>
          <a:r>
            <a:rPr lang="en-GB" sz="1050"/>
            <a:t>.</a:t>
          </a:r>
        </a:p>
        <a:p>
          <a:pPr>
            <a:buNone/>
          </a:pPr>
          <a:endParaRPr lang="en-GB" sz="1000"/>
        </a:p>
      </dgm:t>
    </dgm:pt>
    <dgm:pt modelId="{7E2D2531-E285-4799-A1D1-7A003BC94282}" type="parTrans" cxnId="{54BBB00A-C0E5-46D9-A002-9721B43393DC}">
      <dgm:prSet/>
      <dgm:spPr/>
      <dgm:t>
        <a:bodyPr/>
        <a:lstStyle/>
        <a:p>
          <a:endParaRPr lang="en-GB"/>
        </a:p>
      </dgm:t>
    </dgm:pt>
    <dgm:pt modelId="{6FFE6C3A-5A43-4B6E-A726-9DAB16DA1E11}" type="sibTrans" cxnId="{54BBB00A-C0E5-46D9-A002-9721B43393DC}">
      <dgm:prSet/>
      <dgm:spPr/>
      <dgm:t>
        <a:bodyPr/>
        <a:lstStyle/>
        <a:p>
          <a:endParaRPr lang="en-GB"/>
        </a:p>
      </dgm:t>
    </dgm:pt>
    <dgm:pt modelId="{21E20E89-C629-42D2-BF1C-100E2FB0098D}">
      <dgm:prSet phldrT="[Text]" custT="1"/>
      <dgm:spPr/>
      <dgm:t>
        <a:bodyPr/>
        <a:lstStyle/>
        <a:p>
          <a:pPr>
            <a:buNone/>
          </a:pPr>
          <a:r>
            <a:rPr lang="en-GB" sz="1400" b="1">
              <a:solidFill>
                <a:schemeClr val="tx1"/>
              </a:solidFill>
            </a:rPr>
            <a:t>Threat of New Entrants</a:t>
          </a:r>
          <a:br>
            <a:rPr lang="en-GB" sz="1050"/>
          </a:br>
          <a:r>
            <a:rPr lang="en-GB" sz="1200"/>
            <a:t>Moderate entry barriers due to MOT licensing requirements, regulatory compliance and equipment investment. However, entry remains feasible, and new independent garages continue to emerge.</a:t>
          </a:r>
          <a:endParaRPr lang="en-GB" sz="1050"/>
        </a:p>
      </dgm:t>
    </dgm:pt>
    <dgm:pt modelId="{7B79E72D-1801-4BDE-8874-88AC1E5ED59D}" type="parTrans" cxnId="{26443504-E67E-44E6-9BE0-A5CD1CD75035}">
      <dgm:prSet/>
      <dgm:spPr/>
      <dgm:t>
        <a:bodyPr/>
        <a:lstStyle/>
        <a:p>
          <a:endParaRPr lang="en-GB"/>
        </a:p>
      </dgm:t>
    </dgm:pt>
    <dgm:pt modelId="{474A14B7-D940-4F0D-93E0-BAB41A5BBE7B}" type="sibTrans" cxnId="{26443504-E67E-44E6-9BE0-A5CD1CD75035}">
      <dgm:prSet/>
      <dgm:spPr/>
      <dgm:t>
        <a:bodyPr/>
        <a:lstStyle/>
        <a:p>
          <a:endParaRPr lang="en-GB"/>
        </a:p>
      </dgm:t>
    </dgm:pt>
    <dgm:pt modelId="{BAB20208-9B1F-48F1-A712-CFF1D5C1FFE4}">
      <dgm:prSet phldrT="[Text]" custT="1"/>
      <dgm:spPr/>
      <dgm:t>
        <a:bodyPr/>
        <a:lstStyle/>
        <a:p>
          <a:endParaRPr lang="en-GB"/>
        </a:p>
      </dgm:t>
    </dgm:pt>
    <dgm:pt modelId="{C23F2272-1BC8-4A36-9EDF-6F398E810367}" type="parTrans" cxnId="{0AF3B6F8-5B26-4F94-B719-4AF0C91EDA27}">
      <dgm:prSet/>
      <dgm:spPr/>
      <dgm:t>
        <a:bodyPr/>
        <a:lstStyle/>
        <a:p>
          <a:endParaRPr lang="en-GB"/>
        </a:p>
      </dgm:t>
    </dgm:pt>
    <dgm:pt modelId="{FA2CACD8-684A-418F-80C4-2E5D4630562E}" type="sibTrans" cxnId="{0AF3B6F8-5B26-4F94-B719-4AF0C91EDA27}">
      <dgm:prSet/>
      <dgm:spPr/>
      <dgm:t>
        <a:bodyPr/>
        <a:lstStyle/>
        <a:p>
          <a:endParaRPr lang="en-GB"/>
        </a:p>
      </dgm:t>
    </dgm:pt>
    <dgm:pt modelId="{48A6BCF9-1AAF-4C05-A59D-D3A77EBB9DD1}">
      <dgm:prSet phldrT="[Text]"/>
      <dgm:spPr/>
      <dgm:t>
        <a:bodyPr/>
        <a:lstStyle/>
        <a:p>
          <a:endParaRPr lang="en-GB"/>
        </a:p>
      </dgm:t>
    </dgm:pt>
    <dgm:pt modelId="{45EFC15F-CEEC-462B-A81C-B903A5C6DE5B}" type="parTrans" cxnId="{20CE94DD-D505-42D0-ADE7-7BBFC61A59C6}">
      <dgm:prSet/>
      <dgm:spPr/>
      <dgm:t>
        <a:bodyPr/>
        <a:lstStyle/>
        <a:p>
          <a:endParaRPr lang="en-GB"/>
        </a:p>
      </dgm:t>
    </dgm:pt>
    <dgm:pt modelId="{1AED7CC9-2608-45C5-8E74-884683E3DBDD}" type="sibTrans" cxnId="{20CE94DD-D505-42D0-ADE7-7BBFC61A59C6}">
      <dgm:prSet/>
      <dgm:spPr/>
      <dgm:t>
        <a:bodyPr/>
        <a:lstStyle/>
        <a:p>
          <a:endParaRPr lang="en-GB"/>
        </a:p>
      </dgm:t>
    </dgm:pt>
    <dgm:pt modelId="{3A71013A-2280-4A3F-AFDF-296975BCED08}">
      <dgm:prSet phldrT="[Text]" phldr="1"/>
      <dgm:spPr/>
      <dgm:t>
        <a:bodyPr/>
        <a:lstStyle/>
        <a:p>
          <a:endParaRPr lang="en-GB"/>
        </a:p>
      </dgm:t>
    </dgm:pt>
    <dgm:pt modelId="{ED0D8B5E-1941-4D22-A11F-B2517763E0EB}" type="parTrans" cxnId="{58B4B0C6-DE8B-4D10-8AEF-E1898A882458}">
      <dgm:prSet/>
      <dgm:spPr/>
      <dgm:t>
        <a:bodyPr/>
        <a:lstStyle/>
        <a:p>
          <a:endParaRPr lang="en-GB"/>
        </a:p>
      </dgm:t>
    </dgm:pt>
    <dgm:pt modelId="{2B4E0ED6-BF4A-441C-BF25-906E928193E2}" type="sibTrans" cxnId="{58B4B0C6-DE8B-4D10-8AEF-E1898A882458}">
      <dgm:prSet/>
      <dgm:spPr/>
      <dgm:t>
        <a:bodyPr/>
        <a:lstStyle/>
        <a:p>
          <a:endParaRPr lang="en-GB"/>
        </a:p>
      </dgm:t>
    </dgm:pt>
    <dgm:pt modelId="{A84F76F0-131E-401C-BB37-710818B09E3C}">
      <dgm:prSet/>
      <dgm:spPr/>
      <dgm:t>
        <a:bodyPr/>
        <a:lstStyle/>
        <a:p>
          <a:pPr>
            <a:buNone/>
          </a:pPr>
          <a:r>
            <a:rPr lang="en-GB" b="1">
              <a:solidFill>
                <a:schemeClr val="tx1"/>
              </a:solidFill>
            </a:rPr>
            <a:t>Bargaining Power of Buyers</a:t>
          </a:r>
          <a:br>
            <a:rPr lang="en-GB"/>
          </a:br>
          <a:r>
            <a:rPr lang="en-GB"/>
            <a:t>Very high buyer power. Customers face low switching costs, regularly compare prices, and rely heavily on online reviews and recommendations when selecting garages.</a:t>
          </a:r>
        </a:p>
      </dgm:t>
    </dgm:pt>
    <dgm:pt modelId="{DD375923-BD9D-4638-9A13-133CD07BD93F}" type="parTrans" cxnId="{4E8C80AC-1253-48AE-A146-9B9AFA52358E}">
      <dgm:prSet/>
      <dgm:spPr/>
      <dgm:t>
        <a:bodyPr/>
        <a:lstStyle/>
        <a:p>
          <a:endParaRPr lang="en-GB"/>
        </a:p>
      </dgm:t>
    </dgm:pt>
    <dgm:pt modelId="{664D6DE7-E5A0-4C86-ACAE-780C9702603B}" type="sibTrans" cxnId="{4E8C80AC-1253-48AE-A146-9B9AFA52358E}">
      <dgm:prSet/>
      <dgm:spPr/>
      <dgm:t>
        <a:bodyPr/>
        <a:lstStyle/>
        <a:p>
          <a:endParaRPr lang="en-GB"/>
        </a:p>
      </dgm:t>
    </dgm:pt>
    <dgm:pt modelId="{E456B270-CC85-4B15-BDC5-17AE0B473B04}">
      <dgm:prSet custT="1"/>
      <dgm:spPr/>
      <dgm:t>
        <a:bodyPr/>
        <a:lstStyle/>
        <a:p>
          <a:pPr>
            <a:buNone/>
          </a:pPr>
          <a:r>
            <a:rPr lang="en-GB" sz="1400" b="1">
              <a:solidFill>
                <a:schemeClr val="tx1"/>
              </a:solidFill>
            </a:rPr>
            <a:t>Threat of Substitutes</a:t>
          </a:r>
          <a:br>
            <a:rPr lang="en-GB" sz="1200"/>
          </a:br>
          <a:r>
            <a:rPr lang="en-GB" sz="1200"/>
            <a:t>Low to moderate threat from substitutes, including mobile mechanics and manufacturer service plans, which offer partial alternatives for certain services but lack full-service integration.</a:t>
          </a:r>
        </a:p>
      </dgm:t>
    </dgm:pt>
    <dgm:pt modelId="{F375697E-4A6A-4893-80A5-5FB3E24FBB25}" type="parTrans" cxnId="{14D99C21-0536-4A8E-BF27-F209814486E1}">
      <dgm:prSet/>
      <dgm:spPr/>
      <dgm:t>
        <a:bodyPr/>
        <a:lstStyle/>
        <a:p>
          <a:endParaRPr lang="en-GB"/>
        </a:p>
      </dgm:t>
    </dgm:pt>
    <dgm:pt modelId="{C5012EDA-960B-49F0-AE7C-8A1E8D55FEB5}" type="sibTrans" cxnId="{14D99C21-0536-4A8E-BF27-F209814486E1}">
      <dgm:prSet/>
      <dgm:spPr/>
      <dgm:t>
        <a:bodyPr/>
        <a:lstStyle/>
        <a:p>
          <a:endParaRPr lang="en-GB"/>
        </a:p>
      </dgm:t>
    </dgm:pt>
    <dgm:pt modelId="{9033CF86-D432-4A11-A83C-3C350815BF6E}">
      <dgm:prSet phldrT="[Text]"/>
      <dgm:spPr/>
      <dgm:t>
        <a:bodyPr/>
        <a:lstStyle/>
        <a:p>
          <a:r>
            <a:rPr lang="en-GB" b="1">
              <a:solidFill>
                <a:schemeClr val="tx1"/>
              </a:solidFill>
            </a:rPr>
            <a:t>Bargaining Power of Suppliers</a:t>
          </a:r>
          <a:br>
            <a:rPr lang="en-GB"/>
          </a:br>
          <a:r>
            <a:rPr lang="en-GB"/>
            <a:t>Low to moderate supplier power. Automotive parts and tyre suppliers are numerous, creating choice and price flexibility, although diagnostic software providers exert greater </a:t>
          </a:r>
        </a:p>
      </dgm:t>
    </dgm:pt>
    <dgm:pt modelId="{4712601A-33ED-4354-B2E6-799A845BCDC0}" type="parTrans" cxnId="{321F7865-75E2-4C83-AE55-62004854C436}">
      <dgm:prSet/>
      <dgm:spPr/>
      <dgm:t>
        <a:bodyPr/>
        <a:lstStyle/>
        <a:p>
          <a:endParaRPr lang="en-GB"/>
        </a:p>
      </dgm:t>
    </dgm:pt>
    <dgm:pt modelId="{FD0170DC-B3C0-4AEF-BEB5-DAEB5D256F46}" type="sibTrans" cxnId="{321F7865-75E2-4C83-AE55-62004854C436}">
      <dgm:prSet/>
      <dgm:spPr/>
      <dgm:t>
        <a:bodyPr/>
        <a:lstStyle/>
        <a:p>
          <a:endParaRPr lang="en-GB"/>
        </a:p>
      </dgm:t>
    </dgm:pt>
    <dgm:pt modelId="{4B9DC6EA-36A9-4B8B-A7AE-5B74E1C3B1CD}" type="pres">
      <dgm:prSet presAssocID="{0E4E3784-AB34-48B1-9CDE-C7AA62555FD4}" presName="diagram" presStyleCnt="0">
        <dgm:presLayoutVars>
          <dgm:chMax val="1"/>
          <dgm:dir/>
          <dgm:animLvl val="ctr"/>
          <dgm:resizeHandles val="exact"/>
        </dgm:presLayoutVars>
      </dgm:prSet>
      <dgm:spPr/>
    </dgm:pt>
    <dgm:pt modelId="{318B10A9-1657-4B2A-BBE8-402B23209B6D}" type="pres">
      <dgm:prSet presAssocID="{0E4E3784-AB34-48B1-9CDE-C7AA62555FD4}" presName="matrix" presStyleCnt="0"/>
      <dgm:spPr/>
    </dgm:pt>
    <dgm:pt modelId="{914EA244-FFF1-4F62-912D-3FF5196300A2}" type="pres">
      <dgm:prSet presAssocID="{0E4E3784-AB34-48B1-9CDE-C7AA62555FD4}" presName="tile1" presStyleLbl="node1" presStyleIdx="0" presStyleCnt="4"/>
      <dgm:spPr/>
    </dgm:pt>
    <dgm:pt modelId="{42469928-0BFA-4907-B40A-F80A25B6F8F2}" type="pres">
      <dgm:prSet presAssocID="{0E4E3784-AB34-48B1-9CDE-C7AA62555FD4}" presName="tile1text" presStyleLbl="node1" presStyleIdx="0" presStyleCnt="4">
        <dgm:presLayoutVars>
          <dgm:chMax val="0"/>
          <dgm:chPref val="0"/>
          <dgm:bulletEnabled val="1"/>
        </dgm:presLayoutVars>
      </dgm:prSet>
      <dgm:spPr/>
    </dgm:pt>
    <dgm:pt modelId="{C455A695-492C-4672-B64E-574174AFCFEA}" type="pres">
      <dgm:prSet presAssocID="{0E4E3784-AB34-48B1-9CDE-C7AA62555FD4}" presName="tile2" presStyleLbl="node1" presStyleIdx="1" presStyleCnt="4"/>
      <dgm:spPr/>
    </dgm:pt>
    <dgm:pt modelId="{6E2F45C7-6735-4064-A56F-9B6C38B21142}" type="pres">
      <dgm:prSet presAssocID="{0E4E3784-AB34-48B1-9CDE-C7AA62555FD4}" presName="tile2text" presStyleLbl="node1" presStyleIdx="1" presStyleCnt="4">
        <dgm:presLayoutVars>
          <dgm:chMax val="0"/>
          <dgm:chPref val="0"/>
          <dgm:bulletEnabled val="1"/>
        </dgm:presLayoutVars>
      </dgm:prSet>
      <dgm:spPr/>
    </dgm:pt>
    <dgm:pt modelId="{2339085E-03F3-4874-8316-E00C11F12369}" type="pres">
      <dgm:prSet presAssocID="{0E4E3784-AB34-48B1-9CDE-C7AA62555FD4}" presName="tile3" presStyleLbl="node1" presStyleIdx="2" presStyleCnt="4" custLinFactNeighborX="1033" custLinFactNeighborY="11000"/>
      <dgm:spPr/>
    </dgm:pt>
    <dgm:pt modelId="{71DDFA7C-C92D-477A-B030-20F719AAB1E5}" type="pres">
      <dgm:prSet presAssocID="{0E4E3784-AB34-48B1-9CDE-C7AA62555FD4}" presName="tile3text" presStyleLbl="node1" presStyleIdx="2" presStyleCnt="4">
        <dgm:presLayoutVars>
          <dgm:chMax val="0"/>
          <dgm:chPref val="0"/>
          <dgm:bulletEnabled val="1"/>
        </dgm:presLayoutVars>
      </dgm:prSet>
      <dgm:spPr/>
    </dgm:pt>
    <dgm:pt modelId="{061E5DD4-631A-49B9-818E-5E602BED6A3F}" type="pres">
      <dgm:prSet presAssocID="{0E4E3784-AB34-48B1-9CDE-C7AA62555FD4}" presName="tile4" presStyleLbl="node1" presStyleIdx="3" presStyleCnt="4" custLinFactNeighborX="15491" custLinFactNeighborY="12500"/>
      <dgm:spPr/>
    </dgm:pt>
    <dgm:pt modelId="{F9866274-B3B6-4FF4-8874-2DA11E19F4CE}" type="pres">
      <dgm:prSet presAssocID="{0E4E3784-AB34-48B1-9CDE-C7AA62555FD4}" presName="tile4text" presStyleLbl="node1" presStyleIdx="3" presStyleCnt="4">
        <dgm:presLayoutVars>
          <dgm:chMax val="0"/>
          <dgm:chPref val="0"/>
          <dgm:bulletEnabled val="1"/>
        </dgm:presLayoutVars>
      </dgm:prSet>
      <dgm:spPr/>
    </dgm:pt>
    <dgm:pt modelId="{E7919954-7487-4AB9-A951-7122DB4C98F4}" type="pres">
      <dgm:prSet presAssocID="{0E4E3784-AB34-48B1-9CDE-C7AA62555FD4}" presName="centerTile" presStyleLbl="fgShp" presStyleIdx="0" presStyleCnt="1" custScaleX="219736" custScaleY="110000">
        <dgm:presLayoutVars>
          <dgm:chMax val="0"/>
          <dgm:chPref val="0"/>
        </dgm:presLayoutVars>
      </dgm:prSet>
      <dgm:spPr/>
    </dgm:pt>
  </dgm:ptLst>
  <dgm:cxnLst>
    <dgm:cxn modelId="{26443504-E67E-44E6-9BE0-A5CD1CD75035}" srcId="{B9DDE19B-724C-4DA0-BF10-D8C0D714A99C}" destId="{21E20E89-C629-42D2-BF1C-100E2FB0098D}" srcOrd="0" destOrd="0" parTransId="{7B79E72D-1801-4BDE-8874-88AC1E5ED59D}" sibTransId="{474A14B7-D940-4F0D-93E0-BAB41A5BBE7B}"/>
    <dgm:cxn modelId="{2CAA6F06-7EF3-47C1-98E0-05DC46A2496E}" type="presOf" srcId="{21E20E89-C629-42D2-BF1C-100E2FB0098D}" destId="{914EA244-FFF1-4F62-912D-3FF5196300A2}" srcOrd="0" destOrd="0" presId="urn:microsoft.com/office/officeart/2005/8/layout/matrix1"/>
    <dgm:cxn modelId="{54BBB00A-C0E5-46D9-A002-9721B43393DC}" srcId="{0E4E3784-AB34-48B1-9CDE-C7AA62555FD4}" destId="{B9DDE19B-724C-4DA0-BF10-D8C0D714A99C}" srcOrd="0" destOrd="0" parTransId="{7E2D2531-E285-4799-A1D1-7A003BC94282}" sibTransId="{6FFE6C3A-5A43-4B6E-A726-9DAB16DA1E11}"/>
    <dgm:cxn modelId="{14D99C21-0536-4A8E-BF27-F209814486E1}" srcId="{B9DDE19B-724C-4DA0-BF10-D8C0D714A99C}" destId="{E456B270-CC85-4B15-BDC5-17AE0B473B04}" srcOrd="2" destOrd="0" parTransId="{F375697E-4A6A-4893-80A5-5FB3E24FBB25}" sibTransId="{C5012EDA-960B-49F0-AE7C-8A1E8D55FEB5}"/>
    <dgm:cxn modelId="{8918783A-875C-4727-96E6-01CE92C1407B}" type="presOf" srcId="{9033CF86-D432-4A11-A83C-3C350815BF6E}" destId="{F9866274-B3B6-4FF4-8874-2DA11E19F4CE}" srcOrd="1" destOrd="0" presId="urn:microsoft.com/office/officeart/2005/8/layout/matrix1"/>
    <dgm:cxn modelId="{0E3F5643-A1BD-4A6B-BF87-19B81A0699C2}" type="presOf" srcId="{0E4E3784-AB34-48B1-9CDE-C7AA62555FD4}" destId="{4B9DC6EA-36A9-4B8B-A7AE-5B74E1C3B1CD}" srcOrd="0" destOrd="0" presId="urn:microsoft.com/office/officeart/2005/8/layout/matrix1"/>
    <dgm:cxn modelId="{321F7865-75E2-4C83-AE55-62004854C436}" srcId="{B9DDE19B-724C-4DA0-BF10-D8C0D714A99C}" destId="{9033CF86-D432-4A11-A83C-3C350815BF6E}" srcOrd="3" destOrd="0" parTransId="{4712601A-33ED-4354-B2E6-799A845BCDC0}" sibTransId="{FD0170DC-B3C0-4AEF-BEB5-DAEB5D256F46}"/>
    <dgm:cxn modelId="{F9164652-3266-41C4-A798-6A09F61765C4}" type="presOf" srcId="{A84F76F0-131E-401C-BB37-710818B09E3C}" destId="{6E2F45C7-6735-4064-A56F-9B6C38B21142}" srcOrd="1" destOrd="0" presId="urn:microsoft.com/office/officeart/2005/8/layout/matrix1"/>
    <dgm:cxn modelId="{7D952973-D645-4BC0-928E-E0F0D6A1DA88}" type="presOf" srcId="{E456B270-CC85-4B15-BDC5-17AE0B473B04}" destId="{71DDFA7C-C92D-477A-B030-20F719AAB1E5}" srcOrd="1" destOrd="0" presId="urn:microsoft.com/office/officeart/2005/8/layout/matrix1"/>
    <dgm:cxn modelId="{980D938C-901F-43F6-9B6A-96FD6FBA1A64}" type="presOf" srcId="{9033CF86-D432-4A11-A83C-3C350815BF6E}" destId="{061E5DD4-631A-49B9-818E-5E602BED6A3F}" srcOrd="0" destOrd="0" presId="urn:microsoft.com/office/officeart/2005/8/layout/matrix1"/>
    <dgm:cxn modelId="{4E8C80AC-1253-48AE-A146-9B9AFA52358E}" srcId="{B9DDE19B-724C-4DA0-BF10-D8C0D714A99C}" destId="{A84F76F0-131E-401C-BB37-710818B09E3C}" srcOrd="1" destOrd="0" parTransId="{DD375923-BD9D-4638-9A13-133CD07BD93F}" sibTransId="{664D6DE7-E5A0-4C86-ACAE-780C9702603B}"/>
    <dgm:cxn modelId="{DEA1C9BC-AF1E-45B7-B910-77DEB7CD6838}" type="presOf" srcId="{21E20E89-C629-42D2-BF1C-100E2FB0098D}" destId="{42469928-0BFA-4907-B40A-F80A25B6F8F2}" srcOrd="1" destOrd="0" presId="urn:microsoft.com/office/officeart/2005/8/layout/matrix1"/>
    <dgm:cxn modelId="{58B4B0C6-DE8B-4D10-8AEF-E1898A882458}" srcId="{B9DDE19B-724C-4DA0-BF10-D8C0D714A99C}" destId="{3A71013A-2280-4A3F-AFDF-296975BCED08}" srcOrd="6" destOrd="0" parTransId="{ED0D8B5E-1941-4D22-A11F-B2517763E0EB}" sibTransId="{2B4E0ED6-BF4A-441C-BF25-906E928193E2}"/>
    <dgm:cxn modelId="{36A837D3-3030-47CD-83E8-8A91C77B6F54}" type="presOf" srcId="{E456B270-CC85-4B15-BDC5-17AE0B473B04}" destId="{2339085E-03F3-4874-8316-E00C11F12369}" srcOrd="0" destOrd="0" presId="urn:microsoft.com/office/officeart/2005/8/layout/matrix1"/>
    <dgm:cxn modelId="{37817AD9-B6E9-45A5-AC91-E2369B0B567E}" type="presOf" srcId="{A84F76F0-131E-401C-BB37-710818B09E3C}" destId="{C455A695-492C-4672-B64E-574174AFCFEA}" srcOrd="0" destOrd="0" presId="urn:microsoft.com/office/officeart/2005/8/layout/matrix1"/>
    <dgm:cxn modelId="{20CE94DD-D505-42D0-ADE7-7BBFC61A59C6}" srcId="{B9DDE19B-724C-4DA0-BF10-D8C0D714A99C}" destId="{48A6BCF9-1AAF-4C05-A59D-D3A77EBB9DD1}" srcOrd="5" destOrd="0" parTransId="{45EFC15F-CEEC-462B-A81C-B903A5C6DE5B}" sibTransId="{1AED7CC9-2608-45C5-8E74-884683E3DBDD}"/>
    <dgm:cxn modelId="{0AF3B6F8-5B26-4F94-B719-4AF0C91EDA27}" srcId="{B9DDE19B-724C-4DA0-BF10-D8C0D714A99C}" destId="{BAB20208-9B1F-48F1-A712-CFF1D5C1FFE4}" srcOrd="4" destOrd="0" parTransId="{C23F2272-1BC8-4A36-9EDF-6F398E810367}" sibTransId="{FA2CACD8-684A-418F-80C4-2E5D4630562E}"/>
    <dgm:cxn modelId="{CCB6D2FA-3B0D-42D1-9DA7-2EB5D9632FA8}" type="presOf" srcId="{B9DDE19B-724C-4DA0-BF10-D8C0D714A99C}" destId="{E7919954-7487-4AB9-A951-7122DB4C98F4}" srcOrd="0" destOrd="0" presId="urn:microsoft.com/office/officeart/2005/8/layout/matrix1"/>
    <dgm:cxn modelId="{882FB23A-E943-417E-A468-402E2DDEC8FD}" type="presParOf" srcId="{4B9DC6EA-36A9-4B8B-A7AE-5B74E1C3B1CD}" destId="{318B10A9-1657-4B2A-BBE8-402B23209B6D}" srcOrd="0" destOrd="0" presId="urn:microsoft.com/office/officeart/2005/8/layout/matrix1"/>
    <dgm:cxn modelId="{0A8E9CCE-9E24-483B-9332-8E0ED31D5F19}" type="presParOf" srcId="{318B10A9-1657-4B2A-BBE8-402B23209B6D}" destId="{914EA244-FFF1-4F62-912D-3FF5196300A2}" srcOrd="0" destOrd="0" presId="urn:microsoft.com/office/officeart/2005/8/layout/matrix1"/>
    <dgm:cxn modelId="{2076A165-703F-44EF-9D24-803CC77C29DD}" type="presParOf" srcId="{318B10A9-1657-4B2A-BBE8-402B23209B6D}" destId="{42469928-0BFA-4907-B40A-F80A25B6F8F2}" srcOrd="1" destOrd="0" presId="urn:microsoft.com/office/officeart/2005/8/layout/matrix1"/>
    <dgm:cxn modelId="{D546D61C-84D2-4C35-B583-E1FF47991326}" type="presParOf" srcId="{318B10A9-1657-4B2A-BBE8-402B23209B6D}" destId="{C455A695-492C-4672-B64E-574174AFCFEA}" srcOrd="2" destOrd="0" presId="urn:microsoft.com/office/officeart/2005/8/layout/matrix1"/>
    <dgm:cxn modelId="{6BDC546A-921D-4BDB-8049-75D9B2DF6AFA}" type="presParOf" srcId="{318B10A9-1657-4B2A-BBE8-402B23209B6D}" destId="{6E2F45C7-6735-4064-A56F-9B6C38B21142}" srcOrd="3" destOrd="0" presId="urn:microsoft.com/office/officeart/2005/8/layout/matrix1"/>
    <dgm:cxn modelId="{D0CC645A-743A-406D-867E-D0B4A788421D}" type="presParOf" srcId="{318B10A9-1657-4B2A-BBE8-402B23209B6D}" destId="{2339085E-03F3-4874-8316-E00C11F12369}" srcOrd="4" destOrd="0" presId="urn:microsoft.com/office/officeart/2005/8/layout/matrix1"/>
    <dgm:cxn modelId="{E7DF917D-C1FC-4C2D-B8AF-8C8E940794A0}" type="presParOf" srcId="{318B10A9-1657-4B2A-BBE8-402B23209B6D}" destId="{71DDFA7C-C92D-477A-B030-20F719AAB1E5}" srcOrd="5" destOrd="0" presId="urn:microsoft.com/office/officeart/2005/8/layout/matrix1"/>
    <dgm:cxn modelId="{A75B5DF8-031C-4002-93E1-996CAAE4F379}" type="presParOf" srcId="{318B10A9-1657-4B2A-BBE8-402B23209B6D}" destId="{061E5DD4-631A-49B9-818E-5E602BED6A3F}" srcOrd="6" destOrd="0" presId="urn:microsoft.com/office/officeart/2005/8/layout/matrix1"/>
    <dgm:cxn modelId="{E6809D2D-C42D-4F37-81B9-26AF2B0566B5}" type="presParOf" srcId="{318B10A9-1657-4B2A-BBE8-402B23209B6D}" destId="{F9866274-B3B6-4FF4-8874-2DA11E19F4CE}" srcOrd="7" destOrd="0" presId="urn:microsoft.com/office/officeart/2005/8/layout/matrix1"/>
    <dgm:cxn modelId="{FF7B1C3C-AF93-4049-8868-F24ECF975AB4}" type="presParOf" srcId="{4B9DC6EA-36A9-4B8B-A7AE-5B74E1C3B1CD}" destId="{E7919954-7487-4AB9-A951-7122DB4C98F4}"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4EA244-FFF1-4F62-912D-3FF5196300A2}">
      <dsp:nvSpPr>
        <dsp:cNvPr id="0" name=""/>
        <dsp:cNvSpPr/>
      </dsp:nvSpPr>
      <dsp:spPr>
        <a:xfrm rot="16200000">
          <a:off x="431006" y="-431006"/>
          <a:ext cx="1905000" cy="276701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Threat of New Entrants</a:t>
          </a:r>
          <a:br>
            <a:rPr lang="en-GB" sz="1050" kern="1200"/>
          </a:br>
          <a:r>
            <a:rPr lang="en-GB" sz="1200" kern="1200"/>
            <a:t>Moderate entry barriers due to MOT licensing requirements, regulatory compliance and equipment investment. However, entry remains feasible, and new independent garages continue to emerge.</a:t>
          </a:r>
          <a:endParaRPr lang="en-GB" sz="1050" kern="1200"/>
        </a:p>
      </dsp:txBody>
      <dsp:txXfrm rot="5400000">
        <a:off x="0" y="0"/>
        <a:ext cx="2767012" cy="1428750"/>
      </dsp:txXfrm>
    </dsp:sp>
    <dsp:sp modelId="{C455A695-492C-4672-B64E-574174AFCFEA}">
      <dsp:nvSpPr>
        <dsp:cNvPr id="0" name=""/>
        <dsp:cNvSpPr/>
      </dsp:nvSpPr>
      <dsp:spPr>
        <a:xfrm>
          <a:off x="2767012" y="0"/>
          <a:ext cx="2767012" cy="19050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Bargaining Power of Buyers</a:t>
          </a:r>
          <a:br>
            <a:rPr lang="en-GB" sz="1300" kern="1200"/>
          </a:br>
          <a:r>
            <a:rPr lang="en-GB" sz="1300" kern="1200"/>
            <a:t>Very high buyer power. Customers face low switching costs, regularly compare prices, and rely heavily on online reviews and recommendations when selecting garages.</a:t>
          </a:r>
        </a:p>
      </dsp:txBody>
      <dsp:txXfrm>
        <a:off x="2767012" y="0"/>
        <a:ext cx="2767012" cy="1428750"/>
      </dsp:txXfrm>
    </dsp:sp>
    <dsp:sp modelId="{2339085E-03F3-4874-8316-E00C11F12369}">
      <dsp:nvSpPr>
        <dsp:cNvPr id="0" name=""/>
        <dsp:cNvSpPr/>
      </dsp:nvSpPr>
      <dsp:spPr>
        <a:xfrm rot="10800000">
          <a:off x="28583" y="1905000"/>
          <a:ext cx="2767012" cy="19050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Threat of Substitutes</a:t>
          </a:r>
          <a:br>
            <a:rPr lang="en-GB" sz="1200" kern="1200"/>
          </a:br>
          <a:r>
            <a:rPr lang="en-GB" sz="1200" kern="1200"/>
            <a:t>Low to moderate threat from substitutes, including mobile mechanics and manufacturer service plans, which offer partial alternatives for certain services but lack full-service integration.</a:t>
          </a:r>
        </a:p>
      </dsp:txBody>
      <dsp:txXfrm rot="10800000">
        <a:off x="28583" y="2381249"/>
        <a:ext cx="2767012" cy="1428750"/>
      </dsp:txXfrm>
    </dsp:sp>
    <dsp:sp modelId="{061E5DD4-631A-49B9-818E-5E602BED6A3F}">
      <dsp:nvSpPr>
        <dsp:cNvPr id="0" name=""/>
        <dsp:cNvSpPr/>
      </dsp:nvSpPr>
      <dsp:spPr>
        <a:xfrm rot="5400000">
          <a:off x="3198018" y="1473993"/>
          <a:ext cx="1905000" cy="276701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Bargaining Power of Suppliers</a:t>
          </a:r>
          <a:br>
            <a:rPr lang="en-GB" sz="1300" kern="1200"/>
          </a:br>
          <a:r>
            <a:rPr lang="en-GB" sz="1300" kern="1200"/>
            <a:t>Low to moderate supplier power. Automotive parts and tyre suppliers are numerous, creating choice and price flexibility, although diagnostic software providers exert greater </a:t>
          </a:r>
        </a:p>
      </dsp:txBody>
      <dsp:txXfrm rot="-5400000">
        <a:off x="2767012" y="2381249"/>
        <a:ext cx="2767012" cy="1428750"/>
      </dsp:txXfrm>
    </dsp:sp>
    <dsp:sp modelId="{E7919954-7487-4AB9-A951-7122DB4C98F4}">
      <dsp:nvSpPr>
        <dsp:cNvPr id="0" name=""/>
        <dsp:cNvSpPr/>
      </dsp:nvSpPr>
      <dsp:spPr>
        <a:xfrm>
          <a:off x="942975" y="1381124"/>
          <a:ext cx="3648073" cy="104775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r>
            <a:rPr lang="en-GB" sz="1400" b="1" kern="1200"/>
            <a:t>Industry Rivalry</a:t>
          </a:r>
          <a:br>
            <a:rPr lang="en-GB" sz="1100" kern="1200"/>
          </a:br>
          <a:r>
            <a:rPr lang="en-GB" sz="1200" kern="1200"/>
            <a:t>High competitive rivalry due to the large number of independent garages and strong customer choice, intensifying competition on service quality, trust and convenience rather than price alone</a:t>
          </a:r>
          <a:r>
            <a:rPr lang="en-GB" sz="1050" kern="1200"/>
            <a:t>.</a:t>
          </a:r>
        </a:p>
        <a:p>
          <a:pPr marL="0" lvl="0" indent="0" algn="ctr" defTabSz="488950">
            <a:lnSpc>
              <a:spcPct val="90000"/>
            </a:lnSpc>
            <a:spcBef>
              <a:spcPct val="0"/>
            </a:spcBef>
            <a:spcAft>
              <a:spcPct val="35000"/>
            </a:spcAft>
            <a:buNone/>
          </a:pPr>
          <a:endParaRPr lang="en-GB" sz="1000" kern="1200"/>
        </a:p>
      </dsp:txBody>
      <dsp:txXfrm>
        <a:off x="994122" y="1432271"/>
        <a:ext cx="3545779" cy="94545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64B8D-15D6-4E9A-98E8-497653B8D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3293</TotalTime>
  <Pages>95</Pages>
  <Words>26161</Words>
  <Characters>149120</Characters>
  <Application>Microsoft Office Word</Application>
  <DocSecurity>0</DocSecurity>
  <Lines>1242</Lines>
  <Paragraphs>349</Paragraphs>
  <ScaleCrop>false</ScaleCrop>
  <Company/>
  <LinksUpToDate>false</LinksUpToDate>
  <CharactersWithSpaces>174932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193</cp:revision>
  <dcterms:created xsi:type="dcterms:W3CDTF">2026-01-02T01:21:00Z</dcterms:created>
  <dcterms:modified xsi:type="dcterms:W3CDTF">2026-01-06T22:00:00Z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97f22f70-1797-43a2-8d65-7f98a8eaf082</vt:lpwstr>
  </property>
</Properties>
</file>