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62678F" w14:textId="0D2448E3" w:rsidR="002D6195" w:rsidRDefault="002D6195" w:rsidP="002D6195">
      <w:pPr>
        <w:spacing w:line="360" w:lineRule="auto"/>
        <w:jc w:val="center"/>
        <w:rPr>
          <w:rFonts w:ascii="Times New Roman" w:hAnsi="Times New Roman" w:cs="Times New Roman"/>
          <w:b/>
          <w:bCs/>
          <w:sz w:val="32"/>
          <w:szCs w:val="32"/>
        </w:rPr>
      </w:pPr>
      <w:r w:rsidRPr="002D6195">
        <w:rPr>
          <w:rFonts w:ascii="Times New Roman" w:hAnsi="Times New Roman" w:cs="Times New Roman"/>
          <w:b/>
          <w:bCs/>
          <w:noProof/>
          <w:sz w:val="32"/>
          <w:szCs w:val="32"/>
          <w:lang w:val="en-US"/>
        </w:rPr>
        <w:drawing>
          <wp:anchor distT="0" distB="0" distL="114300" distR="114300" simplePos="0" relativeHeight="251658240" behindDoc="0" locked="0" layoutInCell="1" allowOverlap="1" wp14:anchorId="440CF106" wp14:editId="31662555">
            <wp:simplePos x="0" y="0"/>
            <wp:positionH relativeFrom="margin">
              <wp:align>center</wp:align>
            </wp:positionH>
            <wp:positionV relativeFrom="paragraph">
              <wp:posOffset>428625</wp:posOffset>
            </wp:positionV>
            <wp:extent cx="2505425" cy="905001"/>
            <wp:effectExtent l="0" t="0" r="9525" b="9525"/>
            <wp:wrapNone/>
            <wp:docPr id="677768936" name="Picture 1"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68936" name="Picture 1" descr="Black text on a white backgroun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505425" cy="905001"/>
                    </a:xfrm>
                    <a:prstGeom prst="rect">
                      <a:avLst/>
                    </a:prstGeom>
                  </pic:spPr>
                </pic:pic>
              </a:graphicData>
            </a:graphic>
          </wp:anchor>
        </w:drawing>
      </w:r>
    </w:p>
    <w:p w14:paraId="05E3799D" w14:textId="77777777" w:rsidR="002D6195" w:rsidRDefault="002D6195" w:rsidP="002D6195">
      <w:pPr>
        <w:spacing w:line="360" w:lineRule="auto"/>
        <w:jc w:val="center"/>
        <w:rPr>
          <w:rFonts w:ascii="Times New Roman" w:hAnsi="Times New Roman" w:cs="Times New Roman"/>
          <w:b/>
          <w:bCs/>
          <w:sz w:val="32"/>
          <w:szCs w:val="32"/>
        </w:rPr>
      </w:pPr>
    </w:p>
    <w:p w14:paraId="301F1764" w14:textId="77777777" w:rsidR="002D6195" w:rsidRDefault="002D6195" w:rsidP="002D6195">
      <w:pPr>
        <w:spacing w:line="360" w:lineRule="auto"/>
        <w:jc w:val="center"/>
        <w:rPr>
          <w:rFonts w:ascii="Times New Roman" w:hAnsi="Times New Roman" w:cs="Times New Roman"/>
          <w:b/>
          <w:bCs/>
          <w:sz w:val="32"/>
          <w:szCs w:val="32"/>
        </w:rPr>
      </w:pPr>
    </w:p>
    <w:p w14:paraId="793E9F7A" w14:textId="77777777" w:rsidR="002D6195" w:rsidRDefault="002D6195" w:rsidP="002D6195">
      <w:pPr>
        <w:spacing w:line="360" w:lineRule="auto"/>
        <w:jc w:val="center"/>
        <w:rPr>
          <w:rFonts w:ascii="Times New Roman" w:hAnsi="Times New Roman" w:cs="Times New Roman"/>
          <w:b/>
          <w:bCs/>
          <w:sz w:val="32"/>
          <w:szCs w:val="32"/>
        </w:rPr>
      </w:pPr>
    </w:p>
    <w:p w14:paraId="27D03008" w14:textId="77777777" w:rsidR="002D6195" w:rsidRDefault="002D6195" w:rsidP="002D6195">
      <w:pPr>
        <w:spacing w:line="360" w:lineRule="auto"/>
        <w:jc w:val="center"/>
        <w:rPr>
          <w:rFonts w:ascii="Times New Roman" w:hAnsi="Times New Roman" w:cs="Times New Roman"/>
          <w:b/>
          <w:bCs/>
          <w:sz w:val="32"/>
          <w:szCs w:val="32"/>
        </w:rPr>
      </w:pPr>
    </w:p>
    <w:p w14:paraId="4AD4BE5A" w14:textId="77777777" w:rsidR="002D6195" w:rsidRDefault="002D6195" w:rsidP="002D6195">
      <w:pPr>
        <w:spacing w:line="360" w:lineRule="auto"/>
        <w:jc w:val="center"/>
        <w:rPr>
          <w:rFonts w:ascii="Times New Roman" w:hAnsi="Times New Roman" w:cs="Times New Roman"/>
          <w:b/>
          <w:bCs/>
          <w:sz w:val="32"/>
          <w:szCs w:val="32"/>
        </w:rPr>
      </w:pPr>
    </w:p>
    <w:p w14:paraId="162B1689" w14:textId="78CF7BFE" w:rsidR="002D6195" w:rsidRPr="002D6195" w:rsidRDefault="002D6195" w:rsidP="002D6195">
      <w:pPr>
        <w:spacing w:line="360" w:lineRule="auto"/>
        <w:jc w:val="center"/>
        <w:rPr>
          <w:rFonts w:ascii="Times New Roman" w:hAnsi="Times New Roman" w:cs="Times New Roman"/>
          <w:b/>
          <w:bCs/>
          <w:sz w:val="32"/>
          <w:szCs w:val="32"/>
        </w:rPr>
      </w:pPr>
      <w:r w:rsidRPr="002D6195">
        <w:rPr>
          <w:rFonts w:ascii="Times New Roman" w:hAnsi="Times New Roman" w:cs="Times New Roman"/>
          <w:b/>
          <w:bCs/>
          <w:sz w:val="32"/>
          <w:szCs w:val="32"/>
        </w:rPr>
        <w:t>ASSESSMENT COMPONENT: FINANCIAL PERFORMANCE AND MANAGEMENT</w:t>
      </w:r>
    </w:p>
    <w:p w14:paraId="7440F025" w14:textId="103B6347" w:rsidR="002D6195" w:rsidRDefault="002D6195" w:rsidP="002D6195">
      <w:pPr>
        <w:spacing w:line="360" w:lineRule="auto"/>
        <w:jc w:val="center"/>
        <w:rPr>
          <w:rFonts w:ascii="Times New Roman" w:hAnsi="Times New Roman" w:cs="Times New Roman"/>
        </w:rPr>
      </w:pPr>
      <w:r w:rsidRPr="002D6195">
        <w:rPr>
          <w:rFonts w:ascii="Times New Roman" w:hAnsi="Times New Roman" w:cs="Times New Roman"/>
        </w:rPr>
        <w:t>Programme: Master of Business Administration</w:t>
      </w:r>
    </w:p>
    <w:p w14:paraId="62D83667" w14:textId="0A798DC8" w:rsidR="002D6195" w:rsidRPr="002D6195" w:rsidRDefault="002D6195" w:rsidP="002D6195">
      <w:pPr>
        <w:spacing w:line="360" w:lineRule="auto"/>
        <w:jc w:val="center"/>
        <w:rPr>
          <w:rFonts w:ascii="Times New Roman" w:hAnsi="Times New Roman" w:cs="Times New Roman"/>
        </w:rPr>
      </w:pPr>
      <w:r w:rsidRPr="002D6195">
        <w:rPr>
          <w:rFonts w:ascii="Times New Roman" w:hAnsi="Times New Roman" w:cs="Times New Roman"/>
        </w:rPr>
        <w:t>Module: Financial Management</w:t>
      </w:r>
    </w:p>
    <w:p w14:paraId="15ED7B67" w14:textId="76601D21" w:rsidR="002D6195" w:rsidRDefault="002D6195" w:rsidP="002D6195">
      <w:pPr>
        <w:spacing w:line="360" w:lineRule="auto"/>
        <w:jc w:val="center"/>
        <w:rPr>
          <w:rFonts w:ascii="Times New Roman" w:hAnsi="Times New Roman" w:cs="Times New Roman"/>
        </w:rPr>
      </w:pPr>
      <w:r w:rsidRPr="002D6195">
        <w:rPr>
          <w:rFonts w:ascii="Times New Roman" w:hAnsi="Times New Roman" w:cs="Times New Roman"/>
        </w:rPr>
        <w:t>Module Code: LCMB7002</w:t>
      </w:r>
    </w:p>
    <w:p w14:paraId="13990A7A" w14:textId="4D4DE12B" w:rsidR="002D6195" w:rsidRDefault="002D6195" w:rsidP="002D6195">
      <w:pPr>
        <w:spacing w:line="360" w:lineRule="auto"/>
        <w:jc w:val="center"/>
        <w:rPr>
          <w:rFonts w:ascii="Times New Roman" w:hAnsi="Times New Roman" w:cs="Times New Roman"/>
        </w:rPr>
      </w:pPr>
      <w:r w:rsidRPr="002D6195">
        <w:rPr>
          <w:rFonts w:ascii="Times New Roman" w:hAnsi="Times New Roman" w:cs="Times New Roman"/>
        </w:rPr>
        <w:t>Lecturer: Shengfeng Mei (London)</w:t>
      </w:r>
    </w:p>
    <w:p w14:paraId="52A3D0EB" w14:textId="281CCD58" w:rsidR="002D6195" w:rsidRDefault="002D6195" w:rsidP="002D6195">
      <w:pPr>
        <w:spacing w:line="360" w:lineRule="auto"/>
        <w:jc w:val="center"/>
        <w:rPr>
          <w:rFonts w:ascii="Times New Roman" w:hAnsi="Times New Roman" w:cs="Times New Roman"/>
        </w:rPr>
      </w:pPr>
      <w:r>
        <w:rPr>
          <w:rFonts w:ascii="Times New Roman" w:hAnsi="Times New Roman" w:cs="Times New Roman"/>
        </w:rPr>
        <w:t>Student Name:</w:t>
      </w:r>
      <w:r w:rsidR="00812320">
        <w:rPr>
          <w:rFonts w:ascii="Times New Roman" w:hAnsi="Times New Roman" w:cs="Times New Roman"/>
        </w:rPr>
        <w:t xml:space="preserve"> Amaan Allauddin Sayyed </w:t>
      </w:r>
    </w:p>
    <w:p w14:paraId="73FE8042" w14:textId="00F05ADF" w:rsidR="00732833" w:rsidRDefault="00732833" w:rsidP="002D6195">
      <w:pPr>
        <w:spacing w:line="360" w:lineRule="auto"/>
        <w:jc w:val="center"/>
        <w:rPr>
          <w:rFonts w:ascii="Times New Roman" w:hAnsi="Times New Roman" w:cs="Times New Roman"/>
        </w:rPr>
      </w:pPr>
      <w:r>
        <w:rPr>
          <w:rFonts w:ascii="Times New Roman" w:hAnsi="Times New Roman" w:cs="Times New Roman"/>
        </w:rPr>
        <w:t>Student ID: 2437446</w:t>
      </w:r>
      <w:bookmarkStart w:id="0" w:name="_GoBack"/>
      <w:bookmarkEnd w:id="0"/>
    </w:p>
    <w:p w14:paraId="7F2AEFF2" w14:textId="5496DE38" w:rsidR="002D6195" w:rsidRPr="002D6195" w:rsidRDefault="002D6195" w:rsidP="002D6195">
      <w:pPr>
        <w:spacing w:line="360" w:lineRule="auto"/>
        <w:jc w:val="center"/>
        <w:rPr>
          <w:rFonts w:ascii="Times New Roman" w:hAnsi="Times New Roman" w:cs="Times New Roman"/>
          <w:b/>
          <w:bCs/>
        </w:rPr>
      </w:pPr>
      <w:r>
        <w:rPr>
          <w:rFonts w:ascii="Times New Roman" w:hAnsi="Times New Roman" w:cs="Times New Roman"/>
        </w:rPr>
        <w:t xml:space="preserve">Date of Submission: </w:t>
      </w:r>
      <w:r w:rsidR="00812320">
        <w:rPr>
          <w:rFonts w:ascii="Times New Roman" w:hAnsi="Times New Roman" w:cs="Times New Roman"/>
        </w:rPr>
        <w:t>22</w:t>
      </w:r>
      <w:r>
        <w:rPr>
          <w:rFonts w:ascii="Times New Roman" w:hAnsi="Times New Roman" w:cs="Times New Roman"/>
        </w:rPr>
        <w:t>.12.2025</w:t>
      </w:r>
      <w:r w:rsidRPr="002D6195">
        <w:rPr>
          <w:rFonts w:ascii="Times New Roman" w:hAnsi="Times New Roman" w:cs="Times New Roman"/>
        </w:rPr>
        <w:br w:type="page"/>
      </w:r>
    </w:p>
    <w:sdt>
      <w:sdtPr>
        <w:rPr>
          <w:rFonts w:ascii="Times New Roman" w:eastAsiaTheme="minorHAnsi" w:hAnsi="Times New Roman" w:cs="Times New Roman"/>
          <w:color w:val="auto"/>
          <w:kern w:val="2"/>
          <w:sz w:val="24"/>
          <w:szCs w:val="24"/>
          <w:lang w:val="en-GB"/>
          <w14:ligatures w14:val="standardContextual"/>
        </w:rPr>
        <w:id w:val="601310348"/>
        <w:docPartObj>
          <w:docPartGallery w:val="Table of Contents"/>
          <w:docPartUnique/>
        </w:docPartObj>
      </w:sdtPr>
      <w:sdtEndPr>
        <w:rPr>
          <w:rFonts w:asciiTheme="minorHAnsi" w:hAnsiTheme="minorHAnsi" w:cstheme="minorBidi"/>
          <w:b/>
          <w:bCs/>
          <w:noProof/>
        </w:rPr>
      </w:sdtEndPr>
      <w:sdtContent>
        <w:p w14:paraId="1C62026F" w14:textId="73013F72" w:rsidR="002D6195" w:rsidRPr="002D6195" w:rsidRDefault="002D6195" w:rsidP="002D6195">
          <w:pPr>
            <w:pStyle w:val="TOCHeading"/>
            <w:spacing w:line="360" w:lineRule="auto"/>
            <w:jc w:val="center"/>
            <w:rPr>
              <w:rFonts w:ascii="Times New Roman" w:hAnsi="Times New Roman" w:cs="Times New Roman"/>
              <w:b/>
              <w:bCs/>
              <w:color w:val="auto"/>
              <w:sz w:val="24"/>
              <w:szCs w:val="24"/>
              <w:u w:val="single"/>
            </w:rPr>
          </w:pPr>
          <w:r w:rsidRPr="002D6195">
            <w:rPr>
              <w:rFonts w:ascii="Times New Roman" w:hAnsi="Times New Roman" w:cs="Times New Roman"/>
              <w:b/>
              <w:bCs/>
              <w:color w:val="auto"/>
              <w:sz w:val="24"/>
              <w:szCs w:val="24"/>
              <w:u w:val="single"/>
            </w:rPr>
            <w:t>Table of Contents</w:t>
          </w:r>
        </w:p>
        <w:p w14:paraId="44E1B59E" w14:textId="1A6650DA" w:rsidR="002D6195" w:rsidRPr="002D6195" w:rsidRDefault="002D6195" w:rsidP="002D6195">
          <w:pPr>
            <w:pStyle w:val="TOC1"/>
            <w:tabs>
              <w:tab w:val="right" w:leader="dot" w:pos="9350"/>
            </w:tabs>
            <w:spacing w:line="360" w:lineRule="auto"/>
            <w:jc w:val="both"/>
            <w:rPr>
              <w:rFonts w:ascii="Times New Roman" w:hAnsi="Times New Roman" w:cs="Times New Roman"/>
              <w:noProof/>
            </w:rPr>
          </w:pPr>
          <w:r w:rsidRPr="002D6195">
            <w:rPr>
              <w:rFonts w:ascii="Times New Roman" w:hAnsi="Times New Roman" w:cs="Times New Roman"/>
            </w:rPr>
            <w:fldChar w:fldCharType="begin"/>
          </w:r>
          <w:r w:rsidRPr="002D6195">
            <w:rPr>
              <w:rFonts w:ascii="Times New Roman" w:hAnsi="Times New Roman" w:cs="Times New Roman"/>
            </w:rPr>
            <w:instrText xml:space="preserve"> TOC \o "1-3" \h \z \u </w:instrText>
          </w:r>
          <w:r w:rsidRPr="002D6195">
            <w:rPr>
              <w:rFonts w:ascii="Times New Roman" w:hAnsi="Times New Roman" w:cs="Times New Roman"/>
            </w:rPr>
            <w:fldChar w:fldCharType="separate"/>
          </w:r>
          <w:hyperlink w:anchor="_Toc216952161" w:history="1">
            <w:r w:rsidRPr="002D6195">
              <w:rPr>
                <w:rStyle w:val="Hyperlink"/>
                <w:rFonts w:ascii="Times New Roman" w:hAnsi="Times New Roman" w:cs="Times New Roman"/>
                <w:noProof/>
              </w:rPr>
              <w:t>1. Financial Health Check</w:t>
            </w:r>
            <w:r w:rsidRPr="002D6195">
              <w:rPr>
                <w:rFonts w:ascii="Times New Roman" w:hAnsi="Times New Roman" w:cs="Times New Roman"/>
                <w:noProof/>
                <w:webHidden/>
              </w:rPr>
              <w:tab/>
            </w:r>
            <w:r w:rsidRPr="002D6195">
              <w:rPr>
                <w:rFonts w:ascii="Times New Roman" w:hAnsi="Times New Roman" w:cs="Times New Roman"/>
                <w:noProof/>
                <w:webHidden/>
              </w:rPr>
              <w:fldChar w:fldCharType="begin"/>
            </w:r>
            <w:r w:rsidRPr="002D6195">
              <w:rPr>
                <w:rFonts w:ascii="Times New Roman" w:hAnsi="Times New Roman" w:cs="Times New Roman"/>
                <w:noProof/>
                <w:webHidden/>
              </w:rPr>
              <w:instrText xml:space="preserve"> PAGEREF _Toc216952161 \h </w:instrText>
            </w:r>
            <w:r w:rsidRPr="002D6195">
              <w:rPr>
                <w:rFonts w:ascii="Times New Roman" w:hAnsi="Times New Roman" w:cs="Times New Roman"/>
                <w:noProof/>
                <w:webHidden/>
              </w:rPr>
            </w:r>
            <w:r w:rsidRPr="002D6195">
              <w:rPr>
                <w:rFonts w:ascii="Times New Roman" w:hAnsi="Times New Roman" w:cs="Times New Roman"/>
                <w:noProof/>
                <w:webHidden/>
              </w:rPr>
              <w:fldChar w:fldCharType="separate"/>
            </w:r>
            <w:r w:rsidRPr="002D6195">
              <w:rPr>
                <w:rFonts w:ascii="Times New Roman" w:hAnsi="Times New Roman" w:cs="Times New Roman"/>
                <w:noProof/>
                <w:webHidden/>
              </w:rPr>
              <w:t>3</w:t>
            </w:r>
            <w:r w:rsidRPr="002D6195">
              <w:rPr>
                <w:rFonts w:ascii="Times New Roman" w:hAnsi="Times New Roman" w:cs="Times New Roman"/>
                <w:noProof/>
                <w:webHidden/>
              </w:rPr>
              <w:fldChar w:fldCharType="end"/>
            </w:r>
          </w:hyperlink>
        </w:p>
        <w:p w14:paraId="2201398E" w14:textId="294E15EB"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62" w:history="1">
            <w:r w:rsidR="002D6195" w:rsidRPr="002D6195">
              <w:rPr>
                <w:rStyle w:val="Hyperlink"/>
                <w:rFonts w:ascii="Times New Roman" w:hAnsi="Times New Roman" w:cs="Times New Roman"/>
                <w:noProof/>
              </w:rPr>
              <w:t>1.1 Ratio Analysis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_Toc216952162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3</w:t>
            </w:r>
            <w:r w:rsidR="002D6195" w:rsidRPr="002D6195">
              <w:rPr>
                <w:rFonts w:ascii="Times New Roman" w:hAnsi="Times New Roman" w:cs="Times New Roman"/>
                <w:noProof/>
                <w:webHidden/>
              </w:rPr>
              <w:fldChar w:fldCharType="end"/>
            </w:r>
          </w:hyperlink>
        </w:p>
        <w:p w14:paraId="2409B72F" w14:textId="599EF8CB"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63" w:history="1">
            <w:r w:rsidR="002D6195" w:rsidRPr="002D6195">
              <w:rPr>
                <w:rStyle w:val="Hyperlink"/>
                <w:rFonts w:ascii="Times New Roman" w:hAnsi="Times New Roman" w:cs="Times New Roman"/>
                <w:noProof/>
              </w:rPr>
              <w:t>1.2 Trends, Strengths and Threats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_Toc216952163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7</w:t>
            </w:r>
            <w:r w:rsidR="002D6195" w:rsidRPr="002D6195">
              <w:rPr>
                <w:rFonts w:ascii="Times New Roman" w:hAnsi="Times New Roman" w:cs="Times New Roman"/>
                <w:noProof/>
                <w:webHidden/>
              </w:rPr>
              <w:fldChar w:fldCharType="end"/>
            </w:r>
          </w:hyperlink>
        </w:p>
        <w:p w14:paraId="23C53B33" w14:textId="29D10BDB"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64" w:history="1">
            <w:r w:rsidR="002D6195" w:rsidRPr="002D6195">
              <w:rPr>
                <w:rStyle w:val="Hyperlink"/>
                <w:rFonts w:ascii="Times New Roman" w:hAnsi="Times New Roman" w:cs="Times New Roman"/>
                <w:noProof/>
                <w:lang w:val="en-US"/>
              </w:rPr>
              <w:t xml:space="preserve">1.3 </w:t>
            </w:r>
            <w:r w:rsidR="002D6195" w:rsidRPr="002D6195">
              <w:rPr>
                <w:rStyle w:val="Hyperlink"/>
                <w:rFonts w:ascii="Times New Roman" w:hAnsi="Times New Roman" w:cs="Times New Roman"/>
                <w:noProof/>
              </w:rPr>
              <w:t>Corporate Failure Prediction</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_Toc216952164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8</w:t>
            </w:r>
            <w:r w:rsidR="002D6195" w:rsidRPr="002D6195">
              <w:rPr>
                <w:rFonts w:ascii="Times New Roman" w:hAnsi="Times New Roman" w:cs="Times New Roman"/>
                <w:noProof/>
                <w:webHidden/>
              </w:rPr>
              <w:fldChar w:fldCharType="end"/>
            </w:r>
          </w:hyperlink>
        </w:p>
        <w:p w14:paraId="607CE50C" w14:textId="1D0BCE22" w:rsidR="002D6195" w:rsidRPr="002D6195" w:rsidRDefault="00D33E17" w:rsidP="002D6195">
          <w:pPr>
            <w:pStyle w:val="TOC1"/>
            <w:tabs>
              <w:tab w:val="right" w:leader="dot" w:pos="9350"/>
            </w:tabs>
            <w:spacing w:line="360" w:lineRule="auto"/>
            <w:jc w:val="both"/>
            <w:rPr>
              <w:rFonts w:ascii="Times New Roman" w:hAnsi="Times New Roman" w:cs="Times New Roman"/>
              <w:noProof/>
            </w:rPr>
          </w:pPr>
          <w:hyperlink w:anchor="_Toc216952165" w:history="1">
            <w:r w:rsidR="002D6195" w:rsidRPr="002D6195">
              <w:rPr>
                <w:rStyle w:val="Hyperlink"/>
                <w:rFonts w:ascii="Times New Roman" w:hAnsi="Times New Roman" w:cs="Times New Roman"/>
                <w:noProof/>
              </w:rPr>
              <w:t>2. Working Capital Management Analysis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_Toc216952165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9</w:t>
            </w:r>
            <w:r w:rsidR="002D6195" w:rsidRPr="002D6195">
              <w:rPr>
                <w:rFonts w:ascii="Times New Roman" w:hAnsi="Times New Roman" w:cs="Times New Roman"/>
                <w:noProof/>
                <w:webHidden/>
              </w:rPr>
              <w:fldChar w:fldCharType="end"/>
            </w:r>
          </w:hyperlink>
        </w:p>
        <w:p w14:paraId="326BEF2D" w14:textId="4C429223"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66" w:history="1">
            <w:r w:rsidR="002D6195" w:rsidRPr="002D6195">
              <w:rPr>
                <w:rStyle w:val="Hyperlink"/>
                <w:rFonts w:ascii="Times New Roman" w:hAnsi="Times New Roman" w:cs="Times New Roman"/>
                <w:noProof/>
                <w:lang w:val="en-US"/>
              </w:rPr>
              <w:t>2.1 Assessment of the Cash Operating Cycle</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_Toc216952166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9</w:t>
            </w:r>
            <w:r w:rsidR="002D6195" w:rsidRPr="002D6195">
              <w:rPr>
                <w:rFonts w:ascii="Times New Roman" w:hAnsi="Times New Roman" w:cs="Times New Roman"/>
                <w:noProof/>
                <w:webHidden/>
              </w:rPr>
              <w:fldChar w:fldCharType="end"/>
            </w:r>
          </w:hyperlink>
        </w:p>
        <w:p w14:paraId="71C367D0" w14:textId="1298C72D"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67" w:history="1">
            <w:r w:rsidR="002D6195" w:rsidRPr="002D6195">
              <w:rPr>
                <w:rStyle w:val="Hyperlink"/>
                <w:rFonts w:ascii="Times New Roman" w:hAnsi="Times New Roman" w:cs="Times New Roman"/>
                <w:noProof/>
                <w:lang w:val="en-US"/>
              </w:rPr>
              <w:t>2.2 Strategies to Improve Liquidity Through Working Capital Reforms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_Toc216952167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10</w:t>
            </w:r>
            <w:r w:rsidR="002D6195" w:rsidRPr="002D6195">
              <w:rPr>
                <w:rFonts w:ascii="Times New Roman" w:hAnsi="Times New Roman" w:cs="Times New Roman"/>
                <w:noProof/>
                <w:webHidden/>
              </w:rPr>
              <w:fldChar w:fldCharType="end"/>
            </w:r>
          </w:hyperlink>
        </w:p>
        <w:p w14:paraId="707287ED" w14:textId="34EF9926"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68" w:history="1">
            <w:r w:rsidR="002D6195" w:rsidRPr="002D6195">
              <w:rPr>
                <w:rStyle w:val="Hyperlink"/>
                <w:rFonts w:ascii="Times New Roman" w:hAnsi="Times New Roman" w:cs="Times New Roman"/>
                <w:noProof/>
                <w:lang w:val="en-US"/>
              </w:rPr>
              <w:t>2.3 Comparison of Short-Term vs Long-Term Financing Options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_Toc216952168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11</w:t>
            </w:r>
            <w:r w:rsidR="002D6195" w:rsidRPr="002D6195">
              <w:rPr>
                <w:rFonts w:ascii="Times New Roman" w:hAnsi="Times New Roman" w:cs="Times New Roman"/>
                <w:noProof/>
                <w:webHidden/>
              </w:rPr>
              <w:fldChar w:fldCharType="end"/>
            </w:r>
          </w:hyperlink>
        </w:p>
        <w:p w14:paraId="74D5888E" w14:textId="4B44FAE0" w:rsidR="002D6195" w:rsidRPr="002D6195" w:rsidRDefault="00D33E17" w:rsidP="002D6195">
          <w:pPr>
            <w:pStyle w:val="TOC1"/>
            <w:tabs>
              <w:tab w:val="right" w:leader="dot" w:pos="9350"/>
            </w:tabs>
            <w:spacing w:line="360" w:lineRule="auto"/>
            <w:jc w:val="both"/>
            <w:rPr>
              <w:rFonts w:ascii="Times New Roman" w:hAnsi="Times New Roman" w:cs="Times New Roman"/>
              <w:noProof/>
            </w:rPr>
          </w:pPr>
          <w:hyperlink w:anchor="_Toc216952169" w:history="1">
            <w:r w:rsidR="002D6195" w:rsidRPr="002D6195">
              <w:rPr>
                <w:rStyle w:val="Hyperlink"/>
                <w:rFonts w:ascii="Times New Roman" w:hAnsi="Times New Roman" w:cs="Times New Roman"/>
                <w:noProof/>
              </w:rPr>
              <w:t>3. Strategic Financial Restructuring Plan</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_Toc216952169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12</w:t>
            </w:r>
            <w:r w:rsidR="002D6195" w:rsidRPr="002D6195">
              <w:rPr>
                <w:rFonts w:ascii="Times New Roman" w:hAnsi="Times New Roman" w:cs="Times New Roman"/>
                <w:noProof/>
                <w:webHidden/>
              </w:rPr>
              <w:fldChar w:fldCharType="end"/>
            </w:r>
          </w:hyperlink>
        </w:p>
        <w:p w14:paraId="3EE49A5C" w14:textId="689FCEE5"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70" w:history="1">
            <w:r w:rsidR="002D6195" w:rsidRPr="002D6195">
              <w:rPr>
                <w:rStyle w:val="Hyperlink"/>
                <w:rFonts w:ascii="Times New Roman" w:hAnsi="Times New Roman" w:cs="Times New Roman"/>
                <w:noProof/>
                <w:lang w:val="en-US"/>
              </w:rPr>
              <w:t>3.1 Recommended Financial Restructuring Options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_Toc216952170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12</w:t>
            </w:r>
            <w:r w:rsidR="002D6195" w:rsidRPr="002D6195">
              <w:rPr>
                <w:rFonts w:ascii="Times New Roman" w:hAnsi="Times New Roman" w:cs="Times New Roman"/>
                <w:noProof/>
                <w:webHidden/>
              </w:rPr>
              <w:fldChar w:fldCharType="end"/>
            </w:r>
          </w:hyperlink>
        </w:p>
        <w:p w14:paraId="63028F1D" w14:textId="50CD82CC"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71" w:history="1">
            <w:r w:rsidR="002D6195" w:rsidRPr="002D6195">
              <w:rPr>
                <w:rStyle w:val="Hyperlink"/>
                <w:rFonts w:ascii="Times New Roman" w:hAnsi="Times New Roman" w:cs="Times New Roman"/>
                <w:noProof/>
                <w:lang w:val="en-US"/>
              </w:rPr>
              <w:t>3.2 Impact on Shareholder Value, Debt Structure, and Operational Flexibility</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_Toc216952171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13</w:t>
            </w:r>
            <w:r w:rsidR="002D6195" w:rsidRPr="002D6195">
              <w:rPr>
                <w:rFonts w:ascii="Times New Roman" w:hAnsi="Times New Roman" w:cs="Times New Roman"/>
                <w:noProof/>
                <w:webHidden/>
              </w:rPr>
              <w:fldChar w:fldCharType="end"/>
            </w:r>
          </w:hyperlink>
        </w:p>
        <w:p w14:paraId="7439479D" w14:textId="169B1105"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72" w:history="1">
            <w:r w:rsidR="002D6195" w:rsidRPr="002D6195">
              <w:rPr>
                <w:rStyle w:val="Hyperlink"/>
                <w:rFonts w:ascii="Times New Roman" w:hAnsi="Times New Roman" w:cs="Times New Roman"/>
                <w:noProof/>
                <w:lang w:val="en-US"/>
              </w:rPr>
              <w:t>3.3 International and Ethical Considerations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_Toc216952172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14</w:t>
            </w:r>
            <w:r w:rsidR="002D6195" w:rsidRPr="002D6195">
              <w:rPr>
                <w:rFonts w:ascii="Times New Roman" w:hAnsi="Times New Roman" w:cs="Times New Roman"/>
                <w:noProof/>
                <w:webHidden/>
              </w:rPr>
              <w:fldChar w:fldCharType="end"/>
            </w:r>
          </w:hyperlink>
        </w:p>
        <w:p w14:paraId="547D4A72" w14:textId="5723BCE2" w:rsidR="002D6195" w:rsidRPr="002D6195" w:rsidRDefault="00D33E17" w:rsidP="002D6195">
          <w:pPr>
            <w:pStyle w:val="TOC1"/>
            <w:tabs>
              <w:tab w:val="right" w:leader="dot" w:pos="9350"/>
            </w:tabs>
            <w:spacing w:line="360" w:lineRule="auto"/>
            <w:jc w:val="both"/>
            <w:rPr>
              <w:rFonts w:ascii="Times New Roman" w:hAnsi="Times New Roman" w:cs="Times New Roman"/>
              <w:noProof/>
            </w:rPr>
          </w:pPr>
          <w:hyperlink w:anchor="_Toc216952173" w:history="1">
            <w:r w:rsidR="002D6195" w:rsidRPr="002D6195">
              <w:rPr>
                <w:rStyle w:val="Hyperlink"/>
                <w:rFonts w:ascii="Times New Roman" w:hAnsi="Times New Roman" w:cs="Times New Roman"/>
                <w:noProof/>
              </w:rPr>
              <w:t>4. Investment Appraisal and Capital Budgeting</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_Toc216952173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15</w:t>
            </w:r>
            <w:r w:rsidR="002D6195" w:rsidRPr="002D6195">
              <w:rPr>
                <w:rFonts w:ascii="Times New Roman" w:hAnsi="Times New Roman" w:cs="Times New Roman"/>
                <w:noProof/>
                <w:webHidden/>
              </w:rPr>
              <w:fldChar w:fldCharType="end"/>
            </w:r>
          </w:hyperlink>
        </w:p>
        <w:p w14:paraId="659DCD5B" w14:textId="7E921F2A"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74" w:history="1">
            <w:r w:rsidR="002D6195" w:rsidRPr="002D6195">
              <w:rPr>
                <w:rStyle w:val="Hyperlink"/>
                <w:rFonts w:ascii="Times New Roman" w:hAnsi="Times New Roman" w:cs="Times New Roman"/>
                <w:noProof/>
                <w:lang w:val="en-US"/>
              </w:rPr>
              <w:t>4.1 Project A: Capital Budgeting Calculations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_Toc216952174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15</w:t>
            </w:r>
            <w:r w:rsidR="002D6195" w:rsidRPr="002D6195">
              <w:rPr>
                <w:rFonts w:ascii="Times New Roman" w:hAnsi="Times New Roman" w:cs="Times New Roman"/>
                <w:noProof/>
                <w:webHidden/>
              </w:rPr>
              <w:fldChar w:fldCharType="end"/>
            </w:r>
          </w:hyperlink>
        </w:p>
        <w:p w14:paraId="71DC0302" w14:textId="2E45349E"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75" w:history="1">
            <w:r w:rsidR="002D6195" w:rsidRPr="002D6195">
              <w:rPr>
                <w:rStyle w:val="Hyperlink"/>
                <w:rFonts w:ascii="Times New Roman" w:hAnsi="Times New Roman" w:cs="Times New Roman"/>
                <w:noProof/>
                <w:lang w:val="en-US"/>
              </w:rPr>
              <w:t>4.2 Project B: Capital Budgeting Calculations (10% Discount Rate)</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_Toc216952175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16</w:t>
            </w:r>
            <w:r w:rsidR="002D6195" w:rsidRPr="002D6195">
              <w:rPr>
                <w:rFonts w:ascii="Times New Roman" w:hAnsi="Times New Roman" w:cs="Times New Roman"/>
                <w:noProof/>
                <w:webHidden/>
              </w:rPr>
              <w:fldChar w:fldCharType="end"/>
            </w:r>
          </w:hyperlink>
        </w:p>
        <w:p w14:paraId="206C5399" w14:textId="1BA5EEC2"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76" w:history="1">
            <w:r w:rsidR="002D6195" w:rsidRPr="002D6195">
              <w:rPr>
                <w:rStyle w:val="Hyperlink"/>
                <w:rFonts w:ascii="Times New Roman" w:hAnsi="Times New Roman" w:cs="Times New Roman"/>
                <w:noProof/>
                <w:lang w:val="en-US"/>
              </w:rPr>
              <w:t>4.3 Project C: Capital Budgeting Calculations (10% Discount Rate)</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_Toc216952176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17</w:t>
            </w:r>
            <w:r w:rsidR="002D6195" w:rsidRPr="002D6195">
              <w:rPr>
                <w:rFonts w:ascii="Times New Roman" w:hAnsi="Times New Roman" w:cs="Times New Roman"/>
                <w:noProof/>
                <w:webHidden/>
              </w:rPr>
              <w:fldChar w:fldCharType="end"/>
            </w:r>
          </w:hyperlink>
        </w:p>
        <w:p w14:paraId="76CFCF66" w14:textId="7440B552" w:rsidR="002D6195" w:rsidRPr="002D6195" w:rsidRDefault="00D33E17" w:rsidP="002D6195">
          <w:pPr>
            <w:pStyle w:val="TOC2"/>
            <w:tabs>
              <w:tab w:val="right" w:leader="dot" w:pos="9350"/>
            </w:tabs>
            <w:spacing w:line="360" w:lineRule="auto"/>
            <w:jc w:val="both"/>
            <w:rPr>
              <w:rFonts w:ascii="Times New Roman" w:hAnsi="Times New Roman" w:cs="Times New Roman"/>
              <w:noProof/>
            </w:rPr>
          </w:pPr>
          <w:hyperlink w:anchor="_Toc216952177" w:history="1">
            <w:r w:rsidR="002D6195" w:rsidRPr="002D6195">
              <w:rPr>
                <w:rStyle w:val="Hyperlink"/>
                <w:rFonts w:ascii="Times New Roman" w:hAnsi="Times New Roman" w:cs="Times New Roman"/>
                <w:noProof/>
              </w:rPr>
              <w:t>4.4 Recommendation With Reference to the Company’s Financial Performance</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_Toc216952177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19</w:t>
            </w:r>
            <w:r w:rsidR="002D6195" w:rsidRPr="002D6195">
              <w:rPr>
                <w:rFonts w:ascii="Times New Roman" w:hAnsi="Times New Roman" w:cs="Times New Roman"/>
                <w:noProof/>
                <w:webHidden/>
              </w:rPr>
              <w:fldChar w:fldCharType="end"/>
            </w:r>
          </w:hyperlink>
        </w:p>
        <w:p w14:paraId="1D546C73" w14:textId="47BC513B" w:rsidR="002D6195" w:rsidRPr="002D6195" w:rsidRDefault="00D33E17" w:rsidP="002D6195">
          <w:pPr>
            <w:pStyle w:val="TOC1"/>
            <w:tabs>
              <w:tab w:val="right" w:leader="dot" w:pos="9350"/>
            </w:tabs>
            <w:spacing w:line="360" w:lineRule="auto"/>
            <w:jc w:val="both"/>
            <w:rPr>
              <w:rFonts w:ascii="Times New Roman" w:hAnsi="Times New Roman" w:cs="Times New Roman"/>
              <w:noProof/>
            </w:rPr>
          </w:pPr>
          <w:hyperlink w:anchor="_Toc216952178" w:history="1">
            <w:r w:rsidR="002D6195" w:rsidRPr="002D6195">
              <w:rPr>
                <w:rStyle w:val="Hyperlink"/>
                <w:rFonts w:ascii="Times New Roman" w:hAnsi="Times New Roman" w:cs="Times New Roman"/>
                <w:noProof/>
                <w:lang w:val="en-US"/>
              </w:rPr>
              <w:t>Reference List</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_Toc216952178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21</w:t>
            </w:r>
            <w:r w:rsidR="002D6195" w:rsidRPr="002D6195">
              <w:rPr>
                <w:rFonts w:ascii="Times New Roman" w:hAnsi="Times New Roman" w:cs="Times New Roman"/>
                <w:noProof/>
                <w:webHidden/>
              </w:rPr>
              <w:fldChar w:fldCharType="end"/>
            </w:r>
          </w:hyperlink>
        </w:p>
        <w:p w14:paraId="77040D66" w14:textId="1E851848" w:rsidR="002D6195" w:rsidRDefault="002D6195" w:rsidP="002D6195">
          <w:pPr>
            <w:spacing w:line="360" w:lineRule="auto"/>
            <w:jc w:val="both"/>
          </w:pPr>
          <w:r w:rsidRPr="002D6195">
            <w:rPr>
              <w:rFonts w:ascii="Times New Roman" w:hAnsi="Times New Roman" w:cs="Times New Roman"/>
              <w:b/>
              <w:bCs/>
              <w:noProof/>
            </w:rPr>
            <w:fldChar w:fldCharType="end"/>
          </w:r>
        </w:p>
      </w:sdtContent>
    </w:sdt>
    <w:p w14:paraId="29685DF0" w14:textId="77777777" w:rsidR="002D6195" w:rsidRDefault="002D6195">
      <w:pPr>
        <w:rPr>
          <w:rFonts w:ascii="Times New Roman" w:hAnsi="Times New Roman" w:cs="Times New Roman"/>
          <w:b/>
          <w:bCs/>
        </w:rPr>
      </w:pPr>
      <w:r>
        <w:br w:type="page"/>
      </w:r>
    </w:p>
    <w:p w14:paraId="1094CB02" w14:textId="2D441F0F" w:rsidR="00E24A95" w:rsidRPr="002D6195" w:rsidRDefault="009A7E2E" w:rsidP="002D6195">
      <w:pPr>
        <w:pStyle w:val="Heading1"/>
      </w:pPr>
      <w:bookmarkStart w:id="1" w:name="_Toc216952161"/>
      <w:r w:rsidRPr="00654637">
        <w:lastRenderedPageBreak/>
        <w:t>1. Financial Health Check</w:t>
      </w:r>
      <w:bookmarkEnd w:id="1"/>
    </w:p>
    <w:p w14:paraId="65775902" w14:textId="51833442" w:rsidR="009A7E2E" w:rsidRPr="002D6195" w:rsidRDefault="009A7E2E" w:rsidP="002D6195">
      <w:pPr>
        <w:pStyle w:val="Heading2"/>
      </w:pPr>
      <w:bookmarkStart w:id="2" w:name="_Toc216952162"/>
      <w:r w:rsidRPr="002D6195">
        <w:t>1.1 Ratio Analysis</w:t>
      </w:r>
      <w:bookmarkEnd w:id="2"/>
    </w:p>
    <w:p w14:paraId="589176A5" w14:textId="2F5BFB68"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Gross Profit Margin (Profitability)</w:t>
      </w:r>
    </w:p>
    <w:tbl>
      <w:tblPr>
        <w:tblStyle w:val="TableGrid"/>
        <w:tblW w:w="0" w:type="auto"/>
        <w:tblLook w:val="04A0" w:firstRow="1" w:lastRow="0" w:firstColumn="1" w:lastColumn="0" w:noHBand="0" w:noVBand="1"/>
      </w:tblPr>
      <w:tblGrid>
        <w:gridCol w:w="2054"/>
        <w:gridCol w:w="4363"/>
        <w:gridCol w:w="2933"/>
      </w:tblGrid>
      <w:tr w:rsidR="009A7E2E" w:rsidRPr="009A7E2E" w14:paraId="076ADC45" w14:textId="77777777" w:rsidTr="009A7E2E">
        <w:tc>
          <w:tcPr>
            <w:tcW w:w="0" w:type="auto"/>
            <w:hideMark/>
          </w:tcPr>
          <w:p w14:paraId="5F818662"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0" w:type="auto"/>
            <w:hideMark/>
          </w:tcPr>
          <w:p w14:paraId="070D53C4"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0" w:type="auto"/>
            <w:hideMark/>
          </w:tcPr>
          <w:p w14:paraId="25534AD7"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2F81FCAB" w14:textId="77777777" w:rsidTr="009A7E2E">
        <w:tc>
          <w:tcPr>
            <w:tcW w:w="0" w:type="auto"/>
            <w:hideMark/>
          </w:tcPr>
          <w:p w14:paraId="2991057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Revenue</w:t>
            </w:r>
          </w:p>
        </w:tc>
        <w:tc>
          <w:tcPr>
            <w:tcW w:w="0" w:type="auto"/>
            <w:hideMark/>
          </w:tcPr>
          <w:p w14:paraId="3B8B0A6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64,565</w:t>
            </w:r>
          </w:p>
        </w:tc>
        <w:tc>
          <w:tcPr>
            <w:tcW w:w="0" w:type="auto"/>
            <w:hideMark/>
          </w:tcPr>
          <w:p w14:paraId="601C0F4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55,143</w:t>
            </w:r>
          </w:p>
        </w:tc>
      </w:tr>
      <w:tr w:rsidR="009A7E2E" w:rsidRPr="009A7E2E" w14:paraId="6098B781" w14:textId="77777777" w:rsidTr="009A7E2E">
        <w:tc>
          <w:tcPr>
            <w:tcW w:w="0" w:type="auto"/>
            <w:hideMark/>
          </w:tcPr>
          <w:p w14:paraId="28C6ED9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Cost of Sales</w:t>
            </w:r>
          </w:p>
        </w:tc>
        <w:tc>
          <w:tcPr>
            <w:tcW w:w="0" w:type="auto"/>
            <w:hideMark/>
          </w:tcPr>
          <w:p w14:paraId="72964A1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43,900</w:t>
            </w:r>
          </w:p>
        </w:tc>
        <w:tc>
          <w:tcPr>
            <w:tcW w:w="0" w:type="auto"/>
            <w:hideMark/>
          </w:tcPr>
          <w:p w14:paraId="0AA46A8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39,700</w:t>
            </w:r>
          </w:p>
        </w:tc>
      </w:tr>
      <w:tr w:rsidR="009A7E2E" w:rsidRPr="009A7E2E" w14:paraId="33340C94" w14:textId="77777777" w:rsidTr="009A7E2E">
        <w:tc>
          <w:tcPr>
            <w:tcW w:w="0" w:type="auto"/>
            <w:hideMark/>
          </w:tcPr>
          <w:p w14:paraId="5DC4BB9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Gross Profit</w:t>
            </w:r>
          </w:p>
        </w:tc>
        <w:tc>
          <w:tcPr>
            <w:tcW w:w="0" w:type="auto"/>
            <w:hideMark/>
          </w:tcPr>
          <w:p w14:paraId="5F5E312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20,665</w:t>
            </w:r>
          </w:p>
        </w:tc>
        <w:tc>
          <w:tcPr>
            <w:tcW w:w="0" w:type="auto"/>
            <w:hideMark/>
          </w:tcPr>
          <w:p w14:paraId="3B908B1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15,443</w:t>
            </w:r>
          </w:p>
        </w:tc>
      </w:tr>
      <w:tr w:rsidR="009A7E2E" w:rsidRPr="009A7E2E" w14:paraId="7D15F5A9" w14:textId="77777777" w:rsidTr="009A7E2E">
        <w:tc>
          <w:tcPr>
            <w:tcW w:w="0" w:type="auto"/>
            <w:hideMark/>
          </w:tcPr>
          <w:p w14:paraId="6ED357D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0" w:type="auto"/>
            <w:hideMark/>
          </w:tcPr>
          <w:p w14:paraId="3CDDB74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(Revenue − Cost of Sales) ÷ Revenue</w:t>
            </w:r>
          </w:p>
        </w:tc>
        <w:tc>
          <w:tcPr>
            <w:tcW w:w="0" w:type="auto"/>
            <w:hideMark/>
          </w:tcPr>
          <w:p w14:paraId="20CD3FD1"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7B93CDFD" w14:textId="77777777" w:rsidTr="009A7E2E">
        <w:tc>
          <w:tcPr>
            <w:tcW w:w="0" w:type="auto"/>
            <w:hideMark/>
          </w:tcPr>
          <w:p w14:paraId="4E7E523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Gross Profit Margin</w:t>
            </w:r>
          </w:p>
        </w:tc>
        <w:tc>
          <w:tcPr>
            <w:tcW w:w="0" w:type="auto"/>
            <w:hideMark/>
          </w:tcPr>
          <w:p w14:paraId="5F24477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32.0%</w:t>
            </w:r>
          </w:p>
        </w:tc>
        <w:tc>
          <w:tcPr>
            <w:tcW w:w="0" w:type="auto"/>
            <w:hideMark/>
          </w:tcPr>
          <w:p w14:paraId="0DD6916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28.0%</w:t>
            </w:r>
          </w:p>
        </w:tc>
      </w:tr>
      <w:tr w:rsidR="009A7E2E" w:rsidRPr="009A7E2E" w14:paraId="2D0A5772" w14:textId="77777777" w:rsidTr="009A7E2E">
        <w:tc>
          <w:tcPr>
            <w:tcW w:w="0" w:type="auto"/>
            <w:hideMark/>
          </w:tcPr>
          <w:p w14:paraId="7052530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0" w:type="auto"/>
            <w:hideMark/>
          </w:tcPr>
          <w:p w14:paraId="21471D0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Improved margin reflects better pricing and cost discipline</w:t>
            </w:r>
          </w:p>
        </w:tc>
        <w:tc>
          <w:tcPr>
            <w:tcW w:w="0" w:type="auto"/>
            <w:hideMark/>
          </w:tcPr>
          <w:p w14:paraId="4030D93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Lower margin indicates cost pressure</w:t>
            </w:r>
          </w:p>
        </w:tc>
      </w:tr>
    </w:tbl>
    <w:p w14:paraId="3506E273" w14:textId="77777777" w:rsidR="002D6195" w:rsidRDefault="002D6195" w:rsidP="009A7E2E">
      <w:pPr>
        <w:spacing w:line="360" w:lineRule="auto"/>
        <w:rPr>
          <w:rFonts w:ascii="Times New Roman" w:hAnsi="Times New Roman" w:cs="Times New Roman"/>
          <w:b/>
          <w:bCs/>
          <w:lang w:val="en-US"/>
        </w:rPr>
      </w:pPr>
    </w:p>
    <w:p w14:paraId="4A8B222C" w14:textId="0962F969"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Net Profit Margin (Profitability)</w:t>
      </w:r>
    </w:p>
    <w:tbl>
      <w:tblPr>
        <w:tblStyle w:val="TableGrid"/>
        <w:tblW w:w="5000" w:type="pct"/>
        <w:tblLook w:val="04A0" w:firstRow="1" w:lastRow="0" w:firstColumn="1" w:lastColumn="0" w:noHBand="0" w:noVBand="1"/>
      </w:tblPr>
      <w:tblGrid>
        <w:gridCol w:w="2457"/>
        <w:gridCol w:w="3660"/>
        <w:gridCol w:w="3233"/>
      </w:tblGrid>
      <w:tr w:rsidR="009A7E2E" w:rsidRPr="009A7E2E" w14:paraId="13BD2DF8" w14:textId="77777777" w:rsidTr="009A7E2E">
        <w:tc>
          <w:tcPr>
            <w:tcW w:w="1314" w:type="pct"/>
            <w:hideMark/>
          </w:tcPr>
          <w:p w14:paraId="56AABC3D"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1957" w:type="pct"/>
            <w:hideMark/>
          </w:tcPr>
          <w:p w14:paraId="6F0455AF"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730" w:type="pct"/>
            <w:hideMark/>
          </w:tcPr>
          <w:p w14:paraId="14581F80"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7F450913" w14:textId="77777777" w:rsidTr="009A7E2E">
        <w:tc>
          <w:tcPr>
            <w:tcW w:w="1314" w:type="pct"/>
            <w:hideMark/>
          </w:tcPr>
          <w:p w14:paraId="5B994CF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Net Profit (GAAP)</w:t>
            </w:r>
          </w:p>
        </w:tc>
        <w:tc>
          <w:tcPr>
            <w:tcW w:w="1957" w:type="pct"/>
            <w:hideMark/>
          </w:tcPr>
          <w:p w14:paraId="232ACA0B"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10,191</w:t>
            </w:r>
          </w:p>
        </w:tc>
        <w:tc>
          <w:tcPr>
            <w:tcW w:w="1730" w:type="pct"/>
            <w:hideMark/>
          </w:tcPr>
          <w:p w14:paraId="3B95DCD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(799)</w:t>
            </w:r>
          </w:p>
        </w:tc>
      </w:tr>
      <w:tr w:rsidR="009A7E2E" w:rsidRPr="009A7E2E" w14:paraId="5834812C" w14:textId="77777777" w:rsidTr="009A7E2E">
        <w:tc>
          <w:tcPr>
            <w:tcW w:w="1314" w:type="pct"/>
            <w:hideMark/>
          </w:tcPr>
          <w:p w14:paraId="167A253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Revenue</w:t>
            </w:r>
          </w:p>
        </w:tc>
        <w:tc>
          <w:tcPr>
            <w:tcW w:w="1957" w:type="pct"/>
            <w:hideMark/>
          </w:tcPr>
          <w:p w14:paraId="66F2D75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64,565</w:t>
            </w:r>
          </w:p>
        </w:tc>
        <w:tc>
          <w:tcPr>
            <w:tcW w:w="1730" w:type="pct"/>
            <w:hideMark/>
          </w:tcPr>
          <w:p w14:paraId="0D3C2A6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55,143</w:t>
            </w:r>
          </w:p>
        </w:tc>
      </w:tr>
      <w:tr w:rsidR="009A7E2E" w:rsidRPr="009A7E2E" w14:paraId="12BC8680" w14:textId="77777777" w:rsidTr="009A7E2E">
        <w:tc>
          <w:tcPr>
            <w:tcW w:w="1314" w:type="pct"/>
            <w:hideMark/>
          </w:tcPr>
          <w:p w14:paraId="714C4C3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1957" w:type="pct"/>
            <w:hideMark/>
          </w:tcPr>
          <w:p w14:paraId="17142AD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Net Profit ÷ Revenue</w:t>
            </w:r>
          </w:p>
        </w:tc>
        <w:tc>
          <w:tcPr>
            <w:tcW w:w="1730" w:type="pct"/>
            <w:hideMark/>
          </w:tcPr>
          <w:p w14:paraId="7BBCBD71"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71E000B7" w14:textId="77777777" w:rsidTr="009A7E2E">
        <w:tc>
          <w:tcPr>
            <w:tcW w:w="1314" w:type="pct"/>
            <w:hideMark/>
          </w:tcPr>
          <w:p w14:paraId="6580861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Net Profit Margin</w:t>
            </w:r>
          </w:p>
        </w:tc>
        <w:tc>
          <w:tcPr>
            <w:tcW w:w="1957" w:type="pct"/>
            <w:hideMark/>
          </w:tcPr>
          <w:p w14:paraId="0EA4CC9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15.0%</w:t>
            </w:r>
          </w:p>
        </w:tc>
        <w:tc>
          <w:tcPr>
            <w:tcW w:w="1730" w:type="pct"/>
            <w:hideMark/>
          </w:tcPr>
          <w:p w14:paraId="6348909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−1.4%</w:t>
            </w:r>
          </w:p>
        </w:tc>
      </w:tr>
      <w:tr w:rsidR="009A7E2E" w:rsidRPr="009A7E2E" w14:paraId="1B1B62F5" w14:textId="77777777" w:rsidTr="009A7E2E">
        <w:tc>
          <w:tcPr>
            <w:tcW w:w="1314" w:type="pct"/>
            <w:hideMark/>
          </w:tcPr>
          <w:p w14:paraId="3988631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1957" w:type="pct"/>
            <w:hideMark/>
          </w:tcPr>
          <w:p w14:paraId="404E57E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Strong profitability recovery</w:t>
            </w:r>
          </w:p>
        </w:tc>
        <w:tc>
          <w:tcPr>
            <w:tcW w:w="1730" w:type="pct"/>
            <w:hideMark/>
          </w:tcPr>
          <w:p w14:paraId="188E032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Loss-making operations</w:t>
            </w:r>
          </w:p>
        </w:tc>
      </w:tr>
    </w:tbl>
    <w:p w14:paraId="3038AD74" w14:textId="77777777" w:rsidR="002D6195" w:rsidRDefault="002D6195" w:rsidP="009A7E2E">
      <w:pPr>
        <w:spacing w:line="360" w:lineRule="auto"/>
        <w:rPr>
          <w:rFonts w:ascii="Times New Roman" w:hAnsi="Times New Roman" w:cs="Times New Roman"/>
          <w:b/>
          <w:bCs/>
          <w:lang w:val="en-US"/>
        </w:rPr>
      </w:pPr>
    </w:p>
    <w:p w14:paraId="71EA7A5C" w14:textId="692E4C79"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Current Ratio (Liquidity)</w:t>
      </w:r>
    </w:p>
    <w:tbl>
      <w:tblPr>
        <w:tblStyle w:val="TableGrid"/>
        <w:tblW w:w="5000" w:type="pct"/>
        <w:tblLook w:val="04A0" w:firstRow="1" w:lastRow="0" w:firstColumn="1" w:lastColumn="0" w:noHBand="0" w:noVBand="1"/>
      </w:tblPr>
      <w:tblGrid>
        <w:gridCol w:w="2190"/>
        <w:gridCol w:w="4297"/>
        <w:gridCol w:w="2863"/>
      </w:tblGrid>
      <w:tr w:rsidR="009A7E2E" w:rsidRPr="009A7E2E" w14:paraId="730BCB00" w14:textId="77777777" w:rsidTr="009A7E2E">
        <w:tc>
          <w:tcPr>
            <w:tcW w:w="1171" w:type="pct"/>
            <w:hideMark/>
          </w:tcPr>
          <w:p w14:paraId="4B650479"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lastRenderedPageBreak/>
              <w:t>Item</w:t>
            </w:r>
          </w:p>
        </w:tc>
        <w:tc>
          <w:tcPr>
            <w:tcW w:w="2298" w:type="pct"/>
            <w:hideMark/>
          </w:tcPr>
          <w:p w14:paraId="7D6962E8"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531" w:type="pct"/>
            <w:hideMark/>
          </w:tcPr>
          <w:p w14:paraId="4F044D06"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72CE1B1E" w14:textId="77777777" w:rsidTr="009A7E2E">
        <w:tc>
          <w:tcPr>
            <w:tcW w:w="1171" w:type="pct"/>
            <w:hideMark/>
          </w:tcPr>
          <w:p w14:paraId="2677A77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Current Assets</w:t>
            </w:r>
          </w:p>
        </w:tc>
        <w:tc>
          <w:tcPr>
            <w:tcW w:w="2298" w:type="pct"/>
            <w:hideMark/>
          </w:tcPr>
          <w:p w14:paraId="575FC8B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28,000</w:t>
            </w:r>
          </w:p>
        </w:tc>
        <w:tc>
          <w:tcPr>
            <w:tcW w:w="1531" w:type="pct"/>
            <w:hideMark/>
          </w:tcPr>
          <w:p w14:paraId="10A3B11B"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24,000</w:t>
            </w:r>
          </w:p>
        </w:tc>
      </w:tr>
      <w:tr w:rsidR="009A7E2E" w:rsidRPr="009A7E2E" w14:paraId="67844881" w14:textId="77777777" w:rsidTr="009A7E2E">
        <w:tc>
          <w:tcPr>
            <w:tcW w:w="1171" w:type="pct"/>
            <w:hideMark/>
          </w:tcPr>
          <w:p w14:paraId="67F3449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Current Liabilities</w:t>
            </w:r>
          </w:p>
        </w:tc>
        <w:tc>
          <w:tcPr>
            <w:tcW w:w="2298" w:type="pct"/>
            <w:hideMark/>
          </w:tcPr>
          <w:p w14:paraId="7A9AFD8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19,300</w:t>
            </w:r>
          </w:p>
        </w:tc>
        <w:tc>
          <w:tcPr>
            <w:tcW w:w="1531" w:type="pct"/>
            <w:hideMark/>
          </w:tcPr>
          <w:p w14:paraId="26FD892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20,000</w:t>
            </w:r>
          </w:p>
        </w:tc>
      </w:tr>
      <w:tr w:rsidR="009A7E2E" w:rsidRPr="009A7E2E" w14:paraId="7D7A810A" w14:textId="77777777" w:rsidTr="009A7E2E">
        <w:tc>
          <w:tcPr>
            <w:tcW w:w="1171" w:type="pct"/>
            <w:hideMark/>
          </w:tcPr>
          <w:p w14:paraId="58DE6FC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2298" w:type="pct"/>
            <w:hideMark/>
          </w:tcPr>
          <w:p w14:paraId="6873FDB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Current Assets ÷ Current Liabilities</w:t>
            </w:r>
          </w:p>
        </w:tc>
        <w:tc>
          <w:tcPr>
            <w:tcW w:w="1531" w:type="pct"/>
            <w:hideMark/>
          </w:tcPr>
          <w:p w14:paraId="44DA1593"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04FEF332" w14:textId="77777777" w:rsidTr="009A7E2E">
        <w:tc>
          <w:tcPr>
            <w:tcW w:w="1171" w:type="pct"/>
            <w:hideMark/>
          </w:tcPr>
          <w:p w14:paraId="5FB5584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Current Ratio</w:t>
            </w:r>
          </w:p>
        </w:tc>
        <w:tc>
          <w:tcPr>
            <w:tcW w:w="2298" w:type="pct"/>
            <w:hideMark/>
          </w:tcPr>
          <w:p w14:paraId="4B07F77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1.45</w:t>
            </w:r>
          </w:p>
        </w:tc>
        <w:tc>
          <w:tcPr>
            <w:tcW w:w="1531" w:type="pct"/>
            <w:hideMark/>
          </w:tcPr>
          <w:p w14:paraId="0BACF35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1.20</w:t>
            </w:r>
          </w:p>
        </w:tc>
      </w:tr>
      <w:tr w:rsidR="009A7E2E" w:rsidRPr="009A7E2E" w14:paraId="6FE420F5" w14:textId="77777777" w:rsidTr="009A7E2E">
        <w:tc>
          <w:tcPr>
            <w:tcW w:w="1171" w:type="pct"/>
            <w:hideMark/>
          </w:tcPr>
          <w:p w14:paraId="43C4824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2298" w:type="pct"/>
            <w:hideMark/>
          </w:tcPr>
          <w:p w14:paraId="64C7CC9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Adequate short-term liquidity</w:t>
            </w:r>
          </w:p>
        </w:tc>
        <w:tc>
          <w:tcPr>
            <w:tcW w:w="1531" w:type="pct"/>
            <w:hideMark/>
          </w:tcPr>
          <w:p w14:paraId="5FFFB58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Tighter liquidity position</w:t>
            </w:r>
          </w:p>
        </w:tc>
      </w:tr>
    </w:tbl>
    <w:p w14:paraId="178F2294" w14:textId="77777777" w:rsidR="002D6195" w:rsidRDefault="002D6195" w:rsidP="009A7E2E">
      <w:pPr>
        <w:spacing w:line="360" w:lineRule="auto"/>
        <w:rPr>
          <w:rFonts w:ascii="Times New Roman" w:hAnsi="Times New Roman" w:cs="Times New Roman"/>
          <w:b/>
          <w:bCs/>
          <w:lang w:val="en-US"/>
        </w:rPr>
      </w:pPr>
    </w:p>
    <w:p w14:paraId="01D7CBC5" w14:textId="133FF463"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Quick Ratio (Liquidity)</w:t>
      </w:r>
    </w:p>
    <w:tbl>
      <w:tblPr>
        <w:tblStyle w:val="TableGrid"/>
        <w:tblW w:w="0" w:type="auto"/>
        <w:tblLook w:val="04A0" w:firstRow="1" w:lastRow="0" w:firstColumn="1" w:lastColumn="0" w:noHBand="0" w:noVBand="1"/>
      </w:tblPr>
      <w:tblGrid>
        <w:gridCol w:w="1983"/>
        <w:gridCol w:w="4529"/>
        <w:gridCol w:w="2716"/>
      </w:tblGrid>
      <w:tr w:rsidR="009A7E2E" w:rsidRPr="009A7E2E" w14:paraId="2FEF1E74" w14:textId="77777777" w:rsidTr="009A7E2E">
        <w:tc>
          <w:tcPr>
            <w:tcW w:w="0" w:type="auto"/>
            <w:hideMark/>
          </w:tcPr>
          <w:p w14:paraId="4EB0E430"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0" w:type="auto"/>
            <w:hideMark/>
          </w:tcPr>
          <w:p w14:paraId="732ED1F0"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0" w:type="auto"/>
            <w:hideMark/>
          </w:tcPr>
          <w:p w14:paraId="6638E67C"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5988FE55" w14:textId="77777777" w:rsidTr="009A7E2E">
        <w:tc>
          <w:tcPr>
            <w:tcW w:w="0" w:type="auto"/>
            <w:hideMark/>
          </w:tcPr>
          <w:p w14:paraId="0370283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Current Assets</w:t>
            </w:r>
          </w:p>
        </w:tc>
        <w:tc>
          <w:tcPr>
            <w:tcW w:w="0" w:type="auto"/>
            <w:hideMark/>
          </w:tcPr>
          <w:p w14:paraId="00C3012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28,000</w:t>
            </w:r>
          </w:p>
        </w:tc>
        <w:tc>
          <w:tcPr>
            <w:tcW w:w="0" w:type="auto"/>
            <w:hideMark/>
          </w:tcPr>
          <w:p w14:paraId="540EDED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24,000</w:t>
            </w:r>
          </w:p>
        </w:tc>
      </w:tr>
      <w:tr w:rsidR="009A7E2E" w:rsidRPr="009A7E2E" w14:paraId="3BD62B61" w14:textId="77777777" w:rsidTr="009A7E2E">
        <w:tc>
          <w:tcPr>
            <w:tcW w:w="0" w:type="auto"/>
            <w:hideMark/>
          </w:tcPr>
          <w:p w14:paraId="7791E8B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Inventory</w:t>
            </w:r>
          </w:p>
        </w:tc>
        <w:tc>
          <w:tcPr>
            <w:tcW w:w="0" w:type="auto"/>
            <w:hideMark/>
          </w:tcPr>
          <w:p w14:paraId="33993BD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7,800</w:t>
            </w:r>
          </w:p>
        </w:tc>
        <w:tc>
          <w:tcPr>
            <w:tcW w:w="0" w:type="auto"/>
            <w:hideMark/>
          </w:tcPr>
          <w:p w14:paraId="1898E00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8,500</w:t>
            </w:r>
          </w:p>
        </w:tc>
      </w:tr>
      <w:tr w:rsidR="009A7E2E" w:rsidRPr="009A7E2E" w14:paraId="7A9CAA01" w14:textId="77777777" w:rsidTr="009A7E2E">
        <w:tc>
          <w:tcPr>
            <w:tcW w:w="0" w:type="auto"/>
            <w:hideMark/>
          </w:tcPr>
          <w:p w14:paraId="224AF7B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Quick Assets</w:t>
            </w:r>
          </w:p>
        </w:tc>
        <w:tc>
          <w:tcPr>
            <w:tcW w:w="0" w:type="auto"/>
            <w:hideMark/>
          </w:tcPr>
          <w:p w14:paraId="310EDCC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20,200</w:t>
            </w:r>
          </w:p>
        </w:tc>
        <w:tc>
          <w:tcPr>
            <w:tcW w:w="0" w:type="auto"/>
            <w:hideMark/>
          </w:tcPr>
          <w:p w14:paraId="2238DDAB"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15,500</w:t>
            </w:r>
          </w:p>
        </w:tc>
      </w:tr>
      <w:tr w:rsidR="009A7E2E" w:rsidRPr="009A7E2E" w14:paraId="058EB78E" w14:textId="77777777" w:rsidTr="009A7E2E">
        <w:tc>
          <w:tcPr>
            <w:tcW w:w="0" w:type="auto"/>
            <w:hideMark/>
          </w:tcPr>
          <w:p w14:paraId="6732F41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Current Liabilities</w:t>
            </w:r>
          </w:p>
        </w:tc>
        <w:tc>
          <w:tcPr>
            <w:tcW w:w="0" w:type="auto"/>
            <w:hideMark/>
          </w:tcPr>
          <w:p w14:paraId="28CB808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19,300</w:t>
            </w:r>
          </w:p>
        </w:tc>
        <w:tc>
          <w:tcPr>
            <w:tcW w:w="0" w:type="auto"/>
            <w:hideMark/>
          </w:tcPr>
          <w:p w14:paraId="220DC6C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20,000</w:t>
            </w:r>
          </w:p>
        </w:tc>
      </w:tr>
      <w:tr w:rsidR="009A7E2E" w:rsidRPr="009A7E2E" w14:paraId="2AE4C69D" w14:textId="77777777" w:rsidTr="009A7E2E">
        <w:tc>
          <w:tcPr>
            <w:tcW w:w="0" w:type="auto"/>
            <w:hideMark/>
          </w:tcPr>
          <w:p w14:paraId="4F24631B"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0" w:type="auto"/>
            <w:hideMark/>
          </w:tcPr>
          <w:p w14:paraId="41FAD63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(CA − Inventory) ÷ CL</w:t>
            </w:r>
          </w:p>
        </w:tc>
        <w:tc>
          <w:tcPr>
            <w:tcW w:w="0" w:type="auto"/>
            <w:hideMark/>
          </w:tcPr>
          <w:p w14:paraId="4EF86919"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01DEE72D" w14:textId="77777777" w:rsidTr="009A7E2E">
        <w:tc>
          <w:tcPr>
            <w:tcW w:w="0" w:type="auto"/>
            <w:hideMark/>
          </w:tcPr>
          <w:p w14:paraId="25A4496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Quick Ratio</w:t>
            </w:r>
          </w:p>
        </w:tc>
        <w:tc>
          <w:tcPr>
            <w:tcW w:w="0" w:type="auto"/>
            <w:hideMark/>
          </w:tcPr>
          <w:p w14:paraId="2AA0E27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1.05</w:t>
            </w:r>
          </w:p>
        </w:tc>
        <w:tc>
          <w:tcPr>
            <w:tcW w:w="0" w:type="auto"/>
            <w:hideMark/>
          </w:tcPr>
          <w:p w14:paraId="791DA8B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0.78</w:t>
            </w:r>
          </w:p>
        </w:tc>
      </w:tr>
      <w:tr w:rsidR="009A7E2E" w:rsidRPr="009A7E2E" w14:paraId="14083EE6" w14:textId="77777777" w:rsidTr="009A7E2E">
        <w:tc>
          <w:tcPr>
            <w:tcW w:w="0" w:type="auto"/>
            <w:hideMark/>
          </w:tcPr>
          <w:p w14:paraId="5F5769B6"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0" w:type="auto"/>
            <w:hideMark/>
          </w:tcPr>
          <w:p w14:paraId="377F461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Can meet short-term debts without inventory</w:t>
            </w:r>
          </w:p>
        </w:tc>
        <w:tc>
          <w:tcPr>
            <w:tcW w:w="0" w:type="auto"/>
            <w:hideMark/>
          </w:tcPr>
          <w:p w14:paraId="28B071B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Reliant on inventory sales</w:t>
            </w:r>
          </w:p>
        </w:tc>
      </w:tr>
    </w:tbl>
    <w:p w14:paraId="1A17846C" w14:textId="77777777" w:rsidR="002D6195" w:rsidRDefault="002D6195" w:rsidP="009A7E2E">
      <w:pPr>
        <w:spacing w:line="360" w:lineRule="auto"/>
        <w:rPr>
          <w:rFonts w:ascii="Times New Roman" w:hAnsi="Times New Roman" w:cs="Times New Roman"/>
          <w:b/>
          <w:bCs/>
          <w:lang w:val="en-US"/>
        </w:rPr>
      </w:pPr>
    </w:p>
    <w:p w14:paraId="0D0AFA81" w14:textId="10474B11"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Asset Turnover (Efficiency)</w:t>
      </w:r>
    </w:p>
    <w:tbl>
      <w:tblPr>
        <w:tblStyle w:val="TableGrid"/>
        <w:tblW w:w="5000" w:type="pct"/>
        <w:tblLook w:val="04A0" w:firstRow="1" w:lastRow="0" w:firstColumn="1" w:lastColumn="0" w:noHBand="0" w:noVBand="1"/>
      </w:tblPr>
      <w:tblGrid>
        <w:gridCol w:w="2338"/>
        <w:gridCol w:w="3663"/>
        <w:gridCol w:w="3349"/>
      </w:tblGrid>
      <w:tr w:rsidR="009A7E2E" w:rsidRPr="009A7E2E" w14:paraId="4CB190BD" w14:textId="77777777" w:rsidTr="009A7E2E">
        <w:tc>
          <w:tcPr>
            <w:tcW w:w="1250" w:type="pct"/>
            <w:hideMark/>
          </w:tcPr>
          <w:p w14:paraId="7938E9B2"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1959" w:type="pct"/>
            <w:hideMark/>
          </w:tcPr>
          <w:p w14:paraId="176A52C5"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791" w:type="pct"/>
            <w:hideMark/>
          </w:tcPr>
          <w:p w14:paraId="64F601D7"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556EABAF" w14:textId="77777777" w:rsidTr="009A7E2E">
        <w:tc>
          <w:tcPr>
            <w:tcW w:w="1250" w:type="pct"/>
            <w:hideMark/>
          </w:tcPr>
          <w:p w14:paraId="530A714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Revenue</w:t>
            </w:r>
          </w:p>
        </w:tc>
        <w:tc>
          <w:tcPr>
            <w:tcW w:w="1959" w:type="pct"/>
            <w:hideMark/>
          </w:tcPr>
          <w:p w14:paraId="52A7DF9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64,565</w:t>
            </w:r>
          </w:p>
        </w:tc>
        <w:tc>
          <w:tcPr>
            <w:tcW w:w="1791" w:type="pct"/>
            <w:hideMark/>
          </w:tcPr>
          <w:p w14:paraId="0D38C1C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55,143</w:t>
            </w:r>
          </w:p>
        </w:tc>
      </w:tr>
      <w:tr w:rsidR="009A7E2E" w:rsidRPr="009A7E2E" w14:paraId="2B089171" w14:textId="77777777" w:rsidTr="009A7E2E">
        <w:tc>
          <w:tcPr>
            <w:tcW w:w="1250" w:type="pct"/>
            <w:hideMark/>
          </w:tcPr>
          <w:p w14:paraId="11BD41D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Total Assets</w:t>
            </w:r>
          </w:p>
        </w:tc>
        <w:tc>
          <w:tcPr>
            <w:tcW w:w="1959" w:type="pct"/>
            <w:hideMark/>
          </w:tcPr>
          <w:p w14:paraId="2494038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110,000</w:t>
            </w:r>
          </w:p>
        </w:tc>
        <w:tc>
          <w:tcPr>
            <w:tcW w:w="1791" w:type="pct"/>
            <w:hideMark/>
          </w:tcPr>
          <w:p w14:paraId="5D58999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108,000</w:t>
            </w:r>
          </w:p>
        </w:tc>
      </w:tr>
      <w:tr w:rsidR="009A7E2E" w:rsidRPr="009A7E2E" w14:paraId="46A14343" w14:textId="77777777" w:rsidTr="009A7E2E">
        <w:tc>
          <w:tcPr>
            <w:tcW w:w="1250" w:type="pct"/>
            <w:hideMark/>
          </w:tcPr>
          <w:p w14:paraId="02C06B4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1959" w:type="pct"/>
            <w:hideMark/>
          </w:tcPr>
          <w:p w14:paraId="2ADF4FD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Revenue ÷ Total Assets</w:t>
            </w:r>
          </w:p>
        </w:tc>
        <w:tc>
          <w:tcPr>
            <w:tcW w:w="1791" w:type="pct"/>
            <w:hideMark/>
          </w:tcPr>
          <w:p w14:paraId="5407B46B"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3E4B904F" w14:textId="77777777" w:rsidTr="009A7E2E">
        <w:tc>
          <w:tcPr>
            <w:tcW w:w="1250" w:type="pct"/>
            <w:hideMark/>
          </w:tcPr>
          <w:p w14:paraId="339E4BB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lastRenderedPageBreak/>
              <w:t>Asset Turnover</w:t>
            </w:r>
          </w:p>
        </w:tc>
        <w:tc>
          <w:tcPr>
            <w:tcW w:w="1959" w:type="pct"/>
            <w:hideMark/>
          </w:tcPr>
          <w:p w14:paraId="5ACC68C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0.59x</w:t>
            </w:r>
          </w:p>
        </w:tc>
        <w:tc>
          <w:tcPr>
            <w:tcW w:w="1791" w:type="pct"/>
            <w:hideMark/>
          </w:tcPr>
          <w:p w14:paraId="6EDD63D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0.51x</w:t>
            </w:r>
          </w:p>
        </w:tc>
      </w:tr>
      <w:tr w:rsidR="009A7E2E" w:rsidRPr="009A7E2E" w14:paraId="2F02D264" w14:textId="77777777" w:rsidTr="009A7E2E">
        <w:tc>
          <w:tcPr>
            <w:tcW w:w="1250" w:type="pct"/>
            <w:hideMark/>
          </w:tcPr>
          <w:p w14:paraId="73EC0DD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1959" w:type="pct"/>
            <w:hideMark/>
          </w:tcPr>
          <w:p w14:paraId="41DD28C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Improved asset utilization</w:t>
            </w:r>
          </w:p>
        </w:tc>
        <w:tc>
          <w:tcPr>
            <w:tcW w:w="1791" w:type="pct"/>
            <w:hideMark/>
          </w:tcPr>
          <w:p w14:paraId="5C727BC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Less efficient asset use</w:t>
            </w:r>
          </w:p>
        </w:tc>
      </w:tr>
    </w:tbl>
    <w:p w14:paraId="2F3E9E2F" w14:textId="77777777" w:rsidR="002D6195" w:rsidRDefault="002D6195" w:rsidP="009A7E2E">
      <w:pPr>
        <w:spacing w:line="360" w:lineRule="auto"/>
        <w:rPr>
          <w:rFonts w:ascii="Times New Roman" w:hAnsi="Times New Roman" w:cs="Times New Roman"/>
          <w:b/>
          <w:bCs/>
          <w:lang w:val="en-US"/>
        </w:rPr>
      </w:pPr>
    </w:p>
    <w:p w14:paraId="3E24521C" w14:textId="7F7E66E7"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Debt-to-Equity Ratio (Gearing)</w:t>
      </w:r>
    </w:p>
    <w:tbl>
      <w:tblPr>
        <w:tblStyle w:val="TableGrid"/>
        <w:tblW w:w="5000" w:type="pct"/>
        <w:tblLook w:val="04A0" w:firstRow="1" w:lastRow="0" w:firstColumn="1" w:lastColumn="0" w:noHBand="0" w:noVBand="1"/>
      </w:tblPr>
      <w:tblGrid>
        <w:gridCol w:w="2373"/>
        <w:gridCol w:w="3966"/>
        <w:gridCol w:w="3011"/>
      </w:tblGrid>
      <w:tr w:rsidR="009A7E2E" w:rsidRPr="009A7E2E" w14:paraId="7EEEB4AE" w14:textId="77777777" w:rsidTr="009A7E2E">
        <w:tc>
          <w:tcPr>
            <w:tcW w:w="1246" w:type="pct"/>
            <w:hideMark/>
          </w:tcPr>
          <w:p w14:paraId="126ED138"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2082" w:type="pct"/>
            <w:hideMark/>
          </w:tcPr>
          <w:p w14:paraId="405D0B0A"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581" w:type="pct"/>
            <w:hideMark/>
          </w:tcPr>
          <w:p w14:paraId="4C7D533A"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37EDD79D" w14:textId="77777777" w:rsidTr="009A7E2E">
        <w:tc>
          <w:tcPr>
            <w:tcW w:w="1246" w:type="pct"/>
            <w:hideMark/>
          </w:tcPr>
          <w:p w14:paraId="2696648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Total Debt</w:t>
            </w:r>
          </w:p>
        </w:tc>
        <w:tc>
          <w:tcPr>
            <w:tcW w:w="2082" w:type="pct"/>
            <w:hideMark/>
          </w:tcPr>
          <w:p w14:paraId="729B8FD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42,000</w:t>
            </w:r>
          </w:p>
        </w:tc>
        <w:tc>
          <w:tcPr>
            <w:tcW w:w="1581" w:type="pct"/>
            <w:hideMark/>
          </w:tcPr>
          <w:p w14:paraId="54EA3486"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45,000</w:t>
            </w:r>
          </w:p>
        </w:tc>
      </w:tr>
      <w:tr w:rsidR="009A7E2E" w:rsidRPr="009A7E2E" w14:paraId="4709E55F" w14:textId="77777777" w:rsidTr="009A7E2E">
        <w:tc>
          <w:tcPr>
            <w:tcW w:w="1246" w:type="pct"/>
            <w:hideMark/>
          </w:tcPr>
          <w:p w14:paraId="3A75813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Total Equity</w:t>
            </w:r>
          </w:p>
        </w:tc>
        <w:tc>
          <w:tcPr>
            <w:tcW w:w="2082" w:type="pct"/>
            <w:hideMark/>
          </w:tcPr>
          <w:p w14:paraId="48EA28D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48,000</w:t>
            </w:r>
          </w:p>
        </w:tc>
        <w:tc>
          <w:tcPr>
            <w:tcW w:w="1581" w:type="pct"/>
            <w:hideMark/>
          </w:tcPr>
          <w:p w14:paraId="5A2E8DF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40,000</w:t>
            </w:r>
          </w:p>
        </w:tc>
      </w:tr>
      <w:tr w:rsidR="009A7E2E" w:rsidRPr="009A7E2E" w14:paraId="08266C53" w14:textId="77777777" w:rsidTr="009A7E2E">
        <w:tc>
          <w:tcPr>
            <w:tcW w:w="1246" w:type="pct"/>
            <w:hideMark/>
          </w:tcPr>
          <w:p w14:paraId="61B14BC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2082" w:type="pct"/>
            <w:hideMark/>
          </w:tcPr>
          <w:p w14:paraId="69B4B1B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Total Debt ÷ Total Equity</w:t>
            </w:r>
          </w:p>
        </w:tc>
        <w:tc>
          <w:tcPr>
            <w:tcW w:w="1581" w:type="pct"/>
            <w:hideMark/>
          </w:tcPr>
          <w:p w14:paraId="54136C16"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761CA840" w14:textId="77777777" w:rsidTr="009A7E2E">
        <w:tc>
          <w:tcPr>
            <w:tcW w:w="1246" w:type="pct"/>
            <w:hideMark/>
          </w:tcPr>
          <w:p w14:paraId="451667F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Debt-to-Equity</w:t>
            </w:r>
          </w:p>
        </w:tc>
        <w:tc>
          <w:tcPr>
            <w:tcW w:w="2082" w:type="pct"/>
            <w:hideMark/>
          </w:tcPr>
          <w:p w14:paraId="079E86C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0.88</w:t>
            </w:r>
          </w:p>
        </w:tc>
        <w:tc>
          <w:tcPr>
            <w:tcW w:w="1581" w:type="pct"/>
            <w:hideMark/>
          </w:tcPr>
          <w:p w14:paraId="67A6692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1.13</w:t>
            </w:r>
          </w:p>
        </w:tc>
      </w:tr>
      <w:tr w:rsidR="009A7E2E" w:rsidRPr="009A7E2E" w14:paraId="6E2182DB" w14:textId="77777777" w:rsidTr="009A7E2E">
        <w:tc>
          <w:tcPr>
            <w:tcW w:w="1246" w:type="pct"/>
            <w:hideMark/>
          </w:tcPr>
          <w:p w14:paraId="446F8A1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2082" w:type="pct"/>
            <w:hideMark/>
          </w:tcPr>
          <w:p w14:paraId="0611BBD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Reduced leverage and risk</w:t>
            </w:r>
          </w:p>
        </w:tc>
        <w:tc>
          <w:tcPr>
            <w:tcW w:w="1581" w:type="pct"/>
            <w:hideMark/>
          </w:tcPr>
          <w:p w14:paraId="715F3FD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Higher financial risk</w:t>
            </w:r>
          </w:p>
        </w:tc>
      </w:tr>
    </w:tbl>
    <w:p w14:paraId="12C73664" w14:textId="77777777" w:rsidR="002D6195" w:rsidRDefault="002D6195" w:rsidP="009A7E2E">
      <w:pPr>
        <w:spacing w:line="360" w:lineRule="auto"/>
        <w:rPr>
          <w:rFonts w:ascii="Times New Roman" w:hAnsi="Times New Roman" w:cs="Times New Roman"/>
          <w:b/>
          <w:bCs/>
          <w:lang w:val="en-US"/>
        </w:rPr>
      </w:pPr>
    </w:p>
    <w:p w14:paraId="7A0FD5BD" w14:textId="2F094C77"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Earnings Per Share (Investment)</w:t>
      </w:r>
    </w:p>
    <w:tbl>
      <w:tblPr>
        <w:tblStyle w:val="TableGrid"/>
        <w:tblW w:w="5000" w:type="pct"/>
        <w:tblLook w:val="04A0" w:firstRow="1" w:lastRow="0" w:firstColumn="1" w:lastColumn="0" w:noHBand="0" w:noVBand="1"/>
      </w:tblPr>
      <w:tblGrid>
        <w:gridCol w:w="3470"/>
        <w:gridCol w:w="3853"/>
        <w:gridCol w:w="2027"/>
      </w:tblGrid>
      <w:tr w:rsidR="009A7E2E" w:rsidRPr="009A7E2E" w14:paraId="385652B2" w14:textId="77777777" w:rsidTr="009A7E2E">
        <w:tc>
          <w:tcPr>
            <w:tcW w:w="1855" w:type="pct"/>
            <w:hideMark/>
          </w:tcPr>
          <w:p w14:paraId="4C87BE21"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2060" w:type="pct"/>
            <w:hideMark/>
          </w:tcPr>
          <w:p w14:paraId="0E95C53E"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084" w:type="pct"/>
            <w:hideMark/>
          </w:tcPr>
          <w:p w14:paraId="22BC996B"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0076AC27" w14:textId="77777777" w:rsidTr="009A7E2E">
        <w:tc>
          <w:tcPr>
            <w:tcW w:w="1855" w:type="pct"/>
            <w:hideMark/>
          </w:tcPr>
          <w:p w14:paraId="62AF52A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Net Profit</w:t>
            </w:r>
          </w:p>
        </w:tc>
        <w:tc>
          <w:tcPr>
            <w:tcW w:w="2060" w:type="pct"/>
            <w:hideMark/>
          </w:tcPr>
          <w:p w14:paraId="7B0392C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10,191</w:t>
            </w:r>
          </w:p>
        </w:tc>
        <w:tc>
          <w:tcPr>
            <w:tcW w:w="1084" w:type="pct"/>
            <w:hideMark/>
          </w:tcPr>
          <w:p w14:paraId="5322FDF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(799)</w:t>
            </w:r>
          </w:p>
        </w:tc>
      </w:tr>
      <w:tr w:rsidR="009A7E2E" w:rsidRPr="009A7E2E" w14:paraId="0569A8B7" w14:textId="77777777" w:rsidTr="009A7E2E">
        <w:tc>
          <w:tcPr>
            <w:tcW w:w="1855" w:type="pct"/>
            <w:hideMark/>
          </w:tcPr>
          <w:p w14:paraId="63B7147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Shares Outstanding (millions)</w:t>
            </w:r>
          </w:p>
        </w:tc>
        <w:tc>
          <w:tcPr>
            <w:tcW w:w="2060" w:type="pct"/>
            <w:hideMark/>
          </w:tcPr>
          <w:p w14:paraId="0198A08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1,000</w:t>
            </w:r>
          </w:p>
        </w:tc>
        <w:tc>
          <w:tcPr>
            <w:tcW w:w="1084" w:type="pct"/>
            <w:hideMark/>
          </w:tcPr>
          <w:p w14:paraId="5752253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1,000</w:t>
            </w:r>
          </w:p>
        </w:tc>
      </w:tr>
      <w:tr w:rsidR="009A7E2E" w:rsidRPr="009A7E2E" w14:paraId="24022681" w14:textId="77777777" w:rsidTr="009A7E2E">
        <w:tc>
          <w:tcPr>
            <w:tcW w:w="1855" w:type="pct"/>
            <w:hideMark/>
          </w:tcPr>
          <w:p w14:paraId="417A203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2060" w:type="pct"/>
            <w:hideMark/>
          </w:tcPr>
          <w:p w14:paraId="0533A10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Net Profit ÷ Shares Outstanding</w:t>
            </w:r>
          </w:p>
        </w:tc>
        <w:tc>
          <w:tcPr>
            <w:tcW w:w="1084" w:type="pct"/>
            <w:hideMark/>
          </w:tcPr>
          <w:p w14:paraId="28B43280"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6F7B87F6" w14:textId="77777777" w:rsidTr="009A7E2E">
        <w:tc>
          <w:tcPr>
            <w:tcW w:w="1855" w:type="pct"/>
            <w:hideMark/>
          </w:tcPr>
          <w:p w14:paraId="018BD9B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EPS ($)</w:t>
            </w:r>
          </w:p>
        </w:tc>
        <w:tc>
          <w:tcPr>
            <w:tcW w:w="2060" w:type="pct"/>
            <w:hideMark/>
          </w:tcPr>
          <w:p w14:paraId="6D2BF37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10.19</w:t>
            </w:r>
          </w:p>
        </w:tc>
        <w:tc>
          <w:tcPr>
            <w:tcW w:w="1084" w:type="pct"/>
            <w:hideMark/>
          </w:tcPr>
          <w:p w14:paraId="4A27AF4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−0.80</w:t>
            </w:r>
          </w:p>
        </w:tc>
      </w:tr>
      <w:tr w:rsidR="009A7E2E" w:rsidRPr="009A7E2E" w14:paraId="4720438F" w14:textId="77777777" w:rsidTr="009A7E2E">
        <w:tc>
          <w:tcPr>
            <w:tcW w:w="1855" w:type="pct"/>
            <w:hideMark/>
          </w:tcPr>
          <w:p w14:paraId="711BD46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2060" w:type="pct"/>
            <w:hideMark/>
          </w:tcPr>
          <w:p w14:paraId="53B0BDA6"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Strong shareholder returns</w:t>
            </w:r>
          </w:p>
        </w:tc>
        <w:tc>
          <w:tcPr>
            <w:tcW w:w="1084" w:type="pct"/>
            <w:hideMark/>
          </w:tcPr>
          <w:p w14:paraId="3E686CB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Negative returns</w:t>
            </w:r>
          </w:p>
        </w:tc>
      </w:tr>
    </w:tbl>
    <w:p w14:paraId="3BCCA7EE" w14:textId="056725E3" w:rsidR="009A7E2E" w:rsidRPr="009A7E2E" w:rsidRDefault="009A7E2E" w:rsidP="009A7E2E">
      <w:pPr>
        <w:spacing w:line="360" w:lineRule="auto"/>
        <w:rPr>
          <w:rFonts w:ascii="Times New Roman" w:hAnsi="Times New Roman" w:cs="Times New Roman"/>
          <w:lang w:val="en-US"/>
        </w:rPr>
      </w:pPr>
    </w:p>
    <w:p w14:paraId="35532D47" w14:textId="612527D1"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Operating Cash Flow to Net Income (Cash Flow)</w:t>
      </w:r>
    </w:p>
    <w:tbl>
      <w:tblPr>
        <w:tblStyle w:val="TableGrid"/>
        <w:tblW w:w="5000" w:type="pct"/>
        <w:tblLook w:val="04A0" w:firstRow="1" w:lastRow="0" w:firstColumn="1" w:lastColumn="0" w:noHBand="0" w:noVBand="1"/>
      </w:tblPr>
      <w:tblGrid>
        <w:gridCol w:w="3084"/>
        <w:gridCol w:w="2687"/>
        <w:gridCol w:w="3579"/>
      </w:tblGrid>
      <w:tr w:rsidR="009A7E2E" w:rsidRPr="009A7E2E" w14:paraId="366F3099" w14:textId="77777777" w:rsidTr="009A7E2E">
        <w:tc>
          <w:tcPr>
            <w:tcW w:w="1623" w:type="pct"/>
            <w:hideMark/>
          </w:tcPr>
          <w:p w14:paraId="52FCD223"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1415" w:type="pct"/>
            <w:hideMark/>
          </w:tcPr>
          <w:p w14:paraId="48165E48"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884" w:type="pct"/>
            <w:hideMark/>
          </w:tcPr>
          <w:p w14:paraId="1D2BDAA2"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5A3D3F62" w14:textId="77777777" w:rsidTr="009A7E2E">
        <w:tc>
          <w:tcPr>
            <w:tcW w:w="1623" w:type="pct"/>
            <w:hideMark/>
          </w:tcPr>
          <w:p w14:paraId="62A83CD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Operating Cash Flow</w:t>
            </w:r>
          </w:p>
        </w:tc>
        <w:tc>
          <w:tcPr>
            <w:tcW w:w="1415" w:type="pct"/>
            <w:hideMark/>
          </w:tcPr>
          <w:p w14:paraId="6B31F29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12,800</w:t>
            </w:r>
          </w:p>
        </w:tc>
        <w:tc>
          <w:tcPr>
            <w:tcW w:w="1884" w:type="pct"/>
            <w:hideMark/>
          </w:tcPr>
          <w:p w14:paraId="763494C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6,200</w:t>
            </w:r>
          </w:p>
        </w:tc>
      </w:tr>
      <w:tr w:rsidR="009A7E2E" w:rsidRPr="009A7E2E" w14:paraId="032CD74E" w14:textId="77777777" w:rsidTr="009A7E2E">
        <w:tc>
          <w:tcPr>
            <w:tcW w:w="1623" w:type="pct"/>
            <w:hideMark/>
          </w:tcPr>
          <w:p w14:paraId="7AB5746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lastRenderedPageBreak/>
              <w:t>Net Income</w:t>
            </w:r>
          </w:p>
        </w:tc>
        <w:tc>
          <w:tcPr>
            <w:tcW w:w="1415" w:type="pct"/>
            <w:hideMark/>
          </w:tcPr>
          <w:p w14:paraId="1E3EAF0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10,191</w:t>
            </w:r>
          </w:p>
        </w:tc>
        <w:tc>
          <w:tcPr>
            <w:tcW w:w="1884" w:type="pct"/>
            <w:hideMark/>
          </w:tcPr>
          <w:p w14:paraId="65CCF70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(799)</w:t>
            </w:r>
          </w:p>
        </w:tc>
      </w:tr>
      <w:tr w:rsidR="009A7E2E" w:rsidRPr="009A7E2E" w14:paraId="50B903D2" w14:textId="77777777" w:rsidTr="009A7E2E">
        <w:tc>
          <w:tcPr>
            <w:tcW w:w="1623" w:type="pct"/>
            <w:hideMark/>
          </w:tcPr>
          <w:p w14:paraId="6A4C7B1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1415" w:type="pct"/>
            <w:hideMark/>
          </w:tcPr>
          <w:p w14:paraId="131A09B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OCF ÷ Net Income</w:t>
            </w:r>
          </w:p>
        </w:tc>
        <w:tc>
          <w:tcPr>
            <w:tcW w:w="1884" w:type="pct"/>
            <w:hideMark/>
          </w:tcPr>
          <w:p w14:paraId="68F316A7"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0EEB3A98" w14:textId="77777777" w:rsidTr="009A7E2E">
        <w:tc>
          <w:tcPr>
            <w:tcW w:w="1623" w:type="pct"/>
            <w:hideMark/>
          </w:tcPr>
          <w:p w14:paraId="64D4727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Cash Conversion Ratio</w:t>
            </w:r>
          </w:p>
        </w:tc>
        <w:tc>
          <w:tcPr>
            <w:tcW w:w="1415" w:type="pct"/>
            <w:hideMark/>
          </w:tcPr>
          <w:p w14:paraId="4539387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1.26</w:t>
            </w:r>
          </w:p>
        </w:tc>
        <w:tc>
          <w:tcPr>
            <w:tcW w:w="1884" w:type="pct"/>
            <w:hideMark/>
          </w:tcPr>
          <w:p w14:paraId="3F39291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N/A</w:t>
            </w:r>
          </w:p>
        </w:tc>
      </w:tr>
      <w:tr w:rsidR="009A7E2E" w:rsidRPr="009A7E2E" w14:paraId="2BF84B5F" w14:textId="77777777" w:rsidTr="009A7E2E">
        <w:tc>
          <w:tcPr>
            <w:tcW w:w="1623" w:type="pct"/>
            <w:hideMark/>
          </w:tcPr>
          <w:p w14:paraId="713392C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1415" w:type="pct"/>
            <w:hideMark/>
          </w:tcPr>
          <w:p w14:paraId="62922FD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High earnings quality</w:t>
            </w:r>
          </w:p>
        </w:tc>
        <w:tc>
          <w:tcPr>
            <w:tcW w:w="1884" w:type="pct"/>
            <w:hideMark/>
          </w:tcPr>
          <w:p w14:paraId="1D42EFD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Loss year limits comparison</w:t>
            </w:r>
          </w:p>
        </w:tc>
      </w:tr>
    </w:tbl>
    <w:p w14:paraId="7A831080" w14:textId="77777777" w:rsidR="009A7E2E" w:rsidRDefault="009A7E2E" w:rsidP="009A7E2E"/>
    <w:p w14:paraId="288FEAA8" w14:textId="79909A5B" w:rsidR="00654637" w:rsidRPr="00654637" w:rsidRDefault="00654637" w:rsidP="00654637">
      <w:pPr>
        <w:spacing w:line="360" w:lineRule="auto"/>
        <w:jc w:val="both"/>
        <w:rPr>
          <w:rFonts w:ascii="Times New Roman" w:hAnsi="Times New Roman" w:cs="Times New Roman"/>
          <w:b/>
          <w:bCs/>
        </w:rPr>
      </w:pPr>
      <w:r w:rsidRPr="00654637">
        <w:rPr>
          <w:rFonts w:ascii="Times New Roman" w:hAnsi="Times New Roman" w:cs="Times New Roman"/>
          <w:b/>
          <w:bCs/>
        </w:rPr>
        <w:t>Discussion of Ratio Analysis</w:t>
      </w:r>
    </w:p>
    <w:p w14:paraId="7F33453A" w14:textId="7030A5B4" w:rsidR="00654637" w:rsidRPr="00654637" w:rsidRDefault="00654637" w:rsidP="00654637">
      <w:pPr>
        <w:spacing w:line="360" w:lineRule="auto"/>
        <w:jc w:val="both"/>
        <w:rPr>
          <w:rFonts w:ascii="Times New Roman" w:hAnsi="Times New Roman" w:cs="Times New Roman"/>
        </w:rPr>
      </w:pPr>
      <w:r w:rsidRPr="00654637">
        <w:rPr>
          <w:rFonts w:ascii="Times New Roman" w:hAnsi="Times New Roman" w:cs="Times New Roman"/>
        </w:rPr>
        <w:t>Profitability has risen significantly in the 2023 financial year, and it has been supported by concrete financial evidence. Gross profit margin also increased to 32 compared to 28 to imply that cost was controlled better and prices power increased. The net profit margin had a negative value of 1.4 in 2022 and positive increase in 2023 to 15.0 that showed that the general performance of the company changed significantly. EPS was very good as it advanced by a significant margin of including 10.19 against -0.80. These gains imply that the growth in revenues correspondingly corresponded with decent expenditures control though on the long run sustainability of the margins could be met by restricting one-time profits and imposing discipline in business.</w:t>
      </w:r>
    </w:p>
    <w:p w14:paraId="6CF3B89B" w14:textId="7F2C42CB" w:rsidR="00654637" w:rsidRPr="00654637" w:rsidRDefault="00654637" w:rsidP="00654637">
      <w:pPr>
        <w:spacing w:line="360" w:lineRule="auto"/>
        <w:jc w:val="both"/>
        <w:rPr>
          <w:rFonts w:ascii="Times New Roman" w:hAnsi="Times New Roman" w:cs="Times New Roman"/>
        </w:rPr>
      </w:pPr>
      <w:r w:rsidRPr="00654637">
        <w:rPr>
          <w:rFonts w:ascii="Times New Roman" w:hAnsi="Times New Roman" w:cs="Times New Roman"/>
        </w:rPr>
        <w:t>The liquidity and cash flow are getting improved in the short-term financial position. The current ratio as well has increased 1.20 to 1.45 and quick ratio has also improved 0.78 to 1.05 meaning that the company can fulfil the liabilities during a given period without using excessively the inventory. Earnings were also of good quality since its operating cash flow was higher by 1.26 of the net income. This cash generation reduces the liquidity risk and assists to carry on with additional investment, service debt, and sustainability even in damaging economic situations.</w:t>
      </w:r>
    </w:p>
    <w:p w14:paraId="5CFDF9EF" w14:textId="15EEEFB1" w:rsidR="00654637" w:rsidRPr="00654637" w:rsidRDefault="00654637" w:rsidP="00654637">
      <w:pPr>
        <w:spacing w:line="360" w:lineRule="auto"/>
        <w:jc w:val="both"/>
        <w:rPr>
          <w:rFonts w:ascii="Times New Roman" w:hAnsi="Times New Roman" w:cs="Times New Roman"/>
        </w:rPr>
      </w:pPr>
      <w:r w:rsidRPr="00654637">
        <w:rPr>
          <w:rFonts w:ascii="Times New Roman" w:hAnsi="Times New Roman" w:cs="Times New Roman"/>
        </w:rPr>
        <w:t>It also saw a rise in operational performance in terms of the rise in the asset turnover of 0.51 to 0.59 times. This is to indicate that the company generated greater returns to every dollar its assets, its assets base was optimally used. The ratio is medium, though, as the business is capital-intensive, the trend is growing, which suggests that the business can make more use of the capacity and performance. The asset productivity will also still be applicable to sustain the returns without necessarily injecting more capital particularly if the market demand declines.</w:t>
      </w:r>
    </w:p>
    <w:p w14:paraId="013128AD" w14:textId="166A27C2" w:rsidR="00654637" w:rsidRDefault="00654637" w:rsidP="00654637">
      <w:pPr>
        <w:spacing w:line="360" w:lineRule="auto"/>
        <w:jc w:val="both"/>
        <w:rPr>
          <w:rFonts w:ascii="Times New Roman" w:hAnsi="Times New Roman" w:cs="Times New Roman"/>
        </w:rPr>
      </w:pPr>
      <w:r w:rsidRPr="00654637">
        <w:rPr>
          <w:rFonts w:ascii="Times New Roman" w:hAnsi="Times New Roman" w:cs="Times New Roman"/>
        </w:rPr>
        <w:t xml:space="preserve">The financial risk also reduced as the leverage declined during the year. Debt to equity ratio dropped to 0.88 that is a superior equity positioning and least reliance on debt funding. The </w:t>
      </w:r>
      <w:r w:rsidRPr="00654637">
        <w:rPr>
          <w:rFonts w:ascii="Times New Roman" w:hAnsi="Times New Roman" w:cs="Times New Roman"/>
        </w:rPr>
        <w:lastRenderedPageBreak/>
        <w:t>reduction enhances solvency and exposure to interest rates volatility. Combined with the increased profitability and cash flow, the reduction in gearing increases the financial stability as well as minimizes default exposure to risk. However, the absolute debt amounts remain high, and it will be required to possess optimum ratio between the risk aversion and the growth-oriented leverage as the key to the financial sustainability in the long-term.</w:t>
      </w:r>
    </w:p>
    <w:p w14:paraId="5F9A809A" w14:textId="77777777" w:rsidR="00654637" w:rsidRPr="00F2040C" w:rsidRDefault="00654637" w:rsidP="002D6195">
      <w:pPr>
        <w:pStyle w:val="Heading2"/>
      </w:pPr>
      <w:bookmarkStart w:id="3" w:name="_Toc216952163"/>
      <w:r w:rsidRPr="00F2040C">
        <w:t>1.2 Trends, Strengths and Threats</w:t>
      </w:r>
      <w:bookmarkEnd w:id="3"/>
    </w:p>
    <w:p w14:paraId="1F1F28A8" w14:textId="3AD65146"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The tendency towards the reduction of the performance and the size of the period of five years can be perceived, as the analysis of the financial statements shows. The net sales recorded in 2024 were going down largely compared to the 2020 net sales of 614,680m to 394,879m representing a weaning demand/downsizing policy. It was unprofitable in the material profit and operating income is compensated by a huge loss in 2023 and is negative in 2024. The net income trend was also on the verge of becoming because it had been turned into a loss until 2024 to 24,029m of loss in relation to 38,572m of 2020. There were also under investment and retrenchment with the assets decreasing and more particularly assets of stocks and property plant and equipment decreased.</w:t>
      </w:r>
    </w:p>
    <w:p w14:paraId="096766B6" w14:textId="6347A292"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The company has a good equity base, and this is its strength even though it has experienced tremendous losses in the recent past. The equity shareholder held constant at 153, 105m in 2024, and this gives immunity to financial hardships. Besides, the total liabilities of the period 2022-245, 757m to 170, 249m respectively are decreasing and thus show that the business is in the process of deleveraging. It is liquid as the current assets exceed the current liability of 2024. In addition, paid in capitals are equally high in the company meaning that the investor has put a substantial number of investments into the company. Each of these forces is coming together and making firms increasingly mobile in terms of their finances to pursue restructuring or recovery process.</w:t>
      </w:r>
    </w:p>
    <w:p w14:paraId="0DA03E4A" w14:textId="2A7CEDD1" w:rsidR="00654637" w:rsidRPr="00F2040C"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However, there is also a list of threats which may be identified. The problem of structural costs has become a reality in 2023 and 2024, which is manifested in the operating losses which happen when the operating expense is above the gross profit in most cases. It was also adequate compared to 2022 and 2024, which are -66,740m and -26,783m respectively, which would make such the liquidity position open to losses. In case investors lack doubt or no confidence then negative per share earnings or retained earnings casts a shadow on their portfolios. Declining revenues further contribute to declining margins and issues of asset productivity further contribute to loss of long-</w:t>
      </w:r>
      <w:r w:rsidRPr="00BC3362">
        <w:rPr>
          <w:rFonts w:ascii="Times New Roman" w:hAnsi="Times New Roman" w:cs="Times New Roman"/>
          <w:lang w:val="en-US"/>
        </w:rPr>
        <w:lastRenderedPageBreak/>
        <w:t>term sustainability. Unless the company can some degree of restructuring the cost or income, equity will cost the company additional default.</w:t>
      </w:r>
    </w:p>
    <w:p w14:paraId="57824D10" w14:textId="77777777" w:rsidR="00654637" w:rsidRPr="00F2040C" w:rsidRDefault="00654637" w:rsidP="002D6195">
      <w:pPr>
        <w:pStyle w:val="Heading2"/>
      </w:pPr>
      <w:bookmarkStart w:id="4" w:name="_Toc216952164"/>
      <w:r w:rsidRPr="00F2040C">
        <w:rPr>
          <w:lang w:val="en-US"/>
        </w:rPr>
        <w:t xml:space="preserve">1.3 </w:t>
      </w:r>
      <w:r w:rsidRPr="00F2040C">
        <w:t>Corporate Failure Prediction</w:t>
      </w:r>
      <w:bookmarkEnd w:id="4"/>
    </w:p>
    <w:p w14:paraId="3CD330C9" w14:textId="77777777" w:rsidR="00654637" w:rsidRPr="00F2040C" w:rsidRDefault="00654637" w:rsidP="00654637">
      <w:pPr>
        <w:spacing w:line="360" w:lineRule="auto"/>
        <w:jc w:val="both"/>
        <w:rPr>
          <w:rFonts w:ascii="Times New Roman" w:hAnsi="Times New Roman" w:cs="Times New Roman"/>
          <w:lang w:val="en-US"/>
        </w:rPr>
      </w:pPr>
      <w:r w:rsidRPr="00F2040C">
        <w:rPr>
          <w:rFonts w:ascii="Times New Roman" w:hAnsi="Times New Roman" w:cs="Times New Roman"/>
          <w:lang w:val="en-US"/>
        </w:rPr>
        <w:t xml:space="preserve">The </w:t>
      </w:r>
      <w:r w:rsidRPr="00F2040C">
        <w:rPr>
          <w:rFonts w:ascii="Times New Roman" w:hAnsi="Times New Roman" w:cs="Times New Roman"/>
          <w:b/>
          <w:bCs/>
          <w:lang w:val="en-US"/>
        </w:rPr>
        <w:t>Altman Z-Score</w:t>
      </w:r>
      <w:r w:rsidRPr="00F2040C">
        <w:rPr>
          <w:rFonts w:ascii="Times New Roman" w:hAnsi="Times New Roman" w:cs="Times New Roman"/>
          <w:lang w:val="en-US"/>
        </w:rPr>
        <w:t xml:space="preserve"> is applied to assess the firm’s default risk using the public manufacturing model:</w:t>
      </w:r>
    </w:p>
    <w:p w14:paraId="0D035DEC" w14:textId="77777777" w:rsidR="00654637" w:rsidRPr="00F2040C" w:rsidRDefault="00654637" w:rsidP="00654637">
      <w:pPr>
        <w:pStyle w:val="ListParagraph"/>
        <w:numPr>
          <w:ilvl w:val="0"/>
          <w:numId w:val="1"/>
        </w:numPr>
        <w:spacing w:line="360" w:lineRule="auto"/>
        <w:jc w:val="both"/>
        <w:rPr>
          <w:rFonts w:ascii="Times New Roman" w:hAnsi="Times New Roman" w:cs="Times New Roman"/>
          <w:lang w:val="en-US"/>
        </w:rPr>
      </w:pPr>
      <w:r w:rsidRPr="00F2040C">
        <w:rPr>
          <w:rFonts w:ascii="Times New Roman" w:hAnsi="Times New Roman" w:cs="Times New Roman"/>
          <w:lang w:val="en-US"/>
        </w:rPr>
        <w:t>Z = 1.2X₁ + 1.4X₂ + 3.3X₃ + 0.6X₄ + 1.0X₅.</w:t>
      </w:r>
    </w:p>
    <w:p w14:paraId="5536E479" w14:textId="77777777" w:rsidR="00654637" w:rsidRPr="00F2040C" w:rsidRDefault="00654637" w:rsidP="00654637">
      <w:pPr>
        <w:spacing w:line="360" w:lineRule="auto"/>
        <w:jc w:val="both"/>
        <w:rPr>
          <w:rFonts w:ascii="Times New Roman" w:hAnsi="Times New Roman" w:cs="Times New Roman"/>
          <w:lang w:val="en-US"/>
        </w:rPr>
      </w:pPr>
      <w:r w:rsidRPr="00F2040C">
        <w:rPr>
          <w:rFonts w:ascii="Times New Roman" w:hAnsi="Times New Roman" w:cs="Times New Roman"/>
          <w:lang w:val="en-US"/>
        </w:rPr>
        <w:t>The 2024 financial data are used to reflect the most recent risk position. This model evaluates liquidity, cumulative profitability, operating performance, leverage, and asset efficiency. Scores above 2.99 indicate low distress risk, scores between 1.81 and 2.99 fall in the grey zone, and scores below 1.81 signal high bankruptcy risk.</w:t>
      </w:r>
    </w:p>
    <w:p w14:paraId="35E7E993" w14:textId="77777777" w:rsidR="00654637" w:rsidRPr="00F2040C" w:rsidRDefault="00654637" w:rsidP="00654637">
      <w:pPr>
        <w:spacing w:line="360" w:lineRule="auto"/>
        <w:jc w:val="both"/>
        <w:rPr>
          <w:rFonts w:ascii="Times New Roman" w:hAnsi="Times New Roman" w:cs="Times New Roman"/>
          <w:b/>
          <w:bCs/>
          <w:lang w:val="en-US"/>
        </w:rPr>
      </w:pPr>
      <w:r w:rsidRPr="00F2040C">
        <w:rPr>
          <w:rFonts w:ascii="Times New Roman" w:hAnsi="Times New Roman" w:cs="Times New Roman"/>
          <w:b/>
          <w:bCs/>
          <w:lang w:val="en-US"/>
        </w:rPr>
        <w:t xml:space="preserve">Altman Z-Score Calculation </w:t>
      </w:r>
    </w:p>
    <w:tbl>
      <w:tblPr>
        <w:tblStyle w:val="TableGrid"/>
        <w:tblW w:w="0" w:type="auto"/>
        <w:tblLook w:val="04A0" w:firstRow="1" w:lastRow="0" w:firstColumn="1" w:lastColumn="0" w:noHBand="0" w:noVBand="1"/>
      </w:tblPr>
      <w:tblGrid>
        <w:gridCol w:w="3194"/>
        <w:gridCol w:w="2378"/>
        <w:gridCol w:w="2908"/>
        <w:gridCol w:w="870"/>
      </w:tblGrid>
      <w:tr w:rsidR="00654637" w:rsidRPr="00F2040C" w14:paraId="53A31825" w14:textId="77777777" w:rsidTr="00100BF2">
        <w:tc>
          <w:tcPr>
            <w:tcW w:w="0" w:type="auto"/>
            <w:hideMark/>
          </w:tcPr>
          <w:p w14:paraId="1CF86A4C" w14:textId="77777777" w:rsidR="00654637" w:rsidRPr="00F2040C" w:rsidRDefault="00654637" w:rsidP="00100BF2">
            <w:pPr>
              <w:spacing w:after="160" w:line="360" w:lineRule="auto"/>
              <w:jc w:val="both"/>
              <w:rPr>
                <w:rFonts w:ascii="Times New Roman" w:hAnsi="Times New Roman" w:cs="Times New Roman"/>
                <w:b/>
                <w:bCs/>
                <w:lang w:val="en-US"/>
              </w:rPr>
            </w:pPr>
            <w:r w:rsidRPr="00F2040C">
              <w:rPr>
                <w:rFonts w:ascii="Times New Roman" w:hAnsi="Times New Roman" w:cs="Times New Roman"/>
                <w:b/>
                <w:bCs/>
                <w:lang w:val="en-US"/>
              </w:rPr>
              <w:t>Component</w:t>
            </w:r>
          </w:p>
        </w:tc>
        <w:tc>
          <w:tcPr>
            <w:tcW w:w="0" w:type="auto"/>
            <w:hideMark/>
          </w:tcPr>
          <w:p w14:paraId="01129A70" w14:textId="77777777" w:rsidR="00654637" w:rsidRPr="00F2040C" w:rsidRDefault="00654637" w:rsidP="00100BF2">
            <w:pPr>
              <w:spacing w:after="160" w:line="360" w:lineRule="auto"/>
              <w:jc w:val="both"/>
              <w:rPr>
                <w:rFonts w:ascii="Times New Roman" w:hAnsi="Times New Roman" w:cs="Times New Roman"/>
                <w:b/>
                <w:bCs/>
                <w:lang w:val="en-US"/>
              </w:rPr>
            </w:pPr>
            <w:r w:rsidRPr="00F2040C">
              <w:rPr>
                <w:rFonts w:ascii="Times New Roman" w:hAnsi="Times New Roman" w:cs="Times New Roman"/>
                <w:b/>
                <w:bCs/>
                <w:lang w:val="en-US"/>
              </w:rPr>
              <w:t>Formula</w:t>
            </w:r>
          </w:p>
        </w:tc>
        <w:tc>
          <w:tcPr>
            <w:tcW w:w="0" w:type="auto"/>
            <w:hideMark/>
          </w:tcPr>
          <w:p w14:paraId="41BB7056" w14:textId="77777777" w:rsidR="00654637" w:rsidRPr="00F2040C" w:rsidRDefault="00654637" w:rsidP="00100BF2">
            <w:pPr>
              <w:spacing w:after="160" w:line="360" w:lineRule="auto"/>
              <w:jc w:val="both"/>
              <w:rPr>
                <w:rFonts w:ascii="Times New Roman" w:hAnsi="Times New Roman" w:cs="Times New Roman"/>
                <w:b/>
                <w:bCs/>
                <w:lang w:val="en-US"/>
              </w:rPr>
            </w:pPr>
            <w:r w:rsidRPr="00F2040C">
              <w:rPr>
                <w:rFonts w:ascii="Times New Roman" w:hAnsi="Times New Roman" w:cs="Times New Roman"/>
                <w:b/>
                <w:bCs/>
                <w:lang w:val="en-US"/>
              </w:rPr>
              <w:t>Calculation</w:t>
            </w:r>
          </w:p>
        </w:tc>
        <w:tc>
          <w:tcPr>
            <w:tcW w:w="0" w:type="auto"/>
            <w:hideMark/>
          </w:tcPr>
          <w:p w14:paraId="4ED16F2E" w14:textId="77777777" w:rsidR="00654637" w:rsidRPr="00F2040C" w:rsidRDefault="00654637" w:rsidP="00100BF2">
            <w:pPr>
              <w:spacing w:after="160" w:line="360" w:lineRule="auto"/>
              <w:jc w:val="both"/>
              <w:rPr>
                <w:rFonts w:ascii="Times New Roman" w:hAnsi="Times New Roman" w:cs="Times New Roman"/>
                <w:b/>
                <w:bCs/>
                <w:lang w:val="en-US"/>
              </w:rPr>
            </w:pPr>
            <w:r w:rsidRPr="00F2040C">
              <w:rPr>
                <w:rFonts w:ascii="Times New Roman" w:hAnsi="Times New Roman" w:cs="Times New Roman"/>
                <w:b/>
                <w:bCs/>
                <w:lang w:val="en-US"/>
              </w:rPr>
              <w:t>Result</w:t>
            </w:r>
          </w:p>
        </w:tc>
      </w:tr>
      <w:tr w:rsidR="00654637" w:rsidRPr="00F2040C" w14:paraId="2A33C04F" w14:textId="77777777" w:rsidTr="00100BF2">
        <w:tc>
          <w:tcPr>
            <w:tcW w:w="0" w:type="auto"/>
            <w:hideMark/>
          </w:tcPr>
          <w:p w14:paraId="32E21484"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X₁ Working Capital / Total Assets</w:t>
            </w:r>
          </w:p>
        </w:tc>
        <w:tc>
          <w:tcPr>
            <w:tcW w:w="0" w:type="auto"/>
            <w:hideMark/>
          </w:tcPr>
          <w:p w14:paraId="2639D3F6"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(CA − CL) ÷ TA</w:t>
            </w:r>
          </w:p>
        </w:tc>
        <w:tc>
          <w:tcPr>
            <w:tcW w:w="0" w:type="auto"/>
            <w:hideMark/>
          </w:tcPr>
          <w:p w14:paraId="13854D33"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(242,494 − 158,291) ÷ 323,354</w:t>
            </w:r>
          </w:p>
        </w:tc>
        <w:tc>
          <w:tcPr>
            <w:tcW w:w="0" w:type="auto"/>
            <w:hideMark/>
          </w:tcPr>
          <w:p w14:paraId="7BEF6648"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0.26</w:t>
            </w:r>
          </w:p>
        </w:tc>
      </w:tr>
      <w:tr w:rsidR="00654637" w:rsidRPr="00F2040C" w14:paraId="31CE9BF3" w14:textId="77777777" w:rsidTr="00100BF2">
        <w:tc>
          <w:tcPr>
            <w:tcW w:w="0" w:type="auto"/>
            <w:hideMark/>
          </w:tcPr>
          <w:p w14:paraId="1E655CC2"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X₂ Retained Earnings / TA</w:t>
            </w:r>
          </w:p>
        </w:tc>
        <w:tc>
          <w:tcPr>
            <w:tcW w:w="0" w:type="auto"/>
            <w:hideMark/>
          </w:tcPr>
          <w:p w14:paraId="31A451F3"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RE ÷ TA</w:t>
            </w:r>
          </w:p>
        </w:tc>
        <w:tc>
          <w:tcPr>
            <w:tcW w:w="0" w:type="auto"/>
            <w:hideMark/>
          </w:tcPr>
          <w:p w14:paraId="07E89818"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208,431 ÷ 323,354</w:t>
            </w:r>
          </w:p>
        </w:tc>
        <w:tc>
          <w:tcPr>
            <w:tcW w:w="0" w:type="auto"/>
            <w:hideMark/>
          </w:tcPr>
          <w:p w14:paraId="011F88C5"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0.64</w:t>
            </w:r>
          </w:p>
        </w:tc>
      </w:tr>
      <w:tr w:rsidR="00654637" w:rsidRPr="00F2040C" w14:paraId="2EA0A69F" w14:textId="77777777" w:rsidTr="00100BF2">
        <w:tc>
          <w:tcPr>
            <w:tcW w:w="0" w:type="auto"/>
            <w:hideMark/>
          </w:tcPr>
          <w:p w14:paraId="5E417D76"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X₃ EBIT / TA</w:t>
            </w:r>
          </w:p>
        </w:tc>
        <w:tc>
          <w:tcPr>
            <w:tcW w:w="0" w:type="auto"/>
            <w:hideMark/>
          </w:tcPr>
          <w:p w14:paraId="11770873"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EBIT ÷ TA</w:t>
            </w:r>
          </w:p>
        </w:tc>
        <w:tc>
          <w:tcPr>
            <w:tcW w:w="0" w:type="auto"/>
            <w:hideMark/>
          </w:tcPr>
          <w:p w14:paraId="1E8BE737"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(15,297) ÷ 323,354</w:t>
            </w:r>
          </w:p>
        </w:tc>
        <w:tc>
          <w:tcPr>
            <w:tcW w:w="0" w:type="auto"/>
            <w:hideMark/>
          </w:tcPr>
          <w:p w14:paraId="7831EEBC"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−0.05</w:t>
            </w:r>
          </w:p>
        </w:tc>
      </w:tr>
      <w:tr w:rsidR="00654637" w:rsidRPr="00F2040C" w14:paraId="0DA553F9" w14:textId="77777777" w:rsidTr="00100BF2">
        <w:tc>
          <w:tcPr>
            <w:tcW w:w="0" w:type="auto"/>
            <w:hideMark/>
          </w:tcPr>
          <w:p w14:paraId="6424F335"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X₄ Market Value of Equity / TL*</w:t>
            </w:r>
          </w:p>
        </w:tc>
        <w:tc>
          <w:tcPr>
            <w:tcW w:w="0" w:type="auto"/>
            <w:hideMark/>
          </w:tcPr>
          <w:p w14:paraId="78932319"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Equity ÷ Total Liabilities</w:t>
            </w:r>
          </w:p>
        </w:tc>
        <w:tc>
          <w:tcPr>
            <w:tcW w:w="0" w:type="auto"/>
            <w:hideMark/>
          </w:tcPr>
          <w:p w14:paraId="3FB67709"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153,105 ÷ 170,249</w:t>
            </w:r>
          </w:p>
        </w:tc>
        <w:tc>
          <w:tcPr>
            <w:tcW w:w="0" w:type="auto"/>
            <w:hideMark/>
          </w:tcPr>
          <w:p w14:paraId="56015EF9"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0.90</w:t>
            </w:r>
          </w:p>
        </w:tc>
      </w:tr>
      <w:tr w:rsidR="00654637" w:rsidRPr="00F2040C" w14:paraId="2199E9C8" w14:textId="77777777" w:rsidTr="00100BF2">
        <w:tc>
          <w:tcPr>
            <w:tcW w:w="0" w:type="auto"/>
            <w:hideMark/>
          </w:tcPr>
          <w:p w14:paraId="1A931EF2"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X₅ Sales / TA</w:t>
            </w:r>
          </w:p>
        </w:tc>
        <w:tc>
          <w:tcPr>
            <w:tcW w:w="0" w:type="auto"/>
            <w:hideMark/>
          </w:tcPr>
          <w:p w14:paraId="1916F931"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Sales ÷ TA</w:t>
            </w:r>
          </w:p>
        </w:tc>
        <w:tc>
          <w:tcPr>
            <w:tcW w:w="0" w:type="auto"/>
            <w:hideMark/>
          </w:tcPr>
          <w:p w14:paraId="21628706"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394,879 ÷ 323,354</w:t>
            </w:r>
          </w:p>
        </w:tc>
        <w:tc>
          <w:tcPr>
            <w:tcW w:w="0" w:type="auto"/>
            <w:hideMark/>
          </w:tcPr>
          <w:p w14:paraId="5BE2A9D3"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1.22</w:t>
            </w:r>
          </w:p>
        </w:tc>
      </w:tr>
    </w:tbl>
    <w:p w14:paraId="28AA673D" w14:textId="77777777" w:rsidR="00654637" w:rsidRPr="00F2040C" w:rsidRDefault="00654637" w:rsidP="00654637">
      <w:pPr>
        <w:spacing w:line="360" w:lineRule="auto"/>
        <w:jc w:val="both"/>
        <w:rPr>
          <w:rFonts w:ascii="Times New Roman" w:hAnsi="Times New Roman" w:cs="Times New Roman"/>
          <w:lang w:val="en-US"/>
        </w:rPr>
      </w:pPr>
      <w:r w:rsidRPr="00F2040C">
        <w:rPr>
          <w:rFonts w:ascii="Times New Roman" w:hAnsi="Times New Roman" w:cs="Times New Roman"/>
          <w:lang w:val="en-US"/>
        </w:rPr>
        <w:t>*Book value of equity used as a proxy for market value (hypothetical assumption).</w:t>
      </w:r>
    </w:p>
    <w:p w14:paraId="2C4750E0" w14:textId="77777777" w:rsidR="00654637" w:rsidRPr="00F2040C" w:rsidRDefault="00654637" w:rsidP="00654637">
      <w:pPr>
        <w:pStyle w:val="ListParagraph"/>
        <w:numPr>
          <w:ilvl w:val="0"/>
          <w:numId w:val="1"/>
        </w:numPr>
        <w:spacing w:line="360" w:lineRule="auto"/>
        <w:jc w:val="both"/>
        <w:rPr>
          <w:rFonts w:ascii="Times New Roman" w:hAnsi="Times New Roman" w:cs="Times New Roman"/>
          <w:lang w:val="en-US"/>
        </w:rPr>
      </w:pPr>
      <w:r w:rsidRPr="00F2040C">
        <w:rPr>
          <w:rFonts w:ascii="Times New Roman" w:hAnsi="Times New Roman" w:cs="Times New Roman"/>
          <w:lang w:val="en-US"/>
        </w:rPr>
        <w:t>Z = (1.2×0.26) + (1.4×0.64) + (3.3×−0.05) + (0.6×0.90) + (1.0×1.22)</w:t>
      </w:r>
      <w:r w:rsidRPr="00F2040C">
        <w:rPr>
          <w:rFonts w:ascii="Times New Roman" w:hAnsi="Times New Roman" w:cs="Times New Roman"/>
          <w:lang w:val="en-US"/>
        </w:rPr>
        <w:br/>
        <w:t>Z ≈ 2.80</w:t>
      </w:r>
    </w:p>
    <w:p w14:paraId="46F66051" w14:textId="5C0CDD6C" w:rsidR="00654637" w:rsidRPr="00F2040C" w:rsidRDefault="00654637" w:rsidP="00654637">
      <w:pPr>
        <w:spacing w:line="360" w:lineRule="auto"/>
        <w:jc w:val="both"/>
        <w:rPr>
          <w:rFonts w:ascii="Times New Roman" w:hAnsi="Times New Roman" w:cs="Times New Roman"/>
          <w:lang w:val="en-US"/>
        </w:rPr>
      </w:pPr>
      <w:r w:rsidRPr="00F2040C">
        <w:rPr>
          <w:rFonts w:ascii="Times New Roman" w:hAnsi="Times New Roman" w:cs="Times New Roman"/>
          <w:lang w:val="en-US"/>
        </w:rPr>
        <w:t xml:space="preserve">The Z-score of about 2.80 puts the company in the grey zone, which is a moderate risk of default. Although the high retained earnings and revenue-generating capacity contribute to its solvency, negative operating income brings down the score by a big margin. This outcome implies that the </w:t>
      </w:r>
      <w:r w:rsidRPr="00F2040C">
        <w:rPr>
          <w:rFonts w:ascii="Times New Roman" w:hAnsi="Times New Roman" w:cs="Times New Roman"/>
          <w:lang w:val="en-US"/>
        </w:rPr>
        <w:lastRenderedPageBreak/>
        <w:t>company is not financially stressed now but it is prone to collapse in case the losses continue. The continued operating losses or the further deterioration in sales might easily drag the company into the distress zone. Enhancing the operating profitability thus becomes important in cutting the risk of bankruptcy and returning financial stability.</w:t>
      </w:r>
    </w:p>
    <w:p w14:paraId="74D9CD14" w14:textId="2FB6ED89" w:rsidR="00654637" w:rsidRDefault="00654637" w:rsidP="00654637">
      <w:pPr>
        <w:spacing w:line="360" w:lineRule="auto"/>
        <w:jc w:val="both"/>
        <w:rPr>
          <w:rFonts w:ascii="Times New Roman" w:hAnsi="Times New Roman" w:cs="Times New Roman"/>
          <w:lang w:val="en-US"/>
        </w:rPr>
      </w:pPr>
      <w:r w:rsidRPr="00654637">
        <w:rPr>
          <w:rFonts w:ascii="Times New Roman" w:hAnsi="Times New Roman" w:cs="Times New Roman"/>
          <w:lang w:val="en-US"/>
        </w:rPr>
        <w:t xml:space="preserve">The bounce-back in the theatrical earnings and trust by investors shifts the location of the bankruptcy risk factors. The equity buffer is higher and the growth in retained earnings is high, showing that it is highly solvent eventually. Cash-generating ability also helps the company to remain financially stable. The company is exceptionally good in terms of its increase in revenue and profitability. Increased operation efficiency and minimization in costs led to a high increase in margins in the year 2023. This increased the liquidity ratios and hence there is enhanced working capital management. The asset turnover also improved and showed that the asset base was utilized better in generating revenues. </w:t>
      </w:r>
    </w:p>
    <w:p w14:paraId="439CE79A" w14:textId="2EACB6AB" w:rsidR="00BC3362" w:rsidRPr="00BC3362" w:rsidRDefault="00BC3362" w:rsidP="002D6195">
      <w:pPr>
        <w:pStyle w:val="Heading1"/>
        <w:rPr>
          <w:lang w:val="en-US"/>
        </w:rPr>
      </w:pPr>
      <w:bookmarkStart w:id="5" w:name="_Toc216952165"/>
      <w:r w:rsidRPr="00BC3362">
        <w:t>2. Working Capital Management Analysis</w:t>
      </w:r>
      <w:bookmarkEnd w:id="5"/>
    </w:p>
    <w:p w14:paraId="2C5DCB11" w14:textId="6EB6075D" w:rsidR="00EC5F5A" w:rsidRPr="00722D5A" w:rsidRDefault="00BC3362" w:rsidP="002D6195">
      <w:pPr>
        <w:pStyle w:val="Heading2"/>
        <w:rPr>
          <w:lang w:val="en-US"/>
        </w:rPr>
      </w:pPr>
      <w:bookmarkStart w:id="6" w:name="_Toc216952166"/>
      <w:r>
        <w:rPr>
          <w:lang w:val="en-US"/>
        </w:rPr>
        <w:t xml:space="preserve">2.1 </w:t>
      </w:r>
      <w:r w:rsidR="00EC5F5A" w:rsidRPr="00722D5A">
        <w:rPr>
          <w:lang w:val="en-US"/>
        </w:rPr>
        <w:t>Assessment of the Cash Operating Cycle</w:t>
      </w:r>
      <w:bookmarkEnd w:id="6"/>
    </w:p>
    <w:tbl>
      <w:tblPr>
        <w:tblStyle w:val="PlainTable5"/>
        <w:tblW w:w="0" w:type="auto"/>
        <w:tblLook w:val="04A0" w:firstRow="1" w:lastRow="0" w:firstColumn="1" w:lastColumn="0" w:noHBand="0" w:noVBand="1"/>
      </w:tblPr>
      <w:tblGrid>
        <w:gridCol w:w="3025"/>
        <w:gridCol w:w="3088"/>
        <w:gridCol w:w="2281"/>
        <w:gridCol w:w="966"/>
      </w:tblGrid>
      <w:tr w:rsidR="00BC3362" w:rsidRPr="00BC3362" w14:paraId="6CC6E99E" w14:textId="77777777" w:rsidTr="0069609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2DA57F4" w14:textId="77777777" w:rsidR="00BC3362" w:rsidRPr="00BC3362" w:rsidRDefault="00BC3362" w:rsidP="00696095">
            <w:pPr>
              <w:spacing w:after="160" w:line="360" w:lineRule="auto"/>
              <w:jc w:val="both"/>
              <w:rPr>
                <w:rFonts w:ascii="Times New Roman" w:hAnsi="Times New Roman" w:cs="Times New Roman"/>
                <w:b/>
                <w:bCs/>
                <w:lang w:val="en-US"/>
              </w:rPr>
            </w:pPr>
            <w:r w:rsidRPr="00BC3362">
              <w:rPr>
                <w:rFonts w:ascii="Times New Roman" w:hAnsi="Times New Roman" w:cs="Times New Roman"/>
                <w:b/>
                <w:bCs/>
                <w:lang w:val="en-US"/>
              </w:rPr>
              <w:t>Component</w:t>
            </w:r>
          </w:p>
        </w:tc>
        <w:tc>
          <w:tcPr>
            <w:tcW w:w="0" w:type="auto"/>
            <w:hideMark/>
          </w:tcPr>
          <w:p w14:paraId="7D6D0973" w14:textId="77777777" w:rsidR="00BC3362" w:rsidRPr="00BC3362" w:rsidRDefault="00BC3362" w:rsidP="0069609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lang w:val="en-US"/>
              </w:rPr>
            </w:pPr>
            <w:r w:rsidRPr="00BC3362">
              <w:rPr>
                <w:rFonts w:ascii="Times New Roman" w:hAnsi="Times New Roman" w:cs="Times New Roman"/>
                <w:b/>
                <w:bCs/>
                <w:lang w:val="en-US"/>
              </w:rPr>
              <w:t>Formula</w:t>
            </w:r>
          </w:p>
        </w:tc>
        <w:tc>
          <w:tcPr>
            <w:tcW w:w="0" w:type="auto"/>
            <w:hideMark/>
          </w:tcPr>
          <w:p w14:paraId="5B106A80" w14:textId="77777777" w:rsidR="00BC3362" w:rsidRPr="00BC3362" w:rsidRDefault="00BC3362" w:rsidP="0069609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lang w:val="en-US"/>
              </w:rPr>
            </w:pPr>
            <w:r w:rsidRPr="00BC3362">
              <w:rPr>
                <w:rFonts w:ascii="Times New Roman" w:hAnsi="Times New Roman" w:cs="Times New Roman"/>
                <w:b/>
                <w:bCs/>
                <w:lang w:val="en-US"/>
              </w:rPr>
              <w:t>Calculation</w:t>
            </w:r>
          </w:p>
        </w:tc>
        <w:tc>
          <w:tcPr>
            <w:tcW w:w="0" w:type="auto"/>
            <w:hideMark/>
          </w:tcPr>
          <w:p w14:paraId="1FD295BB" w14:textId="77777777" w:rsidR="00BC3362" w:rsidRPr="00BC3362" w:rsidRDefault="00BC3362" w:rsidP="0069609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lang w:val="en-US"/>
              </w:rPr>
            </w:pPr>
            <w:r w:rsidRPr="00BC3362">
              <w:rPr>
                <w:rFonts w:ascii="Times New Roman" w:hAnsi="Times New Roman" w:cs="Times New Roman"/>
                <w:b/>
                <w:bCs/>
                <w:lang w:val="en-US"/>
              </w:rPr>
              <w:t>Days</w:t>
            </w:r>
          </w:p>
        </w:tc>
      </w:tr>
      <w:tr w:rsidR="00BC3362" w:rsidRPr="00BC3362" w14:paraId="229AB0CF" w14:textId="77777777" w:rsidTr="00696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FD4591" w14:textId="77777777" w:rsidR="00BC3362" w:rsidRPr="00BC3362" w:rsidRDefault="00BC3362" w:rsidP="00696095">
            <w:pPr>
              <w:spacing w:after="160" w:line="360" w:lineRule="auto"/>
              <w:jc w:val="both"/>
              <w:rPr>
                <w:rFonts w:ascii="Times New Roman" w:hAnsi="Times New Roman" w:cs="Times New Roman"/>
                <w:lang w:val="en-US"/>
              </w:rPr>
            </w:pPr>
            <w:r w:rsidRPr="00BC3362">
              <w:rPr>
                <w:rFonts w:ascii="Times New Roman" w:hAnsi="Times New Roman" w:cs="Times New Roman"/>
                <w:b/>
                <w:bCs/>
                <w:lang w:val="en-US"/>
              </w:rPr>
              <w:t>Days Inventory Outstanding (DIO)</w:t>
            </w:r>
          </w:p>
        </w:tc>
        <w:tc>
          <w:tcPr>
            <w:tcW w:w="0" w:type="auto"/>
            <w:hideMark/>
          </w:tcPr>
          <w:p w14:paraId="00628633"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(Inventory ÷ Cost of Sales) × 365</w:t>
            </w:r>
          </w:p>
        </w:tc>
        <w:tc>
          <w:tcPr>
            <w:tcW w:w="0" w:type="auto"/>
            <w:hideMark/>
          </w:tcPr>
          <w:p w14:paraId="5EC300AE"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(79,355 ÷ 280,885) × 365</w:t>
            </w:r>
          </w:p>
        </w:tc>
        <w:tc>
          <w:tcPr>
            <w:tcW w:w="0" w:type="auto"/>
            <w:hideMark/>
          </w:tcPr>
          <w:p w14:paraId="79FE0F37"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b/>
                <w:bCs/>
                <w:lang w:val="en-US"/>
              </w:rPr>
              <w:t>103 days</w:t>
            </w:r>
          </w:p>
        </w:tc>
      </w:tr>
      <w:tr w:rsidR="00BC3362" w:rsidRPr="00BC3362" w14:paraId="00E4E1BA" w14:textId="77777777" w:rsidTr="00696095">
        <w:tc>
          <w:tcPr>
            <w:cnfStyle w:val="001000000000" w:firstRow="0" w:lastRow="0" w:firstColumn="1" w:lastColumn="0" w:oddVBand="0" w:evenVBand="0" w:oddHBand="0" w:evenHBand="0" w:firstRowFirstColumn="0" w:firstRowLastColumn="0" w:lastRowFirstColumn="0" w:lastRowLastColumn="0"/>
            <w:tcW w:w="0" w:type="auto"/>
            <w:hideMark/>
          </w:tcPr>
          <w:p w14:paraId="237DCA8B" w14:textId="77777777" w:rsidR="00BC3362" w:rsidRPr="00BC3362" w:rsidRDefault="00BC3362" w:rsidP="00696095">
            <w:pPr>
              <w:spacing w:after="160" w:line="360" w:lineRule="auto"/>
              <w:jc w:val="both"/>
              <w:rPr>
                <w:rFonts w:ascii="Times New Roman" w:hAnsi="Times New Roman" w:cs="Times New Roman"/>
                <w:lang w:val="en-US"/>
              </w:rPr>
            </w:pPr>
            <w:r w:rsidRPr="00BC3362">
              <w:rPr>
                <w:rFonts w:ascii="Times New Roman" w:hAnsi="Times New Roman" w:cs="Times New Roman"/>
                <w:b/>
                <w:bCs/>
                <w:lang w:val="en-US"/>
              </w:rPr>
              <w:t>Days Sales Outstanding (DSO)</w:t>
            </w:r>
          </w:p>
        </w:tc>
        <w:tc>
          <w:tcPr>
            <w:tcW w:w="0" w:type="auto"/>
            <w:hideMark/>
          </w:tcPr>
          <w:p w14:paraId="2BD00C11"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(Accounts Receivable ÷ Net Sales) × 365</w:t>
            </w:r>
          </w:p>
        </w:tc>
        <w:tc>
          <w:tcPr>
            <w:tcW w:w="0" w:type="auto"/>
            <w:hideMark/>
          </w:tcPr>
          <w:p w14:paraId="676BAC49"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(114,182 ÷ 394,879) × 365</w:t>
            </w:r>
          </w:p>
        </w:tc>
        <w:tc>
          <w:tcPr>
            <w:tcW w:w="0" w:type="auto"/>
            <w:hideMark/>
          </w:tcPr>
          <w:p w14:paraId="28BD4AA2"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b/>
                <w:bCs/>
                <w:lang w:val="en-US"/>
              </w:rPr>
              <w:t>105 days</w:t>
            </w:r>
          </w:p>
        </w:tc>
      </w:tr>
      <w:tr w:rsidR="00BC3362" w:rsidRPr="00BC3362" w14:paraId="1CF9B94F" w14:textId="77777777" w:rsidTr="00696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B44AE0" w14:textId="77777777" w:rsidR="00BC3362" w:rsidRPr="00BC3362" w:rsidRDefault="00BC3362" w:rsidP="00696095">
            <w:pPr>
              <w:spacing w:after="160" w:line="360" w:lineRule="auto"/>
              <w:jc w:val="both"/>
              <w:rPr>
                <w:rFonts w:ascii="Times New Roman" w:hAnsi="Times New Roman" w:cs="Times New Roman"/>
                <w:lang w:val="en-US"/>
              </w:rPr>
            </w:pPr>
            <w:r w:rsidRPr="00BC3362">
              <w:rPr>
                <w:rFonts w:ascii="Times New Roman" w:hAnsi="Times New Roman" w:cs="Times New Roman"/>
                <w:b/>
                <w:bCs/>
                <w:lang w:val="en-US"/>
              </w:rPr>
              <w:t>Days Payables Outstanding (DPO)</w:t>
            </w:r>
          </w:p>
        </w:tc>
        <w:tc>
          <w:tcPr>
            <w:tcW w:w="0" w:type="auto"/>
            <w:hideMark/>
          </w:tcPr>
          <w:p w14:paraId="0AA956F6"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(Accounts Payable ÷ Cost of Sales) × 365</w:t>
            </w:r>
          </w:p>
        </w:tc>
        <w:tc>
          <w:tcPr>
            <w:tcW w:w="0" w:type="auto"/>
            <w:hideMark/>
          </w:tcPr>
          <w:p w14:paraId="1D79C34E"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(72,031 ÷ 280,885) × 365</w:t>
            </w:r>
          </w:p>
        </w:tc>
        <w:tc>
          <w:tcPr>
            <w:tcW w:w="0" w:type="auto"/>
            <w:hideMark/>
          </w:tcPr>
          <w:p w14:paraId="63465A0E"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b/>
                <w:bCs/>
                <w:lang w:val="en-US"/>
              </w:rPr>
              <w:t>94 days</w:t>
            </w:r>
          </w:p>
        </w:tc>
      </w:tr>
      <w:tr w:rsidR="00BC3362" w:rsidRPr="00BC3362" w14:paraId="3854C70B" w14:textId="77777777" w:rsidTr="00696095">
        <w:tc>
          <w:tcPr>
            <w:cnfStyle w:val="001000000000" w:firstRow="0" w:lastRow="0" w:firstColumn="1" w:lastColumn="0" w:oddVBand="0" w:evenVBand="0" w:oddHBand="0" w:evenHBand="0" w:firstRowFirstColumn="0" w:firstRowLastColumn="0" w:lastRowFirstColumn="0" w:lastRowLastColumn="0"/>
            <w:tcW w:w="0" w:type="auto"/>
            <w:hideMark/>
          </w:tcPr>
          <w:p w14:paraId="3346C698" w14:textId="77777777" w:rsidR="00BC3362" w:rsidRPr="00BC3362" w:rsidRDefault="00BC3362" w:rsidP="00696095">
            <w:pPr>
              <w:spacing w:after="160" w:line="360" w:lineRule="auto"/>
              <w:jc w:val="both"/>
              <w:rPr>
                <w:rFonts w:ascii="Times New Roman" w:hAnsi="Times New Roman" w:cs="Times New Roman"/>
                <w:lang w:val="en-US"/>
              </w:rPr>
            </w:pPr>
            <w:r w:rsidRPr="00BC3362">
              <w:rPr>
                <w:rFonts w:ascii="Times New Roman" w:hAnsi="Times New Roman" w:cs="Times New Roman"/>
                <w:b/>
                <w:bCs/>
                <w:lang w:val="en-US"/>
              </w:rPr>
              <w:t>Cash Operating Cycle (COC)</w:t>
            </w:r>
          </w:p>
        </w:tc>
        <w:tc>
          <w:tcPr>
            <w:tcW w:w="0" w:type="auto"/>
            <w:hideMark/>
          </w:tcPr>
          <w:p w14:paraId="3D3D8637"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DIO + DSO − DPO</w:t>
            </w:r>
          </w:p>
        </w:tc>
        <w:tc>
          <w:tcPr>
            <w:tcW w:w="0" w:type="auto"/>
            <w:hideMark/>
          </w:tcPr>
          <w:p w14:paraId="7C52D361"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103 + 105 − 94</w:t>
            </w:r>
          </w:p>
        </w:tc>
        <w:tc>
          <w:tcPr>
            <w:tcW w:w="0" w:type="auto"/>
            <w:hideMark/>
          </w:tcPr>
          <w:p w14:paraId="1084238E"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b/>
                <w:bCs/>
                <w:lang w:val="en-US"/>
              </w:rPr>
              <w:t>114 days</w:t>
            </w:r>
          </w:p>
        </w:tc>
      </w:tr>
    </w:tbl>
    <w:p w14:paraId="2C9031FC" w14:textId="77777777" w:rsidR="00BC3362" w:rsidRDefault="00BC3362" w:rsidP="00BC3362">
      <w:pPr>
        <w:spacing w:line="360" w:lineRule="auto"/>
        <w:jc w:val="both"/>
        <w:rPr>
          <w:rFonts w:ascii="Times New Roman" w:hAnsi="Times New Roman" w:cs="Times New Roman"/>
          <w:lang w:val="en-US"/>
        </w:rPr>
      </w:pPr>
    </w:p>
    <w:p w14:paraId="6BD1D41D" w14:textId="4F4A7FD4"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To determine the efficiency of a firm, cash operating cycle (COC) employs inventory and receivables in managing the payables. As far as the 2024 financial information is concerned, we may say that currently, the cash operating cycle of the company is long and loaded, which proves </w:t>
      </w:r>
      <w:r w:rsidRPr="00BC3362">
        <w:rPr>
          <w:rFonts w:ascii="Times New Roman" w:hAnsi="Times New Roman" w:cs="Times New Roman"/>
          <w:lang w:val="en-US"/>
        </w:rPr>
        <w:lastRenderedPageBreak/>
        <w:t>the declining effectiveness of the operations. The high level of 79, 355m is being held in inventories after the sales have fallen, suggesting the low inventory turnover and overstock. The 114,182m. receivable based on net sales of 394,879m indicates the fact that the collection will be delayed and the amount will be stagnant in the working capital as receivable. This is further strengthened by the decrease in the cash and cash equivalents, which declined sharply in the year 2022 when the value of the cash and cash equivalents decreased by 66,740m and 26,783m, respectively.</w:t>
      </w:r>
    </w:p>
    <w:p w14:paraId="0C24FA97" w14:textId="3535B504"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On the liabilities section, the account payable has also reduced to 72,031m in 2024 as compared to 71,373m in 2022, which does not help much in paying off the cash held in the inventories and receivables. The reduction in the facilities of the short-term credit such as the line of credit indicates that the liquidity position is conservative but also not flexible in short term funding. Overall, the imbalance between the receivables and the outlay can serve as the indication that the cash inflows are lagging the rate of cash outflows which will refer to the fact that they have become more reliant on the internal cash reserves.</w:t>
      </w:r>
    </w:p>
    <w:p w14:paraId="6E77B76E" w14:textId="02877A3C" w:rsidR="00EC5F5A" w:rsidRPr="00722D5A"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Reducing operating income also puts pressure on the cash operating cycle since internally generated cash funds are allocated to fund the working capital finances due to losses. Although the current assets remain more than the current liabilities, the downwards trend of the cash balances is one of the signals of the potential of liquidity strain when the opportunities of operation incompetencies linger. Without inventory control, receivables collection and supplier payment terms problems, the operating cash will endure as an absorbing one and will escalate the financial vulnerability of being in a loss-making and low-margin environment.</w:t>
      </w:r>
    </w:p>
    <w:p w14:paraId="01C4F512" w14:textId="25FA2BFA" w:rsidR="00EC5F5A" w:rsidRPr="00722D5A" w:rsidRDefault="00BC3362" w:rsidP="002D6195">
      <w:pPr>
        <w:pStyle w:val="Heading2"/>
        <w:rPr>
          <w:lang w:val="en-US"/>
        </w:rPr>
      </w:pPr>
      <w:bookmarkStart w:id="7" w:name="_Toc216952167"/>
      <w:r>
        <w:rPr>
          <w:lang w:val="en-US"/>
        </w:rPr>
        <w:t xml:space="preserve">2.2 </w:t>
      </w:r>
      <w:r w:rsidR="00EC5F5A" w:rsidRPr="00722D5A">
        <w:rPr>
          <w:lang w:val="en-US"/>
        </w:rPr>
        <w:t>Strategies to Improve Liquidity Through Working Capital Reforms</w:t>
      </w:r>
      <w:bookmarkEnd w:id="7"/>
    </w:p>
    <w:p w14:paraId="3463D003" w14:textId="331995CF"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Liquidity should be improved by launching certain reforms of all the aspects of working capital, in particular, liquidity of the inventory, receivables, and payables. Preeminence should be first on inventory management. The company should employ more exact demand forecasting, minimize safety inventory, and apply the concepts of just-in-time where it can do. As the sales declined, it would be logical to clear out the lines of products and sell out the old or sluggish stock to the candle in event the new stock is of quality. Second, the reception management should be strengthened. The company should change the customer credit policies, with a focus on the credit terms on riskier customers and provide incentives on the customers who pay on time by instituting </w:t>
      </w:r>
      <w:r w:rsidRPr="00BC3362">
        <w:rPr>
          <w:rFonts w:ascii="Times New Roman" w:hAnsi="Times New Roman" w:cs="Times New Roman"/>
          <w:lang w:val="en-US"/>
        </w:rPr>
        <w:lastRenderedPageBreak/>
        <w:t xml:space="preserve">structured discounts. The better adoption of automated billing and collections would decrease the number of receivable days and forecast quality cash. </w:t>
      </w:r>
    </w:p>
    <w:p w14:paraId="4E99E9C9" w14:textId="246F879D" w:rsidR="00EC5F5A" w:rsidRPr="00722D5A"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Third, a solution that offers an opportunity to increase liquidity without harming the operations is the payables management. The firm may also negotiate new conditions with suppliers to extend payment terms to suppliers, particularly those that are strategic and do not break the relationship with suppliers. The firm would know how to pay in advance at the tough times selectively, but flexible at the more opportune times by providing dynamic discounting programs. Finally, there is the need that there should be more integration between finance, procurement, and operations. Real-time working capital indicators and performance-based incentives based on cash measures not only on revenues or profit would promote cash discipline within the organization. </w:t>
      </w:r>
    </w:p>
    <w:p w14:paraId="01AA9AB7" w14:textId="5A21AF5B" w:rsidR="00EC5F5A" w:rsidRPr="00722D5A" w:rsidRDefault="00BC3362" w:rsidP="002D6195">
      <w:pPr>
        <w:pStyle w:val="Heading2"/>
        <w:rPr>
          <w:lang w:val="en-US"/>
        </w:rPr>
      </w:pPr>
      <w:bookmarkStart w:id="8" w:name="_Toc216952168"/>
      <w:r>
        <w:rPr>
          <w:lang w:val="en-US"/>
        </w:rPr>
        <w:t xml:space="preserve">2.3 </w:t>
      </w:r>
      <w:r w:rsidR="00EC5F5A" w:rsidRPr="00722D5A">
        <w:rPr>
          <w:lang w:val="en-US"/>
        </w:rPr>
        <w:t>Comparison of Short-Term vs Long-Term Financing Options</w:t>
      </w:r>
      <w:bookmarkEnd w:id="8"/>
    </w:p>
    <w:p w14:paraId="6E01F0CA" w14:textId="7446D2FD"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Long and short-term financing compares their strategic applications and their advantages and disadvantages. Short-term liquidity by way of lines of credit and trade credit are flexible and are available to funds. The short-term facilities have historically been prominent in the company especially where there is a fluctuation in revenue. However, relying on short-term financing is exposing the companies to their refinancing risk, interest rates, and the lender confidence especially when such operating losses are still making losses. Long term funds like long term debt and equity are more stable since they balance long term funds to investments in the long-term assets. The fact that the total liabilities of the company are reducing between 2022 and 2024 is an indication of an intentional shift into the balance-sheet-reinforcement. </w:t>
      </w:r>
    </w:p>
    <w:p w14:paraId="16EC8B35" w14:textId="76B453D8" w:rsidR="00EC5F5A" w:rsidRPr="00722D5A"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Long-term financing reduces liquidity pressure and refinancing risk only to be costly as compared to limiting covenants. It might not come easy to add long-term debt without collateral well backed or additional profitability to the company since the company has been experiencing recent losses. The longest term are sources of funds are equity financing, which curtails the chances of default but dilute existing shareholders. With big paid-in capital base left, there is still some space that the company can use to finance through equity, but there is a succession of losses that will tend to scare investors off. In the current scenario, a balanced financing strategy is required. It must spike its working capital fluctuations with short-term financing which should even out some of the time as well as long-term financing which should help it attain its reorganization goals, efficiency, and strategic investment objectives. </w:t>
      </w:r>
    </w:p>
    <w:p w14:paraId="0BA51F61" w14:textId="4E9116A7" w:rsidR="00EC5F5A" w:rsidRPr="00553189" w:rsidRDefault="00553189" w:rsidP="002D6195">
      <w:pPr>
        <w:pStyle w:val="Heading1"/>
      </w:pPr>
      <w:bookmarkStart w:id="9" w:name="_Toc216952169"/>
      <w:r w:rsidRPr="00553189">
        <w:lastRenderedPageBreak/>
        <w:t>3. Strategic Financial Restructuring Plan</w:t>
      </w:r>
      <w:bookmarkEnd w:id="9"/>
    </w:p>
    <w:p w14:paraId="1A960EC8" w14:textId="0BF7C8D7" w:rsidR="00553189" w:rsidRPr="000D67BE" w:rsidRDefault="00553189" w:rsidP="002D6195">
      <w:pPr>
        <w:pStyle w:val="Heading2"/>
        <w:rPr>
          <w:lang w:val="en-US"/>
        </w:rPr>
      </w:pPr>
      <w:bookmarkStart w:id="10" w:name="_Toc216952170"/>
      <w:r>
        <w:rPr>
          <w:lang w:val="en-US"/>
        </w:rPr>
        <w:t xml:space="preserve">3.1 </w:t>
      </w:r>
      <w:r w:rsidRPr="000D67BE">
        <w:rPr>
          <w:lang w:val="en-US"/>
        </w:rPr>
        <w:t>Recommended Financial Restructuring Options</w:t>
      </w:r>
      <w:bookmarkEnd w:id="10"/>
    </w:p>
    <w:p w14:paraId="09C1DFBB"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DiversityInc is one of the significant financial restructuring options of the companies that suffered losses and cut cash flows. Disposing of non-core or low performing assets immediately will enable the company to release locked up capital and, in the process, generate a higher level of liquidity. The strategy makes the operations easier and allows the management to focus on the profitable segments, as stated by Mavlutova et al. (2021). The rationalization of assets also minimizes the maintenance cost and the cost of capital expenditure to boost the cash flow resilience. To some extent, divestiture helps to reduce the revenue scale, yet, to a large extent, it enhances the financial stability and has a probability to contribute to the recovery in the long term giving the means of allocation of resources to strategic priorities and the market demand more efficiently.</w:t>
      </w:r>
    </w:p>
    <w:p w14:paraId="6DB0D0F0"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Another alternative of restructuring that is long term to get company balanced sheet without increasing its financial leverage is equity injection. It increases solvency and reduces the risk of bankruptcy and reduces the cost of equity through new equity issue in a right issue or strategic investor as Siddiqa (2023) described it. Njoki and Reuben (2024) further state that the equity-based restructuring enhances the performance of a given organization by restoring the confidence and financial freedom of the investors. Equity funding provides the company with permanent capital to offset the restructuring costs, resource funding and working capital as well as investment in the running of the corporation, even though it has the drawback of diluting the current shareholders. Management knowledge and market penetration are other aspects that can be brought by strategic investors. </w:t>
      </w:r>
    </w:p>
    <w:p w14:paraId="334C7662"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During a time of economic turmoil, merger or strategic alliance can contribute to the provision of scale efficiencies, cost scale and penetrations of the new markets. Palacin Sanchez et al. (2023) state that mergers are excellent when companies experience the long-term profitability challenges and competition. The resulting merger of operations will reduce the duplication of costs, increase the buyer power to the suppliers, and cure revenue curves to normal. Alliances also possess the same benefits in less integration risk. However, when it comes to mergers, these things should be carefully carried out to avoid cultural clashes and disruption of operations. In terms of the restructuring factor, mergers would save the main competencies, redistribute the financial risks and recover faster. </w:t>
      </w:r>
    </w:p>
    <w:p w14:paraId="1766565C" w14:textId="1C44189E" w:rsidR="00553189" w:rsidRPr="000D67BE" w:rsidRDefault="00553189" w:rsidP="002D6195">
      <w:pPr>
        <w:pStyle w:val="Heading2"/>
        <w:rPr>
          <w:lang w:val="en-US"/>
        </w:rPr>
      </w:pPr>
      <w:bookmarkStart w:id="11" w:name="_Toc216952171"/>
      <w:r>
        <w:rPr>
          <w:lang w:val="en-US"/>
        </w:rPr>
        <w:lastRenderedPageBreak/>
        <w:t xml:space="preserve">3.2 </w:t>
      </w:r>
      <w:r w:rsidRPr="000D67BE">
        <w:rPr>
          <w:lang w:val="en-US"/>
        </w:rPr>
        <w:t>Impact on Shareholder Value, Debt Structure, and Operational Flexibility</w:t>
      </w:r>
      <w:bookmarkEnd w:id="11"/>
    </w:p>
    <w:p w14:paraId="4C0BC935"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The long-term and short-term effects of the financial restructuring possibilities on the shareholder value are both long-term and short-term in nature. Divestitures are also capable of unlocking value in the form of either improving cash flow and profitability and these measures may positively impact market valuation (Herman, 2021). Equity injections possess the demerit of ownership dilution, but the insolvency risk is reduced such that residual value of shareholders will be upheld. According to Colliard and Gromb (2025), the value destruction with financial distress is prevented using the initially prepared restructuring. The adequate reorganization will restore the earnings stability and investor confidence, which will help to recover the share price. Nevertheless unreasonable, or dragging to be postponed, restructuring could dilute the equity even more. </w:t>
      </w:r>
    </w:p>
    <w:p w14:paraId="7B32E286"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The restructuring significantly reflects on the credit risk and debt profile of the firm. The settlement of debts and the reduction in leverage and interests’ benefits are due to sales of assets and equity capital raise. This will remove the risk of refinancing and will improve credit worthiness, which is particularly important when it concerns a variable interest rate. As it is noted by Moridu and Abidin (2023), the debt overhang reduction aids investment incentives and recovery of operations. Rebalanced capital structure is also known to increase compliance of covenant and confidence of lenders. With the restructuring, though, there is the danger that the terms of creditors would rise, or the risk premiums. Despite the potential of the lack of short-term flexibility, a higher advantage is identified in long-term prospect of more sustainable debt structure in accordance with cash generation and reduced susceptibility to the problem of financial distress.</w:t>
      </w:r>
    </w:p>
    <w:p w14:paraId="6A291A93"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The success of the restructuring process in terms of finances contributes to the expansion of the flexibility of the operations as the release of the resources which used to be stuck on the issues connected with the debt’s commitments and liquidity strains. This is because through divestiture, the organisations simplify the structures, thus quick decisions and cost control are easy to make. Injections, i.e. Equity iinjections provide financial assistance to its process improvements, digitalization and efficiency. According to Sadeeque (2023), the reorganizing models of the current world are concerned with continuity and business flexibility. Even though at the time of mergers, flexibility may go to waste owing to the need to integrate and the complexity of governance, mergers may not be flexible. This will help the management to be more responsive to the changes in the market in the long run since it will have reduced leveraging and liberalized liquidity. </w:t>
      </w:r>
    </w:p>
    <w:p w14:paraId="45ED68D2" w14:textId="2C9540A4" w:rsidR="00553189" w:rsidRDefault="00553189" w:rsidP="002D6195">
      <w:pPr>
        <w:pStyle w:val="Heading2"/>
        <w:rPr>
          <w:lang w:val="en-US"/>
        </w:rPr>
      </w:pPr>
      <w:bookmarkStart w:id="12" w:name="_Toc216952172"/>
      <w:r>
        <w:rPr>
          <w:lang w:val="en-US"/>
        </w:rPr>
        <w:lastRenderedPageBreak/>
        <w:t xml:space="preserve">3.3 </w:t>
      </w:r>
      <w:r w:rsidRPr="000D67BE">
        <w:rPr>
          <w:lang w:val="en-US"/>
        </w:rPr>
        <w:t>International and Ethical Considerations</w:t>
      </w:r>
      <w:bookmarkEnd w:id="12"/>
    </w:p>
    <w:p w14:paraId="3FDB1DF3"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The restructuring of international finances ought to be meant to be meant to cross-jurisdiction taxation and regulatory differences. The divestiture will result in capital gains taxes and merging across borders will add to transfer pricing and compliance. These findings are crucial to the reorganization of its results in terms of national insolvency and taxation regimes, as Sadeq (2023) highlight. Unless managed, regulatory approvals would slow down the implementation and add additional expenses. Ethical avoidance from the point of view, in opposition to aggressive tax planning is a good thing because, long term, it promotes a legitimate and trusting relationship between the parties. To ensure that they do not lose their reputation and are found guilty of crimes, companies should be transparent and follow the regulations. </w:t>
      </w:r>
    </w:p>
    <w:p w14:paraId="5418CF10"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Currencies volatility and inflation are such macroeconomic variables that hugely influence the success of restructuring. International investments in sales of property in the company are demonstrated to present firms with the opportunity to exchange risks, which, consequently, could affect the value of transactions and cash flows. As Moridu and Abidin (2023) suggest, the net returns are low in a situation where the rate of inflation is high, and the costs of operation are inflated to an extent that it is extremely hard to achieve a turnaround. Hedging and diversified sources of financing are possibilities of currency exposure being avoided. The inflation-adjusted planning should be used to keep restructuring benefits. The active companies that operate in various markets must relocate the financial aspect of restructuring in response to the macroeconomic environment to remain competitive. </w:t>
      </w:r>
    </w:p>
    <w:p w14:paraId="56CC8635"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Ethical restructuring of financial matters is responsible. Divestitures, mergers, and cost reduction usually have effects on employees, suppliers and the neighboring communities. Mavlutova et al. (2021) are of the view that socially conscious restructuring gives sustainability the ability to prevail in the long run and develop trust in the stakeholders. It reduces the reputational risk as transparent communication and fair redundancy measures and support to the impacted workers. Ethical governance is also better in confidence and regulation relationship among the investors. Achieving financial objectives and balancing between social being and financial goals can be done by introducing corporate social responsibility in the sight-setting choices. Ethical business firms have a possibility of achieving long-term revival, maintaining their brands value, and securing the support of their stakeholders in the process of reorganizing.</w:t>
      </w:r>
    </w:p>
    <w:p w14:paraId="2D6039EA" w14:textId="7B514E93" w:rsidR="00654637" w:rsidRDefault="00553189" w:rsidP="002D6195">
      <w:pPr>
        <w:pStyle w:val="Heading1"/>
      </w:pPr>
      <w:bookmarkStart w:id="13" w:name="_Toc216952173"/>
      <w:r w:rsidRPr="00553189">
        <w:lastRenderedPageBreak/>
        <w:t>4. Investment Appraisal and Capital Budgeting</w:t>
      </w:r>
      <w:bookmarkEnd w:id="13"/>
    </w:p>
    <w:p w14:paraId="0341E730" w14:textId="77777777" w:rsidR="002D4138" w:rsidRPr="000C4557" w:rsidRDefault="002D4138" w:rsidP="002D6195">
      <w:pPr>
        <w:pStyle w:val="Heading2"/>
        <w:rPr>
          <w:lang w:val="en-US"/>
        </w:rPr>
      </w:pPr>
      <w:bookmarkStart w:id="14" w:name="_Toc216952174"/>
      <w:r>
        <w:rPr>
          <w:lang w:val="en-US"/>
        </w:rPr>
        <w:t xml:space="preserve">4.1 </w:t>
      </w:r>
      <w:r w:rsidRPr="000C4557">
        <w:rPr>
          <w:lang w:val="en-US"/>
        </w:rPr>
        <w:t>Project A: Capital Budgeting Calculations</w:t>
      </w:r>
      <w:bookmarkEnd w:id="14"/>
    </w:p>
    <w:tbl>
      <w:tblPr>
        <w:tblStyle w:val="TableGrid"/>
        <w:tblW w:w="5000" w:type="pct"/>
        <w:tblLook w:val="04A0" w:firstRow="1" w:lastRow="0" w:firstColumn="1" w:lastColumn="0" w:noHBand="0" w:noVBand="1"/>
      </w:tblPr>
      <w:tblGrid>
        <w:gridCol w:w="2308"/>
        <w:gridCol w:w="1960"/>
        <w:gridCol w:w="1909"/>
        <w:gridCol w:w="1980"/>
        <w:gridCol w:w="1193"/>
      </w:tblGrid>
      <w:tr w:rsidR="002D4138" w:rsidRPr="000C4557" w14:paraId="05CD500D" w14:textId="77777777" w:rsidTr="00696095">
        <w:tc>
          <w:tcPr>
            <w:tcW w:w="1234" w:type="pct"/>
            <w:hideMark/>
          </w:tcPr>
          <w:p w14:paraId="124EE08D"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Year</w:t>
            </w:r>
          </w:p>
        </w:tc>
        <w:tc>
          <w:tcPr>
            <w:tcW w:w="1048" w:type="pct"/>
            <w:hideMark/>
          </w:tcPr>
          <w:p w14:paraId="770938F8"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Cash Flow (£m)</w:t>
            </w:r>
          </w:p>
        </w:tc>
        <w:tc>
          <w:tcPr>
            <w:tcW w:w="1021" w:type="pct"/>
            <w:hideMark/>
          </w:tcPr>
          <w:p w14:paraId="37DB7855"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Cumulative CF</w:t>
            </w:r>
          </w:p>
        </w:tc>
        <w:tc>
          <w:tcPr>
            <w:tcW w:w="1059" w:type="pct"/>
            <w:hideMark/>
          </w:tcPr>
          <w:p w14:paraId="79A420A1"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Discount Factor</w:t>
            </w:r>
          </w:p>
        </w:tc>
        <w:tc>
          <w:tcPr>
            <w:tcW w:w="638" w:type="pct"/>
            <w:hideMark/>
          </w:tcPr>
          <w:p w14:paraId="2884B2D5"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PV (£m)</w:t>
            </w:r>
          </w:p>
        </w:tc>
      </w:tr>
      <w:tr w:rsidR="002D4138" w:rsidRPr="000C4557" w14:paraId="0DA02477" w14:textId="77777777" w:rsidTr="00696095">
        <w:tc>
          <w:tcPr>
            <w:tcW w:w="1234" w:type="pct"/>
            <w:hideMark/>
          </w:tcPr>
          <w:p w14:paraId="3084BED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w:t>
            </w:r>
          </w:p>
        </w:tc>
        <w:tc>
          <w:tcPr>
            <w:tcW w:w="1048" w:type="pct"/>
            <w:hideMark/>
          </w:tcPr>
          <w:p w14:paraId="6F99255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(40)</w:t>
            </w:r>
          </w:p>
        </w:tc>
        <w:tc>
          <w:tcPr>
            <w:tcW w:w="1021" w:type="pct"/>
            <w:hideMark/>
          </w:tcPr>
          <w:p w14:paraId="6139D35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(40)</w:t>
            </w:r>
          </w:p>
        </w:tc>
        <w:tc>
          <w:tcPr>
            <w:tcW w:w="1059" w:type="pct"/>
            <w:hideMark/>
          </w:tcPr>
          <w:p w14:paraId="026DA9E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1.000</w:t>
            </w:r>
          </w:p>
        </w:tc>
        <w:tc>
          <w:tcPr>
            <w:tcW w:w="638" w:type="pct"/>
            <w:hideMark/>
          </w:tcPr>
          <w:p w14:paraId="441C52C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(40.00)</w:t>
            </w:r>
          </w:p>
        </w:tc>
      </w:tr>
      <w:tr w:rsidR="002D4138" w:rsidRPr="000C4557" w14:paraId="1C6C457D" w14:textId="77777777" w:rsidTr="00696095">
        <w:tc>
          <w:tcPr>
            <w:tcW w:w="1234" w:type="pct"/>
            <w:hideMark/>
          </w:tcPr>
          <w:p w14:paraId="53A3ABF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w:t>
            </w:r>
          </w:p>
        </w:tc>
        <w:tc>
          <w:tcPr>
            <w:tcW w:w="1048" w:type="pct"/>
            <w:hideMark/>
          </w:tcPr>
          <w:p w14:paraId="490A030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c>
          <w:tcPr>
            <w:tcW w:w="1021" w:type="pct"/>
            <w:hideMark/>
          </w:tcPr>
          <w:p w14:paraId="202399A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(30)</w:t>
            </w:r>
          </w:p>
        </w:tc>
        <w:tc>
          <w:tcPr>
            <w:tcW w:w="1059" w:type="pct"/>
            <w:hideMark/>
          </w:tcPr>
          <w:p w14:paraId="10CB9C8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0.909</w:t>
            </w:r>
          </w:p>
        </w:tc>
        <w:tc>
          <w:tcPr>
            <w:tcW w:w="638" w:type="pct"/>
            <w:hideMark/>
          </w:tcPr>
          <w:p w14:paraId="6E3FB0B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9.09</w:t>
            </w:r>
          </w:p>
        </w:tc>
      </w:tr>
      <w:tr w:rsidR="002D4138" w:rsidRPr="000C4557" w14:paraId="0E423452" w14:textId="77777777" w:rsidTr="00696095">
        <w:tc>
          <w:tcPr>
            <w:tcW w:w="1234" w:type="pct"/>
            <w:hideMark/>
          </w:tcPr>
          <w:p w14:paraId="00B2859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w:t>
            </w:r>
          </w:p>
        </w:tc>
        <w:tc>
          <w:tcPr>
            <w:tcW w:w="1048" w:type="pct"/>
            <w:hideMark/>
          </w:tcPr>
          <w:p w14:paraId="5BBB6F4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12</w:t>
            </w:r>
          </w:p>
        </w:tc>
        <w:tc>
          <w:tcPr>
            <w:tcW w:w="1021" w:type="pct"/>
            <w:hideMark/>
          </w:tcPr>
          <w:p w14:paraId="40A9FCC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(18)</w:t>
            </w:r>
          </w:p>
        </w:tc>
        <w:tc>
          <w:tcPr>
            <w:tcW w:w="1059" w:type="pct"/>
            <w:hideMark/>
          </w:tcPr>
          <w:p w14:paraId="5453EDE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0.826</w:t>
            </w:r>
          </w:p>
        </w:tc>
        <w:tc>
          <w:tcPr>
            <w:tcW w:w="638" w:type="pct"/>
            <w:hideMark/>
          </w:tcPr>
          <w:p w14:paraId="32DAC84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9.91</w:t>
            </w:r>
          </w:p>
        </w:tc>
      </w:tr>
      <w:tr w:rsidR="002D4138" w:rsidRPr="000C4557" w14:paraId="2FEC5336" w14:textId="77777777" w:rsidTr="00696095">
        <w:tc>
          <w:tcPr>
            <w:tcW w:w="1234" w:type="pct"/>
            <w:hideMark/>
          </w:tcPr>
          <w:p w14:paraId="1CDDF02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w:t>
            </w:r>
          </w:p>
        </w:tc>
        <w:tc>
          <w:tcPr>
            <w:tcW w:w="1048" w:type="pct"/>
            <w:hideMark/>
          </w:tcPr>
          <w:p w14:paraId="0953C5A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14</w:t>
            </w:r>
          </w:p>
        </w:tc>
        <w:tc>
          <w:tcPr>
            <w:tcW w:w="1021" w:type="pct"/>
            <w:hideMark/>
          </w:tcPr>
          <w:p w14:paraId="6DD1EF8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w:t>
            </w:r>
          </w:p>
        </w:tc>
        <w:tc>
          <w:tcPr>
            <w:tcW w:w="1059" w:type="pct"/>
            <w:hideMark/>
          </w:tcPr>
          <w:p w14:paraId="29DE1A4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0.751</w:t>
            </w:r>
          </w:p>
        </w:tc>
        <w:tc>
          <w:tcPr>
            <w:tcW w:w="638" w:type="pct"/>
            <w:hideMark/>
          </w:tcPr>
          <w:p w14:paraId="48A2FDB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10.51</w:t>
            </w:r>
          </w:p>
        </w:tc>
      </w:tr>
      <w:tr w:rsidR="002D4138" w:rsidRPr="000C4557" w14:paraId="79C3D14F" w14:textId="77777777" w:rsidTr="00696095">
        <w:tc>
          <w:tcPr>
            <w:tcW w:w="1234" w:type="pct"/>
            <w:hideMark/>
          </w:tcPr>
          <w:p w14:paraId="1841108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w:t>
            </w:r>
          </w:p>
        </w:tc>
        <w:tc>
          <w:tcPr>
            <w:tcW w:w="1048" w:type="pct"/>
            <w:hideMark/>
          </w:tcPr>
          <w:p w14:paraId="13235FE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c>
          <w:tcPr>
            <w:tcW w:w="1021" w:type="pct"/>
            <w:hideMark/>
          </w:tcPr>
          <w:p w14:paraId="4F22495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59" w:type="pct"/>
            <w:hideMark/>
          </w:tcPr>
          <w:p w14:paraId="7163E86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0.683</w:t>
            </w:r>
          </w:p>
        </w:tc>
        <w:tc>
          <w:tcPr>
            <w:tcW w:w="638" w:type="pct"/>
            <w:hideMark/>
          </w:tcPr>
          <w:p w14:paraId="20D72C1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6.83</w:t>
            </w:r>
          </w:p>
        </w:tc>
      </w:tr>
      <w:tr w:rsidR="002D4138" w:rsidRPr="000C4557" w14:paraId="6ADD4FC8" w14:textId="77777777" w:rsidTr="00696095">
        <w:tc>
          <w:tcPr>
            <w:tcW w:w="1234" w:type="pct"/>
            <w:hideMark/>
          </w:tcPr>
          <w:p w14:paraId="6841CB2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w:t>
            </w:r>
          </w:p>
        </w:tc>
        <w:tc>
          <w:tcPr>
            <w:tcW w:w="1048" w:type="pct"/>
            <w:hideMark/>
          </w:tcPr>
          <w:p w14:paraId="3F1C1A0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8</w:t>
            </w:r>
          </w:p>
        </w:tc>
        <w:tc>
          <w:tcPr>
            <w:tcW w:w="1021" w:type="pct"/>
            <w:hideMark/>
          </w:tcPr>
          <w:p w14:paraId="342007A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14</w:t>
            </w:r>
          </w:p>
        </w:tc>
        <w:tc>
          <w:tcPr>
            <w:tcW w:w="1059" w:type="pct"/>
            <w:hideMark/>
          </w:tcPr>
          <w:p w14:paraId="4BD1EAC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0.621</w:t>
            </w:r>
          </w:p>
        </w:tc>
        <w:tc>
          <w:tcPr>
            <w:tcW w:w="638" w:type="pct"/>
            <w:hideMark/>
          </w:tcPr>
          <w:p w14:paraId="4F28CA1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4.97</w:t>
            </w:r>
          </w:p>
        </w:tc>
      </w:tr>
      <w:tr w:rsidR="002D4138" w:rsidRPr="000C4557" w14:paraId="541B9740" w14:textId="77777777" w:rsidTr="00696095">
        <w:tc>
          <w:tcPr>
            <w:tcW w:w="1234" w:type="pct"/>
            <w:hideMark/>
          </w:tcPr>
          <w:p w14:paraId="474AA8C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Total PV of inflows</w:t>
            </w:r>
          </w:p>
        </w:tc>
        <w:tc>
          <w:tcPr>
            <w:tcW w:w="1048" w:type="pct"/>
            <w:hideMark/>
          </w:tcPr>
          <w:p w14:paraId="163A0E0C"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4C39B2D5"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5C8E725D"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5FC6439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41.31</w:t>
            </w:r>
          </w:p>
        </w:tc>
      </w:tr>
      <w:tr w:rsidR="002D4138" w:rsidRPr="000C4557" w14:paraId="432BAA27" w14:textId="77777777" w:rsidTr="00696095">
        <w:tc>
          <w:tcPr>
            <w:tcW w:w="1234" w:type="pct"/>
            <w:hideMark/>
          </w:tcPr>
          <w:p w14:paraId="4186503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NPV (£m)</w:t>
            </w:r>
          </w:p>
        </w:tc>
        <w:tc>
          <w:tcPr>
            <w:tcW w:w="1048" w:type="pct"/>
            <w:hideMark/>
          </w:tcPr>
          <w:p w14:paraId="58BFF8EA"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57BD05EB"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0998EB35"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A83F3C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+1.31</w:t>
            </w:r>
          </w:p>
        </w:tc>
      </w:tr>
      <w:tr w:rsidR="002D4138" w:rsidRPr="000C4557" w14:paraId="13B26012" w14:textId="77777777" w:rsidTr="00696095">
        <w:tc>
          <w:tcPr>
            <w:tcW w:w="1234" w:type="pct"/>
            <w:hideMark/>
          </w:tcPr>
          <w:p w14:paraId="7D2B6EF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Payback Period</w:t>
            </w:r>
          </w:p>
        </w:tc>
        <w:tc>
          <w:tcPr>
            <w:tcW w:w="1048" w:type="pct"/>
            <w:hideMark/>
          </w:tcPr>
          <w:p w14:paraId="064DAB11"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6CA865D8"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1357F1ED"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2FE8DEA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3.4 years</w:t>
            </w:r>
          </w:p>
        </w:tc>
      </w:tr>
      <w:tr w:rsidR="002D4138" w:rsidRPr="000C4557" w14:paraId="7A80BBB4" w14:textId="77777777" w:rsidTr="00696095">
        <w:tc>
          <w:tcPr>
            <w:tcW w:w="1234" w:type="pct"/>
            <w:hideMark/>
          </w:tcPr>
          <w:p w14:paraId="3D1C5D3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ARR</w:t>
            </w:r>
          </w:p>
        </w:tc>
        <w:tc>
          <w:tcPr>
            <w:tcW w:w="1048" w:type="pct"/>
            <w:hideMark/>
          </w:tcPr>
          <w:p w14:paraId="0431F10A"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0AF8B420"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0222D88A"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0DD9E05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14.0%</w:t>
            </w:r>
          </w:p>
        </w:tc>
      </w:tr>
      <w:tr w:rsidR="002D4138" w:rsidRPr="000C4557" w14:paraId="445CE14C" w14:textId="77777777" w:rsidTr="00696095">
        <w:tc>
          <w:tcPr>
            <w:tcW w:w="1234" w:type="pct"/>
            <w:hideMark/>
          </w:tcPr>
          <w:p w14:paraId="37ADE58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PI</w:t>
            </w:r>
          </w:p>
        </w:tc>
        <w:tc>
          <w:tcPr>
            <w:tcW w:w="1048" w:type="pct"/>
            <w:hideMark/>
          </w:tcPr>
          <w:p w14:paraId="254B0658"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4A3F2E71"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74E58209"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23BA7D1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1.03</w:t>
            </w:r>
          </w:p>
        </w:tc>
      </w:tr>
      <w:tr w:rsidR="002D4138" w:rsidRPr="000C4557" w14:paraId="4DF1A553" w14:textId="77777777" w:rsidTr="00696095">
        <w:tc>
          <w:tcPr>
            <w:tcW w:w="1234" w:type="pct"/>
            <w:hideMark/>
          </w:tcPr>
          <w:p w14:paraId="3A3BFE9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IRR</w:t>
            </w:r>
          </w:p>
        </w:tc>
        <w:tc>
          <w:tcPr>
            <w:tcW w:w="1048" w:type="pct"/>
            <w:hideMark/>
          </w:tcPr>
          <w:p w14:paraId="2AA1F856"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22C0D828"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5B3132FF"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097E50E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≈11.2%</w:t>
            </w:r>
          </w:p>
        </w:tc>
      </w:tr>
    </w:tbl>
    <w:p w14:paraId="4A6035F9" w14:textId="77777777" w:rsidR="002D4138" w:rsidRDefault="002D4138" w:rsidP="002D4138">
      <w:pPr>
        <w:spacing w:line="360" w:lineRule="auto"/>
        <w:jc w:val="both"/>
        <w:rPr>
          <w:rFonts w:ascii="Times New Roman" w:hAnsi="Times New Roman" w:cs="Times New Roman"/>
          <w:lang w:val="en-US"/>
        </w:rPr>
      </w:pPr>
    </w:p>
    <w:p w14:paraId="68035C9C"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t xml:space="preserve">Financial attractiveness of Project A depicts that there is moderate level of attractiveness concerning the different capital budgeting criteria. The payback of 3.4 years indicates that initial investment in the firm was recovered quite quickly as initial cost of 40m pounds and this is good in a strapped firm in labour. Accounting rate for Return stands at 14 percent, which is greater than the estimated cost of capital of the company and means that there may be acceptable accounting profitability. The Net Present Value of 1.31m is a positive one and it indicates that Project A does add shareholder value, but the intensity of value addition is not extreme. The Profitability Index at 1.03 demonstrates that the project creates a payoff of 1.03 in terms of present value which will result in a pound as far as capital rationing is concerned and this is not a very solid project. </w:t>
      </w:r>
    </w:p>
    <w:p w14:paraId="6404ADA1"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lastRenderedPageBreak/>
        <w:t>The internal rate of returns, approximately 11.2 percent, is a little greater than the discounted rate at 10 percent which shows low economic surplus. The cash payments of Project A are comparatively even and stable from a risk perspective which will reduce an aspect of uncertainty in prediction. It is critical given this position of the company, as the profitability is decreasing and the liquidity base is weak. This downside potential on the other hand reduces the strategic appeal especially visa-a-vis the high-return options. Though Project A helps to recover the liquidity since it states to support the previous inflows of cash, the real effect on recovery of financial implications in long-term effect is minimal. It is okay as an investment but rationing of capital lowers its priority because of comparatively small NPV and IRR.</w:t>
      </w:r>
    </w:p>
    <w:p w14:paraId="2285D4FA" w14:textId="77777777" w:rsidR="002D4138" w:rsidRPr="000C4557" w:rsidRDefault="002D4138" w:rsidP="002D6195">
      <w:pPr>
        <w:pStyle w:val="Heading2"/>
        <w:rPr>
          <w:lang w:val="en-US"/>
        </w:rPr>
      </w:pPr>
      <w:bookmarkStart w:id="15" w:name="_Toc216952175"/>
      <w:r>
        <w:rPr>
          <w:lang w:val="en-US"/>
        </w:rPr>
        <w:t xml:space="preserve">4.2 </w:t>
      </w:r>
      <w:r w:rsidRPr="000C4557">
        <w:rPr>
          <w:lang w:val="en-US"/>
        </w:rPr>
        <w:t>Project B: Capital Budgeting Calculations (10% Discount Rate)</w:t>
      </w:r>
      <w:bookmarkEnd w:id="15"/>
    </w:p>
    <w:tbl>
      <w:tblPr>
        <w:tblStyle w:val="TableGrid"/>
        <w:tblW w:w="5000" w:type="pct"/>
        <w:tblLook w:val="04A0" w:firstRow="1" w:lastRow="0" w:firstColumn="1" w:lastColumn="0" w:noHBand="0" w:noVBand="1"/>
      </w:tblPr>
      <w:tblGrid>
        <w:gridCol w:w="2308"/>
        <w:gridCol w:w="1960"/>
        <w:gridCol w:w="1909"/>
        <w:gridCol w:w="1980"/>
        <w:gridCol w:w="1193"/>
      </w:tblGrid>
      <w:tr w:rsidR="002D4138" w:rsidRPr="000C4557" w14:paraId="45B249D5" w14:textId="77777777" w:rsidTr="00696095">
        <w:tc>
          <w:tcPr>
            <w:tcW w:w="1234" w:type="pct"/>
            <w:hideMark/>
          </w:tcPr>
          <w:p w14:paraId="03484C59"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Year</w:t>
            </w:r>
          </w:p>
        </w:tc>
        <w:tc>
          <w:tcPr>
            <w:tcW w:w="1048" w:type="pct"/>
            <w:hideMark/>
          </w:tcPr>
          <w:p w14:paraId="07A5976D"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Cash Flow (£m)</w:t>
            </w:r>
          </w:p>
        </w:tc>
        <w:tc>
          <w:tcPr>
            <w:tcW w:w="1021" w:type="pct"/>
            <w:hideMark/>
          </w:tcPr>
          <w:p w14:paraId="76AEE0B3"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Cumulative CF</w:t>
            </w:r>
          </w:p>
        </w:tc>
        <w:tc>
          <w:tcPr>
            <w:tcW w:w="1059" w:type="pct"/>
            <w:hideMark/>
          </w:tcPr>
          <w:p w14:paraId="2DEF3B64"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Discount Factor</w:t>
            </w:r>
          </w:p>
        </w:tc>
        <w:tc>
          <w:tcPr>
            <w:tcW w:w="638" w:type="pct"/>
            <w:hideMark/>
          </w:tcPr>
          <w:p w14:paraId="4DC62625"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PV (£m)</w:t>
            </w:r>
          </w:p>
        </w:tc>
      </w:tr>
      <w:tr w:rsidR="002D4138" w:rsidRPr="000C4557" w14:paraId="6DFBC287" w14:textId="77777777" w:rsidTr="00696095">
        <w:tc>
          <w:tcPr>
            <w:tcW w:w="1234" w:type="pct"/>
            <w:hideMark/>
          </w:tcPr>
          <w:p w14:paraId="63C75BE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w:t>
            </w:r>
          </w:p>
        </w:tc>
        <w:tc>
          <w:tcPr>
            <w:tcW w:w="1048" w:type="pct"/>
            <w:hideMark/>
          </w:tcPr>
          <w:p w14:paraId="721D797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(30)</w:t>
            </w:r>
          </w:p>
        </w:tc>
        <w:tc>
          <w:tcPr>
            <w:tcW w:w="1021" w:type="pct"/>
            <w:hideMark/>
          </w:tcPr>
          <w:p w14:paraId="6FCAC90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(30)</w:t>
            </w:r>
          </w:p>
        </w:tc>
        <w:tc>
          <w:tcPr>
            <w:tcW w:w="1059" w:type="pct"/>
            <w:hideMark/>
          </w:tcPr>
          <w:p w14:paraId="518F5E9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1.000</w:t>
            </w:r>
          </w:p>
        </w:tc>
        <w:tc>
          <w:tcPr>
            <w:tcW w:w="638" w:type="pct"/>
            <w:hideMark/>
          </w:tcPr>
          <w:p w14:paraId="042DD97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(30.00)</w:t>
            </w:r>
          </w:p>
        </w:tc>
      </w:tr>
      <w:tr w:rsidR="002D4138" w:rsidRPr="000C4557" w14:paraId="35B2E69D" w14:textId="77777777" w:rsidTr="00696095">
        <w:tc>
          <w:tcPr>
            <w:tcW w:w="1234" w:type="pct"/>
            <w:hideMark/>
          </w:tcPr>
          <w:p w14:paraId="6E62A64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w:t>
            </w:r>
          </w:p>
        </w:tc>
        <w:tc>
          <w:tcPr>
            <w:tcW w:w="1048" w:type="pct"/>
            <w:hideMark/>
          </w:tcPr>
          <w:p w14:paraId="59911D7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2F25842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(24)</w:t>
            </w:r>
          </w:p>
        </w:tc>
        <w:tc>
          <w:tcPr>
            <w:tcW w:w="1059" w:type="pct"/>
            <w:hideMark/>
          </w:tcPr>
          <w:p w14:paraId="4D4B9F0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0.909</w:t>
            </w:r>
          </w:p>
        </w:tc>
        <w:tc>
          <w:tcPr>
            <w:tcW w:w="638" w:type="pct"/>
            <w:hideMark/>
          </w:tcPr>
          <w:p w14:paraId="6921186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5.45</w:t>
            </w:r>
          </w:p>
        </w:tc>
      </w:tr>
      <w:tr w:rsidR="002D4138" w:rsidRPr="000C4557" w14:paraId="79A2607B" w14:textId="77777777" w:rsidTr="00696095">
        <w:tc>
          <w:tcPr>
            <w:tcW w:w="1234" w:type="pct"/>
            <w:hideMark/>
          </w:tcPr>
          <w:p w14:paraId="2B45E6C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w:t>
            </w:r>
          </w:p>
        </w:tc>
        <w:tc>
          <w:tcPr>
            <w:tcW w:w="1048" w:type="pct"/>
            <w:hideMark/>
          </w:tcPr>
          <w:p w14:paraId="33B3670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0483CE9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(18)</w:t>
            </w:r>
          </w:p>
        </w:tc>
        <w:tc>
          <w:tcPr>
            <w:tcW w:w="1059" w:type="pct"/>
            <w:hideMark/>
          </w:tcPr>
          <w:p w14:paraId="4F98101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0.826</w:t>
            </w:r>
          </w:p>
        </w:tc>
        <w:tc>
          <w:tcPr>
            <w:tcW w:w="638" w:type="pct"/>
            <w:hideMark/>
          </w:tcPr>
          <w:p w14:paraId="17AD97B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4.96</w:t>
            </w:r>
          </w:p>
        </w:tc>
      </w:tr>
      <w:tr w:rsidR="002D4138" w:rsidRPr="000C4557" w14:paraId="434A82FB" w14:textId="77777777" w:rsidTr="00696095">
        <w:tc>
          <w:tcPr>
            <w:tcW w:w="1234" w:type="pct"/>
            <w:hideMark/>
          </w:tcPr>
          <w:p w14:paraId="655C4B7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w:t>
            </w:r>
          </w:p>
        </w:tc>
        <w:tc>
          <w:tcPr>
            <w:tcW w:w="1048" w:type="pct"/>
            <w:hideMark/>
          </w:tcPr>
          <w:p w14:paraId="20C6F22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0B44ED0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(12)</w:t>
            </w:r>
          </w:p>
        </w:tc>
        <w:tc>
          <w:tcPr>
            <w:tcW w:w="1059" w:type="pct"/>
            <w:hideMark/>
          </w:tcPr>
          <w:p w14:paraId="6E451E9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0.751</w:t>
            </w:r>
          </w:p>
        </w:tc>
        <w:tc>
          <w:tcPr>
            <w:tcW w:w="638" w:type="pct"/>
            <w:hideMark/>
          </w:tcPr>
          <w:p w14:paraId="6CB3A84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4.51</w:t>
            </w:r>
          </w:p>
        </w:tc>
      </w:tr>
      <w:tr w:rsidR="002D4138" w:rsidRPr="000C4557" w14:paraId="3C87E2C9" w14:textId="77777777" w:rsidTr="00696095">
        <w:tc>
          <w:tcPr>
            <w:tcW w:w="1234" w:type="pct"/>
            <w:hideMark/>
          </w:tcPr>
          <w:p w14:paraId="1C8FA80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w:t>
            </w:r>
          </w:p>
        </w:tc>
        <w:tc>
          <w:tcPr>
            <w:tcW w:w="1048" w:type="pct"/>
            <w:hideMark/>
          </w:tcPr>
          <w:p w14:paraId="4E2E145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58D055B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59" w:type="pct"/>
            <w:hideMark/>
          </w:tcPr>
          <w:p w14:paraId="4B74C86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0.683</w:t>
            </w:r>
          </w:p>
        </w:tc>
        <w:tc>
          <w:tcPr>
            <w:tcW w:w="638" w:type="pct"/>
            <w:hideMark/>
          </w:tcPr>
          <w:p w14:paraId="5A384A5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4.10</w:t>
            </w:r>
          </w:p>
        </w:tc>
      </w:tr>
      <w:tr w:rsidR="002D4138" w:rsidRPr="000C4557" w14:paraId="41A81CE3" w14:textId="77777777" w:rsidTr="00696095">
        <w:tc>
          <w:tcPr>
            <w:tcW w:w="1234" w:type="pct"/>
            <w:hideMark/>
          </w:tcPr>
          <w:p w14:paraId="44141F4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w:t>
            </w:r>
          </w:p>
        </w:tc>
        <w:tc>
          <w:tcPr>
            <w:tcW w:w="1048" w:type="pct"/>
            <w:hideMark/>
          </w:tcPr>
          <w:p w14:paraId="53017E2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7B50717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w:t>
            </w:r>
          </w:p>
        </w:tc>
        <w:tc>
          <w:tcPr>
            <w:tcW w:w="1059" w:type="pct"/>
            <w:hideMark/>
          </w:tcPr>
          <w:p w14:paraId="581D7B8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0.621</w:t>
            </w:r>
          </w:p>
        </w:tc>
        <w:tc>
          <w:tcPr>
            <w:tcW w:w="638" w:type="pct"/>
            <w:hideMark/>
          </w:tcPr>
          <w:p w14:paraId="7E19DFB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3.73</w:t>
            </w:r>
          </w:p>
        </w:tc>
      </w:tr>
      <w:tr w:rsidR="002D4138" w:rsidRPr="000C4557" w14:paraId="2470A55E" w14:textId="77777777" w:rsidTr="00696095">
        <w:tc>
          <w:tcPr>
            <w:tcW w:w="1234" w:type="pct"/>
            <w:hideMark/>
          </w:tcPr>
          <w:p w14:paraId="69690D4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Total PV of inflows</w:t>
            </w:r>
          </w:p>
        </w:tc>
        <w:tc>
          <w:tcPr>
            <w:tcW w:w="1048" w:type="pct"/>
            <w:hideMark/>
          </w:tcPr>
          <w:p w14:paraId="7E301ED5"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171BC5BF"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1F7DE750"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3C1FA10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22.75</w:t>
            </w:r>
          </w:p>
        </w:tc>
      </w:tr>
      <w:tr w:rsidR="002D4138" w:rsidRPr="000C4557" w14:paraId="5002B4FC" w14:textId="77777777" w:rsidTr="00696095">
        <w:tc>
          <w:tcPr>
            <w:tcW w:w="1234" w:type="pct"/>
            <w:hideMark/>
          </w:tcPr>
          <w:p w14:paraId="1084C03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NPV (£m)</w:t>
            </w:r>
          </w:p>
        </w:tc>
        <w:tc>
          <w:tcPr>
            <w:tcW w:w="1048" w:type="pct"/>
            <w:hideMark/>
          </w:tcPr>
          <w:p w14:paraId="4FCFF419"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77D43A4C"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23CD5FEF"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18E6241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–7.25</w:t>
            </w:r>
          </w:p>
        </w:tc>
      </w:tr>
      <w:tr w:rsidR="002D4138" w:rsidRPr="000C4557" w14:paraId="7412EC44" w14:textId="77777777" w:rsidTr="00696095">
        <w:tc>
          <w:tcPr>
            <w:tcW w:w="1234" w:type="pct"/>
            <w:hideMark/>
          </w:tcPr>
          <w:p w14:paraId="12E5F75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Payback Period</w:t>
            </w:r>
          </w:p>
        </w:tc>
        <w:tc>
          <w:tcPr>
            <w:tcW w:w="1048" w:type="pct"/>
            <w:hideMark/>
          </w:tcPr>
          <w:p w14:paraId="1B4ED5F8"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3A734D42"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74679F5C"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6598A1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5.0 years</w:t>
            </w:r>
          </w:p>
        </w:tc>
      </w:tr>
      <w:tr w:rsidR="002D4138" w:rsidRPr="000C4557" w14:paraId="34ADDF4D" w14:textId="77777777" w:rsidTr="00696095">
        <w:tc>
          <w:tcPr>
            <w:tcW w:w="1234" w:type="pct"/>
            <w:hideMark/>
          </w:tcPr>
          <w:p w14:paraId="14FEE61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ARR</w:t>
            </w:r>
          </w:p>
        </w:tc>
        <w:tc>
          <w:tcPr>
            <w:tcW w:w="1048" w:type="pct"/>
            <w:hideMark/>
          </w:tcPr>
          <w:p w14:paraId="11CDBDBA"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1CF432FB"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5F5499AE"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B98818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0.0%</w:t>
            </w:r>
          </w:p>
        </w:tc>
      </w:tr>
      <w:tr w:rsidR="002D4138" w:rsidRPr="000C4557" w14:paraId="2BA72103" w14:textId="77777777" w:rsidTr="00696095">
        <w:tc>
          <w:tcPr>
            <w:tcW w:w="1234" w:type="pct"/>
            <w:hideMark/>
          </w:tcPr>
          <w:p w14:paraId="0D5C5CD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PI</w:t>
            </w:r>
          </w:p>
        </w:tc>
        <w:tc>
          <w:tcPr>
            <w:tcW w:w="1048" w:type="pct"/>
            <w:hideMark/>
          </w:tcPr>
          <w:p w14:paraId="2B62BC70"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05E3D2BB"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101812B3"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06920A7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0.76</w:t>
            </w:r>
          </w:p>
        </w:tc>
      </w:tr>
      <w:tr w:rsidR="002D4138" w:rsidRPr="000C4557" w14:paraId="208DA038" w14:textId="77777777" w:rsidTr="00696095">
        <w:tc>
          <w:tcPr>
            <w:tcW w:w="1234" w:type="pct"/>
            <w:hideMark/>
          </w:tcPr>
          <w:p w14:paraId="45AA3E0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IRR</w:t>
            </w:r>
          </w:p>
        </w:tc>
        <w:tc>
          <w:tcPr>
            <w:tcW w:w="1048" w:type="pct"/>
            <w:hideMark/>
          </w:tcPr>
          <w:p w14:paraId="2F19F5B2"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11F38A21"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4706CD02"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6AF3A85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≈3.5%</w:t>
            </w:r>
          </w:p>
        </w:tc>
      </w:tr>
    </w:tbl>
    <w:p w14:paraId="74484800" w14:textId="77777777" w:rsidR="002D4138" w:rsidRDefault="002D4138" w:rsidP="002D4138">
      <w:pPr>
        <w:spacing w:line="360" w:lineRule="auto"/>
        <w:jc w:val="both"/>
        <w:rPr>
          <w:rFonts w:ascii="Times New Roman" w:hAnsi="Times New Roman" w:cs="Times New Roman"/>
          <w:lang w:val="en-US"/>
        </w:rPr>
      </w:pPr>
    </w:p>
    <w:p w14:paraId="13FF2908"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lastRenderedPageBreak/>
        <w:t>Project B is not performing well based on all capital budgeting criteria and it must be rejected. There is a slow rate of payback period that is five years, which increases the risk of liquidity. There is no Accounting Rate of Return as no accounting profit is made by annual cash receipts that will be limited to depreciation. It is particularly worrying for a company that has reduced retained earnings and operating losses. At -7.25m the Net Present Value is quite negative, and this indicates a wiping out of the shareholder value. The confirmation that under capital rationing there is inefficiency is the Profitability Index of 0.76 since each pound of investment is equated to 76 pence in the value of the present value. It has a pathetic IRR of approximately 3.5% compared to the 10 percent discount rate which fails to carry the risk to the investors.</w:t>
      </w:r>
    </w:p>
    <w:p w14:paraId="3ED5C34A"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t>Unlike project B, which has foreseeable and steady cash-flows, this amount of predictability is enough only under the conditions of poor returns. As the firm has reduced its financial performance, investing in the projects on the capital basis should be aimed at enhancing profitability and liquidity of the firm. Another effect of furthering Project B would strangle the financial resources without contributing to the recovery effort. Project B cannot even be justified even under the scenario of a drastic risk aversion as its economic performance is poor. It fails to augment shareholder value and long-term strategic process. Accordingly, Project B cannot be considered in any way.</w:t>
      </w:r>
    </w:p>
    <w:p w14:paraId="29B1CE3E" w14:textId="77777777" w:rsidR="002D4138" w:rsidRPr="000C4557" w:rsidRDefault="002D4138" w:rsidP="002D6195">
      <w:pPr>
        <w:pStyle w:val="Heading2"/>
        <w:rPr>
          <w:lang w:val="en-US"/>
        </w:rPr>
      </w:pPr>
      <w:bookmarkStart w:id="16" w:name="_Toc216952176"/>
      <w:r>
        <w:rPr>
          <w:lang w:val="en-US"/>
        </w:rPr>
        <w:t xml:space="preserve">4.3 </w:t>
      </w:r>
      <w:r w:rsidRPr="000C4557">
        <w:rPr>
          <w:lang w:val="en-US"/>
        </w:rPr>
        <w:t>Project C: Capital Budgeting Calculations (10% Discount Rate)</w:t>
      </w:r>
      <w:bookmarkEnd w:id="16"/>
    </w:p>
    <w:tbl>
      <w:tblPr>
        <w:tblStyle w:val="TableGrid"/>
        <w:tblW w:w="5000" w:type="pct"/>
        <w:tblLook w:val="04A0" w:firstRow="1" w:lastRow="0" w:firstColumn="1" w:lastColumn="0" w:noHBand="0" w:noVBand="1"/>
      </w:tblPr>
      <w:tblGrid>
        <w:gridCol w:w="2308"/>
        <w:gridCol w:w="1960"/>
        <w:gridCol w:w="1909"/>
        <w:gridCol w:w="1980"/>
        <w:gridCol w:w="1193"/>
      </w:tblGrid>
      <w:tr w:rsidR="002D4138" w:rsidRPr="000C4557" w14:paraId="21E97083" w14:textId="77777777" w:rsidTr="00696095">
        <w:tc>
          <w:tcPr>
            <w:tcW w:w="1234" w:type="pct"/>
            <w:hideMark/>
          </w:tcPr>
          <w:p w14:paraId="2541EAA1"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Year</w:t>
            </w:r>
          </w:p>
        </w:tc>
        <w:tc>
          <w:tcPr>
            <w:tcW w:w="1048" w:type="pct"/>
            <w:hideMark/>
          </w:tcPr>
          <w:p w14:paraId="6CD2EE9D"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Cash Flow (£m)</w:t>
            </w:r>
          </w:p>
        </w:tc>
        <w:tc>
          <w:tcPr>
            <w:tcW w:w="1021" w:type="pct"/>
            <w:hideMark/>
          </w:tcPr>
          <w:p w14:paraId="7318EBDA"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Cumulative CF</w:t>
            </w:r>
          </w:p>
        </w:tc>
        <w:tc>
          <w:tcPr>
            <w:tcW w:w="1059" w:type="pct"/>
            <w:hideMark/>
          </w:tcPr>
          <w:p w14:paraId="1E1CFCEA"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Discount Factor</w:t>
            </w:r>
          </w:p>
        </w:tc>
        <w:tc>
          <w:tcPr>
            <w:tcW w:w="638" w:type="pct"/>
            <w:hideMark/>
          </w:tcPr>
          <w:p w14:paraId="591F5414"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PV (£m)</w:t>
            </w:r>
          </w:p>
        </w:tc>
      </w:tr>
      <w:tr w:rsidR="002D4138" w:rsidRPr="000C4557" w14:paraId="004877E4" w14:textId="77777777" w:rsidTr="00696095">
        <w:tc>
          <w:tcPr>
            <w:tcW w:w="1234" w:type="pct"/>
            <w:hideMark/>
          </w:tcPr>
          <w:p w14:paraId="138E24F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w:t>
            </w:r>
          </w:p>
        </w:tc>
        <w:tc>
          <w:tcPr>
            <w:tcW w:w="1048" w:type="pct"/>
            <w:hideMark/>
          </w:tcPr>
          <w:p w14:paraId="4F2DB7C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(50)</w:t>
            </w:r>
          </w:p>
        </w:tc>
        <w:tc>
          <w:tcPr>
            <w:tcW w:w="1021" w:type="pct"/>
            <w:hideMark/>
          </w:tcPr>
          <w:p w14:paraId="27EF49A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(50)</w:t>
            </w:r>
          </w:p>
        </w:tc>
        <w:tc>
          <w:tcPr>
            <w:tcW w:w="1059" w:type="pct"/>
            <w:hideMark/>
          </w:tcPr>
          <w:p w14:paraId="21E9135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1.000</w:t>
            </w:r>
          </w:p>
        </w:tc>
        <w:tc>
          <w:tcPr>
            <w:tcW w:w="638" w:type="pct"/>
            <w:hideMark/>
          </w:tcPr>
          <w:p w14:paraId="0596ABC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(50.00)</w:t>
            </w:r>
          </w:p>
        </w:tc>
      </w:tr>
      <w:tr w:rsidR="002D4138" w:rsidRPr="000C4557" w14:paraId="391C03A8" w14:textId="77777777" w:rsidTr="00696095">
        <w:tc>
          <w:tcPr>
            <w:tcW w:w="1234" w:type="pct"/>
            <w:hideMark/>
          </w:tcPr>
          <w:p w14:paraId="772C18B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w:t>
            </w:r>
          </w:p>
        </w:tc>
        <w:tc>
          <w:tcPr>
            <w:tcW w:w="1048" w:type="pct"/>
            <w:hideMark/>
          </w:tcPr>
          <w:p w14:paraId="71BC980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w:t>
            </w:r>
          </w:p>
        </w:tc>
        <w:tc>
          <w:tcPr>
            <w:tcW w:w="1021" w:type="pct"/>
            <w:hideMark/>
          </w:tcPr>
          <w:p w14:paraId="6B21C06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(45)</w:t>
            </w:r>
          </w:p>
        </w:tc>
        <w:tc>
          <w:tcPr>
            <w:tcW w:w="1059" w:type="pct"/>
            <w:hideMark/>
          </w:tcPr>
          <w:p w14:paraId="08DE0FC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0.909</w:t>
            </w:r>
          </w:p>
        </w:tc>
        <w:tc>
          <w:tcPr>
            <w:tcW w:w="638" w:type="pct"/>
            <w:hideMark/>
          </w:tcPr>
          <w:p w14:paraId="4A0EE96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4.55</w:t>
            </w:r>
          </w:p>
        </w:tc>
      </w:tr>
      <w:tr w:rsidR="002D4138" w:rsidRPr="000C4557" w14:paraId="092CC5AC" w14:textId="77777777" w:rsidTr="00696095">
        <w:tc>
          <w:tcPr>
            <w:tcW w:w="1234" w:type="pct"/>
            <w:hideMark/>
          </w:tcPr>
          <w:p w14:paraId="02C5209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w:t>
            </w:r>
          </w:p>
        </w:tc>
        <w:tc>
          <w:tcPr>
            <w:tcW w:w="1048" w:type="pct"/>
            <w:hideMark/>
          </w:tcPr>
          <w:p w14:paraId="5F7F410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c>
          <w:tcPr>
            <w:tcW w:w="1021" w:type="pct"/>
            <w:hideMark/>
          </w:tcPr>
          <w:p w14:paraId="2FEE880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(35)</w:t>
            </w:r>
          </w:p>
        </w:tc>
        <w:tc>
          <w:tcPr>
            <w:tcW w:w="1059" w:type="pct"/>
            <w:hideMark/>
          </w:tcPr>
          <w:p w14:paraId="6CE5674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0.826</w:t>
            </w:r>
          </w:p>
        </w:tc>
        <w:tc>
          <w:tcPr>
            <w:tcW w:w="638" w:type="pct"/>
            <w:hideMark/>
          </w:tcPr>
          <w:p w14:paraId="37B72C5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8.26</w:t>
            </w:r>
          </w:p>
        </w:tc>
      </w:tr>
      <w:tr w:rsidR="002D4138" w:rsidRPr="000C4557" w14:paraId="11194540" w14:textId="77777777" w:rsidTr="00696095">
        <w:tc>
          <w:tcPr>
            <w:tcW w:w="1234" w:type="pct"/>
            <w:hideMark/>
          </w:tcPr>
          <w:p w14:paraId="15A8169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w:t>
            </w:r>
          </w:p>
        </w:tc>
        <w:tc>
          <w:tcPr>
            <w:tcW w:w="1048" w:type="pct"/>
            <w:hideMark/>
          </w:tcPr>
          <w:p w14:paraId="6C76DCF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20</w:t>
            </w:r>
          </w:p>
        </w:tc>
        <w:tc>
          <w:tcPr>
            <w:tcW w:w="1021" w:type="pct"/>
            <w:hideMark/>
          </w:tcPr>
          <w:p w14:paraId="2708E31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(15)</w:t>
            </w:r>
          </w:p>
        </w:tc>
        <w:tc>
          <w:tcPr>
            <w:tcW w:w="1059" w:type="pct"/>
            <w:hideMark/>
          </w:tcPr>
          <w:p w14:paraId="1AFC31D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0.751</w:t>
            </w:r>
          </w:p>
        </w:tc>
        <w:tc>
          <w:tcPr>
            <w:tcW w:w="638" w:type="pct"/>
            <w:hideMark/>
          </w:tcPr>
          <w:p w14:paraId="5810A1B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15.02</w:t>
            </w:r>
          </w:p>
        </w:tc>
      </w:tr>
      <w:tr w:rsidR="002D4138" w:rsidRPr="000C4557" w14:paraId="76184714" w14:textId="77777777" w:rsidTr="00696095">
        <w:tc>
          <w:tcPr>
            <w:tcW w:w="1234" w:type="pct"/>
            <w:hideMark/>
          </w:tcPr>
          <w:p w14:paraId="1182523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w:t>
            </w:r>
          </w:p>
        </w:tc>
        <w:tc>
          <w:tcPr>
            <w:tcW w:w="1048" w:type="pct"/>
            <w:hideMark/>
          </w:tcPr>
          <w:p w14:paraId="4F98B0A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25</w:t>
            </w:r>
          </w:p>
        </w:tc>
        <w:tc>
          <w:tcPr>
            <w:tcW w:w="1021" w:type="pct"/>
            <w:hideMark/>
          </w:tcPr>
          <w:p w14:paraId="2FBE5BC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c>
          <w:tcPr>
            <w:tcW w:w="1059" w:type="pct"/>
            <w:hideMark/>
          </w:tcPr>
          <w:p w14:paraId="34D48C7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0.683</w:t>
            </w:r>
          </w:p>
        </w:tc>
        <w:tc>
          <w:tcPr>
            <w:tcW w:w="638" w:type="pct"/>
            <w:hideMark/>
          </w:tcPr>
          <w:p w14:paraId="591E2FB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17.08</w:t>
            </w:r>
          </w:p>
        </w:tc>
      </w:tr>
      <w:tr w:rsidR="002D4138" w:rsidRPr="000C4557" w14:paraId="499CAE76" w14:textId="77777777" w:rsidTr="00696095">
        <w:tc>
          <w:tcPr>
            <w:tcW w:w="1234" w:type="pct"/>
            <w:hideMark/>
          </w:tcPr>
          <w:p w14:paraId="1C6BC9C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w:t>
            </w:r>
          </w:p>
        </w:tc>
        <w:tc>
          <w:tcPr>
            <w:tcW w:w="1048" w:type="pct"/>
            <w:hideMark/>
          </w:tcPr>
          <w:p w14:paraId="6E29509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15</w:t>
            </w:r>
          </w:p>
        </w:tc>
        <w:tc>
          <w:tcPr>
            <w:tcW w:w="1021" w:type="pct"/>
            <w:hideMark/>
          </w:tcPr>
          <w:p w14:paraId="420523D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25</w:t>
            </w:r>
          </w:p>
        </w:tc>
        <w:tc>
          <w:tcPr>
            <w:tcW w:w="1059" w:type="pct"/>
            <w:hideMark/>
          </w:tcPr>
          <w:p w14:paraId="5A3BF20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0.621</w:t>
            </w:r>
          </w:p>
        </w:tc>
        <w:tc>
          <w:tcPr>
            <w:tcW w:w="638" w:type="pct"/>
            <w:hideMark/>
          </w:tcPr>
          <w:p w14:paraId="48C1B07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9.32</w:t>
            </w:r>
          </w:p>
        </w:tc>
      </w:tr>
      <w:tr w:rsidR="002D4138" w:rsidRPr="000C4557" w14:paraId="3137C052" w14:textId="77777777" w:rsidTr="00696095">
        <w:tc>
          <w:tcPr>
            <w:tcW w:w="1234" w:type="pct"/>
            <w:hideMark/>
          </w:tcPr>
          <w:p w14:paraId="1ADDB2C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Total PV of inflows</w:t>
            </w:r>
          </w:p>
        </w:tc>
        <w:tc>
          <w:tcPr>
            <w:tcW w:w="1048" w:type="pct"/>
            <w:hideMark/>
          </w:tcPr>
          <w:p w14:paraId="4620EBFD"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780A255E"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38488CE5"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52520FD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54.23</w:t>
            </w:r>
          </w:p>
        </w:tc>
      </w:tr>
      <w:tr w:rsidR="002D4138" w:rsidRPr="000C4557" w14:paraId="500FEE10" w14:textId="77777777" w:rsidTr="00696095">
        <w:tc>
          <w:tcPr>
            <w:tcW w:w="1234" w:type="pct"/>
            <w:hideMark/>
          </w:tcPr>
          <w:p w14:paraId="42D9C94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lastRenderedPageBreak/>
              <w:t>NPV (£m)</w:t>
            </w:r>
          </w:p>
        </w:tc>
        <w:tc>
          <w:tcPr>
            <w:tcW w:w="1048" w:type="pct"/>
            <w:hideMark/>
          </w:tcPr>
          <w:p w14:paraId="380A96AF"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094389C6"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7F092E5E"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1E44CA4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+4.23</w:t>
            </w:r>
          </w:p>
        </w:tc>
      </w:tr>
      <w:tr w:rsidR="002D4138" w:rsidRPr="000C4557" w14:paraId="6D056CF7" w14:textId="77777777" w:rsidTr="00696095">
        <w:tc>
          <w:tcPr>
            <w:tcW w:w="1234" w:type="pct"/>
            <w:hideMark/>
          </w:tcPr>
          <w:p w14:paraId="0E2CBC7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Payback Period</w:t>
            </w:r>
          </w:p>
        </w:tc>
        <w:tc>
          <w:tcPr>
            <w:tcW w:w="1048" w:type="pct"/>
            <w:hideMark/>
          </w:tcPr>
          <w:p w14:paraId="65472D92"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76AC1C0B"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43BCC250"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3B775BB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3.6 years</w:t>
            </w:r>
          </w:p>
        </w:tc>
      </w:tr>
      <w:tr w:rsidR="002D4138" w:rsidRPr="000C4557" w14:paraId="3EA335A7" w14:textId="77777777" w:rsidTr="00696095">
        <w:tc>
          <w:tcPr>
            <w:tcW w:w="1234" w:type="pct"/>
            <w:hideMark/>
          </w:tcPr>
          <w:p w14:paraId="04322D8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ARR</w:t>
            </w:r>
          </w:p>
        </w:tc>
        <w:tc>
          <w:tcPr>
            <w:tcW w:w="1048" w:type="pct"/>
            <w:hideMark/>
          </w:tcPr>
          <w:p w14:paraId="14086563"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2126514C"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56098B47"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731054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20.0%</w:t>
            </w:r>
          </w:p>
        </w:tc>
      </w:tr>
      <w:tr w:rsidR="002D4138" w:rsidRPr="000C4557" w14:paraId="49F592DA" w14:textId="77777777" w:rsidTr="00696095">
        <w:tc>
          <w:tcPr>
            <w:tcW w:w="1234" w:type="pct"/>
            <w:hideMark/>
          </w:tcPr>
          <w:p w14:paraId="164E138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PI</w:t>
            </w:r>
          </w:p>
        </w:tc>
        <w:tc>
          <w:tcPr>
            <w:tcW w:w="1048" w:type="pct"/>
            <w:hideMark/>
          </w:tcPr>
          <w:p w14:paraId="4C4EC215"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04787C65"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1D48DD39"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0F5BA5D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1.08</w:t>
            </w:r>
          </w:p>
        </w:tc>
      </w:tr>
      <w:tr w:rsidR="002D4138" w:rsidRPr="000C4557" w14:paraId="69015B03" w14:textId="77777777" w:rsidTr="00696095">
        <w:tc>
          <w:tcPr>
            <w:tcW w:w="1234" w:type="pct"/>
            <w:hideMark/>
          </w:tcPr>
          <w:p w14:paraId="6D0F910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IRR</w:t>
            </w:r>
          </w:p>
        </w:tc>
        <w:tc>
          <w:tcPr>
            <w:tcW w:w="1048" w:type="pct"/>
            <w:hideMark/>
          </w:tcPr>
          <w:p w14:paraId="093CBA74"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79C9AB0F"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48B4641F"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B71D4E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≈13.8%</w:t>
            </w:r>
          </w:p>
        </w:tc>
      </w:tr>
    </w:tbl>
    <w:p w14:paraId="740D6BA9" w14:textId="77777777" w:rsidR="002D4138" w:rsidRDefault="002D4138" w:rsidP="002D4138">
      <w:pPr>
        <w:spacing w:line="360" w:lineRule="auto"/>
        <w:jc w:val="both"/>
        <w:rPr>
          <w:rFonts w:ascii="Times New Roman" w:hAnsi="Times New Roman" w:cs="Times New Roman"/>
          <w:lang w:val="en-US"/>
        </w:rPr>
      </w:pPr>
    </w:p>
    <w:p w14:paraId="41E82FF9"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t xml:space="preserve">Project C will be the most financially ideal project since its initial investment, initial and constant cash flows are more, and are volatile. It has a good payback period of 3.6 years with the amount of cash revenue at the start of the year being low. The Accounting Rate of Return for all the projects is extremely high, that is 20 hence an accounting profitability level of 20 percent. The Net Present Value of the liquidity of the project has shown shareholder value generation, The profitability Index of 1.08 has placed Project C as the most effective utilization of the available capital considering the rationing constraints. The risk-adjusted return is high with IRR of approximately 13.8, which is quite excessive compared to the discount rate. </w:t>
      </w:r>
    </w:p>
    <w:p w14:paraId="03854DC9"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t>This is offset with high returns in as much as Project C has slow and irregular cash flows. There is adequate liquidity position of the firm to absorb initial cash losses and later high cash flows are associated with medium term recovery objectives. The project C produces maximum contribution to financial turnaround due to the deteriorating profitability and re-establishing the equity value. This could be explained by the fact that the company is restructuring, and such long-term strategic needs require it to be volatile.</w:t>
      </w:r>
    </w:p>
    <w:p w14:paraId="2C05C1D5" w14:textId="77777777" w:rsidR="002D4138" w:rsidRPr="000C4557" w:rsidRDefault="002D4138" w:rsidP="002D4138">
      <w:pPr>
        <w:spacing w:line="360" w:lineRule="auto"/>
        <w:jc w:val="both"/>
        <w:rPr>
          <w:rFonts w:ascii="Times New Roman" w:hAnsi="Times New Roman" w:cs="Times New Roman"/>
          <w:b/>
          <w:bCs/>
          <w:lang w:val="en-US"/>
        </w:rPr>
      </w:pPr>
      <w:r w:rsidRPr="000C4557">
        <w:rPr>
          <w:rFonts w:ascii="Times New Roman" w:hAnsi="Times New Roman" w:cs="Times New Roman"/>
          <w:b/>
          <w:bCs/>
          <w:lang w:val="en-US"/>
        </w:rPr>
        <w:t>Discount Rate and Depreciation Assumptions</w:t>
      </w:r>
    </w:p>
    <w:tbl>
      <w:tblPr>
        <w:tblStyle w:val="TableGrid"/>
        <w:tblW w:w="5000" w:type="pct"/>
        <w:tblLook w:val="04A0" w:firstRow="1" w:lastRow="0" w:firstColumn="1" w:lastColumn="0" w:noHBand="0" w:noVBand="1"/>
      </w:tblPr>
      <w:tblGrid>
        <w:gridCol w:w="4782"/>
        <w:gridCol w:w="4568"/>
      </w:tblGrid>
      <w:tr w:rsidR="002D4138" w:rsidRPr="000C4557" w14:paraId="3D7E02ED" w14:textId="77777777" w:rsidTr="00696095">
        <w:tc>
          <w:tcPr>
            <w:tcW w:w="2557" w:type="pct"/>
            <w:hideMark/>
          </w:tcPr>
          <w:p w14:paraId="73E9C97D"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Assumption</w:t>
            </w:r>
          </w:p>
        </w:tc>
        <w:tc>
          <w:tcPr>
            <w:tcW w:w="2443" w:type="pct"/>
            <w:hideMark/>
          </w:tcPr>
          <w:p w14:paraId="6AE3BAB1"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Value</w:t>
            </w:r>
          </w:p>
        </w:tc>
      </w:tr>
      <w:tr w:rsidR="002D4138" w:rsidRPr="000C4557" w14:paraId="0387AD9E" w14:textId="77777777" w:rsidTr="00696095">
        <w:tc>
          <w:tcPr>
            <w:tcW w:w="2557" w:type="pct"/>
            <w:hideMark/>
          </w:tcPr>
          <w:p w14:paraId="264303D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Discount rate</w:t>
            </w:r>
          </w:p>
        </w:tc>
        <w:tc>
          <w:tcPr>
            <w:tcW w:w="2443" w:type="pct"/>
            <w:hideMark/>
          </w:tcPr>
          <w:p w14:paraId="73F7C68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r>
      <w:tr w:rsidR="002D4138" w:rsidRPr="000C4557" w14:paraId="6765BD28" w14:textId="77777777" w:rsidTr="00696095">
        <w:tc>
          <w:tcPr>
            <w:tcW w:w="2557" w:type="pct"/>
            <w:hideMark/>
          </w:tcPr>
          <w:p w14:paraId="071C3D0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Depreciation method</w:t>
            </w:r>
          </w:p>
        </w:tc>
        <w:tc>
          <w:tcPr>
            <w:tcW w:w="2443" w:type="pct"/>
            <w:hideMark/>
          </w:tcPr>
          <w:p w14:paraId="615DD29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Straight-line to zero</w:t>
            </w:r>
          </w:p>
        </w:tc>
      </w:tr>
      <w:tr w:rsidR="002D4138" w:rsidRPr="000C4557" w14:paraId="44050373" w14:textId="77777777" w:rsidTr="00696095">
        <w:tc>
          <w:tcPr>
            <w:tcW w:w="2557" w:type="pct"/>
            <w:hideMark/>
          </w:tcPr>
          <w:p w14:paraId="4516857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Project life</w:t>
            </w:r>
          </w:p>
        </w:tc>
        <w:tc>
          <w:tcPr>
            <w:tcW w:w="2443" w:type="pct"/>
            <w:hideMark/>
          </w:tcPr>
          <w:p w14:paraId="0C0C041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 years</w:t>
            </w:r>
          </w:p>
        </w:tc>
      </w:tr>
      <w:tr w:rsidR="002D4138" w:rsidRPr="000C4557" w14:paraId="75BDDDCE" w14:textId="77777777" w:rsidTr="00696095">
        <w:tc>
          <w:tcPr>
            <w:tcW w:w="2557" w:type="pct"/>
            <w:hideMark/>
          </w:tcPr>
          <w:p w14:paraId="0F62359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lastRenderedPageBreak/>
              <w:t>Residual value</w:t>
            </w:r>
          </w:p>
        </w:tc>
        <w:tc>
          <w:tcPr>
            <w:tcW w:w="2443" w:type="pct"/>
            <w:hideMark/>
          </w:tcPr>
          <w:p w14:paraId="45AF6B8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Nil</w:t>
            </w:r>
          </w:p>
        </w:tc>
      </w:tr>
    </w:tbl>
    <w:p w14:paraId="0FF32305" w14:textId="77777777" w:rsidR="002D4138" w:rsidRDefault="002D4138" w:rsidP="002D4138">
      <w:pPr>
        <w:spacing w:line="360" w:lineRule="auto"/>
        <w:jc w:val="both"/>
        <w:rPr>
          <w:rFonts w:ascii="Times New Roman" w:hAnsi="Times New Roman" w:cs="Times New Roman"/>
          <w:lang w:val="en-US"/>
        </w:rPr>
      </w:pPr>
    </w:p>
    <w:p w14:paraId="7D9341F7" w14:textId="77777777" w:rsidR="002D4138" w:rsidRDefault="002D4138" w:rsidP="002D4138">
      <w:pPr>
        <w:spacing w:line="360" w:lineRule="auto"/>
        <w:jc w:val="both"/>
        <w:rPr>
          <w:rFonts w:ascii="Times New Roman" w:hAnsi="Times New Roman" w:cs="Times New Roman"/>
        </w:rPr>
      </w:pPr>
      <w:r w:rsidRPr="000C4557">
        <w:rPr>
          <w:rFonts w:ascii="Times New Roman" w:hAnsi="Times New Roman" w:cs="Times New Roman"/>
        </w:rPr>
        <w:t>The cost of capital in this firm once the firm increases the financial risk is 10 percent discount rate. Under straight-line depreciation, calculating ARR is not so difficult, and usage of the asset is exhaustive. These assumptions give comparability of projects as well as enable the conservativeness of management of finances in restructuring. The capital rationing is on one project which is a choice. Project C is the one with the highest NPV and PI, so it is the most appropriate to be utilized. Since profitability and liquidity are headed downwards, Project C is the best one to guarantee the long-term recovery even though volatility is higher. Project A is secondary, whereas Project B needs to be rejected.</w:t>
      </w:r>
    </w:p>
    <w:p w14:paraId="1556A80E" w14:textId="77777777" w:rsidR="002D4138" w:rsidRPr="000C4557" w:rsidRDefault="002D4138" w:rsidP="002D6195">
      <w:pPr>
        <w:pStyle w:val="Heading2"/>
      </w:pPr>
      <w:bookmarkStart w:id="17" w:name="_Toc216952177"/>
      <w:r>
        <w:t xml:space="preserve">4.4 </w:t>
      </w:r>
      <w:r w:rsidRPr="000C4557">
        <w:t>Recommendation With Reference to the Company’s Financial Performance</w:t>
      </w:r>
      <w:bookmarkEnd w:id="17"/>
    </w:p>
    <w:p w14:paraId="3879D65C" w14:textId="77777777" w:rsidR="002D4138" w:rsidRPr="000C4557" w:rsidRDefault="002D4138" w:rsidP="002D4138">
      <w:pPr>
        <w:spacing w:line="360" w:lineRule="auto"/>
        <w:jc w:val="both"/>
        <w:rPr>
          <w:rFonts w:ascii="Times New Roman" w:hAnsi="Times New Roman" w:cs="Times New Roman"/>
        </w:rPr>
      </w:pPr>
      <w:r w:rsidRPr="000C4557">
        <w:rPr>
          <w:rFonts w:ascii="Times New Roman" w:hAnsi="Times New Roman" w:cs="Times New Roman"/>
        </w:rPr>
        <w:t>Relative comparison of the Projects A, B and C determines the pivotal position of the discounted cash flow methods, particularly, the Net Present Value, in making quality investments. The NPV is believed to be the most theoretically correct criterion as this is the method that directly evaluates the value creation by discounting future cash flows at the cost of capital within a firm (Shou, 2022; Dobrowolski and Drozdowski, 2022). In this analysis, Projects A and C have positive NPVs but Project B has negative NPV that is very high and this is a destruction of value. This is in line with the argument that projects with good NPVs should be given priority especially among firms that lack finances. It is also revealed in the findings that non-discounted measures such as payback may not help to capture interest creation in the long-term in terms of later cash flows.</w:t>
      </w:r>
    </w:p>
    <w:p w14:paraId="352166E2" w14:textId="77777777" w:rsidR="002D4138" w:rsidRPr="000C4557" w:rsidRDefault="002D4138" w:rsidP="002D4138">
      <w:pPr>
        <w:spacing w:line="360" w:lineRule="auto"/>
        <w:jc w:val="both"/>
        <w:rPr>
          <w:rFonts w:ascii="Times New Roman" w:hAnsi="Times New Roman" w:cs="Times New Roman"/>
        </w:rPr>
      </w:pPr>
      <w:r w:rsidRPr="000C4557">
        <w:rPr>
          <w:rFonts w:ascii="Times New Roman" w:hAnsi="Times New Roman" w:cs="Times New Roman"/>
        </w:rPr>
        <w:t xml:space="preserve">This also shows that there are strong and weak sides of both forms of appraisals by comparing NPV, IRR, ARR and Payback Period. Even though the cutoff point and the time value of money cannot be considered, the payback period provides one effective information about the liquidity risk but does not incorporate the cash flows after cutoff point (Dai et al., 2022). This weakness is manifested as in Project C by delayed and substantial inflows that are underpriced on Payback as well as all the prices on NPV and IRR. Calculated using accounting profits ARR is extremely simple to compute but influenced by the assumptions made regarding depreciation and does not show when cash flows. IRR is a simplified, quantitative, all-inclusive measure that cannot be compared when comparing mutually exclusive projects or unequal cash flows, which further </w:t>
      </w:r>
      <w:r w:rsidRPr="000C4557">
        <w:rPr>
          <w:rFonts w:ascii="Times New Roman" w:hAnsi="Times New Roman" w:cs="Times New Roman"/>
        </w:rPr>
        <w:lastRenderedPageBreak/>
        <w:t>upholds the honour of NPV as the primary mechanism of evaluation of a project (Abdelhady, 2021).</w:t>
      </w:r>
    </w:p>
    <w:p w14:paraId="5D74AF50" w14:textId="0A61987D" w:rsidR="002D6195" w:rsidRDefault="002D4138" w:rsidP="002D4138">
      <w:pPr>
        <w:spacing w:line="360" w:lineRule="auto"/>
        <w:jc w:val="both"/>
        <w:rPr>
          <w:rFonts w:ascii="Times New Roman" w:hAnsi="Times New Roman" w:cs="Times New Roman"/>
        </w:rPr>
      </w:pPr>
      <w:r w:rsidRPr="000C4557">
        <w:rPr>
          <w:rFonts w:ascii="Times New Roman" w:hAnsi="Times New Roman" w:cs="Times New Roman"/>
        </w:rPr>
        <w:t>Profitability Index and NPV are particularly important tools to be employed when the capital rationing is in effect since, they are applied to determine the value that can be generated because of per unit of capital spent. Project C has the most efficient PI therefore the most effective utilization of the limited capital. This goes in agreement with the literature that validates PI as an additional tool to NPV in restricted environments (Shou, 2022). However, it is decisions about risk and organisational context which should also be considered in the decisions to invest as well. Project C is more unpredictable in terms of cash flow, as well as its forecasting risk is larger, but the returns in this case are higher and cover the risk as well. One more great thing that this discussion shows is that this level of conceptual clarity must exist and the acronym NPV might have different meanings in different areas, including in the biological sciences (Pavan et al., 2024), hence why precision is required in financial work.</w:t>
      </w:r>
    </w:p>
    <w:p w14:paraId="5D23B5A5" w14:textId="77777777" w:rsidR="002D6195" w:rsidRDefault="002D6195">
      <w:pPr>
        <w:rPr>
          <w:rFonts w:ascii="Times New Roman" w:hAnsi="Times New Roman" w:cs="Times New Roman"/>
        </w:rPr>
      </w:pPr>
      <w:r>
        <w:rPr>
          <w:rFonts w:ascii="Times New Roman" w:hAnsi="Times New Roman" w:cs="Times New Roman"/>
        </w:rPr>
        <w:br w:type="page"/>
      </w:r>
    </w:p>
    <w:p w14:paraId="126BDD4E" w14:textId="48E9632F" w:rsidR="002D6195" w:rsidRPr="002D6195" w:rsidRDefault="002D6195" w:rsidP="002D6195">
      <w:pPr>
        <w:pStyle w:val="Heading1"/>
        <w:rPr>
          <w:lang w:val="en-US"/>
        </w:rPr>
      </w:pPr>
      <w:bookmarkStart w:id="18" w:name="_Toc216952178"/>
      <w:r w:rsidRPr="002D6195">
        <w:rPr>
          <w:lang w:val="en-US"/>
        </w:rPr>
        <w:lastRenderedPageBreak/>
        <w:t>Reference List</w:t>
      </w:r>
      <w:bookmarkEnd w:id="18"/>
    </w:p>
    <w:p w14:paraId="4F15B44E"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Abdelhady, S., 2021. Performance and cost evaluation of solar dish power plant: sensitivity analysis of levelized cost of electricity (LCOE) and net present value (NPV). </w:t>
      </w:r>
      <w:r w:rsidRPr="00785A3D">
        <w:rPr>
          <w:rFonts w:ascii="Times New Roman" w:hAnsi="Times New Roman" w:cs="Times New Roman"/>
          <w:i/>
          <w:iCs/>
          <w:lang w:val="en-US"/>
        </w:rPr>
        <w:t>Renewable Energy</w:t>
      </w:r>
      <w:r w:rsidRPr="00785A3D">
        <w:rPr>
          <w:rFonts w:ascii="Times New Roman" w:hAnsi="Times New Roman" w:cs="Times New Roman"/>
          <w:lang w:val="en-US"/>
        </w:rPr>
        <w:t>, 168, pp.332–342.</w:t>
      </w:r>
    </w:p>
    <w:p w14:paraId="0EB2EC4E"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Colliard, J.E. and Gromb, D., 2025. Financial restructuring and resolution of banks. </w:t>
      </w:r>
      <w:r w:rsidRPr="00785A3D">
        <w:rPr>
          <w:rFonts w:ascii="Times New Roman" w:hAnsi="Times New Roman" w:cs="Times New Roman"/>
          <w:i/>
          <w:iCs/>
          <w:lang w:val="en-US"/>
        </w:rPr>
        <w:t>HEC Paris Research Paper</w:t>
      </w:r>
      <w:r w:rsidRPr="00785A3D">
        <w:rPr>
          <w:rFonts w:ascii="Times New Roman" w:hAnsi="Times New Roman" w:cs="Times New Roman"/>
          <w:lang w:val="en-US"/>
        </w:rPr>
        <w:t xml:space="preserve"> No. FIN-2018-1272.</w:t>
      </w:r>
    </w:p>
    <w:p w14:paraId="01202942"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Dai, H., Li, N., Wang, Y. and Zhao, X., 2022. The analysis of three main investment criteria: NPV, IRR and payback period. In: </w:t>
      </w:r>
      <w:r w:rsidRPr="00785A3D">
        <w:rPr>
          <w:rFonts w:ascii="Times New Roman" w:hAnsi="Times New Roman" w:cs="Times New Roman"/>
          <w:i/>
          <w:iCs/>
          <w:lang w:val="en-US"/>
        </w:rPr>
        <w:t>2022 7th International Conference on Financial Innovation and Economic Development (ICFIED 2022)</w:t>
      </w:r>
      <w:r w:rsidRPr="00785A3D">
        <w:rPr>
          <w:rFonts w:ascii="Times New Roman" w:hAnsi="Times New Roman" w:cs="Times New Roman"/>
          <w:lang w:val="en-US"/>
        </w:rPr>
        <w:t>, March 2022, pp.185–189. Atlantis Press.</w:t>
      </w:r>
    </w:p>
    <w:p w14:paraId="49DB6FF0"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Dobrowolski, Z. and Drozdowski, G., 2022. Does the net present value as a financial metric fit investment in green energy security? </w:t>
      </w:r>
      <w:r w:rsidRPr="00785A3D">
        <w:rPr>
          <w:rFonts w:ascii="Times New Roman" w:hAnsi="Times New Roman" w:cs="Times New Roman"/>
          <w:i/>
          <w:iCs/>
          <w:lang w:val="en-US"/>
        </w:rPr>
        <w:t>Energies</w:t>
      </w:r>
      <w:r w:rsidRPr="00785A3D">
        <w:rPr>
          <w:rFonts w:ascii="Times New Roman" w:hAnsi="Times New Roman" w:cs="Times New Roman"/>
          <w:lang w:val="en-US"/>
        </w:rPr>
        <w:t>, 15(1), p.353.</w:t>
      </w:r>
    </w:p>
    <w:p w14:paraId="0262356A"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Herman, S., 2021. Is it worth restructuring? Analysis of companies in poor financial condition in Poland. </w:t>
      </w:r>
      <w:r w:rsidRPr="00785A3D">
        <w:rPr>
          <w:rFonts w:ascii="Times New Roman" w:hAnsi="Times New Roman" w:cs="Times New Roman"/>
          <w:i/>
          <w:iCs/>
          <w:lang w:val="en-US"/>
        </w:rPr>
        <w:t>Wiadomości Statystyczne. The Polish Statistician</w:t>
      </w:r>
      <w:r w:rsidRPr="00785A3D">
        <w:rPr>
          <w:rFonts w:ascii="Times New Roman" w:hAnsi="Times New Roman" w:cs="Times New Roman"/>
          <w:lang w:val="en-US"/>
        </w:rPr>
        <w:t>, 66(6), pp.7–26.</w:t>
      </w:r>
    </w:p>
    <w:p w14:paraId="0CA7DFAE"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Mavlutova, I., Babenko, V., Dykan, V., Prokopenko, N., Kalinichenko, S. and Tokmakova, I., 2021. Business restructuring as a method of strengthening company’s financial position. </w:t>
      </w:r>
      <w:r w:rsidRPr="00785A3D">
        <w:rPr>
          <w:rFonts w:ascii="Times New Roman" w:hAnsi="Times New Roman" w:cs="Times New Roman"/>
          <w:i/>
          <w:iCs/>
          <w:lang w:val="en-US"/>
        </w:rPr>
        <w:t>Journal of Optimization in Industrial Engineering</w:t>
      </w:r>
      <w:r w:rsidRPr="00785A3D">
        <w:rPr>
          <w:rFonts w:ascii="Times New Roman" w:hAnsi="Times New Roman" w:cs="Times New Roman"/>
          <w:lang w:val="en-US"/>
        </w:rPr>
        <w:t>, 14(1), pp.129–139.</w:t>
      </w:r>
    </w:p>
    <w:p w14:paraId="1F3CC439"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Moridu, I. and Abidin, Z., 2023. Adapting financial management strategies amidst economic turmoil: a case study of Gama Corporate's liquidity and restructuring initiative. </w:t>
      </w:r>
      <w:r w:rsidRPr="00785A3D">
        <w:rPr>
          <w:rFonts w:ascii="Times New Roman" w:hAnsi="Times New Roman" w:cs="Times New Roman"/>
          <w:i/>
          <w:iCs/>
          <w:lang w:val="en-US"/>
        </w:rPr>
        <w:t>The Eastasouth Management and Business</w:t>
      </w:r>
      <w:r w:rsidRPr="00785A3D">
        <w:rPr>
          <w:rFonts w:ascii="Times New Roman" w:hAnsi="Times New Roman" w:cs="Times New Roman"/>
          <w:lang w:val="en-US"/>
        </w:rPr>
        <w:t>, 2(1), pp.34–42.</w:t>
      </w:r>
    </w:p>
    <w:p w14:paraId="7940770A"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Njoki, K.M. and Reuben, N., 2024. The influence of financial restructuring on organizational performance at Equity Bank Kenya Limited. </w:t>
      </w:r>
      <w:r w:rsidRPr="00785A3D">
        <w:rPr>
          <w:rFonts w:ascii="Times New Roman" w:hAnsi="Times New Roman" w:cs="Times New Roman"/>
          <w:i/>
          <w:iCs/>
          <w:lang w:val="en-US"/>
        </w:rPr>
        <w:t>Journal of Finance and Accounting</w:t>
      </w:r>
      <w:r w:rsidRPr="00785A3D">
        <w:rPr>
          <w:rFonts w:ascii="Times New Roman" w:hAnsi="Times New Roman" w:cs="Times New Roman"/>
          <w:lang w:val="en-US"/>
        </w:rPr>
        <w:t>, 8(9), pp.69–79.</w:t>
      </w:r>
    </w:p>
    <w:p w14:paraId="3923C25E"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Palacín-Sánchez, M.J., Alencar-García, A. and Canto-Cuevas, F.J., 2023. Financial distress and corporate restructuring: a case study. </w:t>
      </w:r>
      <w:r w:rsidRPr="00785A3D">
        <w:rPr>
          <w:rFonts w:ascii="Times New Roman" w:hAnsi="Times New Roman" w:cs="Times New Roman"/>
          <w:i/>
          <w:iCs/>
          <w:lang w:val="en-US"/>
        </w:rPr>
        <w:t>Cuadernos de Gestión</w:t>
      </w:r>
      <w:r w:rsidRPr="00785A3D">
        <w:rPr>
          <w:rFonts w:ascii="Times New Roman" w:hAnsi="Times New Roman" w:cs="Times New Roman"/>
          <w:lang w:val="en-US"/>
        </w:rPr>
        <w:t>, 23(2), pp.81–91.</w:t>
      </w:r>
    </w:p>
    <w:p w14:paraId="2BE45875"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Pavan, J.S., Patel, N.B., Raghunandan, B.L., Baldaniya, A.M. and Bhatt, N.A., 2024. Comparative efficacy of nucleopolyhedrovirus (NPV) alone and in conjunction with chemical insecticides against fall armyworm, </w:t>
      </w:r>
      <w:r w:rsidRPr="00785A3D">
        <w:rPr>
          <w:rFonts w:ascii="Times New Roman" w:hAnsi="Times New Roman" w:cs="Times New Roman"/>
          <w:i/>
          <w:iCs/>
          <w:lang w:val="en-US"/>
        </w:rPr>
        <w:t>Spodoptera frugiperda</w:t>
      </w:r>
      <w:r w:rsidRPr="00785A3D">
        <w:rPr>
          <w:rFonts w:ascii="Times New Roman" w:hAnsi="Times New Roman" w:cs="Times New Roman"/>
          <w:lang w:val="en-US"/>
        </w:rPr>
        <w:t xml:space="preserve"> (JE Smith)(Noctuidae: Lepidoptera) under laboratory conditions. </w:t>
      </w:r>
      <w:r w:rsidRPr="00785A3D">
        <w:rPr>
          <w:rFonts w:ascii="Times New Roman" w:hAnsi="Times New Roman" w:cs="Times New Roman"/>
          <w:i/>
          <w:iCs/>
          <w:lang w:val="en-US"/>
        </w:rPr>
        <w:t>International Journal of Tropical Insect Science</w:t>
      </w:r>
      <w:r w:rsidRPr="00785A3D">
        <w:rPr>
          <w:rFonts w:ascii="Times New Roman" w:hAnsi="Times New Roman" w:cs="Times New Roman"/>
          <w:lang w:val="en-US"/>
        </w:rPr>
        <w:t>, 44(3), pp.1475–1486.</w:t>
      </w:r>
    </w:p>
    <w:p w14:paraId="72223ED7"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lastRenderedPageBreak/>
        <w:t xml:space="preserve">Sadeq, A.A., 2023. Financial restructuring of distressed businesses under the new Kuwaiti Bankruptcy Law No. 71 of 2020: a comparative and critical study. </w:t>
      </w:r>
      <w:r w:rsidRPr="00785A3D">
        <w:rPr>
          <w:rFonts w:ascii="Times New Roman" w:hAnsi="Times New Roman" w:cs="Times New Roman"/>
          <w:i/>
          <w:iCs/>
          <w:lang w:val="en-US"/>
        </w:rPr>
        <w:t>Law International Journal</w:t>
      </w:r>
      <w:r w:rsidRPr="00785A3D">
        <w:rPr>
          <w:rFonts w:ascii="Times New Roman" w:hAnsi="Times New Roman" w:cs="Times New Roman"/>
          <w:lang w:val="en-US"/>
        </w:rPr>
        <w:t>, 0(0), p.164.</w:t>
      </w:r>
    </w:p>
    <w:p w14:paraId="26D1C31B"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Shou, T., 2022. A literature review on the net present value (NPV) valuation method. In: </w:t>
      </w:r>
      <w:r w:rsidRPr="00785A3D">
        <w:rPr>
          <w:rFonts w:ascii="Times New Roman" w:hAnsi="Times New Roman" w:cs="Times New Roman"/>
          <w:i/>
          <w:iCs/>
          <w:lang w:val="en-US"/>
        </w:rPr>
        <w:t>2022 2nd International Conference on Enterprise Management and Economic Development (ICEMED 2022)</w:t>
      </w:r>
      <w:r w:rsidRPr="00785A3D">
        <w:rPr>
          <w:rFonts w:ascii="Times New Roman" w:hAnsi="Times New Roman" w:cs="Times New Roman"/>
          <w:lang w:val="en-US"/>
        </w:rPr>
        <w:t>, July 2022, pp.826–830. Atlantis Press.</w:t>
      </w:r>
    </w:p>
    <w:p w14:paraId="5836A62B"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Siddiqa, A., 2023. Corporate financial restructuring: strategies and impacts. </w:t>
      </w:r>
      <w:r w:rsidRPr="00785A3D">
        <w:rPr>
          <w:rFonts w:ascii="Times New Roman" w:hAnsi="Times New Roman" w:cs="Times New Roman"/>
          <w:i/>
          <w:iCs/>
          <w:lang w:val="en-US"/>
        </w:rPr>
        <w:t>Research Studies of Business</w:t>
      </w:r>
      <w:r w:rsidRPr="00785A3D">
        <w:rPr>
          <w:rFonts w:ascii="Times New Roman" w:hAnsi="Times New Roman" w:cs="Times New Roman"/>
          <w:lang w:val="en-US"/>
        </w:rPr>
        <w:t>, 2(2), pp.134–146.</w:t>
      </w:r>
    </w:p>
    <w:p w14:paraId="507694A7" w14:textId="77777777" w:rsidR="002D6195" w:rsidRPr="002D6195" w:rsidRDefault="002D6195" w:rsidP="002D4138">
      <w:pPr>
        <w:spacing w:line="360" w:lineRule="auto"/>
        <w:jc w:val="both"/>
        <w:rPr>
          <w:rFonts w:ascii="Times New Roman" w:hAnsi="Times New Roman" w:cs="Times New Roman"/>
          <w:lang w:val="en-US"/>
        </w:rPr>
      </w:pPr>
    </w:p>
    <w:p w14:paraId="40DD4236" w14:textId="77777777" w:rsidR="002D4138" w:rsidRPr="00553189" w:rsidRDefault="002D4138" w:rsidP="00654637">
      <w:pPr>
        <w:spacing w:line="360" w:lineRule="auto"/>
        <w:jc w:val="both"/>
        <w:rPr>
          <w:rFonts w:ascii="Times New Roman" w:hAnsi="Times New Roman" w:cs="Times New Roman"/>
          <w:b/>
          <w:bCs/>
        </w:rPr>
      </w:pPr>
    </w:p>
    <w:sectPr w:rsidR="002D4138" w:rsidRPr="00553189" w:rsidSect="002D6195">
      <w:footerReference w:type="default" r:id="rId8"/>
      <w:pgSz w:w="12240" w:h="15840"/>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B90900" w14:textId="77777777" w:rsidR="00D33E17" w:rsidRDefault="00D33E17" w:rsidP="002D6195">
      <w:pPr>
        <w:spacing w:after="0" w:line="240" w:lineRule="auto"/>
      </w:pPr>
      <w:r>
        <w:separator/>
      </w:r>
    </w:p>
  </w:endnote>
  <w:endnote w:type="continuationSeparator" w:id="0">
    <w:p w14:paraId="68E90283" w14:textId="77777777" w:rsidR="00D33E17" w:rsidRDefault="00D33E17" w:rsidP="002D6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0"/>
        <w:szCs w:val="20"/>
      </w:rPr>
      <w:id w:val="636379238"/>
      <w:docPartObj>
        <w:docPartGallery w:val="Page Numbers (Bottom of Page)"/>
        <w:docPartUnique/>
      </w:docPartObj>
    </w:sdtPr>
    <w:sdtEndPr>
      <w:rPr>
        <w:noProof/>
      </w:rPr>
    </w:sdtEndPr>
    <w:sdtContent>
      <w:p w14:paraId="099BA9E5" w14:textId="774C354D" w:rsidR="002D6195" w:rsidRPr="002D6195" w:rsidRDefault="002D6195">
        <w:pPr>
          <w:pStyle w:val="Footer"/>
          <w:jc w:val="center"/>
          <w:rPr>
            <w:rFonts w:ascii="Times New Roman" w:hAnsi="Times New Roman" w:cs="Times New Roman"/>
            <w:sz w:val="20"/>
            <w:szCs w:val="20"/>
          </w:rPr>
        </w:pPr>
        <w:r w:rsidRPr="002D6195">
          <w:rPr>
            <w:rFonts w:ascii="Times New Roman" w:hAnsi="Times New Roman" w:cs="Times New Roman"/>
            <w:sz w:val="20"/>
            <w:szCs w:val="20"/>
          </w:rPr>
          <w:fldChar w:fldCharType="begin"/>
        </w:r>
        <w:r w:rsidRPr="002D6195">
          <w:rPr>
            <w:rFonts w:ascii="Times New Roman" w:hAnsi="Times New Roman" w:cs="Times New Roman"/>
            <w:sz w:val="20"/>
            <w:szCs w:val="20"/>
          </w:rPr>
          <w:instrText xml:space="preserve"> PAGE   \* MERGEFORMAT </w:instrText>
        </w:r>
        <w:r w:rsidRPr="002D6195">
          <w:rPr>
            <w:rFonts w:ascii="Times New Roman" w:hAnsi="Times New Roman" w:cs="Times New Roman"/>
            <w:sz w:val="20"/>
            <w:szCs w:val="20"/>
          </w:rPr>
          <w:fldChar w:fldCharType="separate"/>
        </w:r>
        <w:r w:rsidR="00732833">
          <w:rPr>
            <w:rFonts w:ascii="Times New Roman" w:hAnsi="Times New Roman" w:cs="Times New Roman"/>
            <w:noProof/>
            <w:sz w:val="20"/>
            <w:szCs w:val="20"/>
          </w:rPr>
          <w:t>2</w:t>
        </w:r>
        <w:r w:rsidRPr="002D6195">
          <w:rPr>
            <w:rFonts w:ascii="Times New Roman" w:hAnsi="Times New Roman" w:cs="Times New Roman"/>
            <w:noProof/>
            <w:sz w:val="20"/>
            <w:szCs w:val="20"/>
          </w:rPr>
          <w:fldChar w:fldCharType="end"/>
        </w:r>
      </w:p>
    </w:sdtContent>
  </w:sdt>
  <w:p w14:paraId="03F02715" w14:textId="77777777" w:rsidR="002D6195" w:rsidRPr="002D6195" w:rsidRDefault="002D6195">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AFFD13" w14:textId="77777777" w:rsidR="00D33E17" w:rsidRDefault="00D33E17" w:rsidP="002D6195">
      <w:pPr>
        <w:spacing w:after="0" w:line="240" w:lineRule="auto"/>
      </w:pPr>
      <w:r>
        <w:separator/>
      </w:r>
    </w:p>
  </w:footnote>
  <w:footnote w:type="continuationSeparator" w:id="0">
    <w:p w14:paraId="0A0E395E" w14:textId="77777777" w:rsidR="00D33E17" w:rsidRDefault="00D33E17" w:rsidP="002D6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695B47"/>
    <w:multiLevelType w:val="hybridMultilevel"/>
    <w:tmpl w:val="D632C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BB6"/>
    <w:rsid w:val="00276883"/>
    <w:rsid w:val="002D4138"/>
    <w:rsid w:val="002D6195"/>
    <w:rsid w:val="003C2ABC"/>
    <w:rsid w:val="00553189"/>
    <w:rsid w:val="005838FB"/>
    <w:rsid w:val="005C3956"/>
    <w:rsid w:val="0065020B"/>
    <w:rsid w:val="00654637"/>
    <w:rsid w:val="00732833"/>
    <w:rsid w:val="00733FCC"/>
    <w:rsid w:val="00812320"/>
    <w:rsid w:val="00835552"/>
    <w:rsid w:val="008563E0"/>
    <w:rsid w:val="009A7E2E"/>
    <w:rsid w:val="00BC3362"/>
    <w:rsid w:val="00CA2BB6"/>
    <w:rsid w:val="00D33E17"/>
    <w:rsid w:val="00E24A95"/>
    <w:rsid w:val="00EC5F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A8705"/>
  <w15:chartTrackingRefBased/>
  <w15:docId w15:val="{90E3C48E-7D0A-4E1F-9FFC-44489185A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2D6195"/>
    <w:pPr>
      <w:spacing w:line="360" w:lineRule="auto"/>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2D6195"/>
    <w:pPr>
      <w:spacing w:line="360" w:lineRule="auto"/>
      <w:outlineLvl w:val="1"/>
    </w:pPr>
    <w:rPr>
      <w:rFonts w:ascii="Times New Roman" w:hAnsi="Times New Roman" w:cs="Times New Roman"/>
      <w:b/>
      <w:bCs/>
      <w:i/>
      <w:iCs/>
    </w:rPr>
  </w:style>
  <w:style w:type="paragraph" w:styleId="Heading3">
    <w:name w:val="heading 3"/>
    <w:basedOn w:val="Normal"/>
    <w:next w:val="Normal"/>
    <w:link w:val="Heading3Char"/>
    <w:uiPriority w:val="9"/>
    <w:semiHidden/>
    <w:unhideWhenUsed/>
    <w:qFormat/>
    <w:rsid w:val="00CA2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195"/>
    <w:rPr>
      <w:rFonts w:ascii="Times New Roman" w:hAnsi="Times New Roman" w:cs="Times New Roman"/>
      <w:b/>
      <w:bCs/>
      <w:lang w:val="en-GB"/>
    </w:rPr>
  </w:style>
  <w:style w:type="character" w:customStyle="1" w:styleId="Heading2Char">
    <w:name w:val="Heading 2 Char"/>
    <w:basedOn w:val="DefaultParagraphFont"/>
    <w:link w:val="Heading2"/>
    <w:uiPriority w:val="9"/>
    <w:rsid w:val="002D6195"/>
    <w:rPr>
      <w:rFonts w:ascii="Times New Roman" w:hAnsi="Times New Roman" w:cs="Times New Roman"/>
      <w:b/>
      <w:bCs/>
      <w:i/>
      <w:iCs/>
      <w:lang w:val="en-GB"/>
    </w:rPr>
  </w:style>
  <w:style w:type="character" w:customStyle="1" w:styleId="Heading3Char">
    <w:name w:val="Heading 3 Char"/>
    <w:basedOn w:val="DefaultParagraphFont"/>
    <w:link w:val="Heading3"/>
    <w:uiPriority w:val="9"/>
    <w:semiHidden/>
    <w:rsid w:val="00CA2BB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A2BB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A2BB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A2BB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A2BB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A2BB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A2BB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A2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BB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A2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BB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A2BB6"/>
    <w:pPr>
      <w:spacing w:before="160"/>
      <w:jc w:val="center"/>
    </w:pPr>
    <w:rPr>
      <w:i/>
      <w:iCs/>
      <w:color w:val="404040" w:themeColor="text1" w:themeTint="BF"/>
    </w:rPr>
  </w:style>
  <w:style w:type="character" w:customStyle="1" w:styleId="QuoteChar">
    <w:name w:val="Quote Char"/>
    <w:basedOn w:val="DefaultParagraphFont"/>
    <w:link w:val="Quote"/>
    <w:uiPriority w:val="29"/>
    <w:rsid w:val="00CA2BB6"/>
    <w:rPr>
      <w:i/>
      <w:iCs/>
      <w:color w:val="404040" w:themeColor="text1" w:themeTint="BF"/>
      <w:lang w:val="en-GB"/>
    </w:rPr>
  </w:style>
  <w:style w:type="paragraph" w:styleId="ListParagraph">
    <w:name w:val="List Paragraph"/>
    <w:basedOn w:val="Normal"/>
    <w:uiPriority w:val="34"/>
    <w:qFormat/>
    <w:rsid w:val="00CA2BB6"/>
    <w:pPr>
      <w:ind w:left="720"/>
      <w:contextualSpacing/>
    </w:pPr>
  </w:style>
  <w:style w:type="character" w:styleId="IntenseEmphasis">
    <w:name w:val="Intense Emphasis"/>
    <w:basedOn w:val="DefaultParagraphFont"/>
    <w:uiPriority w:val="21"/>
    <w:qFormat/>
    <w:rsid w:val="00CA2BB6"/>
    <w:rPr>
      <w:i/>
      <w:iCs/>
      <w:color w:val="0F4761" w:themeColor="accent1" w:themeShade="BF"/>
    </w:rPr>
  </w:style>
  <w:style w:type="paragraph" w:styleId="IntenseQuote">
    <w:name w:val="Intense Quote"/>
    <w:basedOn w:val="Normal"/>
    <w:next w:val="Normal"/>
    <w:link w:val="IntenseQuoteChar"/>
    <w:uiPriority w:val="30"/>
    <w:qFormat/>
    <w:rsid w:val="00CA2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BB6"/>
    <w:rPr>
      <w:i/>
      <w:iCs/>
      <w:color w:val="0F4761" w:themeColor="accent1" w:themeShade="BF"/>
      <w:lang w:val="en-GB"/>
    </w:rPr>
  </w:style>
  <w:style w:type="character" w:styleId="IntenseReference">
    <w:name w:val="Intense Reference"/>
    <w:basedOn w:val="DefaultParagraphFont"/>
    <w:uiPriority w:val="32"/>
    <w:qFormat/>
    <w:rsid w:val="00CA2BB6"/>
    <w:rPr>
      <w:b/>
      <w:bCs/>
      <w:smallCaps/>
      <w:color w:val="0F4761" w:themeColor="accent1" w:themeShade="BF"/>
      <w:spacing w:val="5"/>
    </w:rPr>
  </w:style>
  <w:style w:type="table" w:styleId="PlainTable1">
    <w:name w:val="Plain Table 1"/>
    <w:basedOn w:val="TableNormal"/>
    <w:uiPriority w:val="41"/>
    <w:rsid w:val="003C2AB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9A7E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BC336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BC336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2D6195"/>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2D6195"/>
    <w:pPr>
      <w:spacing w:after="100"/>
    </w:pPr>
  </w:style>
  <w:style w:type="paragraph" w:styleId="TOC2">
    <w:name w:val="toc 2"/>
    <w:basedOn w:val="Normal"/>
    <w:next w:val="Normal"/>
    <w:autoRedefine/>
    <w:uiPriority w:val="39"/>
    <w:unhideWhenUsed/>
    <w:rsid w:val="002D6195"/>
    <w:pPr>
      <w:spacing w:after="100"/>
      <w:ind w:left="240"/>
    </w:pPr>
  </w:style>
  <w:style w:type="character" w:styleId="Hyperlink">
    <w:name w:val="Hyperlink"/>
    <w:basedOn w:val="DefaultParagraphFont"/>
    <w:uiPriority w:val="99"/>
    <w:unhideWhenUsed/>
    <w:rsid w:val="002D6195"/>
    <w:rPr>
      <w:color w:val="467886" w:themeColor="hyperlink"/>
      <w:u w:val="single"/>
    </w:rPr>
  </w:style>
  <w:style w:type="paragraph" w:styleId="Header">
    <w:name w:val="header"/>
    <w:basedOn w:val="Normal"/>
    <w:link w:val="HeaderChar"/>
    <w:uiPriority w:val="99"/>
    <w:unhideWhenUsed/>
    <w:rsid w:val="002D61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6195"/>
    <w:rPr>
      <w:lang w:val="en-GB"/>
    </w:rPr>
  </w:style>
  <w:style w:type="paragraph" w:styleId="Footer">
    <w:name w:val="footer"/>
    <w:basedOn w:val="Normal"/>
    <w:link w:val="FooterChar"/>
    <w:uiPriority w:val="99"/>
    <w:unhideWhenUsed/>
    <w:rsid w:val="002D61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619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8904338">
      <w:bodyDiv w:val="1"/>
      <w:marLeft w:val="0"/>
      <w:marRight w:val="0"/>
      <w:marTop w:val="0"/>
      <w:marBottom w:val="0"/>
      <w:divBdr>
        <w:top w:val="none" w:sz="0" w:space="0" w:color="auto"/>
        <w:left w:val="none" w:sz="0" w:space="0" w:color="auto"/>
        <w:bottom w:val="none" w:sz="0" w:space="0" w:color="auto"/>
        <w:right w:val="none" w:sz="0" w:space="0" w:color="auto"/>
      </w:divBdr>
      <w:divsChild>
        <w:div w:id="18582351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22</Pages>
  <Words>5754</Words>
  <Characters>32804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Shubhojit Manik</dc:creator>
  <cp:keywords/>
  <dc:description/>
  <cp:lastModifiedBy>Amaan Allauddin Sayyed (2437446)</cp:lastModifiedBy>
  <cp:revision>3</cp:revision>
  <dcterms:created xsi:type="dcterms:W3CDTF">2025-12-22T01:03:00Z</dcterms:created>
  <dcterms:modified xsi:type="dcterms:W3CDTF">2025-12-22T01:10:00Z</dcterms:modified>
</cp:coreProperties>
</file>