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83278CF">
      <w:pPr>
        <w:spacing w:before="0" w:after="200" w:line="360" w:lineRule="auto"/>
        <w:jc w:val="both"/>
        <w:rPr>
          <w:rFonts w:ascii="Arial" w:hAnsi="Arial" w:eastAsia="Times New Roman" w:cs="Times New Roman"/>
          <w:b/>
          <w:sz w:val="24"/>
          <w:szCs w:val="24"/>
        </w:rPr>
      </w:pPr>
    </w:p>
    <w:p w14:paraId="03ACC1AA">
      <w:pPr>
        <w:spacing w:before="0" w:after="200" w:line="360" w:lineRule="auto"/>
        <w:jc w:val="both"/>
        <w:rPr>
          <w:rFonts w:ascii="Arial" w:hAnsi="Arial" w:eastAsia="Times New Roman" w:cs="Times New Roman"/>
          <w:b/>
          <w:sz w:val="24"/>
          <w:szCs w:val="24"/>
        </w:rPr>
      </w:pPr>
    </w:p>
    <w:p w14:paraId="7F279779">
      <w:pPr>
        <w:bidi w:val="0"/>
        <w:spacing w:before="0" w:after="200" w:line="276" w:lineRule="auto"/>
        <w:jc w:val="center"/>
        <w:rPr>
          <w:rFonts w:ascii="Arial" w:hAnsi="Arial"/>
          <w:sz w:val="24"/>
          <w:szCs w:val="24"/>
        </w:rPr>
      </w:pPr>
      <w:r>
        <w:rPr>
          <w:rFonts w:eastAsia="Times New Roman" w:cs="Times New Roman"/>
          <w:b/>
          <w:sz w:val="24"/>
          <w:szCs w:val="24"/>
        </w:rPr>
        <w:t>Assessment component: Individual report</w:t>
      </w:r>
    </w:p>
    <w:p w14:paraId="73DEFF04">
      <w:pPr>
        <w:spacing w:before="0" w:after="200" w:line="276" w:lineRule="auto"/>
        <w:jc w:val="center"/>
        <w:rPr>
          <w:rFonts w:ascii="Arial" w:hAnsi="Arial" w:eastAsia="Times New Roman" w:cs="Times New Roman"/>
          <w:b w:val="0"/>
          <w:bCs w:val="0"/>
          <w:sz w:val="24"/>
          <w:szCs w:val="24"/>
        </w:rPr>
      </w:pPr>
    </w:p>
    <w:p w14:paraId="18C36DA8">
      <w:pPr>
        <w:bidi w:val="0"/>
        <w:spacing w:before="0" w:after="200" w:line="276" w:lineRule="auto"/>
        <w:jc w:val="center"/>
        <w:rPr>
          <w:rFonts w:ascii="Arial" w:hAnsi="Arial"/>
          <w:sz w:val="24"/>
          <w:szCs w:val="24"/>
        </w:rPr>
      </w:pPr>
      <w:r>
        <w:rPr>
          <w:rFonts w:eastAsia="Times New Roman" w:cs="Times New Roman"/>
          <w:b/>
          <w:sz w:val="24"/>
          <w:szCs w:val="24"/>
        </w:rPr>
        <w:t xml:space="preserve">Student Name : </w:t>
      </w:r>
      <w:r>
        <w:rPr>
          <w:rFonts w:eastAsia="Times New Roman" w:cs="Times New Roman"/>
          <w:b w:val="0"/>
          <w:bCs w:val="0"/>
          <w:sz w:val="24"/>
          <w:szCs w:val="24"/>
        </w:rPr>
        <w:t>Krishna Lakhu Khunti</w:t>
      </w:r>
    </w:p>
    <w:p w14:paraId="09754453">
      <w:pPr>
        <w:bidi w:val="0"/>
        <w:spacing w:before="0" w:after="200" w:line="276" w:lineRule="auto"/>
        <w:jc w:val="center"/>
        <w:rPr>
          <w:rFonts w:ascii="Arial" w:hAnsi="Arial"/>
          <w:sz w:val="24"/>
          <w:szCs w:val="24"/>
        </w:rPr>
      </w:pPr>
      <w:r>
        <w:rPr>
          <w:rFonts w:eastAsia="Times New Roman" w:cs="Times New Roman"/>
          <w:b/>
          <w:sz w:val="24"/>
          <w:szCs w:val="24"/>
        </w:rPr>
        <w:t xml:space="preserve">Student ID : </w:t>
      </w:r>
      <w:r>
        <w:rPr>
          <w:rFonts w:eastAsia="Times New Roman" w:cs="Times New Roman"/>
          <w:b w:val="0"/>
          <w:bCs w:val="0"/>
          <w:sz w:val="24"/>
          <w:szCs w:val="24"/>
        </w:rPr>
        <w:t>2515605</w:t>
      </w:r>
    </w:p>
    <w:p w14:paraId="60B02006">
      <w:pPr>
        <w:bidi w:val="0"/>
        <w:spacing w:before="0" w:after="200" w:line="276" w:lineRule="auto"/>
        <w:jc w:val="center"/>
        <w:rPr>
          <w:rFonts w:ascii="Arial" w:hAnsi="Arial"/>
          <w:sz w:val="24"/>
          <w:szCs w:val="24"/>
        </w:rPr>
      </w:pPr>
      <w:r>
        <w:rPr>
          <w:rFonts w:eastAsia="Times New Roman" w:cs="Times New Roman"/>
          <w:b/>
          <w:sz w:val="24"/>
          <w:szCs w:val="24"/>
        </w:rPr>
        <w:t>Module Name:</w:t>
      </w:r>
      <w:r>
        <w:rPr>
          <w:rFonts w:eastAsia="Times New Roman" w:cs="Times New Roman"/>
          <w:b w:val="0"/>
          <w:bCs w:val="0"/>
          <w:sz w:val="24"/>
          <w:szCs w:val="24"/>
        </w:rPr>
        <w:t xml:space="preserve"> InternationalMarketing: Principles and Practices</w:t>
      </w:r>
    </w:p>
    <w:p w14:paraId="78163FD8">
      <w:pPr>
        <w:spacing w:before="0" w:after="200" w:line="276" w:lineRule="auto"/>
        <w:jc w:val="center"/>
        <w:rPr>
          <w:rFonts w:ascii="Arial" w:hAnsi="Arial"/>
          <w:sz w:val="24"/>
          <w:szCs w:val="24"/>
        </w:rPr>
      </w:pPr>
      <w:r>
        <w:rPr>
          <w:rFonts w:eastAsia="Times New Roman" w:cs="Times New Roman"/>
          <w:b/>
          <w:sz w:val="24"/>
          <w:szCs w:val="24"/>
        </w:rPr>
        <w:t xml:space="preserve">Module Code: </w:t>
      </w:r>
      <w:r>
        <w:rPr>
          <w:rFonts w:eastAsia="Times New Roman" w:cs="Times New Roman"/>
          <w:b w:val="0"/>
          <w:bCs w:val="0"/>
          <w:sz w:val="24"/>
          <w:szCs w:val="24"/>
        </w:rPr>
        <w:t>LCMB7026</w:t>
      </w:r>
    </w:p>
    <w:p w14:paraId="4DF65814">
      <w:pPr>
        <w:bidi w:val="0"/>
        <w:spacing w:before="0" w:after="200" w:line="276" w:lineRule="auto"/>
        <w:jc w:val="center"/>
        <w:rPr>
          <w:rFonts w:ascii="Arial" w:hAnsi="Arial"/>
          <w:sz w:val="24"/>
          <w:szCs w:val="24"/>
        </w:rPr>
      </w:pPr>
      <w:r>
        <w:rPr>
          <w:rFonts w:eastAsia="Times New Roman" w:cs="Times New Roman"/>
          <w:b/>
          <w:sz w:val="24"/>
          <w:szCs w:val="24"/>
        </w:rPr>
        <w:t>Lecturere’s Name:</w:t>
      </w:r>
      <w:r>
        <w:rPr>
          <w:sz w:val="24"/>
          <w:szCs w:val="24"/>
        </w:rPr>
        <w:t xml:space="preserve">  Tushara</w:t>
      </w:r>
      <w:r>
        <w:rPr>
          <w:rFonts w:hint="default"/>
          <w:sz w:val="24"/>
          <w:szCs w:val="24"/>
          <w:lang w:val="en-IN"/>
        </w:rPr>
        <w:t xml:space="preserve"> </w:t>
      </w:r>
      <w:r>
        <w:rPr>
          <w:sz w:val="24"/>
          <w:szCs w:val="24"/>
        </w:rPr>
        <w:t>Balendran</w:t>
      </w:r>
    </w:p>
    <w:p w14:paraId="1FA96B8A">
      <w:pPr>
        <w:spacing w:before="0" w:after="200" w:line="276" w:lineRule="auto"/>
        <w:jc w:val="center"/>
        <w:rPr>
          <w:rFonts w:ascii="Arial" w:hAnsi="Arial"/>
          <w:sz w:val="24"/>
          <w:szCs w:val="24"/>
        </w:rPr>
      </w:pPr>
      <w:r>
        <w:rPr>
          <w:rFonts w:eastAsia="Times New Roman" w:cs="Times New Roman"/>
          <w:b/>
          <w:sz w:val="24"/>
          <w:szCs w:val="24"/>
        </w:rPr>
        <w:t xml:space="preserve">Word Count : </w:t>
      </w:r>
      <w:r>
        <w:rPr>
          <w:sz w:val="24"/>
          <w:szCs w:val="24"/>
        </w:rPr>
        <w:t>5</w:t>
      </w:r>
      <w:r>
        <w:rPr>
          <w:rFonts w:hint="default"/>
          <w:sz w:val="24"/>
          <w:szCs w:val="24"/>
          <w:lang w:val="en-IN"/>
        </w:rPr>
        <w:t>800</w:t>
      </w:r>
      <w:bookmarkStart w:id="1" w:name="_GoBack"/>
      <w:bookmarkEnd w:id="1"/>
      <w:r>
        <w:rPr>
          <w:sz w:val="24"/>
          <w:szCs w:val="24"/>
        </w:rPr>
        <w:t xml:space="preserve"> words (± 10%) </w:t>
      </w:r>
    </w:p>
    <w:p w14:paraId="51DDA3FD">
      <w:pPr>
        <w:spacing w:before="0" w:after="200" w:line="276" w:lineRule="auto"/>
        <w:jc w:val="center"/>
        <w:rPr>
          <w:rFonts w:ascii="Arial" w:hAnsi="Arial"/>
          <w:sz w:val="24"/>
          <w:szCs w:val="24"/>
        </w:rPr>
      </w:pPr>
      <w:r>
        <w:rPr>
          <w:rFonts w:eastAsia="Times New Roman" w:cs="Times New Roman"/>
          <w:b w:val="0"/>
          <w:bCs w:val="0"/>
          <w:sz w:val="24"/>
          <w:szCs w:val="24"/>
        </w:rPr>
        <w:t>Term 2</w:t>
      </w:r>
    </w:p>
    <w:p w14:paraId="12D813C7">
      <w:pPr>
        <w:spacing w:before="0" w:after="200" w:line="360" w:lineRule="auto"/>
        <w:jc w:val="both"/>
        <w:rPr>
          <w:rFonts w:ascii="Arial" w:hAnsi="Arial" w:eastAsia="Times New Roman" w:cs="Times New Roman"/>
          <w:b/>
          <w:sz w:val="24"/>
          <w:szCs w:val="24"/>
        </w:rPr>
      </w:pPr>
    </w:p>
    <w:p w14:paraId="2BA68E2B">
      <w:pPr>
        <w:spacing w:before="0" w:after="200" w:line="360" w:lineRule="auto"/>
        <w:jc w:val="both"/>
        <w:rPr>
          <w:rFonts w:ascii="Arial" w:hAnsi="Arial" w:eastAsia="Times New Roman" w:cs="Times New Roman"/>
          <w:b/>
          <w:sz w:val="24"/>
          <w:szCs w:val="24"/>
        </w:rPr>
      </w:pPr>
      <w:r>
        <w:br w:type="page"/>
      </w:r>
    </w:p>
    <w:p w14:paraId="200A4E0A">
      <w:pPr>
        <w:spacing w:before="0" w:after="200" w:line="360" w:lineRule="auto"/>
        <w:jc w:val="center"/>
        <w:rPr>
          <w:rFonts w:ascii="Arial" w:hAnsi="Arial"/>
          <w:sz w:val="24"/>
          <w:szCs w:val="24"/>
        </w:rPr>
      </w:pPr>
      <w:r>
        <w:rPr>
          <w:rFonts w:eastAsia="Times New Roman" w:cs="Times New Roman"/>
          <w:b/>
          <w:sz w:val="24"/>
          <w:szCs w:val="24"/>
        </w:rPr>
        <w:t>Table of contents</w:t>
      </w:r>
    </w:p>
    <w:sdt>
      <w:sdtPr>
        <w:id w:val="147464672"/>
        <w:docPartObj>
          <w:docPartGallery w:val="Table of Contents"/>
          <w:docPartUnique/>
        </w:docPartObj>
      </w:sdtPr>
      <w:sdtContent>
        <w:p w14:paraId="2B7AF15D">
          <w:pPr>
            <w:pStyle w:val="35"/>
            <w:tabs>
              <w:tab w:val="right" w:leader="dot" w:pos="9350"/>
            </w:tabs>
            <w:spacing w:before="0" w:after="100" w:line="360" w:lineRule="auto"/>
            <w:jc w:val="both"/>
            <w:rPr>
              <w:color w:val="000000"/>
              <w:sz w:val="24"/>
              <w:szCs w:val="24"/>
              <w:lang w:val="en-GB"/>
            </w:rPr>
          </w:pPr>
          <w:r>
            <w:fldChar w:fldCharType="begin"/>
          </w:r>
          <w:r>
            <w:rPr>
              <w:rStyle w:val="22"/>
              <w:vanish w:val="0"/>
              <w:color w:val="000000"/>
              <w:sz w:val="24"/>
              <w:szCs w:val="24"/>
              <w:lang w:val="en-GB"/>
            </w:rPr>
            <w:instrText xml:space="preserve"> TOC \z \o "1-9" \u \t "heading 1,1,heading 2,2,heading 3,3,heading 4,4,heading 5,5,heading 6,6" \h</w:instrText>
          </w:r>
          <w:r>
            <w:rPr>
              <w:rStyle w:val="22"/>
              <w:vanish w:val="0"/>
              <w:color w:val="000000"/>
              <w:sz w:val="24"/>
              <w:szCs w:val="24"/>
              <w:lang w:val="en-GB"/>
            </w:rPr>
            <w:fldChar w:fldCharType="separate"/>
          </w:r>
          <w:r>
            <w:rPr>
              <w:rStyle w:val="22"/>
              <w:vanish w:val="0"/>
              <w:color w:val="000000"/>
              <w:sz w:val="24"/>
              <w:szCs w:val="24"/>
              <w:lang w:val="en-GB"/>
            </w:rPr>
            <w:t>Section</w:t>
          </w:r>
          <w:r>
            <w:fldChar w:fldCharType="begin"/>
          </w:r>
          <w:r>
            <w:instrText xml:space="preserve"> HYPERLINK \l "_heading=h.23tgpdk0faao" \h </w:instrText>
          </w:r>
          <w:r>
            <w:fldChar w:fldCharType="separate"/>
          </w:r>
          <w:r>
            <w:rPr>
              <w:rStyle w:val="22"/>
              <w:vanish w:val="0"/>
              <w:color w:val="000000"/>
              <w:sz w:val="24"/>
              <w:szCs w:val="24"/>
              <w:lang w:val="en-GB"/>
            </w:rPr>
            <w:t xml:space="preserve"> 0: </w:t>
          </w:r>
          <w:r>
            <w:rPr>
              <w:rStyle w:val="22"/>
              <w:vanish w:val="0"/>
              <w:color w:val="000000"/>
              <w:sz w:val="24"/>
              <w:szCs w:val="24"/>
              <w:lang w:val="en-GB"/>
            </w:rPr>
            <w:fldChar w:fldCharType="end"/>
          </w:r>
          <w:r>
            <w:fldChar w:fldCharType="begin"/>
          </w:r>
          <w:r>
            <w:instrText xml:space="preserve"> HYPERLINK \l "_heading=h.ntzrut26mc3g" \h </w:instrText>
          </w:r>
          <w:r>
            <w:fldChar w:fldCharType="separate"/>
          </w:r>
          <w:r>
            <w:rPr>
              <w:rStyle w:val="22"/>
              <w:vanish w:val="0"/>
              <w:color w:val="000000"/>
              <w:sz w:val="24"/>
              <w:szCs w:val="24"/>
              <w:lang w:val="en-GB"/>
            </w:rPr>
            <w:t xml:space="preserve">Introduction to the report </w:t>
          </w:r>
          <w:r>
            <w:rPr>
              <w:rStyle w:val="22"/>
              <w:vanish w:val="0"/>
              <w:color w:val="000000"/>
              <w:sz w:val="24"/>
              <w:szCs w:val="24"/>
              <w:lang w:val="en-GB"/>
            </w:rPr>
            <w:fldChar w:fldCharType="end"/>
          </w:r>
          <w:r>
            <w:fldChar w:fldCharType="begin"/>
          </w:r>
          <w:r>
            <w:instrText xml:space="preserve"> HYPERLINK \l "_heading=h.23tgpdk0faao" \h </w:instrText>
          </w:r>
          <w:r>
            <w:fldChar w:fldCharType="separate"/>
          </w:r>
          <w:r>
            <w:rPr>
              <w:rStyle w:val="22"/>
              <w:vanish w:val="0"/>
              <w:color w:val="000000"/>
              <w:sz w:val="24"/>
              <w:szCs w:val="24"/>
              <w:lang w:val="en-GB"/>
            </w:rPr>
            <w:t xml:space="preserve"> ………………………………………………..….. </w:t>
          </w:r>
          <w:r>
            <w:rPr>
              <w:rStyle w:val="22"/>
              <w:vanish w:val="0"/>
              <w:color w:val="000000"/>
              <w:sz w:val="24"/>
              <w:szCs w:val="24"/>
              <w:lang w:val="en-GB"/>
            </w:rPr>
            <w:fldChar w:fldCharType="end"/>
          </w:r>
          <w:r>
            <w:rPr>
              <w:vanish w:val="0"/>
              <w:color w:val="000000"/>
              <w:sz w:val="24"/>
              <w:szCs w:val="24"/>
              <w:lang w:val="en-GB"/>
            </w:rPr>
            <w:t>4</w:t>
          </w:r>
        </w:p>
        <w:p w14:paraId="702AB900">
          <w:pPr>
            <w:pStyle w:val="35"/>
            <w:tabs>
              <w:tab w:val="right" w:leader="dot" w:pos="9350"/>
            </w:tabs>
            <w:bidi w:val="0"/>
            <w:spacing w:before="0" w:after="100" w:line="360" w:lineRule="auto"/>
            <w:jc w:val="both"/>
            <w:rPr>
              <w:color w:val="000000"/>
              <w:sz w:val="24"/>
              <w:szCs w:val="24"/>
              <w:lang w:val="en-GB"/>
            </w:rPr>
          </w:pPr>
          <w:r>
            <w:rPr>
              <w:color w:val="000000"/>
              <w:sz w:val="24"/>
              <w:szCs w:val="24"/>
              <w:lang w:val="en-GB"/>
            </w:rPr>
            <w:t>Section 1 : Comparative Analysis   …………………………………...………………....5</w:t>
          </w:r>
        </w:p>
        <w:p w14:paraId="2E562E2D">
          <w:pPr>
            <w:pStyle w:val="35"/>
            <w:tabs>
              <w:tab w:val="right" w:leader="dot" w:pos="9350"/>
            </w:tabs>
            <w:bidi w:val="0"/>
            <w:spacing w:before="0" w:after="100" w:line="360" w:lineRule="auto"/>
            <w:jc w:val="both"/>
            <w:rPr>
              <w:color w:val="000000"/>
              <w:sz w:val="24"/>
              <w:szCs w:val="24"/>
              <w:lang w:val="en-GB"/>
            </w:rPr>
          </w:pPr>
          <w:r>
            <w:rPr>
              <w:color w:val="000000"/>
              <w:sz w:val="24"/>
              <w:szCs w:val="24"/>
              <w:lang w:val="en-GB"/>
            </w:rPr>
            <w:t xml:space="preserve">    1.0 Organisational Context and Overview  …....……………………………..……...  5</w:t>
          </w:r>
        </w:p>
        <w:p w14:paraId="7A122817">
          <w:pPr>
            <w:pStyle w:val="35"/>
            <w:tabs>
              <w:tab w:val="right" w:leader="dot" w:pos="9350"/>
            </w:tabs>
            <w:spacing w:before="0" w:after="100" w:line="360" w:lineRule="auto"/>
            <w:jc w:val="both"/>
            <w:rPr>
              <w:color w:val="000000"/>
              <w:sz w:val="24"/>
              <w:szCs w:val="24"/>
              <w:lang w:val="en-GB"/>
            </w:rPr>
          </w:pPr>
          <w:r>
            <w:rPr>
              <w:color w:val="000000"/>
              <w:sz w:val="24"/>
              <w:szCs w:val="24"/>
              <w:lang w:val="en-GB"/>
            </w:rPr>
            <w:t xml:space="preserve">    1.1 Macro Environmental Analysis (PESTLE) ...…………………………………… 7</w:t>
          </w:r>
        </w:p>
        <w:p w14:paraId="6ACD1B5B">
          <w:pPr>
            <w:pStyle w:val="35"/>
            <w:tabs>
              <w:tab w:val="right" w:leader="dot" w:pos="9350"/>
            </w:tabs>
            <w:bidi w:val="0"/>
            <w:spacing w:before="0" w:after="100" w:line="360" w:lineRule="auto"/>
            <w:jc w:val="both"/>
            <w:rPr>
              <w:color w:val="000000"/>
              <w:sz w:val="24"/>
              <w:szCs w:val="24"/>
              <w:lang w:val="en-GB"/>
            </w:rPr>
          </w:pPr>
          <w:r>
            <w:rPr>
              <w:color w:val="000000"/>
              <w:sz w:val="24"/>
              <w:szCs w:val="24"/>
              <w:lang w:val="en-GB"/>
            </w:rPr>
            <w:t xml:space="preserve">    1.2 Cultural Analysis (Hofstede’s Cultural Dimensions)  ……….………………....  9</w:t>
          </w:r>
        </w:p>
        <w:p w14:paraId="662FFEF7">
          <w:pPr>
            <w:pStyle w:val="35"/>
            <w:tabs>
              <w:tab w:val="right" w:leader="dot" w:pos="9350"/>
            </w:tabs>
            <w:bidi w:val="0"/>
            <w:spacing w:before="0" w:after="100" w:line="360" w:lineRule="auto"/>
            <w:jc w:val="both"/>
            <w:rPr>
              <w:color w:val="000000"/>
              <w:sz w:val="24"/>
              <w:szCs w:val="24"/>
              <w:lang w:val="en-GB"/>
            </w:rPr>
          </w:pPr>
          <w:r>
            <w:rPr>
              <w:color w:val="000000"/>
              <w:sz w:val="24"/>
              <w:szCs w:val="24"/>
              <w:lang w:val="en-GB"/>
            </w:rPr>
            <w:t xml:space="preserve">    1.3 Critical Evaluation of STP Strategies  …...………….……..…...………….…...  13</w:t>
          </w:r>
        </w:p>
        <w:p w14:paraId="4AF4CEA3">
          <w:pPr>
            <w:pStyle w:val="35"/>
            <w:tabs>
              <w:tab w:val="right" w:leader="dot" w:pos="9350"/>
            </w:tabs>
            <w:bidi w:val="0"/>
            <w:spacing w:before="0" w:after="100" w:line="360" w:lineRule="auto"/>
            <w:jc w:val="both"/>
            <w:rPr>
              <w:color w:val="000000"/>
              <w:sz w:val="24"/>
              <w:szCs w:val="24"/>
              <w:lang w:val="en-GB"/>
            </w:rPr>
          </w:pPr>
          <w:r>
            <w:rPr>
              <w:color w:val="000000"/>
              <w:sz w:val="24"/>
              <w:szCs w:val="24"/>
              <w:lang w:val="en-GB"/>
            </w:rPr>
            <w:t xml:space="preserve">    1.4 International Marketing Mix (7Ps) Analysis  ……………….…….……….…...  16</w:t>
          </w:r>
        </w:p>
        <w:p w14:paraId="688A2E5B">
          <w:pPr>
            <w:pStyle w:val="35"/>
            <w:tabs>
              <w:tab w:val="right" w:leader="dot" w:pos="9350"/>
            </w:tabs>
            <w:bidi w:val="0"/>
            <w:spacing w:before="0" w:after="100" w:line="360" w:lineRule="auto"/>
            <w:jc w:val="both"/>
            <w:rPr>
              <w:color w:val="000000"/>
              <w:sz w:val="24"/>
              <w:szCs w:val="24"/>
              <w:lang w:val="en-GB"/>
            </w:rPr>
          </w:pPr>
          <w:r>
            <w:rPr>
              <w:color w:val="000000"/>
              <w:sz w:val="24"/>
              <w:szCs w:val="24"/>
              <w:lang w:val="en-GB"/>
            </w:rPr>
            <w:t xml:space="preserve">    1.5 Market Entry Strategy Analysis: United States  …...……..….…………….…...  20</w:t>
          </w:r>
        </w:p>
        <w:p w14:paraId="07886996">
          <w:pPr>
            <w:pStyle w:val="35"/>
            <w:tabs>
              <w:tab w:val="right" w:leader="dot" w:pos="9350"/>
            </w:tabs>
            <w:bidi w:val="0"/>
            <w:spacing w:before="0" w:after="100" w:line="360" w:lineRule="auto"/>
            <w:jc w:val="both"/>
            <w:rPr>
              <w:color w:val="000000"/>
              <w:sz w:val="24"/>
              <w:szCs w:val="24"/>
              <w:lang w:val="en-GB"/>
            </w:rPr>
          </w:pPr>
          <w:r>
            <w:rPr>
              <w:color w:val="000000"/>
              <w:sz w:val="24"/>
              <w:szCs w:val="24"/>
              <w:lang w:val="en-GB"/>
            </w:rPr>
            <w:t xml:space="preserve">    1.6 Critical Evaluation of Corporate Ethical Issues (Japan)  …...…….……….…...  22</w:t>
          </w:r>
        </w:p>
        <w:p w14:paraId="03ACEB08">
          <w:pPr>
            <w:pStyle w:val="35"/>
            <w:tabs>
              <w:tab w:val="right" w:leader="dot" w:pos="9350"/>
            </w:tabs>
            <w:bidi w:val="0"/>
            <w:spacing w:before="0" w:after="100" w:line="360" w:lineRule="auto"/>
            <w:jc w:val="both"/>
            <w:rPr>
              <w:color w:val="000000"/>
              <w:sz w:val="24"/>
              <w:szCs w:val="24"/>
              <w:lang w:val="en-GB"/>
            </w:rPr>
          </w:pPr>
          <w:r>
            <w:rPr>
              <w:color w:val="000000"/>
              <w:sz w:val="24"/>
              <w:szCs w:val="24"/>
              <w:lang w:val="en-GB"/>
            </w:rPr>
            <w:t xml:space="preserve">    1.7 Strategic Future Recommendations  …...…...……….…………………….…...  23</w:t>
          </w:r>
        </w:p>
        <w:p w14:paraId="1749CDF3">
          <w:pPr>
            <w:pStyle w:val="35"/>
            <w:tabs>
              <w:tab w:val="right" w:leader="dot" w:pos="9350"/>
            </w:tabs>
            <w:spacing w:before="0" w:after="100" w:line="360" w:lineRule="auto"/>
            <w:jc w:val="both"/>
            <w:rPr>
              <w:color w:val="000000"/>
              <w:sz w:val="24"/>
              <w:szCs w:val="24"/>
              <w:lang w:val="en-GB"/>
            </w:rPr>
          </w:pPr>
          <w:r>
            <w:fldChar w:fldCharType="begin"/>
          </w:r>
          <w:r>
            <w:instrText xml:space="preserve"> HYPERLINK \l "_heading=h.p1je4oq0evuy" \h </w:instrText>
          </w:r>
          <w:r>
            <w:fldChar w:fldCharType="separate"/>
          </w:r>
          <w:r>
            <w:rPr>
              <w:rStyle w:val="22"/>
              <w:vanish w:val="0"/>
              <w:color w:val="000000"/>
              <w:sz w:val="24"/>
              <w:szCs w:val="24"/>
              <w:lang w:val="en-GB"/>
            </w:rPr>
            <w:t xml:space="preserve">Section 2: Reflection  ……………………………………………………..…..……... </w:t>
          </w:r>
          <w:r>
            <w:rPr>
              <w:rStyle w:val="22"/>
              <w:vanish w:val="0"/>
              <w:color w:val="000000"/>
              <w:sz w:val="24"/>
              <w:szCs w:val="24"/>
              <w:lang w:val="en-GB"/>
            </w:rPr>
            <w:fldChar w:fldCharType="end"/>
          </w:r>
          <w:r>
            <w:rPr>
              <w:vanish w:val="0"/>
              <w:color w:val="000000"/>
              <w:sz w:val="24"/>
              <w:szCs w:val="24"/>
              <w:lang w:val="en-GB"/>
            </w:rPr>
            <w:t xml:space="preserve"> 25</w:t>
          </w:r>
        </w:p>
        <w:p w14:paraId="65E37EC7">
          <w:pPr>
            <w:pStyle w:val="35"/>
            <w:tabs>
              <w:tab w:val="right" w:leader="dot" w:pos="9350"/>
            </w:tabs>
            <w:spacing w:before="0" w:after="100" w:line="360" w:lineRule="auto"/>
            <w:jc w:val="both"/>
            <w:rPr>
              <w:color w:val="000000"/>
              <w:sz w:val="24"/>
              <w:szCs w:val="24"/>
              <w:lang w:val="en-GB"/>
            </w:rPr>
          </w:pPr>
          <w:r>
            <w:fldChar w:fldCharType="begin"/>
          </w:r>
          <w:r>
            <w:instrText xml:space="preserve"> HYPERLINK \l "_heading=h.9awbb0qu0ons" \h </w:instrText>
          </w:r>
          <w:r>
            <w:fldChar w:fldCharType="separate"/>
          </w:r>
          <w:r>
            <w:rPr>
              <w:rStyle w:val="22"/>
              <w:rFonts w:eastAsia="Times New Roman" w:cs="Times New Roman"/>
              <w:b w:val="0"/>
              <w:i w:val="0"/>
              <w:caps w:val="0"/>
              <w:smallCaps w:val="0"/>
              <w:strike w:val="0"/>
              <w:dstrike w:val="0"/>
              <w:vanish w:val="0"/>
              <w:color w:val="000000"/>
              <w:position w:val="0"/>
              <w:sz w:val="24"/>
              <w:szCs w:val="24"/>
              <w:u w:val="none"/>
              <w:shd w:val="clear" w:fill="auto"/>
              <w:vertAlign w:val="baseline"/>
              <w:lang w:val="en-GB"/>
            </w:rPr>
            <w:t>References …………………………………………………………………..……..…</w:t>
          </w:r>
          <w:r>
            <w:rPr>
              <w:rStyle w:val="22"/>
              <w:rFonts w:eastAsia="Times New Roman" w:cs="Times New Roman"/>
              <w:b w:val="0"/>
              <w:i w:val="0"/>
              <w:caps w:val="0"/>
              <w:smallCaps w:val="0"/>
              <w:strike w:val="0"/>
              <w:dstrike w:val="0"/>
              <w:vanish w:val="0"/>
              <w:color w:val="000000"/>
              <w:position w:val="0"/>
              <w:sz w:val="24"/>
              <w:szCs w:val="24"/>
              <w:u w:val="none"/>
              <w:shd w:val="clear" w:fill="auto"/>
              <w:vertAlign w:val="baseline"/>
              <w:lang w:val="en-GB"/>
            </w:rPr>
            <w:fldChar w:fldCharType="end"/>
          </w:r>
          <w:r>
            <w:rPr>
              <w:rFonts w:eastAsia="Times New Roman" w:cs="Times New Roman"/>
              <w:b w:val="0"/>
              <w:i w:val="0"/>
              <w:caps w:val="0"/>
              <w:smallCaps w:val="0"/>
              <w:strike w:val="0"/>
              <w:dstrike w:val="0"/>
              <w:vanish w:val="0"/>
              <w:color w:val="000000"/>
              <w:position w:val="0"/>
              <w:sz w:val="24"/>
              <w:szCs w:val="24"/>
              <w:u w:val="none"/>
              <w:shd w:val="clear" w:fill="auto"/>
              <w:vertAlign w:val="baseline"/>
              <w:lang w:val="en-GB"/>
            </w:rPr>
            <w:t xml:space="preserve">  29</w:t>
          </w:r>
          <w:r>
            <w:rPr>
              <w:rFonts w:eastAsia="Times New Roman" w:cs="Times New Roman"/>
              <w:b w:val="0"/>
              <w:i w:val="0"/>
              <w:caps w:val="0"/>
              <w:smallCaps w:val="0"/>
              <w:strike w:val="0"/>
              <w:dstrike w:val="0"/>
              <w:vanish w:val="0"/>
              <w:color w:val="000000"/>
              <w:position w:val="0"/>
              <w:sz w:val="24"/>
              <w:szCs w:val="24"/>
              <w:u w:val="none"/>
              <w:shd w:val="clear" w:fill="auto"/>
              <w:vertAlign w:val="baseline"/>
              <w:lang w:val="en-GB"/>
            </w:rPr>
            <w:fldChar w:fldCharType="end"/>
          </w:r>
        </w:p>
      </w:sdtContent>
    </w:sdt>
    <w:p w14:paraId="090F4157">
      <w:pPr>
        <w:spacing w:before="0" w:after="200" w:line="360" w:lineRule="auto"/>
        <w:jc w:val="both"/>
        <w:rPr>
          <w:rFonts w:ascii="Arial" w:hAnsi="Arial"/>
          <w:sz w:val="24"/>
          <w:szCs w:val="24"/>
        </w:rPr>
      </w:pPr>
    </w:p>
    <w:p w14:paraId="46928478">
      <w:pPr>
        <w:spacing w:before="0" w:after="200" w:line="360" w:lineRule="auto"/>
        <w:jc w:val="both"/>
        <w:rPr>
          <w:rFonts w:ascii="Arial" w:hAnsi="Arial"/>
          <w:sz w:val="24"/>
          <w:szCs w:val="24"/>
        </w:rPr>
      </w:pPr>
    </w:p>
    <w:p w14:paraId="19C44552">
      <w:pPr>
        <w:spacing w:before="0" w:after="200" w:line="360" w:lineRule="auto"/>
        <w:jc w:val="both"/>
        <w:rPr>
          <w:rFonts w:ascii="Arial" w:hAnsi="Arial"/>
          <w:sz w:val="24"/>
          <w:szCs w:val="24"/>
        </w:rPr>
      </w:pPr>
      <w:r>
        <w:br w:type="page"/>
      </w:r>
    </w:p>
    <w:p w14:paraId="7300C080">
      <w:pPr>
        <w:spacing w:before="0" w:after="200" w:line="360" w:lineRule="auto"/>
        <w:jc w:val="both"/>
        <w:rPr>
          <w:rFonts w:ascii="Arial" w:hAnsi="Arial"/>
          <w:sz w:val="24"/>
          <w:szCs w:val="24"/>
        </w:rPr>
      </w:pPr>
    </w:p>
    <w:p w14:paraId="6341A023">
      <w:pPr>
        <w:spacing w:before="0" w:after="200" w:line="360" w:lineRule="auto"/>
        <w:jc w:val="center"/>
        <w:rPr>
          <w:rFonts w:ascii="Arial" w:hAnsi="Arial"/>
          <w:b/>
          <w:bCs/>
          <w:sz w:val="24"/>
          <w:szCs w:val="24"/>
        </w:rPr>
      </w:pPr>
      <w:r>
        <w:rPr>
          <w:b/>
          <w:bCs/>
          <w:sz w:val="24"/>
          <w:szCs w:val="24"/>
        </w:rPr>
        <w:t>AI Use Acknowledgement</w:t>
      </w:r>
    </w:p>
    <w:p w14:paraId="449B7CA7">
      <w:pPr>
        <w:spacing w:before="0" w:after="200" w:line="360" w:lineRule="auto"/>
        <w:jc w:val="both"/>
        <w:rPr>
          <w:rFonts w:ascii="Arial" w:hAnsi="Arial"/>
          <w:sz w:val="24"/>
          <w:szCs w:val="24"/>
        </w:rPr>
      </w:pPr>
      <w:r>
        <w:t>I hereby confirm that core academic content, research, and final writing of this report are my own original work. Only credible academic literature, course materials and university instructions were relied upon to develop this report. No Generative AI tools or automated writing assistants, were used to research, write, generate or develop the academic content at any stage of this report. I only relied on grammarly strictly for proofreading and finding grammatical errors to manually correct them by myself.</w:t>
      </w:r>
    </w:p>
    <w:p w14:paraId="556CAE67">
      <w:pPr>
        <w:spacing w:before="0" w:after="200" w:line="360" w:lineRule="auto"/>
        <w:jc w:val="both"/>
        <w:rPr>
          <w:rFonts w:ascii="Arial" w:hAnsi="Arial"/>
          <w:sz w:val="24"/>
          <w:szCs w:val="24"/>
        </w:rPr>
      </w:pPr>
    </w:p>
    <w:p w14:paraId="4823E4A9">
      <w:pPr>
        <w:spacing w:before="0" w:after="200" w:line="360" w:lineRule="auto"/>
        <w:jc w:val="both"/>
        <w:rPr>
          <w:rFonts w:ascii="Arial" w:hAnsi="Arial"/>
          <w:sz w:val="24"/>
          <w:szCs w:val="24"/>
        </w:rPr>
      </w:pPr>
    </w:p>
    <w:p w14:paraId="73422553">
      <w:pPr>
        <w:spacing w:before="0" w:after="200" w:line="360" w:lineRule="auto"/>
        <w:jc w:val="both"/>
        <w:rPr>
          <w:rFonts w:ascii="Arial" w:hAnsi="Arial"/>
          <w:sz w:val="24"/>
          <w:szCs w:val="24"/>
        </w:rPr>
      </w:pPr>
    </w:p>
    <w:p w14:paraId="17294B0F">
      <w:pPr>
        <w:spacing w:before="0" w:after="200" w:line="360" w:lineRule="auto"/>
        <w:jc w:val="both"/>
        <w:rPr>
          <w:rFonts w:ascii="Arial" w:hAnsi="Arial"/>
          <w:sz w:val="24"/>
          <w:szCs w:val="24"/>
        </w:rPr>
      </w:pPr>
      <w:r>
        <w:br w:type="page"/>
      </w:r>
    </w:p>
    <w:p w14:paraId="124FB3C0">
      <w:pPr>
        <w:pStyle w:val="2"/>
        <w:spacing w:before="0" w:after="200" w:line="360" w:lineRule="auto"/>
        <w:jc w:val="both"/>
        <w:rPr>
          <w:rFonts w:ascii="Arial" w:hAnsi="Arial"/>
          <w:sz w:val="24"/>
          <w:szCs w:val="24"/>
        </w:rPr>
      </w:pPr>
      <w:r>
        <w:rPr>
          <w:rFonts w:ascii="Arial" w:hAnsi="Arial"/>
          <w:sz w:val="24"/>
          <w:szCs w:val="24"/>
        </w:rPr>
        <w:t>0.0. Introduction to the Report</w:t>
      </w:r>
    </w:p>
    <w:p w14:paraId="311E206D">
      <w:pPr>
        <w:pStyle w:val="32"/>
        <w:pageBreakBefore w:val="0"/>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r>
        <w:rPr>
          <w:rFonts w:ascii="Arial" w:hAnsi="Arial" w:eastAsia="Arial" w:cs="Arial"/>
          <w:b w:val="0"/>
          <w:i w:val="0"/>
          <w:caps w:val="0"/>
          <w:smallCaps w:val="0"/>
          <w:strike w:val="0"/>
          <w:dstrike w:val="0"/>
          <w:color w:val="000000"/>
          <w:sz w:val="24"/>
          <w:szCs w:val="24"/>
          <w:u w:val="none"/>
          <w:shd w:val="clear" w:fill="auto"/>
        </w:rPr>
        <w:tab/>
      </w:r>
      <w:r>
        <w:rPr>
          <w:rFonts w:ascii="Arial" w:hAnsi="Arial" w:eastAsia="Arial" w:cs="Arial"/>
          <w:b w:val="0"/>
          <w:i w:val="0"/>
          <w:caps w:val="0"/>
          <w:smallCaps w:val="0"/>
          <w:strike w:val="0"/>
          <w:dstrike w:val="0"/>
          <w:color w:val="000000"/>
          <w:sz w:val="24"/>
          <w:szCs w:val="24"/>
          <w:u w:val="none"/>
          <w:shd w:val="clear" w:fill="auto"/>
        </w:rPr>
        <w:t>Toyota is one of the world’s top selling automaker originally from Japan. Toyota is renowned for its Just-In-Time production system and Kaizen manufacturing philosophies. Mobility landscape is rapidly evolving because of hydrogen, hybrid and Battery Electric Vehicles (BEVs); and Toyota is navigating this complex landscape while integrating advanced AI into it’s logistics and manufacturing operations.</w:t>
      </w:r>
    </w:p>
    <w:p w14:paraId="00EC5842">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r>
        <w:rPr>
          <w:rFonts w:ascii="Arial" w:hAnsi="Arial" w:eastAsia="Arial" w:cs="Arial"/>
          <w:b w:val="0"/>
          <w:i w:val="0"/>
          <w:caps w:val="0"/>
          <w:smallCaps w:val="0"/>
          <w:strike w:val="0"/>
          <w:dstrike w:val="0"/>
          <w:color w:val="000000"/>
          <w:sz w:val="24"/>
          <w:szCs w:val="24"/>
          <w:u w:val="none"/>
          <w:shd w:val="clear" w:fill="auto"/>
        </w:rPr>
        <w:t>This report critically evaluates Toyota’s international marketing strategies between two contrasting markets with completely different socio - economic environments: its home market of Japan and its primary host market, the United States. Report uses macro environment frameworks like PESTLE, Hofstede framework for macro environmental analysis and STP and 7Ps for internal analysis against external factors.</w:t>
      </w:r>
    </w:p>
    <w:p w14:paraId="161A1936">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r>
        <w:rPr>
          <w:rFonts w:ascii="Arial" w:hAnsi="Arial" w:eastAsia="Arial" w:cs="Arial"/>
          <w:b w:val="0"/>
          <w:i w:val="0"/>
          <w:caps w:val="0"/>
          <w:smallCaps w:val="0"/>
          <w:strike w:val="0"/>
          <w:dstrike w:val="0"/>
          <w:color w:val="000000"/>
          <w:sz w:val="24"/>
          <w:szCs w:val="24"/>
          <w:u w:val="none"/>
          <w:shd w:val="clear" w:fill="auto"/>
        </w:rPr>
        <w:t>Based on this analysis, the report provides market entry strategy for USA, evaluates ethical concerns related to brand’s marketing mix in Japan and finally recommends how Toyota should move forward with their international marketing strategies.</w:t>
      </w:r>
    </w:p>
    <w:p w14:paraId="76466303">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p>
    <w:p w14:paraId="2FCADCCB">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p>
    <w:p w14:paraId="6FE6C7E9">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p>
    <w:p w14:paraId="62D0C58D">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r>
        <w:br w:type="page"/>
      </w:r>
    </w:p>
    <w:p w14:paraId="171DB036">
      <w:pPr>
        <w:pStyle w:val="2"/>
        <w:spacing w:before="0" w:after="200" w:line="360" w:lineRule="auto"/>
        <w:jc w:val="both"/>
        <w:rPr>
          <w:rFonts w:ascii="Arial" w:hAnsi="Arial"/>
          <w:sz w:val="24"/>
          <w:szCs w:val="24"/>
        </w:rPr>
      </w:pPr>
      <w:r>
        <w:rPr>
          <w:rFonts w:ascii="Arial" w:hAnsi="Arial"/>
          <w:sz w:val="24"/>
          <w:szCs w:val="24"/>
        </w:rPr>
        <w:t xml:space="preserve">1.0. </w:t>
      </w:r>
      <w:r>
        <w:rPr>
          <w:rFonts w:ascii="Arial" w:hAnsi="Arial"/>
          <w:b/>
          <w:bCs/>
          <w:sz w:val="24"/>
          <w:szCs w:val="24"/>
        </w:rPr>
        <w:t>Organisational Context and Overview</w:t>
      </w:r>
    </w:p>
    <w:p w14:paraId="61D8C3D9">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r>
        <w:rPr>
          <w:rFonts w:ascii="Arial" w:hAnsi="Arial" w:eastAsia="Arial" w:cs="Arial"/>
          <w:b/>
          <w:bCs/>
          <w:i w:val="0"/>
          <w:caps w:val="0"/>
          <w:smallCaps w:val="0"/>
          <w:strike w:val="0"/>
          <w:dstrike w:val="0"/>
          <w:color w:val="000000"/>
          <w:sz w:val="24"/>
          <w:szCs w:val="24"/>
          <w:u w:val="none"/>
          <w:shd w:val="clear" w:fill="auto"/>
        </w:rPr>
        <w:t>Background:</w:t>
      </w:r>
      <w:r>
        <w:rPr>
          <w:rFonts w:ascii="Arial" w:hAnsi="Arial" w:eastAsia="Arial" w:cs="Arial"/>
          <w:b w:val="0"/>
          <w:i w:val="0"/>
          <w:caps w:val="0"/>
          <w:smallCaps w:val="0"/>
          <w:strike w:val="0"/>
          <w:dstrike w:val="0"/>
          <w:color w:val="000000"/>
          <w:sz w:val="24"/>
          <w:szCs w:val="24"/>
          <w:u w:val="none"/>
          <w:shd w:val="clear" w:fill="auto"/>
        </w:rPr>
        <w:t xml:space="preserve"> Toyota was founded in 1937 as ‘ Toyota Motor Co., Ltd. ‘ by Kiichiro Toyoda. Since then, Toyota has grown into one of the world's largest automakers and kept is positioin as world’s best selling automotive manufacturer for past 6 years </w:t>
      </w:r>
      <w:r>
        <w:rPr>
          <w:rFonts w:ascii="Arial" w:hAnsi="Arial" w:eastAsia="Times New Roman" w:cs="Times New Roman"/>
          <w:b w:val="0"/>
          <w:i w:val="0"/>
          <w:caps w:val="0"/>
          <w:smallCaps w:val="0"/>
          <w:strike w:val="0"/>
          <w:dstrike w:val="0"/>
          <w:color w:val="000000"/>
          <w:sz w:val="24"/>
          <w:szCs w:val="24"/>
          <w:u w:val="none"/>
          <w:shd w:val="clear" w:fill="auto"/>
        </w:rPr>
        <w:t>(Anadolu Ajansı, 2026)</w:t>
      </w:r>
      <w:r>
        <w:rPr>
          <w:rFonts w:ascii="Arial" w:hAnsi="Arial" w:eastAsia="Arial" w:cs="Arial"/>
          <w:b w:val="0"/>
          <w:i w:val="0"/>
          <w:caps w:val="0"/>
          <w:smallCaps w:val="0"/>
          <w:strike w:val="0"/>
          <w:dstrike w:val="0"/>
          <w:color w:val="000000"/>
          <w:sz w:val="24"/>
          <w:szCs w:val="24"/>
          <w:u w:val="none"/>
          <w:shd w:val="clear" w:fill="auto"/>
        </w:rPr>
        <w:t xml:space="preserve">. Toyota’s portfolio consists of multiple brands including Toyota marque, it’s luxury brand Lexus and toyota holds minority stakes in Subaru and Mazda. Despite facing multiple macroeconomic challenges, the Toyota Group sold over 11.3 million vehicles in 2025 and it is projected to reach consolidated revenue of 50 trillion Japanese Yen in 2026 </w:t>
      </w:r>
      <w:r>
        <w:rPr>
          <w:rFonts w:ascii="Arial" w:hAnsi="Arial" w:eastAsia="Times New Roman" w:cs="Times New Roman"/>
          <w:b w:val="0"/>
          <w:i w:val="0"/>
          <w:caps w:val="0"/>
          <w:smallCaps w:val="0"/>
          <w:strike w:val="0"/>
          <w:dstrike w:val="0"/>
          <w:color w:val="000000"/>
          <w:sz w:val="24"/>
          <w:szCs w:val="24"/>
          <w:u w:val="none"/>
          <w:shd w:val="clear" w:fill="auto"/>
        </w:rPr>
        <w:t>(Anadolu Ajansı, 2026)</w:t>
      </w:r>
      <w:r>
        <w:rPr>
          <w:rFonts w:ascii="Arial" w:hAnsi="Arial" w:eastAsia="Arial" w:cs="Arial"/>
          <w:b w:val="0"/>
          <w:i w:val="0"/>
          <w:caps w:val="0"/>
          <w:smallCaps w:val="0"/>
          <w:strike w:val="0"/>
          <w:dstrike w:val="0"/>
          <w:color w:val="000000"/>
          <w:sz w:val="24"/>
          <w:szCs w:val="24"/>
          <w:u w:val="none"/>
          <w:shd w:val="clear" w:fill="auto"/>
        </w:rPr>
        <w:t xml:space="preserve">. This resilience and growth is mainly driven by its robust global supply chain and cost improvement initiatives. </w:t>
      </w:r>
    </w:p>
    <w:p w14:paraId="726F494B">
      <w:pPr>
        <w:pStyle w:val="32"/>
        <w:widowControl/>
        <w:bidi w:val="0"/>
        <w:spacing w:before="0" w:after="200" w:line="360" w:lineRule="auto"/>
        <w:ind w:left="0" w:right="0" w:firstLine="0"/>
        <w:jc w:val="center"/>
        <w:rPr>
          <w:rFonts w:ascii="Arial" w:hAnsi="Arial" w:eastAsia="Arial" w:cs="Arial"/>
          <w:b w:val="0"/>
          <w:i w:val="0"/>
          <w:caps w:val="0"/>
          <w:smallCaps w:val="0"/>
          <w:strike w:val="0"/>
          <w:dstrike w:val="0"/>
          <w:color w:val="000000"/>
          <w:sz w:val="24"/>
          <w:szCs w:val="24"/>
          <w:u w:val="none"/>
          <w:shd w:val="clear" w:fill="auto"/>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4664075" cy="1576070"/>
            <wp:effectExtent l="0" t="0" r="14605" b="8890"/>
            <wp:wrapTopAndBottom/>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12"/>
                    <a:stretch>
                      <a:fillRect/>
                    </a:stretch>
                  </pic:blipFill>
                  <pic:spPr>
                    <a:xfrm>
                      <a:off x="0" y="0"/>
                      <a:ext cx="4664075" cy="1576070"/>
                    </a:xfrm>
                    <a:prstGeom prst="rect">
                      <a:avLst/>
                    </a:prstGeom>
                    <a:noFill/>
                  </pic:spPr>
                </pic:pic>
              </a:graphicData>
            </a:graphic>
          </wp:anchor>
        </w:drawing>
      </w:r>
      <w:r>
        <w:rPr>
          <w:rFonts w:ascii="Arial" w:hAnsi="Arial" w:eastAsia="Arial" w:cs="Arial"/>
          <w:b w:val="0"/>
          <w:i w:val="0"/>
          <w:caps w:val="0"/>
          <w:smallCaps w:val="0"/>
          <w:strike w:val="0"/>
          <w:dstrike w:val="0"/>
          <w:color w:val="000000"/>
          <w:sz w:val="18"/>
          <w:szCs w:val="18"/>
          <w:u w:val="none"/>
          <w:shd w:val="clear" w:fill="auto"/>
        </w:rPr>
        <w:t xml:space="preserve">(Source: </w:t>
      </w:r>
      <w:r>
        <w:fldChar w:fldCharType="begin"/>
      </w:r>
      <w:r>
        <w:instrText xml:space="preserve"> HYPERLINK "https://www.quantumrun.com/consulting/toyota-statistics/" \h </w:instrText>
      </w:r>
      <w:r>
        <w:fldChar w:fldCharType="separate"/>
      </w:r>
      <w:r>
        <w:rPr>
          <w:rStyle w:val="17"/>
          <w:rFonts w:ascii="Arial" w:hAnsi="Arial" w:eastAsia="Arial" w:cs="Arial"/>
          <w:b w:val="0"/>
          <w:i w:val="0"/>
          <w:caps w:val="0"/>
          <w:smallCaps w:val="0"/>
          <w:strike w:val="0"/>
          <w:dstrike w:val="0"/>
          <w:color w:val="000000"/>
          <w:sz w:val="18"/>
          <w:szCs w:val="18"/>
          <w:u w:val="none"/>
          <w:shd w:val="clear" w:fill="auto"/>
        </w:rPr>
        <w:t>https://www.quantumrun.com/consulting/toyota-statistics/</w:t>
      </w:r>
      <w:r>
        <w:rPr>
          <w:rStyle w:val="17"/>
          <w:rFonts w:ascii="Arial" w:hAnsi="Arial" w:eastAsia="Arial" w:cs="Arial"/>
          <w:b w:val="0"/>
          <w:i w:val="0"/>
          <w:caps w:val="0"/>
          <w:smallCaps w:val="0"/>
          <w:strike w:val="0"/>
          <w:dstrike w:val="0"/>
          <w:color w:val="000000"/>
          <w:sz w:val="18"/>
          <w:szCs w:val="18"/>
          <w:u w:val="none"/>
          <w:shd w:val="clear" w:fill="auto"/>
        </w:rPr>
        <w:fldChar w:fldCharType="end"/>
      </w:r>
      <w:r>
        <w:rPr>
          <w:rFonts w:ascii="Arial" w:hAnsi="Arial" w:eastAsia="Arial" w:cs="Arial"/>
          <w:b w:val="0"/>
          <w:i w:val="0"/>
          <w:caps w:val="0"/>
          <w:smallCaps w:val="0"/>
          <w:strike w:val="0"/>
          <w:dstrike w:val="0"/>
          <w:color w:val="000000"/>
          <w:sz w:val="18"/>
          <w:szCs w:val="18"/>
          <w:u w:val="none"/>
          <w:shd w:val="clear" w:fill="auto"/>
        </w:rPr>
        <w:t xml:space="preserve"> )</w:t>
      </w:r>
    </w:p>
    <w:p w14:paraId="20BF0C57">
      <w:pPr>
        <w:pStyle w:val="32"/>
        <w:widowControl/>
        <w:bidi w:val="0"/>
        <w:spacing w:before="0" w:after="200" w:line="360" w:lineRule="auto"/>
        <w:ind w:left="0" w:right="0" w:firstLine="0"/>
        <w:jc w:val="both"/>
        <w:rPr>
          <w:rFonts w:ascii="Arial" w:hAnsi="Arial" w:eastAsia="Arial" w:cs="Arial"/>
          <w:b/>
          <w:bCs/>
          <w:i w:val="0"/>
          <w:caps w:val="0"/>
          <w:smallCaps w:val="0"/>
          <w:strike w:val="0"/>
          <w:dstrike w:val="0"/>
          <w:color w:val="000000"/>
          <w:sz w:val="24"/>
          <w:szCs w:val="24"/>
          <w:u w:val="none"/>
          <w:shd w:val="clear" w:fill="auto"/>
        </w:rPr>
      </w:pPr>
      <w:r>
        <w:rPr>
          <w:rFonts w:ascii="Arial" w:hAnsi="Arial" w:eastAsia="Arial" w:cs="Arial"/>
          <w:b/>
          <w:bCs/>
          <w:i w:val="0"/>
          <w:caps w:val="0"/>
          <w:smallCaps w:val="0"/>
          <w:strike w:val="0"/>
          <w:dstrike w:val="0"/>
          <w:color w:val="000000"/>
          <w:sz w:val="24"/>
          <w:szCs w:val="24"/>
          <w:u w:val="none"/>
          <w:shd w:val="clear" w:fill="auto"/>
        </w:rPr>
        <w:t>Vision Statement :</w:t>
      </w:r>
    </w:p>
    <w:p w14:paraId="188EF2B1">
      <w:pPr>
        <w:pStyle w:val="32"/>
        <w:widowControl/>
        <w:bidi w:val="0"/>
        <w:spacing w:before="0" w:after="200" w:line="360" w:lineRule="auto"/>
        <w:ind w:left="0" w:right="0" w:firstLine="0"/>
        <w:jc w:val="center"/>
        <w:rPr>
          <w:rFonts w:ascii="Arial" w:hAnsi="Arial" w:eastAsia="Arial" w:cs="Arial"/>
          <w:b w:val="0"/>
          <w:i w:val="0"/>
          <w:caps w:val="0"/>
          <w:smallCaps w:val="0"/>
          <w:strike w:val="0"/>
          <w:dstrike w:val="0"/>
          <w:color w:val="000000"/>
          <w:sz w:val="24"/>
          <w:szCs w:val="24"/>
          <w:u w:val="none"/>
          <w:shd w:val="clear" w:fill="auto"/>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5731510" cy="854710"/>
            <wp:effectExtent l="0" t="0" r="13970" b="13970"/>
            <wp:wrapTopAndBottom/>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13"/>
                    <a:stretch>
                      <a:fillRect/>
                    </a:stretch>
                  </pic:blipFill>
                  <pic:spPr>
                    <a:xfrm>
                      <a:off x="0" y="0"/>
                      <a:ext cx="5731510" cy="854710"/>
                    </a:xfrm>
                    <a:prstGeom prst="rect">
                      <a:avLst/>
                    </a:prstGeom>
                    <a:noFill/>
                  </pic:spPr>
                </pic:pic>
              </a:graphicData>
            </a:graphic>
          </wp:anchor>
        </w:drawing>
      </w:r>
      <w:r>
        <w:rPr>
          <w:rFonts w:ascii="Arial" w:hAnsi="Arial" w:eastAsia="Arial" w:cs="Arial"/>
          <w:b w:val="0"/>
          <w:i w:val="0"/>
          <w:caps w:val="0"/>
          <w:smallCaps w:val="0"/>
          <w:strike w:val="0"/>
          <w:dstrike w:val="0"/>
          <w:color w:val="000000"/>
          <w:sz w:val="18"/>
          <w:szCs w:val="18"/>
          <w:u w:val="none"/>
          <w:shd w:val="clear" w:fill="auto"/>
        </w:rPr>
        <w:t xml:space="preserve">(Source: </w:t>
      </w:r>
      <w:r>
        <w:fldChar w:fldCharType="begin"/>
      </w:r>
      <w:r>
        <w:instrText xml:space="preserve"> HYPERLINK "https://global.toyota/en/company/vision-and-philosophy/global-vision/" \h </w:instrText>
      </w:r>
      <w:r>
        <w:fldChar w:fldCharType="separate"/>
      </w:r>
      <w:r>
        <w:rPr>
          <w:rStyle w:val="17"/>
          <w:rFonts w:ascii="Arial" w:hAnsi="Arial" w:eastAsia="Arial" w:cs="Arial"/>
          <w:b w:val="0"/>
          <w:i w:val="0"/>
          <w:caps w:val="0"/>
          <w:smallCaps w:val="0"/>
          <w:strike w:val="0"/>
          <w:dstrike w:val="0"/>
          <w:color w:val="000000"/>
          <w:sz w:val="18"/>
          <w:szCs w:val="18"/>
          <w:u w:val="none"/>
          <w:shd w:val="clear" w:fill="auto"/>
        </w:rPr>
        <w:t>https://global.toyota/en/company/vision-and-philosophy/global-vision/</w:t>
      </w:r>
      <w:r>
        <w:rPr>
          <w:rStyle w:val="17"/>
          <w:rFonts w:ascii="Arial" w:hAnsi="Arial" w:eastAsia="Arial" w:cs="Arial"/>
          <w:b w:val="0"/>
          <w:i w:val="0"/>
          <w:caps w:val="0"/>
          <w:smallCaps w:val="0"/>
          <w:strike w:val="0"/>
          <w:dstrike w:val="0"/>
          <w:color w:val="000000"/>
          <w:sz w:val="18"/>
          <w:szCs w:val="18"/>
          <w:u w:val="none"/>
          <w:shd w:val="clear" w:fill="auto"/>
        </w:rPr>
        <w:fldChar w:fldCharType="end"/>
      </w:r>
      <w:r>
        <w:rPr>
          <w:rFonts w:ascii="Arial" w:hAnsi="Arial" w:eastAsia="Arial" w:cs="Arial"/>
          <w:b w:val="0"/>
          <w:i w:val="0"/>
          <w:caps w:val="0"/>
          <w:smallCaps w:val="0"/>
          <w:strike w:val="0"/>
          <w:dstrike w:val="0"/>
          <w:color w:val="000000"/>
          <w:sz w:val="18"/>
          <w:szCs w:val="18"/>
          <w:u w:val="none"/>
          <w:shd w:val="clear" w:fill="auto"/>
        </w:rPr>
        <w:t>)</w:t>
      </w:r>
    </w:p>
    <w:p w14:paraId="047BB374">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p>
    <w:p w14:paraId="4539B1E4">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r>
        <w:rPr>
          <w:rFonts w:ascii="Arial" w:hAnsi="Arial" w:eastAsia="Arial" w:cs="Arial"/>
          <w:b/>
          <w:bCs/>
          <w:i w:val="0"/>
          <w:caps w:val="0"/>
          <w:smallCaps w:val="0"/>
          <w:strike w:val="0"/>
          <w:dstrike w:val="0"/>
          <w:color w:val="000000"/>
          <w:sz w:val="24"/>
          <w:szCs w:val="24"/>
          <w:u w:val="none"/>
          <w:shd w:val="clear" w:fill="auto"/>
        </w:rPr>
        <w:t>1.1 Markets Overview</w:t>
      </w:r>
    </w:p>
    <w:p w14:paraId="657D6306">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r>
        <w:rPr>
          <w:rFonts w:ascii="Arial" w:hAnsi="Arial" w:eastAsia="Arial" w:cs="Arial"/>
          <w:b/>
          <w:bCs/>
          <w:i w:val="0"/>
          <w:caps w:val="0"/>
          <w:smallCaps w:val="0"/>
          <w:strike w:val="0"/>
          <w:dstrike w:val="0"/>
          <w:color w:val="000000"/>
          <w:sz w:val="24"/>
          <w:szCs w:val="24"/>
          <w:u w:val="none"/>
          <w:shd w:val="clear" w:fill="auto"/>
        </w:rPr>
        <w:t>Japan (Home Country):</w:t>
      </w:r>
      <w:r>
        <w:rPr>
          <w:rFonts w:ascii="Arial" w:hAnsi="Arial" w:eastAsia="Arial" w:cs="Arial"/>
          <w:b w:val="0"/>
          <w:i w:val="0"/>
          <w:caps w:val="0"/>
          <w:smallCaps w:val="0"/>
          <w:strike w:val="0"/>
          <w:dstrike w:val="0"/>
          <w:color w:val="000000"/>
          <w:sz w:val="24"/>
          <w:szCs w:val="24"/>
          <w:u w:val="none"/>
          <w:shd w:val="clear" w:fill="auto"/>
        </w:rPr>
        <w:t xml:space="preserve"> Japan is Toyota’s domestic headquarters and it’s 3</w:t>
      </w:r>
      <w:r>
        <w:rPr>
          <w:rFonts w:ascii="Arial" w:hAnsi="Arial" w:eastAsia="Arial" w:cs="Arial"/>
          <w:b w:val="0"/>
          <w:i w:val="0"/>
          <w:caps w:val="0"/>
          <w:smallCaps w:val="0"/>
          <w:strike w:val="0"/>
          <w:dstrike w:val="0"/>
          <w:color w:val="000000"/>
          <w:sz w:val="24"/>
          <w:szCs w:val="24"/>
          <w:u w:val="none"/>
          <w:shd w:val="clear" w:fill="auto"/>
          <w:vertAlign w:val="superscript"/>
        </w:rPr>
        <w:t>rd</w:t>
      </w:r>
      <w:r>
        <w:rPr>
          <w:rFonts w:ascii="Arial" w:hAnsi="Arial" w:eastAsia="Arial" w:cs="Arial"/>
          <w:b w:val="0"/>
          <w:i w:val="0"/>
          <w:caps w:val="0"/>
          <w:smallCaps w:val="0"/>
          <w:strike w:val="0"/>
          <w:dstrike w:val="0"/>
          <w:color w:val="000000"/>
          <w:sz w:val="24"/>
          <w:szCs w:val="24"/>
          <w:u w:val="none"/>
          <w:shd w:val="clear" w:fill="auto"/>
        </w:rPr>
        <w:t xml:space="preserve"> largest market globally, where brand dominates this market with 37.7% market share. It is Toyota's most critical production hub with vehicles output of 3,275,268 in 2025 (Quantumrun, 2026). Toyota recorded 4.1% year-over-year increase in sales with 1,501,263 vehicle sold within Japan (Quantumrun, 2026). </w:t>
      </w:r>
    </w:p>
    <w:p w14:paraId="369B11D8">
      <w:pPr>
        <w:pStyle w:val="32"/>
        <w:widowControl/>
        <w:bidi w:val="0"/>
        <w:spacing w:before="0" w:after="200" w:line="360" w:lineRule="auto"/>
        <w:ind w:left="0" w:right="0" w:firstLine="0"/>
        <w:jc w:val="center"/>
        <w:rPr>
          <w:rFonts w:ascii="Arial" w:hAnsi="Arial" w:eastAsia="Arial" w:cs="Arial"/>
          <w:b w:val="0"/>
          <w:i w:val="0"/>
          <w:caps w:val="0"/>
          <w:smallCaps w:val="0"/>
          <w:strike w:val="0"/>
          <w:dstrike w:val="0"/>
          <w:color w:val="000000"/>
          <w:sz w:val="18"/>
          <w:szCs w:val="18"/>
          <w:u w:val="none"/>
          <w:shd w:val="clear" w:fill="auto"/>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3949700" cy="3716020"/>
            <wp:effectExtent l="0" t="0" r="12700" b="2540"/>
            <wp:wrapTopAndBottom/>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14"/>
                    <a:stretch>
                      <a:fillRect/>
                    </a:stretch>
                  </pic:blipFill>
                  <pic:spPr>
                    <a:xfrm>
                      <a:off x="0" y="0"/>
                      <a:ext cx="3949700" cy="3716020"/>
                    </a:xfrm>
                    <a:prstGeom prst="rect">
                      <a:avLst/>
                    </a:prstGeom>
                    <a:noFill/>
                  </pic:spPr>
                </pic:pic>
              </a:graphicData>
            </a:graphic>
          </wp:anchor>
        </w:drawing>
      </w:r>
      <w:r>
        <w:rPr>
          <w:sz w:val="18"/>
          <w:szCs w:val="18"/>
        </w:rPr>
        <w:t xml:space="preserve">(Source: </w:t>
      </w:r>
      <w:r>
        <w:fldChar w:fldCharType="begin"/>
      </w:r>
      <w:r>
        <w:instrText xml:space="preserve"> HYPERLINK "https://www.quantumrun.com/consulting/toyota-statistics/" \h </w:instrText>
      </w:r>
      <w:r>
        <w:fldChar w:fldCharType="separate"/>
      </w:r>
      <w:r>
        <w:rPr>
          <w:rStyle w:val="17"/>
          <w:color w:val="000000"/>
          <w:sz w:val="18"/>
          <w:szCs w:val="18"/>
          <w:u w:val="none"/>
        </w:rPr>
        <w:t>https://www.quantumrun.com/consulting/toyota-statistics/</w:t>
      </w:r>
      <w:r>
        <w:rPr>
          <w:rStyle w:val="17"/>
          <w:color w:val="000000"/>
          <w:sz w:val="18"/>
          <w:szCs w:val="18"/>
          <w:u w:val="none"/>
        </w:rPr>
        <w:fldChar w:fldCharType="end"/>
      </w:r>
      <w:r>
        <w:rPr>
          <w:sz w:val="18"/>
          <w:szCs w:val="18"/>
        </w:rPr>
        <w:t xml:space="preserve"> )</w:t>
      </w:r>
    </w:p>
    <w:p w14:paraId="54582B1F">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p>
    <w:p w14:paraId="35967760">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r>
        <w:rPr>
          <w:rFonts w:ascii="Arial" w:hAnsi="Arial" w:eastAsia="Arial" w:cs="Arial"/>
          <w:b/>
          <w:bCs/>
          <w:i w:val="0"/>
          <w:caps w:val="0"/>
          <w:smallCaps w:val="0"/>
          <w:strike w:val="0"/>
          <w:dstrike w:val="0"/>
          <w:color w:val="000000"/>
          <w:sz w:val="24"/>
          <w:szCs w:val="24"/>
          <w:u w:val="none"/>
          <w:shd w:val="clear" w:fill="auto"/>
        </w:rPr>
        <w:t>USA (Primary Host Market):</w:t>
      </w:r>
      <w:r>
        <w:rPr>
          <w:rFonts w:ascii="Arial" w:hAnsi="Arial" w:eastAsia="Arial" w:cs="Arial"/>
          <w:b w:val="0"/>
          <w:i w:val="0"/>
          <w:caps w:val="0"/>
          <w:smallCaps w:val="0"/>
          <w:strike w:val="0"/>
          <w:dstrike w:val="0"/>
          <w:color w:val="000000"/>
          <w:sz w:val="24"/>
          <w:szCs w:val="24"/>
          <w:u w:val="none"/>
          <w:shd w:val="clear" w:fill="auto"/>
        </w:rPr>
        <w:t xml:space="preserve"> Since entering USA market in 1957, It has become Toyota’s largest market globally. Toyota started sales in 1958 under Toyota Motor Sales, U.S.A., Inc. USA seemed unfavorable initially, because of incompatible cars and other macro economic factors. But Toyota turned to innovation and macro environment factors shifted in Toyota’s favor.</w:t>
      </w:r>
    </w:p>
    <w:p w14:paraId="1C32E6ED">
      <w:pPr>
        <w:pStyle w:val="32"/>
        <w:widowControl/>
        <w:bidi w:val="0"/>
        <w:spacing w:before="0" w:after="200" w:line="360" w:lineRule="auto"/>
        <w:ind w:left="0" w:right="0" w:firstLine="0"/>
        <w:jc w:val="both"/>
        <w:rPr>
          <w:rFonts w:ascii="Arial" w:hAnsi="Arial" w:eastAsia="Arial" w:cs="Arial"/>
          <w:b w:val="0"/>
          <w:i w:val="0"/>
          <w:caps w:val="0"/>
          <w:smallCaps w:val="0"/>
          <w:strike w:val="0"/>
          <w:dstrike w:val="0"/>
          <w:color w:val="000000"/>
          <w:sz w:val="24"/>
          <w:szCs w:val="24"/>
          <w:u w:val="none"/>
          <w:shd w:val="clear" w:fill="auto"/>
        </w:rPr>
      </w:pPr>
      <w:r>
        <w:rPr>
          <w:rFonts w:ascii="Arial" w:hAnsi="Arial" w:eastAsia="Arial" w:cs="Arial"/>
          <w:b/>
          <w:bCs/>
          <w:i w:val="0"/>
          <w:caps w:val="0"/>
          <w:smallCaps w:val="0"/>
          <w:strike w:val="0"/>
          <w:dstrike w:val="0"/>
          <w:color w:val="000000"/>
          <w:sz w:val="24"/>
          <w:szCs w:val="24"/>
          <w:u w:val="none"/>
          <w:shd w:val="clear" w:fill="auto"/>
        </w:rPr>
        <w:t>Evolution:</w:t>
      </w:r>
      <w:r>
        <w:rPr>
          <w:rFonts w:ascii="Arial" w:hAnsi="Arial" w:eastAsia="Arial" w:cs="Arial"/>
          <w:b w:val="0"/>
          <w:i w:val="0"/>
          <w:caps w:val="0"/>
          <w:smallCaps w:val="0"/>
          <w:strike w:val="0"/>
          <w:dstrike w:val="0"/>
          <w:color w:val="000000"/>
          <w:sz w:val="24"/>
          <w:szCs w:val="24"/>
          <w:u w:val="none"/>
          <w:shd w:val="clear" w:fill="auto"/>
        </w:rPr>
        <w:t xml:space="preserve"> Brand captured 15% market share and sold 2,518,071 vehicles In 2025; which was an 8.0% increase from the previous year (Toyota USA Newsroom, 2026). Toyota’s 47% of the totals sales (in volume) were of electrified vehicles, which shows that demand for Toyota’s electrified vehicles is increasing. Models like the RAV4 Hybrid achieved all-time best-ever sales records in the US in 2026 (Toyota USA Newsroom, 2026).</w:t>
      </w:r>
    </w:p>
    <w:p w14:paraId="0422997C">
      <w:pPr>
        <w:spacing w:before="0" w:after="200" w:line="360" w:lineRule="auto"/>
        <w:jc w:val="both"/>
        <w:rPr>
          <w:b/>
          <w:bCs/>
          <w:sz w:val="24"/>
          <w:szCs w:val="24"/>
        </w:rPr>
      </w:pPr>
      <w:r>
        <w:rPr>
          <w:b/>
          <w:bCs/>
          <w:sz w:val="24"/>
          <w:szCs w:val="24"/>
        </w:rPr>
        <w:t>1.1 Macro Environment Analysis (PESTEL Analysis)</w:t>
      </w:r>
    </w:p>
    <w:p w14:paraId="3BEFCF73">
      <w:pPr>
        <w:bidi w:val="0"/>
        <w:spacing w:before="0" w:after="200" w:line="360" w:lineRule="auto"/>
        <w:jc w:val="both"/>
        <w:rPr>
          <w:rFonts w:ascii="Arial" w:hAnsi="Arial"/>
          <w:sz w:val="24"/>
          <w:szCs w:val="24"/>
        </w:rPr>
      </w:pPr>
      <w:r>
        <w:rPr>
          <w:sz w:val="24"/>
          <w:szCs w:val="24"/>
        </w:rPr>
        <w:t>PESTEL framework highlights critical contrasts between Toyota’s home country (Japan) and its primary host country (the United States), to evaluate macro level market conditions that dictate international marketing strategies. For each factor, the analysis identifies conditions favourable and unfavourable to Toyota in both markets, since a genuinely international marketing strategy must be able to absorb these shared pressures rather than country specifics.</w:t>
      </w:r>
    </w:p>
    <w:p w14:paraId="04F1996A">
      <w:pPr>
        <w:bidi w:val="0"/>
        <w:spacing w:before="0" w:after="200" w:line="360" w:lineRule="auto"/>
        <w:jc w:val="both"/>
        <w:rPr>
          <w:rFonts w:ascii="Arial" w:hAnsi="Arial"/>
          <w:sz w:val="24"/>
          <w:szCs w:val="24"/>
        </w:rPr>
      </w:pPr>
      <w:r>
        <w:rPr>
          <w:b/>
          <w:bCs/>
          <w:sz w:val="24"/>
          <w:szCs w:val="24"/>
        </w:rPr>
        <w:t>Political Factors</w:t>
      </w:r>
    </w:p>
    <w:p w14:paraId="4C6C1388">
      <w:pPr>
        <w:bidi w:val="0"/>
        <w:spacing w:before="0" w:after="200" w:line="360" w:lineRule="auto"/>
        <w:jc w:val="both"/>
        <w:rPr>
          <w:rFonts w:ascii="Arial" w:hAnsi="Arial"/>
          <w:sz w:val="24"/>
          <w:szCs w:val="24"/>
        </w:rPr>
      </w:pPr>
      <w:r>
        <w:rPr>
          <w:sz w:val="24"/>
          <w:szCs w:val="24"/>
        </w:rPr>
        <w:t>Japan's political environment has recently been less stable than its previous record. Prime Minister Shigeru Ishiba announced his resignation in September 2025 amid the finalisation of the US–Japan trade framework, with Sanae Takaichi subsequently taking office (Congress.gov, 2026; CNBC, 2026). The USA, under the Trump administration, has pursued an assertively protectionist trade policy, using Section 232 tariff powers on autos, steel, and other sectors as negotiating leverage (Congress.gov, 2026).</w:t>
      </w:r>
    </w:p>
    <w:p w14:paraId="1D7A3061">
      <w:pPr>
        <w:bidi w:val="0"/>
        <w:spacing w:before="0" w:after="200" w:line="360" w:lineRule="auto"/>
        <w:jc w:val="both"/>
        <w:rPr>
          <w:rFonts w:ascii="Arial" w:hAnsi="Arial"/>
          <w:sz w:val="24"/>
          <w:szCs w:val="24"/>
        </w:rPr>
      </w:pPr>
      <w:r>
        <w:rPr>
          <w:b/>
          <w:bCs/>
          <w:sz w:val="24"/>
          <w:szCs w:val="24"/>
        </w:rPr>
        <w:t>Favourable in both:</w:t>
      </w:r>
      <w:r>
        <w:rPr>
          <w:sz w:val="24"/>
          <w:szCs w:val="24"/>
        </w:rPr>
        <w:t xml:space="preserve"> The 2025 US–Japan Framework Agreement reduced the US tariff on Japanese automobiles and parts from 27.5% to 15%, and Japan secured US commitments for a pledged $550 billion US investment fund. A bilateral deal reduces trade friction for both governments (Congress.gov, 2026; CBT News, 2025).  Moreover, Japan offers more supportive policies and operational environment for Toyota’s manufacturing and development activities. USA also encourages investments to expand Toyota’s local production capacity (Toyota Motor North America, 2025).</w:t>
      </w:r>
    </w:p>
    <w:p w14:paraId="0E735865">
      <w:pPr>
        <w:bidi w:val="0"/>
        <w:spacing w:before="0" w:after="200" w:line="360" w:lineRule="auto"/>
        <w:jc w:val="both"/>
        <w:rPr>
          <w:rFonts w:ascii="Arial" w:hAnsi="Arial"/>
          <w:sz w:val="24"/>
          <w:szCs w:val="24"/>
        </w:rPr>
      </w:pPr>
      <w:r>
        <w:rPr>
          <w:b/>
          <w:bCs/>
          <w:sz w:val="24"/>
          <w:szCs w:val="24"/>
        </w:rPr>
        <w:t>Unfavourable in both:</w:t>
      </w:r>
      <w:r>
        <w:rPr>
          <w:sz w:val="24"/>
          <w:szCs w:val="24"/>
        </w:rPr>
        <w:t xml:space="preserve"> Japan’s push regarding vehicle electrification suggests huge capital costs for Toyota. Despite the trade agreement, any future changes in the trade policies (even within states) may increase compliance costs for Toyota. For example: further Section 232 investigations remain open on semiconductors and critical minerals, and Japan's leadership transition creates implementation risk, meaning the tariff relief both countries are relying on could still be revised (Congress.gov, 2026).</w:t>
      </w:r>
    </w:p>
    <w:p w14:paraId="2EAC2D96">
      <w:pPr>
        <w:bidi w:val="0"/>
        <w:spacing w:before="0" w:after="200" w:line="360" w:lineRule="auto"/>
        <w:jc w:val="both"/>
        <w:rPr>
          <w:rFonts w:ascii="Arial" w:hAnsi="Arial"/>
          <w:sz w:val="24"/>
          <w:szCs w:val="24"/>
        </w:rPr>
      </w:pPr>
    </w:p>
    <w:p w14:paraId="1790B26E">
      <w:pPr>
        <w:bidi w:val="0"/>
        <w:spacing w:before="0" w:after="200" w:line="360" w:lineRule="auto"/>
        <w:jc w:val="both"/>
        <w:rPr>
          <w:rFonts w:ascii="Arial" w:hAnsi="Arial"/>
          <w:b/>
          <w:bCs/>
          <w:sz w:val="24"/>
          <w:szCs w:val="24"/>
        </w:rPr>
      </w:pPr>
      <w:r>
        <w:rPr>
          <w:b/>
          <w:bCs/>
          <w:sz w:val="24"/>
          <w:szCs w:val="24"/>
        </w:rPr>
        <w:t>Economic Factors</w:t>
      </w:r>
    </w:p>
    <w:p w14:paraId="07FFE92E">
      <w:pPr>
        <w:bidi w:val="0"/>
        <w:spacing w:before="0" w:after="200" w:line="360" w:lineRule="auto"/>
        <w:jc w:val="both"/>
        <w:rPr>
          <w:rFonts w:ascii="Arial" w:hAnsi="Arial"/>
          <w:sz w:val="24"/>
          <w:szCs w:val="24"/>
        </w:rPr>
      </w:pPr>
      <w:r>
        <w:rPr>
          <w:sz w:val="24"/>
          <w:szCs w:val="24"/>
        </w:rPr>
        <w:t>Japan's economy is in tight position: the Bank of Japan raised its policy rate to 1.0% in June 2026, the highest level since 1995. Inflation could exceed its 2% target due to weak yen and rising energy costs. Moreover, BoJ has cut its FY2026 growth forecast to just 0.5% (Trading Economics, 2026). While Japan offers skilled labour and robust supplychain for Toyota’s manufacturing activities, Japan’s aging population and saturated automarket leaves very limited growth opportunities for Toyota.</w:t>
      </w:r>
    </w:p>
    <w:p w14:paraId="177E08B8">
      <w:pPr>
        <w:bidi w:val="0"/>
        <w:spacing w:before="0" w:after="200" w:line="360" w:lineRule="auto"/>
        <w:jc w:val="both"/>
        <w:rPr>
          <w:rFonts w:ascii="Arial" w:hAnsi="Arial"/>
          <w:sz w:val="24"/>
          <w:szCs w:val="24"/>
        </w:rPr>
      </w:pPr>
      <w:r>
        <w:rPr>
          <w:sz w:val="24"/>
          <w:szCs w:val="24"/>
        </w:rPr>
        <w:t>On the contrary, The USA offers more relaxed environment: the Federal Reserve held its benchmark rate at 3.75% in early 2026 with GDP growth forecast at around 2.0–2.4% and inflation near 2.7% (Trading Economics, 2026; Federal Reserve, 2026).</w:t>
      </w:r>
    </w:p>
    <w:p w14:paraId="4BA41922">
      <w:pPr>
        <w:bidi w:val="0"/>
        <w:spacing w:before="0" w:after="200" w:line="360" w:lineRule="auto"/>
        <w:jc w:val="both"/>
        <w:rPr>
          <w:rFonts w:ascii="Arial" w:hAnsi="Arial"/>
          <w:sz w:val="24"/>
          <w:szCs w:val="24"/>
        </w:rPr>
      </w:pPr>
      <w:r>
        <w:rPr>
          <w:b/>
          <w:bCs/>
          <w:sz w:val="24"/>
          <w:szCs w:val="24"/>
        </w:rPr>
        <w:t>Favourable in both:</w:t>
      </w:r>
      <w:r>
        <w:rPr>
          <w:sz w:val="24"/>
          <w:szCs w:val="24"/>
        </w:rPr>
        <w:t xml:space="preserve"> Both economies are still recording positive growth compared to the Eurozone and UK, which are showing modest growth or contracting (Federal Reserve, 2026). Japan provides substantial benefits by providing efficient manufacturing environment and supplychain, while US offers high purchasing capacity and strong demand with massive income and growth potential (Toyota Motor North America, 2026).</w:t>
      </w:r>
    </w:p>
    <w:p w14:paraId="0587CDD3">
      <w:pPr>
        <w:bidi w:val="0"/>
        <w:spacing w:before="0" w:after="200" w:line="360" w:lineRule="auto"/>
        <w:jc w:val="both"/>
        <w:rPr>
          <w:rFonts w:ascii="Arial" w:hAnsi="Arial"/>
          <w:sz w:val="24"/>
          <w:szCs w:val="24"/>
        </w:rPr>
      </w:pPr>
      <w:r>
        <w:rPr>
          <w:b/>
          <w:bCs/>
          <w:sz w:val="24"/>
          <w:szCs w:val="24"/>
        </w:rPr>
        <w:t>Unfavourable in both:</w:t>
      </w:r>
      <w:r>
        <w:rPr>
          <w:sz w:val="24"/>
          <w:szCs w:val="24"/>
        </w:rPr>
        <w:t xml:space="preserve"> Inflation is running above central-bank targets in both countries. Weak yen combined with the new US import tariff creates a currency-and-tariff  squeeze on any vehicles or components Toyota still ships from Japan to the USA. Toyota might face rising labour costs and decrease in domestic demand due to aging population. Similar economic challenges in USA might increase production costs and erode consumer purchasing power.</w:t>
      </w:r>
    </w:p>
    <w:p w14:paraId="243A8899">
      <w:pPr>
        <w:bidi w:val="0"/>
        <w:spacing w:before="0" w:after="200" w:line="360" w:lineRule="auto"/>
        <w:jc w:val="both"/>
        <w:rPr>
          <w:rFonts w:ascii="Arial" w:hAnsi="Arial"/>
          <w:sz w:val="24"/>
          <w:szCs w:val="24"/>
        </w:rPr>
      </w:pPr>
    </w:p>
    <w:p w14:paraId="0B3A6310">
      <w:pPr>
        <w:bidi w:val="0"/>
        <w:spacing w:before="0" w:after="200" w:line="360" w:lineRule="auto"/>
        <w:jc w:val="both"/>
        <w:rPr>
          <w:rFonts w:ascii="Arial" w:hAnsi="Arial"/>
          <w:b/>
          <w:bCs/>
          <w:sz w:val="24"/>
          <w:szCs w:val="24"/>
        </w:rPr>
      </w:pPr>
      <w:r>
        <w:rPr>
          <w:b/>
          <w:bCs/>
          <w:sz w:val="24"/>
          <w:szCs w:val="24"/>
        </w:rPr>
        <w:t>Social Factors</w:t>
      </w:r>
    </w:p>
    <w:p w14:paraId="40DD44C9">
      <w:pPr>
        <w:bidi w:val="0"/>
        <w:spacing w:before="0" w:after="200" w:line="360" w:lineRule="auto"/>
        <w:jc w:val="both"/>
        <w:rPr>
          <w:rFonts w:ascii="Arial" w:hAnsi="Arial"/>
          <w:sz w:val="24"/>
          <w:szCs w:val="24"/>
        </w:rPr>
      </w:pPr>
      <w:r>
        <w:rPr>
          <w:sz w:val="24"/>
          <w:szCs w:val="24"/>
        </w:rPr>
        <w:t>Japanese consumers show appreciation for domestic engineering, brand loyalty and corporate trust, which directly plays to Toyota’s strength and messaging. Vehicle ownership is important in USA as it directly links to one’s social status and suburban lifestyle and supportive infrastructure supports this demand.</w:t>
      </w:r>
    </w:p>
    <w:p w14:paraId="1BDB3574">
      <w:pPr>
        <w:bidi w:val="0"/>
        <w:spacing w:before="0" w:after="200" w:line="360" w:lineRule="auto"/>
        <w:jc w:val="both"/>
        <w:rPr>
          <w:rFonts w:ascii="Arial" w:hAnsi="Arial"/>
          <w:b/>
          <w:bCs/>
          <w:sz w:val="24"/>
          <w:szCs w:val="24"/>
        </w:rPr>
      </w:pPr>
    </w:p>
    <w:p w14:paraId="7271B95E">
      <w:pPr>
        <w:spacing w:after="200" w:line="360" w:lineRule="auto"/>
        <w:jc w:val="both"/>
        <w:rPr>
          <w:b/>
          <w:bCs/>
          <w:sz w:val="24"/>
          <w:szCs w:val="24"/>
        </w:rPr>
      </w:pPr>
      <w:r>
        <w:rPr>
          <w:b/>
          <w:bCs/>
          <w:sz w:val="24"/>
          <w:szCs w:val="24"/>
        </w:rPr>
        <w:t>1.2 Cross-Cultural Analysis (Hofstede’s Cultural Dimensions)</w:t>
      </w:r>
    </w:p>
    <w:p w14:paraId="03AAACE5">
      <w:pPr>
        <w:spacing w:after="200" w:line="360" w:lineRule="auto"/>
        <w:jc w:val="both"/>
        <w:rPr>
          <w:rFonts w:hint="default"/>
          <w:sz w:val="24"/>
          <w:szCs w:val="24"/>
        </w:rPr>
      </w:pPr>
      <w:r>
        <w:rPr>
          <w:rFonts w:hint="default"/>
          <w:sz w:val="24"/>
          <w:szCs w:val="24"/>
        </w:rPr>
        <w:t>According to Hofstede’s six dimensions of culture, Japan and the USA reveal considerable cultural differences which may determine Toyota’s products and communication methods. To start with, Japan has a higher Power Distance index (54) than the USA (40), meaning that it is relatively more accepting of hierarchy, positions of authority and status. Furthermore, Japan has a much higher Masculinity rate (95) than the USA (62), indicating that in Japan, more emphasis is placed on competition, performance and quality. This can be seen in Toyota’s Japanese positioning, which stresses the excellence of engineering, performance and reliable models (for example, Crown and Century). The image of the company corresponds with Japanese cultural values emphasizing achievement and quality (Liker, 2004). However, the Power Distance index in the USA is lower and makes it possible for Toyota to employ very informal consumer-oriented approach. At the same time, the relatively high index of Masculinity allows Toyota to emphasize vehicle performance and accomplishment. In Toyota’s US marketing (for instance, such models as 4Runner), outdoor capability and adventure are highlighted (Toyota USA, 2025).Hofstede, Hofstede, and Minkov (2010) maintain that national culture has an impact on what is expected in terms of values and expectations, although these dimensions should be understood in terms of tendencies rather than as characteristics for all people.</w:t>
      </w:r>
    </w:p>
    <w:p w14:paraId="5A260305">
      <w:pPr>
        <w:spacing w:after="200" w:line="360" w:lineRule="auto"/>
        <w:jc w:val="both"/>
        <w:rPr>
          <w:rFonts w:hint="default"/>
          <w:sz w:val="24"/>
          <w:szCs w:val="24"/>
        </w:rPr>
      </w:pPr>
    </w:p>
    <w:p w14:paraId="7C58E47F">
      <w:pPr>
        <w:spacing w:after="200" w:line="360" w:lineRule="auto"/>
        <w:jc w:val="both"/>
        <w:rPr>
          <w:rFonts w:hint="default"/>
          <w:sz w:val="24"/>
          <w:szCs w:val="24"/>
        </w:rPr>
      </w:pPr>
      <w:r>
        <w:rPr>
          <w:rFonts w:hint="default"/>
          <w:sz w:val="24"/>
          <w:szCs w:val="24"/>
        </w:rPr>
        <w:t>The most important difference between Japan and the USA is in Individualism, Uncertainty Avoidance and Long-Term Orientation. Japan's score in Individualism is 46 versus the 91 scored by the USA, which indicates that the American society is much more individualistic and has much more importance attached to individualism, autonomy and self-expression. This means that Toyota can present the cars in the USA as products that foster individual lifestyles, freedom and adventures. In Japan, Toyota should focus more on family and relations with other people, and transport of people as a group via Alphard and Voxy. Japan's Uncertainty Avoidance score is quite high as well, with 92 points compared to the USA's score of 46. This means that Japan has a stronger desire for predictability, safety and reduced uncertainty. This implies that Toyota should convey the message of reliability, safety, quality, and engineering in Japan. Moreover, the Long-Term Orientation score of Japan is 88, while the USA has the score of just 26.The company Toyota has invested in technologies like hybrid technologies and hydrogen technologies for many years thereby adhering to this orientation (Toyota Motor Corporation, 2026). Since the US has shorter long-term orientation, communications focusing on the immediate gain of consumers, lifestyle experience, and current promotion may offer more opportunities. At the same time, the decision of the company to introduce its models produced in the US, including Camry, Highlander, and Tundra, into Japan seems to be an evidence of changing consumer needs in different cultural contexts (Toyota Motor Corporation, 2025).</w:t>
      </w:r>
    </w:p>
    <w:p w14:paraId="4ED1F7CB">
      <w:pPr>
        <w:spacing w:after="200" w:line="360" w:lineRule="auto"/>
        <w:jc w:val="both"/>
        <w:rPr>
          <w:rFonts w:hint="default"/>
          <w:sz w:val="24"/>
          <w:szCs w:val="24"/>
        </w:rPr>
      </w:pPr>
      <w:r>
        <w:rPr>
          <w:rFonts w:hint="default"/>
          <w:sz w:val="24"/>
          <w:szCs w:val="24"/>
        </w:rPr>
        <w:t xml:space="preserve">The concept of </w:t>
      </w:r>
      <w:r>
        <w:rPr>
          <w:rFonts w:hint="default"/>
          <w:sz w:val="24"/>
          <w:szCs w:val="24"/>
          <w:lang w:val="en-IN"/>
        </w:rPr>
        <w:t>indulgence versus</w:t>
      </w:r>
      <w:r>
        <w:rPr>
          <w:rFonts w:hint="default"/>
          <w:sz w:val="24"/>
          <w:szCs w:val="24"/>
        </w:rPr>
        <w:t xml:space="preserve"> restraint also showcases yet another pertinent distinction between Japan and the United States. Japan has an indulgence dimension of 42, while the United States registers a score of 68; this indicates the significance that leisure, happiness and self-indulgence have in American culture. As a result, Toyota can adopt a lifestyle-oriented marketing strategy in America and show its vehicles as allowing customers to enjoy recreation and adventure. Additionally, Toyota’s prior marketing campaigns in the U.S. indicate that the company is aware of the differences among various groups of American consumers, which is reflected in the Total Toyota marketing strategy (Toyota USA, 2013). In contrast, the lower score of Japan in indulgence indicates that practicality, efficiency and responsible consumption may be reflected in marketing communications; this does not, however, imply that Japanese consumers do not appreciate luxury and pleasure. In short, the comparison shows that Toyota is able to keep the same overall brand positioning while modifying its communication strategy according to local consumers’ needs. Although Hofstede’s concept is useful in identifying such differences, it is important not to use national culture-based scores for stereotypes, given that they may not reflect behavior of each individual</w:t>
      </w:r>
    </w:p>
    <w:p w14:paraId="6663A63F">
      <w:pPr>
        <w:spacing w:after="200" w:line="360" w:lineRule="auto"/>
        <w:jc w:val="center"/>
        <w:rPr>
          <w:rFonts w:hint="default"/>
          <w:sz w:val="24"/>
          <w:szCs w:val="24"/>
          <w:lang w:val="en-IN"/>
        </w:rPr>
      </w:pPr>
      <w:r>
        <w:rPr>
          <w:rFonts w:hint="default"/>
          <w:sz w:val="24"/>
          <w:szCs w:val="24"/>
          <w:lang w:val="en-IN"/>
        </w:rPr>
        <w:drawing>
          <wp:inline distT="0" distB="0" distL="114300" distR="114300">
            <wp:extent cx="4133215" cy="4676775"/>
            <wp:effectExtent l="0" t="0" r="12065" b="1905"/>
            <wp:docPr id="15" name="Picture 15" descr="WhatsApp Image 2026-08-12 at 22.1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WhatsApp Image 2026-08-12 at 22.14.57"/>
                    <pic:cNvPicPr>
                      <a:picLocks noChangeAspect="1"/>
                    </pic:cNvPicPr>
                  </pic:nvPicPr>
                  <pic:blipFill>
                    <a:blip r:embed="rId15"/>
                    <a:stretch>
                      <a:fillRect/>
                    </a:stretch>
                  </pic:blipFill>
                  <pic:spPr>
                    <a:xfrm>
                      <a:off x="0" y="0"/>
                      <a:ext cx="4133215" cy="4676775"/>
                    </a:xfrm>
                    <a:prstGeom prst="rect">
                      <a:avLst/>
                    </a:prstGeom>
                  </pic:spPr>
                </pic:pic>
              </a:graphicData>
            </a:graphic>
          </wp:inline>
        </w:drawing>
      </w:r>
    </w:p>
    <w:p w14:paraId="4EBDF82A">
      <w:pPr>
        <w:spacing w:after="200" w:line="360" w:lineRule="auto"/>
        <w:ind w:firstLine="75" w:firstLineChars="50"/>
        <w:jc w:val="both"/>
        <w:rPr>
          <w:rFonts w:hint="default"/>
          <w:sz w:val="15"/>
          <w:szCs w:val="15"/>
          <w:lang w:val="en-IN"/>
        </w:rPr>
      </w:pPr>
      <w:r>
        <w:rPr>
          <w:rFonts w:hint="default"/>
          <w:sz w:val="15"/>
          <w:szCs w:val="15"/>
          <w:lang w:val="en-IN"/>
        </w:rPr>
        <w:t xml:space="preserve">Country comparison (Source: </w:t>
      </w:r>
      <w:r>
        <w:rPr>
          <w:rFonts w:ascii="SimSun" w:hAnsi="SimSun" w:eastAsia="SimSun" w:cs="SimSun"/>
          <w:sz w:val="15"/>
          <w:szCs w:val="15"/>
        </w:rPr>
        <w:fldChar w:fldCharType="begin"/>
      </w:r>
      <w:r>
        <w:rPr>
          <w:rFonts w:ascii="SimSun" w:hAnsi="SimSun" w:eastAsia="SimSun" w:cs="SimSun"/>
          <w:sz w:val="15"/>
          <w:szCs w:val="15"/>
        </w:rPr>
        <w:instrText xml:space="preserve"> HYPERLINK "https://www.theculturefactor.com/country-comparison-tool?countries=japan,united+states" </w:instrText>
      </w:r>
      <w:r>
        <w:rPr>
          <w:rFonts w:ascii="SimSun" w:hAnsi="SimSun" w:eastAsia="SimSun" w:cs="SimSun"/>
          <w:sz w:val="15"/>
          <w:szCs w:val="15"/>
        </w:rPr>
        <w:fldChar w:fldCharType="separate"/>
      </w:r>
      <w:r>
        <w:rPr>
          <w:rStyle w:val="17"/>
          <w:rFonts w:ascii="SimSun" w:hAnsi="SimSun" w:eastAsia="SimSun" w:cs="SimSun"/>
          <w:sz w:val="15"/>
          <w:szCs w:val="15"/>
        </w:rPr>
        <w:t>Country comparison tool</w:t>
      </w:r>
      <w:r>
        <w:rPr>
          <w:rFonts w:ascii="SimSun" w:hAnsi="SimSun" w:eastAsia="SimSun" w:cs="SimSun"/>
          <w:sz w:val="15"/>
          <w:szCs w:val="15"/>
        </w:rPr>
        <w:fldChar w:fldCharType="end"/>
      </w:r>
      <w:r>
        <w:rPr>
          <w:rFonts w:hint="default" w:ascii="SimSun" w:hAnsi="SimSun" w:eastAsia="SimSun" w:cs="SimSun"/>
          <w:sz w:val="15"/>
          <w:szCs w:val="15"/>
          <w:lang w:val="en-IN"/>
        </w:rPr>
        <w:t>)</w:t>
      </w:r>
    </w:p>
    <w:p w14:paraId="14AC6068">
      <w:pPr>
        <w:jc w:val="both"/>
        <w:rPr>
          <w:lang w:val="en-IN"/>
        </w:rPr>
      </w:pPr>
    </w:p>
    <w:p w14:paraId="428279E5">
      <w:pPr>
        <w:jc w:val="both"/>
        <w:rPr>
          <w:rFonts w:hint="default"/>
          <w:lang w:val="en-IN"/>
        </w:rPr>
      </w:pPr>
      <w:r>
        <w:rPr>
          <w:rFonts w:hint="default"/>
          <w:lang w:val="en-IN"/>
        </w:rPr>
        <w:t>Advantages  of Hofstede Dimensions</w:t>
      </w:r>
    </w:p>
    <w:p w14:paraId="521AB8E6">
      <w:pPr>
        <w:jc w:val="both"/>
        <w:rPr>
          <w:rFonts w:hint="default"/>
          <w:lang w:val="en-IN"/>
        </w:rPr>
      </w:pPr>
      <w:r>
        <w:rPr>
          <w:rFonts w:hint="default"/>
          <w:lang w:val="en-IN"/>
        </w:rPr>
        <w:t>Hofstadter's model's main advantage lies in its ability to offer a concrete and systematic approach to the understanding of the cultural diversity between the countries, thus helping to make the complex cultural values comparable to each other (1980). The importance of the Hofstede Model for the field of International Business &amp; Management cannot be overestimated, as it gives the opportunity to understand the differences in the leadership approach, communication style, and employee behavior in the framework of multicultural settings (Hofstede, Hofstede &amp; Minkov, 2010). Furthermore, the model has been widely recognized and used in the academic communities as an efficient and convenient theoretical foundation for research in the sphere of cross-cultural problems (Beugelsdijk, Maseland &amp; Van Hoorn, 2015). By showing traits of each of the cultural dimensions, the Hofstede model can help to avoid misunderstanding in cross-cultural communication and promote better decisions in global marketing and HR decisions (Tung &amp; Verbeke, 2010).</w:t>
      </w:r>
    </w:p>
    <w:p w14:paraId="165A61DF">
      <w:pPr>
        <w:jc w:val="both"/>
        <w:rPr>
          <w:rFonts w:hint="default"/>
          <w:lang w:val="en-IN"/>
        </w:rPr>
      </w:pPr>
    </w:p>
    <w:p w14:paraId="01E8EF5F">
      <w:pPr>
        <w:jc w:val="both"/>
        <w:rPr>
          <w:rFonts w:hint="default"/>
          <w:lang w:val="en-IN"/>
        </w:rPr>
      </w:pPr>
      <w:r>
        <w:rPr>
          <w:rFonts w:hint="default"/>
          <w:lang w:val="en-IN"/>
        </w:rPr>
        <w:t xml:space="preserve">Disadvantages of Hofstede model </w:t>
      </w:r>
    </w:p>
    <w:p w14:paraId="3B01A4E7">
      <w:pPr>
        <w:jc w:val="both"/>
        <w:rPr>
          <w:rFonts w:hint="default"/>
          <w:lang w:val="en-IN"/>
        </w:rPr>
      </w:pPr>
      <w:r>
        <w:rPr>
          <w:rFonts w:hint="default"/>
          <w:lang w:val="en-IN"/>
        </w:rPr>
        <w:t>Hofstede model has received a lot of criticism for its limitations with respect to its applicability and utility. One limitation is the charge of overgeneralize as far as national cultures are concerned. The point that all people of a certain country have something in common forgets about the existing differences among people of different areas of a country or ethnic groups (McSweeney 2002: 142-143). The other limitation stems from the fact that the data used to formulate the model was taken from only one transnational corporate entity (IBM), which is an argument against its applicability in practice (Hofstede 1980). One more disadvantage is that Hofstede model ignores many cultural shifts that happened over recent decades thanks to globalisation (Beugelsdijk, Maseland and Van Hoorn 2015). All these facts lead to the conclusion that Hofstede’s dimensions of culture can be employed to launch stereotypes and simplify multi-layered phenomena taking place in cultures (Tung and Verbeke 2010).</w:t>
      </w:r>
    </w:p>
    <w:p w14:paraId="0476F8A3">
      <w:pPr>
        <w:jc w:val="both"/>
        <w:rPr>
          <w:rFonts w:hint="default"/>
          <w:lang w:val="en-IN"/>
        </w:rPr>
      </w:pPr>
    </w:p>
    <w:p w14:paraId="411E109E">
      <w:pPr>
        <w:bidi w:val="0"/>
        <w:spacing w:before="0" w:after="200" w:line="360" w:lineRule="auto"/>
        <w:jc w:val="both"/>
        <w:rPr>
          <w:rFonts w:ascii="Arial" w:hAnsi="Arial"/>
          <w:sz w:val="24"/>
          <w:szCs w:val="24"/>
        </w:rPr>
      </w:pPr>
    </w:p>
    <w:p w14:paraId="0BC4B0A3">
      <w:pPr>
        <w:bidi w:val="0"/>
        <w:spacing w:before="0" w:after="200" w:line="360" w:lineRule="auto"/>
        <w:jc w:val="both"/>
        <w:rPr>
          <w:sz w:val="24"/>
          <w:szCs w:val="24"/>
        </w:rPr>
      </w:pPr>
      <w:r>
        <w:rPr>
          <w:b/>
          <w:bCs/>
          <w:sz w:val="24"/>
          <w:szCs w:val="24"/>
        </w:rPr>
        <w:t>Favourable in both:</w:t>
      </w:r>
      <w:r>
        <w:rPr>
          <w:sz w:val="24"/>
          <w:szCs w:val="24"/>
        </w:rPr>
        <w:t xml:space="preserve"> Consumers in both countries associate Toyota with reliability, quality and fuel efficiency. Toyota’s strategy for hybrid and electric cars directly aligns with social realities of both counties, as growing number of consumers are interested in  fuel-efficient, environment-friendly vehicles.</w:t>
      </w:r>
    </w:p>
    <w:p w14:paraId="7DABA715">
      <w:pPr>
        <w:bidi w:val="0"/>
        <w:spacing w:before="0" w:after="200" w:line="360" w:lineRule="auto"/>
        <w:jc w:val="both"/>
        <w:rPr>
          <w:sz w:val="24"/>
          <w:szCs w:val="24"/>
        </w:rPr>
      </w:pPr>
      <w:r>
        <w:rPr>
          <w:b/>
          <w:bCs/>
          <w:sz w:val="24"/>
          <w:szCs w:val="24"/>
        </w:rPr>
        <w:t>Unfavourable in both:</w:t>
      </w:r>
      <w:r>
        <w:rPr>
          <w:sz w:val="24"/>
          <w:szCs w:val="24"/>
        </w:rPr>
        <w:t xml:space="preserve"> Japan’s demographic crisis and shrinking number of licensed drivers limits domestic growth potential for Toyota. Growing sociocultural shift toward ridesharing and publicmobility because of Urbanization among younger Americans is nonsupportive change in consumer behaviour (McKinsey &amp; Company, 2026).</w:t>
      </w:r>
    </w:p>
    <w:p w14:paraId="1437C220">
      <w:pPr>
        <w:bidi w:val="0"/>
        <w:spacing w:before="0" w:after="200" w:line="360" w:lineRule="auto"/>
        <w:jc w:val="both"/>
        <w:rPr>
          <w:b/>
          <w:bCs/>
          <w:sz w:val="24"/>
          <w:szCs w:val="24"/>
        </w:rPr>
      </w:pPr>
      <w:r>
        <w:rPr>
          <w:b/>
          <w:bCs/>
          <w:sz w:val="24"/>
          <w:szCs w:val="24"/>
        </w:rPr>
        <w:t>Technological Factors</w:t>
      </w:r>
    </w:p>
    <w:p w14:paraId="6509696C">
      <w:pPr>
        <w:bidi w:val="0"/>
        <w:spacing w:before="0" w:after="200" w:line="360" w:lineRule="auto"/>
        <w:jc w:val="both"/>
        <w:rPr>
          <w:sz w:val="24"/>
          <w:szCs w:val="24"/>
        </w:rPr>
      </w:pPr>
      <w:r>
        <w:rPr>
          <w:sz w:val="24"/>
          <w:szCs w:val="24"/>
        </w:rPr>
        <w:t xml:space="preserve">Oerational efficiency,  waste reduction and continious improvement are foundations of Toyota’s production systems. Japanese actively supports innovations and serves as the primary incubator for advanced technologies and manufacturing techniques. This allows Toyota to lead in advance long term research such as brand's breakthrough solid-state battery patents and hydrogen combustion engines. USA provides a vast technology ecosystem for artificial intelligence, EV battery technology and connected mobility solutions. </w:t>
      </w:r>
    </w:p>
    <w:p w14:paraId="66BEA7BF">
      <w:pPr>
        <w:bidi w:val="0"/>
        <w:spacing w:before="0" w:after="200" w:line="360" w:lineRule="auto"/>
        <w:jc w:val="both"/>
        <w:rPr>
          <w:sz w:val="24"/>
          <w:szCs w:val="24"/>
        </w:rPr>
      </w:pPr>
      <w:r>
        <w:rPr>
          <w:b/>
          <w:bCs/>
          <w:sz w:val="24"/>
          <w:szCs w:val="24"/>
        </w:rPr>
        <w:t>Favourable in both:</w:t>
      </w:r>
      <w:r>
        <w:rPr>
          <w:sz w:val="24"/>
          <w:szCs w:val="24"/>
        </w:rPr>
        <w:t xml:space="preserve"> Japan offers highly skilled and experienced talent in hybrid vehicles, robotics, automation and engineering; whereas USA is global epicenter for software development, digital technology, battery innovation, and AI. Additionally, Robust network of nationwide fast-charging networks and strong consumer demand for cutting-edge technology allows Toyota to monetize advanced driver-assistance systems (ADAS) and digital infotainment subscriptions (Wired, 2026). </w:t>
      </w:r>
    </w:p>
    <w:p w14:paraId="04591011">
      <w:pPr>
        <w:bidi w:val="0"/>
        <w:spacing w:before="0" w:after="200" w:line="360" w:lineRule="auto"/>
        <w:jc w:val="both"/>
        <w:rPr>
          <w:sz w:val="24"/>
          <w:szCs w:val="24"/>
        </w:rPr>
      </w:pPr>
      <w:r>
        <w:rPr>
          <w:b/>
          <w:bCs/>
          <w:sz w:val="24"/>
          <w:szCs w:val="24"/>
        </w:rPr>
        <w:t>Unfavourable in both:</w:t>
      </w:r>
      <w:r>
        <w:rPr>
          <w:sz w:val="24"/>
          <w:szCs w:val="24"/>
        </w:rPr>
        <w:t xml:space="preserve"> Despite such high support for industrial policies, domestic adoption of pure Battery Electric Vehicles remains sluggish among Japanese consumers, due to lack of charging infrastructure and range anxiety. The US technological landscape is highly fragmented, with competing charging standards and heavy reliance on foreign nations (like China) for critical battery minerals.</w:t>
      </w:r>
    </w:p>
    <w:p w14:paraId="18A1A2AF">
      <w:pPr>
        <w:bidi w:val="0"/>
        <w:spacing w:before="0" w:after="200" w:line="360" w:lineRule="auto"/>
        <w:jc w:val="both"/>
        <w:rPr>
          <w:b/>
          <w:bCs/>
          <w:sz w:val="24"/>
          <w:szCs w:val="24"/>
        </w:rPr>
      </w:pPr>
      <w:r>
        <w:rPr>
          <w:b/>
          <w:bCs/>
          <w:sz w:val="24"/>
          <w:szCs w:val="24"/>
        </w:rPr>
        <w:t>Environmental Factors</w:t>
      </w:r>
    </w:p>
    <w:p w14:paraId="4DEC95E6">
      <w:pPr>
        <w:bidi w:val="0"/>
        <w:spacing w:before="0" w:after="200" w:line="360" w:lineRule="auto"/>
        <w:jc w:val="both"/>
        <w:rPr>
          <w:sz w:val="24"/>
          <w:szCs w:val="24"/>
        </w:rPr>
      </w:pPr>
      <w:r>
        <w:rPr>
          <w:sz w:val="24"/>
          <w:szCs w:val="24"/>
        </w:rPr>
        <w:t>Both governments are pushing for green transition and sustainability goals. which forces automakers like Toyota towards environmentally friendly production processes and carbon emissions reductions. The Japanese government has set a goal of achieving 100% new electrified car sales by 2035 (WSJ, 2020). In USA, Environmental legislation differs from state to state and Toyota is caught in a legal crossfire between states and a federal government, who frequently attempts to roll back Environmental Protection Agency (EPA) emissions standards.</w:t>
      </w:r>
    </w:p>
    <w:p w14:paraId="7E34DC38">
      <w:pPr>
        <w:bidi w:val="0"/>
        <w:spacing w:before="0" w:after="200" w:line="360" w:lineRule="auto"/>
        <w:jc w:val="both"/>
        <w:rPr>
          <w:sz w:val="24"/>
          <w:szCs w:val="24"/>
        </w:rPr>
      </w:pPr>
      <w:r>
        <w:rPr>
          <w:b/>
          <w:bCs/>
          <w:sz w:val="24"/>
          <w:szCs w:val="24"/>
        </w:rPr>
        <w:t>Favourable in both:</w:t>
      </w:r>
      <w:r>
        <w:rPr>
          <w:sz w:val="24"/>
          <w:szCs w:val="24"/>
        </w:rPr>
        <w:t xml:space="preserve"> Japan’s "Well-to-Wheel" lifecycle for environmental performance evaluates emissions from the creation of the energy to its use. This holistic approach favors Toyota’s multi-pathway strategy, which includes efficient hybrid cars rather than pure BEVs only (Shoki Kosai, 2018). On the otherhand, USA’s vast geographical diversity allows Toyota to market a wide array of environmentally friendly vehicles from heavy-duty hybrid trucks for snowy climate of midwest to zero emission hydrogen vehicles in California. </w:t>
      </w:r>
    </w:p>
    <w:p w14:paraId="003B92B0">
      <w:pPr>
        <w:bidi w:val="0"/>
        <w:spacing w:before="0" w:after="200" w:line="360" w:lineRule="auto"/>
        <w:jc w:val="both"/>
        <w:rPr>
          <w:sz w:val="24"/>
          <w:szCs w:val="24"/>
        </w:rPr>
      </w:pPr>
      <w:r>
        <w:rPr>
          <w:b/>
          <w:bCs/>
          <w:sz w:val="24"/>
          <w:szCs w:val="24"/>
        </w:rPr>
        <w:t>Unfavourable in both:</w:t>
      </w:r>
      <w:r>
        <w:rPr>
          <w:sz w:val="24"/>
          <w:szCs w:val="24"/>
        </w:rPr>
        <w:t xml:space="preserve"> Japan’s regulatory shift towards strict, legally binding carbon accountability and mandatory implementation of Green Transformation Emissions Trading System (GX-ETS) means Toyota will incur significant carbon costs (ACT Group, 2025). Deeply fractured regulatory landscape makes it impossible for Toyota to follow standardized nationwide environmental compliance.</w:t>
      </w:r>
    </w:p>
    <w:p w14:paraId="39F348BB">
      <w:pPr>
        <w:bidi w:val="0"/>
        <w:spacing w:before="0" w:after="200" w:line="360" w:lineRule="auto"/>
        <w:jc w:val="both"/>
        <w:rPr>
          <w:b/>
          <w:bCs/>
          <w:sz w:val="24"/>
          <w:szCs w:val="24"/>
        </w:rPr>
      </w:pPr>
      <w:r>
        <w:rPr>
          <w:b/>
          <w:bCs/>
          <w:sz w:val="24"/>
          <w:szCs w:val="24"/>
        </w:rPr>
        <w:t>Legal Factors</w:t>
      </w:r>
    </w:p>
    <w:p w14:paraId="3310C4BE">
      <w:pPr>
        <w:bidi w:val="0"/>
        <w:spacing w:before="0" w:after="200" w:line="360" w:lineRule="auto"/>
        <w:jc w:val="both"/>
        <w:rPr>
          <w:sz w:val="24"/>
          <w:szCs w:val="24"/>
        </w:rPr>
      </w:pPr>
      <w:r>
        <w:rPr>
          <w:sz w:val="24"/>
          <w:szCs w:val="24"/>
        </w:rPr>
        <w:t xml:space="preserve">Legal environment in both countries is complicated for Toyota. Compliance is esier in domestic market because of familiar environment. Japan has a highly stable and transparent legal system with strong intellectual property rights protections, this allows Toyota to safely develop and patent highly sensitive technologies without fear of state-sponsored corporate espionage or IP theft (World Intellectual Property Organization, 2025). The U.S. legal system consists of federal and state requirements, which adds compliance cost and complexities. </w:t>
      </w:r>
    </w:p>
    <w:p w14:paraId="2C97B136">
      <w:pPr>
        <w:bidi w:val="0"/>
        <w:spacing w:before="0" w:after="200" w:line="360" w:lineRule="auto"/>
        <w:jc w:val="both"/>
        <w:rPr>
          <w:sz w:val="24"/>
          <w:szCs w:val="24"/>
        </w:rPr>
      </w:pPr>
      <w:r>
        <w:rPr>
          <w:b/>
          <w:bCs/>
          <w:sz w:val="24"/>
          <w:szCs w:val="24"/>
        </w:rPr>
        <w:t>Favourable in both:</w:t>
      </w:r>
      <w:r>
        <w:rPr>
          <w:sz w:val="24"/>
          <w:szCs w:val="24"/>
        </w:rPr>
        <w:t xml:space="preserve"> Both legal environments offer strong intellectual property rights and safety regulations; following them pushes Toyota towards better product quality and next generation technological innovation in vehicle safety.</w:t>
      </w:r>
    </w:p>
    <w:p w14:paraId="550C0D4C">
      <w:pPr>
        <w:bidi w:val="0"/>
        <w:spacing w:before="0" w:after="200" w:line="360" w:lineRule="auto"/>
        <w:jc w:val="both"/>
        <w:rPr>
          <w:sz w:val="24"/>
          <w:szCs w:val="24"/>
        </w:rPr>
      </w:pPr>
      <w:r>
        <w:rPr>
          <w:b/>
          <w:bCs/>
          <w:sz w:val="24"/>
          <w:szCs w:val="24"/>
        </w:rPr>
        <w:t>Unfavourable in both:</w:t>
      </w:r>
      <w:r>
        <w:rPr>
          <w:sz w:val="24"/>
          <w:szCs w:val="24"/>
        </w:rPr>
        <w:t xml:space="preserve"> Japan’s regulatory authorities, such as the Ministry of Land, Infrastructure, Transport and Tourism (MLIT) enforce some of the strictest certification laws globally. Highly litigious legal culture of the US poses constant threat of class-action lawsuits and complex state-by-state franchise laws restrict Toyota to implement a direct-to-consumer (DTC) sales model and effectively compete with agile EV startups (Wall Street Journal, 2026).</w:t>
      </w:r>
    </w:p>
    <w:p w14:paraId="793B44DF">
      <w:pPr>
        <w:bidi w:val="0"/>
        <w:spacing w:before="0" w:after="200" w:line="360" w:lineRule="auto"/>
        <w:jc w:val="both"/>
        <w:rPr>
          <w:sz w:val="24"/>
          <w:szCs w:val="24"/>
        </w:rPr>
      </w:pPr>
    </w:p>
    <w:tbl>
      <w:tblPr>
        <w:tblStyle w:val="9"/>
        <w:tblW w:w="5000" w:type="pct"/>
        <w:tblInd w:w="-5" w:type="dxa"/>
        <w:tblLayout w:type="fixed"/>
        <w:tblCellMar>
          <w:top w:w="55" w:type="dxa"/>
          <w:left w:w="55" w:type="dxa"/>
          <w:bottom w:w="55" w:type="dxa"/>
          <w:right w:w="55" w:type="dxa"/>
        </w:tblCellMar>
      </w:tblPr>
      <w:tblGrid>
        <w:gridCol w:w="3045"/>
        <w:gridCol w:w="3046"/>
        <w:gridCol w:w="3046"/>
      </w:tblGrid>
      <w:tr w14:paraId="389CD2EF">
        <w:tblPrEx>
          <w:tblCellMar>
            <w:top w:w="55" w:type="dxa"/>
            <w:left w:w="55" w:type="dxa"/>
            <w:bottom w:w="55" w:type="dxa"/>
            <w:right w:w="55" w:type="dxa"/>
          </w:tblCellMar>
        </w:tblPrEx>
        <w:trPr>
          <w:trHeight w:val="221" w:hRule="atLeast"/>
        </w:trPr>
        <w:tc>
          <w:tcPr>
            <w:tcW w:w="3008" w:type="dxa"/>
            <w:tcBorders>
              <w:top w:val="single" w:color="000000" w:sz="4" w:space="0"/>
              <w:left w:val="single" w:color="000000" w:sz="4" w:space="0"/>
              <w:bottom w:val="single" w:color="000000" w:sz="4" w:space="0"/>
            </w:tcBorders>
            <w:shd w:val="clear" w:color="auto" w:fill="DDE8CB"/>
          </w:tcPr>
          <w:p w14:paraId="66DD6A27">
            <w:pPr>
              <w:pStyle w:val="33"/>
              <w:rPr>
                <w:sz w:val="20"/>
                <w:szCs w:val="20"/>
              </w:rPr>
            </w:pPr>
          </w:p>
        </w:tc>
        <w:tc>
          <w:tcPr>
            <w:tcW w:w="3009" w:type="dxa"/>
            <w:tcBorders>
              <w:top w:val="single" w:color="000000" w:sz="4" w:space="0"/>
              <w:left w:val="single" w:color="000000" w:sz="4" w:space="0"/>
              <w:bottom w:val="single" w:color="000000" w:sz="4" w:space="0"/>
            </w:tcBorders>
            <w:shd w:val="clear" w:color="auto" w:fill="DDE8CB"/>
          </w:tcPr>
          <w:p w14:paraId="47B60E22">
            <w:pPr>
              <w:pStyle w:val="33"/>
              <w:rPr>
                <w:sz w:val="20"/>
                <w:szCs w:val="20"/>
              </w:rPr>
            </w:pPr>
            <w:r>
              <w:rPr>
                <w:sz w:val="20"/>
                <w:szCs w:val="20"/>
              </w:rPr>
              <w:t>USA</w:t>
            </w:r>
          </w:p>
        </w:tc>
        <w:tc>
          <w:tcPr>
            <w:tcW w:w="3009" w:type="dxa"/>
            <w:tcBorders>
              <w:top w:val="single" w:color="000000" w:sz="4" w:space="0"/>
              <w:left w:val="single" w:color="000000" w:sz="4" w:space="0"/>
              <w:bottom w:val="single" w:color="000000" w:sz="4" w:space="0"/>
              <w:right w:val="single" w:color="000000" w:sz="4" w:space="0"/>
            </w:tcBorders>
            <w:shd w:val="clear" w:color="auto" w:fill="DDE8CB"/>
          </w:tcPr>
          <w:p w14:paraId="433315BA">
            <w:pPr>
              <w:pStyle w:val="33"/>
              <w:rPr>
                <w:sz w:val="20"/>
                <w:szCs w:val="20"/>
              </w:rPr>
            </w:pPr>
            <w:r>
              <w:rPr>
                <w:sz w:val="20"/>
                <w:szCs w:val="20"/>
              </w:rPr>
              <w:t>Japan</w:t>
            </w:r>
          </w:p>
        </w:tc>
      </w:tr>
      <w:tr w14:paraId="5A032E8E">
        <w:tblPrEx>
          <w:tblCellMar>
            <w:top w:w="55" w:type="dxa"/>
            <w:left w:w="55" w:type="dxa"/>
            <w:bottom w:w="55" w:type="dxa"/>
            <w:right w:w="55" w:type="dxa"/>
          </w:tblCellMar>
        </w:tblPrEx>
        <w:tc>
          <w:tcPr>
            <w:tcW w:w="3008" w:type="dxa"/>
            <w:tcBorders>
              <w:left w:val="single" w:color="000000" w:sz="4" w:space="0"/>
              <w:bottom w:val="single" w:color="000000" w:sz="4" w:space="0"/>
            </w:tcBorders>
          </w:tcPr>
          <w:p w14:paraId="5716B123">
            <w:pPr>
              <w:pStyle w:val="33"/>
              <w:rPr>
                <w:sz w:val="20"/>
                <w:szCs w:val="20"/>
              </w:rPr>
            </w:pPr>
            <w:r>
              <w:rPr>
                <w:sz w:val="20"/>
                <w:szCs w:val="20"/>
              </w:rPr>
              <w:t>Political</w:t>
            </w:r>
          </w:p>
        </w:tc>
        <w:tc>
          <w:tcPr>
            <w:tcW w:w="3009" w:type="dxa"/>
            <w:tcBorders>
              <w:left w:val="single" w:color="000000" w:sz="4" w:space="0"/>
              <w:bottom w:val="single" w:color="000000" w:sz="4" w:space="0"/>
            </w:tcBorders>
          </w:tcPr>
          <w:p w14:paraId="17B8FAB9">
            <w:pPr>
              <w:pStyle w:val="33"/>
              <w:rPr>
                <w:sz w:val="20"/>
                <w:szCs w:val="20"/>
              </w:rPr>
            </w:pPr>
            <w:r>
              <w:rPr>
                <w:sz w:val="20"/>
                <w:szCs w:val="20"/>
              </w:rPr>
              <w:t>Politically volatile market with significant uncertainty around trade, tax and vehicles policies.</w:t>
            </w:r>
          </w:p>
        </w:tc>
        <w:tc>
          <w:tcPr>
            <w:tcW w:w="3009" w:type="dxa"/>
            <w:tcBorders>
              <w:left w:val="single" w:color="000000" w:sz="4" w:space="0"/>
              <w:bottom w:val="single" w:color="000000" w:sz="4" w:space="0"/>
              <w:right w:val="single" w:color="000000" w:sz="4" w:space="0"/>
            </w:tcBorders>
          </w:tcPr>
          <w:p w14:paraId="3B25F617">
            <w:pPr>
              <w:pStyle w:val="33"/>
              <w:bidi w:val="0"/>
              <w:rPr>
                <w:sz w:val="20"/>
                <w:szCs w:val="20"/>
              </w:rPr>
            </w:pPr>
            <w:r>
              <w:rPr>
                <w:sz w:val="20"/>
                <w:szCs w:val="20"/>
              </w:rPr>
              <w:t xml:space="preserve">Supportive government providing highly targeted support for research and inrastrucutre; </w:t>
            </w:r>
          </w:p>
        </w:tc>
      </w:tr>
      <w:tr w14:paraId="281652F6">
        <w:tblPrEx>
          <w:tblCellMar>
            <w:top w:w="55" w:type="dxa"/>
            <w:left w:w="55" w:type="dxa"/>
            <w:bottom w:w="55" w:type="dxa"/>
            <w:right w:w="55" w:type="dxa"/>
          </w:tblCellMar>
        </w:tblPrEx>
        <w:tc>
          <w:tcPr>
            <w:tcW w:w="3008" w:type="dxa"/>
            <w:tcBorders>
              <w:left w:val="single" w:color="000000" w:sz="4" w:space="0"/>
              <w:bottom w:val="single" w:color="000000" w:sz="4" w:space="0"/>
            </w:tcBorders>
          </w:tcPr>
          <w:p w14:paraId="324B51BE">
            <w:pPr>
              <w:pStyle w:val="33"/>
              <w:rPr>
                <w:sz w:val="20"/>
                <w:szCs w:val="20"/>
              </w:rPr>
            </w:pPr>
            <w:r>
              <w:rPr>
                <w:sz w:val="20"/>
                <w:szCs w:val="20"/>
              </w:rPr>
              <w:t>Economic</w:t>
            </w:r>
          </w:p>
        </w:tc>
        <w:tc>
          <w:tcPr>
            <w:tcW w:w="3009" w:type="dxa"/>
            <w:tcBorders>
              <w:left w:val="single" w:color="000000" w:sz="4" w:space="0"/>
              <w:bottom w:val="single" w:color="000000" w:sz="4" w:space="0"/>
            </w:tcBorders>
          </w:tcPr>
          <w:p w14:paraId="1A91D805">
            <w:pPr>
              <w:pStyle w:val="33"/>
              <w:bidi w:val="0"/>
              <w:rPr>
                <w:sz w:val="20"/>
                <w:szCs w:val="20"/>
              </w:rPr>
            </w:pPr>
            <w:r>
              <w:rPr>
                <w:sz w:val="20"/>
                <w:szCs w:val="20"/>
              </w:rPr>
              <w:t xml:space="preserve">Increasing pressure on automakers because of macroeconomic shocks, inflation and expiration of domestic EV tax credits. </w:t>
            </w:r>
          </w:p>
        </w:tc>
        <w:tc>
          <w:tcPr>
            <w:tcW w:w="3009" w:type="dxa"/>
            <w:tcBorders>
              <w:left w:val="single" w:color="000000" w:sz="4" w:space="0"/>
              <w:bottom w:val="single" w:color="000000" w:sz="4" w:space="0"/>
              <w:right w:val="single" w:color="000000" w:sz="4" w:space="0"/>
            </w:tcBorders>
          </w:tcPr>
          <w:p w14:paraId="09C216E3">
            <w:pPr>
              <w:pStyle w:val="33"/>
              <w:bidi w:val="0"/>
              <w:rPr>
                <w:sz w:val="20"/>
                <w:szCs w:val="20"/>
              </w:rPr>
            </w:pPr>
            <w:r>
              <w:rPr>
                <w:sz w:val="20"/>
                <w:szCs w:val="20"/>
              </w:rPr>
              <w:t>Government funding and grants significantly lower the commercialization risks and capital expenditures for Toyota.</w:t>
            </w:r>
          </w:p>
        </w:tc>
      </w:tr>
      <w:tr w14:paraId="7E55DB27">
        <w:tblPrEx>
          <w:tblCellMar>
            <w:top w:w="55" w:type="dxa"/>
            <w:left w:w="55" w:type="dxa"/>
            <w:bottom w:w="55" w:type="dxa"/>
            <w:right w:w="55" w:type="dxa"/>
          </w:tblCellMar>
        </w:tblPrEx>
        <w:tc>
          <w:tcPr>
            <w:tcW w:w="3008" w:type="dxa"/>
            <w:tcBorders>
              <w:left w:val="single" w:color="000000" w:sz="4" w:space="0"/>
              <w:bottom w:val="single" w:color="000000" w:sz="4" w:space="0"/>
            </w:tcBorders>
          </w:tcPr>
          <w:p w14:paraId="7F84079E">
            <w:pPr>
              <w:pStyle w:val="33"/>
              <w:rPr>
                <w:sz w:val="20"/>
                <w:szCs w:val="20"/>
              </w:rPr>
            </w:pPr>
            <w:r>
              <w:rPr>
                <w:sz w:val="20"/>
                <w:szCs w:val="20"/>
              </w:rPr>
              <w:t>Social</w:t>
            </w:r>
          </w:p>
        </w:tc>
        <w:tc>
          <w:tcPr>
            <w:tcW w:w="3009" w:type="dxa"/>
            <w:tcBorders>
              <w:left w:val="single" w:color="000000" w:sz="4" w:space="0"/>
              <w:bottom w:val="single" w:color="000000" w:sz="4" w:space="0"/>
            </w:tcBorders>
          </w:tcPr>
          <w:p w14:paraId="2E973FDC">
            <w:pPr>
              <w:pStyle w:val="33"/>
              <w:rPr>
                <w:sz w:val="20"/>
                <w:szCs w:val="20"/>
              </w:rPr>
            </w:pPr>
            <w:r>
              <w:rPr>
                <w:sz w:val="20"/>
                <w:szCs w:val="20"/>
              </w:rPr>
              <w:t xml:space="preserve">Majorly young demographic in favour of versitile and rugged utility vehicles with advance features, safety and interior comfort. </w:t>
            </w:r>
          </w:p>
        </w:tc>
        <w:tc>
          <w:tcPr>
            <w:tcW w:w="3009" w:type="dxa"/>
            <w:tcBorders>
              <w:left w:val="single" w:color="000000" w:sz="4" w:space="0"/>
              <w:bottom w:val="single" w:color="000000" w:sz="4" w:space="0"/>
              <w:right w:val="single" w:color="000000" w:sz="4" w:space="0"/>
            </w:tcBorders>
          </w:tcPr>
          <w:p w14:paraId="2C65501D">
            <w:pPr>
              <w:pStyle w:val="33"/>
              <w:rPr>
                <w:sz w:val="20"/>
                <w:szCs w:val="20"/>
              </w:rPr>
            </w:pPr>
            <w:r>
              <w:rPr>
                <w:sz w:val="20"/>
                <w:szCs w:val="20"/>
              </w:rPr>
              <w:t>Major demographic segment consists of elderly people which shifts automotive demand towards convinience, safety ratings and even public transports.</w:t>
            </w:r>
          </w:p>
        </w:tc>
      </w:tr>
      <w:tr w14:paraId="76202473">
        <w:tblPrEx>
          <w:tblCellMar>
            <w:top w:w="55" w:type="dxa"/>
            <w:left w:w="55" w:type="dxa"/>
            <w:bottom w:w="55" w:type="dxa"/>
            <w:right w:w="55" w:type="dxa"/>
          </w:tblCellMar>
        </w:tblPrEx>
        <w:tc>
          <w:tcPr>
            <w:tcW w:w="3008" w:type="dxa"/>
            <w:tcBorders>
              <w:left w:val="single" w:color="000000" w:sz="4" w:space="0"/>
              <w:bottom w:val="single" w:color="000000" w:sz="4" w:space="0"/>
            </w:tcBorders>
          </w:tcPr>
          <w:p w14:paraId="54B78D61">
            <w:pPr>
              <w:pStyle w:val="33"/>
              <w:rPr>
                <w:sz w:val="20"/>
                <w:szCs w:val="20"/>
              </w:rPr>
            </w:pPr>
            <w:r>
              <w:rPr>
                <w:sz w:val="20"/>
                <w:szCs w:val="20"/>
              </w:rPr>
              <w:t>Technological</w:t>
            </w:r>
          </w:p>
        </w:tc>
        <w:tc>
          <w:tcPr>
            <w:tcW w:w="3009" w:type="dxa"/>
            <w:tcBorders>
              <w:left w:val="single" w:color="000000" w:sz="4" w:space="0"/>
              <w:bottom w:val="single" w:color="000000" w:sz="4" w:space="0"/>
            </w:tcBorders>
          </w:tcPr>
          <w:p w14:paraId="6FD41CDD">
            <w:pPr>
              <w:pStyle w:val="33"/>
              <w:bidi w:val="0"/>
              <w:rPr>
                <w:sz w:val="20"/>
                <w:szCs w:val="20"/>
              </w:rPr>
            </w:pPr>
            <w:r>
              <w:rPr>
                <w:sz w:val="20"/>
                <w:szCs w:val="20"/>
              </w:rPr>
              <w:t>Major shift towards electrification supported by expanding government incentives, battery advancements, and a growing consumer demand driven by early adopters.</w:t>
            </w:r>
          </w:p>
        </w:tc>
        <w:tc>
          <w:tcPr>
            <w:tcW w:w="3009" w:type="dxa"/>
            <w:tcBorders>
              <w:left w:val="single" w:color="000000" w:sz="4" w:space="0"/>
              <w:bottom w:val="single" w:color="000000" w:sz="4" w:space="0"/>
              <w:right w:val="single" w:color="000000" w:sz="4" w:space="0"/>
            </w:tcBorders>
          </w:tcPr>
          <w:p w14:paraId="27F90218">
            <w:pPr>
              <w:pStyle w:val="33"/>
              <w:rPr>
                <w:sz w:val="20"/>
                <w:szCs w:val="20"/>
              </w:rPr>
            </w:pPr>
            <w:r>
              <w:rPr>
                <w:sz w:val="20"/>
                <w:szCs w:val="20"/>
              </w:rPr>
              <w:t>Less preference for Evs because of range concerns and scarced charging infrastructure.</w:t>
            </w:r>
          </w:p>
        </w:tc>
      </w:tr>
      <w:tr w14:paraId="7404DFED">
        <w:tblPrEx>
          <w:tblCellMar>
            <w:top w:w="55" w:type="dxa"/>
            <w:left w:w="55" w:type="dxa"/>
            <w:bottom w:w="55" w:type="dxa"/>
            <w:right w:w="55" w:type="dxa"/>
          </w:tblCellMar>
        </w:tblPrEx>
        <w:tc>
          <w:tcPr>
            <w:tcW w:w="3008" w:type="dxa"/>
            <w:tcBorders>
              <w:left w:val="single" w:color="000000" w:sz="4" w:space="0"/>
              <w:bottom w:val="single" w:color="000000" w:sz="4" w:space="0"/>
            </w:tcBorders>
          </w:tcPr>
          <w:p w14:paraId="67D4DA10">
            <w:pPr>
              <w:pStyle w:val="33"/>
              <w:rPr>
                <w:sz w:val="20"/>
                <w:szCs w:val="20"/>
              </w:rPr>
            </w:pPr>
            <w:r>
              <w:rPr>
                <w:sz w:val="20"/>
                <w:szCs w:val="20"/>
              </w:rPr>
              <w:t>Environmental</w:t>
            </w:r>
          </w:p>
        </w:tc>
        <w:tc>
          <w:tcPr>
            <w:tcW w:w="3009" w:type="dxa"/>
            <w:tcBorders>
              <w:left w:val="single" w:color="000000" w:sz="4" w:space="0"/>
              <w:bottom w:val="single" w:color="000000" w:sz="4" w:space="0"/>
            </w:tcBorders>
          </w:tcPr>
          <w:p w14:paraId="5AA4AA71">
            <w:pPr>
              <w:pStyle w:val="33"/>
              <w:bidi w:val="0"/>
              <w:rPr>
                <w:sz w:val="20"/>
                <w:szCs w:val="20"/>
              </w:rPr>
            </w:pPr>
            <w:r>
              <w:rPr>
                <w:sz w:val="20"/>
                <w:szCs w:val="20"/>
              </w:rPr>
              <w:t>a deeply fractured environmental market where Toyota has to constantly innovate and maintain complicance with multiple states and navigate complex federal landscape.</w:t>
            </w:r>
          </w:p>
        </w:tc>
        <w:tc>
          <w:tcPr>
            <w:tcW w:w="3009" w:type="dxa"/>
            <w:tcBorders>
              <w:left w:val="single" w:color="000000" w:sz="4" w:space="0"/>
              <w:bottom w:val="single" w:color="000000" w:sz="4" w:space="0"/>
              <w:right w:val="single" w:color="000000" w:sz="4" w:space="0"/>
            </w:tcBorders>
          </w:tcPr>
          <w:p w14:paraId="2B674DF3">
            <w:pPr>
              <w:pStyle w:val="33"/>
              <w:bidi w:val="0"/>
              <w:rPr>
                <w:sz w:val="20"/>
                <w:szCs w:val="20"/>
              </w:rPr>
            </w:pPr>
            <w:r>
              <w:rPr>
                <w:sz w:val="20"/>
                <w:szCs w:val="20"/>
              </w:rPr>
              <w:t>Government has ambitious national carbon neutrality targets for 2050 but domestic transition remains constrained because of technical concerns. A favourable environment for Toyota’s hybrid vehicles.</w:t>
            </w:r>
          </w:p>
        </w:tc>
      </w:tr>
      <w:tr w14:paraId="458F8E2A">
        <w:tblPrEx>
          <w:tblCellMar>
            <w:top w:w="55" w:type="dxa"/>
            <w:left w:w="55" w:type="dxa"/>
            <w:bottom w:w="55" w:type="dxa"/>
            <w:right w:w="55" w:type="dxa"/>
          </w:tblCellMar>
        </w:tblPrEx>
        <w:tc>
          <w:tcPr>
            <w:tcW w:w="3008" w:type="dxa"/>
            <w:tcBorders>
              <w:left w:val="single" w:color="000000" w:sz="4" w:space="0"/>
              <w:bottom w:val="single" w:color="000000" w:sz="4" w:space="0"/>
            </w:tcBorders>
          </w:tcPr>
          <w:p w14:paraId="4A0D980C">
            <w:pPr>
              <w:pStyle w:val="33"/>
              <w:rPr>
                <w:sz w:val="20"/>
                <w:szCs w:val="20"/>
              </w:rPr>
            </w:pPr>
            <w:r>
              <w:rPr>
                <w:sz w:val="20"/>
                <w:szCs w:val="20"/>
              </w:rPr>
              <w:t>Legal</w:t>
            </w:r>
          </w:p>
        </w:tc>
        <w:tc>
          <w:tcPr>
            <w:tcW w:w="3009" w:type="dxa"/>
            <w:tcBorders>
              <w:left w:val="single" w:color="000000" w:sz="4" w:space="0"/>
              <w:bottom w:val="single" w:color="000000" w:sz="4" w:space="0"/>
            </w:tcBorders>
          </w:tcPr>
          <w:p w14:paraId="673CCD7F">
            <w:pPr>
              <w:pStyle w:val="33"/>
              <w:bidi w:val="0"/>
              <w:rPr>
                <w:sz w:val="20"/>
                <w:szCs w:val="20"/>
              </w:rPr>
            </w:pPr>
            <w:r>
              <w:rPr>
                <w:sz w:val="20"/>
                <w:szCs w:val="20"/>
              </w:rPr>
              <w:t>USA has aggressive trade protectionism and tariff laws designed to force automotive manufacturers towards localized manufacturing. Toyota had to invest heavily just to navigate these requirements.</w:t>
            </w:r>
          </w:p>
        </w:tc>
        <w:tc>
          <w:tcPr>
            <w:tcW w:w="3009" w:type="dxa"/>
            <w:tcBorders>
              <w:left w:val="single" w:color="000000" w:sz="4" w:space="0"/>
              <w:bottom w:val="single" w:color="000000" w:sz="4" w:space="0"/>
              <w:right w:val="single" w:color="000000" w:sz="4" w:space="0"/>
            </w:tcBorders>
          </w:tcPr>
          <w:p w14:paraId="26155D96">
            <w:pPr>
              <w:pStyle w:val="33"/>
              <w:rPr>
                <w:sz w:val="20"/>
                <w:szCs w:val="20"/>
              </w:rPr>
            </w:pPr>
            <w:r>
              <w:rPr>
                <w:sz w:val="20"/>
                <w:szCs w:val="20"/>
              </w:rPr>
              <w:t>Stringent legal environment with strict reporting requirements, and compliance. Toyota had to overhaul internal governance and re-educate employees.</w:t>
            </w:r>
          </w:p>
        </w:tc>
      </w:tr>
    </w:tbl>
    <w:p w14:paraId="6F28A510">
      <w:pPr>
        <w:spacing w:before="0" w:after="200" w:line="360" w:lineRule="auto"/>
        <w:jc w:val="both"/>
        <w:rPr>
          <w:rFonts w:ascii="Arial" w:hAnsi="Arial"/>
          <w:sz w:val="24"/>
          <w:szCs w:val="24"/>
        </w:rPr>
      </w:pPr>
    </w:p>
    <w:p w14:paraId="3AC83E83">
      <w:pPr>
        <w:spacing w:before="0" w:after="200" w:line="360" w:lineRule="auto"/>
        <w:jc w:val="both"/>
        <w:rPr>
          <w:rFonts w:ascii="Arial" w:hAnsi="Arial"/>
          <w:b/>
          <w:bCs/>
          <w:sz w:val="24"/>
          <w:szCs w:val="24"/>
        </w:rPr>
      </w:pPr>
      <w:r>
        <w:rPr>
          <w:b/>
          <w:bCs/>
          <w:sz w:val="24"/>
          <w:szCs w:val="24"/>
        </w:rPr>
        <w:t xml:space="preserve">1.3 STP Analysis </w:t>
      </w:r>
    </w:p>
    <w:p w14:paraId="69FCCE66">
      <w:pPr>
        <w:bidi w:val="0"/>
        <w:spacing w:before="0" w:after="200" w:line="360" w:lineRule="auto"/>
        <w:jc w:val="both"/>
        <w:rPr>
          <w:rFonts w:ascii="Arial" w:hAnsi="Arial"/>
          <w:sz w:val="24"/>
          <w:szCs w:val="24"/>
        </w:rPr>
      </w:pPr>
      <w:r>
        <w:rPr>
          <w:sz w:val="24"/>
          <w:szCs w:val="24"/>
        </w:rPr>
        <w:t>Toyota’s localized Segmentation, Targeting, and Positioning (STP) strategy adapts perfectly to the infrastructural realities and the lifestyle demands of targete markets.</w:t>
      </w:r>
    </w:p>
    <w:p w14:paraId="70F0DF5D">
      <w:pPr>
        <w:bidi w:val="0"/>
        <w:spacing w:before="0" w:after="200" w:line="360" w:lineRule="auto"/>
        <w:jc w:val="center"/>
        <w:rPr>
          <w:b w:val="0"/>
          <w:bCs w:val="0"/>
          <w:sz w:val="20"/>
          <w:szCs w:val="20"/>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4626610" cy="2602230"/>
            <wp:effectExtent l="0" t="0" r="6350" b="3810"/>
            <wp:wrapTopAndBottom/>
            <wp:docPr id="4" name="Image5 Cop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5 Copy 1"/>
                    <pic:cNvPicPr>
                      <a:picLocks noChangeAspect="1" noChangeArrowheads="1"/>
                    </pic:cNvPicPr>
                  </pic:nvPicPr>
                  <pic:blipFill>
                    <a:blip r:embed="rId16"/>
                    <a:stretch>
                      <a:fillRect/>
                    </a:stretch>
                  </pic:blipFill>
                  <pic:spPr>
                    <a:xfrm>
                      <a:off x="0" y="0"/>
                      <a:ext cx="4626610" cy="2602230"/>
                    </a:xfrm>
                    <a:prstGeom prst="rect">
                      <a:avLst/>
                    </a:prstGeom>
                    <a:noFill/>
                  </pic:spPr>
                </pic:pic>
              </a:graphicData>
            </a:graphic>
          </wp:anchor>
        </w:drawing>
      </w:r>
      <w:r>
        <w:rPr>
          <w:b w:val="0"/>
          <w:bCs w:val="0"/>
          <w:sz w:val="20"/>
          <w:szCs w:val="20"/>
        </w:rPr>
        <w:t xml:space="preserve">(Source: </w:t>
      </w:r>
      <w:r>
        <w:fldChar w:fldCharType="begin"/>
      </w:r>
      <w:r>
        <w:instrText xml:space="preserve"> HYPERLINK "https://businessmodelanalyst.com/toyota-target-market-analysis/?srsltid=AfmBOoqg8MYFyuc3o6_Hc8NxJHMmf6LFXINk-WKcw34r4liRW_KoLZER" \h </w:instrText>
      </w:r>
      <w:r>
        <w:fldChar w:fldCharType="separate"/>
      </w:r>
      <w:r>
        <w:rPr>
          <w:rStyle w:val="17"/>
          <w:b w:val="0"/>
          <w:bCs w:val="0"/>
          <w:sz w:val="20"/>
          <w:szCs w:val="20"/>
        </w:rPr>
        <w:t>https://businessmodelanalyst.com/toyota-target-market-analysis/?srsltid=AfmBOoqg8MYFyuc3o6_Hc8NxJHMmf6LFXINk-WKcw34r4liRW_KoLZER</w:t>
      </w:r>
      <w:r>
        <w:rPr>
          <w:rStyle w:val="17"/>
          <w:b w:val="0"/>
          <w:bCs w:val="0"/>
          <w:sz w:val="20"/>
          <w:szCs w:val="20"/>
        </w:rPr>
        <w:fldChar w:fldCharType="end"/>
      </w:r>
      <w:r>
        <w:rPr>
          <w:b w:val="0"/>
          <w:bCs w:val="0"/>
          <w:sz w:val="20"/>
          <w:szCs w:val="20"/>
        </w:rPr>
        <w:t xml:space="preserve"> )</w:t>
      </w:r>
    </w:p>
    <w:p w14:paraId="7AD37C4F">
      <w:pPr>
        <w:bidi w:val="0"/>
        <w:spacing w:before="0" w:after="200" w:line="360" w:lineRule="auto"/>
        <w:jc w:val="both"/>
        <w:rPr>
          <w:b w:val="0"/>
          <w:bCs w:val="0"/>
          <w:sz w:val="24"/>
          <w:szCs w:val="24"/>
        </w:rPr>
      </w:pPr>
    </w:p>
    <w:p w14:paraId="5BCECA5D">
      <w:pPr>
        <w:bidi w:val="0"/>
        <w:spacing w:before="0" w:after="200" w:line="360" w:lineRule="auto"/>
        <w:jc w:val="both"/>
        <w:rPr>
          <w:b/>
          <w:bCs/>
          <w:sz w:val="24"/>
          <w:szCs w:val="24"/>
        </w:rPr>
      </w:pPr>
      <w:r>
        <w:rPr>
          <w:b/>
          <w:bCs/>
          <w:sz w:val="24"/>
          <w:szCs w:val="24"/>
        </w:rPr>
        <w:t>Market Segmentation</w:t>
      </w:r>
    </w:p>
    <w:p w14:paraId="663A7FA6">
      <w:pPr>
        <w:bidi w:val="0"/>
        <w:spacing w:before="0" w:after="200" w:line="360" w:lineRule="auto"/>
        <w:jc w:val="both"/>
        <w:rPr>
          <w:rFonts w:ascii="Arial" w:hAnsi="Arial"/>
          <w:sz w:val="24"/>
          <w:szCs w:val="24"/>
        </w:rPr>
      </w:pPr>
      <w:r>
        <w:rPr>
          <w:b/>
          <w:bCs/>
          <w:sz w:val="24"/>
          <w:szCs w:val="24"/>
        </w:rPr>
        <w:t>Japan (Home Market):</w:t>
      </w:r>
      <w:r>
        <w:rPr>
          <w:sz w:val="24"/>
          <w:szCs w:val="24"/>
        </w:rPr>
        <w:t xml:space="preserve"> Japan’s market necessitates micro-segmentation; It’s demographic segmentation consists of rapidly aging population and young families with rising disposible income. Geographically, rural migration shifts demand towards vehicles that can navigate dense infrastructure, tight urban parking and narrow streets.</w:t>
      </w:r>
    </w:p>
    <w:p w14:paraId="6FC99AB4">
      <w:pPr>
        <w:bidi w:val="0"/>
        <w:spacing w:before="0" w:after="200" w:line="360" w:lineRule="auto"/>
        <w:jc w:val="both"/>
        <w:rPr>
          <w:rFonts w:ascii="Arial" w:hAnsi="Arial"/>
          <w:sz w:val="24"/>
          <w:szCs w:val="24"/>
        </w:rPr>
      </w:pPr>
      <w:r>
        <w:rPr>
          <w:b/>
          <w:bCs/>
          <w:sz w:val="24"/>
          <w:szCs w:val="24"/>
        </w:rPr>
        <w:t>USA (Host Market):</w:t>
      </w:r>
      <w:r>
        <w:rPr>
          <w:sz w:val="24"/>
          <w:szCs w:val="24"/>
        </w:rPr>
        <w:t xml:space="preserve"> Toyota segments the US market around lifestyle and vehicle size due to it’s demand for versatile utility. It ranges from budget-conscious commuters to large suburban families and corporate fleets. Brand also has B2B and highly successful  environmentally aware customer base. Here, Toyota capitalizes on the popularity of compact SUVs and trucks (ConsumerAffairs, 2024).</w:t>
      </w:r>
    </w:p>
    <w:p w14:paraId="00ACCEEF">
      <w:pPr>
        <w:bidi w:val="0"/>
        <w:spacing w:before="0" w:after="200" w:line="360" w:lineRule="auto"/>
        <w:jc w:val="both"/>
        <w:rPr>
          <w:rFonts w:ascii="Arial" w:hAnsi="Arial"/>
          <w:sz w:val="24"/>
          <w:szCs w:val="24"/>
        </w:rPr>
      </w:pPr>
    </w:p>
    <w:p w14:paraId="1AD61D9A">
      <w:pPr>
        <w:bidi w:val="0"/>
        <w:spacing w:before="0" w:after="200" w:line="360" w:lineRule="auto"/>
        <w:jc w:val="both"/>
        <w:rPr>
          <w:b/>
          <w:bCs/>
          <w:sz w:val="24"/>
          <w:szCs w:val="24"/>
        </w:rPr>
      </w:pPr>
      <w:r>
        <w:rPr>
          <w:b/>
          <w:bCs/>
          <w:sz w:val="24"/>
          <w:szCs w:val="24"/>
        </w:rPr>
        <w:t>Targeting</w:t>
      </w:r>
    </w:p>
    <w:p w14:paraId="5D51A6BD">
      <w:pPr>
        <w:bidi w:val="0"/>
        <w:spacing w:before="0" w:after="200" w:line="360" w:lineRule="auto"/>
        <w:jc w:val="both"/>
        <w:rPr>
          <w:rFonts w:ascii="Arial" w:hAnsi="Arial"/>
          <w:sz w:val="24"/>
          <w:szCs w:val="24"/>
        </w:rPr>
      </w:pPr>
      <w:r>
        <w:rPr>
          <w:b/>
          <w:bCs/>
          <w:sz w:val="24"/>
          <w:szCs w:val="24"/>
        </w:rPr>
        <w:t>Japan:</w:t>
      </w:r>
      <w:r>
        <w:rPr>
          <w:sz w:val="24"/>
          <w:szCs w:val="24"/>
        </w:rPr>
        <w:t xml:space="preserve"> Toyota offers highly efficient, compact cars specifically designed for urban maneuverability and efficiency-focused urban families; while micro-cars (Kei-cars) sustain massive domestic demand due to tax-advantages and insurance costs in rural prefectures.</w:t>
      </w:r>
    </w:p>
    <w:p w14:paraId="4CD907A3">
      <w:pPr>
        <w:bidi w:val="0"/>
        <w:spacing w:before="0" w:after="200" w:line="360" w:lineRule="auto"/>
        <w:jc w:val="both"/>
        <w:rPr>
          <w:rFonts w:ascii="Arial" w:hAnsi="Arial"/>
          <w:sz w:val="24"/>
          <w:szCs w:val="24"/>
        </w:rPr>
      </w:pPr>
      <w:r>
        <w:rPr>
          <w:b/>
          <w:bCs/>
          <w:sz w:val="24"/>
          <w:szCs w:val="24"/>
        </w:rPr>
        <w:t>USA:</w:t>
      </w:r>
      <w:r>
        <w:rPr>
          <w:sz w:val="24"/>
          <w:szCs w:val="24"/>
        </w:rPr>
        <w:t xml:space="preserve"> Toyota offers  same models with distinct design categories to effectively capture these diverse behavioral segments within a single product line. For example, redesigned 2026 RAV4 is available in three distinct design categories with Core as a base model and Rugged, Sport variants for adventure enthusiasts (Kelley Blue Book, 2026). US has a growing number of environmentally aware consumer demanding performance vehicles. Toyota targets this specific environmentally conscious demographic for it’s hybrid and EV vehicles. Toyota’s electrified vehicle sales represented 50.5% of total sales volume in Q1 of 2026 (Toyota Motor North America, 2026). Toyota furthermore targets on regional bases; for example the rugged Tacoma pickup truck variant, which is highly popular in states like Hawaii (ConsumerAffairs, 2024).</w:t>
      </w:r>
    </w:p>
    <w:p w14:paraId="2B4C77A1">
      <w:pPr>
        <w:bidi w:val="0"/>
        <w:spacing w:before="0" w:after="200" w:line="360" w:lineRule="auto"/>
        <w:jc w:val="both"/>
        <w:rPr>
          <w:rFonts w:ascii="Arial" w:hAnsi="Arial"/>
          <w:sz w:val="24"/>
          <w:szCs w:val="24"/>
        </w:rPr>
      </w:pPr>
    </w:p>
    <w:p w14:paraId="4E0EC21C">
      <w:pPr>
        <w:bidi w:val="0"/>
        <w:spacing w:before="0" w:after="200" w:line="360" w:lineRule="auto"/>
        <w:jc w:val="both"/>
        <w:rPr>
          <w:b/>
          <w:bCs/>
          <w:sz w:val="24"/>
          <w:szCs w:val="24"/>
        </w:rPr>
      </w:pPr>
      <w:r>
        <w:rPr>
          <w:b/>
          <w:bCs/>
          <w:sz w:val="24"/>
          <w:szCs w:val="24"/>
        </w:rPr>
        <w:t>Brand Positioning and Value Proposition Alignment</w:t>
      </w:r>
    </w:p>
    <w:p w14:paraId="2C974CA1">
      <w:pPr>
        <w:bidi w:val="0"/>
        <w:spacing w:before="0" w:after="200" w:line="360" w:lineRule="auto"/>
        <w:jc w:val="both"/>
        <w:rPr>
          <w:rFonts w:ascii="Arial" w:hAnsi="Arial"/>
          <w:sz w:val="24"/>
          <w:szCs w:val="24"/>
        </w:rPr>
      </w:pPr>
      <w:r>
        <w:rPr>
          <w:b/>
          <w:bCs/>
          <w:sz w:val="24"/>
          <w:szCs w:val="24"/>
        </w:rPr>
        <w:t>Core Value Proposition:</w:t>
      </w:r>
      <w:r>
        <w:rPr>
          <w:sz w:val="24"/>
          <w:szCs w:val="24"/>
        </w:rPr>
        <w:t xml:space="preserve"> Globally, Toyota’s fundamental value proposition is built upon quality, durability, high fuel efficiency and strong resale value (IIDE, 2025; Spinny, 2026). Toyota has built a strong consumer trust and loyalty by delivering high ownership satisfaction through longevity, predictable ownership costs.</w:t>
      </w:r>
    </w:p>
    <w:p w14:paraId="3C8908E0">
      <w:pPr>
        <w:bidi w:val="0"/>
        <w:spacing w:before="0" w:after="200" w:line="360" w:lineRule="auto"/>
        <w:jc w:val="both"/>
        <w:rPr>
          <w:rFonts w:ascii="Arial" w:hAnsi="Arial"/>
          <w:sz w:val="24"/>
          <w:szCs w:val="24"/>
        </w:rPr>
      </w:pPr>
      <w:r>
        <w:rPr>
          <w:b/>
          <w:bCs/>
          <w:sz w:val="24"/>
          <w:szCs w:val="24"/>
        </w:rPr>
        <w:t>Japan Positioning:</w:t>
      </w:r>
      <w:r>
        <w:rPr>
          <w:sz w:val="24"/>
          <w:szCs w:val="24"/>
        </w:rPr>
        <w:t xml:space="preserve"> In its home market, Toyota's core value proposition includes efficiency, proven platforms with reliablity, and quality; which serves traditional Japanese consumers.</w:t>
      </w:r>
    </w:p>
    <w:p w14:paraId="1ED99C9D">
      <w:pPr>
        <w:bidi w:val="0"/>
        <w:spacing w:before="0" w:after="200" w:line="360" w:lineRule="auto"/>
        <w:jc w:val="both"/>
        <w:rPr>
          <w:rFonts w:ascii="Arial" w:hAnsi="Arial"/>
          <w:sz w:val="24"/>
          <w:szCs w:val="24"/>
        </w:rPr>
      </w:pPr>
      <w:r>
        <w:rPr>
          <w:b/>
          <w:bCs/>
          <w:sz w:val="24"/>
          <w:szCs w:val="24"/>
        </w:rPr>
        <w:t>USA Positioning:</w:t>
      </w:r>
      <w:r>
        <w:rPr>
          <w:sz w:val="24"/>
          <w:szCs w:val="24"/>
        </w:rPr>
        <w:t xml:space="preserve"> In the host market, American consumer's demand uncompromised performance and efficiency. Toyota positions itself on reliability, performance with modernization. For example, by making hybrid powertrains standard on the 2026 RAV4, Toyota vehicle offer excellent fuel economy and more power than a standard gasoline engine vehicles (Kelley Blue Book, 2026). This positioning and value proposition directly aligns with it’s consumers.</w:t>
      </w:r>
    </w:p>
    <w:p w14:paraId="4CACD35B">
      <w:pPr>
        <w:bidi w:val="0"/>
        <w:spacing w:before="0" w:after="200" w:line="360" w:lineRule="auto"/>
        <w:jc w:val="center"/>
        <w:rPr>
          <w:rFonts w:ascii="Arial" w:hAnsi="Arial"/>
          <w:sz w:val="24"/>
          <w:szCs w:val="24"/>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4283710" cy="2879725"/>
            <wp:effectExtent l="0" t="0" r="13970" b="635"/>
            <wp:wrapTopAndBottom/>
            <wp:docPr id="5" name="Imag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3"/>
                    <pic:cNvPicPr>
                      <a:picLocks noChangeAspect="1" noChangeArrowheads="1"/>
                    </pic:cNvPicPr>
                  </pic:nvPicPr>
                  <pic:blipFill>
                    <a:blip r:embed="rId17"/>
                    <a:stretch>
                      <a:fillRect/>
                    </a:stretch>
                  </pic:blipFill>
                  <pic:spPr>
                    <a:xfrm>
                      <a:off x="0" y="0"/>
                      <a:ext cx="4283710" cy="2879725"/>
                    </a:xfrm>
                    <a:prstGeom prst="rect">
                      <a:avLst/>
                    </a:prstGeom>
                    <a:noFill/>
                  </pic:spPr>
                </pic:pic>
              </a:graphicData>
            </a:graphic>
          </wp:anchor>
        </w:drawing>
      </w:r>
      <w:r>
        <w:rPr>
          <w:sz w:val="20"/>
          <w:szCs w:val="20"/>
        </w:rPr>
        <w:t xml:space="preserve">(Source: </w:t>
      </w:r>
      <w:r>
        <w:fldChar w:fldCharType="begin"/>
      </w:r>
      <w:r>
        <w:instrText xml:space="preserve"> HYPERLINK "https://corporatefinanceinstitute.com/resources/management/market-positioning/" \h </w:instrText>
      </w:r>
      <w:r>
        <w:fldChar w:fldCharType="separate"/>
      </w:r>
      <w:r>
        <w:rPr>
          <w:rStyle w:val="17"/>
          <w:sz w:val="20"/>
          <w:szCs w:val="20"/>
        </w:rPr>
        <w:t>https://corporatefinanceinstitute.com/resources/management/market-positioning/</w:t>
      </w:r>
      <w:r>
        <w:rPr>
          <w:rStyle w:val="17"/>
          <w:sz w:val="20"/>
          <w:szCs w:val="20"/>
        </w:rPr>
        <w:fldChar w:fldCharType="end"/>
      </w:r>
      <w:r>
        <w:rPr>
          <w:sz w:val="20"/>
          <w:szCs w:val="20"/>
        </w:rPr>
        <w:t xml:space="preserve"> )</w:t>
      </w:r>
    </w:p>
    <w:p w14:paraId="43FC18AC">
      <w:pPr>
        <w:bidi w:val="0"/>
        <w:spacing w:before="0" w:after="200" w:line="360" w:lineRule="auto"/>
        <w:jc w:val="both"/>
        <w:rPr>
          <w:rFonts w:ascii="Arial" w:hAnsi="Arial"/>
          <w:b/>
          <w:bCs/>
          <w:sz w:val="24"/>
          <w:szCs w:val="24"/>
        </w:rPr>
      </w:pPr>
      <w:r>
        <w:rPr>
          <w:b/>
          <w:bCs/>
          <w:sz w:val="24"/>
          <w:szCs w:val="24"/>
        </w:rPr>
        <w:t>1.4 International Marketing Mix (7Ps) Comparative Analysis</w:t>
      </w:r>
    </w:p>
    <w:p w14:paraId="2F9D030F">
      <w:pPr>
        <w:bidi w:val="0"/>
        <w:spacing w:before="0" w:after="200" w:line="360" w:lineRule="auto"/>
        <w:jc w:val="both"/>
        <w:rPr>
          <w:rFonts w:ascii="Arial" w:hAnsi="Arial"/>
          <w:sz w:val="24"/>
          <w:szCs w:val="24"/>
        </w:rPr>
      </w:pPr>
      <w:r>
        <w:rPr>
          <w:sz w:val="24"/>
          <w:szCs w:val="24"/>
        </w:rPr>
        <w:t>Toyota continuously adapts its standardized business operations to penetrate diverse global markets and meet localized demands. This section critically evalates Toyota’s 7Ps Marketing Mix in Japan against the United States.</w:t>
      </w:r>
    </w:p>
    <w:p w14:paraId="12868BFD">
      <w:pPr>
        <w:bidi w:val="0"/>
        <w:spacing w:before="0" w:after="200" w:line="360" w:lineRule="auto"/>
        <w:jc w:val="both"/>
        <w:rPr>
          <w:b/>
          <w:bCs/>
          <w:sz w:val="24"/>
          <w:szCs w:val="24"/>
        </w:rPr>
      </w:pPr>
      <w:r>
        <w:rPr>
          <w:b/>
          <w:bCs/>
          <w:sz w:val="24"/>
          <w:szCs w:val="24"/>
        </w:rPr>
        <w:t>Product</w:t>
      </w:r>
    </w:p>
    <w:p w14:paraId="0D47D591">
      <w:pPr>
        <w:bidi w:val="0"/>
        <w:spacing w:before="0" w:after="200" w:line="360" w:lineRule="auto"/>
        <w:jc w:val="both"/>
        <w:rPr>
          <w:rFonts w:ascii="Arial" w:hAnsi="Arial"/>
          <w:sz w:val="24"/>
          <w:szCs w:val="24"/>
        </w:rPr>
      </w:pPr>
      <w:r>
        <w:rPr>
          <w:b/>
          <w:bCs/>
          <w:sz w:val="24"/>
          <w:szCs w:val="24"/>
        </w:rPr>
        <w:t>Japan:</w:t>
      </w:r>
      <w:r>
        <w:rPr>
          <w:sz w:val="24"/>
          <w:szCs w:val="24"/>
        </w:rPr>
        <w:t xml:space="preserve"> Toyota's domestic product mix heavily Emphasizes compact hatchbacks, micro-cars (Kei-cars) and minivans like the Alphard or Voxy offering easy ingress and egress. Environmentally, the product line utilizes hydrogen platforms (Mirai) and standard or plug-in hybrids rather than pure battery electric vehicles.</w:t>
      </w:r>
    </w:p>
    <w:tbl>
      <w:tblPr>
        <w:tblStyle w:val="9"/>
        <w:tblW w:w="5000" w:type="pct"/>
        <w:tblInd w:w="-5" w:type="dxa"/>
        <w:tblLayout w:type="fixed"/>
        <w:tblCellMar>
          <w:top w:w="55" w:type="dxa"/>
          <w:left w:w="55" w:type="dxa"/>
          <w:bottom w:w="55" w:type="dxa"/>
          <w:right w:w="55" w:type="dxa"/>
        </w:tblCellMar>
      </w:tblPr>
      <w:tblGrid>
        <w:gridCol w:w="4567"/>
        <w:gridCol w:w="4569"/>
      </w:tblGrid>
      <w:tr w14:paraId="1FA3E07D">
        <w:tblPrEx>
          <w:tblCellMar>
            <w:top w:w="55" w:type="dxa"/>
            <w:left w:w="55" w:type="dxa"/>
            <w:bottom w:w="55" w:type="dxa"/>
            <w:right w:w="55" w:type="dxa"/>
          </w:tblCellMar>
        </w:tblPrEx>
        <w:tc>
          <w:tcPr>
            <w:tcW w:w="4512" w:type="dxa"/>
            <w:tcBorders>
              <w:top w:val="single" w:color="000000" w:sz="4" w:space="0"/>
              <w:left w:val="single" w:color="000000" w:sz="4" w:space="0"/>
              <w:bottom w:val="single" w:color="000000" w:sz="4" w:space="0"/>
            </w:tcBorders>
            <w:shd w:val="clear" w:color="auto" w:fill="00A933"/>
          </w:tcPr>
          <w:p w14:paraId="22867471">
            <w:pPr>
              <w:pStyle w:val="33"/>
              <w:jc w:val="center"/>
            </w:pPr>
            <w:r>
              <w:t>Product Width</w:t>
            </w:r>
          </w:p>
        </w:tc>
        <w:tc>
          <w:tcPr>
            <w:tcW w:w="4514" w:type="dxa"/>
            <w:tcBorders>
              <w:top w:val="single" w:color="000000" w:sz="4" w:space="0"/>
              <w:left w:val="single" w:color="000000" w:sz="4" w:space="0"/>
              <w:bottom w:val="single" w:color="000000" w:sz="4" w:space="0"/>
              <w:right w:val="single" w:color="000000" w:sz="4" w:space="0"/>
            </w:tcBorders>
            <w:shd w:val="clear" w:color="auto" w:fill="00A933"/>
          </w:tcPr>
          <w:p w14:paraId="4D4BCEA0">
            <w:pPr>
              <w:pStyle w:val="33"/>
              <w:jc w:val="center"/>
            </w:pPr>
            <w:r>
              <w:t>Product Depth</w:t>
            </w:r>
          </w:p>
        </w:tc>
      </w:tr>
      <w:tr w14:paraId="3CB5A471">
        <w:tblPrEx>
          <w:tblCellMar>
            <w:top w:w="55" w:type="dxa"/>
            <w:left w:w="55" w:type="dxa"/>
            <w:bottom w:w="55" w:type="dxa"/>
            <w:right w:w="55" w:type="dxa"/>
          </w:tblCellMar>
        </w:tblPrEx>
        <w:tc>
          <w:tcPr>
            <w:tcW w:w="4512" w:type="dxa"/>
            <w:tcBorders>
              <w:left w:val="single" w:color="000000" w:sz="4" w:space="0"/>
              <w:bottom w:val="single" w:color="000000" w:sz="4" w:space="0"/>
            </w:tcBorders>
          </w:tcPr>
          <w:p w14:paraId="681F1214">
            <w:pPr>
              <w:pStyle w:val="33"/>
            </w:pPr>
            <w:r>
              <w:t>Toyota maintains a broad product width in its domestic market with certain vehicle categories that do not exist in the US.</w:t>
            </w:r>
          </w:p>
          <w:p w14:paraId="30C1C998">
            <w:pPr>
              <w:pStyle w:val="33"/>
            </w:pPr>
            <w:r>
              <w:t>This vast portfolio includes ultracompact Kei cars (such as the Pixis and Copen GR SPORT), various minivans (including the Alphard, Voxy, and Sienta), traditional sedans and commercial vehicles like the Hiace.</w:t>
            </w:r>
          </w:p>
        </w:tc>
        <w:tc>
          <w:tcPr>
            <w:tcW w:w="4514" w:type="dxa"/>
            <w:tcBorders>
              <w:left w:val="single" w:color="000000" w:sz="4" w:space="0"/>
              <w:bottom w:val="single" w:color="000000" w:sz="4" w:space="0"/>
              <w:right w:val="single" w:color="000000" w:sz="4" w:space="0"/>
            </w:tcBorders>
          </w:tcPr>
          <w:p w14:paraId="7BC11CC3">
            <w:pPr>
              <w:pStyle w:val="33"/>
            </w:pPr>
            <w:r>
              <w:t xml:space="preserve">The product depth largely focuses on navigating the dense urban infrastructure and accommodating specific consumer profiles. </w:t>
            </w:r>
          </w:p>
          <w:p w14:paraId="7DAA6C4B">
            <w:pPr>
              <w:pStyle w:val="33"/>
            </w:pPr>
            <w:r>
              <w:t>Toyota offers variations in form of specialized hybrid configurations or mobility accessibility trims designed specifically for Japan's aging demographic.</w:t>
            </w:r>
          </w:p>
        </w:tc>
      </w:tr>
    </w:tbl>
    <w:p w14:paraId="73FA26B2">
      <w:pPr>
        <w:bidi w:val="0"/>
        <w:spacing w:before="0" w:after="200" w:line="360" w:lineRule="auto"/>
        <w:jc w:val="both"/>
        <w:rPr>
          <w:rFonts w:ascii="Arial" w:hAnsi="Arial"/>
          <w:sz w:val="24"/>
          <w:szCs w:val="24"/>
        </w:rPr>
      </w:pPr>
    </w:p>
    <w:p w14:paraId="5D9EA870">
      <w:pPr>
        <w:bidi w:val="0"/>
        <w:spacing w:before="0" w:after="200" w:line="360" w:lineRule="auto"/>
        <w:jc w:val="both"/>
        <w:rPr>
          <w:rFonts w:ascii="Arial" w:hAnsi="Arial"/>
          <w:sz w:val="24"/>
          <w:szCs w:val="24"/>
        </w:rPr>
      </w:pPr>
      <w:r>
        <w:rPr>
          <w:b/>
          <w:bCs/>
          <w:sz w:val="24"/>
          <w:szCs w:val="24"/>
        </w:rPr>
        <w:t>USA:</w:t>
      </w:r>
      <w:r>
        <w:rPr>
          <w:sz w:val="24"/>
          <w:szCs w:val="24"/>
        </w:rPr>
        <w:t xml:space="preserve"> US product mix is dominated by mid-size sedans, massive SUVs (such as the Highlander and RAV4) and heavy-duty pickup trucks like the Tundra and Tacoma. Recognizing the American desire for uncompromised power, Toyota recently adjusted its US product mix by making hybrid powertrains standard on models like the 2026 RAV4 to offer both stellar fuel economy and increased horsepower.</w:t>
      </w:r>
    </w:p>
    <w:p w14:paraId="1BD1309F">
      <w:pPr>
        <w:bidi w:val="0"/>
        <w:spacing w:before="0" w:after="200" w:line="360" w:lineRule="auto"/>
        <w:jc w:val="both"/>
        <w:rPr>
          <w:rFonts w:ascii="Arial" w:hAnsi="Arial"/>
          <w:sz w:val="24"/>
          <w:szCs w:val="24"/>
        </w:rPr>
      </w:pPr>
    </w:p>
    <w:tbl>
      <w:tblPr>
        <w:tblStyle w:val="9"/>
        <w:tblW w:w="5000" w:type="pct"/>
        <w:tblInd w:w="-5" w:type="dxa"/>
        <w:tblLayout w:type="fixed"/>
        <w:tblCellMar>
          <w:top w:w="55" w:type="dxa"/>
          <w:left w:w="55" w:type="dxa"/>
          <w:bottom w:w="55" w:type="dxa"/>
          <w:right w:w="55" w:type="dxa"/>
        </w:tblCellMar>
      </w:tblPr>
      <w:tblGrid>
        <w:gridCol w:w="4567"/>
        <w:gridCol w:w="4569"/>
      </w:tblGrid>
      <w:tr w14:paraId="41CEA27D">
        <w:tblPrEx>
          <w:tblCellMar>
            <w:top w:w="55" w:type="dxa"/>
            <w:left w:w="55" w:type="dxa"/>
            <w:bottom w:w="55" w:type="dxa"/>
            <w:right w:w="55" w:type="dxa"/>
          </w:tblCellMar>
        </w:tblPrEx>
        <w:tc>
          <w:tcPr>
            <w:tcW w:w="4512" w:type="dxa"/>
            <w:tcBorders>
              <w:top w:val="single" w:color="000000" w:sz="4" w:space="0"/>
              <w:left w:val="single" w:color="000000" w:sz="4" w:space="0"/>
              <w:bottom w:val="single" w:color="000000" w:sz="4" w:space="0"/>
            </w:tcBorders>
            <w:shd w:val="clear" w:color="auto" w:fill="00A933"/>
          </w:tcPr>
          <w:p w14:paraId="727EC5CF">
            <w:pPr>
              <w:pStyle w:val="33"/>
              <w:jc w:val="center"/>
            </w:pPr>
            <w:r>
              <w:t>Product Width</w:t>
            </w:r>
          </w:p>
        </w:tc>
        <w:tc>
          <w:tcPr>
            <w:tcW w:w="4514" w:type="dxa"/>
            <w:tcBorders>
              <w:top w:val="single" w:color="000000" w:sz="4" w:space="0"/>
              <w:left w:val="single" w:color="000000" w:sz="4" w:space="0"/>
              <w:bottom w:val="single" w:color="000000" w:sz="4" w:space="0"/>
              <w:right w:val="single" w:color="000000" w:sz="4" w:space="0"/>
            </w:tcBorders>
            <w:shd w:val="clear" w:color="auto" w:fill="00A933"/>
          </w:tcPr>
          <w:p w14:paraId="38ADE325">
            <w:pPr>
              <w:pStyle w:val="33"/>
              <w:jc w:val="center"/>
            </w:pPr>
            <w:r>
              <w:t>Product Depth</w:t>
            </w:r>
          </w:p>
        </w:tc>
      </w:tr>
      <w:tr w14:paraId="48D73FE1">
        <w:tblPrEx>
          <w:tblCellMar>
            <w:top w:w="55" w:type="dxa"/>
            <w:left w:w="55" w:type="dxa"/>
            <w:bottom w:w="55" w:type="dxa"/>
            <w:right w:w="55" w:type="dxa"/>
          </w:tblCellMar>
        </w:tblPrEx>
        <w:tc>
          <w:tcPr>
            <w:tcW w:w="4512" w:type="dxa"/>
            <w:tcBorders>
              <w:left w:val="single" w:color="000000" w:sz="4" w:space="0"/>
              <w:bottom w:val="single" w:color="000000" w:sz="4" w:space="0"/>
            </w:tcBorders>
          </w:tcPr>
          <w:p w14:paraId="6CD8C612">
            <w:pPr>
              <w:pStyle w:val="33"/>
            </w:pPr>
            <w:r>
              <w:t xml:space="preserve">Here, Toyota shifts its breadth towards crossover SUVs, off-road vehicles and large family haulers. </w:t>
            </w:r>
          </w:p>
          <w:p w14:paraId="3B90CF61">
            <w:pPr>
              <w:pStyle w:val="33"/>
            </w:pPr>
            <w:r>
              <w:t>From the compact Corolla Cross and electric bZ4X to full-size vehicles like the Sequoia and Grand Highlander.</w:t>
            </w:r>
          </w:p>
        </w:tc>
        <w:tc>
          <w:tcPr>
            <w:tcW w:w="4514" w:type="dxa"/>
            <w:tcBorders>
              <w:left w:val="single" w:color="000000" w:sz="4" w:space="0"/>
              <w:bottom w:val="single" w:color="000000" w:sz="4" w:space="0"/>
              <w:right w:val="single" w:color="000000" w:sz="4" w:space="0"/>
            </w:tcBorders>
          </w:tcPr>
          <w:p w14:paraId="24215788">
            <w:pPr>
              <w:pStyle w:val="33"/>
            </w:pPr>
            <w:r>
              <w:t xml:space="preserve">To capture diverse American lifestyle segments, Toyota offers significant product depth within its core US models. </w:t>
            </w:r>
          </w:p>
          <w:p w14:paraId="76C06592">
            <w:pPr>
              <w:pStyle w:val="33"/>
            </w:pPr>
            <w:r>
              <w:t>For example, a single model like the RAV4 comes with multiple specialized trims choices and multiple variants for specific lifestyles.</w:t>
            </w:r>
          </w:p>
        </w:tc>
      </w:tr>
    </w:tbl>
    <w:p w14:paraId="241E4EBE">
      <w:pPr>
        <w:bidi w:val="0"/>
        <w:spacing w:before="0" w:after="200" w:line="360" w:lineRule="auto"/>
        <w:jc w:val="both"/>
        <w:rPr>
          <w:rFonts w:ascii="Arial" w:hAnsi="Arial"/>
          <w:sz w:val="24"/>
          <w:szCs w:val="24"/>
        </w:rPr>
      </w:pPr>
    </w:p>
    <w:p w14:paraId="6058D47D">
      <w:pPr>
        <w:bidi w:val="0"/>
        <w:spacing w:before="0" w:after="200" w:line="360" w:lineRule="auto"/>
        <w:jc w:val="both"/>
        <w:rPr>
          <w:b/>
          <w:bCs/>
          <w:sz w:val="24"/>
          <w:szCs w:val="24"/>
        </w:rPr>
      </w:pPr>
      <w:r>
        <w:rPr>
          <w:b/>
          <w:bCs/>
          <w:sz w:val="24"/>
          <w:szCs w:val="24"/>
        </w:rPr>
        <w:t>Price</w:t>
      </w:r>
    </w:p>
    <w:p w14:paraId="7D129616">
      <w:pPr>
        <w:bidi w:val="0"/>
        <w:spacing w:before="0" w:after="200" w:line="360" w:lineRule="auto"/>
        <w:jc w:val="both"/>
        <w:rPr>
          <w:rFonts w:ascii="Arial" w:hAnsi="Arial"/>
          <w:sz w:val="24"/>
          <w:szCs w:val="24"/>
        </w:rPr>
      </w:pPr>
      <w:r>
        <w:rPr>
          <w:sz w:val="24"/>
          <w:szCs w:val="24"/>
        </w:rPr>
        <w:t>Toyota traditionally follows value-based pricing strategy but market specifics decide final pricing strategy after careful consideration of economic and geopolitical factors.</w:t>
      </w:r>
    </w:p>
    <w:p w14:paraId="06A3E674">
      <w:pPr>
        <w:bidi w:val="0"/>
        <w:spacing w:before="0" w:after="200" w:line="360" w:lineRule="auto"/>
        <w:jc w:val="both"/>
        <w:rPr>
          <w:rFonts w:ascii="Arial" w:hAnsi="Arial"/>
          <w:sz w:val="24"/>
          <w:szCs w:val="24"/>
        </w:rPr>
      </w:pPr>
      <w:r>
        <w:rPr>
          <w:b/>
          <w:bCs/>
          <w:sz w:val="24"/>
          <w:szCs w:val="24"/>
        </w:rPr>
        <w:t>Japan:</w:t>
      </w:r>
      <w:r>
        <w:rPr>
          <w:sz w:val="24"/>
          <w:szCs w:val="24"/>
        </w:rPr>
        <w:t xml:space="preserve"> Domestically, Toyota offers highly competitive and relatively stable prices to maintain its dominant market share as Japanese market has large budget-conscious consumer base. Toyota leverages economies of scale to stay profitable and adjust with local economic realities.</w:t>
      </w:r>
    </w:p>
    <w:p w14:paraId="00191279">
      <w:pPr>
        <w:bidi w:val="0"/>
        <w:spacing w:before="0" w:after="200" w:line="360" w:lineRule="auto"/>
        <w:jc w:val="both"/>
        <w:rPr>
          <w:rFonts w:ascii="Arial" w:hAnsi="Arial"/>
          <w:sz w:val="24"/>
          <w:szCs w:val="24"/>
        </w:rPr>
      </w:pPr>
      <w:r>
        <w:rPr>
          <w:b/>
          <w:bCs/>
          <w:sz w:val="24"/>
          <w:szCs w:val="24"/>
        </w:rPr>
        <w:t>USA:</w:t>
      </w:r>
      <w:r>
        <w:rPr>
          <w:sz w:val="24"/>
          <w:szCs w:val="24"/>
        </w:rPr>
        <w:t xml:space="preserve"> Brand follows layered pricing strategy supported by leasing and auto-financing. Toyota offers entry-level pricing for certain models while charging premium for specialized models like the TRD Pro truck series. Toyota’s US pricing strategy is currently under severe economic pressure due to aggressive trade protectionism. In 2025 and 2026, U.S. imposed 15% tariffs on imported vehicles; Toyota has chosen to absorb much of the cost through aggressive internal cost-reduction activities as passing it directly onto the American consumer  would destroy Toyota’s value proposition against domestic rivals like Ford.</w:t>
      </w:r>
    </w:p>
    <w:p w14:paraId="2C4CA8DD">
      <w:pPr>
        <w:bidi w:val="0"/>
        <w:spacing w:before="0" w:after="200" w:line="360" w:lineRule="auto"/>
        <w:jc w:val="both"/>
        <w:rPr>
          <w:b/>
          <w:bCs/>
          <w:sz w:val="24"/>
          <w:szCs w:val="24"/>
        </w:rPr>
      </w:pPr>
      <w:r>
        <w:rPr>
          <w:b/>
          <w:bCs/>
          <w:sz w:val="24"/>
          <w:szCs w:val="24"/>
        </w:rPr>
        <w:t>Place</w:t>
      </w:r>
    </w:p>
    <w:p w14:paraId="0FFBD6AC">
      <w:pPr>
        <w:bidi w:val="0"/>
        <w:spacing w:before="0" w:after="200" w:line="360" w:lineRule="auto"/>
        <w:jc w:val="both"/>
        <w:rPr>
          <w:rFonts w:ascii="Arial" w:hAnsi="Arial"/>
          <w:sz w:val="24"/>
          <w:szCs w:val="24"/>
        </w:rPr>
      </w:pPr>
      <w:r>
        <w:rPr>
          <w:b/>
          <w:bCs/>
          <w:sz w:val="24"/>
          <w:szCs w:val="24"/>
        </w:rPr>
        <w:t>Japan:</w:t>
      </w:r>
      <w:r>
        <w:rPr>
          <w:sz w:val="24"/>
          <w:szCs w:val="24"/>
        </w:rPr>
        <w:t xml:space="preserve"> Toyota’s has high density of small showrooms, well  embedded within local neighborhoods that act as a trusted community hub where consumers return to the same dealer for decades. This plays well with Japan’s high Uncertainty Avoidance culture and infrastructure reality.</w:t>
      </w:r>
    </w:p>
    <w:p w14:paraId="39023393">
      <w:pPr>
        <w:bidi w:val="0"/>
        <w:spacing w:before="0" w:after="200" w:line="360" w:lineRule="auto"/>
        <w:jc w:val="center"/>
        <w:rPr>
          <w:rFonts w:ascii="Arial" w:hAnsi="Arial"/>
          <w:sz w:val="20"/>
          <w:szCs w:val="20"/>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2433320" cy="1824990"/>
            <wp:effectExtent l="0" t="0" r="5080" b="3810"/>
            <wp:wrapTopAndBottom/>
            <wp:docPr id="6"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9"/>
                    <pic:cNvPicPr>
                      <a:picLocks noChangeAspect="1" noChangeArrowheads="1"/>
                    </pic:cNvPicPr>
                  </pic:nvPicPr>
                  <pic:blipFill>
                    <a:blip r:embed="rId18"/>
                    <a:stretch>
                      <a:fillRect/>
                    </a:stretch>
                  </pic:blipFill>
                  <pic:spPr>
                    <a:xfrm>
                      <a:off x="0" y="0"/>
                      <a:ext cx="2433320" cy="1824990"/>
                    </a:xfrm>
                    <a:prstGeom prst="rect">
                      <a:avLst/>
                    </a:prstGeom>
                    <a:noFill/>
                  </pic:spPr>
                </pic:pic>
              </a:graphicData>
            </a:graphic>
          </wp:anchor>
        </w:drawing>
      </w:r>
      <w:r>
        <w:rPr>
          <w:sz w:val="20"/>
          <w:szCs w:val="20"/>
        </w:rPr>
        <w:t>(Source: https://en.wikipedia.org/wiki/Toyota_dealerships_%28Japan%29 )</w:t>
      </w:r>
    </w:p>
    <w:p w14:paraId="54C43F02">
      <w:pPr>
        <w:bidi w:val="0"/>
        <w:spacing w:before="0" w:after="200" w:line="360" w:lineRule="auto"/>
        <w:jc w:val="both"/>
        <w:rPr>
          <w:rFonts w:ascii="Arial" w:hAnsi="Arial"/>
          <w:sz w:val="24"/>
          <w:szCs w:val="24"/>
        </w:rPr>
      </w:pPr>
      <w:r>
        <w:rPr>
          <w:b/>
          <w:bCs/>
          <w:sz w:val="24"/>
          <w:szCs w:val="24"/>
        </w:rPr>
        <w:t>USA:</w:t>
      </w:r>
      <w:r>
        <w:rPr>
          <w:sz w:val="24"/>
          <w:szCs w:val="24"/>
        </w:rPr>
        <w:t xml:space="preserve"> American  consumers exert  short-term orientation and often expect to purchase and drive a vehicle on the exact same day. Here, Toyota relies on expansive, mega-dealerships that are also capable of holding massive inventory for distribution.</w:t>
      </w:r>
    </w:p>
    <w:p w14:paraId="3C315B71">
      <w:pPr>
        <w:spacing w:before="0" w:after="200" w:line="360" w:lineRule="auto"/>
        <w:jc w:val="center"/>
        <w:rPr>
          <w:rFonts w:ascii="Arial" w:hAnsi="Arial"/>
          <w:sz w:val="24"/>
          <w:szCs w:val="24"/>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4677410" cy="2211070"/>
            <wp:effectExtent l="0" t="0" r="1270" b="13970"/>
            <wp:wrapTopAndBottom/>
            <wp:docPr id="7"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8"/>
                    <pic:cNvPicPr>
                      <a:picLocks noChangeAspect="1" noChangeArrowheads="1"/>
                    </pic:cNvPicPr>
                  </pic:nvPicPr>
                  <pic:blipFill>
                    <a:blip r:embed="rId19"/>
                    <a:stretch>
                      <a:fillRect/>
                    </a:stretch>
                  </pic:blipFill>
                  <pic:spPr>
                    <a:xfrm>
                      <a:off x="0" y="0"/>
                      <a:ext cx="4677410" cy="2211070"/>
                    </a:xfrm>
                    <a:prstGeom prst="rect">
                      <a:avLst/>
                    </a:prstGeom>
                    <a:noFill/>
                  </pic:spPr>
                </pic:pic>
              </a:graphicData>
            </a:graphic>
          </wp:anchor>
        </w:drawing>
      </w:r>
      <w:r>
        <w:rPr>
          <w:b w:val="0"/>
          <w:bCs w:val="0"/>
          <w:sz w:val="20"/>
          <w:szCs w:val="20"/>
        </w:rPr>
        <w:t xml:space="preserve">(Source: </w:t>
      </w:r>
      <w:r>
        <w:fldChar w:fldCharType="begin"/>
      </w:r>
      <w:r>
        <w:instrText xml:space="preserve"> HYPERLINK "https://www.fredhaastoyota.com/about-us/" \h </w:instrText>
      </w:r>
      <w:r>
        <w:fldChar w:fldCharType="separate"/>
      </w:r>
      <w:r>
        <w:rPr>
          <w:rStyle w:val="17"/>
          <w:b w:val="0"/>
          <w:bCs w:val="0"/>
          <w:sz w:val="20"/>
          <w:szCs w:val="20"/>
        </w:rPr>
        <w:t>https://www.fredhaastoyota.com/about-us/</w:t>
      </w:r>
      <w:r>
        <w:rPr>
          <w:rStyle w:val="17"/>
          <w:b w:val="0"/>
          <w:bCs w:val="0"/>
          <w:sz w:val="20"/>
          <w:szCs w:val="20"/>
        </w:rPr>
        <w:fldChar w:fldCharType="end"/>
      </w:r>
      <w:r>
        <w:rPr>
          <w:b w:val="0"/>
          <w:bCs w:val="0"/>
          <w:sz w:val="20"/>
          <w:szCs w:val="20"/>
        </w:rPr>
        <w:t xml:space="preserve"> )</w:t>
      </w:r>
    </w:p>
    <w:p w14:paraId="50AD24EB">
      <w:pPr>
        <w:bidi w:val="0"/>
        <w:spacing w:before="0" w:after="200" w:line="360" w:lineRule="auto"/>
        <w:jc w:val="both"/>
        <w:rPr>
          <w:b/>
          <w:bCs/>
        </w:rPr>
      </w:pPr>
      <w:r>
        <w:rPr>
          <w:b/>
          <w:bCs/>
          <w:sz w:val="24"/>
          <w:szCs w:val="24"/>
        </w:rPr>
        <w:t>People:</w:t>
      </w:r>
    </w:p>
    <w:p w14:paraId="59BA5D15">
      <w:pPr>
        <w:bidi w:val="0"/>
        <w:spacing w:before="0" w:after="200" w:line="360" w:lineRule="auto"/>
        <w:jc w:val="both"/>
        <w:rPr>
          <w:rFonts w:ascii="Arial" w:hAnsi="Arial"/>
          <w:sz w:val="24"/>
          <w:szCs w:val="24"/>
        </w:rPr>
      </w:pPr>
      <w:r>
        <w:rPr>
          <w:b/>
          <w:bCs/>
          <w:sz w:val="24"/>
          <w:szCs w:val="24"/>
        </w:rPr>
        <w:t>Japan:</w:t>
      </w:r>
      <w:r>
        <w:rPr>
          <w:sz w:val="24"/>
          <w:szCs w:val="24"/>
        </w:rPr>
        <w:t xml:space="preserve"> Dealership staff follows the Japanese cultural philosophy of Omotenashi (deep, anticipatory hospitality). Here unlike USA, sales professionals are not mere transaction brokers but a lifelong mobility consultants who builds deep relationships with families before a purchase is even finalized.</w:t>
      </w:r>
    </w:p>
    <w:p w14:paraId="0CE25D86">
      <w:pPr>
        <w:bidi w:val="0"/>
        <w:spacing w:before="0" w:after="200" w:line="360" w:lineRule="auto"/>
        <w:jc w:val="both"/>
        <w:rPr>
          <w:rFonts w:ascii="Arial" w:hAnsi="Arial"/>
          <w:sz w:val="24"/>
          <w:szCs w:val="24"/>
        </w:rPr>
      </w:pPr>
      <w:r>
        <w:rPr>
          <w:b/>
          <w:bCs/>
          <w:sz w:val="24"/>
          <w:szCs w:val="24"/>
        </w:rPr>
        <w:t>USA:</w:t>
      </w:r>
      <w:r>
        <w:rPr>
          <w:sz w:val="24"/>
          <w:szCs w:val="24"/>
        </w:rPr>
        <w:t xml:space="preserve"> On the contrary, U.S. dealership environment is more transaction-driven and competitive; where sales  personnel are thoroughly trained in product knowledge. However, Toyota still  trains them to be respectful and solve customer problems.</w:t>
      </w:r>
    </w:p>
    <w:p w14:paraId="764E47AC">
      <w:pPr>
        <w:bidi w:val="0"/>
        <w:spacing w:before="0" w:after="200" w:line="360" w:lineRule="auto"/>
        <w:jc w:val="both"/>
        <w:rPr>
          <w:rFonts w:ascii="Arial" w:hAnsi="Arial"/>
          <w:sz w:val="24"/>
          <w:szCs w:val="24"/>
        </w:rPr>
      </w:pPr>
    </w:p>
    <w:p w14:paraId="14B18779">
      <w:pPr>
        <w:bidi w:val="0"/>
        <w:spacing w:before="0" w:after="200" w:line="360" w:lineRule="auto"/>
        <w:jc w:val="both"/>
        <w:rPr>
          <w:b/>
          <w:bCs/>
          <w:sz w:val="24"/>
          <w:szCs w:val="24"/>
        </w:rPr>
      </w:pPr>
      <w:r>
        <w:rPr>
          <w:b/>
          <w:bCs/>
          <w:sz w:val="24"/>
          <w:szCs w:val="24"/>
        </w:rPr>
        <w:t>Promotion:</w:t>
      </w:r>
    </w:p>
    <w:p w14:paraId="37FF73CE">
      <w:pPr>
        <w:bidi w:val="0"/>
        <w:spacing w:before="0" w:after="200" w:line="360" w:lineRule="auto"/>
        <w:jc w:val="both"/>
        <w:rPr>
          <w:rFonts w:ascii="Arial" w:hAnsi="Arial"/>
          <w:sz w:val="24"/>
          <w:szCs w:val="24"/>
        </w:rPr>
      </w:pPr>
      <w:r>
        <w:rPr>
          <w:b/>
          <w:bCs/>
          <w:sz w:val="24"/>
          <w:szCs w:val="24"/>
        </w:rPr>
        <w:t>Japan:</w:t>
      </w:r>
      <w:r>
        <w:rPr>
          <w:sz w:val="24"/>
          <w:szCs w:val="24"/>
        </w:rPr>
        <w:t xml:space="preserve"> Inorder to align with a collectivist and long-term oriented culture of Japan; Toyota’s domestic promotions emphasize heritage, reliability, and societal harmony. Marketing communications feature Toyota's commitment to the community, their investments in hydrogen infrastructure and environmental sustainability.</w:t>
      </w:r>
    </w:p>
    <w:p w14:paraId="20ED0EBF">
      <w:pPr>
        <w:bidi w:val="0"/>
        <w:spacing w:before="0" w:after="200" w:line="360" w:lineRule="auto"/>
        <w:jc w:val="both"/>
        <w:rPr>
          <w:rFonts w:ascii="Arial" w:hAnsi="Arial"/>
          <w:b/>
          <w:bCs/>
          <w:sz w:val="24"/>
          <w:szCs w:val="24"/>
        </w:rPr>
      </w:pPr>
      <w:r>
        <w:rPr>
          <w:b/>
          <w:bCs/>
          <w:sz w:val="24"/>
          <w:szCs w:val="24"/>
        </w:rPr>
        <w:t>USA:</w:t>
      </w:r>
    </w:p>
    <w:p w14:paraId="58A6139F">
      <w:pPr>
        <w:bidi w:val="0"/>
        <w:spacing w:before="0" w:after="200" w:line="360" w:lineRule="auto"/>
        <w:jc w:val="both"/>
        <w:rPr>
          <w:rFonts w:ascii="Arial" w:hAnsi="Arial"/>
          <w:sz w:val="24"/>
          <w:szCs w:val="24"/>
        </w:rPr>
      </w:pPr>
      <w:r>
        <w:rPr>
          <w:sz w:val="24"/>
          <w:szCs w:val="24"/>
        </w:rPr>
        <w:t>Toyota often uses  aggressive and visually dynamic promotions that appeals to USA’s indulgent and masculine culture. Brand also utilizes seasonal sales (e.g., the annual "Toyotathon"), sports sponsorships and lifestyle marketing to position itself as the ultimate tool for individual freedom and outdoor adventure.</w:t>
      </w:r>
    </w:p>
    <w:p w14:paraId="7DBEEB0E">
      <w:pPr>
        <w:bidi w:val="0"/>
        <w:spacing w:before="0" w:after="200" w:line="360" w:lineRule="auto"/>
        <w:jc w:val="both"/>
        <w:rPr>
          <w:rFonts w:ascii="Arial" w:hAnsi="Arial"/>
          <w:b/>
          <w:bCs/>
          <w:sz w:val="24"/>
          <w:szCs w:val="24"/>
        </w:rPr>
      </w:pPr>
      <w:r>
        <w:rPr>
          <w:b/>
          <w:bCs/>
          <w:sz w:val="24"/>
          <w:szCs w:val="24"/>
        </w:rPr>
        <w:t>Process</w:t>
      </w:r>
    </w:p>
    <w:p w14:paraId="6171609A">
      <w:pPr>
        <w:bidi w:val="0"/>
        <w:spacing w:before="0" w:after="200" w:line="360" w:lineRule="auto"/>
        <w:jc w:val="both"/>
        <w:rPr>
          <w:rFonts w:ascii="Arial" w:hAnsi="Arial"/>
          <w:sz w:val="24"/>
          <w:szCs w:val="24"/>
        </w:rPr>
      </w:pPr>
      <w:r>
        <w:rPr>
          <w:b/>
          <w:bCs/>
          <w:sz w:val="24"/>
          <w:szCs w:val="24"/>
        </w:rPr>
        <w:t>Japan:</w:t>
      </w:r>
      <w:r>
        <w:rPr>
          <w:sz w:val="24"/>
          <w:szCs w:val="24"/>
        </w:rPr>
        <w:t xml:space="preserve"> Japanese consumers demand zero ambiguity and risk mitigation. Hence, the process of purchasing a vehicle is well structured, predictable and documented.</w:t>
      </w:r>
    </w:p>
    <w:p w14:paraId="751A8F62">
      <w:pPr>
        <w:bidi w:val="0"/>
        <w:spacing w:before="0" w:after="200" w:line="360" w:lineRule="auto"/>
        <w:jc w:val="both"/>
        <w:rPr>
          <w:rFonts w:ascii="Arial" w:hAnsi="Arial"/>
          <w:sz w:val="24"/>
          <w:szCs w:val="24"/>
        </w:rPr>
      </w:pPr>
      <w:r>
        <w:rPr>
          <w:b/>
          <w:bCs/>
          <w:sz w:val="24"/>
          <w:szCs w:val="24"/>
        </w:rPr>
        <w:t>USA:</w:t>
      </w:r>
      <w:r>
        <w:rPr>
          <w:sz w:val="24"/>
          <w:szCs w:val="24"/>
        </w:rPr>
        <w:t xml:space="preserve"> American consumers demand for speed and convenience in their fast-paced lifestyle. Toyota’s U.S. purchasing process has been heavily digitized with digital retailing tools  and streamlined through fast-tracked financing approvals and express maintenance lanes to satisfy it.</w:t>
      </w:r>
    </w:p>
    <w:p w14:paraId="1DE8134C">
      <w:pPr>
        <w:bidi w:val="0"/>
        <w:spacing w:before="0" w:after="200" w:line="360" w:lineRule="auto"/>
        <w:jc w:val="both"/>
        <w:rPr>
          <w:rFonts w:ascii="Arial" w:hAnsi="Arial"/>
          <w:b/>
          <w:bCs/>
          <w:sz w:val="24"/>
          <w:szCs w:val="24"/>
        </w:rPr>
      </w:pPr>
      <w:r>
        <w:rPr>
          <w:b/>
          <w:bCs/>
          <w:sz w:val="24"/>
          <w:szCs w:val="24"/>
        </w:rPr>
        <w:t>Physical Evidence:</w:t>
      </w:r>
    </w:p>
    <w:p w14:paraId="1F779C55">
      <w:pPr>
        <w:bidi w:val="0"/>
        <w:spacing w:before="0" w:after="200" w:line="360" w:lineRule="auto"/>
        <w:jc w:val="both"/>
        <w:rPr>
          <w:rFonts w:ascii="Arial" w:hAnsi="Arial"/>
          <w:sz w:val="24"/>
          <w:szCs w:val="24"/>
        </w:rPr>
      </w:pPr>
      <w:r>
        <w:rPr>
          <w:b/>
          <w:bCs/>
          <w:sz w:val="24"/>
          <w:szCs w:val="24"/>
        </w:rPr>
        <w:t>Japan:</w:t>
      </w:r>
      <w:r>
        <w:rPr>
          <w:sz w:val="24"/>
          <w:szCs w:val="24"/>
        </w:rPr>
        <w:t xml:space="preserve"> Japanese culture demands restraint and perfec. Dealerships are clean, highly functional and space-efficient; vehicles are engineered with absolute precision and high-quality materials(even in base models) to satisfy this demand.</w:t>
      </w:r>
    </w:p>
    <w:p w14:paraId="005F4D4A">
      <w:pPr>
        <w:bidi w:val="0"/>
        <w:spacing w:before="0" w:after="200" w:line="360" w:lineRule="auto"/>
        <w:jc w:val="center"/>
        <w:rPr>
          <w:rFonts w:ascii="Arial" w:hAnsi="Arial"/>
          <w:sz w:val="20"/>
          <w:szCs w:val="20"/>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3915410" cy="2610485"/>
            <wp:effectExtent l="0" t="0" r="0" b="0"/>
            <wp:wrapTopAndBottom/>
            <wp:docPr id="8"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
                    <pic:cNvPicPr>
                      <a:picLocks noChangeAspect="1" noChangeArrowheads="1"/>
                    </pic:cNvPicPr>
                  </pic:nvPicPr>
                  <pic:blipFill>
                    <a:blip r:embed="rId20"/>
                    <a:stretch>
                      <a:fillRect/>
                    </a:stretch>
                  </pic:blipFill>
                  <pic:spPr>
                    <a:xfrm>
                      <a:off x="0" y="0"/>
                      <a:ext cx="3915410" cy="2610485"/>
                    </a:xfrm>
                    <a:prstGeom prst="rect">
                      <a:avLst/>
                    </a:prstGeom>
                    <a:noFill/>
                  </pic:spPr>
                </pic:pic>
              </a:graphicData>
            </a:graphic>
          </wp:anchor>
        </w:drawing>
      </w:r>
      <w:r>
        <w:rPr>
          <w:b w:val="0"/>
          <w:bCs w:val="0"/>
          <w:sz w:val="20"/>
          <w:szCs w:val="20"/>
        </w:rPr>
        <w:t xml:space="preserve">(Source: </w:t>
      </w:r>
      <w:r>
        <w:fldChar w:fldCharType="begin"/>
      </w:r>
      <w:r>
        <w:instrText xml:space="preserve"> HYPERLINK "https://en.wikipedia.org/wiki/Toyota_dealerships_%28Japan%29" \h </w:instrText>
      </w:r>
      <w:r>
        <w:fldChar w:fldCharType="separate"/>
      </w:r>
      <w:r>
        <w:rPr>
          <w:rStyle w:val="17"/>
          <w:b w:val="0"/>
          <w:bCs w:val="0"/>
          <w:sz w:val="20"/>
          <w:szCs w:val="20"/>
        </w:rPr>
        <w:t>https://en.wikipedia.org/wiki/Toyota_dealerships_%28Japan%29</w:t>
      </w:r>
      <w:r>
        <w:rPr>
          <w:rStyle w:val="17"/>
          <w:b w:val="0"/>
          <w:bCs w:val="0"/>
          <w:sz w:val="20"/>
          <w:szCs w:val="20"/>
        </w:rPr>
        <w:fldChar w:fldCharType="end"/>
      </w:r>
      <w:r>
        <w:rPr>
          <w:b w:val="0"/>
          <w:bCs w:val="0"/>
          <w:sz w:val="20"/>
          <w:szCs w:val="20"/>
        </w:rPr>
        <w:t xml:space="preserve"> )</w:t>
      </w:r>
    </w:p>
    <w:p w14:paraId="0A39921C">
      <w:pPr>
        <w:bidi w:val="0"/>
        <w:spacing w:before="0" w:after="200" w:line="360" w:lineRule="auto"/>
        <w:jc w:val="both"/>
        <w:rPr>
          <w:rFonts w:ascii="Arial" w:hAnsi="Arial"/>
          <w:sz w:val="24"/>
          <w:szCs w:val="24"/>
        </w:rPr>
      </w:pPr>
      <w:r>
        <w:rPr>
          <w:b/>
          <w:bCs/>
          <w:sz w:val="24"/>
          <w:szCs w:val="24"/>
        </w:rPr>
        <w:t>USA:</w:t>
      </w:r>
      <w:r>
        <w:rPr>
          <w:sz w:val="24"/>
          <w:szCs w:val="24"/>
        </w:rPr>
        <w:t xml:space="preserve"> Physical evidence in the US is designed to project scale, power and success. Dealerships with giant signs, large service bays and customer lounges with cafes. Vehicles often feature aggressive and stylized exterior and robust tactile interiors to visually communicate ruggedness and dominance on the road.</w:t>
      </w:r>
    </w:p>
    <w:p w14:paraId="3F3B8F2F">
      <w:pPr>
        <w:spacing w:before="0" w:after="200" w:line="360" w:lineRule="auto"/>
        <w:jc w:val="both"/>
        <w:rPr>
          <w:rFonts w:ascii="Arial" w:hAnsi="Arial"/>
          <w:b/>
          <w:bCs/>
          <w:sz w:val="24"/>
          <w:szCs w:val="24"/>
        </w:rPr>
      </w:pPr>
      <w:r>
        <w:rPr>
          <w:b/>
          <w:bCs/>
          <w:sz w:val="24"/>
          <w:szCs w:val="24"/>
        </w:rPr>
        <w:t>1.5 Market Entry Strategy Analysis: United States</w:t>
      </w:r>
    </w:p>
    <w:p w14:paraId="7866A782">
      <w:pPr>
        <w:bidi w:val="0"/>
        <w:spacing w:before="0" w:after="200" w:line="360" w:lineRule="auto"/>
        <w:jc w:val="both"/>
        <w:rPr>
          <w:rFonts w:ascii="Arial" w:hAnsi="Arial"/>
          <w:sz w:val="24"/>
          <w:szCs w:val="24"/>
        </w:rPr>
      </w:pPr>
      <w:r>
        <w:rPr>
          <w:sz w:val="24"/>
          <w:szCs w:val="24"/>
        </w:rPr>
        <w:t>Toyota's entry in USA is a classic case of staged, incremental internationalisation, where Toyota deepen its commitment gradually as market specific knowledge and confidence accumulated (Johansson and Vahlne, 1977). It started from exporting, then a shared-equity joint venture and finally a wholly owned foreign direct investment (FDI).</w:t>
      </w:r>
    </w:p>
    <w:p w14:paraId="52E5A2C0">
      <w:pPr>
        <w:bidi w:val="0"/>
        <w:spacing w:before="0" w:after="200" w:line="360" w:lineRule="auto"/>
        <w:jc w:val="both"/>
        <w:rPr>
          <w:rFonts w:ascii="Arial" w:hAnsi="Arial"/>
          <w:sz w:val="24"/>
          <w:szCs w:val="24"/>
        </w:rPr>
      </w:pPr>
      <w:r>
        <w:rPr>
          <w:b/>
          <w:bCs/>
          <w:sz w:val="24"/>
          <w:szCs w:val="24"/>
        </w:rPr>
        <w:t>The Initial Export Failure (1957-1961):</w:t>
      </w:r>
      <w:r>
        <w:rPr>
          <w:sz w:val="24"/>
          <w:szCs w:val="24"/>
        </w:rPr>
        <w:t xml:space="preserve"> Toyota established its U.S. sales subsidiary in 1957 and exported Toyopet Crown to America in 1958. The vehicle had poor durability, it was underpowered and severely overheated on California freeways; resulting in a catastrophic failure with only 287 units sold in its first year. Toyota was forced to withdraw the model.</w:t>
      </w:r>
    </w:p>
    <w:p w14:paraId="199C14E9">
      <w:pPr>
        <w:bidi w:val="0"/>
        <w:spacing w:before="0" w:after="200" w:line="360" w:lineRule="auto"/>
        <w:jc w:val="both"/>
        <w:rPr>
          <w:rFonts w:ascii="Arial" w:hAnsi="Arial"/>
          <w:sz w:val="24"/>
          <w:szCs w:val="24"/>
        </w:rPr>
      </w:pPr>
      <w:r>
        <w:rPr>
          <w:b/>
          <w:bCs/>
          <w:sz w:val="24"/>
          <w:szCs w:val="24"/>
        </w:rPr>
        <w:t>Export Re-Entry and Disruption (1965 - 1980):</w:t>
      </w:r>
      <w:r>
        <w:rPr>
          <w:sz w:val="24"/>
          <w:szCs w:val="24"/>
        </w:rPr>
        <w:t xml:space="preserve"> Toyota continued with export based strategy, gradually built a dealer network and adapted its cards to  USA standards. Brand re-entered the market successfully in 1965 with the Corona and followed up in 1968 with the Corolla. The strategic brilliance of this entry was entering a completely neglected segment at the bottom of the market. As domestic USA companies were focused on heavy, high-horsepower vehicles and Toyota gained a first-mover advantage in the segment by offering small, highly reliable and affordable cars.</w:t>
      </w:r>
    </w:p>
    <w:p w14:paraId="3D4D62DC">
      <w:pPr>
        <w:bidi w:val="0"/>
        <w:spacing w:before="0" w:after="200" w:line="360" w:lineRule="auto"/>
        <w:jc w:val="both"/>
        <w:rPr>
          <w:rFonts w:ascii="Arial" w:hAnsi="Arial"/>
          <w:sz w:val="24"/>
          <w:szCs w:val="24"/>
        </w:rPr>
      </w:pPr>
      <w:r>
        <w:rPr>
          <w:sz w:val="24"/>
          <w:szCs w:val="24"/>
        </w:rPr>
        <w:t>Demand for Toyota's fuel-efficient vehicles further skyrocketed as fuel prices quadrupled due to 1973 OPEC oil embargo and the 1979 Iranian Revolution. US auto industry blamed rising Japanese import for the losses and triggered a political backlash, which resulted in Voluntary Export Restraints by Congress in 1981 (Toyota Motor Corporation, 2012a). Toyota realized that relying purely on exports was politically unsustainable and shifted to localize production.</w:t>
      </w:r>
    </w:p>
    <w:p w14:paraId="77797EE6">
      <w:pPr>
        <w:bidi w:val="0"/>
        <w:spacing w:before="0" w:after="200" w:line="360" w:lineRule="auto"/>
        <w:jc w:val="center"/>
        <w:rPr>
          <w:b w:val="0"/>
          <w:bCs w:val="0"/>
          <w:sz w:val="20"/>
          <w:szCs w:val="20"/>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2903855" cy="3174365"/>
            <wp:effectExtent l="0" t="0" r="0" b="0"/>
            <wp:wrapTopAndBottom/>
            <wp:docPr id="9"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4"/>
                    <pic:cNvPicPr>
                      <a:picLocks noChangeAspect="1" noChangeArrowheads="1"/>
                    </pic:cNvPicPr>
                  </pic:nvPicPr>
                  <pic:blipFill>
                    <a:blip r:embed="rId21"/>
                    <a:stretch>
                      <a:fillRect/>
                    </a:stretch>
                  </pic:blipFill>
                  <pic:spPr>
                    <a:xfrm>
                      <a:off x="0" y="0"/>
                      <a:ext cx="2903855" cy="3174365"/>
                    </a:xfrm>
                    <a:prstGeom prst="rect">
                      <a:avLst/>
                    </a:prstGeom>
                    <a:noFill/>
                  </pic:spPr>
                </pic:pic>
              </a:graphicData>
            </a:graphic>
          </wp:anchor>
        </w:drawing>
      </w:r>
      <w:r>
        <w:rPr>
          <w:b w:val="0"/>
          <w:bCs w:val="0"/>
          <w:sz w:val="20"/>
          <w:szCs w:val="20"/>
        </w:rPr>
        <w:t xml:space="preserve">(Source: </w:t>
      </w:r>
      <w:r>
        <w:fldChar w:fldCharType="begin"/>
      </w:r>
      <w:r>
        <w:instrText xml:space="preserve"> HYPERLINK "https://www.toyota-global.com/company/history_of_toyota/75years/text/leaping_forward_as_a_global_corporation/chapter1/section1/images/l03_01_01_01_img01.jpg" \h </w:instrText>
      </w:r>
      <w:r>
        <w:fldChar w:fldCharType="separate"/>
      </w:r>
      <w:r>
        <w:rPr>
          <w:rStyle w:val="17"/>
          <w:b w:val="0"/>
          <w:bCs w:val="0"/>
          <w:sz w:val="20"/>
          <w:szCs w:val="20"/>
        </w:rPr>
        <w:t>https://www.toyota-global.com/company/history_of_toyota/75years/text/leaping_forward_as_a_global_corporation/chapter1/section1/images/l03_01_01_01_img01.jpg</w:t>
      </w:r>
      <w:r>
        <w:rPr>
          <w:rStyle w:val="17"/>
          <w:b w:val="0"/>
          <w:bCs w:val="0"/>
          <w:sz w:val="20"/>
          <w:szCs w:val="20"/>
        </w:rPr>
        <w:fldChar w:fldCharType="end"/>
      </w:r>
      <w:r>
        <w:rPr>
          <w:b w:val="0"/>
          <w:bCs w:val="0"/>
          <w:sz w:val="20"/>
          <w:szCs w:val="20"/>
        </w:rPr>
        <w:t xml:space="preserve"> )</w:t>
      </w:r>
    </w:p>
    <w:p w14:paraId="67BFB1B9">
      <w:pPr>
        <w:bidi w:val="0"/>
        <w:spacing w:before="0" w:after="200" w:line="360" w:lineRule="auto"/>
        <w:jc w:val="center"/>
        <w:rPr>
          <w:b w:val="0"/>
          <w:bCs w:val="0"/>
          <w:sz w:val="20"/>
          <w:szCs w:val="20"/>
        </w:rPr>
      </w:pPr>
    </w:p>
    <w:p w14:paraId="196F27C4">
      <w:pPr>
        <w:bidi w:val="0"/>
        <w:spacing w:before="0" w:after="200" w:line="360" w:lineRule="auto"/>
        <w:jc w:val="both"/>
        <w:rPr>
          <w:rFonts w:ascii="Arial" w:hAnsi="Arial"/>
          <w:sz w:val="24"/>
          <w:szCs w:val="24"/>
        </w:rPr>
      </w:pPr>
      <w:r>
        <w:rPr>
          <w:b/>
          <w:bCs/>
          <w:sz w:val="24"/>
          <w:szCs w:val="24"/>
        </w:rPr>
        <w:t>Joint Venture Entry (1984):</w:t>
      </w:r>
      <w:r>
        <w:rPr>
          <w:sz w:val="24"/>
          <w:szCs w:val="24"/>
        </w:rPr>
        <w:t xml:space="preserve"> Toyota's initial response was not full FDI but a joint venture with it’s rival General Motors; as building a wholly owned manufacturing facility in the US was a massive cultural and financial risk. Toyota needed a partner to navigate complex American labor relations, adapt its corporate culture to unionized American workforce and effectively reduce the cost of learning before taking a risk of transferring it’s tacit process knowledge (TPS) to wholly owned US operation. </w:t>
      </w:r>
    </w:p>
    <w:p w14:paraId="6BC77304">
      <w:pPr>
        <w:bidi w:val="0"/>
        <w:spacing w:before="0" w:after="200" w:line="360" w:lineRule="auto"/>
        <w:jc w:val="both"/>
        <w:rPr>
          <w:rFonts w:ascii="Arial" w:hAnsi="Arial"/>
          <w:sz w:val="24"/>
          <w:szCs w:val="24"/>
        </w:rPr>
      </w:pPr>
      <w:r>
        <w:rPr>
          <w:sz w:val="24"/>
          <w:szCs w:val="24"/>
        </w:rPr>
        <w:t>In February 1984, New United Motor Manufacturing Inc. (NUMMI) was established in shuttered Fremont, California plant with an investment of $100 million USD by each partner (Toyota Motor Corporation, 2012b). Toyota brought the same expertise from Japan to improve operations and built the work culture of teamwork and continuous improvement (Kaizen) through the Toyota Production System (TPS). Plant management abolished classist status symbols (like executive parking spaces and segregated cafeterias), fostering a team-oriented environment where blue-collar workers were treated as equals.</w:t>
      </w:r>
    </w:p>
    <w:p w14:paraId="616974B3">
      <w:pPr>
        <w:bidi w:val="0"/>
        <w:spacing w:before="0" w:after="200" w:line="360" w:lineRule="auto"/>
        <w:jc w:val="both"/>
        <w:rPr>
          <w:rFonts w:ascii="Arial" w:hAnsi="Arial"/>
          <w:sz w:val="24"/>
          <w:szCs w:val="24"/>
        </w:rPr>
      </w:pPr>
      <w:r>
        <w:rPr>
          <w:b/>
          <w:bCs/>
          <w:sz w:val="24"/>
          <w:szCs w:val="24"/>
        </w:rPr>
        <w:t>Wholly Owned FDI:</w:t>
      </w:r>
      <w:r>
        <w:rPr>
          <w:sz w:val="24"/>
          <w:szCs w:val="24"/>
        </w:rPr>
        <w:t xml:space="preserve"> Within a year of NUMMI's launch, Toyota announced its first wholly owned US assembly plant to be built in Scott County, Kentucky; then Georgetown facility (TMMK) opened in May 1988, producing the Camry (Toyota USA Newsroom, 2018).</w:t>
      </w:r>
    </w:p>
    <w:p w14:paraId="22CAA24D">
      <w:pPr>
        <w:bidi w:val="0"/>
        <w:spacing w:before="0" w:after="200" w:line="360" w:lineRule="auto"/>
        <w:jc w:val="both"/>
        <w:rPr>
          <w:rFonts w:ascii="Arial" w:hAnsi="Arial"/>
          <w:sz w:val="24"/>
          <w:szCs w:val="24"/>
        </w:rPr>
      </w:pPr>
    </w:p>
    <w:p w14:paraId="04B5E5D3">
      <w:pPr>
        <w:bidi w:val="0"/>
        <w:spacing w:before="0" w:after="200" w:line="360" w:lineRule="auto"/>
        <w:jc w:val="both"/>
        <w:rPr>
          <w:rFonts w:ascii="Arial" w:hAnsi="Arial"/>
          <w:b/>
          <w:bCs/>
          <w:sz w:val="24"/>
          <w:szCs w:val="24"/>
        </w:rPr>
      </w:pPr>
      <w:r>
        <w:rPr>
          <w:b/>
          <w:bCs/>
          <w:sz w:val="24"/>
          <w:szCs w:val="24"/>
        </w:rPr>
        <w:t>1.6 Evaluation of Corporate Ethical Issues (USA)</w:t>
      </w:r>
    </w:p>
    <w:p w14:paraId="0F1C2C31">
      <w:pPr>
        <w:bidi w:val="0"/>
        <w:spacing w:before="0" w:after="200" w:line="360" w:lineRule="auto"/>
        <w:jc w:val="both"/>
        <w:rPr>
          <w:rFonts w:ascii="Arial" w:hAnsi="Arial"/>
          <w:sz w:val="24"/>
          <w:szCs w:val="24"/>
        </w:rPr>
      </w:pPr>
      <w:r>
        <w:rPr>
          <w:b/>
          <w:bCs/>
          <w:sz w:val="24"/>
          <w:szCs w:val="24"/>
        </w:rPr>
        <w:t>The Unintended Acceleration Concealment (USA):</w:t>
      </w:r>
      <w:r>
        <w:rPr>
          <w:sz w:val="24"/>
          <w:szCs w:val="24"/>
        </w:rPr>
        <w:t xml:space="preserve"> Toyota recalled 10 million+ US vehicles between 2009 and 2010 due to complaints of unintended acceleration linked to floor-mat entrapment and "sticky" accelerator pedals (U.S. Department of Justice, 2014). The mechanical defect itself was not an ethical breach but Toyota's promotional conduct once the problem was known. U.S. Department of Justice (2014) found that Toyota had publicly claimed to have addressed the root cause via a limited recall, while its own internal investigation had already identified a second, undisclosed defect ‘sticky-pedal fault’ as early as September 2009. Toyota was later required to admit that it had misled both consumers and its regulator, resulting in a $1.2 billion USD penalty and a deferred criminal prosecution agreement (U.S. Department of Justice, 2014).</w:t>
      </w:r>
    </w:p>
    <w:p w14:paraId="5257FB47">
      <w:pPr>
        <w:bidi w:val="0"/>
        <w:spacing w:before="0" w:after="200" w:line="360" w:lineRule="auto"/>
        <w:jc w:val="both"/>
        <w:rPr>
          <w:rFonts w:ascii="Arial" w:hAnsi="Arial"/>
          <w:sz w:val="24"/>
          <w:szCs w:val="24"/>
        </w:rPr>
      </w:pPr>
      <w:r>
        <w:rPr>
          <w:b/>
          <w:bCs/>
          <w:sz w:val="24"/>
          <w:szCs w:val="24"/>
        </w:rPr>
        <w:t>Greenwashing of the Hybrid Range:</w:t>
      </w:r>
      <w:r>
        <w:rPr>
          <w:sz w:val="24"/>
          <w:szCs w:val="24"/>
        </w:rPr>
        <w:t xml:space="preserve"> Since 2023, Toyota has run marketing campaigns named "Electrified" and "Beyond Zero" in the US, that refers to its mainly petrol-powered hybrid vehicle range using deceptive language associated with fully electric vehicles (Electrek, 2023). Independent monitoring by the watchdog group Ekō further alleged that Toyota's US and European marketing activities manipulated Google’s search algorithms and misdirected millions of consumers searching for EVs towards petrol hybrid cars instead. (Carbon Copy, 2024).</w:t>
      </w:r>
    </w:p>
    <w:p w14:paraId="5C5B0596">
      <w:pPr>
        <w:bidi w:val="0"/>
        <w:spacing w:before="0" w:after="200" w:line="360" w:lineRule="auto"/>
        <w:jc w:val="center"/>
        <w:rPr>
          <w:rFonts w:ascii="Arial" w:hAnsi="Arial"/>
          <w:sz w:val="24"/>
          <w:szCs w:val="24"/>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5731510" cy="2865755"/>
            <wp:effectExtent l="0" t="0" r="0" b="0"/>
            <wp:wrapTopAndBottom/>
            <wp:docPr id="10"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6"/>
                    <pic:cNvPicPr>
                      <a:picLocks noChangeAspect="1" noChangeArrowheads="1"/>
                    </pic:cNvPicPr>
                  </pic:nvPicPr>
                  <pic:blipFill>
                    <a:blip r:embed="rId22"/>
                    <a:stretch>
                      <a:fillRect/>
                    </a:stretch>
                  </pic:blipFill>
                  <pic:spPr>
                    <a:xfrm>
                      <a:off x="0" y="0"/>
                      <a:ext cx="5731510" cy="2865755"/>
                    </a:xfrm>
                    <a:prstGeom prst="rect">
                      <a:avLst/>
                    </a:prstGeom>
                    <a:noFill/>
                  </pic:spPr>
                </pic:pic>
              </a:graphicData>
            </a:graphic>
          </wp:anchor>
        </w:drawing>
      </w:r>
      <w:r>
        <w:rPr>
          <w:sz w:val="20"/>
          <w:szCs w:val="20"/>
        </w:rPr>
        <w:t xml:space="preserve">(Source: </w:t>
      </w:r>
      <w:r>
        <w:fldChar w:fldCharType="begin"/>
      </w:r>
      <w:r>
        <w:instrText xml:space="preserve"> HYPERLINK "https://electrek.co/2023/11/24/toyota-is-still-greenwashing-after-change-in-leadership/" \h </w:instrText>
      </w:r>
      <w:r>
        <w:fldChar w:fldCharType="separate"/>
      </w:r>
      <w:r>
        <w:rPr>
          <w:rStyle w:val="17"/>
          <w:sz w:val="20"/>
          <w:szCs w:val="20"/>
        </w:rPr>
        <w:t>https://electrek.co/2023/11/24/toyota-is-still-greenwashing-after-change-in-leadership/</w:t>
      </w:r>
      <w:r>
        <w:rPr>
          <w:rStyle w:val="17"/>
          <w:sz w:val="20"/>
          <w:szCs w:val="20"/>
        </w:rPr>
        <w:fldChar w:fldCharType="end"/>
      </w:r>
      <w:r>
        <w:rPr>
          <w:sz w:val="20"/>
          <w:szCs w:val="20"/>
        </w:rPr>
        <w:t xml:space="preserve"> )</w:t>
      </w:r>
    </w:p>
    <w:p w14:paraId="61A2CFD4">
      <w:pPr>
        <w:bidi w:val="0"/>
        <w:spacing w:before="0" w:after="200" w:line="360" w:lineRule="auto"/>
        <w:jc w:val="both"/>
        <w:rPr>
          <w:b w:val="0"/>
          <w:bCs w:val="0"/>
          <w:sz w:val="24"/>
          <w:szCs w:val="24"/>
        </w:rPr>
      </w:pPr>
    </w:p>
    <w:p w14:paraId="7288DD74">
      <w:pPr>
        <w:bidi w:val="0"/>
        <w:spacing w:before="0" w:after="200" w:line="360" w:lineRule="auto"/>
        <w:jc w:val="both"/>
        <w:rPr>
          <w:rFonts w:ascii="Arial" w:hAnsi="Arial"/>
          <w:b/>
          <w:bCs/>
          <w:sz w:val="24"/>
          <w:szCs w:val="24"/>
        </w:rPr>
      </w:pPr>
      <w:r>
        <w:rPr>
          <w:b/>
          <w:bCs/>
          <w:sz w:val="24"/>
          <w:szCs w:val="24"/>
        </w:rPr>
        <w:t>1.7 Strategic Recommendations</w:t>
      </w:r>
    </w:p>
    <w:p w14:paraId="4C542BC5">
      <w:pPr>
        <w:bidi w:val="0"/>
        <w:spacing w:before="0" w:after="200" w:line="360" w:lineRule="auto"/>
        <w:jc w:val="both"/>
        <w:rPr>
          <w:b/>
          <w:bCs/>
          <w:sz w:val="24"/>
          <w:szCs w:val="24"/>
        </w:rPr>
      </w:pPr>
      <w:r>
        <w:rPr>
          <w:b/>
          <w:bCs/>
          <w:sz w:val="24"/>
          <w:szCs w:val="24"/>
        </w:rPr>
        <w:t>1. Extend the localisation strategy into battery-electric vehicles :</w:t>
      </w:r>
    </w:p>
    <w:p w14:paraId="2594DDB8">
      <w:pPr>
        <w:bidi w:val="0"/>
        <w:spacing w:before="0" w:after="200" w:line="360" w:lineRule="auto"/>
        <w:jc w:val="both"/>
        <w:rPr>
          <w:rFonts w:ascii="Arial" w:hAnsi="Arial"/>
          <w:sz w:val="24"/>
          <w:szCs w:val="24"/>
        </w:rPr>
      </w:pPr>
      <w:r>
        <w:rPr>
          <w:sz w:val="24"/>
          <w:szCs w:val="24"/>
        </w:rPr>
        <w:t>Toyota successfully converted a regulatory threat (the 1981 VER) into a durable competitive position in USA through local production via incremental, FDI-based entry. Now the similar policy pressure is rising around EV supply-chain content and the risk of tariffs on imported EVs and batteries. Toyota should prioritise localisation in this EV transition and prominently communicate it as an evidence of genuine electrification investment. Toyota has committed to invest roughly 13.6 billion USD in battery and EV technology between 2023 and 2030; including a North Carolina battery plant (EnkiAI, 2026a; Electric Car Wiki, 2025).</w:t>
      </w:r>
    </w:p>
    <w:p w14:paraId="63AB0303">
      <w:pPr>
        <w:bidi w:val="0"/>
        <w:spacing w:before="0" w:after="200" w:line="360" w:lineRule="auto"/>
        <w:jc w:val="both"/>
        <w:rPr>
          <w:b/>
          <w:bCs/>
          <w:sz w:val="24"/>
          <w:szCs w:val="24"/>
        </w:rPr>
      </w:pPr>
      <w:r>
        <w:rPr>
          <w:b/>
          <w:bCs/>
          <w:sz w:val="24"/>
          <w:szCs w:val="24"/>
        </w:rPr>
        <w:t>2. Close the gap between ESG marketing claims and delivered electrification :</w:t>
      </w:r>
    </w:p>
    <w:p w14:paraId="405A23D5">
      <w:pPr>
        <w:bidi w:val="0"/>
        <w:spacing w:before="0" w:after="200" w:line="360" w:lineRule="auto"/>
        <w:jc w:val="both"/>
        <w:rPr>
          <w:rFonts w:ascii="Arial" w:hAnsi="Arial"/>
          <w:sz w:val="24"/>
          <w:szCs w:val="24"/>
        </w:rPr>
      </w:pPr>
      <w:r>
        <w:rPr>
          <w:sz w:val="24"/>
          <w:szCs w:val="24"/>
        </w:rPr>
        <w:t>As evaluated in ethical issues seciton, regulators and watchdog group’s allegations about blurring the distinction between hybrid and electric vehicles. Battery-EV sales overtook plug-in hybrid sales in Toyota's global mix by May 2026 (EnkiAI, 2026a). Toyota should use this genuine progress as the basis for its promotional claims rather than ambiguous umbrella terms like "electrified" and explicitly align it’s promotional language with the FTC's Green Guides to reduce legal exposure. This would rebuild credibility with environmentally motivated consumers.</w:t>
      </w:r>
    </w:p>
    <w:p w14:paraId="44B11D43">
      <w:pPr>
        <w:bidi w:val="0"/>
        <w:spacing w:before="0" w:after="200" w:line="360" w:lineRule="auto"/>
        <w:jc w:val="center"/>
        <w:rPr>
          <w:sz w:val="24"/>
          <w:szCs w:val="24"/>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4149725" cy="2423160"/>
            <wp:effectExtent l="0" t="0" r="0" b="0"/>
            <wp:wrapTopAndBottom/>
            <wp:docPr id="11"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0"/>
                    <pic:cNvPicPr>
                      <a:picLocks noChangeAspect="1" noChangeArrowheads="1"/>
                    </pic:cNvPicPr>
                  </pic:nvPicPr>
                  <pic:blipFill>
                    <a:blip r:embed="rId23"/>
                    <a:stretch>
                      <a:fillRect/>
                    </a:stretch>
                  </pic:blipFill>
                  <pic:spPr>
                    <a:xfrm>
                      <a:off x="0" y="0"/>
                      <a:ext cx="4149725" cy="2423160"/>
                    </a:xfrm>
                    <a:prstGeom prst="rect">
                      <a:avLst/>
                    </a:prstGeom>
                    <a:noFill/>
                  </pic:spPr>
                </pic:pic>
              </a:graphicData>
            </a:graphic>
          </wp:anchor>
        </w:drawing>
      </w:r>
      <w:r>
        <w:rPr>
          <w:sz w:val="20"/>
          <w:szCs w:val="20"/>
        </w:rPr>
        <w:t xml:space="preserve">(Source: </w:t>
      </w:r>
      <w:r>
        <w:fldChar w:fldCharType="begin"/>
      </w:r>
      <w:r>
        <w:instrText xml:space="preserve"> HYPERLINK "https://enkiai.com/ev/toyota-electric-vehicles-us-production/" \h </w:instrText>
      </w:r>
      <w:r>
        <w:fldChar w:fldCharType="separate"/>
      </w:r>
      <w:r>
        <w:rPr>
          <w:rStyle w:val="17"/>
          <w:sz w:val="20"/>
          <w:szCs w:val="20"/>
        </w:rPr>
        <w:t>https://enkiai.com/ev/toyota-electric-vehicles-us-production/</w:t>
      </w:r>
      <w:r>
        <w:rPr>
          <w:rStyle w:val="17"/>
          <w:sz w:val="20"/>
          <w:szCs w:val="20"/>
        </w:rPr>
        <w:fldChar w:fldCharType="end"/>
      </w:r>
      <w:r>
        <w:rPr>
          <w:sz w:val="20"/>
          <w:szCs w:val="20"/>
        </w:rPr>
        <w:t xml:space="preserve"> )</w:t>
      </w:r>
    </w:p>
    <w:p w14:paraId="731BC9CF">
      <w:pPr>
        <w:spacing w:before="0" w:after="200" w:line="360" w:lineRule="auto"/>
        <w:jc w:val="both"/>
        <w:rPr>
          <w:rFonts w:ascii="Arial" w:hAnsi="Arial"/>
          <w:b/>
          <w:bCs/>
          <w:sz w:val="24"/>
          <w:szCs w:val="24"/>
        </w:rPr>
      </w:pPr>
    </w:p>
    <w:p w14:paraId="541136EC">
      <w:pPr>
        <w:spacing w:before="0" w:after="200" w:line="360" w:lineRule="auto"/>
        <w:jc w:val="both"/>
        <w:rPr>
          <w:rFonts w:ascii="Arial" w:hAnsi="Arial"/>
          <w:b/>
          <w:bCs/>
          <w:sz w:val="24"/>
          <w:szCs w:val="24"/>
        </w:rPr>
      </w:pPr>
      <w:r>
        <w:br w:type="page"/>
      </w:r>
    </w:p>
    <w:p w14:paraId="52AC21D2">
      <w:pPr>
        <w:spacing w:before="0" w:after="200" w:line="360" w:lineRule="auto"/>
        <w:jc w:val="both"/>
        <w:rPr>
          <w:rFonts w:ascii="Arial" w:hAnsi="Arial"/>
          <w:b/>
          <w:bCs/>
          <w:sz w:val="24"/>
          <w:szCs w:val="24"/>
        </w:rPr>
      </w:pPr>
      <w:r>
        <w:rPr>
          <w:b/>
          <w:bCs/>
          <w:sz w:val="24"/>
          <w:szCs w:val="24"/>
        </w:rPr>
        <w:t>Section 2 : Reflective Account</w:t>
      </w:r>
    </w:p>
    <w:p w14:paraId="3E9AEE7B">
      <w:pPr>
        <w:spacing w:before="0" w:after="200" w:line="360" w:lineRule="auto"/>
        <w:jc w:val="both"/>
        <w:rPr>
          <w:rFonts w:ascii="Arial" w:hAnsi="Arial"/>
          <w:b w:val="0"/>
          <w:bCs w:val="0"/>
          <w:sz w:val="24"/>
          <w:szCs w:val="24"/>
        </w:rPr>
      </w:pPr>
      <w:r>
        <w:rPr>
          <w:b w:val="0"/>
          <w:bCs w:val="0"/>
          <w:sz w:val="24"/>
          <w:szCs w:val="24"/>
        </w:rPr>
        <w:t>Gibbs’s reflective cycles provides structured six-stage framework: Description, Feelings, Evaluation, Analysis, Conclusion, Action Plan to reflect on learning process and critically evaluate my intellectual development.</w:t>
      </w:r>
    </w:p>
    <w:p w14:paraId="749C0CF5">
      <w:pPr>
        <w:spacing w:before="0" w:after="200" w:line="360" w:lineRule="auto"/>
        <w:jc w:val="center"/>
        <w:rPr>
          <w:sz w:val="20"/>
          <w:szCs w:val="20"/>
        </w:rPr>
      </w:pPr>
      <w:r>
        <w:drawing>
          <wp:anchor distT="0" distB="0" distL="0" distR="0" simplePos="0" relativeHeight="251659264" behindDoc="0" locked="0" layoutInCell="0" allowOverlap="1">
            <wp:simplePos x="0" y="0"/>
            <wp:positionH relativeFrom="column">
              <wp:align>center</wp:align>
            </wp:positionH>
            <wp:positionV relativeFrom="paragraph">
              <wp:posOffset>635</wp:posOffset>
            </wp:positionV>
            <wp:extent cx="3075305" cy="3528060"/>
            <wp:effectExtent l="0" t="0" r="0" b="0"/>
            <wp:wrapTopAndBottom/>
            <wp:docPr id="12"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1"/>
                    <pic:cNvPicPr>
                      <a:picLocks noChangeAspect="1" noChangeArrowheads="1"/>
                    </pic:cNvPicPr>
                  </pic:nvPicPr>
                  <pic:blipFill>
                    <a:blip r:embed="rId24"/>
                    <a:srcRect b="9167"/>
                    <a:stretch>
                      <a:fillRect/>
                    </a:stretch>
                  </pic:blipFill>
                  <pic:spPr>
                    <a:xfrm>
                      <a:off x="0" y="0"/>
                      <a:ext cx="3075305" cy="3528060"/>
                    </a:xfrm>
                    <a:prstGeom prst="rect">
                      <a:avLst/>
                    </a:prstGeom>
                    <a:noFill/>
                  </pic:spPr>
                </pic:pic>
              </a:graphicData>
            </a:graphic>
          </wp:anchor>
        </w:drawing>
      </w:r>
      <w:r>
        <w:rPr>
          <w:sz w:val="20"/>
          <w:szCs w:val="20"/>
        </w:rPr>
        <w:t xml:space="preserve">(Source: </w:t>
      </w:r>
      <w:r>
        <w:fldChar w:fldCharType="begin"/>
      </w:r>
      <w:r>
        <w:instrText xml:space="preserve"> HYPERLINK "https://www.makingbusinessmatter.co.uk/gibbs-reflective-cycle/" \h </w:instrText>
      </w:r>
      <w:r>
        <w:fldChar w:fldCharType="separate"/>
      </w:r>
      <w:r>
        <w:rPr>
          <w:rStyle w:val="17"/>
          <w:sz w:val="20"/>
          <w:szCs w:val="20"/>
        </w:rPr>
        <w:t>https://www.makingbusinessmatter.co.uk/gibbs-reflective-cycle/</w:t>
      </w:r>
      <w:r>
        <w:rPr>
          <w:rStyle w:val="17"/>
          <w:sz w:val="20"/>
          <w:szCs w:val="20"/>
        </w:rPr>
        <w:fldChar w:fldCharType="end"/>
      </w:r>
      <w:r>
        <w:rPr>
          <w:sz w:val="20"/>
          <w:szCs w:val="20"/>
        </w:rPr>
        <w:t xml:space="preserve"> )</w:t>
      </w:r>
    </w:p>
    <w:p w14:paraId="16E11EDB">
      <w:pPr>
        <w:spacing w:before="0" w:after="200" w:line="360" w:lineRule="auto"/>
        <w:jc w:val="both"/>
        <w:rPr>
          <w:sz w:val="20"/>
          <w:szCs w:val="20"/>
        </w:rPr>
      </w:pPr>
    </w:p>
    <w:p w14:paraId="08DEA312">
      <w:pPr>
        <w:spacing w:before="0" w:after="200" w:line="360" w:lineRule="auto"/>
        <w:jc w:val="both"/>
        <w:rPr>
          <w:rFonts w:ascii="Arial" w:hAnsi="Arial"/>
          <w:b/>
          <w:bCs/>
          <w:sz w:val="24"/>
          <w:szCs w:val="24"/>
        </w:rPr>
      </w:pPr>
      <w:r>
        <w:rPr>
          <w:b/>
          <w:bCs/>
          <w:sz w:val="24"/>
          <w:szCs w:val="24"/>
        </w:rPr>
        <w:t>1. Description</w:t>
      </w:r>
    </w:p>
    <w:p w14:paraId="35F1FF6C">
      <w:pPr>
        <w:spacing w:before="0" w:after="200" w:line="360" w:lineRule="auto"/>
        <w:jc w:val="both"/>
        <w:rPr>
          <w:rFonts w:ascii="Arial" w:hAnsi="Arial"/>
          <w:sz w:val="24"/>
          <w:szCs w:val="24"/>
        </w:rPr>
      </w:pPr>
      <w:r>
        <w:rPr>
          <w:sz w:val="24"/>
          <w:szCs w:val="24"/>
        </w:rPr>
        <w:t>This report required a comprehensive analysis of Toyota’s international marketing strategy across Japan and USA in 4,000-words. The core task was to critically compare both country’s macro-environments, sociocultural factors and market entry strategy in one country with additional evaluation of  its 7Ps marketing mix in one market and specific ethical issues surrounding it.</w:t>
      </w:r>
    </w:p>
    <w:p w14:paraId="41062B0F">
      <w:pPr>
        <w:spacing w:before="0" w:after="200" w:line="360" w:lineRule="auto"/>
        <w:jc w:val="both"/>
        <w:rPr>
          <w:rFonts w:ascii="Arial" w:hAnsi="Arial"/>
          <w:sz w:val="24"/>
          <w:szCs w:val="24"/>
        </w:rPr>
      </w:pPr>
      <w:r>
        <w:rPr>
          <w:sz w:val="24"/>
          <w:szCs w:val="24"/>
        </w:rPr>
        <w:t>The research process required 10 to 15 highly credible sources with enogh  contemporary data to ensure the report was grounded in current academic and industry realities. Next I applied established academic frameworks such as PESTEL and Hofstede’s Cultural Dimensions to evaluate how cultural and economic differences affect the consumer behavior.</w:t>
      </w:r>
    </w:p>
    <w:p w14:paraId="524C3461">
      <w:pPr>
        <w:spacing w:before="0" w:after="200" w:line="360" w:lineRule="auto"/>
        <w:jc w:val="both"/>
        <w:rPr>
          <w:rFonts w:ascii="Arial" w:hAnsi="Arial"/>
          <w:b/>
          <w:bCs/>
          <w:sz w:val="24"/>
          <w:szCs w:val="24"/>
        </w:rPr>
      </w:pPr>
      <w:r>
        <w:rPr>
          <w:b/>
          <w:bCs/>
          <w:sz w:val="24"/>
          <w:szCs w:val="24"/>
        </w:rPr>
        <w:t>2. Feelings</w:t>
      </w:r>
    </w:p>
    <w:p w14:paraId="181068A1">
      <w:pPr>
        <w:spacing w:before="0" w:after="200" w:line="360" w:lineRule="auto"/>
        <w:jc w:val="both"/>
        <w:rPr>
          <w:rFonts w:ascii="Arial" w:hAnsi="Arial"/>
          <w:sz w:val="24"/>
          <w:szCs w:val="24"/>
        </w:rPr>
      </w:pPr>
      <w:r>
        <w:rPr>
          <w:sz w:val="24"/>
          <w:szCs w:val="24"/>
        </w:rPr>
        <w:t>As Toyota is a massive, multinational corporation; I had to dauntingly navigate financial reports, historical case studies and corporate press releases from two different countries while keeping them isolated to identify specific strategic pivots. The 7Ps framework is better suitable for service or hospitality industries, adapting it to a heavy manufacturing brand made me feel anxious.</w:t>
      </w:r>
    </w:p>
    <w:p w14:paraId="31644DE4">
      <w:pPr>
        <w:spacing w:before="0" w:after="200" w:line="360" w:lineRule="auto"/>
        <w:jc w:val="both"/>
        <w:rPr>
          <w:rFonts w:ascii="Arial" w:hAnsi="Arial"/>
          <w:sz w:val="24"/>
          <w:szCs w:val="24"/>
        </w:rPr>
      </w:pPr>
      <w:r>
        <w:rPr>
          <w:sz w:val="24"/>
          <w:szCs w:val="24"/>
        </w:rPr>
        <w:t>As the research progressed, I was able to apply required frameworks successfully and my anxiety reduced slowly. I perceived Toyota as the global gold standard for reliability and safety. Discovering their systematic test frauds and realizing it was a direct consequence of internal pressures to maintain extreme efficiency, was surprising. It challenged my foundational assumptions about corporate governance and spiked my curiosity. I stopped passively accepting standard corporate public relations materials and adopted more critical and objective mindset.</w:t>
      </w:r>
    </w:p>
    <w:p w14:paraId="52A40B92">
      <w:pPr>
        <w:spacing w:before="0" w:after="200" w:line="360" w:lineRule="auto"/>
        <w:jc w:val="both"/>
        <w:rPr>
          <w:rFonts w:ascii="Arial" w:hAnsi="Arial"/>
          <w:b/>
          <w:bCs/>
          <w:sz w:val="24"/>
          <w:szCs w:val="24"/>
        </w:rPr>
      </w:pPr>
      <w:r>
        <w:rPr>
          <w:b/>
          <w:bCs/>
          <w:sz w:val="24"/>
          <w:szCs w:val="24"/>
        </w:rPr>
        <w:t>3. Evaluation</w:t>
      </w:r>
    </w:p>
    <w:p w14:paraId="49E61B1E">
      <w:pPr>
        <w:spacing w:before="0" w:after="200" w:line="360" w:lineRule="auto"/>
        <w:jc w:val="both"/>
        <w:rPr>
          <w:rFonts w:ascii="Arial" w:hAnsi="Arial"/>
          <w:sz w:val="24"/>
          <w:szCs w:val="24"/>
          <w:u w:val="none"/>
        </w:rPr>
      </w:pPr>
      <w:r>
        <w:rPr>
          <w:sz w:val="24"/>
          <w:szCs w:val="24"/>
        </w:rPr>
        <w:t>Reflecting on the execution of the report made me realize few things. Hofstede’s framework proved to be exceptionally effective in contextualizing the market disparities and provided required contrast to understand why Toyota's Segmentation, Targeting, and Positioning (STP) strategies differ so radically between the two nations. Furthermore, textbook case of the historical NUMMI joint venture provided a well documented foundation for the market entry analysis.</w:t>
      </w:r>
    </w:p>
    <w:p w14:paraId="13D243A0">
      <w:pPr>
        <w:spacing w:before="0" w:after="200" w:line="360" w:lineRule="auto"/>
        <w:jc w:val="both"/>
        <w:rPr>
          <w:rFonts w:ascii="Arial" w:hAnsi="Arial"/>
          <w:sz w:val="24"/>
          <w:szCs w:val="24"/>
          <w:u w:val="none"/>
        </w:rPr>
      </w:pPr>
      <w:r>
        <w:rPr>
          <w:sz w:val="24"/>
          <w:szCs w:val="24"/>
        </w:rPr>
        <w:t>Dealing with contradictory data regarding the environmental impact of Toyota's hybrid strategy versus pure Electric Vehicles (EVs) required complex analytical thinking. Additionally, filtering out the noise of Toyota's global operations and irrelevant corporate history to focus strictly on the US and Japan was a significant challenge; as it can quickly turn descriptive and exceed wordcount without critical depth required for masters level report.</w:t>
      </w:r>
    </w:p>
    <w:p w14:paraId="7E5F0F6B">
      <w:pPr>
        <w:spacing w:before="0" w:after="200" w:line="360" w:lineRule="auto"/>
        <w:jc w:val="both"/>
        <w:rPr>
          <w:rFonts w:ascii="Arial" w:hAnsi="Arial"/>
          <w:b/>
          <w:bCs/>
          <w:sz w:val="24"/>
          <w:szCs w:val="24"/>
        </w:rPr>
      </w:pPr>
      <w:r>
        <w:rPr>
          <w:b/>
          <w:bCs/>
          <w:sz w:val="24"/>
          <w:szCs w:val="24"/>
        </w:rPr>
        <w:t>4. Analysis</w:t>
      </w:r>
    </w:p>
    <w:p w14:paraId="5D1CC1F9">
      <w:pPr>
        <w:spacing w:before="0" w:after="200" w:line="360" w:lineRule="auto"/>
        <w:jc w:val="both"/>
        <w:rPr>
          <w:rFonts w:ascii="Arial" w:hAnsi="Arial"/>
          <w:sz w:val="24"/>
          <w:szCs w:val="24"/>
        </w:rPr>
      </w:pPr>
      <w:r>
        <w:rPr>
          <w:sz w:val="24"/>
          <w:szCs w:val="24"/>
        </w:rPr>
        <w:t>The core realization after this analytical process is that standardized global marketing is near impossible for legacy manufacturing brands like Toyota; aggressive localization is the only viable strategy. The research helped me understand how macro-environmental pressures directly shape the marketing mix. For example, the PESTEL analysis revealed that aggressive US trade protectionism and tariffs forced Toyota to shift its "Place" (distribution and localized manufacturing) to maintain a competitive "Price" strategy. This demonstrated that international marketing is rarely just about promotional advertising; it is deeply intertwined with supply chain logistics, foreign direct investment risks, and international trade law.  Another deep academic insight that I discovered during ethical scandal was : Japan's perfection-driven society and the pressure to maintain flawless developmental schedules caused catastrophic internal failures; and the same Japanese culture also demands unshakeable trust and predictability,  which forced a public restructuring of Toyota’s internal governance. This discovery gave me confidence on my cognitive and intellectual skills of this module.</w:t>
      </w:r>
    </w:p>
    <w:p w14:paraId="2AE631CD">
      <w:pPr>
        <w:spacing w:before="0" w:after="200" w:line="360" w:lineRule="auto"/>
        <w:jc w:val="both"/>
        <w:rPr>
          <w:rFonts w:ascii="Arial" w:hAnsi="Arial"/>
          <w:b/>
          <w:bCs/>
          <w:sz w:val="24"/>
          <w:szCs w:val="24"/>
        </w:rPr>
      </w:pPr>
      <w:r>
        <w:rPr>
          <w:b/>
          <w:bCs/>
          <w:sz w:val="24"/>
          <w:szCs w:val="24"/>
        </w:rPr>
        <w:t>5. Conclusion</w:t>
      </w:r>
    </w:p>
    <w:p w14:paraId="1BF4C82A">
      <w:pPr>
        <w:spacing w:before="0" w:after="200" w:line="360" w:lineRule="auto"/>
        <w:jc w:val="both"/>
        <w:rPr>
          <w:rFonts w:ascii="Arial" w:hAnsi="Arial"/>
          <w:sz w:val="24"/>
          <w:szCs w:val="24"/>
        </w:rPr>
      </w:pPr>
      <w:r>
        <w:rPr>
          <w:sz w:val="24"/>
          <w:szCs w:val="24"/>
        </w:rPr>
        <w:t>Ultimately, this assessment helped me understand the complexities of international marketing in globally fragmented markets. I have learned that deeply rooted operational philosophies dictate the final consumer value proposition and evaluating a multinational corporation requires beyond surface-level understanding. If I were to conduct this research again in my professional or academic career, I would immediately search for specific peer reviewed journals focusing on cross-cultural consumer psychology and automotive trade policy rather than general corporate histories. This step would accelerate the drafting process.</w:t>
      </w:r>
    </w:p>
    <w:p w14:paraId="0688DF74">
      <w:pPr>
        <w:spacing w:before="0" w:after="200" w:line="360" w:lineRule="auto"/>
        <w:jc w:val="both"/>
        <w:rPr>
          <w:rFonts w:ascii="Arial" w:hAnsi="Arial"/>
          <w:b/>
          <w:bCs/>
          <w:sz w:val="24"/>
          <w:szCs w:val="24"/>
        </w:rPr>
      </w:pPr>
      <w:r>
        <w:rPr>
          <w:b/>
          <w:bCs/>
          <w:sz w:val="24"/>
          <w:szCs w:val="24"/>
        </w:rPr>
        <w:t>6. Action Plan</w:t>
      </w:r>
    </w:p>
    <w:p w14:paraId="7E0C3B98">
      <w:pPr>
        <w:spacing w:before="0" w:after="200" w:line="360" w:lineRule="auto"/>
        <w:jc w:val="both"/>
        <w:rPr>
          <w:rFonts w:ascii="Arial" w:hAnsi="Arial"/>
          <w:sz w:val="24"/>
          <w:szCs w:val="24"/>
        </w:rPr>
      </w:pPr>
      <w:r>
        <w:rPr>
          <w:sz w:val="24"/>
          <w:szCs w:val="24"/>
        </w:rPr>
        <w:t>I plan to implement following actions to improve my academic competencies and sharpen my transferable professional skills :</w:t>
      </w:r>
    </w:p>
    <w:p w14:paraId="0526C0DC">
      <w:pPr>
        <w:numPr>
          <w:ilvl w:val="0"/>
          <w:numId w:val="1"/>
        </w:numPr>
        <w:spacing w:before="0" w:after="200" w:line="360" w:lineRule="auto"/>
        <w:jc w:val="both"/>
        <w:rPr>
          <w:sz w:val="24"/>
          <w:szCs w:val="24"/>
        </w:rPr>
      </w:pPr>
      <w:r>
        <w:rPr>
          <w:sz w:val="24"/>
          <w:szCs w:val="24"/>
        </w:rPr>
        <w:t>I will practice the application of theoretical models (like 7Ps) to non-traditional industries to enhance my ability to improve critical thinking and develop my perspective.</w:t>
      </w:r>
    </w:p>
    <w:p w14:paraId="2F374393">
      <w:pPr>
        <w:numPr>
          <w:ilvl w:val="0"/>
          <w:numId w:val="1"/>
        </w:numPr>
        <w:spacing w:before="0" w:after="200" w:line="360" w:lineRule="auto"/>
        <w:jc w:val="both"/>
        <w:rPr>
          <w:rFonts w:ascii="Arial" w:hAnsi="Arial"/>
          <w:sz w:val="24"/>
          <w:szCs w:val="24"/>
        </w:rPr>
      </w:pPr>
      <w:r>
        <w:rPr>
          <w:sz w:val="24"/>
          <w:szCs w:val="24"/>
        </w:rPr>
        <w:t>I will refine my search techniques to find peer-reviewed academic literature covering diverse perspective to ensure my future work remains at the forefront of the academic discipline and provide holistic understanding grounded in reality.</w:t>
      </w:r>
    </w:p>
    <w:p w14:paraId="7B6A992A">
      <w:pPr>
        <w:spacing w:before="0" w:after="200" w:line="360" w:lineRule="auto"/>
        <w:jc w:val="both"/>
        <w:rPr>
          <w:rFonts w:ascii="Arial" w:hAnsi="Arial"/>
          <w:sz w:val="24"/>
          <w:szCs w:val="24"/>
        </w:rPr>
      </w:pPr>
    </w:p>
    <w:p w14:paraId="7A5D3A42">
      <w:pPr>
        <w:spacing w:before="0" w:after="200" w:line="360" w:lineRule="auto"/>
        <w:jc w:val="both"/>
        <w:rPr>
          <w:rFonts w:ascii="Arial" w:hAnsi="Arial"/>
          <w:sz w:val="24"/>
          <w:szCs w:val="24"/>
        </w:rPr>
      </w:pPr>
      <w:r>
        <w:br w:type="page"/>
      </w:r>
    </w:p>
    <w:p w14:paraId="270AEBB9">
      <w:pPr>
        <w:pStyle w:val="2"/>
        <w:spacing w:before="0" w:after="200" w:line="360" w:lineRule="auto"/>
        <w:jc w:val="both"/>
        <w:rPr>
          <w:rFonts w:ascii="Arial" w:hAnsi="Arial"/>
          <w:sz w:val="24"/>
          <w:szCs w:val="24"/>
        </w:rPr>
      </w:pPr>
      <w:bookmarkStart w:id="0" w:name="_pemnsk9klfvc"/>
      <w:bookmarkEnd w:id="0"/>
      <w:r>
        <w:rPr>
          <w:rFonts w:ascii="Arial" w:hAnsi="Arial"/>
          <w:sz w:val="24"/>
          <w:szCs w:val="24"/>
        </w:rPr>
        <w:t>References</w:t>
      </w:r>
    </w:p>
    <w:p w14:paraId="3D29E525">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1. Toyota once again becomes best-selling carmaker in 2025 (Anadolu Ajansı, 2026);</w:t>
      </w:r>
      <w:r>
        <w:fldChar w:fldCharType="begin"/>
      </w:r>
      <w:r>
        <w:instrText xml:space="preserve"> HYPERLINK "https://www.aa.com.tr/en/economy/toyota-once-again-becomes-best-selling-carmaker-in-2025/3814196" \h </w:instrText>
      </w:r>
      <w:r>
        <w:fldChar w:fldCharType="separate"/>
      </w:r>
      <w:r>
        <w:rPr>
          <w:rStyle w:val="17"/>
          <w:rFonts w:eastAsia="Times New Roman" w:cs="Times New Roman"/>
          <w:sz w:val="24"/>
          <w:szCs w:val="24"/>
        </w:rPr>
        <w:t>https://www.aa.com.tr/en/economy/toyota-once-again-becomes-best-selling-carmaker-in-2025/3814196</w:t>
      </w:r>
      <w:r>
        <w:rPr>
          <w:rStyle w:val="17"/>
          <w:rFonts w:eastAsia="Times New Roman" w:cs="Times New Roman"/>
          <w:sz w:val="24"/>
          <w:szCs w:val="24"/>
        </w:rPr>
        <w:fldChar w:fldCharType="end"/>
      </w:r>
      <w:r>
        <w:rPr>
          <w:rFonts w:eastAsia="Times New Roman" w:cs="Times New Roman"/>
          <w:sz w:val="24"/>
          <w:szCs w:val="24"/>
        </w:rPr>
        <w:t xml:space="preserve">  (Accessed on : 29th June, 2026)</w:t>
      </w:r>
    </w:p>
    <w:p w14:paraId="565AD663">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 Toyota Motor North America Reports 2025 U.S. Sales Results, </w:t>
      </w:r>
      <w:r>
        <w:rPr>
          <w:rFonts w:eastAsia="Arial" w:cs="Arial"/>
          <w:b w:val="0"/>
          <w:i w:val="0"/>
          <w:caps w:val="0"/>
          <w:smallCaps w:val="0"/>
          <w:strike w:val="0"/>
          <w:dstrike w:val="0"/>
          <w:color w:val="000000"/>
          <w:sz w:val="24"/>
          <w:szCs w:val="24"/>
          <w:u w:val="none"/>
          <w:shd w:val="clear" w:fill="auto"/>
        </w:rPr>
        <w:t>(Toyota USA Newsroom, 2026)</w:t>
      </w:r>
      <w:r>
        <w:rPr>
          <w:rFonts w:eastAsia="Times New Roman" w:cs="Times New Roman"/>
          <w:sz w:val="24"/>
          <w:szCs w:val="24"/>
        </w:rPr>
        <w:t xml:space="preserve"> </w:t>
      </w:r>
      <w:r>
        <w:fldChar w:fldCharType="begin"/>
      </w:r>
      <w:r>
        <w:instrText xml:space="preserve"> HYPERLINK "https://pressroom.toyota.com/toyota-motor-north-america-reports-2025-u-s-sales-results/" \h </w:instrText>
      </w:r>
      <w:r>
        <w:fldChar w:fldCharType="separate"/>
      </w:r>
      <w:r>
        <w:rPr>
          <w:rStyle w:val="17"/>
          <w:rFonts w:eastAsia="Times New Roman" w:cs="Times New Roman"/>
          <w:sz w:val="24"/>
          <w:szCs w:val="24"/>
        </w:rPr>
        <w:t>https://pressroom.toyota.com/toyota-motor-north-america-reports-2025-u-s-sales-results/</w:t>
      </w:r>
      <w:r>
        <w:rPr>
          <w:rStyle w:val="17"/>
          <w:rFonts w:eastAsia="Times New Roman" w:cs="Times New Roman"/>
          <w:sz w:val="24"/>
          <w:szCs w:val="24"/>
        </w:rPr>
        <w:fldChar w:fldCharType="end"/>
      </w:r>
      <w:r>
        <w:rPr>
          <w:rFonts w:eastAsia="Times New Roman" w:cs="Times New Roman"/>
          <w:sz w:val="24"/>
          <w:szCs w:val="24"/>
        </w:rPr>
        <w:t xml:space="preserve">  (Accessed on : 1st July, 2026)</w:t>
      </w:r>
    </w:p>
    <w:p w14:paraId="5E7E8D39">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3. Toyota Motor Corp - Company Profile (IBISWorld, 2026) </w:t>
      </w:r>
      <w:r>
        <w:fldChar w:fldCharType="begin"/>
      </w:r>
      <w:r>
        <w:instrText xml:space="preserve"> HYPERLINK "https://www.ibisworld.com/united-states/company/toyota-motor-corp/10379/" \h </w:instrText>
      </w:r>
      <w:r>
        <w:fldChar w:fldCharType="separate"/>
      </w:r>
      <w:r>
        <w:rPr>
          <w:rStyle w:val="17"/>
          <w:rFonts w:eastAsia="Times New Roman" w:cs="Times New Roman"/>
          <w:sz w:val="24"/>
          <w:szCs w:val="24"/>
        </w:rPr>
        <w:t>https://www.ibisworld.com/united-states/company/toyota-motor-corp/10379/</w:t>
      </w:r>
      <w:r>
        <w:rPr>
          <w:rStyle w:val="17"/>
          <w:rFonts w:eastAsia="Times New Roman" w:cs="Times New Roman"/>
          <w:sz w:val="24"/>
          <w:szCs w:val="24"/>
        </w:rPr>
        <w:fldChar w:fldCharType="end"/>
      </w:r>
      <w:r>
        <w:rPr>
          <w:rFonts w:eastAsia="Times New Roman" w:cs="Times New Roman"/>
          <w:sz w:val="24"/>
          <w:szCs w:val="24"/>
        </w:rPr>
        <w:t xml:space="preserve"> (Accessed on : 1st July, 2026)</w:t>
      </w:r>
    </w:p>
    <w:p w14:paraId="04155959">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4. Quantumrun (2026) Toyota Statistics 2026: Automotive Production Scale And Global Sales Performance. </w:t>
      </w:r>
      <w:r>
        <w:fldChar w:fldCharType="begin"/>
      </w:r>
      <w:r>
        <w:instrText xml:space="preserve"> HYPERLINK "https://www.quantumrun.com/consulting/toyota-statistics/" \h </w:instrText>
      </w:r>
      <w:r>
        <w:fldChar w:fldCharType="separate"/>
      </w:r>
      <w:r>
        <w:rPr>
          <w:rStyle w:val="17"/>
          <w:rFonts w:eastAsia="Times New Roman" w:cs="Times New Roman"/>
          <w:sz w:val="24"/>
          <w:szCs w:val="24"/>
        </w:rPr>
        <w:t>https://www.quantumrun.com/consulting/toyota-statistics/</w:t>
      </w:r>
      <w:r>
        <w:rPr>
          <w:rStyle w:val="17"/>
          <w:rFonts w:eastAsia="Times New Roman" w:cs="Times New Roman"/>
          <w:sz w:val="24"/>
          <w:szCs w:val="24"/>
        </w:rPr>
        <w:fldChar w:fldCharType="end"/>
      </w:r>
      <w:r>
        <w:rPr>
          <w:rFonts w:eastAsia="Times New Roman" w:cs="Times New Roman"/>
          <w:sz w:val="24"/>
          <w:szCs w:val="24"/>
        </w:rPr>
        <w:t xml:space="preserve"> (Accessed: 17 July 2026).</w:t>
      </w:r>
    </w:p>
    <w:p w14:paraId="7E5235D5">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5. ConsumerAffairs (2024) Toyota Statistics. </w:t>
      </w:r>
      <w:r>
        <w:fldChar w:fldCharType="begin"/>
      </w:r>
      <w:r>
        <w:instrText xml:space="preserve"> HYPERLINK "https://www.consumeraffairs.com/automotive/toyota-statistics.html" \h </w:instrText>
      </w:r>
      <w:r>
        <w:fldChar w:fldCharType="separate"/>
      </w:r>
      <w:r>
        <w:rPr>
          <w:rStyle w:val="17"/>
          <w:rFonts w:eastAsia="Times New Roman" w:cs="Times New Roman"/>
          <w:sz w:val="24"/>
          <w:szCs w:val="24"/>
        </w:rPr>
        <w:t>https://www.consumeraffairs.com/automotive/toyota-statistics.html</w:t>
      </w:r>
      <w:r>
        <w:rPr>
          <w:rStyle w:val="17"/>
          <w:rFonts w:eastAsia="Times New Roman" w:cs="Times New Roman"/>
          <w:sz w:val="24"/>
          <w:szCs w:val="24"/>
        </w:rPr>
        <w:fldChar w:fldCharType="end"/>
      </w:r>
      <w:r>
        <w:rPr>
          <w:rFonts w:eastAsia="Times New Roman" w:cs="Times New Roman"/>
          <w:sz w:val="24"/>
          <w:szCs w:val="24"/>
        </w:rPr>
        <w:t xml:space="preserve"> (Accessed: 18 July 2026).</w:t>
      </w:r>
    </w:p>
    <w:p w14:paraId="0A66FD89">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6. IIDE (2025) Toyota Business Model in 2026: Strategy, Revenue &amp; Growth. </w:t>
      </w:r>
      <w:r>
        <w:fldChar w:fldCharType="begin"/>
      </w:r>
      <w:r>
        <w:instrText xml:space="preserve"> HYPERLINK "https://iide.co/case-studies/business-model-of-toyota/" \h </w:instrText>
      </w:r>
      <w:r>
        <w:fldChar w:fldCharType="separate"/>
      </w:r>
      <w:r>
        <w:rPr>
          <w:rStyle w:val="17"/>
          <w:rFonts w:eastAsia="Times New Roman" w:cs="Times New Roman"/>
          <w:sz w:val="24"/>
          <w:szCs w:val="24"/>
        </w:rPr>
        <w:t>https://iide.co/case-studies/business-model-of-toyota/</w:t>
      </w:r>
      <w:r>
        <w:rPr>
          <w:rStyle w:val="17"/>
          <w:rFonts w:eastAsia="Times New Roman" w:cs="Times New Roman"/>
          <w:sz w:val="24"/>
          <w:szCs w:val="24"/>
        </w:rPr>
        <w:fldChar w:fldCharType="end"/>
      </w:r>
      <w:r>
        <w:rPr>
          <w:rFonts w:eastAsia="Times New Roman" w:cs="Times New Roman"/>
          <w:sz w:val="24"/>
          <w:szCs w:val="24"/>
        </w:rPr>
        <w:t xml:space="preserve"> (Accessed: 18 July 2026).</w:t>
      </w:r>
    </w:p>
    <w:p w14:paraId="2C612285">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7. Kelley Blue Book (2026) 2026 Toyota RAV4 Price, Reviews, Pictures &amp; More.  </w:t>
      </w:r>
      <w:r>
        <w:fldChar w:fldCharType="begin"/>
      </w:r>
      <w:r>
        <w:instrText xml:space="preserve"> HYPERLINK "https://www.kbb.com/toyota/rav4/" \h </w:instrText>
      </w:r>
      <w:r>
        <w:fldChar w:fldCharType="separate"/>
      </w:r>
      <w:r>
        <w:rPr>
          <w:rStyle w:val="17"/>
          <w:rFonts w:eastAsia="Times New Roman" w:cs="Times New Roman"/>
          <w:sz w:val="24"/>
          <w:szCs w:val="24"/>
        </w:rPr>
        <w:t>https://www.kbb.com/toyota/rav4/</w:t>
      </w:r>
      <w:r>
        <w:rPr>
          <w:rStyle w:val="17"/>
          <w:rFonts w:eastAsia="Times New Roman" w:cs="Times New Roman"/>
          <w:sz w:val="24"/>
          <w:szCs w:val="24"/>
        </w:rPr>
        <w:fldChar w:fldCharType="end"/>
      </w:r>
      <w:r>
        <w:rPr>
          <w:rFonts w:eastAsia="Times New Roman" w:cs="Times New Roman"/>
          <w:sz w:val="24"/>
          <w:szCs w:val="24"/>
        </w:rPr>
        <w:t xml:space="preserve"> (Accessed: 20 July 2026).</w:t>
      </w:r>
    </w:p>
    <w:p w14:paraId="5F6B8D9D">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8. Spinny (2026) Upcoming Toyota Cars in India 2026. </w:t>
      </w:r>
      <w:r>
        <w:fldChar w:fldCharType="begin"/>
      </w:r>
      <w:r>
        <w:instrText xml:space="preserve"> HYPERLINK "https://www.spinny.com/blog/upcoming-toyota-cars-in-india/" \h </w:instrText>
      </w:r>
      <w:r>
        <w:fldChar w:fldCharType="separate"/>
      </w:r>
      <w:r>
        <w:rPr>
          <w:rStyle w:val="17"/>
          <w:rFonts w:eastAsia="Times New Roman" w:cs="Times New Roman"/>
          <w:sz w:val="24"/>
          <w:szCs w:val="24"/>
        </w:rPr>
        <w:t>https://www.spinny.com/blog/upcoming-toyota-cars-in-india/</w:t>
      </w:r>
      <w:r>
        <w:rPr>
          <w:rStyle w:val="17"/>
          <w:rFonts w:eastAsia="Times New Roman" w:cs="Times New Roman"/>
          <w:sz w:val="24"/>
          <w:szCs w:val="24"/>
        </w:rPr>
        <w:fldChar w:fldCharType="end"/>
      </w:r>
      <w:r>
        <w:rPr>
          <w:rFonts w:eastAsia="Times New Roman" w:cs="Times New Roman"/>
          <w:sz w:val="24"/>
          <w:szCs w:val="24"/>
        </w:rPr>
        <w:t xml:space="preserve"> (Accessed: 21 July 2026).</w:t>
      </w:r>
    </w:p>
    <w:p w14:paraId="04653D78">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9. Toyota Motor North America (2026) Toyota Motor North America Reports March, First Quarter 2026 U.S. Sales Results. </w:t>
      </w:r>
      <w:r>
        <w:fldChar w:fldCharType="begin"/>
      </w:r>
      <w:r>
        <w:instrText xml:space="preserve"> HYPERLINK "https://pressroom.toyota.com/toyota-motor-north-america-reports-march-first-quarter-2026-u-s-sales-results/" \h </w:instrText>
      </w:r>
      <w:r>
        <w:fldChar w:fldCharType="separate"/>
      </w:r>
      <w:r>
        <w:rPr>
          <w:rStyle w:val="17"/>
          <w:rFonts w:eastAsia="Times New Roman" w:cs="Times New Roman"/>
          <w:sz w:val="24"/>
          <w:szCs w:val="24"/>
        </w:rPr>
        <w:t>https://pressroom.toyota.com/toyota-motor-north-america-reports-march-first-quarter-2026-u-s-sales-results/</w:t>
      </w:r>
      <w:r>
        <w:rPr>
          <w:rStyle w:val="17"/>
          <w:rFonts w:eastAsia="Times New Roman" w:cs="Times New Roman"/>
          <w:sz w:val="24"/>
          <w:szCs w:val="24"/>
        </w:rPr>
        <w:fldChar w:fldCharType="end"/>
      </w:r>
      <w:r>
        <w:rPr>
          <w:rFonts w:eastAsia="Times New Roman" w:cs="Times New Roman"/>
          <w:sz w:val="24"/>
          <w:szCs w:val="24"/>
        </w:rPr>
        <w:t xml:space="preserve">  (Accessed: 21 July 2026).</w:t>
      </w:r>
    </w:p>
    <w:p w14:paraId="0D98C940">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10. Toyota Motor Corporation (2012b) 75 years of Toyota: Section 3. Local production starts in North America, Item 2. Joint venture with GM. Available at: </w:t>
      </w:r>
      <w:r>
        <w:fldChar w:fldCharType="begin"/>
      </w:r>
      <w:r>
        <w:instrText xml:space="preserve"> HYPERLINK "https://www.toyota-global.com/company/history_of_toyota/75years/text/leaping_forward_as_a_global_corporation/chapter1/section3/item2.html" \h </w:instrText>
      </w:r>
      <w:r>
        <w:fldChar w:fldCharType="separate"/>
      </w:r>
      <w:r>
        <w:rPr>
          <w:rStyle w:val="17"/>
          <w:rFonts w:eastAsia="Times New Roman" w:cs="Times New Roman"/>
          <w:sz w:val="24"/>
          <w:szCs w:val="24"/>
        </w:rPr>
        <w:t>https://www.toyota-global.com/company/history_of_toyota/75years/text/leaping_forward_as_a_global_corporation/chapter1/section3/item2.html</w:t>
      </w:r>
      <w:r>
        <w:rPr>
          <w:rStyle w:val="17"/>
          <w:rFonts w:eastAsia="Times New Roman" w:cs="Times New Roman"/>
          <w:sz w:val="24"/>
          <w:szCs w:val="24"/>
        </w:rPr>
        <w:fldChar w:fldCharType="end"/>
      </w:r>
      <w:r>
        <w:rPr>
          <w:rFonts w:eastAsia="Times New Roman" w:cs="Times New Roman"/>
          <w:sz w:val="24"/>
          <w:szCs w:val="24"/>
        </w:rPr>
        <w:t xml:space="preserve"> (Accessed: 26 July 2026).</w:t>
      </w:r>
    </w:p>
    <w:p w14:paraId="0B10B28D">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11. Toyota USA Newsroom (2018) 30 years after groundbreaking, Toyota Kentucky proves age is only a number. </w:t>
      </w:r>
      <w:r>
        <w:fldChar w:fldCharType="begin"/>
      </w:r>
      <w:r>
        <w:instrText xml:space="preserve"> HYPERLINK "https://pressroom.toyota.com/toyota-kentucky-30th-anniversary/" \h </w:instrText>
      </w:r>
      <w:r>
        <w:fldChar w:fldCharType="separate"/>
      </w:r>
      <w:r>
        <w:rPr>
          <w:rStyle w:val="17"/>
          <w:rFonts w:eastAsia="Times New Roman" w:cs="Times New Roman"/>
          <w:sz w:val="24"/>
          <w:szCs w:val="24"/>
        </w:rPr>
        <w:t>https://pressroom.toyota.com/toyota-kentucky-30th-anniversary/</w:t>
      </w:r>
      <w:r>
        <w:rPr>
          <w:rStyle w:val="17"/>
          <w:rFonts w:eastAsia="Times New Roman" w:cs="Times New Roman"/>
          <w:sz w:val="24"/>
          <w:szCs w:val="24"/>
        </w:rPr>
        <w:fldChar w:fldCharType="end"/>
      </w:r>
      <w:r>
        <w:rPr>
          <w:rFonts w:eastAsia="Times New Roman" w:cs="Times New Roman"/>
          <w:sz w:val="24"/>
          <w:szCs w:val="24"/>
        </w:rPr>
        <w:t xml:space="preserve"> (Accessed: 27 July 2026).</w:t>
      </w:r>
    </w:p>
    <w:p w14:paraId="2997B5EA">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12. Toyota Motor Corporation (2012a) 75 years of Toyota: Section 1. Voluntary restraints imposed on exports to U.S. Available at: </w:t>
      </w:r>
      <w:r>
        <w:fldChar w:fldCharType="begin"/>
      </w:r>
      <w:r>
        <w:instrText xml:space="preserve"> HYPERLINK "https://www.toyota-global.com/company/history_of_toyota/75years/text/leaping_forward_as_a_global_corporation/chapter1/section1/item1.html" \h </w:instrText>
      </w:r>
      <w:r>
        <w:fldChar w:fldCharType="separate"/>
      </w:r>
      <w:r>
        <w:rPr>
          <w:rStyle w:val="17"/>
          <w:rFonts w:eastAsia="Times New Roman" w:cs="Times New Roman"/>
          <w:sz w:val="24"/>
          <w:szCs w:val="24"/>
        </w:rPr>
        <w:t>https://www.toyota-global.com/company/history_of_toyota/75years/text/leaping_forward_as_a_global_corporation/chapter1/section1/item1.html</w:t>
      </w:r>
      <w:r>
        <w:rPr>
          <w:rStyle w:val="17"/>
          <w:rFonts w:eastAsia="Times New Roman" w:cs="Times New Roman"/>
          <w:sz w:val="24"/>
          <w:szCs w:val="24"/>
        </w:rPr>
        <w:fldChar w:fldCharType="end"/>
      </w:r>
      <w:r>
        <w:rPr>
          <w:rFonts w:eastAsia="Times New Roman" w:cs="Times New Roman"/>
          <w:sz w:val="24"/>
          <w:szCs w:val="24"/>
        </w:rPr>
        <w:t xml:space="preserve"> (Accessed: 27 July 2026).</w:t>
      </w:r>
    </w:p>
    <w:p w14:paraId="76217F27">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13. Johansson, J. and Vahlne, J.E. (1977) 'The internationalization process of the firm — a model of knowledge development and increasing foreign market commitments', Journal of International Business Studies, 8(1), pp. 23–32.</w:t>
      </w:r>
    </w:p>
    <w:p w14:paraId="7381D7F0">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14. U.S. Department of Justice (2014) Justice Department announces criminal charge against Toyota Motor Corporation and deferred prosecution agreement with $1.2 billion financial penalty. </w:t>
      </w:r>
      <w:r>
        <w:fldChar w:fldCharType="begin"/>
      </w:r>
      <w:r>
        <w:instrText xml:space="preserve"> HYPERLINK "https://www.justice.gov/archives/opa/pr/justice-department-announces-criminal-charge-against-toyota-motor-corporation-and-deferred" \h </w:instrText>
      </w:r>
      <w:r>
        <w:fldChar w:fldCharType="separate"/>
      </w:r>
      <w:r>
        <w:rPr>
          <w:rStyle w:val="17"/>
          <w:rFonts w:eastAsia="Times New Roman" w:cs="Times New Roman"/>
          <w:sz w:val="24"/>
          <w:szCs w:val="24"/>
        </w:rPr>
        <w:t>https://www.justice.gov/archives/opa/pr/justice-department-announces-criminal-charge-against-toyota-motor-corporation-and-deferred</w:t>
      </w:r>
      <w:r>
        <w:rPr>
          <w:rStyle w:val="17"/>
          <w:rFonts w:eastAsia="Times New Roman" w:cs="Times New Roman"/>
          <w:sz w:val="24"/>
          <w:szCs w:val="24"/>
        </w:rPr>
        <w:fldChar w:fldCharType="end"/>
      </w:r>
      <w:r>
        <w:rPr>
          <w:rFonts w:eastAsia="Times New Roman" w:cs="Times New Roman"/>
          <w:sz w:val="24"/>
          <w:szCs w:val="24"/>
        </w:rPr>
        <w:t xml:space="preserve">  (Accessed: 31 July 2026).</w:t>
      </w:r>
    </w:p>
    <w:p w14:paraId="4EE016F0">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15. Carbon Copy (2024) Corporate watchdog accuses Toyota of misleading marketing, greenwashing. </w:t>
      </w:r>
      <w:r>
        <w:fldChar w:fldCharType="begin"/>
      </w:r>
      <w:r>
        <w:instrText xml:space="preserve"> HYPERLINK "https://carboncopy.info/corporate-watchdog-accuses-toyota-of-misleading-marketing-greenwashing/" \h </w:instrText>
      </w:r>
      <w:r>
        <w:fldChar w:fldCharType="separate"/>
      </w:r>
      <w:r>
        <w:rPr>
          <w:rStyle w:val="17"/>
          <w:rFonts w:eastAsia="Times New Roman" w:cs="Times New Roman"/>
          <w:sz w:val="24"/>
          <w:szCs w:val="24"/>
        </w:rPr>
        <w:t>https://carboncopy.info/corporate-watchdog-accuses-toyota-of-misleading-marketing-greenwashing/</w:t>
      </w:r>
      <w:r>
        <w:rPr>
          <w:rStyle w:val="17"/>
          <w:rFonts w:eastAsia="Times New Roman" w:cs="Times New Roman"/>
          <w:sz w:val="24"/>
          <w:szCs w:val="24"/>
        </w:rPr>
        <w:fldChar w:fldCharType="end"/>
      </w:r>
      <w:r>
        <w:rPr>
          <w:rFonts w:eastAsia="Times New Roman" w:cs="Times New Roman"/>
          <w:sz w:val="24"/>
          <w:szCs w:val="24"/>
        </w:rPr>
        <w:t xml:space="preserve">  (Accessed: 2 August 2026).</w:t>
      </w:r>
    </w:p>
    <w:p w14:paraId="57942A82">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16. Electrek (2023) Toyota is still greenwashing after change in leadership. </w:t>
      </w:r>
      <w:r>
        <w:fldChar w:fldCharType="begin"/>
      </w:r>
      <w:r>
        <w:instrText xml:space="preserve"> HYPERLINK "https://electrek.co/2023/11/24/toyota-is-still-greenwashing-after-change-in-leadership/" \h </w:instrText>
      </w:r>
      <w:r>
        <w:fldChar w:fldCharType="separate"/>
      </w:r>
      <w:r>
        <w:rPr>
          <w:rStyle w:val="17"/>
          <w:rFonts w:eastAsia="Times New Roman" w:cs="Times New Roman"/>
          <w:sz w:val="24"/>
          <w:szCs w:val="24"/>
        </w:rPr>
        <w:t>https://electrek.co/2023/11/24/toyota-is-still-greenwashing-after-change-in-leadership/</w:t>
      </w:r>
      <w:r>
        <w:rPr>
          <w:rStyle w:val="17"/>
          <w:rFonts w:eastAsia="Times New Roman" w:cs="Times New Roman"/>
          <w:sz w:val="24"/>
          <w:szCs w:val="24"/>
        </w:rPr>
        <w:fldChar w:fldCharType="end"/>
      </w:r>
      <w:r>
        <w:rPr>
          <w:rFonts w:eastAsia="Times New Roman" w:cs="Times New Roman"/>
          <w:sz w:val="24"/>
          <w:szCs w:val="24"/>
        </w:rPr>
        <w:t xml:space="preserve">  (Accessed: 2 August 2026).</w:t>
      </w:r>
    </w:p>
    <w:p w14:paraId="14E12304">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17. Electric Car Wiki (2025) Did Toyota stop making electric cars in 2026? What you need to know. </w:t>
      </w:r>
      <w:r>
        <w:fldChar w:fldCharType="begin"/>
      </w:r>
      <w:r>
        <w:instrText xml:space="preserve"> HYPERLINK "https://electriccarwiki.com/did-toyota-stop-making-electric-cars/" \h </w:instrText>
      </w:r>
      <w:r>
        <w:fldChar w:fldCharType="separate"/>
      </w:r>
      <w:r>
        <w:rPr>
          <w:rStyle w:val="17"/>
          <w:rFonts w:eastAsia="Times New Roman" w:cs="Times New Roman"/>
          <w:sz w:val="24"/>
          <w:szCs w:val="24"/>
        </w:rPr>
        <w:t>https://electriccarwiki.com/did-toyota-stop-making-electric-cars/</w:t>
      </w:r>
      <w:r>
        <w:rPr>
          <w:rStyle w:val="17"/>
          <w:rFonts w:eastAsia="Times New Roman" w:cs="Times New Roman"/>
          <w:sz w:val="24"/>
          <w:szCs w:val="24"/>
        </w:rPr>
        <w:fldChar w:fldCharType="end"/>
      </w:r>
      <w:r>
        <w:rPr>
          <w:rFonts w:eastAsia="Times New Roman" w:cs="Times New Roman"/>
          <w:sz w:val="24"/>
          <w:szCs w:val="24"/>
        </w:rPr>
        <w:t xml:space="preserve">  (Accessed: 6 August 2026).</w:t>
      </w:r>
    </w:p>
    <w:p w14:paraId="4BA7A842">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18. EnkiAI (2026a) Toyota electric vehicles 2026, $912M US production push. </w:t>
      </w:r>
      <w:r>
        <w:fldChar w:fldCharType="begin"/>
      </w:r>
      <w:r>
        <w:instrText xml:space="preserve"> HYPERLINK "https://enkiai.com/ev/toyota-electric-vehicles-us-production/" \h </w:instrText>
      </w:r>
      <w:r>
        <w:fldChar w:fldCharType="separate"/>
      </w:r>
      <w:r>
        <w:rPr>
          <w:rStyle w:val="17"/>
          <w:rFonts w:eastAsia="Times New Roman" w:cs="Times New Roman"/>
          <w:sz w:val="24"/>
          <w:szCs w:val="24"/>
        </w:rPr>
        <w:t>https://enkiai.com/ev/toyota-electric-vehicles-us-production/</w:t>
      </w:r>
      <w:r>
        <w:rPr>
          <w:rStyle w:val="17"/>
          <w:rFonts w:eastAsia="Times New Roman" w:cs="Times New Roman"/>
          <w:sz w:val="24"/>
          <w:szCs w:val="24"/>
        </w:rPr>
        <w:fldChar w:fldCharType="end"/>
      </w:r>
      <w:r>
        <w:rPr>
          <w:rFonts w:eastAsia="Times New Roman" w:cs="Times New Roman"/>
          <w:sz w:val="24"/>
          <w:szCs w:val="24"/>
        </w:rPr>
        <w:t xml:space="preserve">  (Accessed: 6 August 2026).</w:t>
      </w:r>
    </w:p>
    <w:p w14:paraId="4D1D34B9">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19. (WSJ) Japan to Phase Out Gasoline-Powered Cars, Bucking Toyota Chief. </w:t>
      </w:r>
      <w:r>
        <w:fldChar w:fldCharType="begin"/>
      </w:r>
      <w:r>
        <w:instrText xml:space="preserve"> HYPERLINK "https://www.wsj.com/business/autos/japan-to-phase-out-gasoline-powered-cars-bucking-toyota-chief-11608887640" \h </w:instrText>
      </w:r>
      <w:r>
        <w:fldChar w:fldCharType="separate"/>
      </w:r>
      <w:r>
        <w:rPr>
          <w:rStyle w:val="17"/>
          <w:rFonts w:eastAsia="Times New Roman" w:cs="Times New Roman"/>
          <w:sz w:val="24"/>
          <w:szCs w:val="24"/>
        </w:rPr>
        <w:t>https://www.wsj.com/business/autos/japan-to-phase-out-gasoline-powered-cars-bucking-toyota-chief-11608887640</w:t>
      </w:r>
      <w:r>
        <w:rPr>
          <w:rStyle w:val="17"/>
          <w:rFonts w:eastAsia="Times New Roman" w:cs="Times New Roman"/>
          <w:sz w:val="24"/>
          <w:szCs w:val="24"/>
        </w:rPr>
        <w:fldChar w:fldCharType="end"/>
      </w:r>
      <w:r>
        <w:rPr>
          <w:rFonts w:eastAsia="Times New Roman" w:cs="Times New Roman"/>
          <w:sz w:val="24"/>
          <w:szCs w:val="24"/>
        </w:rPr>
        <w:t xml:space="preserve"> (Accessed: 6 August 2026)</w:t>
      </w:r>
    </w:p>
    <w:p w14:paraId="7141C107">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20. CNBC (2026) BOJ holds rates at 1%, warns of core inflation exceeding 2% target. </w:t>
      </w:r>
      <w:r>
        <w:fldChar w:fldCharType="begin"/>
      </w:r>
      <w:r>
        <w:instrText xml:space="preserve"> HYPERLINK "https://www.cnbc.com/2026/07/31/boj-rates-yen-intervention-inflation-japan.html" \h </w:instrText>
      </w:r>
      <w:r>
        <w:fldChar w:fldCharType="separate"/>
      </w:r>
      <w:r>
        <w:rPr>
          <w:rStyle w:val="17"/>
          <w:rFonts w:eastAsia="Times New Roman" w:cs="Times New Roman"/>
          <w:sz w:val="24"/>
          <w:szCs w:val="24"/>
        </w:rPr>
        <w:t>https://www.cnbc.com/2026/07/31/boj-rates-yen-intervention-inflation-japan.html</w:t>
      </w:r>
      <w:r>
        <w:rPr>
          <w:rStyle w:val="17"/>
          <w:rFonts w:eastAsia="Times New Roman" w:cs="Times New Roman"/>
          <w:sz w:val="24"/>
          <w:szCs w:val="24"/>
        </w:rPr>
        <w:fldChar w:fldCharType="end"/>
      </w:r>
      <w:r>
        <w:rPr>
          <w:rFonts w:eastAsia="Times New Roman" w:cs="Times New Roman"/>
          <w:sz w:val="24"/>
          <w:szCs w:val="24"/>
        </w:rPr>
        <w:t xml:space="preserve"> (Accessed: 7 August 2026)</w:t>
      </w:r>
    </w:p>
    <w:p w14:paraId="7A818EF2">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21. Congress.gov (2026) U.S. tariffs and the 2025 U.S.-Japan Framework Agreement. Library of Congress, Congressional Research Service. </w:t>
      </w:r>
      <w:r>
        <w:fldChar w:fldCharType="begin"/>
      </w:r>
      <w:r>
        <w:instrText xml:space="preserve"> HYPERLINK "https://www.congress.gov/crs-product/IN12608" \h </w:instrText>
      </w:r>
      <w:r>
        <w:fldChar w:fldCharType="separate"/>
      </w:r>
      <w:r>
        <w:rPr>
          <w:rStyle w:val="17"/>
          <w:rFonts w:eastAsia="Times New Roman" w:cs="Times New Roman"/>
          <w:sz w:val="24"/>
          <w:szCs w:val="24"/>
        </w:rPr>
        <w:t>https://www.congress.gov/crs-product/IN12608</w:t>
      </w:r>
      <w:r>
        <w:rPr>
          <w:rStyle w:val="17"/>
          <w:rFonts w:eastAsia="Times New Roman" w:cs="Times New Roman"/>
          <w:sz w:val="24"/>
          <w:szCs w:val="24"/>
        </w:rPr>
        <w:fldChar w:fldCharType="end"/>
      </w:r>
      <w:r>
        <w:rPr>
          <w:rFonts w:eastAsia="Times New Roman" w:cs="Times New Roman"/>
          <w:sz w:val="24"/>
          <w:szCs w:val="24"/>
        </w:rPr>
        <w:t xml:space="preserve"> (Accessed: 7 August 2026)</w:t>
      </w:r>
    </w:p>
    <w:p w14:paraId="06586B59">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22. Trading Economics (2026) Japan interest rate. </w:t>
      </w:r>
      <w:r>
        <w:fldChar w:fldCharType="begin"/>
      </w:r>
      <w:r>
        <w:instrText xml:space="preserve"> HYPERLINK "https://tradingeconomics.com/japan/interest-rate" \h </w:instrText>
      </w:r>
      <w:r>
        <w:fldChar w:fldCharType="separate"/>
      </w:r>
      <w:r>
        <w:rPr>
          <w:rStyle w:val="17"/>
          <w:rFonts w:eastAsia="Times New Roman" w:cs="Times New Roman"/>
          <w:sz w:val="24"/>
          <w:szCs w:val="24"/>
        </w:rPr>
        <w:t>https://tradingeconomics.com/japan/interest-rate</w:t>
      </w:r>
      <w:r>
        <w:rPr>
          <w:rStyle w:val="17"/>
          <w:rFonts w:eastAsia="Times New Roman" w:cs="Times New Roman"/>
          <w:sz w:val="24"/>
          <w:szCs w:val="24"/>
        </w:rPr>
        <w:fldChar w:fldCharType="end"/>
      </w:r>
      <w:r>
        <w:rPr>
          <w:rFonts w:eastAsia="Times New Roman" w:cs="Times New Roman"/>
          <w:sz w:val="24"/>
          <w:szCs w:val="24"/>
        </w:rPr>
        <w:t xml:space="preserve"> (Accessed: 9 August 2026)</w:t>
      </w:r>
    </w:p>
    <w:p w14:paraId="4D037EAE">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23. Federal Reserve (2026) Speech by Governor Cook on the economic outlook. Available at: </w:t>
      </w:r>
      <w:r>
        <w:fldChar w:fldCharType="begin"/>
      </w:r>
      <w:r>
        <w:instrText xml:space="preserve"> HYPERLINK "https://www.federalreserve.gov/newsevents/speech/cook20260715a.htm" \h </w:instrText>
      </w:r>
      <w:r>
        <w:fldChar w:fldCharType="separate"/>
      </w:r>
      <w:r>
        <w:rPr>
          <w:rStyle w:val="17"/>
          <w:rFonts w:eastAsia="Times New Roman" w:cs="Times New Roman"/>
          <w:sz w:val="24"/>
          <w:szCs w:val="24"/>
        </w:rPr>
        <w:t>https://www.federalreserve.gov/newsevents/speech/cook20260715a.htm</w:t>
      </w:r>
      <w:r>
        <w:rPr>
          <w:rStyle w:val="17"/>
          <w:rFonts w:eastAsia="Times New Roman" w:cs="Times New Roman"/>
          <w:sz w:val="24"/>
          <w:szCs w:val="24"/>
        </w:rPr>
        <w:fldChar w:fldCharType="end"/>
      </w:r>
      <w:r>
        <w:rPr>
          <w:rFonts w:eastAsia="Times New Roman" w:cs="Times New Roman"/>
          <w:sz w:val="24"/>
          <w:szCs w:val="24"/>
        </w:rPr>
        <w:t xml:space="preserve">  (Accessed: 9 August 2026)</w:t>
      </w:r>
    </w:p>
    <w:p w14:paraId="687CAE9A">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24. McKinsey &amp; Company (2026) The Future of Mobility: Shifting Consumer Preferences in US Cities. </w:t>
      </w:r>
      <w:r>
        <w:fldChar w:fldCharType="begin"/>
      </w:r>
      <w:r>
        <w:instrText xml:space="preserve"> HYPERLINK "https://www.mckinsey.com/industries/automotive-and-assembly/our-insights/the-future-of-mobility-mobility-evolves" \h </w:instrText>
      </w:r>
      <w:r>
        <w:fldChar w:fldCharType="separate"/>
      </w:r>
      <w:r>
        <w:rPr>
          <w:rStyle w:val="17"/>
          <w:rFonts w:eastAsia="Times New Roman" w:cs="Times New Roman"/>
          <w:sz w:val="24"/>
          <w:szCs w:val="24"/>
        </w:rPr>
        <w:t>https://www.mckinsey.com/industries/automotive-and-assembly/our-insights/the-future-of-mobility-mobility-evolves</w:t>
      </w:r>
      <w:r>
        <w:rPr>
          <w:rStyle w:val="17"/>
          <w:rFonts w:eastAsia="Times New Roman" w:cs="Times New Roman"/>
          <w:sz w:val="24"/>
          <w:szCs w:val="24"/>
        </w:rPr>
        <w:fldChar w:fldCharType="end"/>
      </w:r>
      <w:r>
        <w:rPr>
          <w:rFonts w:eastAsia="Times New Roman" w:cs="Times New Roman"/>
          <w:sz w:val="24"/>
          <w:szCs w:val="24"/>
        </w:rPr>
        <w:t xml:space="preserve"> (Accessed: 10 August 2026)</w:t>
      </w:r>
    </w:p>
    <w:p w14:paraId="662C5366">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25. Wired (2026) The Monetization of the Connected Car. </w:t>
      </w:r>
      <w:r>
        <w:fldChar w:fldCharType="begin"/>
      </w:r>
      <w:r>
        <w:instrText xml:space="preserve"> HYPERLINK "https://www.wired.com/story/police-records-car-subscription-features-surveillance/" \h </w:instrText>
      </w:r>
      <w:r>
        <w:fldChar w:fldCharType="separate"/>
      </w:r>
      <w:r>
        <w:rPr>
          <w:rStyle w:val="17"/>
          <w:rFonts w:eastAsia="Times New Roman" w:cs="Times New Roman"/>
          <w:sz w:val="24"/>
          <w:szCs w:val="24"/>
        </w:rPr>
        <w:t>https://www.wired.com/story/police-records-car-subscription-features-surveillance/</w:t>
      </w:r>
      <w:r>
        <w:rPr>
          <w:rStyle w:val="17"/>
          <w:rFonts w:eastAsia="Times New Roman" w:cs="Times New Roman"/>
          <w:sz w:val="24"/>
          <w:szCs w:val="24"/>
        </w:rPr>
        <w:fldChar w:fldCharType="end"/>
      </w:r>
      <w:r>
        <w:rPr>
          <w:rFonts w:eastAsia="Times New Roman" w:cs="Times New Roman"/>
          <w:sz w:val="24"/>
          <w:szCs w:val="24"/>
        </w:rPr>
        <w:t xml:space="preserve">  (Accessed: 10 August 2026)</w:t>
      </w:r>
    </w:p>
    <w:p w14:paraId="2D4CAEAD">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26. Shoki Kosai (2018) Vehicle energy efficiency evaluation from well-to-wheel lifecycle perspective. </w:t>
      </w:r>
      <w:r>
        <w:fldChar w:fldCharType="begin"/>
      </w:r>
      <w:r>
        <w:instrText xml:space="preserve"> HYPERLINK "https://www.sciencedirect.com/science/article/abs/pii/S1361920918302608" \h </w:instrText>
      </w:r>
      <w:r>
        <w:fldChar w:fldCharType="separate"/>
      </w:r>
      <w:r>
        <w:rPr>
          <w:rStyle w:val="17"/>
          <w:rFonts w:eastAsia="Times New Roman" w:cs="Times New Roman"/>
          <w:sz w:val="24"/>
          <w:szCs w:val="24"/>
        </w:rPr>
        <w:t>https://www.sciencedirect.com/science/article/abs/pii/S1361920918302608</w:t>
      </w:r>
      <w:r>
        <w:rPr>
          <w:rStyle w:val="17"/>
          <w:rFonts w:eastAsia="Times New Roman" w:cs="Times New Roman"/>
          <w:sz w:val="24"/>
          <w:szCs w:val="24"/>
        </w:rPr>
        <w:fldChar w:fldCharType="end"/>
      </w:r>
      <w:r>
        <w:rPr>
          <w:rFonts w:eastAsia="Times New Roman" w:cs="Times New Roman"/>
          <w:sz w:val="24"/>
          <w:szCs w:val="24"/>
        </w:rPr>
        <w:t xml:space="preserve"> (Accessed: 10 August 2026)</w:t>
      </w:r>
    </w:p>
    <w:p w14:paraId="73BF144A">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27. ACT Group (2025) Regulatory Update: Japan’s GX-ETS to Become Mandatory for Large Emitters in 2026. </w:t>
      </w:r>
      <w:r>
        <w:fldChar w:fldCharType="begin"/>
      </w:r>
      <w:r>
        <w:instrText xml:space="preserve"> HYPERLINK "https://www.actgroup.com/latest/blogs/japan-s-gx-ets-to-become-mandatory-for-large-emitters-in-2026" \h </w:instrText>
      </w:r>
      <w:r>
        <w:fldChar w:fldCharType="separate"/>
      </w:r>
      <w:r>
        <w:rPr>
          <w:rStyle w:val="17"/>
          <w:rFonts w:eastAsia="Times New Roman" w:cs="Times New Roman"/>
          <w:sz w:val="24"/>
          <w:szCs w:val="24"/>
        </w:rPr>
        <w:t>https://www.actgroup.com/latest/blogs/japan-s-gx-ets-to-become-mandatory-for-large-emitters-in-2026</w:t>
      </w:r>
      <w:r>
        <w:rPr>
          <w:rStyle w:val="17"/>
          <w:rFonts w:eastAsia="Times New Roman" w:cs="Times New Roman"/>
          <w:sz w:val="24"/>
          <w:szCs w:val="24"/>
        </w:rPr>
        <w:fldChar w:fldCharType="end"/>
      </w:r>
      <w:r>
        <w:rPr>
          <w:rFonts w:eastAsia="Times New Roman" w:cs="Times New Roman"/>
          <w:sz w:val="24"/>
          <w:szCs w:val="24"/>
        </w:rPr>
        <w:t xml:space="preserve">  (Accessed: 11 August 2026)</w:t>
      </w:r>
    </w:p>
    <w:p w14:paraId="3BC265FE">
      <w:pPr>
        <w:pStyle w:val="10"/>
        <w:bidi w:val="0"/>
        <w:spacing w:before="0" w:after="140"/>
        <w:ind w:left="0" w:right="0" w:firstLine="0"/>
        <w:jc w:val="left"/>
        <w:rPr>
          <w:rFonts w:ascii="Arial" w:hAnsi="Arial" w:eastAsia="Times New Roman" w:cs="Times New Roman"/>
          <w:sz w:val="24"/>
          <w:szCs w:val="24"/>
        </w:rPr>
      </w:pPr>
      <w:r>
        <w:rPr>
          <w:rFonts w:eastAsia="Times New Roman" w:cs="Times New Roman"/>
          <w:sz w:val="24"/>
          <w:szCs w:val="24"/>
        </w:rPr>
        <w:t xml:space="preserve">28. World Intellectual Property Organization (2025) Global Innovation Index: Japan. </w:t>
      </w:r>
      <w:r>
        <w:fldChar w:fldCharType="begin"/>
      </w:r>
      <w:r>
        <w:instrText xml:space="preserve"> HYPERLINK "https://www.wipo.int/gii/" \h </w:instrText>
      </w:r>
      <w:r>
        <w:fldChar w:fldCharType="separate"/>
      </w:r>
      <w:r>
        <w:rPr>
          <w:rStyle w:val="17"/>
          <w:rFonts w:eastAsia="Times New Roman" w:cs="Times New Roman"/>
          <w:sz w:val="24"/>
          <w:szCs w:val="24"/>
        </w:rPr>
        <w:t>https://www.wipo.int/gii/</w:t>
      </w:r>
      <w:r>
        <w:rPr>
          <w:rStyle w:val="17"/>
          <w:rFonts w:eastAsia="Times New Roman" w:cs="Times New Roman"/>
          <w:sz w:val="24"/>
          <w:szCs w:val="24"/>
        </w:rPr>
        <w:fldChar w:fldCharType="end"/>
      </w:r>
      <w:r>
        <w:rPr>
          <w:rFonts w:eastAsia="Times New Roman" w:cs="Times New Roman"/>
          <w:sz w:val="24"/>
          <w:szCs w:val="24"/>
        </w:rPr>
        <w:t xml:space="preserve">  (Accessed: 11 August 2026)</w:t>
      </w:r>
    </w:p>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20" w:footer="720" w:gutter="0"/>
      <w:pgNumType w:fmt="decimal" w:start="1"/>
      <w:cols w:space="720" w:num="1"/>
      <w:formProt w:val="0"/>
      <w:docGrid w:linePitch="10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OpenSymbol">
    <w:altName w:val="Segoe Print"/>
    <w:panose1 w:val="00000000000000000000"/>
    <w:charset w:val="02"/>
    <w:family w:val="roman"/>
    <w:pitch w:val="default"/>
    <w:sig w:usb0="00000000" w:usb1="00000000" w:usb2="00000000" w:usb3="00000000" w:csb0="00000000" w:csb1="00000000"/>
  </w:font>
  <w:font w:name="Arial Unicode MS">
    <w:altName w:val="Arial"/>
    <w:panose1 w:val="00000000000000000000"/>
    <w:charset w:val="00"/>
    <w:family w:val="auto"/>
    <w:pitch w:val="default"/>
    <w:sig w:usb0="00000000" w:usb1="00000000" w:usb2="00000000" w:usb3="00000000" w:csb0="00000000" w:csb1="00000000"/>
  </w:font>
  <w:font w:name="Liberation Sans">
    <w:altName w:val="Arial"/>
    <w:panose1 w:val="00000000000000000000"/>
    <w:charset w:val="00"/>
    <w:family w:val="swiss"/>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CE5877E">
    <w:pPr>
      <w:jc w:val="right"/>
      <w:rPr>
        <w:rFonts w:ascii="Times New Roman" w:hAnsi="Times New Roman" w:eastAsia="Times New Roman" w:cs="Times New Roman"/>
        <w:sz w:val="24"/>
        <w:szCs w:val="24"/>
      </w:rPr>
    </w:pPr>
    <w:r>
      <w:fldChar w:fldCharType="begin"/>
    </w:r>
    <w:r>
      <w:instrText xml:space="preserve"> PAGE </w:instrText>
    </w:r>
    <w:r>
      <w:fldChar w:fldCharType="separate"/>
    </w:r>
    <w:r>
      <w:t>31</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29CD5A9">
    <w:pPr>
      <w:pStyle w:val="1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D343D06">
    <w:pPr>
      <w:jc w:val="right"/>
      <w:rPr>
        <w:rFonts w:ascii="Times New Roman" w:hAnsi="Times New Roman" w:eastAsia="Times New Roman" w:cs="Times New Roman"/>
        <w:sz w:val="24"/>
        <w:szCs w:val="24"/>
      </w:rPr>
    </w:pPr>
    <w:r>
      <w:fldChar w:fldCharType="begin"/>
    </w:r>
    <w:r>
      <w:instrText xml:space="preserve"> PAGE </w:instrText>
    </w:r>
    <w:r>
      <w:fldChar w:fldCharType="separate"/>
    </w:r>
    <w:r>
      <w:t>31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8A01CD6">
    <w:pPr>
      <w:jc w:val="right"/>
    </w:pPr>
    <w:r>
      <w:drawing>
        <wp:inline distT="0" distB="0" distL="0" distR="0">
          <wp:extent cx="1783715" cy="951865"/>
          <wp:effectExtent l="0" t="0" r="0" b="0"/>
          <wp:docPr id="1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IMG_256"/>
                  <pic:cNvPicPr>
                    <a:picLocks noChangeAspect="1" noChangeArrowheads="1"/>
                  </pic:cNvPicPr>
                </pic:nvPicPr>
                <pic:blipFill>
                  <a:blip r:embed="rId1"/>
                  <a:stretch>
                    <a:fillRect/>
                  </a:stretch>
                </pic:blipFill>
                <pic:spPr>
                  <a:xfrm>
                    <a:off x="0" y="0"/>
                    <a:ext cx="1783715" cy="951865"/>
                  </a:xfrm>
                  <a:prstGeom prst="rect">
                    <a:avLst/>
                  </a:prstGeom>
                  <a:noFill/>
                </pic:spPr>
              </pic:pic>
            </a:graphicData>
          </a:graphic>
        </wp:inline>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B288906">
    <w:pPr>
      <w:pStyle w:val="16"/>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439AFE1">
    <w:pPr>
      <w:jc w:val="right"/>
    </w:pPr>
    <w:r>
      <w:drawing>
        <wp:inline distT="0" distB="0" distL="0" distR="0">
          <wp:extent cx="1783715" cy="951865"/>
          <wp:effectExtent l="0" t="0" r="0" b="0"/>
          <wp:docPr id="1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IMG_256"/>
                  <pic:cNvPicPr>
                    <a:picLocks noChangeAspect="1" noChangeArrowheads="1"/>
                  </pic:cNvPicPr>
                </pic:nvPicPr>
                <pic:blipFill>
                  <a:blip r:embed="rId1"/>
                  <a:stretch>
                    <a:fillRect/>
                  </a:stretch>
                </pic:blipFill>
                <pic:spPr>
                  <a:xfrm>
                    <a:off x="0" y="0"/>
                    <a:ext cx="1783715" cy="951865"/>
                  </a:xfrm>
                  <a:prstGeom prst="rect">
                    <a:avLst/>
                  </a:prstGeom>
                  <a:noFill/>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2327FF4"/>
    <w:multiLevelType w:val="multilevel"/>
    <w:tmpl w:val="E2327FF4"/>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440"/>
        </w:tabs>
        <w:ind w:left="1440" w:hanging="360"/>
      </w:pPr>
    </w:lvl>
    <w:lvl w:ilvl="3" w:tentative="0">
      <w:start w:val="1"/>
      <w:numFmt w:val="decimal"/>
      <w:lvlText w:val="%4."/>
      <w:lvlJc w:val="left"/>
      <w:pPr>
        <w:tabs>
          <w:tab w:val="left" w:pos="1800"/>
        </w:tabs>
        <w:ind w:left="1800" w:hanging="360"/>
      </w:pPr>
    </w:lvl>
    <w:lvl w:ilvl="4" w:tentative="0">
      <w:start w:val="1"/>
      <w:numFmt w:val="decimal"/>
      <w:lvlText w:val="%5."/>
      <w:lvlJc w:val="left"/>
      <w:pPr>
        <w:tabs>
          <w:tab w:val="left" w:pos="2160"/>
        </w:tabs>
        <w:ind w:left="2160" w:hanging="360"/>
      </w:pPr>
    </w:lvl>
    <w:lvl w:ilvl="5" w:tentative="0">
      <w:start w:val="1"/>
      <w:numFmt w:val="decimal"/>
      <w:lvlText w:val="%6."/>
      <w:lvlJc w:val="left"/>
      <w:pPr>
        <w:tabs>
          <w:tab w:val="left" w:pos="2520"/>
        </w:tabs>
        <w:ind w:left="2520" w:hanging="360"/>
      </w:pPr>
    </w:lvl>
    <w:lvl w:ilvl="6" w:tentative="0">
      <w:start w:val="1"/>
      <w:numFmt w:val="decimal"/>
      <w:lvlText w:val="%7."/>
      <w:lvlJc w:val="left"/>
      <w:pPr>
        <w:tabs>
          <w:tab w:val="left" w:pos="2880"/>
        </w:tabs>
        <w:ind w:left="2880" w:hanging="360"/>
      </w:pPr>
    </w:lvl>
    <w:lvl w:ilvl="7" w:tentative="0">
      <w:start w:val="1"/>
      <w:numFmt w:val="decimal"/>
      <w:lvlText w:val="%8."/>
      <w:lvlJc w:val="left"/>
      <w:pPr>
        <w:tabs>
          <w:tab w:val="left" w:pos="3240"/>
        </w:tabs>
        <w:ind w:left="3240" w:hanging="360"/>
      </w:pPr>
    </w:lvl>
    <w:lvl w:ilvl="8" w:tentative="0">
      <w:start w:val="1"/>
      <w:numFmt w:val="decimal"/>
      <w:lvlText w:val="%9."/>
      <w:lvlJc w:val="left"/>
      <w:pPr>
        <w:tabs>
          <w:tab w:val="left" w:pos="3600"/>
        </w:tabs>
        <w:ind w:left="360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7"/>
  <w:documentProtection w:enforcement="0"/>
  <w:defaultTabStop w:val="720"/>
  <w:autoHyphenation/>
  <w:hyphenationZone w:val="0"/>
  <w:footnotePr>
    <w:footnote w:id="0"/>
    <w:footnote w:id="1"/>
  </w:footnotePr>
  <w:endnotePr>
    <w:endnote w:id="0"/>
    <w:endnote w:id="1"/>
  </w:endnotePr>
  <w:compat>
    <w:doNotExpandShiftReturn/>
    <w:compatSetting w:name="compatibilityMode" w:uri="http://schemas.microsoft.com/office/word" w:val="15"/>
  </w:compat>
  <w:rsids>
    <w:rsidRoot w:val="00000000"/>
    <w:rsid w:val="001414AE"/>
  </w:rsids>
  <m:mathPr>
    <m:brkBin m:val="before"/>
    <m:brkBinSub m:val="--"/>
    <m:smallFrac m:val="0"/>
    <m:dispDef/>
    <m:lMargin m:val="0"/>
    <m:rMargin m:val="0"/>
    <m:defJc m:val="centerGroup"/>
    <m:wrapIndent m:val="1440"/>
    <m:intLim m:val="subSup"/>
    <m:naryLim m:val="undOvr"/>
  </m:mathPr>
  <w:themeFontLang w:val="en-US" w:eastAsia="zh-CN" w:bidi="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nhideWhenUsed="0" w:uiPriority="0"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suppressAutoHyphens/>
      <w:bidi w:val="0"/>
      <w:spacing w:before="0" w:after="0" w:line="276" w:lineRule="auto"/>
      <w:jc w:val="left"/>
    </w:pPr>
    <w:rPr>
      <w:rFonts w:ascii="Arial" w:hAnsi="Arial" w:eastAsia="Arial" w:cs="Arial"/>
      <w:color w:val="auto"/>
      <w:kern w:val="0"/>
      <w:sz w:val="22"/>
      <w:szCs w:val="22"/>
      <w:lang w:val="zh-CN" w:eastAsia="zh-CN" w:bidi="hi-IN"/>
    </w:rPr>
  </w:style>
  <w:style w:type="paragraph" w:styleId="2">
    <w:name w:val="heading 1"/>
    <w:basedOn w:val="1"/>
    <w:next w:val="1"/>
    <w:qFormat/>
    <w:uiPriority w:val="0"/>
    <w:pPr>
      <w:keepNext/>
      <w:keepLines/>
      <w:spacing w:before="0" w:after="200" w:line="360" w:lineRule="auto"/>
      <w:jc w:val="both"/>
    </w:pPr>
    <w:rPr>
      <w:rFonts w:ascii="Times New Roman" w:hAnsi="Times New Roman" w:eastAsia="Times New Roman" w:cs="Times New Roman"/>
      <w:b/>
      <w:sz w:val="24"/>
      <w:szCs w:val="24"/>
    </w:rPr>
  </w:style>
  <w:style w:type="paragraph" w:styleId="3">
    <w:name w:val="heading 2"/>
    <w:basedOn w:val="1"/>
    <w:next w:val="1"/>
    <w:qFormat/>
    <w:uiPriority w:val="0"/>
    <w:pPr>
      <w:keepNext/>
      <w:keepLines/>
      <w:spacing w:before="0" w:after="200" w:line="360" w:lineRule="auto"/>
      <w:jc w:val="both"/>
    </w:pPr>
    <w:rPr>
      <w:rFonts w:ascii="Times New Roman" w:hAnsi="Times New Roman" w:eastAsia="Times New Roman" w:cs="Times New Roman"/>
      <w:b/>
      <w:sz w:val="24"/>
      <w:szCs w:val="24"/>
    </w:rPr>
  </w:style>
  <w:style w:type="paragraph" w:styleId="4">
    <w:name w:val="heading 3"/>
    <w:basedOn w:val="1"/>
    <w:next w:val="1"/>
    <w:qFormat/>
    <w:uiPriority w:val="0"/>
    <w:pPr>
      <w:keepNext/>
      <w:keepLines/>
      <w:pageBreakBefore w:val="0"/>
      <w:spacing w:before="320" w:after="80"/>
    </w:pPr>
    <w:rPr>
      <w:color w:val="434343"/>
      <w:sz w:val="28"/>
      <w:szCs w:val="28"/>
    </w:rPr>
  </w:style>
  <w:style w:type="paragraph" w:styleId="5">
    <w:name w:val="heading 4"/>
    <w:basedOn w:val="1"/>
    <w:next w:val="1"/>
    <w:qFormat/>
    <w:uiPriority w:val="0"/>
    <w:pPr>
      <w:keepNext/>
      <w:keepLines/>
      <w:pageBreakBefore w:val="0"/>
      <w:spacing w:before="280" w:after="80"/>
    </w:pPr>
    <w:rPr>
      <w:color w:val="666666"/>
      <w:sz w:val="24"/>
      <w:szCs w:val="24"/>
    </w:rPr>
  </w:style>
  <w:style w:type="paragraph" w:styleId="6">
    <w:name w:val="heading 5"/>
    <w:basedOn w:val="1"/>
    <w:next w:val="1"/>
    <w:qFormat/>
    <w:uiPriority w:val="0"/>
    <w:pPr>
      <w:keepNext/>
      <w:keepLines/>
      <w:pageBreakBefore w:val="0"/>
      <w:spacing w:before="240" w:after="80"/>
    </w:pPr>
    <w:rPr>
      <w:color w:val="666666"/>
      <w:sz w:val="22"/>
      <w:szCs w:val="22"/>
    </w:rPr>
  </w:style>
  <w:style w:type="paragraph" w:styleId="7">
    <w:name w:val="heading 6"/>
    <w:basedOn w:val="1"/>
    <w:next w:val="1"/>
    <w:qFormat/>
    <w:uiPriority w:val="0"/>
    <w:pPr>
      <w:keepNext/>
      <w:keepLines/>
      <w:pageBreakBefore w:val="0"/>
      <w:spacing w:before="240" w:after="80"/>
    </w:pPr>
    <w:rPr>
      <w:i/>
      <w:color w:val="666666"/>
      <w:sz w:val="22"/>
      <w:szCs w:val="22"/>
    </w:rPr>
  </w:style>
  <w:style w:type="character" w:default="1" w:styleId="8">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10">
    <w:name w:val="Body Text"/>
    <w:basedOn w:val="1"/>
    <w:uiPriority w:val="0"/>
    <w:pPr>
      <w:spacing w:before="0" w:after="140" w:line="276" w:lineRule="auto"/>
    </w:pPr>
  </w:style>
  <w:style w:type="paragraph" w:styleId="11">
    <w:name w:val="caption"/>
    <w:basedOn w:val="1"/>
    <w:qFormat/>
    <w:uiPriority w:val="0"/>
    <w:pPr>
      <w:suppressLineNumbers/>
      <w:spacing w:before="120" w:after="120"/>
    </w:pPr>
    <w:rPr>
      <w:rFonts w:cs="Arial"/>
      <w:i/>
      <w:iCs/>
      <w:sz w:val="24"/>
      <w:szCs w:val="24"/>
    </w:rPr>
  </w:style>
  <w:style w:type="character" w:styleId="12">
    <w:name w:val="Emphasis"/>
    <w:qFormat/>
    <w:uiPriority w:val="0"/>
    <w:rPr>
      <w:i/>
      <w:iCs/>
    </w:rPr>
  </w:style>
  <w:style w:type="character" w:styleId="13">
    <w:name w:val="FollowedHyperlink"/>
    <w:uiPriority w:val="0"/>
    <w:rPr>
      <w:color w:val="800000"/>
      <w:u w:val="single"/>
    </w:rPr>
  </w:style>
  <w:style w:type="paragraph" w:styleId="14">
    <w:name w:val="footer"/>
    <w:basedOn w:val="15"/>
    <w:uiPriority w:val="0"/>
  </w:style>
  <w:style w:type="paragraph" w:customStyle="1" w:styleId="15">
    <w:name w:val="Header and Footer"/>
    <w:basedOn w:val="1"/>
    <w:qFormat/>
    <w:uiPriority w:val="0"/>
  </w:style>
  <w:style w:type="paragraph" w:styleId="16">
    <w:name w:val="header"/>
    <w:basedOn w:val="15"/>
    <w:qFormat/>
    <w:uiPriority w:val="0"/>
  </w:style>
  <w:style w:type="character" w:styleId="17">
    <w:name w:val="Hyperlink"/>
    <w:uiPriority w:val="0"/>
    <w:rPr>
      <w:color w:val="000080"/>
      <w:u w:val="single"/>
    </w:rPr>
  </w:style>
  <w:style w:type="paragraph" w:styleId="18">
    <w:name w:val="List"/>
    <w:basedOn w:val="10"/>
    <w:uiPriority w:val="0"/>
    <w:rPr>
      <w:rFonts w:cs="Arial"/>
    </w:rPr>
  </w:style>
  <w:style w:type="character" w:styleId="19">
    <w:name w:val="Strong"/>
    <w:qFormat/>
    <w:uiPriority w:val="0"/>
    <w:rPr>
      <w:b/>
      <w:bCs/>
    </w:rPr>
  </w:style>
  <w:style w:type="paragraph" w:styleId="20">
    <w:name w:val="Subtitle"/>
    <w:basedOn w:val="1"/>
    <w:next w:val="1"/>
    <w:qFormat/>
    <w:uiPriority w:val="0"/>
    <w:pPr>
      <w:keepNext/>
      <w:keepLines/>
      <w:pageBreakBefore w:val="0"/>
      <w:spacing w:before="0" w:after="320"/>
    </w:pPr>
    <w:rPr>
      <w:rFonts w:ascii="Arial" w:hAnsi="Arial" w:eastAsia="Arial" w:cs="Arial"/>
      <w:color w:val="666666"/>
      <w:sz w:val="30"/>
      <w:szCs w:val="30"/>
    </w:rPr>
  </w:style>
  <w:style w:type="paragraph" w:styleId="21">
    <w:name w:val="Title"/>
    <w:basedOn w:val="1"/>
    <w:next w:val="1"/>
    <w:qFormat/>
    <w:uiPriority w:val="0"/>
    <w:pPr>
      <w:keepNext/>
      <w:keepLines/>
      <w:pageBreakBefore w:val="0"/>
      <w:spacing w:before="0" w:after="60"/>
    </w:pPr>
    <w:rPr>
      <w:sz w:val="52"/>
      <w:szCs w:val="52"/>
    </w:rPr>
  </w:style>
  <w:style w:type="character" w:customStyle="1" w:styleId="22">
    <w:name w:val="Index Link"/>
    <w:qFormat/>
    <w:uiPriority w:val="0"/>
  </w:style>
  <w:style w:type="character" w:customStyle="1" w:styleId="23">
    <w:name w:val="Footnote Characters (user)"/>
    <w:qFormat/>
    <w:uiPriority w:val="0"/>
  </w:style>
  <w:style w:type="character" w:customStyle="1" w:styleId="24">
    <w:name w:val="Endnote Characters (user)"/>
    <w:qFormat/>
    <w:uiPriority w:val="0"/>
  </w:style>
  <w:style w:type="character" w:customStyle="1" w:styleId="25">
    <w:name w:val="Bullets"/>
    <w:qFormat/>
    <w:uiPriority w:val="0"/>
    <w:rPr>
      <w:rFonts w:ascii="OpenSymbol" w:hAnsi="OpenSymbol" w:eastAsia="OpenSymbol" w:cs="OpenSymbol"/>
    </w:rPr>
  </w:style>
  <w:style w:type="character" w:customStyle="1" w:styleId="26">
    <w:name w:val="Bullets (user)"/>
    <w:qFormat/>
    <w:uiPriority w:val="0"/>
    <w:rPr>
      <w:rFonts w:ascii="OpenSymbol" w:hAnsi="OpenSymbol" w:eastAsia="OpenSymbol" w:cs="OpenSymbol"/>
    </w:rPr>
  </w:style>
  <w:style w:type="character" w:customStyle="1" w:styleId="27">
    <w:name w:val="Numbering Symbols"/>
    <w:qFormat/>
    <w:uiPriority w:val="0"/>
  </w:style>
  <w:style w:type="paragraph" w:customStyle="1" w:styleId="28">
    <w:name w:val="Heading"/>
    <w:basedOn w:val="1"/>
    <w:next w:val="10"/>
    <w:qFormat/>
    <w:uiPriority w:val="0"/>
    <w:pPr>
      <w:keepNext/>
      <w:spacing w:before="240" w:after="120"/>
    </w:pPr>
    <w:rPr>
      <w:rFonts w:ascii="Liberation Sans" w:hAnsi="Liberation Sans" w:eastAsia="Microsoft YaHei" w:cs="Arial"/>
      <w:sz w:val="28"/>
      <w:szCs w:val="28"/>
    </w:rPr>
  </w:style>
  <w:style w:type="paragraph" w:customStyle="1" w:styleId="29">
    <w:name w:val="Index"/>
    <w:basedOn w:val="1"/>
    <w:qFormat/>
    <w:uiPriority w:val="0"/>
    <w:pPr>
      <w:suppressLineNumbers/>
    </w:pPr>
    <w:rPr>
      <w:rFonts w:cs="Arial"/>
    </w:rPr>
  </w:style>
  <w:style w:type="paragraph" w:customStyle="1" w:styleId="30">
    <w:name w:val="List Contents"/>
    <w:basedOn w:val="1"/>
    <w:qFormat/>
    <w:uiPriority w:val="0"/>
    <w:pPr>
      <w:ind w:left="567"/>
    </w:pPr>
  </w:style>
  <w:style w:type="paragraph" w:customStyle="1" w:styleId="31">
    <w:name w:val="normal1"/>
    <w:qFormat/>
    <w:uiPriority w:val="0"/>
    <w:pPr>
      <w:widowControl/>
      <w:suppressAutoHyphens/>
      <w:bidi w:val="0"/>
      <w:spacing w:before="0" w:after="160" w:line="259" w:lineRule="auto"/>
      <w:jc w:val="left"/>
    </w:pPr>
    <w:rPr>
      <w:rFonts w:ascii="Times New Roman" w:hAnsi="Times New Roman" w:eastAsia="SimSun" w:cs="Times New Roman"/>
      <w:color w:val="auto"/>
      <w:kern w:val="0"/>
      <w:sz w:val="20"/>
      <w:szCs w:val="20"/>
      <w:lang w:val="en-US" w:eastAsia="zh-CN" w:bidi="hi-IN"/>
    </w:rPr>
  </w:style>
  <w:style w:type="paragraph" w:customStyle="1" w:styleId="32">
    <w:name w:val="normal2"/>
    <w:qFormat/>
    <w:uiPriority w:val="0"/>
    <w:pPr>
      <w:widowControl/>
      <w:suppressAutoHyphens/>
      <w:bidi w:val="0"/>
      <w:spacing w:before="0" w:after="0" w:line="276" w:lineRule="auto"/>
      <w:jc w:val="left"/>
    </w:pPr>
    <w:rPr>
      <w:rFonts w:ascii="Times New Roman" w:hAnsi="Times New Roman" w:eastAsia="SimSun" w:cs="Times New Roman"/>
      <w:color w:val="auto"/>
      <w:kern w:val="0"/>
      <w:sz w:val="20"/>
      <w:szCs w:val="20"/>
      <w:lang w:val="en-US" w:eastAsia="zh-CN" w:bidi="hi-IN"/>
    </w:rPr>
  </w:style>
  <w:style w:type="paragraph" w:customStyle="1" w:styleId="33">
    <w:name w:val="Table Contents"/>
    <w:basedOn w:val="1"/>
    <w:qFormat/>
    <w:uiPriority w:val="0"/>
    <w:pPr>
      <w:widowControl w:val="0"/>
      <w:suppressLineNumbers/>
    </w:pPr>
  </w:style>
  <w:style w:type="paragraph" w:customStyle="1" w:styleId="34">
    <w:name w:val="Table Heading"/>
    <w:basedOn w:val="33"/>
    <w:qFormat/>
    <w:uiPriority w:val="0"/>
    <w:pPr>
      <w:suppressLineNumbers/>
      <w:jc w:val="center"/>
    </w:pPr>
    <w:rPr>
      <w:b/>
      <w:bCs/>
    </w:rPr>
  </w:style>
  <w:style w:type="paragraph" w:customStyle="1" w:styleId="35">
    <w:name w:val="Normal11"/>
    <w:qFormat/>
    <w:uiPriority w:val="0"/>
    <w:pPr>
      <w:widowControl/>
      <w:suppressAutoHyphens/>
      <w:bidi w:val="0"/>
      <w:spacing w:before="0" w:after="0" w:line="276" w:lineRule="auto"/>
      <w:jc w:val="left"/>
    </w:pPr>
    <w:rPr>
      <w:rFonts w:ascii="Times New Roman" w:hAnsi="Times New Roman" w:eastAsia="SimSun" w:cs="Times New Roman"/>
      <w:color w:val="auto"/>
      <w:kern w:val="0"/>
      <w:sz w:val="20"/>
      <w:szCs w:val="20"/>
      <w:lang w:val="en-US" w:eastAsia="zh-CN" w:bidi="hi-IN"/>
    </w:rPr>
  </w:style>
  <w:style w:type="table" w:customStyle="1" w:styleId="36">
    <w:name w:val="TableNormal"/>
    <w:qFormat/>
    <w:uiPriority w:val="0"/>
  </w:style>
  <w:style w:type="table" w:customStyle="1" w:styleId="37">
    <w:name w:val="_Style 10"/>
    <w:basedOn w:val="36"/>
    <w:qFormat/>
    <w:uiPriority w:val="0"/>
    <w:pPr>
      <w:spacing w:after="0" w:line="240" w:lineRule="auto"/>
    </w:pPr>
    <w:tblPr>
      <w:tblCellMar>
        <w:top w:w="0" w:type="dxa"/>
        <w:left w:w="108" w:type="dxa"/>
        <w:bottom w:w="0" w:type="dxa"/>
        <w:right w:w="108" w:type="dxa"/>
      </w:tblCellMar>
    </w:tblPr>
  </w:style>
  <w:style w:type="table" w:customStyle="1" w:styleId="38">
    <w:name w:val="_Style 11"/>
    <w:basedOn w:val="36"/>
    <w:qFormat/>
    <w:uiPriority w:val="0"/>
    <w:tblPr>
      <w:tblCellMar>
        <w:top w:w="100" w:type="dxa"/>
        <w:left w:w="100" w:type="dxa"/>
        <w:bottom w:w="100" w:type="dxa"/>
        <w:right w:w="100" w:type="dxa"/>
      </w:tblCellMar>
    </w:tblPr>
  </w:style>
  <w:style w:type="table" w:customStyle="1" w:styleId="39">
    <w:name w:val="_Style 12"/>
    <w:basedOn w:val="36"/>
    <w:qFormat/>
    <w:uiPriority w:val="0"/>
    <w:tblPr>
      <w:tblCellMar>
        <w:top w:w="100" w:type="dxa"/>
        <w:left w:w="100" w:type="dxa"/>
        <w:bottom w:w="100" w:type="dxa"/>
        <w:right w:w="100" w:type="dxa"/>
      </w:tblCellMar>
    </w:tblPr>
  </w:style>
  <w:style w:type="table" w:customStyle="1" w:styleId="40">
    <w:name w:val="_Style 13"/>
    <w:basedOn w:val="36"/>
    <w:qFormat/>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6" Type="http://schemas.openxmlformats.org/officeDocument/2006/relationships/fontTable" Target="fontTable.xml"/><Relationship Id="rId25" Type="http://schemas.openxmlformats.org/officeDocument/2006/relationships/numbering" Target="numbering.xml"/><Relationship Id="rId24" Type="http://schemas.openxmlformats.org/officeDocument/2006/relationships/image" Target="media/image14.png"/><Relationship Id="rId23" Type="http://schemas.openxmlformats.org/officeDocument/2006/relationships/image" Target="media/image13.png"/><Relationship Id="rId22" Type="http://schemas.openxmlformats.org/officeDocument/2006/relationships/image" Target="media/image12.png"/><Relationship Id="rId21" Type="http://schemas.openxmlformats.org/officeDocument/2006/relationships/image" Target="media/image11.png"/><Relationship Id="rId20" Type="http://schemas.openxmlformats.org/officeDocument/2006/relationships/image" Target="media/image10.png"/><Relationship Id="rId2" Type="http://schemas.openxmlformats.org/officeDocument/2006/relationships/settings" Target="settings.xml"/><Relationship Id="rId19" Type="http://schemas.openxmlformats.org/officeDocument/2006/relationships/image" Target="media/image9.png"/><Relationship Id="rId18" Type="http://schemas.openxmlformats.org/officeDocument/2006/relationships/image" Target="media/image8.png"/><Relationship Id="rId17" Type="http://schemas.openxmlformats.org/officeDocument/2006/relationships/image" Target="media/image7.png"/><Relationship Id="rId16" Type="http://schemas.openxmlformats.org/officeDocument/2006/relationships/image" Target="media/image6.png"/><Relationship Id="rId15" Type="http://schemas.openxmlformats.org/officeDocument/2006/relationships/image" Target="media/image5.jpeg"/><Relationship Id="rId14"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2.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na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33</Pages>
  <Words>6014</Words>
  <Characters>40028</Characters>
  <Paragraphs>253</Paragraphs>
  <TotalTime>4</TotalTime>
  <ScaleCrop>false</ScaleCrop>
  <LinksUpToDate>false</LinksUpToDate>
  <CharactersWithSpaces>45898</CharactersWithSpaces>
  <Application>WPS Office_12.1.0.28032_F1E327BC-269C-435d-A152-05C5408002CA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2025-11-04T08:13:00Z</dcterms:created>
  <dc:creator>dasdi</dc:creator>
  <cp:lastModifiedBy>WPS_1778156025</cp:lastModifiedBy>
  <dcterms:modified xsi:type="dcterms:W3CDTF">2026-08-13T12:27:22Z</dcterms:modified>
  <cp:revision>1562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1033-12.1.0.28032</vt:lpwstr>
  </property>
  <property fmtid="{D5CDD505-2E9C-101B-9397-08002B2CF9AE}" pid="4" name="KSOTemplateDocerSaveRecord">
    <vt:lpwstr>eyJoZGlkIjoiNmNjZTM1MDFjMzExNDU2NzczODQ3N2YzYWY2MmYxMWEiLCJ1c2VySWQiOiIzODQ4MjkyMDYzODE2In0=</vt:lpwstr>
  </property>
</Properties>
</file>