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4D759" w14:textId="77777777" w:rsidR="0039323D" w:rsidRDefault="0039323D" w:rsidP="00E15E24">
      <w:pPr>
        <w:spacing w:after="240" w:line="360" w:lineRule="auto"/>
        <w:jc w:val="center"/>
        <w:rPr>
          <w:b/>
          <w:bCs/>
          <w:color w:val="444444"/>
        </w:rPr>
      </w:pPr>
    </w:p>
    <w:p w14:paraId="3AD4C9D2" w14:textId="77777777" w:rsidR="0039323D" w:rsidRDefault="0039323D" w:rsidP="00E15E24">
      <w:pPr>
        <w:spacing w:after="240" w:line="360" w:lineRule="auto"/>
        <w:jc w:val="center"/>
        <w:rPr>
          <w:b/>
          <w:bCs/>
          <w:color w:val="444444"/>
        </w:rPr>
      </w:pPr>
    </w:p>
    <w:p w14:paraId="4E8C41A2" w14:textId="77777777" w:rsidR="0039323D" w:rsidRDefault="0039323D" w:rsidP="00E15E24">
      <w:pPr>
        <w:spacing w:after="240" w:line="360" w:lineRule="auto"/>
        <w:jc w:val="center"/>
        <w:rPr>
          <w:b/>
          <w:bCs/>
          <w:color w:val="444444"/>
        </w:rPr>
      </w:pPr>
    </w:p>
    <w:p w14:paraId="24F21B63" w14:textId="77777777" w:rsidR="0039323D" w:rsidRDefault="0039323D" w:rsidP="00E15E24">
      <w:pPr>
        <w:spacing w:after="240" w:line="360" w:lineRule="auto"/>
        <w:jc w:val="center"/>
        <w:rPr>
          <w:b/>
          <w:bCs/>
          <w:color w:val="444444"/>
        </w:rPr>
      </w:pPr>
    </w:p>
    <w:p w14:paraId="5C021F37" w14:textId="40695BC3" w:rsidR="00E15E24" w:rsidRPr="0039323D" w:rsidRDefault="00E15E24" w:rsidP="00E15E24">
      <w:pPr>
        <w:spacing w:after="240" w:line="360" w:lineRule="auto"/>
        <w:jc w:val="center"/>
        <w:rPr>
          <w:sz w:val="28"/>
          <w:szCs w:val="28"/>
        </w:rPr>
      </w:pPr>
      <w:r w:rsidRPr="0039323D">
        <w:rPr>
          <w:b/>
          <w:bCs/>
          <w:color w:val="444444"/>
          <w:sz w:val="28"/>
          <w:szCs w:val="28"/>
        </w:rPr>
        <w:t>Module:</w:t>
      </w:r>
      <w:r w:rsidRPr="0039323D">
        <w:rPr>
          <w:color w:val="444444"/>
          <w:sz w:val="28"/>
          <w:szCs w:val="28"/>
        </w:rPr>
        <w:t xml:space="preserve"> </w:t>
      </w:r>
      <w:proofErr w:type="gramStart"/>
      <w:r w:rsidR="0039323D" w:rsidRPr="0039323D">
        <w:rPr>
          <w:color w:val="444444"/>
          <w:sz w:val="28"/>
          <w:szCs w:val="28"/>
        </w:rPr>
        <w:t>Changemakers</w:t>
      </w:r>
      <w:proofErr w:type="gramEnd"/>
      <w:r w:rsidR="00C2483A" w:rsidRPr="0039323D">
        <w:rPr>
          <w:color w:val="444444"/>
          <w:sz w:val="28"/>
          <w:szCs w:val="28"/>
        </w:rPr>
        <w:t xml:space="preserve"> Creativity &amp; Value Creation </w:t>
      </w:r>
    </w:p>
    <w:p w14:paraId="58747784" w14:textId="208C7392" w:rsidR="00E15E24" w:rsidRPr="0039323D" w:rsidRDefault="00E15E24" w:rsidP="00E15E24">
      <w:pPr>
        <w:spacing w:after="240" w:line="360" w:lineRule="auto"/>
        <w:jc w:val="center"/>
        <w:rPr>
          <w:sz w:val="28"/>
          <w:szCs w:val="28"/>
        </w:rPr>
      </w:pPr>
      <w:r w:rsidRPr="0039323D">
        <w:rPr>
          <w:b/>
          <w:bCs/>
          <w:color w:val="444444"/>
          <w:sz w:val="28"/>
          <w:szCs w:val="28"/>
        </w:rPr>
        <w:t>Module Code:</w:t>
      </w:r>
      <w:r w:rsidRPr="0039323D">
        <w:rPr>
          <w:color w:val="444444"/>
          <w:sz w:val="28"/>
          <w:szCs w:val="28"/>
        </w:rPr>
        <w:t xml:space="preserve"> BMHP5</w:t>
      </w:r>
      <w:r w:rsidR="009271A4" w:rsidRPr="0039323D">
        <w:rPr>
          <w:color w:val="444444"/>
          <w:sz w:val="28"/>
          <w:szCs w:val="28"/>
        </w:rPr>
        <w:t>014</w:t>
      </w:r>
    </w:p>
    <w:p w14:paraId="0719EA6F" w14:textId="0504105F" w:rsidR="00E15E24" w:rsidRPr="0039323D" w:rsidRDefault="00E15E24" w:rsidP="00E15E24">
      <w:pPr>
        <w:spacing w:after="240" w:line="360" w:lineRule="auto"/>
        <w:jc w:val="center"/>
        <w:rPr>
          <w:sz w:val="28"/>
          <w:szCs w:val="28"/>
        </w:rPr>
      </w:pPr>
      <w:r w:rsidRPr="0039323D">
        <w:rPr>
          <w:i/>
          <w:iCs/>
          <w:color w:val="555555"/>
          <w:sz w:val="28"/>
          <w:szCs w:val="28"/>
        </w:rPr>
        <w:t xml:space="preserve">Component 2: </w:t>
      </w:r>
      <w:r w:rsidR="007839E2" w:rsidRPr="0039323D">
        <w:rPr>
          <w:i/>
          <w:iCs/>
          <w:color w:val="555555"/>
          <w:sz w:val="28"/>
          <w:szCs w:val="28"/>
        </w:rPr>
        <w:t>Written Assignment (Report)</w:t>
      </w:r>
    </w:p>
    <w:p w14:paraId="084351E2" w14:textId="77777777" w:rsidR="00E15E24" w:rsidRPr="0039323D" w:rsidRDefault="00E15E24" w:rsidP="00E15E24">
      <w:pPr>
        <w:spacing w:after="240" w:line="360" w:lineRule="auto"/>
        <w:jc w:val="center"/>
        <w:rPr>
          <w:sz w:val="28"/>
          <w:szCs w:val="28"/>
        </w:rPr>
      </w:pPr>
      <w:r w:rsidRPr="0039323D">
        <w:rPr>
          <w:b/>
          <w:bCs/>
          <w:sz w:val="28"/>
          <w:szCs w:val="28"/>
        </w:rPr>
        <w:tab/>
        <w:t>Student Name:</w:t>
      </w:r>
      <w:r w:rsidRPr="0039323D">
        <w:rPr>
          <w:sz w:val="28"/>
          <w:szCs w:val="28"/>
        </w:rPr>
        <w:t xml:space="preserve"> Ghazala Hussain</w:t>
      </w:r>
    </w:p>
    <w:p w14:paraId="19A90F5D" w14:textId="77777777" w:rsidR="00E15E24" w:rsidRPr="0039323D" w:rsidRDefault="00E15E24" w:rsidP="00E15E24">
      <w:pPr>
        <w:spacing w:line="360" w:lineRule="auto"/>
        <w:jc w:val="center"/>
        <w:rPr>
          <w:sz w:val="28"/>
          <w:szCs w:val="28"/>
        </w:rPr>
      </w:pPr>
      <w:r w:rsidRPr="0039323D">
        <w:rPr>
          <w:b/>
          <w:bCs/>
          <w:sz w:val="28"/>
          <w:szCs w:val="28"/>
        </w:rPr>
        <w:t>Student Number:</w:t>
      </w:r>
      <w:r w:rsidRPr="0039323D">
        <w:rPr>
          <w:sz w:val="28"/>
          <w:szCs w:val="28"/>
        </w:rPr>
        <w:t xml:space="preserve"> 2408113</w:t>
      </w:r>
    </w:p>
    <w:p w14:paraId="05BF2879" w14:textId="161D404F" w:rsidR="00E15E24" w:rsidRPr="0039323D" w:rsidRDefault="00E15E24" w:rsidP="00E15E24">
      <w:pPr>
        <w:spacing w:line="360" w:lineRule="auto"/>
        <w:jc w:val="center"/>
        <w:rPr>
          <w:sz w:val="28"/>
          <w:szCs w:val="28"/>
        </w:rPr>
      </w:pPr>
      <w:r w:rsidRPr="0039323D">
        <w:rPr>
          <w:b/>
          <w:bCs/>
          <w:sz w:val="28"/>
          <w:szCs w:val="28"/>
        </w:rPr>
        <w:t>Lecturer name:</w:t>
      </w:r>
      <w:r w:rsidRPr="0039323D">
        <w:rPr>
          <w:sz w:val="28"/>
          <w:szCs w:val="28"/>
        </w:rPr>
        <w:t xml:space="preserve"> </w:t>
      </w:r>
      <w:r w:rsidR="00825AF1" w:rsidRPr="0039323D">
        <w:rPr>
          <w:sz w:val="28"/>
          <w:szCs w:val="28"/>
        </w:rPr>
        <w:t xml:space="preserve">Tomy </w:t>
      </w:r>
      <w:proofErr w:type="spellStart"/>
      <w:r w:rsidR="00825AF1" w:rsidRPr="0039323D">
        <w:rPr>
          <w:sz w:val="28"/>
          <w:szCs w:val="28"/>
        </w:rPr>
        <w:t>Adattu</w:t>
      </w:r>
      <w:proofErr w:type="spellEnd"/>
    </w:p>
    <w:p w14:paraId="11805A97" w14:textId="733B6C9F" w:rsidR="00E15E24" w:rsidRPr="0039323D" w:rsidRDefault="00E15E24" w:rsidP="00E15E24">
      <w:pPr>
        <w:spacing w:line="360" w:lineRule="auto"/>
        <w:jc w:val="center"/>
        <w:rPr>
          <w:sz w:val="28"/>
          <w:szCs w:val="28"/>
        </w:rPr>
      </w:pPr>
      <w:r w:rsidRPr="0039323D">
        <w:rPr>
          <w:b/>
          <w:bCs/>
          <w:sz w:val="28"/>
          <w:szCs w:val="28"/>
        </w:rPr>
        <w:t>Module leader:</w:t>
      </w:r>
      <w:r w:rsidR="0039323D" w:rsidRPr="0039323D">
        <w:rPr>
          <w:b/>
          <w:bCs/>
          <w:sz w:val="28"/>
          <w:szCs w:val="28"/>
        </w:rPr>
        <w:t xml:space="preserve"> </w:t>
      </w:r>
      <w:r w:rsidR="0039323D" w:rsidRPr="0039323D">
        <w:rPr>
          <w:sz w:val="28"/>
          <w:szCs w:val="28"/>
        </w:rPr>
        <w:t>Parese Ahmed</w:t>
      </w:r>
    </w:p>
    <w:p w14:paraId="1CF205DC" w14:textId="159A502A" w:rsidR="009952ED" w:rsidRPr="003D221A" w:rsidRDefault="009952ED" w:rsidP="00D04A6F">
      <w:pPr>
        <w:jc w:val="center"/>
      </w:pPr>
    </w:p>
    <w:p w14:paraId="79B1E97F" w14:textId="77777777" w:rsidR="00D04A6F" w:rsidRPr="003D221A" w:rsidRDefault="00D04A6F">
      <w:r w:rsidRPr="003D221A">
        <w:br w:type="page"/>
      </w:r>
    </w:p>
    <w:p w14:paraId="3957A8FE" w14:textId="77777777" w:rsidR="00F47030" w:rsidRPr="003D221A" w:rsidRDefault="00F47030" w:rsidP="00F47030">
      <w:pPr>
        <w:spacing w:before="400" w:after="100"/>
        <w:jc w:val="center"/>
      </w:pPr>
      <w:r w:rsidRPr="003D221A">
        <w:rPr>
          <w:rFonts w:ascii="Arial" w:eastAsia="Arial" w:hAnsi="Arial" w:cs="Arial"/>
          <w:b/>
          <w:bCs/>
          <w:sz w:val="32"/>
          <w:szCs w:val="32"/>
        </w:rPr>
        <w:lastRenderedPageBreak/>
        <w:t>Elderly and Dementia Care in the UK:</w:t>
      </w:r>
    </w:p>
    <w:p w14:paraId="72FAFBDA" w14:textId="77777777" w:rsidR="00F47030" w:rsidRPr="003D221A" w:rsidRDefault="00F47030" w:rsidP="00F47030">
      <w:pPr>
        <w:spacing w:after="120"/>
        <w:jc w:val="center"/>
        <w:rPr>
          <w:rFonts w:ascii="Arial" w:eastAsia="Arial" w:hAnsi="Arial" w:cs="Arial"/>
          <w:b/>
          <w:bCs/>
          <w:sz w:val="26"/>
          <w:szCs w:val="26"/>
        </w:rPr>
      </w:pPr>
      <w:r w:rsidRPr="003D221A">
        <w:rPr>
          <w:rFonts w:ascii="Arial" w:eastAsia="Arial" w:hAnsi="Arial" w:cs="Arial"/>
          <w:b/>
          <w:bCs/>
          <w:sz w:val="26"/>
          <w:szCs w:val="26"/>
        </w:rPr>
        <w:t>Challenges, Innovations, and the Path to Person-</w:t>
      </w:r>
      <w:proofErr w:type="spellStart"/>
      <w:r w:rsidRPr="003D221A">
        <w:rPr>
          <w:rFonts w:ascii="Arial" w:eastAsia="Arial" w:hAnsi="Arial" w:cs="Arial"/>
          <w:b/>
          <w:bCs/>
          <w:sz w:val="26"/>
          <w:szCs w:val="26"/>
        </w:rPr>
        <w:t>Centred</w:t>
      </w:r>
      <w:proofErr w:type="spellEnd"/>
      <w:r w:rsidRPr="003D221A">
        <w:rPr>
          <w:rFonts w:ascii="Arial" w:eastAsia="Arial" w:hAnsi="Arial" w:cs="Arial"/>
          <w:b/>
          <w:bCs/>
          <w:sz w:val="26"/>
          <w:szCs w:val="26"/>
        </w:rPr>
        <w:t xml:space="preserve"> Care</w:t>
      </w:r>
    </w:p>
    <w:p w14:paraId="219CC366" w14:textId="77777777" w:rsidR="00F47030" w:rsidRPr="003D221A" w:rsidRDefault="00F47030" w:rsidP="00F47030">
      <w:pPr>
        <w:spacing w:after="120"/>
        <w:rPr>
          <w:rFonts w:ascii="Arial" w:eastAsia="Arial" w:hAnsi="Arial" w:cs="Arial"/>
          <w:b/>
          <w:bCs/>
          <w:sz w:val="26"/>
          <w:szCs w:val="26"/>
        </w:rPr>
      </w:pPr>
    </w:p>
    <w:p w14:paraId="1600D46F" w14:textId="77777777" w:rsidR="00F47030" w:rsidRPr="003D221A" w:rsidRDefault="00F47030" w:rsidP="00F47030">
      <w:pPr>
        <w:spacing w:after="120"/>
        <w:rPr>
          <w:rFonts w:ascii="Arial" w:eastAsia="Arial" w:hAnsi="Arial" w:cs="Arial"/>
          <w:b/>
          <w:bCs/>
          <w:sz w:val="26"/>
          <w:szCs w:val="26"/>
        </w:rPr>
      </w:pPr>
      <w:r w:rsidRPr="003D221A">
        <w:rPr>
          <w:rFonts w:ascii="Arial" w:eastAsia="Arial" w:hAnsi="Arial" w:cs="Arial"/>
          <w:b/>
          <w:bCs/>
          <w:sz w:val="26"/>
          <w:szCs w:val="26"/>
        </w:rPr>
        <w:t xml:space="preserve">Poster </w:t>
      </w:r>
    </w:p>
    <w:p w14:paraId="38E25887" w14:textId="77777777" w:rsidR="003D221A" w:rsidRPr="003D221A" w:rsidRDefault="005B3CB8" w:rsidP="00F47030">
      <w:pPr>
        <w:spacing w:after="120"/>
      </w:pPr>
      <w:r>
        <w:rPr>
          <w:noProof/>
        </w:rPr>
        <w:drawing>
          <wp:inline distT="0" distB="0" distL="0" distR="0" wp14:anchorId="032C725D" wp14:editId="585945A3">
            <wp:extent cx="5943600" cy="3323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23590"/>
                    </a:xfrm>
                    <a:prstGeom prst="rect">
                      <a:avLst/>
                    </a:prstGeom>
                  </pic:spPr>
                </pic:pic>
              </a:graphicData>
            </a:graphic>
          </wp:inline>
        </w:drawing>
      </w:r>
    </w:p>
    <w:p w14:paraId="5E6B0157" w14:textId="77777777" w:rsidR="003D221A" w:rsidRPr="003D221A" w:rsidRDefault="003D221A">
      <w:r w:rsidRPr="003D221A">
        <w:br w:type="page"/>
      </w:r>
    </w:p>
    <w:p w14:paraId="4A1F5FB0" w14:textId="77777777" w:rsidR="003D221A" w:rsidRPr="003D221A" w:rsidRDefault="003D221A" w:rsidP="003D221A">
      <w:pPr>
        <w:spacing w:after="120"/>
        <w:jc w:val="center"/>
        <w:rPr>
          <w:rFonts w:asciiTheme="minorBidi" w:hAnsiTheme="minorBidi"/>
          <w:b/>
          <w:bCs/>
        </w:rPr>
      </w:pPr>
      <w:r w:rsidRPr="003D221A">
        <w:rPr>
          <w:rFonts w:asciiTheme="minorBidi" w:hAnsiTheme="minorBidi"/>
          <w:b/>
          <w:bCs/>
        </w:rPr>
        <w:lastRenderedPageBreak/>
        <w:t>Pitch</w:t>
      </w:r>
    </w:p>
    <w:p w14:paraId="30A6D129" w14:textId="77777777" w:rsidR="003D221A" w:rsidRPr="003D221A" w:rsidRDefault="003D221A" w:rsidP="003D221A">
      <w:pPr>
        <w:spacing w:after="120" w:line="360" w:lineRule="auto"/>
        <w:jc w:val="both"/>
        <w:rPr>
          <w:rFonts w:asciiTheme="minorBidi" w:hAnsiTheme="minorBidi"/>
          <w:b/>
          <w:bCs/>
        </w:rPr>
      </w:pPr>
      <w:r w:rsidRPr="003D221A">
        <w:rPr>
          <w:rFonts w:asciiTheme="minorBidi" w:hAnsiTheme="minorBidi"/>
          <w:b/>
          <w:bCs/>
        </w:rPr>
        <w:t>Introduction</w:t>
      </w:r>
    </w:p>
    <w:p w14:paraId="0AB2CCCB" w14:textId="77777777" w:rsidR="00A96D94" w:rsidRDefault="00A96D94" w:rsidP="00A96D94">
      <w:pPr>
        <w:spacing w:after="120" w:line="360" w:lineRule="auto"/>
        <w:jc w:val="both"/>
        <w:rPr>
          <w:rFonts w:asciiTheme="minorBidi" w:hAnsiTheme="minorBidi"/>
        </w:rPr>
      </w:pPr>
      <w:r w:rsidRPr="00A96D94">
        <w:rPr>
          <w:rFonts w:asciiTheme="minorBidi" w:hAnsiTheme="minorBidi"/>
        </w:rPr>
        <w:t>Dementia is one of the significant challenges of health and social care in the 21st Century for the UK. The UK has approximately 982,000 people with dementia, which will rise to 1.4 million by 2040 (Alzheimer's Society 2024). It is more common in older people, and increases rapidly with age (Prince et al., 2014). Despite this, dementia care in the UK has been piecemeal and poorly funded, and not adequately targeted at the wide, evolving and varied needs of people living with dementia and their families (NHS England, 2023). It offers a picture of the problems with care of the elderly and dementia, outlines some evidence-based innovations and improvements, and proposes a paradigm shift with everyone involved</w:t>
      </w:r>
      <w:r>
        <w:rPr>
          <w:rFonts w:asciiTheme="minorBidi" w:hAnsiTheme="minorBidi"/>
        </w:rPr>
        <w:t>.</w:t>
      </w:r>
    </w:p>
    <w:p w14:paraId="08673262" w14:textId="77777777" w:rsidR="003D221A" w:rsidRPr="003D221A" w:rsidRDefault="003D221A" w:rsidP="00A96D94">
      <w:pPr>
        <w:spacing w:after="120" w:line="360" w:lineRule="auto"/>
        <w:jc w:val="both"/>
        <w:rPr>
          <w:rFonts w:asciiTheme="minorBidi" w:hAnsiTheme="minorBidi"/>
          <w:b/>
          <w:bCs/>
        </w:rPr>
      </w:pPr>
      <w:r w:rsidRPr="003D221A">
        <w:rPr>
          <w:rFonts w:asciiTheme="minorBidi" w:hAnsiTheme="minorBidi"/>
          <w:b/>
          <w:bCs/>
        </w:rPr>
        <w:t>The Issue: Gaps in Elderly and Dementia Care</w:t>
      </w:r>
    </w:p>
    <w:p w14:paraId="7A049AA3" w14:textId="77777777" w:rsidR="003D221A" w:rsidRPr="003D221A" w:rsidRDefault="003D221A" w:rsidP="003D221A">
      <w:pPr>
        <w:spacing w:after="120" w:line="360" w:lineRule="auto"/>
        <w:jc w:val="both"/>
        <w:rPr>
          <w:rFonts w:asciiTheme="minorBidi" w:hAnsiTheme="minorBidi"/>
        </w:rPr>
      </w:pPr>
      <w:r w:rsidRPr="003D221A">
        <w:rPr>
          <w:rFonts w:asciiTheme="minorBidi" w:hAnsiTheme="minorBidi"/>
        </w:rPr>
        <w:t>The issues to be addressed in caring for people with dementia are systemic. Thousands of people are living without the right support, care plans, and access to therapeutic interventions in a crucial time window of opportunity, on average, three years after symptoms first occur (NICE, 2018). However, post-diagnostic support is not delivered consistently – many people will receive little structured support after their initial diagnostic assessment (King's Fund, 2023). The Care Quality Commission (CQC, 2023) has noted continuing concerns about antipsychotics being overused in care homes, with estimates that 1 in 4 with dementia are receiving them, linked to the development of significant harm to the resident, such as increased risk of stroke and premature death. It is just as serious for unpaid carers. This is a period of overwhelming stress, when more than 60% of family carers, according to Carers UK (2022), face a point of burnout, and many face their own major physical and mental health challenges. At each layer, social isolation adds to these challenges; as shown by Holt-</w:t>
      </w:r>
      <w:proofErr w:type="spellStart"/>
      <w:r w:rsidRPr="003D221A">
        <w:rPr>
          <w:rFonts w:asciiTheme="minorBidi" w:hAnsiTheme="minorBidi"/>
        </w:rPr>
        <w:t>Lunstad</w:t>
      </w:r>
      <w:proofErr w:type="spellEnd"/>
      <w:r w:rsidRPr="003D221A">
        <w:rPr>
          <w:rFonts w:asciiTheme="minorBidi" w:hAnsiTheme="minorBidi"/>
        </w:rPr>
        <w:t xml:space="preserve"> et al. (2015), loneliness is a risk factor and has been linked to cognitive decline, and support groups and structured social engagement through the community remain under-resourced. The gaps are overlapping and are a crisis of humanity and a systemic one that needs urgent, innovative, and evidence-based answers.</w:t>
      </w:r>
    </w:p>
    <w:p w14:paraId="1DAD5288" w14:textId="77777777" w:rsidR="003D221A" w:rsidRPr="003D221A" w:rsidRDefault="003D221A" w:rsidP="003D221A">
      <w:pPr>
        <w:spacing w:after="120" w:line="360" w:lineRule="auto"/>
        <w:jc w:val="both"/>
        <w:rPr>
          <w:rFonts w:asciiTheme="minorBidi" w:hAnsiTheme="minorBidi"/>
          <w:b/>
          <w:bCs/>
        </w:rPr>
      </w:pPr>
      <w:r w:rsidRPr="003D221A">
        <w:rPr>
          <w:rFonts w:asciiTheme="minorBidi" w:hAnsiTheme="minorBidi"/>
          <w:b/>
          <w:bCs/>
        </w:rPr>
        <w:t>Target Population and Impact</w:t>
      </w:r>
    </w:p>
    <w:p w14:paraId="1D43F3DD" w14:textId="77777777" w:rsidR="003D221A" w:rsidRPr="003D221A" w:rsidRDefault="003D221A" w:rsidP="003D221A">
      <w:pPr>
        <w:spacing w:after="120" w:line="360" w:lineRule="auto"/>
        <w:jc w:val="both"/>
        <w:rPr>
          <w:rFonts w:asciiTheme="minorBidi" w:hAnsiTheme="minorBidi"/>
        </w:rPr>
      </w:pPr>
      <w:r w:rsidRPr="003D221A">
        <w:rPr>
          <w:rFonts w:asciiTheme="minorBidi" w:hAnsiTheme="minorBidi"/>
        </w:rPr>
        <w:t xml:space="preserve">Although there have been multiple groups identified as having an interest and a need to benefit from improved dementia care, the major groups are adults aged 65 years and over living with mild-to-moderate and severe dementia, their unpaid family caregivers, and the frontline care workforce. Other roles include care home careers, NHS memory clinic teams, social workers, occupational therapists, and community nurses. </w:t>
      </w:r>
    </w:p>
    <w:p w14:paraId="52EF3190" w14:textId="77777777" w:rsidR="003D221A" w:rsidRPr="003D221A" w:rsidRDefault="003D221A" w:rsidP="003D221A">
      <w:pPr>
        <w:spacing w:after="120" w:line="360" w:lineRule="auto"/>
        <w:jc w:val="both"/>
        <w:rPr>
          <w:rFonts w:asciiTheme="minorBidi" w:hAnsiTheme="minorBidi"/>
          <w:b/>
          <w:bCs/>
        </w:rPr>
      </w:pPr>
      <w:r w:rsidRPr="003D221A">
        <w:rPr>
          <w:rFonts w:asciiTheme="minorBidi" w:hAnsiTheme="minorBidi"/>
          <w:b/>
          <w:bCs/>
        </w:rPr>
        <w:lastRenderedPageBreak/>
        <w:t>Proposed Innovations and Solutions</w:t>
      </w:r>
    </w:p>
    <w:p w14:paraId="3D4D37B5" w14:textId="77777777" w:rsidR="003D221A" w:rsidRPr="003D221A" w:rsidRDefault="003D221A" w:rsidP="003D221A">
      <w:pPr>
        <w:spacing w:after="120" w:line="360" w:lineRule="auto"/>
        <w:jc w:val="both"/>
        <w:rPr>
          <w:rFonts w:asciiTheme="minorBidi" w:hAnsiTheme="minorBidi"/>
        </w:rPr>
      </w:pPr>
      <w:r w:rsidRPr="003D221A">
        <w:rPr>
          <w:rFonts w:asciiTheme="minorBidi" w:hAnsiTheme="minorBidi"/>
        </w:rPr>
        <w:t>Several related innovations have the potential to really change the way elderly and dementia care is undertaken in the UK. Firstly, the growth of technologically assisted monitoring is an opportunity. Wearables equipped with biosensors can continuously monitor physiological markers, including sleep quality, heart rate variability, and agitation, and provide real-time data alerts for caregivers and clinicians to act in a proactive manner instead of a reactive one. This is consistent with the disruptive innovation framework, outlined by Christensen et al. (2015, which highlights how the importance is placed on moving care away from specialist, high-cost environments to more accessible, lower-cost environments.</w:t>
      </w:r>
    </w:p>
    <w:p w14:paraId="565EDECA" w14:textId="5C0AF86F" w:rsidR="003D221A" w:rsidRPr="003D221A" w:rsidRDefault="003D221A" w:rsidP="003D221A">
      <w:pPr>
        <w:spacing w:after="120" w:line="360" w:lineRule="auto"/>
        <w:jc w:val="both"/>
        <w:rPr>
          <w:rFonts w:asciiTheme="minorBidi" w:hAnsiTheme="minorBidi"/>
        </w:rPr>
      </w:pPr>
      <w:r w:rsidRPr="003D221A">
        <w:rPr>
          <w:rFonts w:asciiTheme="minorBidi" w:hAnsiTheme="minorBidi"/>
        </w:rPr>
        <w:t xml:space="preserve">Secondly, digital care coordination platforms can transform </w:t>
      </w:r>
      <w:r w:rsidR="00381607" w:rsidRPr="003D221A">
        <w:rPr>
          <w:rFonts w:asciiTheme="minorBidi" w:hAnsiTheme="minorBidi"/>
        </w:rPr>
        <w:t>communication</w:t>
      </w:r>
      <w:r w:rsidRPr="003D221A">
        <w:rPr>
          <w:rFonts w:asciiTheme="minorBidi" w:hAnsiTheme="minorBidi"/>
        </w:rPr>
        <w:t xml:space="preserve"> among family members, care home staff, and health workers. Digital records, medication management, and secure family messaging portals prevent medication errors, minimize care fragmentation, and enhance the visibility and involvement of families in care. These tools to be used must meet UK GDPR, Data Protection Act 2018, and NHS Digital Standards to ensure that this health information is secure and protected. Third, the idea of providing genuine person-</w:t>
      </w:r>
      <w:r w:rsidR="0039323D" w:rsidRPr="003D221A">
        <w:rPr>
          <w:rFonts w:asciiTheme="minorBidi" w:hAnsiTheme="minorBidi"/>
        </w:rPr>
        <w:t>centered</w:t>
      </w:r>
      <w:r w:rsidRPr="003D221A">
        <w:rPr>
          <w:rFonts w:asciiTheme="minorBidi" w:hAnsiTheme="minorBidi"/>
        </w:rPr>
        <w:t xml:space="preserve"> care approaches needs to be systematized within all settings. Structured activity and psychological interventions should be used as first-line treatment to help manage the </w:t>
      </w:r>
      <w:r w:rsidR="00381607" w:rsidRPr="003D221A">
        <w:rPr>
          <w:rFonts w:asciiTheme="minorBidi" w:hAnsiTheme="minorBidi"/>
        </w:rPr>
        <w:t>behavioral</w:t>
      </w:r>
      <w:r w:rsidRPr="003D221A">
        <w:rPr>
          <w:rFonts w:asciiTheme="minorBidi" w:hAnsiTheme="minorBidi"/>
        </w:rPr>
        <w:t xml:space="preserve"> symptoms of dementia, in line with the recommendations of NICE Guideline NG97 (2018), but their use in care homes is variable. </w:t>
      </w:r>
    </w:p>
    <w:p w14:paraId="1095C287" w14:textId="53DFAD99" w:rsidR="003D221A" w:rsidRPr="003D221A" w:rsidRDefault="003D221A" w:rsidP="003D221A">
      <w:pPr>
        <w:spacing w:after="120" w:line="360" w:lineRule="auto"/>
        <w:jc w:val="both"/>
        <w:rPr>
          <w:rFonts w:asciiTheme="minorBidi" w:hAnsiTheme="minorBidi"/>
        </w:rPr>
      </w:pPr>
      <w:r w:rsidRPr="003D221A">
        <w:rPr>
          <w:rFonts w:asciiTheme="minorBidi" w:hAnsiTheme="minorBidi"/>
        </w:rPr>
        <w:t>All enhancements that can be made to dementia care should be based on the legal and regulatory framework in the United Kingdom. The Mental Capacity Act 2005 gives the basis for respecting the autonomy and decision-making rights of persons for whom it is possible that they may lack capacity (are unable to make decisions for themselves), and all decisions made about care are to be made in the person's best interests in the least restrictive manner. The Care Act 2014 calls for person-</w:t>
      </w:r>
      <w:r w:rsidR="00381607" w:rsidRPr="003D221A">
        <w:rPr>
          <w:rFonts w:asciiTheme="minorBidi" w:hAnsiTheme="minorBidi"/>
        </w:rPr>
        <w:t>centered</w:t>
      </w:r>
      <w:r w:rsidRPr="003D221A">
        <w:rPr>
          <w:rFonts w:asciiTheme="minorBidi" w:hAnsiTheme="minorBidi"/>
        </w:rPr>
        <w:t xml:space="preserve"> assessment, support planning, and career recognition. NHS England's Dementia Strategy for 2023 has national priorities for better diagnosis rates, better post-diagnosis support, and better health and social care integration. Whilst it is true to say that all digital health innovations need to be informed by the NHS AI Ethics Framework, they also require appropriate device registration with the Medicines and Healthcare products Regulatory Agency (MHRA) if applicable. Services provided range </w:t>
      </w:r>
      <w:r w:rsidR="00381607" w:rsidRPr="003D221A">
        <w:rPr>
          <w:rFonts w:asciiTheme="minorBidi" w:hAnsiTheme="minorBidi"/>
        </w:rPr>
        <w:t>from general practitioners, memory clinic consultants, mental health nurses, social workers, and dementia support workers</w:t>
      </w:r>
      <w:r w:rsidRPr="003D221A">
        <w:rPr>
          <w:rFonts w:asciiTheme="minorBidi" w:hAnsiTheme="minorBidi"/>
        </w:rPr>
        <w:t xml:space="preserve"> to occupational therapists, each of whom needs to work in a coordinated multidisciplinary manner to provide effective, holistic service.</w:t>
      </w:r>
    </w:p>
    <w:p w14:paraId="5C547208" w14:textId="77777777" w:rsidR="003D221A" w:rsidRPr="003D221A" w:rsidRDefault="003D221A" w:rsidP="003D221A">
      <w:pPr>
        <w:spacing w:after="120" w:line="360" w:lineRule="auto"/>
        <w:jc w:val="both"/>
        <w:rPr>
          <w:rFonts w:asciiTheme="minorBidi" w:hAnsiTheme="minorBidi"/>
          <w:b/>
          <w:bCs/>
        </w:rPr>
      </w:pPr>
      <w:r w:rsidRPr="003D221A">
        <w:rPr>
          <w:rFonts w:asciiTheme="minorBidi" w:hAnsiTheme="minorBidi"/>
          <w:b/>
          <w:bCs/>
        </w:rPr>
        <w:lastRenderedPageBreak/>
        <w:t>Public Involvement and Community Engagement</w:t>
      </w:r>
    </w:p>
    <w:p w14:paraId="2EA79791" w14:textId="0835A778" w:rsidR="00A96D94" w:rsidRDefault="00A96D94" w:rsidP="003D221A">
      <w:pPr>
        <w:spacing w:after="120" w:line="360" w:lineRule="auto"/>
        <w:jc w:val="both"/>
        <w:rPr>
          <w:rFonts w:asciiTheme="minorBidi" w:hAnsiTheme="minorBidi"/>
        </w:rPr>
      </w:pPr>
      <w:r w:rsidRPr="00A96D94">
        <w:rPr>
          <w:rFonts w:asciiTheme="minorBidi" w:hAnsiTheme="minorBidi"/>
        </w:rPr>
        <w:t xml:space="preserve">Achieving real progress in dementia care will only be possible if there is continued meaningful engagement of people affected by the disease. The principle of co-production is that services should be developed in collaboration with (not for) the people they are intended for (Boyle and Harris, 2009). The Alzheimer's Society's Dementia Friends programme has already reached and engaged over three million people in the UK through building dementia awareness and challenging the stigma of dementia to become ‘dementia </w:t>
      </w:r>
      <w:proofErr w:type="gramStart"/>
      <w:r w:rsidRPr="00A96D94">
        <w:rPr>
          <w:rFonts w:asciiTheme="minorBidi" w:hAnsiTheme="minorBidi"/>
        </w:rPr>
        <w:t>friends'</w:t>
      </w:r>
      <w:proofErr w:type="gramEnd"/>
      <w:r w:rsidRPr="00A96D94">
        <w:rPr>
          <w:rFonts w:asciiTheme="minorBidi" w:hAnsiTheme="minorBidi"/>
        </w:rPr>
        <w:t>. Enabling the expansion of community dementia hubs, peer support and social prescribing program</w:t>
      </w:r>
      <w:r w:rsidR="00381607">
        <w:rPr>
          <w:rFonts w:asciiTheme="minorBidi" w:hAnsiTheme="minorBidi"/>
        </w:rPr>
        <w:t>s</w:t>
      </w:r>
      <w:r w:rsidRPr="00A96D94">
        <w:rPr>
          <w:rFonts w:asciiTheme="minorBidi" w:hAnsiTheme="minorBidi"/>
        </w:rPr>
        <w:t xml:space="preserve"> </w:t>
      </w:r>
      <w:r w:rsidR="00381607" w:rsidRPr="00A96D94">
        <w:rPr>
          <w:rFonts w:asciiTheme="minorBidi" w:hAnsiTheme="minorBidi"/>
        </w:rPr>
        <w:t>help</w:t>
      </w:r>
      <w:r w:rsidRPr="00A96D94">
        <w:rPr>
          <w:rFonts w:asciiTheme="minorBidi" w:hAnsiTheme="minorBidi"/>
        </w:rPr>
        <w:t xml:space="preserve"> elevate dementia beyond clinical care and services to complement what supports individuals give to help them. Seeing social engagement as one of twelve modifiable dementia risk factors for onset and progression, in which community investment is important for public health (Livingston, 2020). Creating the public, supporting people who support others, and </w:t>
      </w:r>
      <w:r w:rsidR="00381607" w:rsidRPr="00A96D94">
        <w:rPr>
          <w:rFonts w:asciiTheme="minorBidi" w:hAnsiTheme="minorBidi"/>
        </w:rPr>
        <w:t>educating</w:t>
      </w:r>
      <w:r w:rsidRPr="00A96D94">
        <w:rPr>
          <w:rFonts w:asciiTheme="minorBidi" w:hAnsiTheme="minorBidi"/>
        </w:rPr>
        <w:t xml:space="preserve"> communities that understand dementia are key to any dementia care plan.</w:t>
      </w:r>
    </w:p>
    <w:p w14:paraId="6E6E5669" w14:textId="77777777" w:rsidR="003D221A" w:rsidRPr="003D221A" w:rsidRDefault="003D221A" w:rsidP="003D221A">
      <w:pPr>
        <w:spacing w:after="120" w:line="360" w:lineRule="auto"/>
        <w:jc w:val="both"/>
        <w:rPr>
          <w:rFonts w:asciiTheme="minorBidi" w:hAnsiTheme="minorBidi"/>
          <w:b/>
          <w:bCs/>
        </w:rPr>
      </w:pPr>
      <w:r w:rsidRPr="003D221A">
        <w:rPr>
          <w:rFonts w:asciiTheme="minorBidi" w:hAnsiTheme="minorBidi"/>
          <w:b/>
          <w:bCs/>
        </w:rPr>
        <w:t>Limitations and Ethical Considerations</w:t>
      </w:r>
    </w:p>
    <w:p w14:paraId="19F5F7F4" w14:textId="6184D38B" w:rsidR="003D221A" w:rsidRPr="003D221A" w:rsidRDefault="003D221A" w:rsidP="00A96D94">
      <w:pPr>
        <w:spacing w:after="120" w:line="360" w:lineRule="auto"/>
        <w:jc w:val="both"/>
        <w:rPr>
          <w:rFonts w:asciiTheme="minorBidi" w:hAnsiTheme="minorBidi"/>
        </w:rPr>
      </w:pPr>
      <w:r w:rsidRPr="003D221A">
        <w:rPr>
          <w:rFonts w:asciiTheme="minorBidi" w:hAnsiTheme="minorBidi"/>
        </w:rPr>
        <w:t xml:space="preserve">There are considerable limitations to improving dementia care. Technological solutions </w:t>
      </w:r>
      <w:r w:rsidR="00A96D94">
        <w:rPr>
          <w:rFonts w:asciiTheme="minorBidi" w:hAnsiTheme="minorBidi"/>
        </w:rPr>
        <w:t>may be limited in reaching older adults due to digital literacy issues, so</w:t>
      </w:r>
      <w:r w:rsidRPr="003D221A">
        <w:rPr>
          <w:rFonts w:asciiTheme="minorBidi" w:hAnsiTheme="minorBidi"/>
        </w:rPr>
        <w:t xml:space="preserve"> accessible design and support need to be provided for users. Monitoring that might fall into the category of 'surveillance' is a real issue for people with diminished capacity, as well as a privacy and consent issue, and these concerns need to be managed </w:t>
      </w:r>
      <w:r w:rsidR="00A96D94">
        <w:rPr>
          <w:rFonts w:asciiTheme="minorBidi" w:hAnsiTheme="minorBidi"/>
        </w:rPr>
        <w:t>through strong consent frameworks, supported by the Mental Capacity Act and independent ethical oversight</w:t>
      </w:r>
      <w:r w:rsidRPr="003D221A">
        <w:rPr>
          <w:rFonts w:asciiTheme="minorBidi" w:hAnsiTheme="minorBidi"/>
        </w:rPr>
        <w:t>. Structural barriers to the equitable implementation of improved care models include funding constraints in the NHS and budget pressures of local authorities (King's Fund, 2023). In addition, the social care worker shortage, high staff turnover, and lack of pay present the question of the sustainability of any person-</w:t>
      </w:r>
      <w:r w:rsidR="00381607" w:rsidRPr="003D221A">
        <w:rPr>
          <w:rFonts w:asciiTheme="minorBidi" w:hAnsiTheme="minorBidi"/>
        </w:rPr>
        <w:t>centered</w:t>
      </w:r>
      <w:r w:rsidRPr="003D221A">
        <w:rPr>
          <w:rFonts w:asciiTheme="minorBidi" w:hAnsiTheme="minorBidi"/>
        </w:rPr>
        <w:t xml:space="preserve"> approach. While these constraints should not lessen the need to reform, they must be recognized and addressed systematically, via a commitment to policy, investment, and ongoing workforce development.</w:t>
      </w:r>
    </w:p>
    <w:p w14:paraId="0C35FE39" w14:textId="77777777" w:rsidR="003D221A" w:rsidRPr="003D221A" w:rsidRDefault="003D221A">
      <w:pPr>
        <w:rPr>
          <w:rFonts w:asciiTheme="minorBidi" w:hAnsiTheme="minorBidi"/>
          <w:b/>
          <w:bCs/>
        </w:rPr>
      </w:pPr>
      <w:r w:rsidRPr="003D221A">
        <w:rPr>
          <w:rFonts w:asciiTheme="minorBidi" w:hAnsiTheme="minorBidi"/>
          <w:b/>
          <w:bCs/>
        </w:rPr>
        <w:br w:type="page"/>
      </w:r>
    </w:p>
    <w:p w14:paraId="0E667520" w14:textId="77777777" w:rsidR="003D221A" w:rsidRPr="003D221A" w:rsidRDefault="003D221A" w:rsidP="003D221A">
      <w:pPr>
        <w:spacing w:after="120" w:line="360" w:lineRule="auto"/>
        <w:jc w:val="both"/>
        <w:rPr>
          <w:rFonts w:asciiTheme="minorBidi" w:hAnsiTheme="minorBidi"/>
          <w:b/>
          <w:bCs/>
        </w:rPr>
      </w:pPr>
      <w:r w:rsidRPr="003D221A">
        <w:rPr>
          <w:rFonts w:asciiTheme="minorBidi" w:hAnsiTheme="minorBidi"/>
          <w:b/>
          <w:bCs/>
        </w:rPr>
        <w:lastRenderedPageBreak/>
        <w:t>Conclusion</w:t>
      </w:r>
    </w:p>
    <w:p w14:paraId="0BA80ABE" w14:textId="0645BE61" w:rsidR="003D221A" w:rsidRDefault="003D221A" w:rsidP="003D221A">
      <w:pPr>
        <w:spacing w:after="120" w:line="360" w:lineRule="auto"/>
        <w:jc w:val="both"/>
        <w:rPr>
          <w:rFonts w:asciiTheme="minorBidi" w:hAnsiTheme="minorBidi"/>
        </w:rPr>
      </w:pPr>
      <w:r w:rsidRPr="003D221A">
        <w:rPr>
          <w:rFonts w:asciiTheme="minorBidi" w:hAnsiTheme="minorBidi"/>
        </w:rPr>
        <w:t xml:space="preserve">The UK is facing a crossroads in tackling elderly and dementia care. The human and economic price of the current system's failures is massive and on the rise. However, research evidence supporting effective, innovative, and dignified care is strong. The UK has the potential to create a dementia care system that is fit for its people with a strong focus on evidence-informed clinical practice, appropriate use of assistive technology, legal compliance, co-production with communities, and long-term investment in the care workforce. All individuals affected by dementia have rights, preferences, </w:t>
      </w:r>
      <w:r w:rsidR="00381607" w:rsidRPr="003D221A">
        <w:rPr>
          <w:rFonts w:asciiTheme="minorBidi" w:hAnsiTheme="minorBidi"/>
        </w:rPr>
        <w:t>history</w:t>
      </w:r>
      <w:r w:rsidRPr="003D221A">
        <w:rPr>
          <w:rFonts w:asciiTheme="minorBidi" w:hAnsiTheme="minorBidi"/>
        </w:rPr>
        <w:t>, and relationships, and are full human beings. Changing the care system to embody that reality is a priority for health and social care, but it is also a moral imperative.</w:t>
      </w:r>
    </w:p>
    <w:p w14:paraId="48B0E4C1" w14:textId="77777777" w:rsidR="003D221A" w:rsidRDefault="003D221A">
      <w:pPr>
        <w:rPr>
          <w:rFonts w:asciiTheme="minorBidi" w:hAnsiTheme="minorBidi"/>
        </w:rPr>
      </w:pPr>
      <w:r>
        <w:rPr>
          <w:rFonts w:asciiTheme="minorBidi" w:hAnsiTheme="minorBidi"/>
        </w:rPr>
        <w:br w:type="page"/>
      </w:r>
    </w:p>
    <w:p w14:paraId="45448FC3" w14:textId="77777777" w:rsidR="003D221A" w:rsidRPr="003D221A" w:rsidRDefault="003D221A" w:rsidP="003D221A">
      <w:pPr>
        <w:pStyle w:val="Heading1"/>
        <w:spacing w:line="360" w:lineRule="auto"/>
        <w:jc w:val="both"/>
        <w:rPr>
          <w:rFonts w:asciiTheme="minorBidi" w:hAnsiTheme="minorBidi" w:cstheme="minorBidi"/>
          <w:sz w:val="22"/>
          <w:szCs w:val="22"/>
        </w:rPr>
      </w:pPr>
      <w:r w:rsidRPr="003D221A">
        <w:rPr>
          <w:rFonts w:asciiTheme="minorBidi" w:hAnsiTheme="minorBidi" w:cstheme="minorBidi"/>
          <w:sz w:val="22"/>
          <w:szCs w:val="22"/>
        </w:rPr>
        <w:lastRenderedPageBreak/>
        <w:t>References</w:t>
      </w:r>
    </w:p>
    <w:p w14:paraId="724C08E6" w14:textId="77777777" w:rsidR="003D221A" w:rsidRPr="003D221A" w:rsidRDefault="003D221A" w:rsidP="003D221A">
      <w:pPr>
        <w:spacing w:after="110" w:line="360" w:lineRule="auto"/>
        <w:jc w:val="both"/>
        <w:rPr>
          <w:rFonts w:asciiTheme="minorBidi" w:hAnsiTheme="minorBidi"/>
        </w:rPr>
      </w:pPr>
      <w:r w:rsidRPr="003D221A">
        <w:rPr>
          <w:rFonts w:asciiTheme="minorBidi" w:hAnsiTheme="minorBidi"/>
        </w:rPr>
        <w:t>Alzheimer’s Society (2024)</w:t>
      </w:r>
      <w:r>
        <w:rPr>
          <w:rFonts w:asciiTheme="minorBidi" w:hAnsiTheme="minorBidi"/>
        </w:rPr>
        <w:t>.</w:t>
      </w:r>
      <w:r w:rsidRPr="003D221A">
        <w:rPr>
          <w:rFonts w:asciiTheme="minorBidi" w:hAnsiTheme="minorBidi"/>
        </w:rPr>
        <w:t xml:space="preserve"> Dementia UK Update. London: Alzheimer’s Society. Available at: https://www.alzheimers.org.uk (Accessed: 1 June 2026).</w:t>
      </w:r>
    </w:p>
    <w:p w14:paraId="69FE5052" w14:textId="77777777" w:rsidR="003D221A" w:rsidRPr="003D221A" w:rsidRDefault="003D221A" w:rsidP="003D221A">
      <w:pPr>
        <w:spacing w:after="110" w:line="360" w:lineRule="auto"/>
        <w:jc w:val="both"/>
        <w:rPr>
          <w:rFonts w:asciiTheme="minorBidi" w:hAnsiTheme="minorBidi"/>
        </w:rPr>
      </w:pPr>
      <w:r w:rsidRPr="003D221A">
        <w:rPr>
          <w:rFonts w:asciiTheme="minorBidi" w:hAnsiTheme="minorBidi"/>
        </w:rPr>
        <w:t>Boyle, D. and Harris, M. (2009)</w:t>
      </w:r>
      <w:r>
        <w:rPr>
          <w:rFonts w:asciiTheme="minorBidi" w:hAnsiTheme="minorBidi"/>
        </w:rPr>
        <w:t>.</w:t>
      </w:r>
      <w:r w:rsidRPr="003D221A">
        <w:rPr>
          <w:rFonts w:asciiTheme="minorBidi" w:hAnsiTheme="minorBidi"/>
        </w:rPr>
        <w:t xml:space="preserve"> The Challenge of Co-production. London: NESTA.</w:t>
      </w:r>
    </w:p>
    <w:p w14:paraId="5C5C41DD"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 xml:space="preserve">Care Act </w:t>
      </w:r>
      <w:r>
        <w:rPr>
          <w:rFonts w:asciiTheme="minorBidi" w:hAnsiTheme="minorBidi"/>
        </w:rPr>
        <w:t>(</w:t>
      </w:r>
      <w:r w:rsidRPr="003D221A">
        <w:rPr>
          <w:rFonts w:asciiTheme="minorBidi" w:hAnsiTheme="minorBidi"/>
        </w:rPr>
        <w:t>2014</w:t>
      </w:r>
      <w:r>
        <w:rPr>
          <w:rFonts w:asciiTheme="minorBidi" w:hAnsiTheme="minorBidi"/>
        </w:rPr>
        <w:t>)</w:t>
      </w:r>
      <w:r w:rsidRPr="003D221A">
        <w:rPr>
          <w:rFonts w:asciiTheme="minorBidi" w:hAnsiTheme="minorBidi"/>
        </w:rPr>
        <w:t>. c.23. London: HMSO.</w:t>
      </w:r>
    </w:p>
    <w:p w14:paraId="5A57A096"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Carers UK (2022)</w:t>
      </w:r>
      <w:r>
        <w:rPr>
          <w:rFonts w:asciiTheme="minorBidi" w:hAnsiTheme="minorBidi"/>
        </w:rPr>
        <w:t>.</w:t>
      </w:r>
      <w:r w:rsidRPr="003D221A">
        <w:rPr>
          <w:rFonts w:asciiTheme="minorBidi" w:hAnsiTheme="minorBidi"/>
        </w:rPr>
        <w:t xml:space="preserve"> State of Caring 2022. London: Carers UK.</w:t>
      </w:r>
    </w:p>
    <w:p w14:paraId="6EB88A82" w14:textId="77777777" w:rsidR="003D221A" w:rsidRPr="003D221A" w:rsidRDefault="003D221A" w:rsidP="003D221A">
      <w:pPr>
        <w:spacing w:after="110" w:line="360" w:lineRule="auto"/>
        <w:jc w:val="both"/>
        <w:rPr>
          <w:rFonts w:asciiTheme="minorBidi" w:hAnsiTheme="minorBidi"/>
        </w:rPr>
      </w:pPr>
      <w:r w:rsidRPr="003D221A">
        <w:rPr>
          <w:rFonts w:asciiTheme="minorBidi" w:hAnsiTheme="minorBidi"/>
        </w:rPr>
        <w:t>Care Quality Commission (CQC) (2023)</w:t>
      </w:r>
      <w:r>
        <w:rPr>
          <w:rFonts w:asciiTheme="minorBidi" w:hAnsiTheme="minorBidi"/>
        </w:rPr>
        <w:t>.</w:t>
      </w:r>
      <w:r w:rsidRPr="003D221A">
        <w:rPr>
          <w:rFonts w:asciiTheme="minorBidi" w:hAnsiTheme="minorBidi"/>
        </w:rPr>
        <w:t xml:space="preserve"> The State of Health Care and Adult Social Care in England 2022/23. Newcastle: CQC.</w:t>
      </w:r>
    </w:p>
    <w:p w14:paraId="38A68C45" w14:textId="77777777" w:rsidR="003D221A" w:rsidRPr="003D221A" w:rsidRDefault="003D221A" w:rsidP="00B32E95">
      <w:pPr>
        <w:spacing w:after="110" w:line="360" w:lineRule="auto"/>
        <w:jc w:val="both"/>
        <w:rPr>
          <w:rFonts w:asciiTheme="minorBidi" w:hAnsiTheme="minorBidi"/>
        </w:rPr>
      </w:pPr>
      <w:r w:rsidRPr="003D221A">
        <w:rPr>
          <w:rFonts w:asciiTheme="minorBidi" w:hAnsiTheme="minorBidi"/>
        </w:rPr>
        <w:t>Christensen, C.M., Raynor, M.E. and McDonald, R. (2015)</w:t>
      </w:r>
      <w:r>
        <w:rPr>
          <w:rFonts w:asciiTheme="minorBidi" w:hAnsiTheme="minorBidi"/>
        </w:rPr>
        <w:t>.</w:t>
      </w:r>
      <w:r w:rsidRPr="003D221A">
        <w:rPr>
          <w:rFonts w:asciiTheme="minorBidi" w:hAnsiTheme="minorBidi"/>
        </w:rPr>
        <w:t xml:space="preserve"> ‘What is disruptive innovation?’, Harvard Business Review, 93(12), pp. 44–53.</w:t>
      </w:r>
    </w:p>
    <w:p w14:paraId="68601465"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 xml:space="preserve">Data Protection Act </w:t>
      </w:r>
      <w:r>
        <w:rPr>
          <w:rFonts w:asciiTheme="minorBidi" w:hAnsiTheme="minorBidi"/>
        </w:rPr>
        <w:t>(</w:t>
      </w:r>
      <w:r w:rsidRPr="003D221A">
        <w:rPr>
          <w:rFonts w:asciiTheme="minorBidi" w:hAnsiTheme="minorBidi"/>
        </w:rPr>
        <w:t>2018</w:t>
      </w:r>
      <w:r>
        <w:rPr>
          <w:rFonts w:asciiTheme="minorBidi" w:hAnsiTheme="minorBidi"/>
        </w:rPr>
        <w:t>)</w:t>
      </w:r>
      <w:r w:rsidRPr="003D221A">
        <w:rPr>
          <w:rFonts w:asciiTheme="minorBidi" w:hAnsiTheme="minorBidi"/>
        </w:rPr>
        <w:t>. c.12. London: HMSO.</w:t>
      </w:r>
    </w:p>
    <w:p w14:paraId="48FB6505"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Health and Social Care Act 2012. c.7. London: HMSO.</w:t>
      </w:r>
    </w:p>
    <w:p w14:paraId="6F5F5418" w14:textId="77777777" w:rsidR="003D221A" w:rsidRPr="003D221A" w:rsidRDefault="003D221A" w:rsidP="003D221A">
      <w:pPr>
        <w:spacing w:after="110" w:line="360" w:lineRule="auto"/>
        <w:jc w:val="both"/>
        <w:rPr>
          <w:rFonts w:asciiTheme="minorBidi" w:hAnsiTheme="minorBidi"/>
        </w:rPr>
      </w:pPr>
      <w:r w:rsidRPr="003D221A">
        <w:rPr>
          <w:rFonts w:asciiTheme="minorBidi" w:hAnsiTheme="minorBidi"/>
        </w:rPr>
        <w:t>Holt-</w:t>
      </w:r>
      <w:proofErr w:type="spellStart"/>
      <w:r w:rsidRPr="003D221A">
        <w:rPr>
          <w:rFonts w:asciiTheme="minorBidi" w:hAnsiTheme="minorBidi"/>
        </w:rPr>
        <w:t>Lunstad</w:t>
      </w:r>
      <w:proofErr w:type="spellEnd"/>
      <w:r w:rsidRPr="003D221A">
        <w:rPr>
          <w:rFonts w:asciiTheme="minorBidi" w:hAnsiTheme="minorBidi"/>
        </w:rPr>
        <w:t>, J., Smith, T.B., Baker, M., Harris, T.</w:t>
      </w:r>
      <w:r>
        <w:rPr>
          <w:rFonts w:asciiTheme="minorBidi" w:hAnsiTheme="minorBidi"/>
        </w:rPr>
        <w:t>,</w:t>
      </w:r>
      <w:r w:rsidRPr="003D221A">
        <w:rPr>
          <w:rFonts w:asciiTheme="minorBidi" w:hAnsiTheme="minorBidi"/>
        </w:rPr>
        <w:t xml:space="preserve"> and Stephenson, D. (2015)</w:t>
      </w:r>
      <w:r>
        <w:rPr>
          <w:rFonts w:asciiTheme="minorBidi" w:hAnsiTheme="minorBidi"/>
        </w:rPr>
        <w:t>.</w:t>
      </w:r>
      <w:r w:rsidRPr="003D221A">
        <w:rPr>
          <w:rFonts w:asciiTheme="minorBidi" w:hAnsiTheme="minorBidi"/>
        </w:rPr>
        <w:t xml:space="preserve"> ‘Loneliness and social isolation as risk factors for mortality’, Perspectives on Psychological Science, 10(2), pp. 227–237.</w:t>
      </w:r>
    </w:p>
    <w:p w14:paraId="372A1069"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King’s Fund (2023)</w:t>
      </w:r>
      <w:r>
        <w:rPr>
          <w:rFonts w:asciiTheme="minorBidi" w:hAnsiTheme="minorBidi"/>
        </w:rPr>
        <w:t>.</w:t>
      </w:r>
      <w:r w:rsidRPr="003D221A">
        <w:rPr>
          <w:rFonts w:asciiTheme="minorBidi" w:hAnsiTheme="minorBidi"/>
        </w:rPr>
        <w:t xml:space="preserve"> Health and Social Care Funding: An Overview. London: The King’s Fund.</w:t>
      </w:r>
    </w:p>
    <w:p w14:paraId="63C45100" w14:textId="77777777" w:rsidR="003D221A" w:rsidRPr="003D221A" w:rsidRDefault="003D221A" w:rsidP="003D221A">
      <w:pPr>
        <w:spacing w:after="110" w:line="360" w:lineRule="auto"/>
        <w:jc w:val="both"/>
        <w:rPr>
          <w:rFonts w:asciiTheme="minorBidi" w:hAnsiTheme="minorBidi"/>
        </w:rPr>
      </w:pPr>
      <w:r w:rsidRPr="003D221A">
        <w:rPr>
          <w:rFonts w:asciiTheme="minorBidi" w:hAnsiTheme="minorBidi"/>
        </w:rPr>
        <w:t>Livingston, G. et al. (2020)</w:t>
      </w:r>
      <w:r>
        <w:rPr>
          <w:rFonts w:asciiTheme="minorBidi" w:hAnsiTheme="minorBidi"/>
        </w:rPr>
        <w:t>.</w:t>
      </w:r>
      <w:r w:rsidRPr="003D221A">
        <w:rPr>
          <w:rFonts w:asciiTheme="minorBidi" w:hAnsiTheme="minorBidi"/>
        </w:rPr>
        <w:t xml:space="preserve"> ‘Dementia prevention, intervention, and care: 2020 report of the Lancet Commission’, The Lancet, 396(10248), pp. 413–446.</w:t>
      </w:r>
    </w:p>
    <w:p w14:paraId="7D646A6D"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Mazzucato, M. (2018)</w:t>
      </w:r>
      <w:r>
        <w:rPr>
          <w:rFonts w:asciiTheme="minorBidi" w:hAnsiTheme="minorBidi"/>
        </w:rPr>
        <w:t>.</w:t>
      </w:r>
      <w:r w:rsidRPr="003D221A">
        <w:rPr>
          <w:rFonts w:asciiTheme="minorBidi" w:hAnsiTheme="minorBidi"/>
        </w:rPr>
        <w:t xml:space="preserve"> The Value of Everything. London: Allen Lane.</w:t>
      </w:r>
    </w:p>
    <w:p w14:paraId="1053DA5A"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Mental Capacity Act 2005. c.9. London: HMSO.</w:t>
      </w:r>
    </w:p>
    <w:p w14:paraId="7BEC60D2"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NHS England (2023)</w:t>
      </w:r>
      <w:r>
        <w:rPr>
          <w:rFonts w:asciiTheme="minorBidi" w:hAnsiTheme="minorBidi"/>
        </w:rPr>
        <w:t>.</w:t>
      </w:r>
      <w:r w:rsidRPr="003D221A">
        <w:rPr>
          <w:rFonts w:asciiTheme="minorBidi" w:hAnsiTheme="minorBidi"/>
        </w:rPr>
        <w:t xml:space="preserve"> Dementia: A State of the Nation Report. Leeds: NHS England.</w:t>
      </w:r>
    </w:p>
    <w:p w14:paraId="364B45FC"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NICE (2018)</w:t>
      </w:r>
      <w:r>
        <w:rPr>
          <w:rFonts w:asciiTheme="minorBidi" w:hAnsiTheme="minorBidi"/>
        </w:rPr>
        <w:t>.</w:t>
      </w:r>
      <w:r w:rsidRPr="003D221A">
        <w:rPr>
          <w:rFonts w:asciiTheme="minorBidi" w:hAnsiTheme="minorBidi"/>
        </w:rPr>
        <w:t xml:space="preserve"> Dementia: Assessment, Management and Support (NG97). London: NICE.</w:t>
      </w:r>
    </w:p>
    <w:p w14:paraId="00C8AB65" w14:textId="77777777" w:rsidR="003D221A" w:rsidRPr="003D221A" w:rsidRDefault="003D221A" w:rsidP="003D221A">
      <w:pPr>
        <w:spacing w:after="110" w:line="360" w:lineRule="auto"/>
        <w:ind w:left="720" w:hanging="720"/>
        <w:jc w:val="both"/>
        <w:rPr>
          <w:rFonts w:asciiTheme="minorBidi" w:hAnsiTheme="minorBidi"/>
        </w:rPr>
      </w:pPr>
      <w:r w:rsidRPr="003D221A">
        <w:rPr>
          <w:rFonts w:asciiTheme="minorBidi" w:hAnsiTheme="minorBidi"/>
        </w:rPr>
        <w:t>Prince, M. et al. (2014)</w:t>
      </w:r>
      <w:r>
        <w:rPr>
          <w:rFonts w:asciiTheme="minorBidi" w:hAnsiTheme="minorBidi"/>
        </w:rPr>
        <w:t>.</w:t>
      </w:r>
      <w:r w:rsidRPr="003D221A">
        <w:rPr>
          <w:rFonts w:asciiTheme="minorBidi" w:hAnsiTheme="minorBidi"/>
        </w:rPr>
        <w:t xml:space="preserve"> World Alzheimer Report 2014. London: Alzheimer’s Disease International.</w:t>
      </w:r>
    </w:p>
    <w:p w14:paraId="2D63E2D0" w14:textId="77777777" w:rsidR="003D221A" w:rsidRPr="003D221A" w:rsidRDefault="003D221A" w:rsidP="003D221A">
      <w:pPr>
        <w:spacing w:after="120" w:line="360" w:lineRule="auto"/>
        <w:jc w:val="both"/>
        <w:rPr>
          <w:rFonts w:asciiTheme="minorBidi" w:hAnsiTheme="minorBidi"/>
        </w:rPr>
      </w:pPr>
    </w:p>
    <w:p w14:paraId="6C0103FA" w14:textId="77777777" w:rsidR="00D04A6F" w:rsidRPr="003D221A" w:rsidRDefault="00D04A6F" w:rsidP="00D04A6F"/>
    <w:sectPr w:rsidR="00D04A6F" w:rsidRPr="003D22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E14EE" w14:textId="77777777" w:rsidR="00D00309" w:rsidRDefault="00D00309" w:rsidP="00B32E95">
      <w:pPr>
        <w:spacing w:after="0" w:line="240" w:lineRule="auto"/>
      </w:pPr>
      <w:r>
        <w:separator/>
      </w:r>
    </w:p>
  </w:endnote>
  <w:endnote w:type="continuationSeparator" w:id="0">
    <w:p w14:paraId="30B628E4" w14:textId="77777777" w:rsidR="00D00309" w:rsidRDefault="00D00309" w:rsidP="00B32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882E0" w14:textId="77777777" w:rsidR="00D00309" w:rsidRDefault="00D00309" w:rsidP="00B32E95">
      <w:pPr>
        <w:spacing w:after="0" w:line="240" w:lineRule="auto"/>
      </w:pPr>
      <w:r>
        <w:separator/>
      </w:r>
    </w:p>
  </w:footnote>
  <w:footnote w:type="continuationSeparator" w:id="0">
    <w:p w14:paraId="2621B831" w14:textId="77777777" w:rsidR="00D00309" w:rsidRDefault="00D00309" w:rsidP="00B32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A6F"/>
    <w:rsid w:val="001222DD"/>
    <w:rsid w:val="00257773"/>
    <w:rsid w:val="002E60C3"/>
    <w:rsid w:val="00381607"/>
    <w:rsid w:val="0039323D"/>
    <w:rsid w:val="003D221A"/>
    <w:rsid w:val="00406E36"/>
    <w:rsid w:val="005B3CB8"/>
    <w:rsid w:val="007839E2"/>
    <w:rsid w:val="00825AF1"/>
    <w:rsid w:val="009271A4"/>
    <w:rsid w:val="00946C32"/>
    <w:rsid w:val="009952ED"/>
    <w:rsid w:val="00A20494"/>
    <w:rsid w:val="00A96D94"/>
    <w:rsid w:val="00B32E95"/>
    <w:rsid w:val="00C2483A"/>
    <w:rsid w:val="00D00309"/>
    <w:rsid w:val="00D04547"/>
    <w:rsid w:val="00D04A6F"/>
    <w:rsid w:val="00E15E24"/>
    <w:rsid w:val="00F4703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3E09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2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D04A6F"/>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D04A6F"/>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04A6F"/>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D04A6F"/>
    <w:rPr>
      <w:rFonts w:ascii="Times New Roman" w:eastAsia="Times New Roman" w:hAnsi="Times New Roman" w:cs="Times New Roman"/>
      <w:sz w:val="40"/>
      <w:szCs w:val="20"/>
      <w:lang w:val="en-GB" w:eastAsia="en-GB"/>
    </w:rPr>
  </w:style>
  <w:style w:type="character" w:customStyle="1" w:styleId="Heading1Char">
    <w:name w:val="Heading 1 Char"/>
    <w:basedOn w:val="DefaultParagraphFont"/>
    <w:link w:val="Heading1"/>
    <w:uiPriority w:val="9"/>
    <w:rsid w:val="003D221A"/>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15f47b4fd59a6b4d7b9460c73098d0b2">
  <xsd:schema xmlns:xsd="http://www.w3.org/2001/XMLSchema" xmlns:xs="http://www.w3.org/2001/XMLSchema" xmlns:p="http://schemas.microsoft.com/office/2006/metadata/properties" xmlns:ns3="ccfc14db-0f45-423b-b2f5-752f8f8a0ada" targetNamespace="http://schemas.microsoft.com/office/2006/metadata/properties" ma:root="true" ma:fieldsID="e5d5c89ca04b6b60105d9cb391c4c1b8"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6F81E102-1A92-461E-A406-9D58D900E7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F3B52A-651C-4901-AEBC-943B955192BB}">
  <ds:schemaRefs>
    <ds:schemaRef ds:uri="http://schemas.microsoft.com/sharepoint/v3/contenttype/forms"/>
  </ds:schemaRefs>
</ds:datastoreItem>
</file>

<file path=customXml/itemProps3.xml><?xml version="1.0" encoding="utf-8"?>
<ds:datastoreItem xmlns:ds="http://schemas.openxmlformats.org/officeDocument/2006/customXml" ds:itemID="{0139DFA9-6C0B-461A-A221-F82943694A49}">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1542</Words>
  <Characters>8795</Characters>
  <Application>Microsoft Office Word</Application>
  <DocSecurity>0</DocSecurity>
  <Lines>73</Lines>
  <Paragraphs>20</Paragraphs>
  <ScaleCrop>false</ScaleCrop>
  <Company/>
  <LinksUpToDate>false</LinksUpToDate>
  <CharactersWithSpaces>10317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2026-07-17T15:54:00Z</dcterms:created>
  <dcterms:modified xsi:type="dcterms:W3CDTF">2026-07-17T16:03:00Z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e9be2ada-5304-47f5-9089-b93ec3cba6af</vt:lpwstr>
  </property>
  <property fmtid="{D5CDD505-2E9C-101B-9397-08002B2CF9AE}" pid="3" name="ContentTypeId">
    <vt:lpwstr>0x0101007810DDF4EC27A54C9626255B384F637A</vt:lpwstr>
  </property>
</Properties>
</file>