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446851E" w14:textId="4860EFA7" w:rsidR="00BF54A6" w:rsidRPr="00BF54A6" w:rsidRDefault="00BF54A6" w:rsidP="00BF54A6">
      <w:pPr>
        <w:rPr>
          <w:rFonts w:asciiTheme="majorHAnsi" w:eastAsiaTheme="majorEastAsia" w:hAnsiTheme="majorHAnsi" w:cstheme="majorBidi"/>
          <w:color w:val="A02B93" w:themeColor="accent5"/>
          <w:sz w:val="40"/>
          <w:szCs w:val="40"/>
        </w:rPr>
      </w:pPr>
      <w:r w:rsidRPr="00BF54A6">
        <w:rPr>
          <w:rFonts w:asciiTheme="majorHAnsi" w:eastAsiaTheme="majorEastAsia" w:hAnsiTheme="majorHAnsi" w:cstheme="majorBidi"/>
          <w:color w:val="A02B93" w:themeColor="accent5"/>
          <w:sz w:val="40"/>
          <w:szCs w:val="40"/>
        </w:rPr>
        <w:drawing>
          <wp:inline distT="0" distB="0" distL="0" distR="0" wp14:anchorId="3F11ADD4" wp14:editId="465F12CC">
            <wp:extent cx="2209800" cy="746760"/>
            <wp:effectExtent l="0" t="0" r="0" b="0"/>
            <wp:docPr id="142963961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09800" cy="746760"/>
                    </a:xfrm>
                    <a:prstGeom prst="rect">
                      <a:avLst/>
                    </a:prstGeom>
                    <a:noFill/>
                    <a:ln>
                      <a:noFill/>
                    </a:ln>
                  </pic:spPr>
                </pic:pic>
              </a:graphicData>
            </a:graphic>
          </wp:inline>
        </w:drawing>
      </w:r>
      <w:r w:rsidRPr="00BF54A6">
        <w:rPr>
          <w:rFonts w:asciiTheme="majorHAnsi" w:eastAsiaTheme="majorEastAsia" w:hAnsiTheme="majorHAnsi" w:cstheme="majorBidi"/>
          <w:color w:val="A02B93" w:themeColor="accent5"/>
          <w:sz w:val="40"/>
          <w:szCs w:val="40"/>
        </w:rPr>
        <w:t> </w:t>
      </w:r>
    </w:p>
    <w:p w14:paraId="406DA757" w14:textId="77777777" w:rsidR="00BF54A6" w:rsidRPr="00BF54A6" w:rsidRDefault="00BF54A6" w:rsidP="00BF54A6">
      <w:pPr>
        <w:rPr>
          <w:b/>
          <w:bCs/>
        </w:rPr>
      </w:pPr>
      <w:r w:rsidRPr="00BF54A6">
        <w:rPr>
          <w:b/>
          <w:bCs/>
          <w:sz w:val="36"/>
          <w:szCs w:val="36"/>
        </w:rPr>
        <w:t>Applied Leadership and Management in the Workplace </w:t>
      </w:r>
      <w:r w:rsidRPr="00BF54A6">
        <w:rPr>
          <w:b/>
          <w:bCs/>
          <w:sz w:val="36"/>
          <w:szCs w:val="36"/>
        </w:rPr>
        <w:br/>
        <w:t>Module Assignment Submission  </w:t>
      </w:r>
      <w:r w:rsidRPr="00BF54A6">
        <w:rPr>
          <w:b/>
          <w:bCs/>
        </w:rPr>
        <w:br/>
        <w:t> </w:t>
      </w:r>
    </w:p>
    <w:tbl>
      <w:tblPr>
        <w:tblW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3275"/>
        <w:gridCol w:w="5735"/>
      </w:tblGrid>
      <w:tr w:rsidR="00BF54A6" w:rsidRPr="00BF54A6" w14:paraId="1E2A2DCE" w14:textId="77777777">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49B98D78" w14:textId="77777777" w:rsidR="00BF54A6" w:rsidRPr="00BF54A6" w:rsidRDefault="00BF54A6" w:rsidP="00BF54A6">
            <w:r w:rsidRPr="00BF54A6">
              <w:t>Student Name: </w:t>
            </w:r>
          </w:p>
        </w:tc>
        <w:tc>
          <w:tcPr>
            <w:tcW w:w="6045" w:type="dxa"/>
            <w:tcBorders>
              <w:top w:val="single" w:sz="6" w:space="0" w:color="000000"/>
              <w:left w:val="single" w:sz="6" w:space="0" w:color="000000"/>
              <w:bottom w:val="single" w:sz="6" w:space="0" w:color="000000"/>
              <w:right w:val="single" w:sz="6" w:space="0" w:color="000000"/>
            </w:tcBorders>
            <w:hideMark/>
          </w:tcPr>
          <w:p w14:paraId="6E751EC4" w14:textId="1E001BBE" w:rsidR="00BF54A6" w:rsidRPr="00BF54A6" w:rsidRDefault="00BF54A6" w:rsidP="00BF54A6">
            <w:r w:rsidRPr="00BF54A6">
              <w:t> </w:t>
            </w:r>
            <w:r w:rsidR="009644C8">
              <w:t>Jeri Derrick</w:t>
            </w:r>
          </w:p>
        </w:tc>
      </w:tr>
      <w:tr w:rsidR="00BF54A6" w:rsidRPr="00BF54A6" w14:paraId="790B26C2" w14:textId="77777777">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532C0131" w14:textId="77777777" w:rsidR="00BF54A6" w:rsidRPr="00BF54A6" w:rsidRDefault="00BF54A6" w:rsidP="00BF54A6">
            <w:r w:rsidRPr="00BF54A6">
              <w:t>Student Number: </w:t>
            </w:r>
          </w:p>
        </w:tc>
        <w:tc>
          <w:tcPr>
            <w:tcW w:w="6045" w:type="dxa"/>
            <w:tcBorders>
              <w:top w:val="single" w:sz="6" w:space="0" w:color="000000"/>
              <w:left w:val="single" w:sz="6" w:space="0" w:color="000000"/>
              <w:bottom w:val="single" w:sz="6" w:space="0" w:color="000000"/>
              <w:right w:val="single" w:sz="6" w:space="0" w:color="000000"/>
            </w:tcBorders>
            <w:hideMark/>
          </w:tcPr>
          <w:p w14:paraId="5A3687F8" w14:textId="01C926E3" w:rsidR="00BF54A6" w:rsidRPr="00BF54A6" w:rsidRDefault="00BF54A6" w:rsidP="00BF54A6">
            <w:r w:rsidRPr="00BF54A6">
              <w:t> </w:t>
            </w:r>
            <w:r w:rsidR="009644C8">
              <w:t>2525457</w:t>
            </w:r>
          </w:p>
        </w:tc>
      </w:tr>
      <w:tr w:rsidR="00BF54A6" w:rsidRPr="00BF54A6" w14:paraId="72D7DEBF" w14:textId="77777777">
        <w:trPr>
          <w:trHeight w:val="300"/>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3BDACF5F" w14:textId="77777777" w:rsidR="00BF54A6" w:rsidRPr="00BF54A6" w:rsidRDefault="00BF54A6" w:rsidP="00BF54A6">
            <w:r w:rsidRPr="00BF54A6">
              <w:t>Module No: </w:t>
            </w:r>
          </w:p>
        </w:tc>
        <w:tc>
          <w:tcPr>
            <w:tcW w:w="6045" w:type="dxa"/>
            <w:tcBorders>
              <w:top w:val="single" w:sz="6" w:space="0" w:color="000000"/>
              <w:left w:val="single" w:sz="6" w:space="0" w:color="000000"/>
              <w:bottom w:val="single" w:sz="6" w:space="0" w:color="000000"/>
              <w:right w:val="single" w:sz="6" w:space="0" w:color="000000"/>
            </w:tcBorders>
            <w:hideMark/>
          </w:tcPr>
          <w:p w14:paraId="545242C2" w14:textId="4EF006BE" w:rsidR="00BF54A6" w:rsidRPr="00BF54A6" w:rsidRDefault="00BF54A6" w:rsidP="00BF54A6">
            <w:r w:rsidRPr="00BF54A6">
              <w:t> </w:t>
            </w:r>
            <w:r w:rsidR="009644C8">
              <w:t>BMSK 4016</w:t>
            </w:r>
          </w:p>
        </w:tc>
      </w:tr>
      <w:tr w:rsidR="00BF54A6" w:rsidRPr="00BF54A6" w14:paraId="13FE3E94" w14:textId="77777777">
        <w:trPr>
          <w:trHeight w:val="405"/>
        </w:trPr>
        <w:tc>
          <w:tcPr>
            <w:tcW w:w="3435" w:type="dxa"/>
            <w:tcBorders>
              <w:top w:val="single" w:sz="6" w:space="0" w:color="000000"/>
              <w:left w:val="single" w:sz="6" w:space="0" w:color="000000"/>
              <w:bottom w:val="single" w:sz="6" w:space="0" w:color="000000"/>
              <w:right w:val="single" w:sz="6" w:space="0" w:color="000000"/>
            </w:tcBorders>
            <w:shd w:val="clear" w:color="auto" w:fill="D9D9D9"/>
            <w:hideMark/>
          </w:tcPr>
          <w:p w14:paraId="5E893028" w14:textId="77777777" w:rsidR="00BF54A6" w:rsidRPr="00BF54A6" w:rsidRDefault="00BF54A6" w:rsidP="00BF54A6">
            <w:r w:rsidRPr="00BF54A6">
              <w:t>Module Title: </w:t>
            </w:r>
          </w:p>
        </w:tc>
        <w:tc>
          <w:tcPr>
            <w:tcW w:w="6045" w:type="dxa"/>
            <w:tcBorders>
              <w:top w:val="single" w:sz="6" w:space="0" w:color="000000"/>
              <w:left w:val="single" w:sz="6" w:space="0" w:color="000000"/>
              <w:bottom w:val="single" w:sz="6" w:space="0" w:color="000000"/>
              <w:right w:val="single" w:sz="6" w:space="0" w:color="000000"/>
            </w:tcBorders>
            <w:hideMark/>
          </w:tcPr>
          <w:p w14:paraId="50096897" w14:textId="09340FED" w:rsidR="00BF54A6" w:rsidRPr="00BF54A6" w:rsidRDefault="00BF54A6" w:rsidP="00BF54A6">
            <w:r w:rsidRPr="00BF54A6">
              <w:t> </w:t>
            </w:r>
            <w:r w:rsidR="003B3BD3">
              <w:t xml:space="preserve">Developing Professional Practice </w:t>
            </w:r>
          </w:p>
        </w:tc>
      </w:tr>
    </w:tbl>
    <w:p w14:paraId="1BB35F74" w14:textId="77777777" w:rsidR="00BF54A6" w:rsidRPr="00BF54A6" w:rsidRDefault="00BF54A6" w:rsidP="00BF54A6">
      <w:r w:rsidRPr="00BF54A6">
        <w:rPr>
          <w:b/>
          <w:bCs/>
        </w:rPr>
        <w:t>Statement of Confirmation of Authenticity</w:t>
      </w:r>
      <w:r w:rsidRPr="00BF54A6">
        <w:t> </w:t>
      </w:r>
    </w:p>
    <w:p w14:paraId="4B6194A5" w14:textId="77777777" w:rsidR="00BF54A6" w:rsidRPr="00BF54A6" w:rsidRDefault="00BF54A6" w:rsidP="00BF54A6">
      <w:r w:rsidRPr="00BF54A6">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 </w:t>
      </w:r>
    </w:p>
    <w:p w14:paraId="79905DEC" w14:textId="77777777" w:rsidR="00BF54A6" w:rsidRPr="00BF54A6" w:rsidRDefault="00BF54A6" w:rsidP="00BF54A6">
      <w:r w:rsidRPr="00BF54A6">
        <w:t>Attention is drawn to the plagiarism and unfair practice policies of both the University and of ILM. </w:t>
      </w:r>
    </w:p>
    <w:p w14:paraId="32701AB9" w14:textId="77777777" w:rsidR="00BF54A6" w:rsidRPr="00BF54A6" w:rsidRDefault="00BF54A6" w:rsidP="00BF54A6">
      <w:r w:rsidRPr="00BF54A6">
        <w:rPr>
          <w:b/>
          <w:bCs/>
        </w:rPr>
        <w:t>AI Declaration:</w:t>
      </w:r>
      <w:r w:rsidRPr="00BF54A6">
        <w:t xml:space="preserve"> I confirm that </w:t>
      </w:r>
      <w:r w:rsidRPr="00BF54A6">
        <w:rPr>
          <w:b/>
          <w:bCs/>
        </w:rPr>
        <w:t>I have not used Generative AI</w:t>
      </w:r>
      <w:r w:rsidRPr="00BF54A6">
        <w:t xml:space="preserve"> to create any text, creative materials or code for submission. Any AI use was limited to permitted research, assignment structure and proofreading of my own work. AI may be used to help plan the structure or format of a table, but the content must be my own. AI must not be used to create graphs, charts, images or other assessed visual material for submission unless specifically permitted in the assignment brief. </w:t>
      </w:r>
    </w:p>
    <w:p w14:paraId="543E03E6" w14:textId="77777777" w:rsidR="00D31A4A" w:rsidRDefault="00D31A4A" w:rsidP="00700E0E">
      <w:pPr>
        <w:rPr>
          <w:rStyle w:val="Heading1Char"/>
          <w:color w:val="A02B93" w:themeColor="accent5"/>
        </w:rPr>
      </w:pPr>
    </w:p>
    <w:p w14:paraId="194CF001" w14:textId="77777777" w:rsidR="00BF54A6" w:rsidRDefault="00BF54A6" w:rsidP="00700E0E">
      <w:pPr>
        <w:rPr>
          <w:rStyle w:val="Heading1Char"/>
          <w:color w:val="A02B93" w:themeColor="accent5"/>
        </w:rPr>
      </w:pPr>
    </w:p>
    <w:p w14:paraId="432E5C3E" w14:textId="77777777" w:rsidR="009644C8" w:rsidRDefault="009644C8" w:rsidP="00700E0E">
      <w:pPr>
        <w:rPr>
          <w:rStyle w:val="Heading1Char"/>
          <w:color w:val="A02B93" w:themeColor="accent5"/>
        </w:rPr>
      </w:pPr>
    </w:p>
    <w:p w14:paraId="59ECA4A7" w14:textId="77777777" w:rsidR="009644C8" w:rsidRDefault="009644C8" w:rsidP="00700E0E">
      <w:pPr>
        <w:rPr>
          <w:rStyle w:val="Heading1Char"/>
          <w:color w:val="A02B93" w:themeColor="accent5"/>
        </w:rPr>
      </w:pPr>
    </w:p>
    <w:sdt>
      <w:sdtPr>
        <w:rPr>
          <w:rFonts w:ascii="Calibri" w:hAnsi="Calibri" w:cs="Calibri"/>
        </w:rPr>
        <w:id w:val="-1610429821"/>
        <w:docPartObj>
          <w:docPartGallery w:val="Table of Contents"/>
          <w:docPartUnique/>
        </w:docPartObj>
      </w:sdtPr>
      <w:sdtEndPr>
        <w:rPr>
          <w:rFonts w:eastAsiaTheme="minorHAnsi"/>
          <w:b/>
          <w:bCs/>
          <w:color w:val="auto"/>
          <w:kern w:val="2"/>
          <w:sz w:val="24"/>
          <w:szCs w:val="24"/>
          <w:lang w:eastAsia="en-US"/>
          <w14:ligatures w14:val="standardContextual"/>
        </w:rPr>
      </w:sdtEndPr>
      <w:sdtContent>
        <w:p w14:paraId="31C5D398" w14:textId="3EBF67E5" w:rsidR="00322060" w:rsidRPr="006D449B" w:rsidRDefault="00322060">
          <w:pPr>
            <w:pStyle w:val="TOCHeading"/>
            <w:rPr>
              <w:rFonts w:ascii="Calibri" w:hAnsi="Calibri" w:cs="Calibri"/>
              <w:color w:val="A02B93" w:themeColor="accent5"/>
            </w:rPr>
          </w:pPr>
          <w:r w:rsidRPr="006D449B">
            <w:rPr>
              <w:rFonts w:ascii="Calibri" w:hAnsi="Calibri" w:cs="Calibri"/>
              <w:color w:val="A02B93" w:themeColor="accent5"/>
            </w:rPr>
            <w:t>Table of Contents</w:t>
          </w:r>
        </w:p>
        <w:p w14:paraId="26602DF0" w14:textId="37B1DBE5" w:rsidR="006D449B" w:rsidRDefault="00322060">
          <w:pPr>
            <w:pStyle w:val="TOC1"/>
            <w:tabs>
              <w:tab w:val="right" w:leader="dot" w:pos="9016"/>
            </w:tabs>
            <w:rPr>
              <w:rFonts w:eastAsiaTheme="minorEastAsia"/>
              <w:noProof/>
              <w:lang w:eastAsia="en-GB"/>
            </w:rPr>
          </w:pPr>
          <w:r w:rsidRPr="006D449B">
            <w:rPr>
              <w:rFonts w:ascii="Calibri" w:hAnsi="Calibri" w:cs="Calibri"/>
            </w:rPr>
            <w:fldChar w:fldCharType="begin"/>
          </w:r>
          <w:r w:rsidRPr="006D449B">
            <w:rPr>
              <w:rFonts w:ascii="Calibri" w:hAnsi="Calibri" w:cs="Calibri"/>
            </w:rPr>
            <w:instrText xml:space="preserve"> TOC \o "1-3" \h \z \u </w:instrText>
          </w:r>
          <w:r w:rsidRPr="006D449B">
            <w:rPr>
              <w:rFonts w:ascii="Calibri" w:hAnsi="Calibri" w:cs="Calibri"/>
            </w:rPr>
            <w:fldChar w:fldCharType="separate"/>
          </w:r>
          <w:hyperlink w:anchor="_Toc242019718" w:history="1">
            <w:r w:rsidR="006D449B" w:rsidRPr="00B505DE">
              <w:rPr>
                <w:rStyle w:val="Hyperlink"/>
                <w:rFonts w:ascii="Calibri" w:hAnsi="Calibri" w:cs="Calibri"/>
                <w:noProof/>
              </w:rPr>
              <w:t>1. Introduction</w:t>
            </w:r>
            <w:r w:rsidR="006D449B">
              <w:rPr>
                <w:noProof/>
                <w:webHidden/>
              </w:rPr>
              <w:tab/>
            </w:r>
            <w:r w:rsidR="006D449B">
              <w:rPr>
                <w:noProof/>
                <w:webHidden/>
              </w:rPr>
              <w:fldChar w:fldCharType="begin"/>
            </w:r>
            <w:r w:rsidR="006D449B">
              <w:rPr>
                <w:noProof/>
                <w:webHidden/>
              </w:rPr>
              <w:instrText xml:space="preserve"> PAGEREF _Toc242019718 \h </w:instrText>
            </w:r>
            <w:r w:rsidR="006D449B">
              <w:rPr>
                <w:noProof/>
                <w:webHidden/>
              </w:rPr>
            </w:r>
            <w:r w:rsidR="006D449B">
              <w:rPr>
                <w:noProof/>
                <w:webHidden/>
              </w:rPr>
              <w:fldChar w:fldCharType="separate"/>
            </w:r>
            <w:r w:rsidR="006D449B">
              <w:rPr>
                <w:noProof/>
                <w:webHidden/>
              </w:rPr>
              <w:t>2</w:t>
            </w:r>
            <w:r w:rsidR="006D449B">
              <w:rPr>
                <w:noProof/>
                <w:webHidden/>
              </w:rPr>
              <w:fldChar w:fldCharType="end"/>
            </w:r>
          </w:hyperlink>
        </w:p>
        <w:p w14:paraId="52CF289A" w14:textId="6A930ED1" w:rsidR="006D449B" w:rsidRDefault="006D449B">
          <w:pPr>
            <w:pStyle w:val="TOC1"/>
            <w:tabs>
              <w:tab w:val="right" w:leader="dot" w:pos="9016"/>
            </w:tabs>
            <w:rPr>
              <w:rFonts w:eastAsiaTheme="minorEastAsia"/>
              <w:noProof/>
              <w:lang w:eastAsia="en-GB"/>
            </w:rPr>
          </w:pPr>
          <w:hyperlink w:anchor="_Toc242019719" w:history="1">
            <w:r w:rsidRPr="00B505DE">
              <w:rPr>
                <w:rStyle w:val="Hyperlink"/>
                <w:rFonts w:ascii="Calibri" w:hAnsi="Calibri" w:cs="Calibri"/>
                <w:noProof/>
              </w:rPr>
              <w:t>2. Self</w:t>
            </w:r>
            <w:r w:rsidRPr="00B505DE">
              <w:rPr>
                <w:rStyle w:val="Hyperlink"/>
                <w:rFonts w:ascii="Calibri" w:hAnsi="Calibri" w:cs="Calibri"/>
                <w:noProof/>
              </w:rPr>
              <w:noBreakHyphen/>
              <w:t>Management</w:t>
            </w:r>
            <w:r>
              <w:rPr>
                <w:noProof/>
                <w:webHidden/>
              </w:rPr>
              <w:tab/>
            </w:r>
            <w:r>
              <w:rPr>
                <w:noProof/>
                <w:webHidden/>
              </w:rPr>
              <w:fldChar w:fldCharType="begin"/>
            </w:r>
            <w:r>
              <w:rPr>
                <w:noProof/>
                <w:webHidden/>
              </w:rPr>
              <w:instrText xml:space="preserve"> PAGEREF _Toc242019719 \h </w:instrText>
            </w:r>
            <w:r>
              <w:rPr>
                <w:noProof/>
                <w:webHidden/>
              </w:rPr>
            </w:r>
            <w:r>
              <w:rPr>
                <w:noProof/>
                <w:webHidden/>
              </w:rPr>
              <w:fldChar w:fldCharType="separate"/>
            </w:r>
            <w:r>
              <w:rPr>
                <w:noProof/>
                <w:webHidden/>
              </w:rPr>
              <w:t>3</w:t>
            </w:r>
            <w:r>
              <w:rPr>
                <w:noProof/>
                <w:webHidden/>
              </w:rPr>
              <w:fldChar w:fldCharType="end"/>
            </w:r>
          </w:hyperlink>
        </w:p>
        <w:p w14:paraId="705582AB" w14:textId="3C82E9EC" w:rsidR="006D449B" w:rsidRDefault="006D449B">
          <w:pPr>
            <w:pStyle w:val="TOC2"/>
            <w:tabs>
              <w:tab w:val="right" w:leader="dot" w:pos="9016"/>
            </w:tabs>
            <w:rPr>
              <w:rFonts w:eastAsiaTheme="minorEastAsia"/>
              <w:noProof/>
              <w:lang w:eastAsia="en-GB"/>
            </w:rPr>
          </w:pPr>
          <w:hyperlink w:anchor="_Toc242019720" w:history="1">
            <w:r w:rsidRPr="00B505DE">
              <w:rPr>
                <w:rStyle w:val="Hyperlink"/>
                <w:rFonts w:ascii="Calibri" w:hAnsi="Calibri" w:cs="Calibri"/>
                <w:noProof/>
              </w:rPr>
              <w:t>2.1 Case Analysis</w:t>
            </w:r>
            <w:r>
              <w:rPr>
                <w:noProof/>
                <w:webHidden/>
              </w:rPr>
              <w:tab/>
            </w:r>
            <w:r>
              <w:rPr>
                <w:noProof/>
                <w:webHidden/>
              </w:rPr>
              <w:fldChar w:fldCharType="begin"/>
            </w:r>
            <w:r>
              <w:rPr>
                <w:noProof/>
                <w:webHidden/>
              </w:rPr>
              <w:instrText xml:space="preserve"> PAGEREF _Toc242019720 \h </w:instrText>
            </w:r>
            <w:r>
              <w:rPr>
                <w:noProof/>
                <w:webHidden/>
              </w:rPr>
            </w:r>
            <w:r>
              <w:rPr>
                <w:noProof/>
                <w:webHidden/>
              </w:rPr>
              <w:fldChar w:fldCharType="separate"/>
            </w:r>
            <w:r>
              <w:rPr>
                <w:noProof/>
                <w:webHidden/>
              </w:rPr>
              <w:t>3</w:t>
            </w:r>
            <w:r>
              <w:rPr>
                <w:noProof/>
                <w:webHidden/>
              </w:rPr>
              <w:fldChar w:fldCharType="end"/>
            </w:r>
          </w:hyperlink>
        </w:p>
        <w:p w14:paraId="1B82DB73" w14:textId="2456BCCD" w:rsidR="006D449B" w:rsidRDefault="006D449B">
          <w:pPr>
            <w:pStyle w:val="TOC2"/>
            <w:tabs>
              <w:tab w:val="right" w:leader="dot" w:pos="9016"/>
            </w:tabs>
            <w:rPr>
              <w:rFonts w:eastAsiaTheme="minorEastAsia"/>
              <w:noProof/>
              <w:lang w:eastAsia="en-GB"/>
            </w:rPr>
          </w:pPr>
          <w:hyperlink w:anchor="_Toc242019721" w:history="1">
            <w:r w:rsidRPr="00B505DE">
              <w:rPr>
                <w:rStyle w:val="Hyperlink"/>
                <w:rFonts w:ascii="Calibri" w:hAnsi="Calibri" w:cs="Calibri"/>
                <w:noProof/>
              </w:rPr>
              <w:t>2.2 Application to My Practice</w:t>
            </w:r>
            <w:r>
              <w:rPr>
                <w:noProof/>
                <w:webHidden/>
              </w:rPr>
              <w:tab/>
            </w:r>
            <w:r>
              <w:rPr>
                <w:noProof/>
                <w:webHidden/>
              </w:rPr>
              <w:fldChar w:fldCharType="begin"/>
            </w:r>
            <w:r>
              <w:rPr>
                <w:noProof/>
                <w:webHidden/>
              </w:rPr>
              <w:instrText xml:space="preserve"> PAGEREF _Toc242019721 \h </w:instrText>
            </w:r>
            <w:r>
              <w:rPr>
                <w:noProof/>
                <w:webHidden/>
              </w:rPr>
            </w:r>
            <w:r>
              <w:rPr>
                <w:noProof/>
                <w:webHidden/>
              </w:rPr>
              <w:fldChar w:fldCharType="separate"/>
            </w:r>
            <w:r>
              <w:rPr>
                <w:noProof/>
                <w:webHidden/>
              </w:rPr>
              <w:t>4</w:t>
            </w:r>
            <w:r>
              <w:rPr>
                <w:noProof/>
                <w:webHidden/>
              </w:rPr>
              <w:fldChar w:fldCharType="end"/>
            </w:r>
          </w:hyperlink>
        </w:p>
        <w:p w14:paraId="0629920A" w14:textId="41656F73" w:rsidR="006D449B" w:rsidRDefault="006D449B">
          <w:pPr>
            <w:pStyle w:val="TOC1"/>
            <w:tabs>
              <w:tab w:val="right" w:leader="dot" w:pos="9016"/>
            </w:tabs>
            <w:rPr>
              <w:rFonts w:eastAsiaTheme="minorEastAsia"/>
              <w:noProof/>
              <w:lang w:eastAsia="en-GB"/>
            </w:rPr>
          </w:pPr>
          <w:hyperlink w:anchor="_Toc242019722" w:history="1">
            <w:r w:rsidRPr="00B505DE">
              <w:rPr>
                <w:rStyle w:val="Hyperlink"/>
                <w:rFonts w:ascii="Calibri" w:hAnsi="Calibri" w:cs="Calibri"/>
                <w:noProof/>
              </w:rPr>
              <w:t>3. Personal, Cognitive and Unconscious Bias</w:t>
            </w:r>
            <w:r>
              <w:rPr>
                <w:noProof/>
                <w:webHidden/>
              </w:rPr>
              <w:tab/>
            </w:r>
            <w:r>
              <w:rPr>
                <w:noProof/>
                <w:webHidden/>
              </w:rPr>
              <w:fldChar w:fldCharType="begin"/>
            </w:r>
            <w:r>
              <w:rPr>
                <w:noProof/>
                <w:webHidden/>
              </w:rPr>
              <w:instrText xml:space="preserve"> PAGEREF _Toc242019722 \h </w:instrText>
            </w:r>
            <w:r>
              <w:rPr>
                <w:noProof/>
                <w:webHidden/>
              </w:rPr>
            </w:r>
            <w:r>
              <w:rPr>
                <w:noProof/>
                <w:webHidden/>
              </w:rPr>
              <w:fldChar w:fldCharType="separate"/>
            </w:r>
            <w:r>
              <w:rPr>
                <w:noProof/>
                <w:webHidden/>
              </w:rPr>
              <w:t>5</w:t>
            </w:r>
            <w:r>
              <w:rPr>
                <w:noProof/>
                <w:webHidden/>
              </w:rPr>
              <w:fldChar w:fldCharType="end"/>
            </w:r>
          </w:hyperlink>
        </w:p>
        <w:p w14:paraId="03D43326" w14:textId="7762D71B" w:rsidR="006D449B" w:rsidRDefault="006D449B">
          <w:pPr>
            <w:pStyle w:val="TOC2"/>
            <w:tabs>
              <w:tab w:val="right" w:leader="dot" w:pos="9016"/>
            </w:tabs>
            <w:rPr>
              <w:rFonts w:eastAsiaTheme="minorEastAsia"/>
              <w:noProof/>
              <w:lang w:eastAsia="en-GB"/>
            </w:rPr>
          </w:pPr>
          <w:hyperlink w:anchor="_Toc242019723" w:history="1">
            <w:r w:rsidRPr="00B505DE">
              <w:rPr>
                <w:rStyle w:val="Hyperlink"/>
                <w:rFonts w:ascii="Calibri" w:hAnsi="Calibri" w:cs="Calibri"/>
                <w:noProof/>
              </w:rPr>
              <w:t>3.1 Case Analysis</w:t>
            </w:r>
            <w:r>
              <w:rPr>
                <w:noProof/>
                <w:webHidden/>
              </w:rPr>
              <w:tab/>
            </w:r>
            <w:r>
              <w:rPr>
                <w:noProof/>
                <w:webHidden/>
              </w:rPr>
              <w:fldChar w:fldCharType="begin"/>
            </w:r>
            <w:r>
              <w:rPr>
                <w:noProof/>
                <w:webHidden/>
              </w:rPr>
              <w:instrText xml:space="preserve"> PAGEREF _Toc242019723 \h </w:instrText>
            </w:r>
            <w:r>
              <w:rPr>
                <w:noProof/>
                <w:webHidden/>
              </w:rPr>
            </w:r>
            <w:r>
              <w:rPr>
                <w:noProof/>
                <w:webHidden/>
              </w:rPr>
              <w:fldChar w:fldCharType="separate"/>
            </w:r>
            <w:r>
              <w:rPr>
                <w:noProof/>
                <w:webHidden/>
              </w:rPr>
              <w:t>5</w:t>
            </w:r>
            <w:r>
              <w:rPr>
                <w:noProof/>
                <w:webHidden/>
              </w:rPr>
              <w:fldChar w:fldCharType="end"/>
            </w:r>
          </w:hyperlink>
        </w:p>
        <w:p w14:paraId="7EBADE0A" w14:textId="12689D5D" w:rsidR="006D449B" w:rsidRDefault="006D449B">
          <w:pPr>
            <w:pStyle w:val="TOC2"/>
            <w:tabs>
              <w:tab w:val="right" w:leader="dot" w:pos="9016"/>
            </w:tabs>
            <w:rPr>
              <w:rFonts w:eastAsiaTheme="minorEastAsia"/>
              <w:noProof/>
              <w:lang w:eastAsia="en-GB"/>
            </w:rPr>
          </w:pPr>
          <w:hyperlink w:anchor="_Toc242019724" w:history="1">
            <w:r w:rsidRPr="00B505DE">
              <w:rPr>
                <w:rStyle w:val="Hyperlink"/>
                <w:rFonts w:ascii="Calibri" w:hAnsi="Calibri" w:cs="Calibri"/>
                <w:noProof/>
              </w:rPr>
              <w:t>3.2 Application to My Practice</w:t>
            </w:r>
            <w:r>
              <w:rPr>
                <w:noProof/>
                <w:webHidden/>
              </w:rPr>
              <w:tab/>
            </w:r>
            <w:r>
              <w:rPr>
                <w:noProof/>
                <w:webHidden/>
              </w:rPr>
              <w:fldChar w:fldCharType="begin"/>
            </w:r>
            <w:r>
              <w:rPr>
                <w:noProof/>
                <w:webHidden/>
              </w:rPr>
              <w:instrText xml:space="preserve"> PAGEREF _Toc242019724 \h </w:instrText>
            </w:r>
            <w:r>
              <w:rPr>
                <w:noProof/>
                <w:webHidden/>
              </w:rPr>
            </w:r>
            <w:r>
              <w:rPr>
                <w:noProof/>
                <w:webHidden/>
              </w:rPr>
              <w:fldChar w:fldCharType="separate"/>
            </w:r>
            <w:r>
              <w:rPr>
                <w:noProof/>
                <w:webHidden/>
              </w:rPr>
              <w:t>6</w:t>
            </w:r>
            <w:r>
              <w:rPr>
                <w:noProof/>
                <w:webHidden/>
              </w:rPr>
              <w:fldChar w:fldCharType="end"/>
            </w:r>
          </w:hyperlink>
        </w:p>
        <w:p w14:paraId="61E53066" w14:textId="3AE8792D" w:rsidR="006D449B" w:rsidRDefault="006D449B">
          <w:pPr>
            <w:pStyle w:val="TOC1"/>
            <w:tabs>
              <w:tab w:val="right" w:leader="dot" w:pos="9016"/>
            </w:tabs>
            <w:rPr>
              <w:rFonts w:eastAsiaTheme="minorEastAsia"/>
              <w:noProof/>
              <w:lang w:eastAsia="en-GB"/>
            </w:rPr>
          </w:pPr>
          <w:hyperlink w:anchor="_Toc242019725" w:history="1">
            <w:r w:rsidRPr="00B505DE">
              <w:rPr>
                <w:rStyle w:val="Hyperlink"/>
                <w:rFonts w:ascii="Calibri" w:hAnsi="Calibri" w:cs="Calibri"/>
                <w:noProof/>
              </w:rPr>
              <w:t>4. Accountability and Authentic Behaviour</w:t>
            </w:r>
            <w:r>
              <w:rPr>
                <w:noProof/>
                <w:webHidden/>
              </w:rPr>
              <w:tab/>
            </w:r>
            <w:r>
              <w:rPr>
                <w:noProof/>
                <w:webHidden/>
              </w:rPr>
              <w:fldChar w:fldCharType="begin"/>
            </w:r>
            <w:r>
              <w:rPr>
                <w:noProof/>
                <w:webHidden/>
              </w:rPr>
              <w:instrText xml:space="preserve"> PAGEREF _Toc242019725 \h </w:instrText>
            </w:r>
            <w:r>
              <w:rPr>
                <w:noProof/>
                <w:webHidden/>
              </w:rPr>
            </w:r>
            <w:r>
              <w:rPr>
                <w:noProof/>
                <w:webHidden/>
              </w:rPr>
              <w:fldChar w:fldCharType="separate"/>
            </w:r>
            <w:r>
              <w:rPr>
                <w:noProof/>
                <w:webHidden/>
              </w:rPr>
              <w:t>7</w:t>
            </w:r>
            <w:r>
              <w:rPr>
                <w:noProof/>
                <w:webHidden/>
              </w:rPr>
              <w:fldChar w:fldCharType="end"/>
            </w:r>
          </w:hyperlink>
        </w:p>
        <w:p w14:paraId="307EA22E" w14:textId="025C1F17" w:rsidR="006D449B" w:rsidRDefault="006D449B">
          <w:pPr>
            <w:pStyle w:val="TOC2"/>
            <w:tabs>
              <w:tab w:val="right" w:leader="dot" w:pos="9016"/>
            </w:tabs>
            <w:rPr>
              <w:rFonts w:eastAsiaTheme="minorEastAsia"/>
              <w:noProof/>
              <w:lang w:eastAsia="en-GB"/>
            </w:rPr>
          </w:pPr>
          <w:hyperlink w:anchor="_Toc242019726" w:history="1">
            <w:r w:rsidRPr="00B505DE">
              <w:rPr>
                <w:rStyle w:val="Hyperlink"/>
                <w:rFonts w:ascii="Calibri" w:hAnsi="Calibri" w:cs="Calibri"/>
                <w:noProof/>
              </w:rPr>
              <w:t>4.1 Case Analysis</w:t>
            </w:r>
            <w:r>
              <w:rPr>
                <w:noProof/>
                <w:webHidden/>
              </w:rPr>
              <w:tab/>
            </w:r>
            <w:r>
              <w:rPr>
                <w:noProof/>
                <w:webHidden/>
              </w:rPr>
              <w:fldChar w:fldCharType="begin"/>
            </w:r>
            <w:r>
              <w:rPr>
                <w:noProof/>
                <w:webHidden/>
              </w:rPr>
              <w:instrText xml:space="preserve"> PAGEREF _Toc242019726 \h </w:instrText>
            </w:r>
            <w:r>
              <w:rPr>
                <w:noProof/>
                <w:webHidden/>
              </w:rPr>
            </w:r>
            <w:r>
              <w:rPr>
                <w:noProof/>
                <w:webHidden/>
              </w:rPr>
              <w:fldChar w:fldCharType="separate"/>
            </w:r>
            <w:r>
              <w:rPr>
                <w:noProof/>
                <w:webHidden/>
              </w:rPr>
              <w:t>7</w:t>
            </w:r>
            <w:r>
              <w:rPr>
                <w:noProof/>
                <w:webHidden/>
              </w:rPr>
              <w:fldChar w:fldCharType="end"/>
            </w:r>
          </w:hyperlink>
        </w:p>
        <w:p w14:paraId="0520927C" w14:textId="50A348E0" w:rsidR="006D449B" w:rsidRDefault="006D449B">
          <w:pPr>
            <w:pStyle w:val="TOC2"/>
            <w:tabs>
              <w:tab w:val="right" w:leader="dot" w:pos="9016"/>
            </w:tabs>
            <w:rPr>
              <w:rFonts w:eastAsiaTheme="minorEastAsia"/>
              <w:noProof/>
              <w:lang w:eastAsia="en-GB"/>
            </w:rPr>
          </w:pPr>
          <w:hyperlink w:anchor="_Toc242019727" w:history="1">
            <w:r w:rsidRPr="00B505DE">
              <w:rPr>
                <w:rStyle w:val="Hyperlink"/>
                <w:rFonts w:ascii="Calibri" w:hAnsi="Calibri" w:cs="Calibri"/>
                <w:noProof/>
              </w:rPr>
              <w:t>4.2 Application to My Practice</w:t>
            </w:r>
            <w:r>
              <w:rPr>
                <w:noProof/>
                <w:webHidden/>
              </w:rPr>
              <w:tab/>
            </w:r>
            <w:r>
              <w:rPr>
                <w:noProof/>
                <w:webHidden/>
              </w:rPr>
              <w:fldChar w:fldCharType="begin"/>
            </w:r>
            <w:r>
              <w:rPr>
                <w:noProof/>
                <w:webHidden/>
              </w:rPr>
              <w:instrText xml:space="preserve"> PAGEREF _Toc242019727 \h </w:instrText>
            </w:r>
            <w:r>
              <w:rPr>
                <w:noProof/>
                <w:webHidden/>
              </w:rPr>
            </w:r>
            <w:r>
              <w:rPr>
                <w:noProof/>
                <w:webHidden/>
              </w:rPr>
              <w:fldChar w:fldCharType="separate"/>
            </w:r>
            <w:r>
              <w:rPr>
                <w:noProof/>
                <w:webHidden/>
              </w:rPr>
              <w:t>8</w:t>
            </w:r>
            <w:r>
              <w:rPr>
                <w:noProof/>
                <w:webHidden/>
              </w:rPr>
              <w:fldChar w:fldCharType="end"/>
            </w:r>
          </w:hyperlink>
        </w:p>
        <w:p w14:paraId="4DA0555F" w14:textId="75295FE3" w:rsidR="006D449B" w:rsidRDefault="006D449B">
          <w:pPr>
            <w:pStyle w:val="TOC1"/>
            <w:tabs>
              <w:tab w:val="right" w:leader="dot" w:pos="9016"/>
            </w:tabs>
            <w:rPr>
              <w:rFonts w:eastAsiaTheme="minorEastAsia"/>
              <w:noProof/>
              <w:lang w:eastAsia="en-GB"/>
            </w:rPr>
          </w:pPr>
          <w:hyperlink w:anchor="_Toc242019728" w:history="1">
            <w:r w:rsidRPr="00B505DE">
              <w:rPr>
                <w:rStyle w:val="Hyperlink"/>
                <w:rFonts w:ascii="Calibri" w:hAnsi="Calibri" w:cs="Calibri"/>
                <w:noProof/>
              </w:rPr>
              <w:t>5. Interpersonal Relationships</w:t>
            </w:r>
            <w:r>
              <w:rPr>
                <w:noProof/>
                <w:webHidden/>
              </w:rPr>
              <w:tab/>
            </w:r>
            <w:r>
              <w:rPr>
                <w:noProof/>
                <w:webHidden/>
              </w:rPr>
              <w:fldChar w:fldCharType="begin"/>
            </w:r>
            <w:r>
              <w:rPr>
                <w:noProof/>
                <w:webHidden/>
              </w:rPr>
              <w:instrText xml:space="preserve"> PAGEREF _Toc242019728 \h </w:instrText>
            </w:r>
            <w:r>
              <w:rPr>
                <w:noProof/>
                <w:webHidden/>
              </w:rPr>
            </w:r>
            <w:r>
              <w:rPr>
                <w:noProof/>
                <w:webHidden/>
              </w:rPr>
              <w:fldChar w:fldCharType="separate"/>
            </w:r>
            <w:r>
              <w:rPr>
                <w:noProof/>
                <w:webHidden/>
              </w:rPr>
              <w:t>9</w:t>
            </w:r>
            <w:r>
              <w:rPr>
                <w:noProof/>
                <w:webHidden/>
              </w:rPr>
              <w:fldChar w:fldCharType="end"/>
            </w:r>
          </w:hyperlink>
        </w:p>
        <w:p w14:paraId="1AF7EB71" w14:textId="5FEA376F" w:rsidR="006D449B" w:rsidRDefault="006D449B">
          <w:pPr>
            <w:pStyle w:val="TOC2"/>
            <w:tabs>
              <w:tab w:val="right" w:leader="dot" w:pos="9016"/>
            </w:tabs>
            <w:rPr>
              <w:rFonts w:eastAsiaTheme="minorEastAsia"/>
              <w:noProof/>
              <w:lang w:eastAsia="en-GB"/>
            </w:rPr>
          </w:pPr>
          <w:hyperlink w:anchor="_Toc242019729" w:history="1">
            <w:r w:rsidRPr="00B505DE">
              <w:rPr>
                <w:rStyle w:val="Hyperlink"/>
                <w:rFonts w:ascii="Calibri" w:hAnsi="Calibri" w:cs="Calibri"/>
                <w:noProof/>
              </w:rPr>
              <w:t>5.1 Case Analysis</w:t>
            </w:r>
            <w:r>
              <w:rPr>
                <w:noProof/>
                <w:webHidden/>
              </w:rPr>
              <w:tab/>
            </w:r>
            <w:r>
              <w:rPr>
                <w:noProof/>
                <w:webHidden/>
              </w:rPr>
              <w:fldChar w:fldCharType="begin"/>
            </w:r>
            <w:r>
              <w:rPr>
                <w:noProof/>
                <w:webHidden/>
              </w:rPr>
              <w:instrText xml:space="preserve"> PAGEREF _Toc242019729 \h </w:instrText>
            </w:r>
            <w:r>
              <w:rPr>
                <w:noProof/>
                <w:webHidden/>
              </w:rPr>
            </w:r>
            <w:r>
              <w:rPr>
                <w:noProof/>
                <w:webHidden/>
              </w:rPr>
              <w:fldChar w:fldCharType="separate"/>
            </w:r>
            <w:r>
              <w:rPr>
                <w:noProof/>
                <w:webHidden/>
              </w:rPr>
              <w:t>9</w:t>
            </w:r>
            <w:r>
              <w:rPr>
                <w:noProof/>
                <w:webHidden/>
              </w:rPr>
              <w:fldChar w:fldCharType="end"/>
            </w:r>
          </w:hyperlink>
        </w:p>
        <w:p w14:paraId="340FFDEE" w14:textId="1B7A0C59" w:rsidR="006D449B" w:rsidRDefault="006D449B">
          <w:pPr>
            <w:pStyle w:val="TOC2"/>
            <w:tabs>
              <w:tab w:val="right" w:leader="dot" w:pos="9016"/>
            </w:tabs>
            <w:rPr>
              <w:rFonts w:eastAsiaTheme="minorEastAsia"/>
              <w:noProof/>
              <w:lang w:eastAsia="en-GB"/>
            </w:rPr>
          </w:pPr>
          <w:hyperlink w:anchor="_Toc242019730" w:history="1">
            <w:r w:rsidRPr="00B505DE">
              <w:rPr>
                <w:rStyle w:val="Hyperlink"/>
                <w:rFonts w:ascii="Calibri" w:hAnsi="Calibri" w:cs="Calibri"/>
                <w:noProof/>
              </w:rPr>
              <w:t>5.2 Application to My Practice</w:t>
            </w:r>
            <w:r>
              <w:rPr>
                <w:noProof/>
                <w:webHidden/>
              </w:rPr>
              <w:tab/>
            </w:r>
            <w:r>
              <w:rPr>
                <w:noProof/>
                <w:webHidden/>
              </w:rPr>
              <w:fldChar w:fldCharType="begin"/>
            </w:r>
            <w:r>
              <w:rPr>
                <w:noProof/>
                <w:webHidden/>
              </w:rPr>
              <w:instrText xml:space="preserve"> PAGEREF _Toc242019730 \h </w:instrText>
            </w:r>
            <w:r>
              <w:rPr>
                <w:noProof/>
                <w:webHidden/>
              </w:rPr>
            </w:r>
            <w:r>
              <w:rPr>
                <w:noProof/>
                <w:webHidden/>
              </w:rPr>
              <w:fldChar w:fldCharType="separate"/>
            </w:r>
            <w:r>
              <w:rPr>
                <w:noProof/>
                <w:webHidden/>
              </w:rPr>
              <w:t>10</w:t>
            </w:r>
            <w:r>
              <w:rPr>
                <w:noProof/>
                <w:webHidden/>
              </w:rPr>
              <w:fldChar w:fldCharType="end"/>
            </w:r>
          </w:hyperlink>
        </w:p>
        <w:p w14:paraId="648D6FEC" w14:textId="772CF3C0" w:rsidR="006D449B" w:rsidRDefault="006D449B">
          <w:pPr>
            <w:pStyle w:val="TOC1"/>
            <w:tabs>
              <w:tab w:val="right" w:leader="dot" w:pos="9016"/>
            </w:tabs>
            <w:rPr>
              <w:rFonts w:eastAsiaTheme="minorEastAsia"/>
              <w:noProof/>
              <w:lang w:eastAsia="en-GB"/>
            </w:rPr>
          </w:pPr>
          <w:hyperlink w:anchor="_Toc242019731" w:history="1">
            <w:r w:rsidRPr="00B505DE">
              <w:rPr>
                <w:rStyle w:val="Hyperlink"/>
                <w:rFonts w:ascii="Calibri" w:hAnsi="Calibri" w:cs="Calibri"/>
                <w:noProof/>
              </w:rPr>
              <w:t>6. Professional Integrity</w:t>
            </w:r>
            <w:r>
              <w:rPr>
                <w:noProof/>
                <w:webHidden/>
              </w:rPr>
              <w:tab/>
            </w:r>
            <w:r>
              <w:rPr>
                <w:noProof/>
                <w:webHidden/>
              </w:rPr>
              <w:fldChar w:fldCharType="begin"/>
            </w:r>
            <w:r>
              <w:rPr>
                <w:noProof/>
                <w:webHidden/>
              </w:rPr>
              <w:instrText xml:space="preserve"> PAGEREF _Toc242019731 \h </w:instrText>
            </w:r>
            <w:r>
              <w:rPr>
                <w:noProof/>
                <w:webHidden/>
              </w:rPr>
            </w:r>
            <w:r>
              <w:rPr>
                <w:noProof/>
                <w:webHidden/>
              </w:rPr>
              <w:fldChar w:fldCharType="separate"/>
            </w:r>
            <w:r>
              <w:rPr>
                <w:noProof/>
                <w:webHidden/>
              </w:rPr>
              <w:t>11</w:t>
            </w:r>
            <w:r>
              <w:rPr>
                <w:noProof/>
                <w:webHidden/>
              </w:rPr>
              <w:fldChar w:fldCharType="end"/>
            </w:r>
          </w:hyperlink>
        </w:p>
        <w:p w14:paraId="210B901F" w14:textId="3990325C" w:rsidR="006D449B" w:rsidRDefault="006D449B">
          <w:pPr>
            <w:pStyle w:val="TOC2"/>
            <w:tabs>
              <w:tab w:val="right" w:leader="dot" w:pos="9016"/>
            </w:tabs>
            <w:rPr>
              <w:rFonts w:eastAsiaTheme="minorEastAsia"/>
              <w:noProof/>
              <w:lang w:eastAsia="en-GB"/>
            </w:rPr>
          </w:pPr>
          <w:hyperlink w:anchor="_Toc242019732" w:history="1">
            <w:r w:rsidRPr="00B505DE">
              <w:rPr>
                <w:rStyle w:val="Hyperlink"/>
                <w:rFonts w:ascii="Calibri" w:hAnsi="Calibri" w:cs="Calibri"/>
                <w:noProof/>
              </w:rPr>
              <w:t>6.1 Case Analysis</w:t>
            </w:r>
            <w:r>
              <w:rPr>
                <w:noProof/>
                <w:webHidden/>
              </w:rPr>
              <w:tab/>
            </w:r>
            <w:r>
              <w:rPr>
                <w:noProof/>
                <w:webHidden/>
              </w:rPr>
              <w:fldChar w:fldCharType="begin"/>
            </w:r>
            <w:r>
              <w:rPr>
                <w:noProof/>
                <w:webHidden/>
              </w:rPr>
              <w:instrText xml:space="preserve"> PAGEREF _Toc242019732 \h </w:instrText>
            </w:r>
            <w:r>
              <w:rPr>
                <w:noProof/>
                <w:webHidden/>
              </w:rPr>
            </w:r>
            <w:r>
              <w:rPr>
                <w:noProof/>
                <w:webHidden/>
              </w:rPr>
              <w:fldChar w:fldCharType="separate"/>
            </w:r>
            <w:r>
              <w:rPr>
                <w:noProof/>
                <w:webHidden/>
              </w:rPr>
              <w:t>11</w:t>
            </w:r>
            <w:r>
              <w:rPr>
                <w:noProof/>
                <w:webHidden/>
              </w:rPr>
              <w:fldChar w:fldCharType="end"/>
            </w:r>
          </w:hyperlink>
        </w:p>
        <w:p w14:paraId="53A4B181" w14:textId="5B038CF0" w:rsidR="006D449B" w:rsidRDefault="006D449B">
          <w:pPr>
            <w:pStyle w:val="TOC2"/>
            <w:tabs>
              <w:tab w:val="right" w:leader="dot" w:pos="9016"/>
            </w:tabs>
            <w:rPr>
              <w:rFonts w:eastAsiaTheme="minorEastAsia"/>
              <w:noProof/>
              <w:lang w:eastAsia="en-GB"/>
            </w:rPr>
          </w:pPr>
          <w:hyperlink w:anchor="_Toc242019733" w:history="1">
            <w:r w:rsidRPr="00B505DE">
              <w:rPr>
                <w:rStyle w:val="Hyperlink"/>
                <w:rFonts w:ascii="Calibri" w:hAnsi="Calibri" w:cs="Calibri"/>
                <w:noProof/>
              </w:rPr>
              <w:t>6.2 Application to My Practice</w:t>
            </w:r>
            <w:r>
              <w:rPr>
                <w:noProof/>
                <w:webHidden/>
              </w:rPr>
              <w:tab/>
            </w:r>
            <w:r>
              <w:rPr>
                <w:noProof/>
                <w:webHidden/>
              </w:rPr>
              <w:fldChar w:fldCharType="begin"/>
            </w:r>
            <w:r>
              <w:rPr>
                <w:noProof/>
                <w:webHidden/>
              </w:rPr>
              <w:instrText xml:space="preserve"> PAGEREF _Toc242019733 \h </w:instrText>
            </w:r>
            <w:r>
              <w:rPr>
                <w:noProof/>
                <w:webHidden/>
              </w:rPr>
            </w:r>
            <w:r>
              <w:rPr>
                <w:noProof/>
                <w:webHidden/>
              </w:rPr>
              <w:fldChar w:fldCharType="separate"/>
            </w:r>
            <w:r>
              <w:rPr>
                <w:noProof/>
                <w:webHidden/>
              </w:rPr>
              <w:t>12</w:t>
            </w:r>
            <w:r>
              <w:rPr>
                <w:noProof/>
                <w:webHidden/>
              </w:rPr>
              <w:fldChar w:fldCharType="end"/>
            </w:r>
          </w:hyperlink>
        </w:p>
        <w:p w14:paraId="703A7D33" w14:textId="422B8045" w:rsidR="006D449B" w:rsidRDefault="006D449B">
          <w:pPr>
            <w:pStyle w:val="TOC1"/>
            <w:tabs>
              <w:tab w:val="right" w:leader="dot" w:pos="9016"/>
            </w:tabs>
            <w:rPr>
              <w:rFonts w:eastAsiaTheme="minorEastAsia"/>
              <w:noProof/>
              <w:lang w:eastAsia="en-GB"/>
            </w:rPr>
          </w:pPr>
          <w:hyperlink w:anchor="_Toc242019734" w:history="1">
            <w:r w:rsidRPr="00B505DE">
              <w:rPr>
                <w:rStyle w:val="Hyperlink"/>
                <w:rFonts w:ascii="Calibri" w:hAnsi="Calibri" w:cs="Calibri"/>
                <w:noProof/>
              </w:rPr>
              <w:t>7. Conclusion</w:t>
            </w:r>
            <w:r>
              <w:rPr>
                <w:noProof/>
                <w:webHidden/>
              </w:rPr>
              <w:tab/>
            </w:r>
            <w:r>
              <w:rPr>
                <w:noProof/>
                <w:webHidden/>
              </w:rPr>
              <w:fldChar w:fldCharType="begin"/>
            </w:r>
            <w:r>
              <w:rPr>
                <w:noProof/>
                <w:webHidden/>
              </w:rPr>
              <w:instrText xml:space="preserve"> PAGEREF _Toc242019734 \h </w:instrText>
            </w:r>
            <w:r>
              <w:rPr>
                <w:noProof/>
                <w:webHidden/>
              </w:rPr>
            </w:r>
            <w:r>
              <w:rPr>
                <w:noProof/>
                <w:webHidden/>
              </w:rPr>
              <w:fldChar w:fldCharType="separate"/>
            </w:r>
            <w:r>
              <w:rPr>
                <w:noProof/>
                <w:webHidden/>
              </w:rPr>
              <w:t>14</w:t>
            </w:r>
            <w:r>
              <w:rPr>
                <w:noProof/>
                <w:webHidden/>
              </w:rPr>
              <w:fldChar w:fldCharType="end"/>
            </w:r>
          </w:hyperlink>
        </w:p>
        <w:p w14:paraId="0EE1F77B" w14:textId="728F268A" w:rsidR="006D449B" w:rsidRDefault="006D449B">
          <w:pPr>
            <w:pStyle w:val="TOC1"/>
            <w:tabs>
              <w:tab w:val="right" w:leader="dot" w:pos="9016"/>
            </w:tabs>
            <w:rPr>
              <w:rFonts w:eastAsiaTheme="minorEastAsia"/>
              <w:noProof/>
              <w:lang w:eastAsia="en-GB"/>
            </w:rPr>
          </w:pPr>
          <w:hyperlink w:anchor="_Toc242019735" w:history="1">
            <w:r w:rsidRPr="00B505DE">
              <w:rPr>
                <w:rStyle w:val="Hyperlink"/>
                <w:rFonts w:ascii="Calibri" w:hAnsi="Calibri" w:cs="Calibri"/>
                <w:noProof/>
              </w:rPr>
              <w:t>Appendix A – PDP</w:t>
            </w:r>
            <w:r>
              <w:rPr>
                <w:noProof/>
                <w:webHidden/>
              </w:rPr>
              <w:tab/>
            </w:r>
            <w:r>
              <w:rPr>
                <w:noProof/>
                <w:webHidden/>
              </w:rPr>
              <w:fldChar w:fldCharType="begin"/>
            </w:r>
            <w:r>
              <w:rPr>
                <w:noProof/>
                <w:webHidden/>
              </w:rPr>
              <w:instrText xml:space="preserve"> PAGEREF _Toc242019735 \h </w:instrText>
            </w:r>
            <w:r>
              <w:rPr>
                <w:noProof/>
                <w:webHidden/>
              </w:rPr>
            </w:r>
            <w:r>
              <w:rPr>
                <w:noProof/>
                <w:webHidden/>
              </w:rPr>
              <w:fldChar w:fldCharType="separate"/>
            </w:r>
            <w:r>
              <w:rPr>
                <w:noProof/>
                <w:webHidden/>
              </w:rPr>
              <w:t>15</w:t>
            </w:r>
            <w:r>
              <w:rPr>
                <w:noProof/>
                <w:webHidden/>
              </w:rPr>
              <w:fldChar w:fldCharType="end"/>
            </w:r>
          </w:hyperlink>
        </w:p>
        <w:p w14:paraId="0DDFD72B" w14:textId="71F2FD1B" w:rsidR="006D449B" w:rsidRDefault="006D449B">
          <w:pPr>
            <w:pStyle w:val="TOC1"/>
            <w:tabs>
              <w:tab w:val="right" w:leader="dot" w:pos="9016"/>
            </w:tabs>
            <w:rPr>
              <w:rFonts w:eastAsiaTheme="minorEastAsia"/>
              <w:noProof/>
              <w:lang w:eastAsia="en-GB"/>
            </w:rPr>
          </w:pPr>
          <w:hyperlink w:anchor="_Toc242019736" w:history="1">
            <w:r w:rsidRPr="00B505DE">
              <w:rPr>
                <w:rStyle w:val="Hyperlink"/>
                <w:rFonts w:ascii="Calibri" w:hAnsi="Calibri" w:cs="Calibri"/>
                <w:noProof/>
              </w:rPr>
              <w:t>References</w:t>
            </w:r>
            <w:r>
              <w:rPr>
                <w:noProof/>
                <w:webHidden/>
              </w:rPr>
              <w:tab/>
            </w:r>
            <w:r>
              <w:rPr>
                <w:noProof/>
                <w:webHidden/>
              </w:rPr>
              <w:fldChar w:fldCharType="begin"/>
            </w:r>
            <w:r>
              <w:rPr>
                <w:noProof/>
                <w:webHidden/>
              </w:rPr>
              <w:instrText xml:space="preserve"> PAGEREF _Toc242019736 \h </w:instrText>
            </w:r>
            <w:r>
              <w:rPr>
                <w:noProof/>
                <w:webHidden/>
              </w:rPr>
            </w:r>
            <w:r>
              <w:rPr>
                <w:noProof/>
                <w:webHidden/>
              </w:rPr>
              <w:fldChar w:fldCharType="separate"/>
            </w:r>
            <w:r>
              <w:rPr>
                <w:noProof/>
                <w:webHidden/>
              </w:rPr>
              <w:t>16</w:t>
            </w:r>
            <w:r>
              <w:rPr>
                <w:noProof/>
                <w:webHidden/>
              </w:rPr>
              <w:fldChar w:fldCharType="end"/>
            </w:r>
          </w:hyperlink>
        </w:p>
        <w:p w14:paraId="2B031ED2" w14:textId="5F4E49E9" w:rsidR="00D31A4A" w:rsidRPr="006D449B" w:rsidRDefault="00322060" w:rsidP="00700E0E">
          <w:pPr>
            <w:rPr>
              <w:rStyle w:val="Heading1Char"/>
              <w:rFonts w:ascii="Calibri" w:eastAsiaTheme="minorHAnsi" w:hAnsi="Calibri" w:cs="Calibri"/>
              <w:color w:val="auto"/>
              <w:sz w:val="24"/>
              <w:szCs w:val="24"/>
            </w:rPr>
          </w:pPr>
          <w:r w:rsidRPr="006D449B">
            <w:rPr>
              <w:rFonts w:ascii="Calibri" w:hAnsi="Calibri" w:cs="Calibri"/>
              <w:b/>
              <w:bCs/>
            </w:rPr>
            <w:fldChar w:fldCharType="end"/>
          </w:r>
        </w:p>
      </w:sdtContent>
    </w:sdt>
    <w:p w14:paraId="3D20B384" w14:textId="6A2866F8" w:rsidR="00700E0E" w:rsidRPr="00BA25E0" w:rsidRDefault="00700E0E" w:rsidP="00700E0E">
      <w:pPr>
        <w:rPr>
          <w:rFonts w:ascii="Calibri" w:hAnsi="Calibri" w:cs="Calibri"/>
          <w:b/>
          <w:bCs/>
        </w:rPr>
      </w:pPr>
      <w:bookmarkStart w:id="0" w:name="_Toc242017857"/>
      <w:bookmarkStart w:id="1" w:name="_Toc242019718"/>
      <w:r w:rsidRPr="00BA25E0">
        <w:rPr>
          <w:rStyle w:val="Heading1Char"/>
          <w:rFonts w:ascii="Calibri" w:hAnsi="Calibri" w:cs="Calibri"/>
          <w:color w:val="A02B93" w:themeColor="accent5"/>
        </w:rPr>
        <w:t>1. Introduction</w:t>
      </w:r>
      <w:bookmarkEnd w:id="0"/>
      <w:bookmarkEnd w:id="1"/>
      <w:r w:rsidRPr="00BA25E0">
        <w:rPr>
          <w:rFonts w:ascii="Calibri" w:hAnsi="Calibri" w:cs="Calibri"/>
          <w:b/>
          <w:bCs/>
          <w:color w:val="A02B93" w:themeColor="accent5"/>
        </w:rPr>
        <w:t xml:space="preserve"> </w:t>
      </w:r>
    </w:p>
    <w:p w14:paraId="1B586FD9" w14:textId="4815586E" w:rsidR="00700E0E" w:rsidRPr="00BA25E0" w:rsidRDefault="00546053" w:rsidP="00700E0E">
      <w:pPr>
        <w:rPr>
          <w:rFonts w:ascii="Calibri" w:hAnsi="Calibri" w:cs="Calibri"/>
        </w:rPr>
      </w:pPr>
      <w:r w:rsidRPr="00BA25E0">
        <w:rPr>
          <w:rFonts w:ascii="Calibri" w:hAnsi="Calibri" w:cs="Calibri"/>
        </w:rPr>
        <w:t>This review examines how self</w:t>
      </w:r>
      <w:r w:rsidRPr="00BA25E0">
        <w:rPr>
          <w:rFonts w:ascii="Calibri" w:hAnsi="Calibri" w:cs="Calibri"/>
        </w:rPr>
        <w:noBreakHyphen/>
        <w:t>management, bias, accountability, interpersonal relationships and professional integrity shaped behaviour and outcomes in the</w:t>
      </w:r>
      <w:r w:rsidR="003D4183" w:rsidRPr="00BA25E0">
        <w:rPr>
          <w:rFonts w:ascii="Calibri" w:hAnsi="Calibri" w:cs="Calibri"/>
        </w:rPr>
        <w:t xml:space="preserve"> e</w:t>
      </w:r>
      <w:r w:rsidRPr="00BA25E0">
        <w:rPr>
          <w:rFonts w:ascii="Calibri" w:hAnsi="Calibri" w:cs="Calibri"/>
        </w:rPr>
        <w:t xml:space="preserve">ngineering case. It evaluates why these issues occurred, how they affected individuals and the organisation, and how they interacted to create wider cultural problems. Alongside analysing the case, I apply the learning to my role as a senior support worker and team leader supporting children with ABI and complex needs. This comparison </w:t>
      </w:r>
      <w:r w:rsidR="00880819" w:rsidRPr="00BA25E0">
        <w:rPr>
          <w:rFonts w:ascii="Calibri" w:hAnsi="Calibri" w:cs="Calibri"/>
        </w:rPr>
        <w:t xml:space="preserve">shows </w:t>
      </w:r>
      <w:r w:rsidRPr="00BA25E0">
        <w:rPr>
          <w:rFonts w:ascii="Calibri" w:hAnsi="Calibri" w:cs="Calibri"/>
        </w:rPr>
        <w:t xml:space="preserve">how similar risks </w:t>
      </w:r>
      <w:r w:rsidR="00FB621E" w:rsidRPr="00BA25E0">
        <w:rPr>
          <w:rFonts w:ascii="Calibri" w:hAnsi="Calibri" w:cs="Calibri"/>
        </w:rPr>
        <w:t>are</w:t>
      </w:r>
      <w:r w:rsidRPr="00BA25E0">
        <w:rPr>
          <w:rFonts w:ascii="Calibri" w:hAnsi="Calibri" w:cs="Calibri"/>
        </w:rPr>
        <w:t xml:space="preserve"> in care environments and how reflective, evidence</w:t>
      </w:r>
      <w:r w:rsidRPr="00BA25E0">
        <w:rPr>
          <w:rFonts w:ascii="Calibri" w:hAnsi="Calibri" w:cs="Calibri"/>
        </w:rPr>
        <w:noBreakHyphen/>
        <w:t>based leadership can strengthen communication, decision</w:t>
      </w:r>
      <w:r w:rsidRPr="00BA25E0">
        <w:rPr>
          <w:rFonts w:ascii="Calibri" w:hAnsi="Calibri" w:cs="Calibri"/>
        </w:rPr>
        <w:noBreakHyphen/>
        <w:t>making and team culture. The review concludes with a reflective model and a SMART Personal Development Plan to guide future practice.</w:t>
      </w:r>
      <w:r w:rsidR="001D6B51" w:rsidRPr="00BA25E0">
        <w:rPr>
          <w:rFonts w:ascii="Calibri" w:hAnsi="Calibri" w:cs="Calibri"/>
        </w:rPr>
        <w:br/>
      </w:r>
    </w:p>
    <w:p w14:paraId="2AC78803" w14:textId="23D9BD35" w:rsidR="00700E0E" w:rsidRPr="00BA25E0" w:rsidRDefault="00700E0E" w:rsidP="008D0C9D">
      <w:pPr>
        <w:pStyle w:val="Heading1"/>
        <w:rPr>
          <w:rFonts w:ascii="Calibri" w:hAnsi="Calibri" w:cs="Calibri"/>
          <w:color w:val="A02B93" w:themeColor="accent5"/>
        </w:rPr>
      </w:pPr>
      <w:bookmarkStart w:id="2" w:name="_Toc242017858"/>
      <w:bookmarkStart w:id="3" w:name="_Toc242019719"/>
      <w:r w:rsidRPr="00BA25E0">
        <w:rPr>
          <w:rFonts w:ascii="Calibri" w:hAnsi="Calibri" w:cs="Calibri"/>
          <w:color w:val="A02B93" w:themeColor="accent5"/>
        </w:rPr>
        <w:lastRenderedPageBreak/>
        <w:t>2. Self</w:t>
      </w:r>
      <w:r w:rsidRPr="00BA25E0">
        <w:rPr>
          <w:rFonts w:ascii="Calibri" w:hAnsi="Calibri" w:cs="Calibri"/>
          <w:color w:val="A02B93" w:themeColor="accent5"/>
        </w:rPr>
        <w:noBreakHyphen/>
        <w:t>Management</w:t>
      </w:r>
      <w:bookmarkEnd w:id="2"/>
      <w:bookmarkEnd w:id="3"/>
    </w:p>
    <w:p w14:paraId="1CEEB5B5" w14:textId="7B0E1A0F" w:rsidR="006A5AD4" w:rsidRPr="00BA25E0" w:rsidRDefault="006A5AD4" w:rsidP="0070534A">
      <w:pPr>
        <w:rPr>
          <w:rFonts w:ascii="Calibri" w:hAnsi="Calibri" w:cs="Calibri"/>
        </w:rPr>
      </w:pPr>
      <w:r w:rsidRPr="00BA25E0">
        <w:rPr>
          <w:rFonts w:ascii="Calibri" w:hAnsi="Calibri" w:cs="Calibri"/>
        </w:rPr>
        <w:t>Self</w:t>
      </w:r>
      <w:r w:rsidRPr="00BA25E0">
        <w:rPr>
          <w:rFonts w:ascii="Calibri" w:hAnsi="Calibri" w:cs="Calibri"/>
        </w:rPr>
        <w:noBreakHyphen/>
        <w:t>management involves recognising and regulating emotions, behaviour and priorities, particularly when pressure or uncertainty increases. It requires understanding how emotional responses shape decision</w:t>
      </w:r>
      <w:r w:rsidRPr="00BA25E0">
        <w:rPr>
          <w:rFonts w:ascii="Calibri" w:hAnsi="Calibri" w:cs="Calibri"/>
        </w:rPr>
        <w:noBreakHyphen/>
        <w:t>making and communication and adjusting behaviour in ways that support effective practice. Goleman, (1998) identifies self</w:t>
      </w:r>
      <w:r w:rsidRPr="00BA25E0">
        <w:rPr>
          <w:rFonts w:ascii="Calibri" w:hAnsi="Calibri" w:cs="Calibri"/>
        </w:rPr>
        <w:noBreakHyphen/>
        <w:t>management as a core component of emotional intelligence, enabling individuals to maintain constructive behaviour even in difficult situations. Emotional regulation is also essential for maintaining clarity and preventing reactive decision</w:t>
      </w:r>
      <w:r w:rsidRPr="00BA25E0">
        <w:rPr>
          <w:rFonts w:ascii="Calibri" w:hAnsi="Calibri" w:cs="Calibri"/>
        </w:rPr>
        <w:noBreakHyphen/>
        <w:t>making under pressure (Lempert &amp; Phelps, 2014).</w:t>
      </w:r>
    </w:p>
    <w:p w14:paraId="6378C43D" w14:textId="77777777" w:rsidR="006A5AD4" w:rsidRPr="00BA25E0" w:rsidRDefault="006A5AD4" w:rsidP="008D0C9D">
      <w:pPr>
        <w:pStyle w:val="Heading2"/>
        <w:rPr>
          <w:rFonts w:ascii="Calibri" w:eastAsiaTheme="minorHAnsi" w:hAnsi="Calibri" w:cs="Calibri"/>
          <w:color w:val="auto"/>
          <w:sz w:val="24"/>
          <w:szCs w:val="24"/>
        </w:rPr>
      </w:pPr>
    </w:p>
    <w:p w14:paraId="45310DB6" w14:textId="0CBDABE9" w:rsidR="00700E0E" w:rsidRPr="00BA25E0" w:rsidRDefault="00700E0E" w:rsidP="008D0C9D">
      <w:pPr>
        <w:pStyle w:val="Heading2"/>
        <w:rPr>
          <w:rFonts w:ascii="Calibri" w:hAnsi="Calibri" w:cs="Calibri"/>
          <w:color w:val="A02B93" w:themeColor="accent5"/>
        </w:rPr>
      </w:pPr>
      <w:bookmarkStart w:id="4" w:name="_Toc242017859"/>
      <w:bookmarkStart w:id="5" w:name="_Toc242019720"/>
      <w:r w:rsidRPr="00BA25E0">
        <w:rPr>
          <w:rFonts w:ascii="Calibri" w:hAnsi="Calibri" w:cs="Calibri"/>
          <w:color w:val="A02B93" w:themeColor="accent5"/>
        </w:rPr>
        <w:t>2.1 Case Analysis</w:t>
      </w:r>
      <w:bookmarkEnd w:id="4"/>
      <w:bookmarkEnd w:id="5"/>
    </w:p>
    <w:p w14:paraId="1D824EE5" w14:textId="76B9147D" w:rsidR="00DF5EEB" w:rsidRPr="00BA25E0" w:rsidRDefault="00DF5EEB" w:rsidP="00DF5EEB">
      <w:pPr>
        <w:rPr>
          <w:rFonts w:ascii="Calibri" w:hAnsi="Calibri" w:cs="Calibri"/>
        </w:rPr>
      </w:pPr>
      <w:r w:rsidRPr="00BA25E0">
        <w:rPr>
          <w:rFonts w:ascii="Calibri" w:hAnsi="Calibri" w:cs="Calibri"/>
        </w:rPr>
        <w:t xml:space="preserve">In the case study, deadline pressure significantly influenced behaviour across the team. As the project fell behind, stress increased and existing relational tensions became more visible. Management focused heavily on reputational risk and the approaching deadline, but their decision to approach the team directly without informing Alice showed a lack of emotional regulation. Rather than pausing to consider how their actions might affect trust or communication, they reacted to pressure by bypassing established roles, </w:t>
      </w:r>
      <w:r w:rsidR="003B3BD3" w:rsidRPr="00BA25E0">
        <w:rPr>
          <w:rFonts w:ascii="Calibri" w:hAnsi="Calibri" w:cs="Calibri"/>
        </w:rPr>
        <w:t>showing</w:t>
      </w:r>
      <w:r w:rsidRPr="00BA25E0">
        <w:rPr>
          <w:rFonts w:ascii="Calibri" w:hAnsi="Calibri" w:cs="Calibri"/>
        </w:rPr>
        <w:t xml:space="preserve"> that relational concerns were less important than meeting the deadline.</w:t>
      </w:r>
    </w:p>
    <w:p w14:paraId="2B1961C9" w14:textId="2AF248F2" w:rsidR="00DF5EEB" w:rsidRPr="00BA25E0" w:rsidRDefault="00DF5EEB" w:rsidP="00DF5EEB">
      <w:pPr>
        <w:rPr>
          <w:rFonts w:ascii="Calibri" w:hAnsi="Calibri" w:cs="Calibri"/>
        </w:rPr>
      </w:pPr>
      <w:r w:rsidRPr="00BA25E0">
        <w:rPr>
          <w:rFonts w:ascii="Calibri" w:hAnsi="Calibri" w:cs="Calibri"/>
        </w:rPr>
        <w:t>Alice also faced emotional strain</w:t>
      </w:r>
      <w:r w:rsidR="00454AAC" w:rsidRPr="00BA25E0">
        <w:rPr>
          <w:rFonts w:ascii="Calibri" w:hAnsi="Calibri" w:cs="Calibri"/>
        </w:rPr>
        <w:t>, b</w:t>
      </w:r>
      <w:r w:rsidRPr="00BA25E0">
        <w:rPr>
          <w:rFonts w:ascii="Calibri" w:hAnsi="Calibri" w:cs="Calibri"/>
        </w:rPr>
        <w:t>eing excluded from discussions and having her expertise questioned triggered frustration and guarded behaviour. While emotional</w:t>
      </w:r>
      <w:r w:rsidRPr="00BA25E0">
        <w:rPr>
          <w:rFonts w:ascii="Calibri" w:hAnsi="Calibri" w:cs="Calibri"/>
        </w:rPr>
        <w:noBreakHyphen/>
        <w:t>regulation theory helps explain her response, it cannot be viewed purely as an individual self</w:t>
      </w:r>
      <w:r w:rsidRPr="00BA25E0">
        <w:rPr>
          <w:rFonts w:ascii="Calibri" w:hAnsi="Calibri" w:cs="Calibri"/>
        </w:rPr>
        <w:noBreakHyphen/>
        <w:t xml:space="preserve">management issue. Her guardedness emerged from organisational behaviours such as being bypassed, not receiving promised resources and experiencing repeated exclusion. This </w:t>
      </w:r>
      <w:r w:rsidR="00880819" w:rsidRPr="00BA25E0">
        <w:rPr>
          <w:rFonts w:ascii="Calibri" w:hAnsi="Calibri" w:cs="Calibri"/>
        </w:rPr>
        <w:t>shows</w:t>
      </w:r>
      <w:r w:rsidRPr="00BA25E0">
        <w:rPr>
          <w:rFonts w:ascii="Calibri" w:hAnsi="Calibri" w:cs="Calibri"/>
        </w:rPr>
        <w:t xml:space="preserve"> a key limitation of self</w:t>
      </w:r>
      <w:r w:rsidRPr="00BA25E0">
        <w:rPr>
          <w:rFonts w:ascii="Calibri" w:hAnsi="Calibri" w:cs="Calibri"/>
        </w:rPr>
        <w:noBreakHyphen/>
        <w:t>management</w:t>
      </w:r>
      <w:r w:rsidR="00B07686" w:rsidRPr="00BA25E0">
        <w:rPr>
          <w:rFonts w:ascii="Calibri" w:hAnsi="Calibri" w:cs="Calibri"/>
        </w:rPr>
        <w:t>. R</w:t>
      </w:r>
      <w:r w:rsidRPr="00BA25E0">
        <w:rPr>
          <w:rFonts w:ascii="Calibri" w:hAnsi="Calibri" w:cs="Calibri"/>
        </w:rPr>
        <w:t>egulating emotions may help someone respond professionally, but it cannot resolve structural problems created by unclear leadership, broken commitments or inequitable treatment. Pressure may explain deteriorating communication, but it does not fully explain why Alice was specifically bypassed or why her expertise was repeatedly questioned. This suggests unmanaged pressure interacted with deeper cultural issues rather than acting as the sole cause. Distinguishing between situational stress and underlying behavioural patterns is essential, because otherwise responsibility can be unintentionally shifted from organisational decisions to the individual experiencing the consequences.</w:t>
      </w:r>
    </w:p>
    <w:p w14:paraId="07C93783" w14:textId="77777777" w:rsidR="00DF5EEB" w:rsidRPr="00BA25E0" w:rsidRDefault="00DF5EEB" w:rsidP="00DF5EEB">
      <w:pPr>
        <w:rPr>
          <w:rFonts w:ascii="Calibri" w:hAnsi="Calibri" w:cs="Calibri"/>
        </w:rPr>
      </w:pPr>
      <w:r w:rsidRPr="00BA25E0">
        <w:rPr>
          <w:rFonts w:ascii="Calibri" w:hAnsi="Calibri" w:cs="Calibri"/>
        </w:rPr>
        <w:t>Edmondson (2019) explains that when people feel unsafe, they reduce information sharing to protect themselves. In this case, Alice’s guardedness contributed to a cycle where reduced communication led to further mistrust, reinforcing her withdrawal. Despite her 30 years of experience, she felt unable to contribute effectively and eventually resigned, followed by her wife. The case demonstrates how unmanaged emotions and reactive behaviour undermine effective self</w:t>
      </w:r>
      <w:r w:rsidRPr="00BA25E0">
        <w:rPr>
          <w:rFonts w:ascii="Calibri" w:hAnsi="Calibri" w:cs="Calibri"/>
        </w:rPr>
        <w:noBreakHyphen/>
        <w:t>management, escalating conflict rather than resolving it.</w:t>
      </w:r>
    </w:p>
    <w:p w14:paraId="4F847142" w14:textId="5D4E3CE0" w:rsidR="00700E0E" w:rsidRPr="00BA25E0" w:rsidRDefault="00700E0E" w:rsidP="00700E0E">
      <w:pPr>
        <w:rPr>
          <w:rFonts w:ascii="Calibri" w:hAnsi="Calibri" w:cs="Calibri"/>
        </w:rPr>
      </w:pPr>
    </w:p>
    <w:p w14:paraId="26F9CC2B" w14:textId="77777777" w:rsidR="00700E0E" w:rsidRPr="00BA25E0" w:rsidRDefault="00700E0E" w:rsidP="008D0C9D">
      <w:pPr>
        <w:pStyle w:val="Heading2"/>
        <w:rPr>
          <w:rFonts w:ascii="Calibri" w:hAnsi="Calibri" w:cs="Calibri"/>
          <w:color w:val="A02B93" w:themeColor="accent5"/>
        </w:rPr>
      </w:pPr>
      <w:bookmarkStart w:id="6" w:name="_Toc242017860"/>
      <w:bookmarkStart w:id="7" w:name="_Toc242019721"/>
      <w:r w:rsidRPr="00BA25E0">
        <w:rPr>
          <w:rFonts w:ascii="Calibri" w:hAnsi="Calibri" w:cs="Calibri"/>
          <w:color w:val="A02B93" w:themeColor="accent5"/>
        </w:rPr>
        <w:t>2.2 Application to My Practice</w:t>
      </w:r>
      <w:bookmarkEnd w:id="6"/>
      <w:bookmarkEnd w:id="7"/>
    </w:p>
    <w:p w14:paraId="021C1270" w14:textId="77777777" w:rsidR="00D169DE" w:rsidRPr="00BA25E0" w:rsidRDefault="00251AAE" w:rsidP="00251AAE">
      <w:pPr>
        <w:rPr>
          <w:rFonts w:ascii="Calibri" w:hAnsi="Calibri" w:cs="Calibri"/>
        </w:rPr>
      </w:pPr>
      <w:r w:rsidRPr="00BA25E0">
        <w:rPr>
          <w:rFonts w:ascii="Calibri" w:hAnsi="Calibri" w:cs="Calibri"/>
        </w:rPr>
        <w:t>Self</w:t>
      </w:r>
      <w:r w:rsidRPr="00BA25E0">
        <w:rPr>
          <w:rFonts w:ascii="Calibri" w:hAnsi="Calibri" w:cs="Calibri"/>
        </w:rPr>
        <w:noBreakHyphen/>
        <w:t xml:space="preserve">management is essential in my role supporting children with ABI, where situations can be unpredictable and emotionally challenging. When staff do not follow a care plan, my initial reaction may be frustration because inconsistency can directly affect the child’s safety. If I respond sharply, staff may become defensive or hesitant to raise concerns in future. </w:t>
      </w:r>
      <w:r w:rsidR="00D169DE" w:rsidRPr="00BA25E0">
        <w:rPr>
          <w:rFonts w:ascii="Calibri" w:hAnsi="Calibri" w:cs="Calibri"/>
        </w:rPr>
        <w:t>This reflects the case, where reactive behaviour reduced psychological safety and discouraged open communication.</w:t>
      </w:r>
    </w:p>
    <w:p w14:paraId="2FCECB41" w14:textId="2AD680E8" w:rsidR="00251AAE" w:rsidRPr="00BA25E0" w:rsidRDefault="00251AAE" w:rsidP="00251AAE">
      <w:pPr>
        <w:rPr>
          <w:rFonts w:ascii="Calibri" w:hAnsi="Calibri" w:cs="Calibri"/>
        </w:rPr>
      </w:pPr>
      <w:r w:rsidRPr="00BA25E0">
        <w:rPr>
          <w:rFonts w:ascii="Calibri" w:hAnsi="Calibri" w:cs="Calibri"/>
        </w:rPr>
        <w:t>Instead, regulating my response allows me to focus on understanding what has happened. I can ask whether the plan was misunderstood, whether something unexpected occurred or whether the staff member needs more support or a competency assessment. This helps identify the underlying issue rather than reacting to the mistake alone. It also models the calm, consistent behaviour staff rely on during challenging moments (Mesmer</w:t>
      </w:r>
      <w:r w:rsidRPr="00BA25E0">
        <w:rPr>
          <w:rFonts w:ascii="Calibri" w:hAnsi="Calibri" w:cs="Calibri"/>
        </w:rPr>
        <w:noBreakHyphen/>
        <w:t>Magnus et al., 2017), supporting clearer communication and reducing defensiveness.</w:t>
      </w:r>
    </w:p>
    <w:p w14:paraId="2B5838DB" w14:textId="25B29604" w:rsidR="00251AAE" w:rsidRPr="00BA25E0" w:rsidRDefault="00251AAE" w:rsidP="00251AAE">
      <w:pPr>
        <w:rPr>
          <w:rFonts w:ascii="Calibri" w:hAnsi="Calibri" w:cs="Calibri"/>
        </w:rPr>
      </w:pPr>
      <w:r w:rsidRPr="00BA25E0">
        <w:rPr>
          <w:rFonts w:ascii="Calibri" w:hAnsi="Calibri" w:cs="Calibri"/>
        </w:rPr>
        <w:t>When a child’s behaviour escalates and staff feel overwhelmed, emotional regulation supports safe decision</w:t>
      </w:r>
      <w:r w:rsidRPr="00BA25E0">
        <w:rPr>
          <w:rFonts w:ascii="Calibri" w:hAnsi="Calibri" w:cs="Calibri"/>
        </w:rPr>
        <w:noBreakHyphen/>
        <w:t>making, but remaining calm does not mean overlooking legitimate concerns. A regulated response enables a pause</w:t>
      </w:r>
      <w:r w:rsidR="00192FAB" w:rsidRPr="00BA25E0">
        <w:rPr>
          <w:rFonts w:ascii="Calibri" w:hAnsi="Calibri" w:cs="Calibri"/>
        </w:rPr>
        <w:t xml:space="preserve"> –</w:t>
      </w:r>
      <w:r w:rsidRPr="00BA25E0">
        <w:rPr>
          <w:rFonts w:ascii="Calibri" w:hAnsi="Calibri" w:cs="Calibri"/>
        </w:rPr>
        <w:t xml:space="preserve"> assessment</w:t>
      </w:r>
      <w:r w:rsidR="00192FAB" w:rsidRPr="00BA25E0">
        <w:rPr>
          <w:rFonts w:ascii="Calibri" w:hAnsi="Calibri" w:cs="Calibri"/>
        </w:rPr>
        <w:t xml:space="preserve"> -</w:t>
      </w:r>
      <w:r w:rsidRPr="00BA25E0">
        <w:rPr>
          <w:rFonts w:ascii="Calibri" w:hAnsi="Calibri" w:cs="Calibri"/>
        </w:rPr>
        <w:t xml:space="preserve"> evidence </w:t>
      </w:r>
      <w:r w:rsidR="00192FAB" w:rsidRPr="00BA25E0">
        <w:rPr>
          <w:rFonts w:ascii="Calibri" w:hAnsi="Calibri" w:cs="Calibri"/>
        </w:rPr>
        <w:t xml:space="preserve">- </w:t>
      </w:r>
      <w:r w:rsidRPr="00BA25E0">
        <w:rPr>
          <w:rFonts w:ascii="Calibri" w:hAnsi="Calibri" w:cs="Calibri"/>
        </w:rPr>
        <w:t>action sequence, ensuring behaviour is interpreted accurately rather than reactively. This matters because challenging behaviour may have multiple explanations, including pain, sensory overload</w:t>
      </w:r>
      <w:r w:rsidR="00F1163D" w:rsidRPr="00BA25E0">
        <w:rPr>
          <w:rFonts w:ascii="Calibri" w:hAnsi="Calibri" w:cs="Calibri"/>
        </w:rPr>
        <w:t>, complex</w:t>
      </w:r>
      <w:r w:rsidRPr="00BA25E0">
        <w:rPr>
          <w:rFonts w:ascii="Calibri" w:hAnsi="Calibri" w:cs="Calibri"/>
        </w:rPr>
        <w:t xml:space="preserve"> difficulties</w:t>
      </w:r>
      <w:r w:rsidR="00F1163D" w:rsidRPr="00BA25E0">
        <w:rPr>
          <w:rFonts w:ascii="Calibri" w:hAnsi="Calibri" w:cs="Calibri"/>
        </w:rPr>
        <w:t xml:space="preserve"> and communication </w:t>
      </w:r>
      <w:r w:rsidR="00341CBD" w:rsidRPr="00BA25E0">
        <w:rPr>
          <w:rFonts w:ascii="Calibri" w:hAnsi="Calibri" w:cs="Calibri"/>
        </w:rPr>
        <w:t>issues</w:t>
      </w:r>
      <w:r w:rsidRPr="00BA25E0">
        <w:rPr>
          <w:rFonts w:ascii="Calibri" w:hAnsi="Calibri" w:cs="Calibri"/>
        </w:rPr>
        <w:t>. Emotional regulation therefore protects both professional judgement and the child’s safety by preventing premature assumptions. It also ensures accountability is maintained: staff must feel safe to raise concerns, but they must also understand that calmness is a tool for clearer thinking, not a substitute for action. Effective self</w:t>
      </w:r>
      <w:r w:rsidRPr="00BA25E0">
        <w:rPr>
          <w:rFonts w:ascii="Calibri" w:hAnsi="Calibri" w:cs="Calibri"/>
        </w:rPr>
        <w:noBreakHyphen/>
        <w:t>management requires both individual regulation and organisational support structures that encourage reflective, evidence</w:t>
      </w:r>
      <w:r w:rsidRPr="00BA25E0">
        <w:rPr>
          <w:rFonts w:ascii="Calibri" w:hAnsi="Calibri" w:cs="Calibri"/>
        </w:rPr>
        <w:noBreakHyphen/>
        <w:t>based practice.</w:t>
      </w:r>
    </w:p>
    <w:p w14:paraId="4955D859" w14:textId="77777777" w:rsidR="00322060" w:rsidRPr="00BA25E0" w:rsidRDefault="00251AAE" w:rsidP="00322060">
      <w:pPr>
        <w:rPr>
          <w:rStyle w:val="Heading1Char"/>
          <w:rFonts w:ascii="Calibri" w:hAnsi="Calibri" w:cs="Calibri"/>
          <w:color w:val="A02B93" w:themeColor="accent5"/>
        </w:rPr>
      </w:pPr>
      <w:r w:rsidRPr="00BA25E0">
        <w:rPr>
          <w:rFonts w:ascii="Calibri" w:hAnsi="Calibri" w:cs="Calibri"/>
        </w:rPr>
        <w:t>Research suggests that leaders who regulate their emotions intentionally create calmer, more effective teams, improve communication and reduce conflict, particularly in high</w:t>
      </w:r>
      <w:r w:rsidRPr="00BA25E0">
        <w:rPr>
          <w:rFonts w:ascii="Calibri" w:hAnsi="Calibri" w:cs="Calibri"/>
        </w:rPr>
        <w:noBreakHyphen/>
        <w:t>pressure environments (Mesmer</w:t>
      </w:r>
      <w:r w:rsidRPr="00BA25E0">
        <w:rPr>
          <w:rFonts w:ascii="Calibri" w:hAnsi="Calibri" w:cs="Calibri"/>
        </w:rPr>
        <w:noBreakHyphen/>
        <w:t>Magnus et al., 2017). Choosing to regulate my response can therefore strengthen team stability and enhance safe practice.</w:t>
      </w:r>
      <w:r w:rsidR="00462550" w:rsidRPr="00BA25E0">
        <w:rPr>
          <w:rFonts w:ascii="Calibri" w:hAnsi="Calibri" w:cs="Calibri"/>
        </w:rPr>
        <w:br/>
      </w:r>
      <w:r w:rsidR="00462550" w:rsidRPr="00BA25E0">
        <w:rPr>
          <w:rFonts w:ascii="Calibri" w:hAnsi="Calibri" w:cs="Calibri"/>
        </w:rPr>
        <w:br/>
      </w:r>
      <w:bookmarkStart w:id="8" w:name="_Toc242017861"/>
    </w:p>
    <w:p w14:paraId="65A799F4" w14:textId="77777777" w:rsidR="006D449B" w:rsidRPr="00BA25E0" w:rsidRDefault="006D449B" w:rsidP="00322060">
      <w:pPr>
        <w:rPr>
          <w:rStyle w:val="Heading1Char"/>
          <w:rFonts w:ascii="Calibri" w:hAnsi="Calibri" w:cs="Calibri"/>
          <w:color w:val="A02B93" w:themeColor="accent5"/>
        </w:rPr>
      </w:pPr>
    </w:p>
    <w:p w14:paraId="27940103" w14:textId="77777777" w:rsidR="006D449B" w:rsidRPr="00BA25E0" w:rsidRDefault="006D449B" w:rsidP="00322060">
      <w:pPr>
        <w:rPr>
          <w:rStyle w:val="Heading1Char"/>
          <w:rFonts w:ascii="Calibri" w:hAnsi="Calibri" w:cs="Calibri"/>
          <w:color w:val="A02B93" w:themeColor="accent5"/>
        </w:rPr>
      </w:pPr>
    </w:p>
    <w:p w14:paraId="76486875" w14:textId="77777777" w:rsidR="006D449B" w:rsidRPr="00BA25E0" w:rsidRDefault="006D449B" w:rsidP="00322060">
      <w:pPr>
        <w:rPr>
          <w:rStyle w:val="Heading1Char"/>
          <w:rFonts w:ascii="Calibri" w:hAnsi="Calibri" w:cs="Calibri"/>
          <w:color w:val="A02B93" w:themeColor="accent5"/>
        </w:rPr>
      </w:pPr>
    </w:p>
    <w:p w14:paraId="65CCFFCF" w14:textId="0DB08E75" w:rsidR="00700E0E" w:rsidRPr="00BA25E0" w:rsidRDefault="00CC6452" w:rsidP="00322060">
      <w:pPr>
        <w:rPr>
          <w:rFonts w:ascii="Calibri" w:hAnsi="Calibri" w:cs="Calibri"/>
        </w:rPr>
      </w:pPr>
      <w:bookmarkStart w:id="9" w:name="_Toc242019722"/>
      <w:r w:rsidRPr="00BA25E0">
        <w:rPr>
          <w:rStyle w:val="Heading1Char"/>
          <w:rFonts w:ascii="Calibri" w:hAnsi="Calibri" w:cs="Calibri"/>
          <w:color w:val="A02B93" w:themeColor="accent5"/>
        </w:rPr>
        <w:lastRenderedPageBreak/>
        <w:t xml:space="preserve">3. </w:t>
      </w:r>
      <w:r w:rsidR="00700E0E" w:rsidRPr="00BA25E0">
        <w:rPr>
          <w:rStyle w:val="Heading1Char"/>
          <w:rFonts w:ascii="Calibri" w:hAnsi="Calibri" w:cs="Calibri"/>
          <w:color w:val="A02B93" w:themeColor="accent5"/>
        </w:rPr>
        <w:t>Personal, Cognitive and Unconscious Bias</w:t>
      </w:r>
      <w:bookmarkEnd w:id="8"/>
      <w:bookmarkEnd w:id="9"/>
      <w:r w:rsidR="00700E0E" w:rsidRPr="00BA25E0">
        <w:rPr>
          <w:rFonts w:ascii="Calibri" w:hAnsi="Calibri" w:cs="Calibri"/>
          <w:color w:val="A02B93" w:themeColor="accent5"/>
        </w:rPr>
        <w:t xml:space="preserve"> </w:t>
      </w:r>
    </w:p>
    <w:p w14:paraId="047EA1BD" w14:textId="17140D58" w:rsidR="00700E0E" w:rsidRPr="00BA25E0" w:rsidRDefault="00BA7D7A" w:rsidP="00700E0E">
      <w:pPr>
        <w:rPr>
          <w:rFonts w:ascii="Calibri" w:hAnsi="Calibri" w:cs="Calibri"/>
        </w:rPr>
      </w:pPr>
      <w:r w:rsidRPr="00BA25E0">
        <w:rPr>
          <w:rFonts w:ascii="Calibri" w:hAnsi="Calibri" w:cs="Calibri"/>
        </w:rPr>
        <w:t>Bias influences how people interpret behaviour, judge competence and make decisions. Personal bias stems from preferences or past experiences, cognitive bias involves mental shortcuts that simplify decision</w:t>
      </w:r>
      <w:r w:rsidRPr="00BA25E0">
        <w:rPr>
          <w:rFonts w:ascii="Calibri" w:hAnsi="Calibri" w:cs="Calibri"/>
        </w:rPr>
        <w:noBreakHyphen/>
        <w:t>making, and unconscious bias reflects automatic assumptions outside awareness (Imperial College, 2023). Kahneman (2011) explains that cognitive shortcuts help people make quick judgements, but they often lead to errors.</w:t>
      </w:r>
      <w:r w:rsidR="00700E0E" w:rsidRPr="00BA25E0">
        <w:rPr>
          <w:rFonts w:ascii="Calibri" w:hAnsi="Calibri" w:cs="Calibri"/>
        </w:rPr>
        <w:t xml:space="preserve"> </w:t>
      </w:r>
    </w:p>
    <w:p w14:paraId="090F749A" w14:textId="77777777" w:rsidR="00700E0E" w:rsidRPr="00BA25E0" w:rsidRDefault="00700E0E" w:rsidP="00CC6452">
      <w:pPr>
        <w:pStyle w:val="Heading2"/>
        <w:rPr>
          <w:rFonts w:ascii="Calibri" w:hAnsi="Calibri" w:cs="Calibri"/>
          <w:color w:val="A02B93" w:themeColor="accent5"/>
        </w:rPr>
      </w:pPr>
      <w:bookmarkStart w:id="10" w:name="_Toc242017862"/>
      <w:bookmarkStart w:id="11" w:name="_Toc242019723"/>
      <w:r w:rsidRPr="00BA25E0">
        <w:rPr>
          <w:rFonts w:ascii="Calibri" w:hAnsi="Calibri" w:cs="Calibri"/>
          <w:color w:val="A02B93" w:themeColor="accent5"/>
        </w:rPr>
        <w:t>3.1 Case Analysis</w:t>
      </w:r>
      <w:bookmarkEnd w:id="10"/>
      <w:bookmarkEnd w:id="11"/>
    </w:p>
    <w:p w14:paraId="46414645" w14:textId="146CE342" w:rsidR="003D54CB" w:rsidRPr="00BA25E0" w:rsidRDefault="003D54CB" w:rsidP="003D54CB">
      <w:pPr>
        <w:rPr>
          <w:rFonts w:ascii="Calibri" w:hAnsi="Calibri" w:cs="Calibri"/>
        </w:rPr>
      </w:pPr>
      <w:r w:rsidRPr="00BA25E0">
        <w:rPr>
          <w:rFonts w:ascii="Calibri" w:hAnsi="Calibri" w:cs="Calibri"/>
        </w:rPr>
        <w:t xml:space="preserve">In the </w:t>
      </w:r>
      <w:r w:rsidR="00D169DE" w:rsidRPr="00BA25E0">
        <w:rPr>
          <w:rFonts w:ascii="Calibri" w:hAnsi="Calibri" w:cs="Calibri"/>
        </w:rPr>
        <w:t xml:space="preserve">case study </w:t>
      </w:r>
      <w:r w:rsidRPr="00BA25E0">
        <w:rPr>
          <w:rFonts w:ascii="Calibri" w:hAnsi="Calibri" w:cs="Calibri"/>
        </w:rPr>
        <w:t>several forms of bias shaped how Alice and other female engineers were treated. Personal bias appeared in colleagues’ attitudes towards Alice’s leadership. Instead of evaluating her based on competence, some questioned her suitability because she was a woman leading a major project. This reflects gender</w:t>
      </w:r>
      <w:r w:rsidRPr="00BA25E0">
        <w:rPr>
          <w:rFonts w:ascii="Calibri" w:hAnsi="Calibri" w:cs="Calibri"/>
        </w:rPr>
        <w:noBreakHyphen/>
        <w:t>based bias and aligns with Heilman’s (2012) argument that gender stereotypes create “lack</w:t>
      </w:r>
      <w:r w:rsidRPr="00BA25E0">
        <w:rPr>
          <w:rFonts w:ascii="Calibri" w:hAnsi="Calibri" w:cs="Calibri"/>
        </w:rPr>
        <w:noBreakHyphen/>
        <w:t>of</w:t>
      </w:r>
      <w:r w:rsidRPr="00BA25E0">
        <w:rPr>
          <w:rFonts w:ascii="Calibri" w:hAnsi="Calibri" w:cs="Calibri"/>
        </w:rPr>
        <w:noBreakHyphen/>
        <w:t>fit” expectations, where women are perceived as less suited to male</w:t>
      </w:r>
      <w:r w:rsidRPr="00BA25E0">
        <w:rPr>
          <w:rFonts w:ascii="Calibri" w:hAnsi="Calibri" w:cs="Calibri"/>
        </w:rPr>
        <w:noBreakHyphen/>
        <w:t>typed roles.</w:t>
      </w:r>
    </w:p>
    <w:p w14:paraId="51319085" w14:textId="77777777" w:rsidR="003D54CB" w:rsidRPr="00BA25E0" w:rsidRDefault="003D54CB" w:rsidP="003D54CB">
      <w:pPr>
        <w:rPr>
          <w:rFonts w:ascii="Calibri" w:hAnsi="Calibri" w:cs="Calibri"/>
        </w:rPr>
      </w:pPr>
      <w:r w:rsidRPr="00BA25E0">
        <w:rPr>
          <w:rFonts w:ascii="Calibri" w:hAnsi="Calibri" w:cs="Calibri"/>
        </w:rPr>
        <w:t>Although several behaviours in the case are consistent with gender bias, it is important to evaluate the evidence carefully rather than assume intention. The repeated pattern of bypassing Alice, crediting her work to male colleagues and seeking updates from men even when she completed the task strongly supports a gender</w:t>
      </w:r>
      <w:r w:rsidRPr="00BA25E0">
        <w:rPr>
          <w:rFonts w:ascii="Calibri" w:hAnsi="Calibri" w:cs="Calibri"/>
        </w:rPr>
        <w:noBreakHyphen/>
        <w:t>bias interpretation. However, pressure and workload alone cannot fully explain why these behaviours consistently targeted female engineers. Unconscious bias is also relevant, but by definition it cannot be proven from behaviour alone; instead, professionals identify patterns that suggest automatic assumptions may be influencing decisions. This distinction matters because effective practice focuses on reducing the impact of bias rather than determining someone’s internal motivation.</w:t>
      </w:r>
    </w:p>
    <w:p w14:paraId="758214C8" w14:textId="38618A85" w:rsidR="003D54CB" w:rsidRPr="00BA25E0" w:rsidRDefault="000B0F65" w:rsidP="003D54CB">
      <w:pPr>
        <w:rPr>
          <w:rFonts w:ascii="Calibri" w:hAnsi="Calibri" w:cs="Calibri"/>
        </w:rPr>
      </w:pPr>
      <w:r w:rsidRPr="00BA25E0">
        <w:rPr>
          <w:rFonts w:ascii="Calibri" w:hAnsi="Calibri" w:cs="Calibri"/>
        </w:rPr>
        <w:t>Affinity bias may also have contributed, as many team members shared similar professional backgrounds and appeared more comfortable relying on one another than on Alice, whose offshore experience positioned her as an outsider</w:t>
      </w:r>
      <w:r w:rsidR="001E3DD6" w:rsidRPr="00BA25E0">
        <w:rPr>
          <w:rFonts w:ascii="Calibri" w:hAnsi="Calibri" w:cs="Calibri"/>
        </w:rPr>
        <w:t xml:space="preserve">. </w:t>
      </w:r>
      <w:r w:rsidR="003D54CB" w:rsidRPr="00BA25E0">
        <w:rPr>
          <w:rFonts w:ascii="Calibri" w:hAnsi="Calibri" w:cs="Calibri"/>
        </w:rPr>
        <w:t>Even if this was not deliberate exclusion, the outcome still disadvantaged her, demonstrating that bias can operate through familiarity rather than explicit intent. Evaluating both situational explanations (time pressure) and cultural explanations (consistent exclusion) strengthens the argument that bias was not an isolated incident but a deeper pattern within the team.</w:t>
      </w:r>
    </w:p>
    <w:p w14:paraId="1A642E06" w14:textId="1EE3A489" w:rsidR="003D54CB" w:rsidRPr="00BA25E0" w:rsidRDefault="003D54CB" w:rsidP="003D54CB">
      <w:pPr>
        <w:rPr>
          <w:rFonts w:ascii="Calibri" w:hAnsi="Calibri" w:cs="Calibri"/>
        </w:rPr>
      </w:pPr>
      <w:r w:rsidRPr="00BA25E0">
        <w:rPr>
          <w:rFonts w:ascii="Calibri" w:hAnsi="Calibri" w:cs="Calibri"/>
        </w:rPr>
        <w:t>The consequences were significant</w:t>
      </w:r>
      <w:r w:rsidR="001E3DD6" w:rsidRPr="00BA25E0">
        <w:rPr>
          <w:rFonts w:ascii="Calibri" w:hAnsi="Calibri" w:cs="Calibri"/>
        </w:rPr>
        <w:t xml:space="preserve"> as A</w:t>
      </w:r>
      <w:r w:rsidRPr="00BA25E0">
        <w:rPr>
          <w:rFonts w:ascii="Calibri" w:hAnsi="Calibri" w:cs="Calibri"/>
        </w:rPr>
        <w:t>lice felt invisible and undervalued, female engineers were repeatedly overlooked, and male colleagues recognised unfairness but did not challenge it. Their silence suggests that psychological safety was low, making challenge feel risky. Research shows that biased or non</w:t>
      </w:r>
      <w:r w:rsidRPr="00BA25E0">
        <w:rPr>
          <w:rFonts w:ascii="Calibri" w:hAnsi="Calibri" w:cs="Calibri"/>
        </w:rPr>
        <w:noBreakHyphen/>
        <w:t>inclusive environments reduce psychological safety and increase withdrawal and turnover, particularly among under</w:t>
      </w:r>
      <w:r w:rsidRPr="00BA25E0">
        <w:rPr>
          <w:rFonts w:ascii="Calibri" w:hAnsi="Calibri" w:cs="Calibri"/>
        </w:rPr>
        <w:noBreakHyphen/>
        <w:t xml:space="preserve">represented groups (Nishii, 2013). This aligns with the outcome in the case, where two experienced engineers left the organisation. Leadership should have intervened early by checking who completed work </w:t>
      </w:r>
      <w:r w:rsidRPr="00BA25E0">
        <w:rPr>
          <w:rFonts w:ascii="Calibri" w:hAnsi="Calibri" w:cs="Calibri"/>
        </w:rPr>
        <w:lastRenderedPageBreak/>
        <w:t>before asking for updates, ensuring meetings were inclusive and setting clear expectations around fairness. Without these actions, bias became normalised and shaped the team’s culture.</w:t>
      </w:r>
    </w:p>
    <w:p w14:paraId="2C4CB132" w14:textId="77777777" w:rsidR="00700E0E" w:rsidRPr="00BA25E0" w:rsidRDefault="00700E0E" w:rsidP="00CC6452">
      <w:pPr>
        <w:pStyle w:val="Heading2"/>
        <w:rPr>
          <w:rFonts w:ascii="Calibri" w:hAnsi="Calibri" w:cs="Calibri"/>
          <w:color w:val="A02B93" w:themeColor="accent5"/>
        </w:rPr>
      </w:pPr>
      <w:bookmarkStart w:id="12" w:name="_Toc242017863"/>
      <w:bookmarkStart w:id="13" w:name="_Toc242019724"/>
      <w:r w:rsidRPr="00BA25E0">
        <w:rPr>
          <w:rFonts w:ascii="Calibri" w:hAnsi="Calibri" w:cs="Calibri"/>
          <w:color w:val="A02B93" w:themeColor="accent5"/>
        </w:rPr>
        <w:t>3.2 Application to My Practice</w:t>
      </w:r>
      <w:bookmarkEnd w:id="12"/>
      <w:bookmarkEnd w:id="13"/>
    </w:p>
    <w:p w14:paraId="7FD639F5" w14:textId="6A6F0D1C" w:rsidR="001D1A3B" w:rsidRPr="00BA25E0" w:rsidRDefault="001D1A3B" w:rsidP="001D1A3B">
      <w:pPr>
        <w:rPr>
          <w:rFonts w:ascii="Calibri" w:hAnsi="Calibri" w:cs="Calibri"/>
        </w:rPr>
      </w:pPr>
      <w:r w:rsidRPr="00BA25E0">
        <w:rPr>
          <w:rFonts w:ascii="Calibri" w:hAnsi="Calibri" w:cs="Calibri"/>
        </w:rPr>
        <w:t>Bias can also appear in ABI car</w:t>
      </w:r>
      <w:r w:rsidR="00B07686" w:rsidRPr="00BA25E0">
        <w:rPr>
          <w:rFonts w:ascii="Calibri" w:hAnsi="Calibri" w:cs="Calibri"/>
        </w:rPr>
        <w:t>e where s</w:t>
      </w:r>
      <w:r w:rsidRPr="00BA25E0">
        <w:rPr>
          <w:rFonts w:ascii="Calibri" w:hAnsi="Calibri" w:cs="Calibri"/>
        </w:rPr>
        <w:t>taff may assume that an experienced worker is always right or that a newer worker is less capable, even when both are competent. I have seen situations where a newer staff member notices a change in a child’s presentation but hesitates to speak up because they assume their view will not be taken seriously. I experienced similar dynamics when, as the youngest support worker, I was promoted to team leader and some colleagues initially assumed I lacked authority or experience. These experiences help me understand how easily assumptions can silence people and why I need to create conditions where every voice is valued.</w:t>
      </w:r>
    </w:p>
    <w:p w14:paraId="587A7798" w14:textId="66DFF0E7" w:rsidR="001D1A3B" w:rsidRPr="00BA25E0" w:rsidRDefault="001D1A3B" w:rsidP="001D1A3B">
      <w:pPr>
        <w:rPr>
          <w:rFonts w:ascii="Calibri" w:hAnsi="Calibri" w:cs="Calibri"/>
        </w:rPr>
      </w:pPr>
      <w:r w:rsidRPr="00BA25E0">
        <w:rPr>
          <w:rFonts w:ascii="Calibri" w:hAnsi="Calibri" w:cs="Calibri"/>
        </w:rPr>
        <w:t>Reflecting on my own practice, I recognise that bias can influence not only how I interpret staff behaviour but also who I instinctively trust or rely on. Being previously the youngest support worker means I must remain aware of how familiarity</w:t>
      </w:r>
      <w:r w:rsidR="00C72524" w:rsidRPr="00BA25E0">
        <w:rPr>
          <w:rFonts w:ascii="Calibri" w:hAnsi="Calibri" w:cs="Calibri"/>
        </w:rPr>
        <w:t xml:space="preserve"> and assumptions </w:t>
      </w:r>
      <w:r w:rsidRPr="00BA25E0">
        <w:rPr>
          <w:rFonts w:ascii="Calibri" w:hAnsi="Calibri" w:cs="Calibri"/>
        </w:rPr>
        <w:t>could shape my judgement. For example, I may unconsciously give more weight to observations from experienced staff or overlook valuable input from newer colleagues. Similarly, cognitive shortcuts can lead to premature conclusions about a child’s behaviour, especially if past incidents create expectations that are not evidence</w:t>
      </w:r>
      <w:r w:rsidRPr="00BA25E0">
        <w:rPr>
          <w:rFonts w:ascii="Calibri" w:hAnsi="Calibri" w:cs="Calibri"/>
        </w:rPr>
        <w:noBreakHyphen/>
        <w:t xml:space="preserve">based. This </w:t>
      </w:r>
      <w:r w:rsidR="00880819" w:rsidRPr="00BA25E0">
        <w:rPr>
          <w:rFonts w:ascii="Calibri" w:hAnsi="Calibri" w:cs="Calibri"/>
        </w:rPr>
        <w:t xml:space="preserve">shows </w:t>
      </w:r>
      <w:r w:rsidRPr="00BA25E0">
        <w:rPr>
          <w:rFonts w:ascii="Calibri" w:hAnsi="Calibri" w:cs="Calibri"/>
        </w:rPr>
        <w:t>the importance of actively separating evidence from assumption and ensuring decisions are grounded in the child’s presentation rather than staff hierarchy or familiarity.</w:t>
      </w:r>
    </w:p>
    <w:p w14:paraId="6D4AEB57" w14:textId="77777777" w:rsidR="001D1A3B" w:rsidRPr="00BA25E0" w:rsidRDefault="001D1A3B" w:rsidP="001D1A3B">
      <w:pPr>
        <w:rPr>
          <w:rFonts w:ascii="Calibri" w:hAnsi="Calibri" w:cs="Calibri"/>
        </w:rPr>
      </w:pPr>
      <w:r w:rsidRPr="00BA25E0">
        <w:rPr>
          <w:rFonts w:ascii="Calibri" w:hAnsi="Calibri" w:cs="Calibri"/>
        </w:rPr>
        <w:t>In ABI care, the impact of bias matters more than the intention behind it. Even unintentional assumptions can silence staff, distort decision</w:t>
      </w:r>
      <w:r w:rsidRPr="00BA25E0">
        <w:rPr>
          <w:rFonts w:ascii="Calibri" w:hAnsi="Calibri" w:cs="Calibri"/>
        </w:rPr>
        <w:noBreakHyphen/>
        <w:t>making and affect the child’s safety. Strengthening my awareness of these patterns will help me create a more inclusive, evidence</w:t>
      </w:r>
      <w:r w:rsidRPr="00BA25E0">
        <w:rPr>
          <w:rFonts w:ascii="Calibri" w:hAnsi="Calibri" w:cs="Calibri"/>
        </w:rPr>
        <w:noBreakHyphen/>
        <w:t>driven environment where all staff feel able to contribute and where children receive more accurate, person</w:t>
      </w:r>
      <w:r w:rsidRPr="00BA25E0">
        <w:rPr>
          <w:rFonts w:ascii="Calibri" w:hAnsi="Calibri" w:cs="Calibri"/>
        </w:rPr>
        <w:noBreakHyphen/>
        <w:t>centred support. Encouraging newer staff to speak openly and checking the evidence behind all observations can reduce the risk of incorrect assumptions and missed opportunities to support the child effectively.</w:t>
      </w:r>
    </w:p>
    <w:p w14:paraId="6E3362BC" w14:textId="7926D069" w:rsidR="001D1A3B" w:rsidRPr="00BA25E0" w:rsidRDefault="00336E98" w:rsidP="001D1A3B">
      <w:pPr>
        <w:rPr>
          <w:rFonts w:ascii="Calibri" w:hAnsi="Calibri" w:cs="Calibri"/>
        </w:rPr>
      </w:pPr>
      <w:r w:rsidRPr="00BA25E0">
        <w:rPr>
          <w:rFonts w:ascii="Calibri" w:hAnsi="Calibri" w:cs="Calibri"/>
        </w:rPr>
        <w:t>Research shows that inclusive work environments increase psychological safety and reduce withdrawal and silence, particularly for under</w:t>
      </w:r>
      <w:r w:rsidRPr="00BA25E0">
        <w:rPr>
          <w:rFonts w:ascii="Calibri" w:hAnsi="Calibri" w:cs="Calibri"/>
        </w:rPr>
        <w:noBreakHyphen/>
        <w:t>represented or less powerful groups (Nishii, 2013).</w:t>
      </w:r>
      <w:r w:rsidRPr="00BA25E0">
        <w:rPr>
          <w:rFonts w:ascii="Calibri" w:hAnsi="Calibri" w:cs="Calibri"/>
        </w:rPr>
        <w:t xml:space="preserve"> </w:t>
      </w:r>
      <w:r w:rsidR="001D1A3B" w:rsidRPr="00BA25E0">
        <w:rPr>
          <w:rFonts w:ascii="Calibri" w:hAnsi="Calibri" w:cs="Calibri"/>
        </w:rPr>
        <w:t>Actively promoting fairness and inclusion can therefore help staff feel more confident raising concerns, challenging assumptions and contributing to safer practice.</w:t>
      </w:r>
    </w:p>
    <w:p w14:paraId="7CAAA8D6" w14:textId="77777777" w:rsidR="006D449B" w:rsidRPr="00BA25E0" w:rsidRDefault="006D449B" w:rsidP="001D1A3B">
      <w:pPr>
        <w:rPr>
          <w:rFonts w:ascii="Calibri" w:hAnsi="Calibri" w:cs="Calibri"/>
        </w:rPr>
      </w:pPr>
    </w:p>
    <w:p w14:paraId="4F2BBDE6" w14:textId="77777777" w:rsidR="006D449B" w:rsidRPr="00BA25E0" w:rsidRDefault="006D449B" w:rsidP="001D1A3B">
      <w:pPr>
        <w:rPr>
          <w:rFonts w:ascii="Calibri" w:hAnsi="Calibri" w:cs="Calibri"/>
        </w:rPr>
      </w:pPr>
    </w:p>
    <w:p w14:paraId="2686800F" w14:textId="77777777" w:rsidR="00700E0E" w:rsidRPr="00BA25E0" w:rsidRDefault="00700E0E" w:rsidP="00B44EFC">
      <w:pPr>
        <w:pStyle w:val="Heading1"/>
        <w:rPr>
          <w:rFonts w:ascii="Calibri" w:hAnsi="Calibri" w:cs="Calibri"/>
          <w:color w:val="A02B93" w:themeColor="accent5"/>
        </w:rPr>
      </w:pPr>
      <w:bookmarkStart w:id="14" w:name="_Toc242017864"/>
      <w:bookmarkStart w:id="15" w:name="_Toc242019725"/>
      <w:r w:rsidRPr="00BA25E0">
        <w:rPr>
          <w:rFonts w:ascii="Calibri" w:hAnsi="Calibri" w:cs="Calibri"/>
          <w:color w:val="A02B93" w:themeColor="accent5"/>
        </w:rPr>
        <w:lastRenderedPageBreak/>
        <w:t>4. Accountability and Authentic Behaviour</w:t>
      </w:r>
      <w:bookmarkEnd w:id="14"/>
      <w:bookmarkEnd w:id="15"/>
      <w:r w:rsidRPr="00BA25E0">
        <w:rPr>
          <w:rFonts w:ascii="Calibri" w:hAnsi="Calibri" w:cs="Calibri"/>
          <w:color w:val="A02B93" w:themeColor="accent5"/>
        </w:rPr>
        <w:t xml:space="preserve"> </w:t>
      </w:r>
    </w:p>
    <w:p w14:paraId="1894CDC4" w14:textId="3A92CEB8" w:rsidR="004A5C61" w:rsidRPr="00BA25E0" w:rsidRDefault="005F294C" w:rsidP="00700E0E">
      <w:pPr>
        <w:rPr>
          <w:rFonts w:ascii="Calibri" w:hAnsi="Calibri" w:cs="Calibri"/>
        </w:rPr>
      </w:pPr>
      <w:r w:rsidRPr="00BA25E0">
        <w:rPr>
          <w:rFonts w:ascii="Calibri" w:hAnsi="Calibri" w:cs="Calibri"/>
        </w:rPr>
        <w:t>Accountability refers to owning decisions, actions and professional responsibilities</w:t>
      </w:r>
      <w:r w:rsidR="00336E98" w:rsidRPr="00BA25E0">
        <w:rPr>
          <w:rFonts w:ascii="Calibri" w:hAnsi="Calibri" w:cs="Calibri"/>
        </w:rPr>
        <w:t>, r</w:t>
      </w:r>
      <w:r w:rsidRPr="00BA25E0">
        <w:rPr>
          <w:rFonts w:ascii="Calibri" w:hAnsi="Calibri" w:cs="Calibri"/>
        </w:rPr>
        <w:t>esearch shows that accountability is strongest when leaders act consistently with their stated values and follow through on commitments. Authentic leadership is reinforced by moral courage, enabling leaders to uphold their values under pressure and behave in ways that strengthen trust and accountability (Hannah &amp; Avolio, 2011). Authentic behaviour involves acting consistently with one’s values, being transparent and addressing concerns directly rather than avoiding them. Avolio and Gardner (2005) describe authentic leadership as grounded in an internalised moral perspective and relational transparency.</w:t>
      </w:r>
      <w:r w:rsidR="004C4DA4" w:rsidRPr="00BA25E0">
        <w:rPr>
          <w:rFonts w:ascii="Calibri" w:hAnsi="Calibri" w:cs="Calibri"/>
        </w:rPr>
        <w:br/>
      </w:r>
    </w:p>
    <w:p w14:paraId="389E267B" w14:textId="237D4A36" w:rsidR="00700E0E" w:rsidRPr="00BA25E0" w:rsidRDefault="004C4DA4" w:rsidP="004A5C61">
      <w:pPr>
        <w:pStyle w:val="Heading2"/>
        <w:rPr>
          <w:rFonts w:ascii="Calibri" w:hAnsi="Calibri" w:cs="Calibri"/>
          <w:b/>
          <w:bCs/>
        </w:rPr>
      </w:pPr>
      <w:r w:rsidRPr="00BA25E0">
        <w:rPr>
          <w:rFonts w:ascii="Calibri" w:hAnsi="Calibri" w:cs="Calibri"/>
        </w:rPr>
        <w:br/>
      </w:r>
      <w:bookmarkStart w:id="16" w:name="_Toc242017865"/>
      <w:bookmarkStart w:id="17" w:name="_Toc242019726"/>
      <w:r w:rsidR="00700E0E" w:rsidRPr="00BA25E0">
        <w:rPr>
          <w:rStyle w:val="Heading2Char"/>
          <w:rFonts w:ascii="Calibri" w:hAnsi="Calibri" w:cs="Calibri"/>
          <w:color w:val="A02B93" w:themeColor="accent5"/>
        </w:rPr>
        <w:t>4.1 Case Analysis</w:t>
      </w:r>
      <w:bookmarkEnd w:id="16"/>
      <w:bookmarkEnd w:id="17"/>
    </w:p>
    <w:p w14:paraId="51347D5B" w14:textId="209BF37D" w:rsidR="0051548E" w:rsidRPr="00BA25E0" w:rsidRDefault="0051548E" w:rsidP="0051548E">
      <w:pPr>
        <w:rPr>
          <w:rFonts w:ascii="Calibri" w:hAnsi="Calibri" w:cs="Calibri"/>
        </w:rPr>
      </w:pPr>
      <w:r w:rsidRPr="00BA25E0">
        <w:rPr>
          <w:rFonts w:ascii="Calibri" w:hAnsi="Calibri" w:cs="Calibri"/>
        </w:rPr>
        <w:t>The case study shows several clear accountability failures</w:t>
      </w:r>
      <w:r w:rsidR="00C47047" w:rsidRPr="00BA25E0">
        <w:rPr>
          <w:rFonts w:ascii="Calibri" w:hAnsi="Calibri" w:cs="Calibri"/>
        </w:rPr>
        <w:t xml:space="preserve"> where s</w:t>
      </w:r>
      <w:r w:rsidRPr="00BA25E0">
        <w:rPr>
          <w:rFonts w:ascii="Calibri" w:hAnsi="Calibri" w:cs="Calibri"/>
        </w:rPr>
        <w:t>enior management promised resources but later appeared to forget these commitments. When the project came under pressure, they approached the team directly without informing Alice, bypassing her role as project lead. This decision reflected reactive behaviour rather than accountable leadership.</w:t>
      </w:r>
    </w:p>
    <w:p w14:paraId="65B9FA6D" w14:textId="71B90968" w:rsidR="0051548E" w:rsidRPr="00BA25E0" w:rsidRDefault="0051548E" w:rsidP="0051548E">
      <w:pPr>
        <w:rPr>
          <w:rFonts w:ascii="Calibri" w:hAnsi="Calibri" w:cs="Calibri"/>
        </w:rPr>
      </w:pPr>
      <w:r w:rsidRPr="00BA25E0">
        <w:rPr>
          <w:rFonts w:ascii="Calibri" w:hAnsi="Calibri" w:cs="Calibri"/>
        </w:rPr>
        <w:t xml:space="preserve">Accountability in the case operates </w:t>
      </w:r>
      <w:r w:rsidR="00053F7D" w:rsidRPr="00BA25E0">
        <w:rPr>
          <w:rFonts w:ascii="Calibri" w:hAnsi="Calibri" w:cs="Calibri"/>
        </w:rPr>
        <w:t>on many levels, s</w:t>
      </w:r>
      <w:r w:rsidRPr="00BA25E0">
        <w:rPr>
          <w:rFonts w:ascii="Calibri" w:hAnsi="Calibri" w:cs="Calibri"/>
        </w:rPr>
        <w:t>enior management held the greatest formal responsibility</w:t>
      </w:r>
      <w:r w:rsidR="00053F7D" w:rsidRPr="00BA25E0">
        <w:rPr>
          <w:rFonts w:ascii="Calibri" w:hAnsi="Calibri" w:cs="Calibri"/>
        </w:rPr>
        <w:t xml:space="preserve"> as</w:t>
      </w:r>
      <w:r w:rsidRPr="00BA25E0">
        <w:rPr>
          <w:rFonts w:ascii="Calibri" w:hAnsi="Calibri" w:cs="Calibri"/>
        </w:rPr>
        <w:t xml:space="preserve"> they promised resources, failed to deliver them and later bypassed Alice, signalling inconsistency between their stated commitments and their actions. Their behaviour reflected not only poor communication but a deeper breach of role integrity.</w:t>
      </w:r>
    </w:p>
    <w:p w14:paraId="2AC916CB" w14:textId="1464AA24" w:rsidR="0051548E" w:rsidRPr="00BA25E0" w:rsidRDefault="0051548E" w:rsidP="0051548E">
      <w:pPr>
        <w:rPr>
          <w:rFonts w:ascii="Calibri" w:hAnsi="Calibri" w:cs="Calibri"/>
        </w:rPr>
      </w:pPr>
      <w:r w:rsidRPr="00BA25E0">
        <w:rPr>
          <w:rFonts w:ascii="Calibri" w:hAnsi="Calibri" w:cs="Calibri"/>
        </w:rPr>
        <w:t>James’ accountability is more complex</w:t>
      </w:r>
      <w:r w:rsidR="00884BEF" w:rsidRPr="00BA25E0">
        <w:rPr>
          <w:rFonts w:ascii="Calibri" w:hAnsi="Calibri" w:cs="Calibri"/>
        </w:rPr>
        <w:t xml:space="preserve">, as </w:t>
      </w:r>
      <w:r w:rsidRPr="00BA25E0">
        <w:rPr>
          <w:rFonts w:ascii="Calibri" w:hAnsi="Calibri" w:cs="Calibri"/>
        </w:rPr>
        <w:t xml:space="preserve">he chaired meetings where female engineers were overlooked, his position may have limited his confidence to challenge senior leaders, particularly in a culture where concerns were routinely avoided. This does not remove his responsibility, but it </w:t>
      </w:r>
      <w:r w:rsidR="00880819" w:rsidRPr="00BA25E0">
        <w:rPr>
          <w:rFonts w:ascii="Calibri" w:hAnsi="Calibri" w:cs="Calibri"/>
        </w:rPr>
        <w:t xml:space="preserve">shows </w:t>
      </w:r>
      <w:r w:rsidRPr="00BA25E0">
        <w:rPr>
          <w:rFonts w:ascii="Calibri" w:hAnsi="Calibri" w:cs="Calibri"/>
        </w:rPr>
        <w:t>how hierarchy and psychological safety influence whether individuals feel able to act.</w:t>
      </w:r>
    </w:p>
    <w:p w14:paraId="7F7C327F" w14:textId="77777777" w:rsidR="0051548E" w:rsidRPr="00BA25E0" w:rsidRDefault="0051548E" w:rsidP="0051548E">
      <w:pPr>
        <w:rPr>
          <w:rFonts w:ascii="Calibri" w:hAnsi="Calibri" w:cs="Calibri"/>
        </w:rPr>
      </w:pPr>
      <w:r w:rsidRPr="00BA25E0">
        <w:rPr>
          <w:rFonts w:ascii="Calibri" w:hAnsi="Calibri" w:cs="Calibri"/>
        </w:rPr>
        <w:t>Male colleagues who recognised unfairness but remained silent demonstrate another layer of accountability. They may not have held formal authority, but their silence contributed to normalising exclusion. Fear of conflict, uncertainty about consequences or a culture that discouraged challenge may all have shaped their inaction. These dynamics show that accountability is not simply an individual trait; it is shaped by organisational norms, power structures and the perceived safety of speaking up.</w:t>
      </w:r>
    </w:p>
    <w:p w14:paraId="5AAA40A6" w14:textId="77777777" w:rsidR="0051548E" w:rsidRPr="00BA25E0" w:rsidRDefault="0051548E" w:rsidP="0051548E">
      <w:pPr>
        <w:rPr>
          <w:rFonts w:ascii="Calibri" w:hAnsi="Calibri" w:cs="Calibri"/>
        </w:rPr>
      </w:pPr>
      <w:r w:rsidRPr="00BA25E0">
        <w:rPr>
          <w:rFonts w:ascii="Calibri" w:hAnsi="Calibri" w:cs="Calibri"/>
        </w:rPr>
        <w:t>Concerns were discussed privately, behind Alice’s back. Edmondson (2019) explains that when people do not feel psychologically safe to challenge behaviour, they remain silent even when they recognise something is wrong. In this case, silence allowed bias and exclusion to continue unchecked.</w:t>
      </w:r>
    </w:p>
    <w:p w14:paraId="507F0CBA" w14:textId="5887DA7A" w:rsidR="0051548E" w:rsidRPr="00BA25E0" w:rsidRDefault="0051548E" w:rsidP="0051548E">
      <w:pPr>
        <w:rPr>
          <w:rFonts w:ascii="Calibri" w:hAnsi="Calibri" w:cs="Calibri"/>
        </w:rPr>
      </w:pPr>
      <w:r w:rsidRPr="00BA25E0">
        <w:rPr>
          <w:rFonts w:ascii="Calibri" w:hAnsi="Calibri" w:cs="Calibri"/>
        </w:rPr>
        <w:lastRenderedPageBreak/>
        <w:t>The organisation lost two experienced engineers, demonstrating how weak accountability and inauthentic behaviour can damage psychological safety and performance. Research shows that when leaders fail to act consistently with their values, staff disengage and organisational outcomes decline. Inconsistent leader behaviour creates uncertainty and reduces trust, leading to lower engagement and poorer performance across the organisation (Ralph &amp; Barling, 2022).</w:t>
      </w:r>
    </w:p>
    <w:p w14:paraId="35180F0B" w14:textId="77777777" w:rsidR="0051548E" w:rsidRPr="00BA25E0" w:rsidRDefault="0051548E" w:rsidP="0051548E">
      <w:pPr>
        <w:rPr>
          <w:rFonts w:ascii="Calibri" w:hAnsi="Calibri" w:cs="Calibri"/>
        </w:rPr>
      </w:pPr>
      <w:r w:rsidRPr="00BA25E0">
        <w:rPr>
          <w:rFonts w:ascii="Calibri" w:hAnsi="Calibri" w:cs="Calibri"/>
        </w:rPr>
        <w:t>Leadership should have honoured commitments, communicated transparently with Alice and addressed concerns early. A clear process for raising concerns would have prevented escalation and supported a more accountable team culture.</w:t>
      </w:r>
    </w:p>
    <w:p w14:paraId="2E3B55D1" w14:textId="2ADBE6DD" w:rsidR="00700E0E" w:rsidRPr="00BA25E0" w:rsidRDefault="00C13D66" w:rsidP="00700E0E">
      <w:pPr>
        <w:rPr>
          <w:rFonts w:ascii="Calibri" w:hAnsi="Calibri" w:cs="Calibri"/>
        </w:rPr>
      </w:pPr>
      <w:r w:rsidRPr="00BA25E0">
        <w:rPr>
          <w:rFonts w:ascii="Calibri" w:hAnsi="Calibri" w:cs="Calibri"/>
        </w:rPr>
        <w:br/>
      </w:r>
    </w:p>
    <w:p w14:paraId="3557FAC9" w14:textId="77777777" w:rsidR="00700E0E" w:rsidRPr="00BA25E0" w:rsidRDefault="00700E0E" w:rsidP="00465002">
      <w:pPr>
        <w:pStyle w:val="Heading2"/>
        <w:rPr>
          <w:rFonts w:ascii="Calibri" w:hAnsi="Calibri" w:cs="Calibri"/>
          <w:color w:val="A02B93" w:themeColor="accent5"/>
        </w:rPr>
      </w:pPr>
      <w:bookmarkStart w:id="18" w:name="_Toc242017866"/>
      <w:bookmarkStart w:id="19" w:name="_Toc242019727"/>
      <w:r w:rsidRPr="00BA25E0">
        <w:rPr>
          <w:rFonts w:ascii="Calibri" w:hAnsi="Calibri" w:cs="Calibri"/>
          <w:color w:val="A02B93" w:themeColor="accent5"/>
        </w:rPr>
        <w:t>4.2 Application to My Practice</w:t>
      </w:r>
      <w:bookmarkEnd w:id="18"/>
      <w:bookmarkEnd w:id="19"/>
    </w:p>
    <w:p w14:paraId="0B22EFC5" w14:textId="77777777" w:rsidR="0051548E" w:rsidRPr="00BA25E0" w:rsidRDefault="0051548E" w:rsidP="0051548E">
      <w:pPr>
        <w:rPr>
          <w:rFonts w:ascii="Calibri" w:hAnsi="Calibri" w:cs="Calibri"/>
        </w:rPr>
      </w:pPr>
      <w:r w:rsidRPr="00BA25E0">
        <w:rPr>
          <w:rFonts w:ascii="Calibri" w:hAnsi="Calibri" w:cs="Calibri"/>
        </w:rPr>
        <w:t>Accountability is central in my role, and I recognise that I could take more deliberate steps to strengthen it within the team. When a staff member does not follow a care plan, it may not be enough to give a general reminder or hope the issue resolves itself. Accountability requires more than ensuring staff follow the care plan; it also involves questioning whether the plan remains appropriate and escalating concerns when practice may no longer be safe. This means accountability is not blind compliance but an active, reflective process.</w:t>
      </w:r>
    </w:p>
    <w:p w14:paraId="56550EE3" w14:textId="77777777" w:rsidR="0051548E" w:rsidRPr="00BA25E0" w:rsidRDefault="0051548E" w:rsidP="0051548E">
      <w:pPr>
        <w:rPr>
          <w:rFonts w:ascii="Calibri" w:hAnsi="Calibri" w:cs="Calibri"/>
        </w:rPr>
      </w:pPr>
      <w:r w:rsidRPr="00BA25E0">
        <w:rPr>
          <w:rFonts w:ascii="Calibri" w:hAnsi="Calibri" w:cs="Calibri"/>
        </w:rPr>
        <w:t>Authentic behaviour requires me to act consistently with my values even when conversations are uncomfortable. Avoiding difficult discussions may feel easier in the moment, but it can create long</w:t>
      </w:r>
      <w:r w:rsidRPr="00BA25E0">
        <w:rPr>
          <w:rFonts w:ascii="Calibri" w:hAnsi="Calibri" w:cs="Calibri"/>
        </w:rPr>
        <w:noBreakHyphen/>
        <w:t>term risks for the child and the team. Recognising this helps me understand that accountability is shaped by the environment I create: staff need clarity, fairness and psychological safety to raise concerns, but they also need to see me modelling transparent, evidence</w:t>
      </w:r>
      <w:r w:rsidRPr="00BA25E0">
        <w:rPr>
          <w:rFonts w:ascii="Calibri" w:hAnsi="Calibri" w:cs="Calibri"/>
        </w:rPr>
        <w:noBreakHyphen/>
        <w:t>based decision</w:t>
      </w:r>
      <w:r w:rsidRPr="00BA25E0">
        <w:rPr>
          <w:rFonts w:ascii="Calibri" w:hAnsi="Calibri" w:cs="Calibri"/>
        </w:rPr>
        <w:noBreakHyphen/>
        <w:t>making.</w:t>
      </w:r>
    </w:p>
    <w:p w14:paraId="18290EC2" w14:textId="7AB6D886" w:rsidR="0051548E" w:rsidRPr="00BA25E0" w:rsidRDefault="0051548E" w:rsidP="0051548E">
      <w:pPr>
        <w:rPr>
          <w:rFonts w:ascii="Calibri" w:hAnsi="Calibri" w:cs="Calibri"/>
        </w:rPr>
      </w:pPr>
      <w:r w:rsidRPr="00BA25E0">
        <w:rPr>
          <w:rFonts w:ascii="Calibri" w:hAnsi="Calibri" w:cs="Calibri"/>
        </w:rPr>
        <w:t>Strengthening accountability therefore involves both my individual actions and the systems I put in place to support staff, structured supervision, clear escalation routes and consistent follow</w:t>
      </w:r>
      <w:r w:rsidRPr="00BA25E0">
        <w:rPr>
          <w:rFonts w:ascii="Calibri" w:hAnsi="Calibri" w:cs="Calibri"/>
        </w:rPr>
        <w:noBreakHyphen/>
        <w:t>up. This aligns with the case study’s lesson that accountability failures often emerge not from one person’s behaviour but from a wider culture where challenge is avoided and expectations are unclear.</w:t>
      </w:r>
    </w:p>
    <w:p w14:paraId="7A27D85A" w14:textId="21C3F67A" w:rsidR="0051548E" w:rsidRPr="00BA25E0" w:rsidRDefault="0051548E" w:rsidP="0051548E">
      <w:pPr>
        <w:rPr>
          <w:rFonts w:ascii="Calibri" w:hAnsi="Calibri" w:cs="Calibri"/>
        </w:rPr>
      </w:pPr>
      <w:r w:rsidRPr="00BA25E0">
        <w:rPr>
          <w:rFonts w:ascii="Calibri" w:hAnsi="Calibri" w:cs="Calibri"/>
        </w:rPr>
        <w:t xml:space="preserve">Taking time to understand these factors can help identify whether additional training, clearer guidance or a competency assessment is needed. </w:t>
      </w:r>
      <w:r w:rsidR="00636910" w:rsidRPr="00BA25E0">
        <w:rPr>
          <w:rFonts w:ascii="Calibri" w:hAnsi="Calibri" w:cs="Calibri"/>
        </w:rPr>
        <w:t xml:space="preserve">It is shown in the case </w:t>
      </w:r>
      <w:r w:rsidRPr="00BA25E0">
        <w:rPr>
          <w:rFonts w:ascii="Calibri" w:hAnsi="Calibri" w:cs="Calibri"/>
        </w:rPr>
        <w:t>where relational issues were ignored and problems escalated because leaders avoided difficult conversations. By addressing issues more proactively, I could reduce confusion, improve consistency and help staff feel more supported.</w:t>
      </w:r>
    </w:p>
    <w:p w14:paraId="65A3F785" w14:textId="77777777" w:rsidR="0051548E" w:rsidRPr="00BA25E0" w:rsidRDefault="0051548E" w:rsidP="0051548E">
      <w:pPr>
        <w:rPr>
          <w:rFonts w:ascii="Calibri" w:hAnsi="Calibri" w:cs="Calibri"/>
        </w:rPr>
      </w:pPr>
      <w:r w:rsidRPr="00BA25E0">
        <w:rPr>
          <w:rFonts w:ascii="Calibri" w:hAnsi="Calibri" w:cs="Calibri"/>
        </w:rPr>
        <w:t xml:space="preserve">Acting with authenticity means upholding values such as fairness, safety and transparency. When practice is inconsistent, I can document concerns more systematically, raise them during supervision and escalate safeguarding matters when necessary. This approach </w:t>
      </w:r>
      <w:r w:rsidRPr="00BA25E0">
        <w:rPr>
          <w:rFonts w:ascii="Calibri" w:hAnsi="Calibri" w:cs="Calibri"/>
        </w:rPr>
        <w:lastRenderedPageBreak/>
        <w:t>protects the child’s safety and supports higher standards across the team. It also strengthens my credibility as a leader, because staff are more likely to trust and follow someone who acts consistently with their stated values.</w:t>
      </w:r>
    </w:p>
    <w:p w14:paraId="5E5B88D9" w14:textId="372AA3E8" w:rsidR="0051548E" w:rsidRPr="00BA25E0" w:rsidRDefault="0051548E" w:rsidP="0051548E">
      <w:pPr>
        <w:rPr>
          <w:rFonts w:ascii="Calibri" w:hAnsi="Calibri" w:cs="Calibri"/>
        </w:rPr>
      </w:pPr>
      <w:r w:rsidRPr="00BA25E0">
        <w:rPr>
          <w:rFonts w:ascii="Calibri" w:hAnsi="Calibri" w:cs="Calibri"/>
        </w:rPr>
        <w:t>There have been situations where a child’s behaviour escalated and staff reacted inconsistently. Instead of focusing on blame, I can explore whether staff need more support, clearer guidance or time to reflect on what happened. This</w:t>
      </w:r>
      <w:r w:rsidR="00EB7C3A" w:rsidRPr="00BA25E0">
        <w:rPr>
          <w:rFonts w:ascii="Calibri" w:hAnsi="Calibri" w:cs="Calibri"/>
        </w:rPr>
        <w:t xml:space="preserve"> </w:t>
      </w:r>
      <w:r w:rsidRPr="00BA25E0">
        <w:rPr>
          <w:rFonts w:ascii="Calibri" w:hAnsi="Calibri" w:cs="Calibri"/>
        </w:rPr>
        <w:t>strengthens accountability because it focuses on learning rather than punishment. It also models the behaviour I expect from others: addressing issues early, being transparent and acting in line with professional responsibilities. Over time, this can help create a culture where staff feel safe to admit mistakes, ask for help and engage in reflective practice.</w:t>
      </w:r>
    </w:p>
    <w:p w14:paraId="789DDD5F" w14:textId="77777777" w:rsidR="0051548E" w:rsidRPr="00BA25E0" w:rsidRDefault="0051548E" w:rsidP="0051548E">
      <w:pPr>
        <w:rPr>
          <w:rFonts w:ascii="Calibri" w:hAnsi="Calibri" w:cs="Calibri"/>
        </w:rPr>
      </w:pPr>
      <w:r w:rsidRPr="00BA25E0">
        <w:rPr>
          <w:rFonts w:ascii="Calibri" w:hAnsi="Calibri" w:cs="Calibri"/>
        </w:rPr>
        <w:t>As a team leader, I can challenge poor practice more confidently, uphold standards more consistently and ensure responsibility is clear across the team. Authentic behaviour and accountability shape team culture and directly affect the safety and wellbeing of the children we support. Developing these behaviours further can improve team cohesion, enhance trust, reduce escalation of issues and strengthen my effectiveness as a leader.</w:t>
      </w:r>
    </w:p>
    <w:p w14:paraId="6D7B4331" w14:textId="1B706B63" w:rsidR="00700E0E" w:rsidRPr="00BA25E0" w:rsidRDefault="00700E0E" w:rsidP="0024190D">
      <w:pPr>
        <w:pStyle w:val="Heading1"/>
        <w:rPr>
          <w:rFonts w:ascii="Calibri" w:hAnsi="Calibri" w:cs="Calibri"/>
          <w:color w:val="A02B93" w:themeColor="accent5"/>
        </w:rPr>
      </w:pPr>
      <w:bookmarkStart w:id="20" w:name="_Toc242017867"/>
      <w:bookmarkStart w:id="21" w:name="_Toc242019728"/>
      <w:r w:rsidRPr="00BA25E0">
        <w:rPr>
          <w:rFonts w:ascii="Calibri" w:hAnsi="Calibri" w:cs="Calibri"/>
          <w:color w:val="A02B93" w:themeColor="accent5"/>
        </w:rPr>
        <w:t>5. Interpersonal Relationships</w:t>
      </w:r>
      <w:bookmarkEnd w:id="20"/>
      <w:bookmarkEnd w:id="21"/>
      <w:r w:rsidRPr="00BA25E0">
        <w:rPr>
          <w:rFonts w:ascii="Calibri" w:hAnsi="Calibri" w:cs="Calibri"/>
          <w:color w:val="A02B93" w:themeColor="accent5"/>
        </w:rPr>
        <w:t xml:space="preserve"> </w:t>
      </w:r>
    </w:p>
    <w:p w14:paraId="780D549C" w14:textId="3C6F28B1" w:rsidR="00894DA5" w:rsidRPr="00BA25E0" w:rsidRDefault="00894DA5" w:rsidP="0070534A">
      <w:pPr>
        <w:rPr>
          <w:rFonts w:ascii="Calibri" w:hAnsi="Calibri" w:cs="Calibri"/>
        </w:rPr>
      </w:pPr>
      <w:r w:rsidRPr="00BA25E0">
        <w:rPr>
          <w:rFonts w:ascii="Calibri" w:hAnsi="Calibri" w:cs="Calibri"/>
        </w:rPr>
        <w:t>Interpersonal relationships rely on trust, communication, respect and the ability to work through disagreements. When these elements weaken, psychological safety declines and teams become more guarded, less collaborative and more prone to conflict. Edmondson (2019) describes psychological safety as the shared belief that a team is safe for interpersonal risk</w:t>
      </w:r>
      <w:r w:rsidRPr="00BA25E0">
        <w:rPr>
          <w:rFonts w:ascii="Calibri" w:hAnsi="Calibri" w:cs="Calibri"/>
        </w:rPr>
        <w:noBreakHyphen/>
        <w:t>taking. Relational breakdowns often emerge gradually through repeated small interactions rather than sudden major incidents (Frazier et al., 2016), which is evident throughout the  case</w:t>
      </w:r>
      <w:r w:rsidR="00F611D3" w:rsidRPr="00BA25E0">
        <w:rPr>
          <w:rFonts w:ascii="Calibri" w:hAnsi="Calibri" w:cs="Calibri"/>
        </w:rPr>
        <w:t xml:space="preserve"> study. </w:t>
      </w:r>
    </w:p>
    <w:p w14:paraId="674A075B" w14:textId="3C287B42" w:rsidR="00700E0E" w:rsidRPr="00BA25E0" w:rsidRDefault="00700E0E" w:rsidP="006B5154">
      <w:pPr>
        <w:pStyle w:val="Heading2"/>
        <w:rPr>
          <w:rFonts w:ascii="Calibri" w:hAnsi="Calibri" w:cs="Calibri"/>
          <w:color w:val="A02B93" w:themeColor="accent5"/>
        </w:rPr>
      </w:pPr>
      <w:bookmarkStart w:id="22" w:name="_Toc242017868"/>
      <w:bookmarkStart w:id="23" w:name="_Toc242019729"/>
      <w:r w:rsidRPr="00BA25E0">
        <w:rPr>
          <w:rFonts w:ascii="Calibri" w:hAnsi="Calibri" w:cs="Calibri"/>
          <w:color w:val="A02B93" w:themeColor="accent5"/>
        </w:rPr>
        <w:t>5.1 Case Analysis</w:t>
      </w:r>
      <w:bookmarkEnd w:id="22"/>
      <w:bookmarkEnd w:id="23"/>
    </w:p>
    <w:p w14:paraId="15D1C5DF" w14:textId="77777777" w:rsidR="00AF0A66" w:rsidRPr="00BA25E0" w:rsidRDefault="00AF0A66" w:rsidP="00AF0A66">
      <w:pPr>
        <w:rPr>
          <w:rFonts w:ascii="Calibri" w:hAnsi="Calibri" w:cs="Calibri"/>
        </w:rPr>
      </w:pPr>
      <w:r w:rsidRPr="00BA25E0">
        <w:rPr>
          <w:rFonts w:ascii="Calibri" w:hAnsi="Calibri" w:cs="Calibri"/>
        </w:rPr>
        <w:t>The engineering team experienced a clear deterioration in interpersonal relationships. Gossip, exclusion, guarded behaviour and poor communication became normalised. Information was withheld, conflict increased and management bypassed Alice in her role as project lead.</w:t>
      </w:r>
    </w:p>
    <w:p w14:paraId="2BA0CA8A" w14:textId="77777777" w:rsidR="00AF0A66" w:rsidRPr="00BA25E0" w:rsidRDefault="00AF0A66" w:rsidP="00AF0A66">
      <w:pPr>
        <w:rPr>
          <w:rFonts w:ascii="Calibri" w:hAnsi="Calibri" w:cs="Calibri"/>
        </w:rPr>
      </w:pPr>
      <w:r w:rsidRPr="00BA25E0">
        <w:rPr>
          <w:rFonts w:ascii="Calibri" w:hAnsi="Calibri" w:cs="Calibri"/>
        </w:rPr>
        <w:t>Bias shaped initial assumptions about Alice and other female engineers. These assumptions influenced communication, often excluding them from discussions or overlooking their contributions. Poor communication reduced trust, and as trust declined, Alice became more guarded. Her guardedness then reinforced colleagues’ assumptions that she was difficult or uncooperative, feeding back into further exclusion. This is a classic relational spiral where each behaviour strengthens the next.</w:t>
      </w:r>
    </w:p>
    <w:p w14:paraId="5286D165" w14:textId="77777777" w:rsidR="00AF0A66" w:rsidRPr="00BA25E0" w:rsidRDefault="00AF0A66" w:rsidP="00AF0A66">
      <w:pPr>
        <w:rPr>
          <w:rFonts w:ascii="Calibri" w:hAnsi="Calibri" w:cs="Calibri"/>
        </w:rPr>
      </w:pPr>
      <w:r w:rsidRPr="00BA25E0">
        <w:rPr>
          <w:rFonts w:ascii="Calibri" w:hAnsi="Calibri" w:cs="Calibri"/>
        </w:rPr>
        <w:t xml:space="preserve">Understanding the relational breakdown requires distinguishing between what caused the deterioration and what accelerated it. Time pressure may have intensified existing tensions, </w:t>
      </w:r>
      <w:r w:rsidRPr="00BA25E0">
        <w:rPr>
          <w:rFonts w:ascii="Calibri" w:hAnsi="Calibri" w:cs="Calibri"/>
        </w:rPr>
        <w:lastRenderedPageBreak/>
        <w:t>but it does not fully explain why particular individuals were consistently excluded or why communication patterns repeatedly sidelined female engineers. This suggests pressure acted as a catalyst rather than the root cause. Initial assumptions created guarded communication, which reinforced mistrust and further exclusion. Poor communication was not only a cause of the problem but also a consequence of deeper cultural issues, including unclear leadership boundaries and a lack of psychological safety.</w:t>
      </w:r>
    </w:p>
    <w:p w14:paraId="191BF18D" w14:textId="66451935" w:rsidR="00AF0A66" w:rsidRPr="00BA25E0" w:rsidRDefault="00AF0A66" w:rsidP="00AF0A66">
      <w:pPr>
        <w:rPr>
          <w:rFonts w:ascii="Calibri" w:hAnsi="Calibri" w:cs="Calibri"/>
        </w:rPr>
      </w:pPr>
      <w:r w:rsidRPr="00BA25E0">
        <w:rPr>
          <w:rFonts w:ascii="Calibri" w:hAnsi="Calibri" w:cs="Calibri"/>
        </w:rPr>
        <w:t>Psychological safety does not simply mean people feel comfortable; it means they feel able to challenge behaviour, raise concerns and disagree constructively. In this case, silence was not cooperation</w:t>
      </w:r>
      <w:r w:rsidR="00322060" w:rsidRPr="00BA25E0">
        <w:rPr>
          <w:rFonts w:ascii="Calibri" w:hAnsi="Calibri" w:cs="Calibri"/>
        </w:rPr>
        <w:t>, i</w:t>
      </w:r>
      <w:r w:rsidRPr="00BA25E0">
        <w:rPr>
          <w:rFonts w:ascii="Calibri" w:hAnsi="Calibri" w:cs="Calibri"/>
        </w:rPr>
        <w:t>t was a symptom of a culture where challenge felt unsafe. Evaluating these dynamics shows that relationship problems rarely emerge suddenly; they develop gradually through repeated small interactions that go unaddressed.</w:t>
      </w:r>
    </w:p>
    <w:p w14:paraId="600E6A3D" w14:textId="77777777" w:rsidR="00AF0A66" w:rsidRPr="00BA25E0" w:rsidRDefault="00AF0A66" w:rsidP="00AF0A66">
      <w:pPr>
        <w:rPr>
          <w:rFonts w:ascii="Calibri" w:hAnsi="Calibri" w:cs="Calibri"/>
        </w:rPr>
      </w:pPr>
      <w:r w:rsidRPr="00BA25E0">
        <w:rPr>
          <w:rFonts w:ascii="Calibri" w:hAnsi="Calibri" w:cs="Calibri"/>
        </w:rPr>
        <w:t>Under stress, people often rely more heavily on familiar relationships and avoid challenging conversations. This silence allowed biased behaviour to continue and signalled that exclusion was acceptable. Low psychological safety reduces information sharing and increases the likelihood of errors and project delays (Newman et al., 2017), which aligns with the project’s deterioration.</w:t>
      </w:r>
    </w:p>
    <w:p w14:paraId="240E92F5" w14:textId="77777777" w:rsidR="00AF0A66" w:rsidRPr="00BA25E0" w:rsidRDefault="00AF0A66" w:rsidP="00AF0A66">
      <w:pPr>
        <w:rPr>
          <w:rFonts w:ascii="Calibri" w:hAnsi="Calibri" w:cs="Calibri"/>
        </w:rPr>
      </w:pPr>
      <w:r w:rsidRPr="00BA25E0">
        <w:rPr>
          <w:rFonts w:ascii="Calibri" w:hAnsi="Calibri" w:cs="Calibri"/>
        </w:rPr>
        <w:t>Management’s focus on deadlines and decision to bypass Alice further damaged trust and reinforced division. The consequences extended beyond interpersonal discomfort: collaboration declined, information was lost and the project suffered delays and reputational risk. Most importantly, the organisation lost two experienced engineers, demonstrating how relational breakdowns can escalate into structural problems that affect performance and retention.</w:t>
      </w:r>
    </w:p>
    <w:p w14:paraId="0038740E" w14:textId="77777777" w:rsidR="00700E0E" w:rsidRPr="00BA25E0" w:rsidRDefault="00700E0E" w:rsidP="003613AD">
      <w:pPr>
        <w:pStyle w:val="Heading2"/>
        <w:rPr>
          <w:rFonts w:ascii="Calibri" w:hAnsi="Calibri" w:cs="Calibri"/>
          <w:color w:val="A02B93" w:themeColor="accent5"/>
        </w:rPr>
      </w:pPr>
      <w:bookmarkStart w:id="24" w:name="_Toc242017869"/>
      <w:bookmarkStart w:id="25" w:name="_Toc242019730"/>
      <w:r w:rsidRPr="00BA25E0">
        <w:rPr>
          <w:rFonts w:ascii="Calibri" w:hAnsi="Calibri" w:cs="Calibri"/>
          <w:color w:val="A02B93" w:themeColor="accent5"/>
        </w:rPr>
        <w:t>5.2 Application to My Practice</w:t>
      </w:r>
      <w:bookmarkEnd w:id="24"/>
      <w:bookmarkEnd w:id="25"/>
    </w:p>
    <w:p w14:paraId="5ADE3A61" w14:textId="77777777" w:rsidR="00976500" w:rsidRPr="00BA25E0" w:rsidRDefault="00976500" w:rsidP="00976500">
      <w:pPr>
        <w:rPr>
          <w:rFonts w:ascii="Calibri" w:hAnsi="Calibri" w:cs="Calibri"/>
        </w:rPr>
      </w:pPr>
      <w:r w:rsidRPr="00BA25E0">
        <w:rPr>
          <w:rFonts w:ascii="Calibri" w:hAnsi="Calibri" w:cs="Calibri"/>
        </w:rPr>
        <w:t>Interpersonal relationships are equally important in ABI care, where communication directly affects safety and wellbeing. Consistency in support depends on staff communicating clearly and trusting one another. If a support worker notices a change in a child’s presentation but does not feel comfortable raising it, vital information can be lost.</w:t>
      </w:r>
    </w:p>
    <w:p w14:paraId="1A728E8E" w14:textId="77777777" w:rsidR="00976500" w:rsidRPr="00BA25E0" w:rsidRDefault="00976500" w:rsidP="00976500">
      <w:pPr>
        <w:rPr>
          <w:rFonts w:ascii="Calibri" w:hAnsi="Calibri" w:cs="Calibri"/>
        </w:rPr>
      </w:pPr>
      <w:r w:rsidRPr="00BA25E0">
        <w:rPr>
          <w:rFonts w:ascii="Calibri" w:hAnsi="Calibri" w:cs="Calibri"/>
        </w:rPr>
        <w:t>I have seen situations where staff avoid raising concerns because they worry about how others will react. To reduce this, I can focus more on creating an environment where concerns are welcomed rather than feared. When staff hesitate to speak up, small issues can quickly become bigger problems. This mirrors the feedback cycle in the case: assumptions lead to poor communication, which reduces trust and creates guarded behaviour.</w:t>
      </w:r>
    </w:p>
    <w:p w14:paraId="37D3A5F8" w14:textId="52517310" w:rsidR="00976500" w:rsidRPr="00BA25E0" w:rsidRDefault="00976500" w:rsidP="00976500">
      <w:pPr>
        <w:rPr>
          <w:rFonts w:ascii="Calibri" w:hAnsi="Calibri" w:cs="Calibri"/>
        </w:rPr>
      </w:pPr>
      <w:r w:rsidRPr="00BA25E0">
        <w:rPr>
          <w:rFonts w:ascii="Calibri" w:hAnsi="Calibri" w:cs="Calibri"/>
        </w:rPr>
        <w:t xml:space="preserve">In ABI care, relational quality directly affects professional outcomes because information sharing is essential for safety. When quieter or newer staff do not feel able to question experienced colleagues, critical observations can be lost. This means interpersonal relationships are not just social </w:t>
      </w:r>
      <w:r w:rsidR="00322060" w:rsidRPr="00BA25E0">
        <w:rPr>
          <w:rFonts w:ascii="Calibri" w:hAnsi="Calibri" w:cs="Calibri"/>
        </w:rPr>
        <w:t>but also</w:t>
      </w:r>
      <w:r w:rsidRPr="00BA25E0">
        <w:rPr>
          <w:rFonts w:ascii="Calibri" w:hAnsi="Calibri" w:cs="Calibri"/>
        </w:rPr>
        <w:t xml:space="preserve"> clinical.</w:t>
      </w:r>
    </w:p>
    <w:p w14:paraId="4D92E067" w14:textId="746861A9" w:rsidR="00976500" w:rsidRPr="00BA25E0" w:rsidRDefault="00976500" w:rsidP="00976500">
      <w:pPr>
        <w:rPr>
          <w:rFonts w:ascii="Calibri" w:hAnsi="Calibri" w:cs="Calibri"/>
        </w:rPr>
      </w:pPr>
      <w:r w:rsidRPr="00BA25E0">
        <w:rPr>
          <w:rFonts w:ascii="Calibri" w:hAnsi="Calibri" w:cs="Calibri"/>
        </w:rPr>
        <w:lastRenderedPageBreak/>
        <w:t>Strengthening psychological safety requires more than encouraging staff to speak u</w:t>
      </w:r>
      <w:r w:rsidR="00A43A7C" w:rsidRPr="00BA25E0">
        <w:rPr>
          <w:rFonts w:ascii="Calibri" w:hAnsi="Calibri" w:cs="Calibri"/>
        </w:rPr>
        <w:t>p</w:t>
      </w:r>
      <w:r w:rsidRPr="00BA25E0">
        <w:rPr>
          <w:rFonts w:ascii="Calibri" w:hAnsi="Calibri" w:cs="Calibri"/>
        </w:rPr>
        <w:t>; it requires modelling openness</w:t>
      </w:r>
      <w:r w:rsidR="00011FE5" w:rsidRPr="00BA25E0">
        <w:rPr>
          <w:rFonts w:ascii="Calibri" w:hAnsi="Calibri" w:cs="Calibri"/>
        </w:rPr>
        <w:t xml:space="preserve"> and</w:t>
      </w:r>
      <w:r w:rsidRPr="00BA25E0">
        <w:rPr>
          <w:rFonts w:ascii="Calibri" w:hAnsi="Calibri" w:cs="Calibri"/>
        </w:rPr>
        <w:t xml:space="preserve"> consistency so that disagreement is treated as part of safe practice rather than conflict. A psychologically safe team is one where staff can challenge interpretations, ask for clarification and raise concerns without fear of judgement. This is particularly important during handover, where subtle changes in a child’s presentation must be shared accurately.</w:t>
      </w:r>
    </w:p>
    <w:p w14:paraId="16B7A9EF" w14:textId="4CE6D2E4" w:rsidR="00976500" w:rsidRPr="00BA25E0" w:rsidRDefault="00976500" w:rsidP="00976500">
      <w:pPr>
        <w:rPr>
          <w:rFonts w:ascii="Calibri" w:hAnsi="Calibri" w:cs="Calibri"/>
        </w:rPr>
      </w:pPr>
      <w:r w:rsidRPr="00BA25E0">
        <w:rPr>
          <w:rFonts w:ascii="Calibri" w:hAnsi="Calibri" w:cs="Calibri"/>
        </w:rPr>
        <w:t>By proactively inviting contributions, addressing relational tensions early and demonstrating transparency myself, I can help prevent the relational spirals seen in the case. This</w:t>
      </w:r>
      <w:r w:rsidR="00EB7C3A" w:rsidRPr="00BA25E0">
        <w:rPr>
          <w:rFonts w:ascii="Calibri" w:hAnsi="Calibri" w:cs="Calibri"/>
        </w:rPr>
        <w:t xml:space="preserve"> </w:t>
      </w:r>
      <w:r w:rsidRPr="00BA25E0">
        <w:rPr>
          <w:rFonts w:ascii="Calibri" w:hAnsi="Calibri" w:cs="Calibri"/>
        </w:rPr>
        <w:t>supports more reliable decision</w:t>
      </w:r>
      <w:r w:rsidRPr="00BA25E0">
        <w:rPr>
          <w:rFonts w:ascii="Calibri" w:hAnsi="Calibri" w:cs="Calibri"/>
        </w:rPr>
        <w:noBreakHyphen/>
        <w:t>making, reduces misunderstandings and enhances the consistency of care for children with ABI.</w:t>
      </w:r>
    </w:p>
    <w:p w14:paraId="1EFEF97D" w14:textId="04175D4E" w:rsidR="00976500" w:rsidRPr="00BA25E0" w:rsidRDefault="00976500" w:rsidP="00976500">
      <w:pPr>
        <w:rPr>
          <w:rFonts w:ascii="Calibri" w:hAnsi="Calibri" w:cs="Calibri"/>
        </w:rPr>
      </w:pPr>
      <w:r w:rsidRPr="00BA25E0">
        <w:rPr>
          <w:rFonts w:ascii="Calibri" w:hAnsi="Calibri" w:cs="Calibri"/>
        </w:rPr>
        <w:t>Leader behaviour strongly shapes relational climate, and inconsistency can reduce trust and increase guardedness (Ralph &amp; Barling, 2022). Modelling openness and consistency can positively influence how staff communicate with one another.</w:t>
      </w:r>
    </w:p>
    <w:p w14:paraId="36B5E4B6" w14:textId="77777777" w:rsidR="00976500" w:rsidRPr="00BA25E0" w:rsidRDefault="00976500" w:rsidP="00976500">
      <w:pPr>
        <w:rPr>
          <w:rFonts w:ascii="Calibri" w:hAnsi="Calibri" w:cs="Calibri"/>
        </w:rPr>
      </w:pPr>
      <w:r w:rsidRPr="00BA25E0">
        <w:rPr>
          <w:rFonts w:ascii="Calibri" w:hAnsi="Calibri" w:cs="Calibri"/>
        </w:rPr>
        <w:t>As a team leader, I can work deliberately to create an environment where staff feel able to raise concerns and communicate openly, even when they disagree. Strengthening interpersonal relationships directly affects the safety, wellbeing and consistency of care for children with ABI. Developing these strategies further can build a more open, trusting and collaborative team culture, reduce the likelihood of errors and enhance the overall quality of support we provide.</w:t>
      </w:r>
    </w:p>
    <w:p w14:paraId="30D9C085" w14:textId="77777777" w:rsidR="0070534A" w:rsidRPr="00BA25E0" w:rsidRDefault="00700E0E" w:rsidP="0070534A">
      <w:pPr>
        <w:pStyle w:val="Heading1"/>
        <w:rPr>
          <w:rFonts w:ascii="Calibri" w:hAnsi="Calibri" w:cs="Calibri"/>
          <w:color w:val="A02B93" w:themeColor="accent5"/>
        </w:rPr>
      </w:pPr>
      <w:r w:rsidRPr="00BA25E0">
        <w:rPr>
          <w:rFonts w:ascii="Calibri" w:hAnsi="Calibri" w:cs="Calibri"/>
        </w:rPr>
        <w:br/>
      </w:r>
      <w:bookmarkStart w:id="26" w:name="_Toc242017870"/>
      <w:bookmarkStart w:id="27" w:name="_Toc242019731"/>
      <w:r w:rsidRPr="00BA25E0">
        <w:rPr>
          <w:rFonts w:ascii="Calibri" w:hAnsi="Calibri" w:cs="Calibri"/>
          <w:color w:val="A02B93" w:themeColor="accent5"/>
        </w:rPr>
        <w:t>6. Professional Integrity</w:t>
      </w:r>
      <w:bookmarkEnd w:id="26"/>
      <w:bookmarkEnd w:id="27"/>
    </w:p>
    <w:p w14:paraId="6B7CBA84" w14:textId="71AA6461" w:rsidR="000C5973" w:rsidRPr="00BA25E0" w:rsidRDefault="000C5973" w:rsidP="0070534A">
      <w:pPr>
        <w:rPr>
          <w:rFonts w:ascii="Calibri" w:eastAsiaTheme="majorEastAsia" w:hAnsi="Calibri" w:cs="Calibri"/>
          <w:color w:val="0F4761" w:themeColor="accent1" w:themeShade="BF"/>
          <w:sz w:val="40"/>
          <w:szCs w:val="40"/>
        </w:rPr>
      </w:pPr>
      <w:r w:rsidRPr="00BA25E0">
        <w:rPr>
          <w:rFonts w:ascii="Calibri" w:hAnsi="Calibri" w:cs="Calibri"/>
        </w:rPr>
        <w:t>Professional integrity involves acting honestly, fairly and ethically, even when doing so is uncomfortable or may create conflict. It requires aligning behaviour with organisational values, being transparent in communication and taking responsibility for decisions. Integrity shapes team culture, trust and the quality of practice. Brown and Treviño (2006) describe integrity as central to ethical leadership, and ethical climates are associated with reduced harmful workplace behaviours and stronger collaboration.</w:t>
      </w:r>
    </w:p>
    <w:p w14:paraId="1025ADBC" w14:textId="77777777" w:rsidR="000C5973" w:rsidRPr="00BA25E0" w:rsidRDefault="000C5973" w:rsidP="00805123">
      <w:pPr>
        <w:pStyle w:val="Heading2"/>
        <w:rPr>
          <w:rFonts w:ascii="Calibri" w:eastAsiaTheme="minorHAnsi" w:hAnsi="Calibri" w:cs="Calibri"/>
          <w:color w:val="auto"/>
          <w:sz w:val="24"/>
          <w:szCs w:val="24"/>
        </w:rPr>
      </w:pPr>
    </w:p>
    <w:p w14:paraId="46D995B8" w14:textId="2B0C40FB" w:rsidR="00700E0E" w:rsidRPr="00BA25E0" w:rsidRDefault="00700E0E" w:rsidP="00805123">
      <w:pPr>
        <w:pStyle w:val="Heading2"/>
        <w:rPr>
          <w:rFonts w:ascii="Calibri" w:hAnsi="Calibri" w:cs="Calibri"/>
          <w:color w:val="A02B93" w:themeColor="accent5"/>
        </w:rPr>
      </w:pPr>
      <w:bookmarkStart w:id="28" w:name="_Toc242017871"/>
      <w:bookmarkStart w:id="29" w:name="_Toc242019732"/>
      <w:r w:rsidRPr="00BA25E0">
        <w:rPr>
          <w:rFonts w:ascii="Calibri" w:hAnsi="Calibri" w:cs="Calibri"/>
          <w:color w:val="A02B93" w:themeColor="accent5"/>
        </w:rPr>
        <w:t>6.1 Case Analysis</w:t>
      </w:r>
      <w:bookmarkEnd w:id="28"/>
      <w:bookmarkEnd w:id="29"/>
    </w:p>
    <w:p w14:paraId="23BA473F" w14:textId="24D35C8E" w:rsidR="00FE2E2F" w:rsidRPr="00BA25E0" w:rsidRDefault="00FE2E2F" w:rsidP="00FE2E2F">
      <w:pPr>
        <w:rPr>
          <w:rFonts w:ascii="Calibri" w:hAnsi="Calibri" w:cs="Calibri"/>
        </w:rPr>
      </w:pPr>
      <w:r w:rsidRPr="00BA25E0">
        <w:rPr>
          <w:rFonts w:ascii="Calibri" w:hAnsi="Calibri" w:cs="Calibri"/>
        </w:rPr>
        <w:t>Professional integrity was repeatedly compromised in the case study</w:t>
      </w:r>
      <w:r w:rsidR="00C878B8" w:rsidRPr="00BA25E0">
        <w:rPr>
          <w:rFonts w:ascii="Calibri" w:hAnsi="Calibri" w:cs="Calibri"/>
        </w:rPr>
        <w:t xml:space="preserve"> where the f</w:t>
      </w:r>
      <w:r w:rsidRPr="00BA25E0">
        <w:rPr>
          <w:rFonts w:ascii="Calibri" w:hAnsi="Calibri" w:cs="Calibri"/>
        </w:rPr>
        <w:t xml:space="preserve">emale engineers’ work was credited to male colleagues, promised resources were not delivered and management bypassed Alice’s professional role by approaching the team directly without her knowledge. These behaviours reflected a lack of fairness, transparency and respect for established responsibilities. Leadership avoided addressing uncomfortable issues such as gender bias and gossip, allowing stereotypes and affinity bias to shape decisions </w:t>
      </w:r>
      <w:r w:rsidRPr="00BA25E0">
        <w:rPr>
          <w:rFonts w:ascii="Calibri" w:hAnsi="Calibri" w:cs="Calibri"/>
        </w:rPr>
        <w:lastRenderedPageBreak/>
        <w:t>instead of competence or evidence. Integrity also failed because perceived conflicts of interest were left unmanaged, creating space for speculation and undermining trust.</w:t>
      </w:r>
    </w:p>
    <w:p w14:paraId="3C4BF6A2" w14:textId="2CDA6693" w:rsidR="00FE2E2F" w:rsidRPr="00BA25E0" w:rsidRDefault="00FE2E2F" w:rsidP="00FE2E2F">
      <w:pPr>
        <w:rPr>
          <w:rFonts w:ascii="Calibri" w:hAnsi="Calibri" w:cs="Calibri"/>
        </w:rPr>
      </w:pPr>
      <w:r w:rsidRPr="00BA25E0">
        <w:rPr>
          <w:rFonts w:ascii="Calibri" w:hAnsi="Calibri" w:cs="Calibri"/>
        </w:rPr>
        <w:t>Leadership prioritised short</w:t>
      </w:r>
      <w:r w:rsidRPr="00BA25E0">
        <w:rPr>
          <w:rFonts w:ascii="Calibri" w:hAnsi="Calibri" w:cs="Calibri"/>
        </w:rPr>
        <w:noBreakHyphen/>
        <w:t>term pressure over ethical decision</w:t>
      </w:r>
      <w:r w:rsidRPr="00BA25E0">
        <w:rPr>
          <w:rFonts w:ascii="Calibri" w:hAnsi="Calibri" w:cs="Calibri"/>
        </w:rPr>
        <w:noBreakHyphen/>
        <w:t xml:space="preserve">making, believing that bypassing Alice or withholding information might accelerate progress. This </w:t>
      </w:r>
      <w:r w:rsidR="00961B17" w:rsidRPr="00BA25E0">
        <w:rPr>
          <w:rFonts w:ascii="Calibri" w:hAnsi="Calibri" w:cs="Calibri"/>
        </w:rPr>
        <w:t>showed</w:t>
      </w:r>
      <w:r w:rsidRPr="00BA25E0">
        <w:rPr>
          <w:rFonts w:ascii="Calibri" w:hAnsi="Calibri" w:cs="Calibri"/>
        </w:rPr>
        <w:t xml:space="preserve"> a disconnect between the organisation’s stated values and its actions. </w:t>
      </w:r>
      <w:r w:rsidR="00961B17" w:rsidRPr="00BA25E0">
        <w:rPr>
          <w:rFonts w:ascii="Calibri" w:hAnsi="Calibri" w:cs="Calibri"/>
        </w:rPr>
        <w:t>The c</w:t>
      </w:r>
      <w:r w:rsidRPr="00BA25E0">
        <w:rPr>
          <w:rFonts w:ascii="Calibri" w:hAnsi="Calibri" w:cs="Calibri"/>
        </w:rPr>
        <w:t>ase highlights a tension between short</w:t>
      </w:r>
      <w:r w:rsidRPr="00BA25E0">
        <w:rPr>
          <w:rFonts w:ascii="Calibri" w:hAnsi="Calibri" w:cs="Calibri"/>
        </w:rPr>
        <w:noBreakHyphen/>
        <w:t>term performance demands and long</w:t>
      </w:r>
      <w:r w:rsidRPr="00BA25E0">
        <w:rPr>
          <w:rFonts w:ascii="Calibri" w:hAnsi="Calibri" w:cs="Calibri"/>
        </w:rPr>
        <w:noBreakHyphen/>
        <w:t>term ethical responsibilities. Leadership appeared to prioritise meeting deadlines over maintaining fairness, transparency and role boundaries, but this short</w:t>
      </w:r>
      <w:r w:rsidRPr="00BA25E0">
        <w:rPr>
          <w:rFonts w:ascii="Calibri" w:hAnsi="Calibri" w:cs="Calibri"/>
        </w:rPr>
        <w:noBreakHyphen/>
        <w:t>term focus created long</w:t>
      </w:r>
      <w:r w:rsidRPr="00BA25E0">
        <w:rPr>
          <w:rFonts w:ascii="Calibri" w:hAnsi="Calibri" w:cs="Calibri"/>
        </w:rPr>
        <w:noBreakHyphen/>
        <w:t>term organisational costs</w:t>
      </w:r>
      <w:r w:rsidR="00961B17" w:rsidRPr="00BA25E0">
        <w:rPr>
          <w:rFonts w:ascii="Calibri" w:hAnsi="Calibri" w:cs="Calibri"/>
        </w:rPr>
        <w:t xml:space="preserve">, </w:t>
      </w:r>
      <w:r w:rsidRPr="00BA25E0">
        <w:rPr>
          <w:rFonts w:ascii="Calibri" w:hAnsi="Calibri" w:cs="Calibri"/>
        </w:rPr>
        <w:t xml:space="preserve"> damaged trust, reduced psychological safety and the loss of two experienced engineers.</w:t>
      </w:r>
    </w:p>
    <w:p w14:paraId="494167EA" w14:textId="2DBBA338" w:rsidR="00FE2E2F" w:rsidRPr="00BA25E0" w:rsidRDefault="00FE2E2F" w:rsidP="00FE2E2F">
      <w:pPr>
        <w:rPr>
          <w:rFonts w:ascii="Calibri" w:hAnsi="Calibri" w:cs="Calibri"/>
        </w:rPr>
      </w:pPr>
      <w:r w:rsidRPr="00BA25E0">
        <w:rPr>
          <w:rFonts w:ascii="Calibri" w:hAnsi="Calibri" w:cs="Calibri"/>
        </w:rPr>
        <w:t>Pressure may explain why leaders made reactive decisions, but it does not justify compromising professional standards. Ethical leadership becomes mo</w:t>
      </w:r>
      <w:r w:rsidR="00B46C62" w:rsidRPr="00BA25E0">
        <w:rPr>
          <w:rFonts w:ascii="Calibri" w:hAnsi="Calibri" w:cs="Calibri"/>
        </w:rPr>
        <w:t xml:space="preserve">re </w:t>
      </w:r>
      <w:r w:rsidRPr="00BA25E0">
        <w:rPr>
          <w:rFonts w:ascii="Calibri" w:hAnsi="Calibri" w:cs="Calibri"/>
        </w:rPr>
        <w:t xml:space="preserve">important under pressure because it protects the organisation from decisions that may appear efficient in the moment but </w:t>
      </w:r>
      <w:r w:rsidR="00B46C62" w:rsidRPr="00BA25E0">
        <w:rPr>
          <w:rFonts w:ascii="Calibri" w:hAnsi="Calibri" w:cs="Calibri"/>
        </w:rPr>
        <w:t>create</w:t>
      </w:r>
      <w:r w:rsidRPr="00BA25E0">
        <w:rPr>
          <w:rFonts w:ascii="Calibri" w:hAnsi="Calibri" w:cs="Calibri"/>
        </w:rPr>
        <w:t xml:space="preserve"> deeper relational and cultural harm. Integrity is not simply about individual honesty</w:t>
      </w:r>
      <w:r w:rsidR="00B46C62" w:rsidRPr="00BA25E0">
        <w:rPr>
          <w:rFonts w:ascii="Calibri" w:hAnsi="Calibri" w:cs="Calibri"/>
        </w:rPr>
        <w:t>,</w:t>
      </w:r>
      <w:r w:rsidRPr="00BA25E0">
        <w:rPr>
          <w:rFonts w:ascii="Calibri" w:hAnsi="Calibri" w:cs="Calibri"/>
        </w:rPr>
        <w:t xml:space="preserve"> it is about consistently aligning behaviour with organisational values even when doing so is uncomfortable or time</w:t>
      </w:r>
      <w:r w:rsidRPr="00BA25E0">
        <w:rPr>
          <w:rFonts w:ascii="Calibri" w:hAnsi="Calibri" w:cs="Calibri"/>
        </w:rPr>
        <w:noBreakHyphen/>
        <w:t>consuming. When leaders fail to uphold integrity, staff disengage, fairness erodes and biased behaviour becomes normalised. This demonstrates that professional integrity is both a personal commitment and a structural safeguard that protects team culture, performance and wellbeing.</w:t>
      </w:r>
    </w:p>
    <w:p w14:paraId="2E849BA8" w14:textId="77777777" w:rsidR="00115ADF" w:rsidRPr="00BA25E0" w:rsidRDefault="00115ADF" w:rsidP="00B80D08">
      <w:pPr>
        <w:rPr>
          <w:rFonts w:ascii="Calibri" w:hAnsi="Calibri" w:cs="Calibri"/>
        </w:rPr>
      </w:pPr>
    </w:p>
    <w:p w14:paraId="0939F840" w14:textId="77777777" w:rsidR="00700E0E" w:rsidRPr="00BA25E0" w:rsidRDefault="00700E0E" w:rsidP="00115ADF">
      <w:pPr>
        <w:pStyle w:val="Heading2"/>
        <w:rPr>
          <w:rFonts w:ascii="Calibri" w:hAnsi="Calibri" w:cs="Calibri"/>
          <w:color w:val="A02B93" w:themeColor="accent5"/>
        </w:rPr>
      </w:pPr>
      <w:bookmarkStart w:id="30" w:name="_Toc242017872"/>
      <w:bookmarkStart w:id="31" w:name="_Toc242019733"/>
      <w:r w:rsidRPr="00BA25E0">
        <w:rPr>
          <w:rFonts w:ascii="Calibri" w:hAnsi="Calibri" w:cs="Calibri"/>
          <w:color w:val="A02B93" w:themeColor="accent5"/>
        </w:rPr>
        <w:t>6.2 Application to My Practice</w:t>
      </w:r>
      <w:bookmarkEnd w:id="30"/>
      <w:bookmarkEnd w:id="31"/>
    </w:p>
    <w:p w14:paraId="6EEAE0CB" w14:textId="77777777" w:rsidR="00FE2E2F" w:rsidRPr="00BA25E0" w:rsidRDefault="00FE2E2F" w:rsidP="00FE2E2F">
      <w:pPr>
        <w:rPr>
          <w:rFonts w:ascii="Calibri" w:hAnsi="Calibri" w:cs="Calibri"/>
        </w:rPr>
      </w:pPr>
      <w:r w:rsidRPr="00BA25E0">
        <w:rPr>
          <w:rFonts w:ascii="Calibri" w:hAnsi="Calibri" w:cs="Calibri"/>
        </w:rPr>
        <w:t>Professional integrity in ABI care means committing to consistent, safe and ethical practice, even when doing so is uncomfortable. It requires balancing immediate demands with long</w:t>
      </w:r>
      <w:r w:rsidRPr="00BA25E0">
        <w:rPr>
          <w:rFonts w:ascii="Calibri" w:hAnsi="Calibri" w:cs="Calibri"/>
        </w:rPr>
        <w:noBreakHyphen/>
        <w:t>term responsibilities. For example, it may feel quicker to overlook a minor inconsistency in practice during a busy shift, but doing so can gradually normalise unsafe shortcuts. Integrity therefore involves addressing concerns early, even when it is inconvenient, because small lapses can accumulate into significant risks for the child.</w:t>
      </w:r>
    </w:p>
    <w:p w14:paraId="43BEC08F" w14:textId="75EBE414" w:rsidR="00FE2E2F" w:rsidRPr="00BA25E0" w:rsidRDefault="00FE2E2F" w:rsidP="00FE2E2F">
      <w:pPr>
        <w:rPr>
          <w:rFonts w:ascii="Calibri" w:hAnsi="Calibri" w:cs="Calibri"/>
        </w:rPr>
      </w:pPr>
      <w:r w:rsidRPr="00BA25E0">
        <w:rPr>
          <w:rFonts w:ascii="Calibri" w:hAnsi="Calibri" w:cs="Calibri"/>
        </w:rPr>
        <w:t>Integrity also requires fairness</w:t>
      </w:r>
      <w:r w:rsidR="003D4183" w:rsidRPr="00BA25E0">
        <w:rPr>
          <w:rFonts w:ascii="Calibri" w:hAnsi="Calibri" w:cs="Calibri"/>
        </w:rPr>
        <w:t>,</w:t>
      </w:r>
      <w:r w:rsidRPr="00BA25E0">
        <w:rPr>
          <w:rFonts w:ascii="Calibri" w:hAnsi="Calibri" w:cs="Calibri"/>
        </w:rPr>
        <w:t xml:space="preserve"> newer staff and experienced colleagues must be held to the same standards, and interpretations that conflict with person</w:t>
      </w:r>
      <w:r w:rsidRPr="00BA25E0">
        <w:rPr>
          <w:rFonts w:ascii="Calibri" w:hAnsi="Calibri" w:cs="Calibri"/>
        </w:rPr>
        <w:noBreakHyphen/>
        <w:t>centred practice must be challenged consistently. Acting with integrity means aligning decisions with core values such as safety, transparency and dignity, even when this creates difficult conversations. This strengthens trust, reduces confusion and ensures decisions are based on evidence rather than habit or convenience.</w:t>
      </w:r>
    </w:p>
    <w:p w14:paraId="07EE0EAF" w14:textId="77777777" w:rsidR="00FE2E2F" w:rsidRPr="00BA25E0" w:rsidRDefault="00FE2E2F" w:rsidP="00FE2E2F">
      <w:pPr>
        <w:rPr>
          <w:rFonts w:ascii="Calibri" w:hAnsi="Calibri" w:cs="Calibri"/>
        </w:rPr>
      </w:pPr>
      <w:r w:rsidRPr="00BA25E0">
        <w:rPr>
          <w:rFonts w:ascii="Calibri" w:hAnsi="Calibri" w:cs="Calibri"/>
        </w:rPr>
        <w:t xml:space="preserve">In my role, I can strengthen integrity by ensuring staff fully understand the care plan, documenting concerns clearly and raising issues during supervision. When practice is inconsistent, escalating safeguarding matters promptly protects the child’s safety and supports higher standards across the team. This also strengthens my credibility as a leader, </w:t>
      </w:r>
      <w:r w:rsidRPr="00BA25E0">
        <w:rPr>
          <w:rFonts w:ascii="Calibri" w:hAnsi="Calibri" w:cs="Calibri"/>
        </w:rPr>
        <w:lastRenderedPageBreak/>
        <w:t>because staff are more likely to trust and follow someone who acts consistently with their stated values.</w:t>
      </w:r>
    </w:p>
    <w:p w14:paraId="52B61628" w14:textId="2000AB8B" w:rsidR="00FE2E2F" w:rsidRPr="00BA25E0" w:rsidRDefault="00FE2E2F" w:rsidP="00FE2E2F">
      <w:pPr>
        <w:rPr>
          <w:rFonts w:ascii="Calibri" w:hAnsi="Calibri" w:cs="Calibri"/>
        </w:rPr>
      </w:pPr>
      <w:r w:rsidRPr="00BA25E0">
        <w:rPr>
          <w:rFonts w:ascii="Calibri" w:hAnsi="Calibri" w:cs="Calibri"/>
        </w:rPr>
        <w:t>There have been situations where a child’s behaviour escalated and staff reacted inconsistently. Instead of focusing on blame, I can explore whether staff need more support, clearer guidance or time to reflect on what happened. This strengthens accountability because it focuses on learning rather than punishment. It also models the behaviour I expect from others: addressing issues early, being transparent and acting in line with professional responsibilities. Over time, this can help create a culture where staff feel safe to admit mistakes, ask for help and engage in reflective practice.</w:t>
      </w:r>
    </w:p>
    <w:p w14:paraId="48436346" w14:textId="2DBB3BBC" w:rsidR="003B3BD3" w:rsidRPr="00BA25E0" w:rsidRDefault="00FE2E2F" w:rsidP="00700E0E">
      <w:pPr>
        <w:rPr>
          <w:rFonts w:ascii="Calibri" w:hAnsi="Calibri" w:cs="Calibri"/>
        </w:rPr>
      </w:pPr>
      <w:r w:rsidRPr="00BA25E0">
        <w:rPr>
          <w:rFonts w:ascii="Calibri" w:hAnsi="Calibri" w:cs="Calibri"/>
        </w:rPr>
        <w:t>As a team leader, I can challenge poor practice more confidently, uphold standards more consistently and ensure responsibility is clear across the team. Professional integrity shapes team culture and directly affects the safety and wellbeing of the children we support. Developing these behaviours further can improve team cohesion, enhance trust, reduce escalation of issues and strengthen my effectiveness as a leader.</w:t>
      </w:r>
    </w:p>
    <w:p w14:paraId="36709CC5" w14:textId="77777777" w:rsidR="006D449B" w:rsidRPr="00BA25E0" w:rsidRDefault="006D449B" w:rsidP="00700E0E">
      <w:pPr>
        <w:rPr>
          <w:rFonts w:ascii="Calibri" w:hAnsi="Calibri" w:cs="Calibri"/>
        </w:rPr>
      </w:pPr>
    </w:p>
    <w:p w14:paraId="05FB6272" w14:textId="77777777" w:rsidR="006D449B" w:rsidRPr="00BA25E0" w:rsidRDefault="006D449B" w:rsidP="00700E0E">
      <w:pPr>
        <w:rPr>
          <w:rFonts w:ascii="Calibri" w:hAnsi="Calibri" w:cs="Calibri"/>
        </w:rPr>
      </w:pPr>
    </w:p>
    <w:p w14:paraId="30430AAE" w14:textId="77777777" w:rsidR="006D449B" w:rsidRPr="00BA25E0" w:rsidRDefault="006D449B" w:rsidP="00700E0E">
      <w:pPr>
        <w:rPr>
          <w:rFonts w:ascii="Calibri" w:hAnsi="Calibri" w:cs="Calibri"/>
        </w:rPr>
      </w:pPr>
    </w:p>
    <w:p w14:paraId="46BD4EFB" w14:textId="77777777" w:rsidR="006D449B" w:rsidRPr="00BA25E0" w:rsidRDefault="006D449B" w:rsidP="00700E0E">
      <w:pPr>
        <w:rPr>
          <w:rFonts w:ascii="Calibri" w:hAnsi="Calibri" w:cs="Calibri"/>
        </w:rPr>
      </w:pPr>
    </w:p>
    <w:p w14:paraId="5BBBDAF5" w14:textId="77777777" w:rsidR="006D449B" w:rsidRPr="00BA25E0" w:rsidRDefault="006D449B" w:rsidP="00700E0E">
      <w:pPr>
        <w:rPr>
          <w:rFonts w:ascii="Calibri" w:hAnsi="Calibri" w:cs="Calibri"/>
        </w:rPr>
      </w:pPr>
    </w:p>
    <w:p w14:paraId="5B206566" w14:textId="77777777" w:rsidR="006D449B" w:rsidRPr="00BA25E0" w:rsidRDefault="006D449B" w:rsidP="00700E0E">
      <w:pPr>
        <w:rPr>
          <w:rFonts w:ascii="Calibri" w:hAnsi="Calibri" w:cs="Calibri"/>
        </w:rPr>
      </w:pPr>
    </w:p>
    <w:p w14:paraId="54F072EE" w14:textId="77777777" w:rsidR="006D449B" w:rsidRPr="00BA25E0" w:rsidRDefault="006D449B" w:rsidP="00700E0E">
      <w:pPr>
        <w:rPr>
          <w:rFonts w:ascii="Calibri" w:hAnsi="Calibri" w:cs="Calibri"/>
        </w:rPr>
      </w:pPr>
    </w:p>
    <w:p w14:paraId="60FC2B3F" w14:textId="77777777" w:rsidR="006D449B" w:rsidRPr="00BA25E0" w:rsidRDefault="006D449B" w:rsidP="00700E0E">
      <w:pPr>
        <w:rPr>
          <w:rFonts w:ascii="Calibri" w:hAnsi="Calibri" w:cs="Calibri"/>
        </w:rPr>
      </w:pPr>
    </w:p>
    <w:p w14:paraId="4B2AB9FD" w14:textId="77777777" w:rsidR="006D449B" w:rsidRPr="00BA25E0" w:rsidRDefault="006D449B" w:rsidP="00700E0E">
      <w:pPr>
        <w:rPr>
          <w:rFonts w:ascii="Calibri" w:hAnsi="Calibri" w:cs="Calibri"/>
        </w:rPr>
      </w:pPr>
    </w:p>
    <w:p w14:paraId="24AD13CD" w14:textId="77777777" w:rsidR="006D449B" w:rsidRPr="00BA25E0" w:rsidRDefault="006D449B" w:rsidP="00700E0E">
      <w:pPr>
        <w:rPr>
          <w:rFonts w:ascii="Calibri" w:hAnsi="Calibri" w:cs="Calibri"/>
        </w:rPr>
      </w:pPr>
    </w:p>
    <w:p w14:paraId="1FB3BF7F" w14:textId="77777777" w:rsidR="006D449B" w:rsidRPr="00BA25E0" w:rsidRDefault="006D449B" w:rsidP="00700E0E">
      <w:pPr>
        <w:rPr>
          <w:rFonts w:ascii="Calibri" w:hAnsi="Calibri" w:cs="Calibri"/>
        </w:rPr>
      </w:pPr>
    </w:p>
    <w:p w14:paraId="4E641746" w14:textId="77777777" w:rsidR="006D449B" w:rsidRPr="00BA25E0" w:rsidRDefault="006D449B" w:rsidP="00700E0E">
      <w:pPr>
        <w:rPr>
          <w:rFonts w:ascii="Calibri" w:hAnsi="Calibri" w:cs="Calibri"/>
        </w:rPr>
      </w:pPr>
    </w:p>
    <w:p w14:paraId="5B8A29FD" w14:textId="77777777" w:rsidR="006D449B" w:rsidRPr="00BA25E0" w:rsidRDefault="006D449B" w:rsidP="00700E0E">
      <w:pPr>
        <w:rPr>
          <w:rFonts w:ascii="Calibri" w:hAnsi="Calibri" w:cs="Calibri"/>
        </w:rPr>
      </w:pPr>
    </w:p>
    <w:p w14:paraId="7995D550" w14:textId="77777777" w:rsidR="006D449B" w:rsidRPr="00BA25E0" w:rsidRDefault="006D449B" w:rsidP="00700E0E">
      <w:pPr>
        <w:rPr>
          <w:rFonts w:ascii="Calibri" w:hAnsi="Calibri" w:cs="Calibri"/>
        </w:rPr>
      </w:pPr>
    </w:p>
    <w:p w14:paraId="736503BB" w14:textId="77777777" w:rsidR="006D449B" w:rsidRPr="00BA25E0" w:rsidRDefault="006D449B" w:rsidP="00700E0E">
      <w:pPr>
        <w:rPr>
          <w:rFonts w:ascii="Calibri" w:hAnsi="Calibri" w:cs="Calibri"/>
        </w:rPr>
      </w:pPr>
    </w:p>
    <w:p w14:paraId="0F63CBE4" w14:textId="77777777" w:rsidR="006D449B" w:rsidRPr="00BA25E0" w:rsidRDefault="006D449B" w:rsidP="00700E0E">
      <w:pPr>
        <w:rPr>
          <w:rFonts w:ascii="Calibri" w:hAnsi="Calibri" w:cs="Calibri"/>
        </w:rPr>
      </w:pPr>
    </w:p>
    <w:p w14:paraId="5319729D" w14:textId="77777777" w:rsidR="00700E0E" w:rsidRPr="00BA25E0" w:rsidRDefault="00700E0E" w:rsidP="00ED4CE6">
      <w:pPr>
        <w:pStyle w:val="Heading1"/>
        <w:rPr>
          <w:rFonts w:ascii="Calibri" w:hAnsi="Calibri" w:cs="Calibri"/>
          <w:color w:val="A02B93" w:themeColor="accent5"/>
        </w:rPr>
      </w:pPr>
      <w:bookmarkStart w:id="32" w:name="_Toc242017873"/>
      <w:bookmarkStart w:id="33" w:name="_Toc242019734"/>
      <w:r w:rsidRPr="00BA25E0">
        <w:rPr>
          <w:rFonts w:ascii="Calibri" w:hAnsi="Calibri" w:cs="Calibri"/>
          <w:color w:val="A02B93" w:themeColor="accent5"/>
        </w:rPr>
        <w:lastRenderedPageBreak/>
        <w:t>7. Conclusion</w:t>
      </w:r>
      <w:bookmarkEnd w:id="32"/>
      <w:bookmarkEnd w:id="33"/>
      <w:r w:rsidRPr="00BA25E0">
        <w:rPr>
          <w:rFonts w:ascii="Calibri" w:hAnsi="Calibri" w:cs="Calibri"/>
          <w:color w:val="A02B93" w:themeColor="accent5"/>
        </w:rPr>
        <w:t xml:space="preserve"> </w:t>
      </w:r>
    </w:p>
    <w:p w14:paraId="2477704F" w14:textId="5902C58B" w:rsidR="00BA444D" w:rsidRPr="00BA25E0" w:rsidRDefault="00BA444D" w:rsidP="00BA444D">
      <w:pPr>
        <w:rPr>
          <w:rFonts w:ascii="Calibri" w:hAnsi="Calibri" w:cs="Calibri"/>
        </w:rPr>
      </w:pPr>
      <w:r w:rsidRPr="00BA25E0">
        <w:rPr>
          <w:rFonts w:ascii="Calibri" w:hAnsi="Calibri" w:cs="Calibri"/>
        </w:rPr>
        <w:t xml:space="preserve">This review shows that the problems in the SMART Engineering case </w:t>
      </w:r>
      <w:r w:rsidR="00D169DE" w:rsidRPr="00BA25E0">
        <w:rPr>
          <w:rFonts w:ascii="Calibri" w:hAnsi="Calibri" w:cs="Calibri"/>
        </w:rPr>
        <w:t xml:space="preserve">study </w:t>
      </w:r>
      <w:r w:rsidRPr="00BA25E0">
        <w:rPr>
          <w:rFonts w:ascii="Calibri" w:hAnsi="Calibri" w:cs="Calibri"/>
        </w:rPr>
        <w:t>did not arise from isolated incidents but from the interaction between self</w:t>
      </w:r>
      <w:r w:rsidRPr="00BA25E0">
        <w:rPr>
          <w:rFonts w:ascii="Calibri" w:hAnsi="Calibri" w:cs="Calibri"/>
        </w:rPr>
        <w:noBreakHyphen/>
        <w:t>management, bias, accountability, interpersonal relationships and professional integrity. Pressure intensified existing tensions, but it did not fully explain why particular individuals were repeatedly excluded or why communication deteriorated in predictable patterns. Instead, organisational culture, unclear role boundaries and weak psychological safety shaped behaviour and created conditions where bias went unchallenged, accountability weakened and relationships deteriorated. Research on psychological safety (Edmondson, 2019), emotional regulation (Mesmer</w:t>
      </w:r>
      <w:r w:rsidRPr="00BA25E0">
        <w:rPr>
          <w:rFonts w:ascii="Calibri" w:hAnsi="Calibri" w:cs="Calibri"/>
        </w:rPr>
        <w:noBreakHyphen/>
        <w:t>Magnus et al., 2017), inclusive climates (Nishii, 2013) and ethical leadership (Brown &amp; Treviño, 2006; Hannah &amp; Avolio, 2011) reinforces that these constructs are interconnected and that failures in one area often escalate problems in others.</w:t>
      </w:r>
    </w:p>
    <w:p w14:paraId="151C57A0" w14:textId="5A33C2AE" w:rsidR="00BA444D" w:rsidRPr="00BA25E0" w:rsidRDefault="00BA444D" w:rsidP="00BA444D">
      <w:pPr>
        <w:rPr>
          <w:rFonts w:ascii="Calibri" w:hAnsi="Calibri" w:cs="Calibri"/>
        </w:rPr>
      </w:pPr>
      <w:r w:rsidRPr="00BA25E0">
        <w:rPr>
          <w:rFonts w:ascii="Calibri" w:hAnsi="Calibri" w:cs="Calibri"/>
        </w:rPr>
        <w:t xml:space="preserve">Applying these insights to ABI care </w:t>
      </w:r>
      <w:r w:rsidR="00EA541B" w:rsidRPr="00BA25E0">
        <w:rPr>
          <w:rFonts w:ascii="Calibri" w:hAnsi="Calibri" w:cs="Calibri"/>
        </w:rPr>
        <w:t>shows</w:t>
      </w:r>
      <w:r w:rsidRPr="00BA25E0">
        <w:rPr>
          <w:rFonts w:ascii="Calibri" w:hAnsi="Calibri" w:cs="Calibri"/>
        </w:rPr>
        <w:t xml:space="preserve"> similar risks</w:t>
      </w:r>
      <w:r w:rsidR="00EA541B" w:rsidRPr="00BA25E0">
        <w:rPr>
          <w:rFonts w:ascii="Calibri" w:hAnsi="Calibri" w:cs="Calibri"/>
        </w:rPr>
        <w:t xml:space="preserve"> to e</w:t>
      </w:r>
      <w:r w:rsidRPr="00BA25E0">
        <w:rPr>
          <w:rFonts w:ascii="Calibri" w:hAnsi="Calibri" w:cs="Calibri"/>
        </w:rPr>
        <w:t>motional responses, assumptions, avoidance and inconsistent communication can all affect decision</w:t>
      </w:r>
      <w:r w:rsidRPr="00BA25E0">
        <w:rPr>
          <w:rFonts w:ascii="Calibri" w:hAnsi="Calibri" w:cs="Calibri"/>
        </w:rPr>
        <w:noBreakHyphen/>
        <w:t>making and the safety of children with complex needs. Strengthening practice therefore requires both individual reflection and organisational responsibility</w:t>
      </w:r>
      <w:r w:rsidR="00873269" w:rsidRPr="00BA25E0">
        <w:rPr>
          <w:rFonts w:ascii="Calibri" w:hAnsi="Calibri" w:cs="Calibri"/>
        </w:rPr>
        <w:t xml:space="preserve">, </w:t>
      </w:r>
      <w:r w:rsidRPr="00BA25E0">
        <w:rPr>
          <w:rFonts w:ascii="Calibri" w:hAnsi="Calibri" w:cs="Calibri"/>
        </w:rPr>
        <w:t>regulating emotional responses, challenging assumptions, addressing concerns early, modelling fairness and creating conditions where staff feel able to raise issues without fear. These behaviours support psychological safety, improve consistency and protect children’s wellbeing.</w:t>
      </w:r>
    </w:p>
    <w:p w14:paraId="7B5A4F31" w14:textId="77777777" w:rsidR="00BA444D" w:rsidRPr="00BA25E0" w:rsidRDefault="00BA444D" w:rsidP="00BA444D">
      <w:pPr>
        <w:rPr>
          <w:rFonts w:ascii="Calibri" w:hAnsi="Calibri" w:cs="Calibri"/>
        </w:rPr>
      </w:pPr>
      <w:r w:rsidRPr="00BA25E0">
        <w:rPr>
          <w:rFonts w:ascii="Calibri" w:hAnsi="Calibri" w:cs="Calibri"/>
        </w:rPr>
        <w:t>Using Kolb’s reflective cycle helped identify the specific areas of my own practice that require development, showing how learning from the case can directly inform my role as a senior support worker and team leader. These development needs have been translated into a SMART Personal Development Plan that outlines the actions I will take, how progress will be measured and how improvements will strengthen team culture and safe practice. The full plan is provided in Appendix A.</w:t>
      </w:r>
    </w:p>
    <w:p w14:paraId="7503829D" w14:textId="77777777" w:rsidR="004675C0" w:rsidRPr="00BA25E0" w:rsidRDefault="004675C0" w:rsidP="007346CC">
      <w:pPr>
        <w:rPr>
          <w:rFonts w:ascii="Calibri" w:hAnsi="Calibri" w:cs="Calibri"/>
        </w:rPr>
      </w:pPr>
    </w:p>
    <w:p w14:paraId="56E9A0DF" w14:textId="77777777" w:rsidR="004675C0" w:rsidRPr="00BA25E0" w:rsidRDefault="004675C0" w:rsidP="007346CC">
      <w:pPr>
        <w:rPr>
          <w:rFonts w:ascii="Calibri" w:hAnsi="Calibri" w:cs="Calibri"/>
        </w:rPr>
      </w:pPr>
    </w:p>
    <w:p w14:paraId="2E820FFC" w14:textId="77777777" w:rsidR="00A328D4" w:rsidRPr="00BA25E0" w:rsidRDefault="00A328D4" w:rsidP="007346CC">
      <w:pPr>
        <w:rPr>
          <w:rStyle w:val="Heading1Char"/>
          <w:rFonts w:ascii="Calibri" w:hAnsi="Calibri" w:cs="Calibri"/>
          <w:color w:val="A02B93" w:themeColor="accent5"/>
        </w:rPr>
      </w:pPr>
    </w:p>
    <w:p w14:paraId="3884E894" w14:textId="77777777" w:rsidR="00A328D4" w:rsidRPr="00BA25E0" w:rsidRDefault="00A328D4" w:rsidP="007346CC">
      <w:pPr>
        <w:rPr>
          <w:rStyle w:val="Heading1Char"/>
          <w:rFonts w:ascii="Calibri" w:hAnsi="Calibri" w:cs="Calibri"/>
          <w:color w:val="A02B93" w:themeColor="accent5"/>
        </w:rPr>
      </w:pPr>
    </w:p>
    <w:p w14:paraId="47BDF9FB" w14:textId="77777777" w:rsidR="009F027C" w:rsidRPr="00BA25E0" w:rsidRDefault="009F027C" w:rsidP="007346CC">
      <w:pPr>
        <w:rPr>
          <w:rStyle w:val="Heading1Char"/>
          <w:rFonts w:ascii="Calibri" w:hAnsi="Calibri" w:cs="Calibri"/>
          <w:color w:val="A02B93" w:themeColor="accent5"/>
        </w:rPr>
      </w:pPr>
    </w:p>
    <w:p w14:paraId="53C8E695" w14:textId="77777777" w:rsidR="006D449B" w:rsidRPr="00BA25E0" w:rsidRDefault="006D449B" w:rsidP="007346CC">
      <w:pPr>
        <w:rPr>
          <w:rStyle w:val="Heading1Char"/>
          <w:rFonts w:ascii="Calibri" w:hAnsi="Calibri" w:cs="Calibri"/>
          <w:color w:val="A02B93" w:themeColor="accent5"/>
        </w:rPr>
      </w:pPr>
    </w:p>
    <w:p w14:paraId="5360EA66" w14:textId="77777777" w:rsidR="009F027C" w:rsidRPr="00BA25E0" w:rsidRDefault="009F027C" w:rsidP="007346CC">
      <w:pPr>
        <w:rPr>
          <w:rStyle w:val="Heading1Char"/>
          <w:rFonts w:ascii="Calibri" w:hAnsi="Calibri" w:cs="Calibri"/>
          <w:color w:val="A02B93" w:themeColor="accent5"/>
        </w:rPr>
      </w:pPr>
    </w:p>
    <w:p w14:paraId="71FDD78C" w14:textId="4EAC0692" w:rsidR="004675C0" w:rsidRPr="00BA25E0" w:rsidRDefault="00A328D4" w:rsidP="007346CC">
      <w:pPr>
        <w:rPr>
          <w:rFonts w:ascii="Calibri" w:hAnsi="Calibri" w:cs="Calibri"/>
        </w:rPr>
      </w:pPr>
      <w:bookmarkStart w:id="34" w:name="_Toc242017874"/>
      <w:bookmarkStart w:id="35" w:name="_Toc242019735"/>
      <w:r w:rsidRPr="00BA25E0">
        <w:rPr>
          <w:rStyle w:val="Heading1Char"/>
          <w:rFonts w:ascii="Calibri" w:hAnsi="Calibri" w:cs="Calibri"/>
          <w:color w:val="A02B93" w:themeColor="accent5"/>
        </w:rPr>
        <w:lastRenderedPageBreak/>
        <w:t>Appendix A – PDP</w:t>
      </w:r>
      <w:bookmarkEnd w:id="34"/>
      <w:bookmarkEnd w:id="35"/>
    </w:p>
    <w:tbl>
      <w:tblPr>
        <w:tblpPr w:leftFromText="180" w:rightFromText="180" w:vertAnchor="page" w:horzAnchor="margin" w:tblpXSpec="center" w:tblpY="2317"/>
        <w:tblW w:w="5975" w:type="pct"/>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2125"/>
        <w:gridCol w:w="2045"/>
        <w:gridCol w:w="1756"/>
        <w:gridCol w:w="1488"/>
        <w:gridCol w:w="1733"/>
        <w:gridCol w:w="1627"/>
      </w:tblGrid>
      <w:tr w:rsidR="00A328D4" w:rsidRPr="00BA25E0" w14:paraId="521862B5" w14:textId="77777777" w:rsidTr="00A328D4">
        <w:trPr>
          <w:trHeight w:val="577"/>
          <w:tblHeader/>
          <w:tblCellSpacing w:w="15" w:type="dxa"/>
        </w:trPr>
        <w:tc>
          <w:tcPr>
            <w:tcW w:w="966" w:type="pct"/>
            <w:vAlign w:val="center"/>
            <w:hideMark/>
          </w:tcPr>
          <w:p w14:paraId="0EE063D0" w14:textId="77777777" w:rsidR="00A328D4" w:rsidRPr="00BA25E0" w:rsidRDefault="00A328D4" w:rsidP="00A328D4">
            <w:pPr>
              <w:rPr>
                <w:rFonts w:ascii="Calibri" w:hAnsi="Calibri" w:cs="Calibri"/>
                <w:b/>
                <w:bCs/>
                <w:sz w:val="20"/>
                <w:szCs w:val="20"/>
              </w:rPr>
            </w:pPr>
            <w:r w:rsidRPr="00BA25E0">
              <w:rPr>
                <w:rFonts w:ascii="Calibri" w:hAnsi="Calibri" w:cs="Calibri"/>
                <w:b/>
                <w:bCs/>
                <w:sz w:val="20"/>
                <w:szCs w:val="20"/>
              </w:rPr>
              <w:t>Goal</w:t>
            </w:r>
          </w:p>
        </w:tc>
        <w:tc>
          <w:tcPr>
            <w:tcW w:w="935" w:type="pct"/>
            <w:vAlign w:val="center"/>
            <w:hideMark/>
          </w:tcPr>
          <w:p w14:paraId="5161D8E3" w14:textId="77777777" w:rsidR="00A328D4" w:rsidRPr="00BA25E0" w:rsidRDefault="00A328D4" w:rsidP="00A328D4">
            <w:pPr>
              <w:rPr>
                <w:rFonts w:ascii="Calibri" w:hAnsi="Calibri" w:cs="Calibri"/>
                <w:b/>
                <w:bCs/>
                <w:sz w:val="20"/>
                <w:szCs w:val="20"/>
              </w:rPr>
            </w:pPr>
            <w:r w:rsidRPr="00BA25E0">
              <w:rPr>
                <w:rFonts w:ascii="Calibri" w:hAnsi="Calibri" w:cs="Calibri"/>
                <w:b/>
                <w:bCs/>
                <w:sz w:val="20"/>
                <w:szCs w:val="20"/>
              </w:rPr>
              <w:t>Specific Action</w:t>
            </w:r>
          </w:p>
        </w:tc>
        <w:tc>
          <w:tcPr>
            <w:tcW w:w="801" w:type="pct"/>
            <w:vAlign w:val="center"/>
            <w:hideMark/>
          </w:tcPr>
          <w:p w14:paraId="31CA4A64" w14:textId="77777777" w:rsidR="00A328D4" w:rsidRPr="00BA25E0" w:rsidRDefault="00A328D4" w:rsidP="00A328D4">
            <w:pPr>
              <w:rPr>
                <w:rFonts w:ascii="Calibri" w:hAnsi="Calibri" w:cs="Calibri"/>
                <w:b/>
                <w:bCs/>
                <w:sz w:val="20"/>
                <w:szCs w:val="20"/>
              </w:rPr>
            </w:pPr>
            <w:r w:rsidRPr="00BA25E0">
              <w:rPr>
                <w:rFonts w:ascii="Calibri" w:hAnsi="Calibri" w:cs="Calibri"/>
                <w:b/>
                <w:bCs/>
                <w:sz w:val="20"/>
                <w:szCs w:val="20"/>
              </w:rPr>
              <w:t>Measurable</w:t>
            </w:r>
          </w:p>
        </w:tc>
        <w:tc>
          <w:tcPr>
            <w:tcW w:w="676" w:type="pct"/>
            <w:vAlign w:val="center"/>
            <w:hideMark/>
          </w:tcPr>
          <w:p w14:paraId="3894B492" w14:textId="77777777" w:rsidR="00A328D4" w:rsidRPr="00BA25E0" w:rsidRDefault="00A328D4" w:rsidP="00A328D4">
            <w:pPr>
              <w:rPr>
                <w:rFonts w:ascii="Calibri" w:hAnsi="Calibri" w:cs="Calibri"/>
                <w:b/>
                <w:bCs/>
                <w:sz w:val="20"/>
                <w:szCs w:val="20"/>
              </w:rPr>
            </w:pPr>
            <w:r w:rsidRPr="00BA25E0">
              <w:rPr>
                <w:rFonts w:ascii="Calibri" w:hAnsi="Calibri" w:cs="Calibri"/>
                <w:b/>
                <w:bCs/>
                <w:sz w:val="20"/>
                <w:szCs w:val="20"/>
              </w:rPr>
              <w:t>Achievable</w:t>
            </w:r>
          </w:p>
        </w:tc>
        <w:tc>
          <w:tcPr>
            <w:tcW w:w="790" w:type="pct"/>
            <w:vAlign w:val="center"/>
            <w:hideMark/>
          </w:tcPr>
          <w:p w14:paraId="3BE02180" w14:textId="3DB3EAC3" w:rsidR="00A328D4" w:rsidRPr="00BA25E0" w:rsidRDefault="00A328D4" w:rsidP="00A328D4">
            <w:pPr>
              <w:rPr>
                <w:rFonts w:ascii="Calibri" w:hAnsi="Calibri" w:cs="Calibri"/>
                <w:b/>
                <w:bCs/>
                <w:sz w:val="20"/>
                <w:szCs w:val="20"/>
              </w:rPr>
            </w:pPr>
            <w:r w:rsidRPr="00BA25E0">
              <w:rPr>
                <w:rFonts w:ascii="Calibri" w:hAnsi="Calibri" w:cs="Calibri"/>
                <w:b/>
                <w:bCs/>
                <w:sz w:val="20"/>
                <w:szCs w:val="20"/>
              </w:rPr>
              <w:t xml:space="preserve">Relevant </w:t>
            </w:r>
          </w:p>
        </w:tc>
        <w:tc>
          <w:tcPr>
            <w:tcW w:w="734" w:type="pct"/>
            <w:vAlign w:val="center"/>
            <w:hideMark/>
          </w:tcPr>
          <w:p w14:paraId="20720AE3" w14:textId="7A4F9830" w:rsidR="00A328D4" w:rsidRPr="00BA25E0" w:rsidRDefault="00A328D4" w:rsidP="00A328D4">
            <w:pPr>
              <w:rPr>
                <w:rFonts w:ascii="Calibri" w:hAnsi="Calibri" w:cs="Calibri"/>
                <w:b/>
                <w:bCs/>
                <w:sz w:val="20"/>
                <w:szCs w:val="20"/>
              </w:rPr>
            </w:pPr>
            <w:r w:rsidRPr="00BA25E0">
              <w:rPr>
                <w:rFonts w:ascii="Calibri" w:hAnsi="Calibri" w:cs="Calibri"/>
                <w:b/>
                <w:bCs/>
                <w:sz w:val="20"/>
                <w:szCs w:val="20"/>
              </w:rPr>
              <w:t>Time</w:t>
            </w:r>
          </w:p>
        </w:tc>
      </w:tr>
      <w:tr w:rsidR="00A328D4" w:rsidRPr="00BA25E0" w14:paraId="7CA74561" w14:textId="77777777" w:rsidTr="00A328D4">
        <w:trPr>
          <w:trHeight w:val="1700"/>
          <w:tblCellSpacing w:w="15" w:type="dxa"/>
        </w:trPr>
        <w:tc>
          <w:tcPr>
            <w:tcW w:w="966" w:type="pct"/>
            <w:vAlign w:val="center"/>
            <w:hideMark/>
          </w:tcPr>
          <w:p w14:paraId="0C8F9518" w14:textId="77777777" w:rsidR="00A328D4" w:rsidRPr="00BA25E0" w:rsidRDefault="00A328D4" w:rsidP="00A328D4">
            <w:pPr>
              <w:rPr>
                <w:rFonts w:ascii="Calibri" w:hAnsi="Calibri" w:cs="Calibri"/>
                <w:b/>
                <w:bCs/>
                <w:sz w:val="20"/>
                <w:szCs w:val="20"/>
              </w:rPr>
            </w:pPr>
            <w:r w:rsidRPr="00BA25E0">
              <w:rPr>
                <w:rFonts w:ascii="Calibri" w:hAnsi="Calibri" w:cs="Calibri"/>
                <w:b/>
                <w:bCs/>
                <w:sz w:val="20"/>
                <w:szCs w:val="20"/>
              </w:rPr>
              <w:t>1. Strengthen emotional regulation</w:t>
            </w:r>
          </w:p>
        </w:tc>
        <w:tc>
          <w:tcPr>
            <w:tcW w:w="935" w:type="pct"/>
            <w:vAlign w:val="center"/>
            <w:hideMark/>
          </w:tcPr>
          <w:p w14:paraId="7B577D4D"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Regulate responses during mistakes or behaviour escalation.</w:t>
            </w:r>
          </w:p>
        </w:tc>
        <w:tc>
          <w:tcPr>
            <w:tcW w:w="801" w:type="pct"/>
            <w:vAlign w:val="center"/>
            <w:hideMark/>
          </w:tcPr>
          <w:p w14:paraId="666EED07"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Reflective notes after challenging shifts.</w:t>
            </w:r>
          </w:p>
        </w:tc>
        <w:tc>
          <w:tcPr>
            <w:tcW w:w="676" w:type="pct"/>
            <w:vAlign w:val="center"/>
            <w:hideMark/>
          </w:tcPr>
          <w:p w14:paraId="488821B3"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Use pausing, grounding and reframing.</w:t>
            </w:r>
          </w:p>
        </w:tc>
        <w:tc>
          <w:tcPr>
            <w:tcW w:w="790" w:type="pct"/>
            <w:vAlign w:val="center"/>
            <w:hideMark/>
          </w:tcPr>
          <w:p w14:paraId="2981A90B"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Emotional regulation improves communication and safety (Mesmer</w:t>
            </w:r>
            <w:r w:rsidRPr="00BA25E0">
              <w:rPr>
                <w:rFonts w:ascii="Calibri" w:hAnsi="Calibri" w:cs="Calibri"/>
                <w:sz w:val="20"/>
                <w:szCs w:val="20"/>
              </w:rPr>
              <w:noBreakHyphen/>
              <w:t>Magnus et al., 2017).</w:t>
            </w:r>
          </w:p>
        </w:tc>
        <w:tc>
          <w:tcPr>
            <w:tcW w:w="734" w:type="pct"/>
            <w:vAlign w:val="center"/>
            <w:hideMark/>
          </w:tcPr>
          <w:p w14:paraId="6E3EDCBE"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Start now. Techniques in 2 weeks. Review at 4 and 8 weeks.</w:t>
            </w:r>
          </w:p>
        </w:tc>
      </w:tr>
      <w:tr w:rsidR="00A328D4" w:rsidRPr="00BA25E0" w14:paraId="4472100F" w14:textId="77777777" w:rsidTr="00A328D4">
        <w:trPr>
          <w:trHeight w:val="1730"/>
          <w:tblCellSpacing w:w="15" w:type="dxa"/>
        </w:trPr>
        <w:tc>
          <w:tcPr>
            <w:tcW w:w="966" w:type="pct"/>
            <w:vAlign w:val="center"/>
            <w:hideMark/>
          </w:tcPr>
          <w:p w14:paraId="381D8ADB" w14:textId="77777777" w:rsidR="00A328D4" w:rsidRPr="00BA25E0" w:rsidRDefault="00A328D4" w:rsidP="00A328D4">
            <w:pPr>
              <w:rPr>
                <w:rFonts w:ascii="Calibri" w:hAnsi="Calibri" w:cs="Calibri"/>
                <w:b/>
                <w:bCs/>
                <w:sz w:val="20"/>
                <w:szCs w:val="20"/>
              </w:rPr>
            </w:pPr>
            <w:r w:rsidRPr="00BA25E0">
              <w:rPr>
                <w:rFonts w:ascii="Calibri" w:hAnsi="Calibri" w:cs="Calibri"/>
                <w:b/>
                <w:bCs/>
                <w:sz w:val="20"/>
                <w:szCs w:val="20"/>
              </w:rPr>
              <w:t>2. Reduce personal, cognitive and unconscious bias</w:t>
            </w:r>
          </w:p>
        </w:tc>
        <w:tc>
          <w:tcPr>
            <w:tcW w:w="935" w:type="pct"/>
            <w:vAlign w:val="center"/>
            <w:hideMark/>
          </w:tcPr>
          <w:p w14:paraId="6064CDB2"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Use decision</w:t>
            </w:r>
            <w:r w:rsidRPr="00BA25E0">
              <w:rPr>
                <w:rFonts w:ascii="Calibri" w:hAnsi="Calibri" w:cs="Calibri"/>
                <w:sz w:val="20"/>
                <w:szCs w:val="20"/>
              </w:rPr>
              <w:noBreakHyphen/>
              <w:t>making prompts when assessing concerns or behaviour.</w:t>
            </w:r>
          </w:p>
        </w:tc>
        <w:tc>
          <w:tcPr>
            <w:tcW w:w="801" w:type="pct"/>
            <w:vAlign w:val="center"/>
            <w:hideMark/>
          </w:tcPr>
          <w:p w14:paraId="16341336"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Record two evidence</w:t>
            </w:r>
            <w:r w:rsidRPr="00BA25E0">
              <w:rPr>
                <w:rFonts w:ascii="Calibri" w:hAnsi="Calibri" w:cs="Calibri"/>
                <w:sz w:val="20"/>
                <w:szCs w:val="20"/>
              </w:rPr>
              <w:noBreakHyphen/>
              <w:t>based decisions/month.</w:t>
            </w:r>
          </w:p>
        </w:tc>
        <w:tc>
          <w:tcPr>
            <w:tcW w:w="676" w:type="pct"/>
            <w:vAlign w:val="center"/>
            <w:hideMark/>
          </w:tcPr>
          <w:p w14:paraId="66D1C785"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Use prompts such as “What else could be happening?” and “What evidence supports this?”</w:t>
            </w:r>
          </w:p>
        </w:tc>
        <w:tc>
          <w:tcPr>
            <w:tcW w:w="790" w:type="pct"/>
            <w:vAlign w:val="center"/>
            <w:hideMark/>
          </w:tcPr>
          <w:p w14:paraId="18E02F68"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Bias affects judgement; inclusion improves accuracy (Nishii, 2013; Kahneman, 2011).</w:t>
            </w:r>
          </w:p>
        </w:tc>
        <w:tc>
          <w:tcPr>
            <w:tcW w:w="734" w:type="pct"/>
            <w:vAlign w:val="center"/>
            <w:hideMark/>
          </w:tcPr>
          <w:p w14:paraId="6B876672"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Introduce prompts in 1 week. Review at 6 and 12 weeks.</w:t>
            </w:r>
          </w:p>
        </w:tc>
      </w:tr>
      <w:tr w:rsidR="00A328D4" w:rsidRPr="00BA25E0" w14:paraId="3C790EBF" w14:textId="77777777" w:rsidTr="00A328D4">
        <w:trPr>
          <w:trHeight w:val="1730"/>
          <w:tblCellSpacing w:w="15" w:type="dxa"/>
        </w:trPr>
        <w:tc>
          <w:tcPr>
            <w:tcW w:w="966" w:type="pct"/>
            <w:vAlign w:val="center"/>
            <w:hideMark/>
          </w:tcPr>
          <w:p w14:paraId="66DEF7F9" w14:textId="77777777" w:rsidR="00A328D4" w:rsidRPr="00BA25E0" w:rsidRDefault="00A328D4" w:rsidP="00A328D4">
            <w:pPr>
              <w:rPr>
                <w:rFonts w:ascii="Calibri" w:hAnsi="Calibri" w:cs="Calibri"/>
                <w:b/>
                <w:bCs/>
                <w:sz w:val="20"/>
                <w:szCs w:val="20"/>
              </w:rPr>
            </w:pPr>
            <w:r w:rsidRPr="00BA25E0">
              <w:rPr>
                <w:rFonts w:ascii="Calibri" w:hAnsi="Calibri" w:cs="Calibri"/>
                <w:b/>
                <w:bCs/>
                <w:sz w:val="20"/>
                <w:szCs w:val="20"/>
              </w:rPr>
              <w:t>3. Strengthen accountability and authentic leadership</w:t>
            </w:r>
          </w:p>
        </w:tc>
        <w:tc>
          <w:tcPr>
            <w:tcW w:w="935" w:type="pct"/>
            <w:vAlign w:val="center"/>
            <w:hideMark/>
          </w:tcPr>
          <w:p w14:paraId="12DBF436"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Address inconsistent practice using a structured approach: clarify, explore, support, review.</w:t>
            </w:r>
          </w:p>
        </w:tc>
        <w:tc>
          <w:tcPr>
            <w:tcW w:w="801" w:type="pct"/>
            <w:vAlign w:val="center"/>
            <w:hideMark/>
          </w:tcPr>
          <w:p w14:paraId="1B346C8C"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Document concerns and follow</w:t>
            </w:r>
            <w:r w:rsidRPr="00BA25E0">
              <w:rPr>
                <w:rFonts w:ascii="Calibri" w:hAnsi="Calibri" w:cs="Calibri"/>
                <w:sz w:val="20"/>
                <w:szCs w:val="20"/>
              </w:rPr>
              <w:noBreakHyphen/>
              <w:t>up in supervision.</w:t>
            </w:r>
          </w:p>
        </w:tc>
        <w:tc>
          <w:tcPr>
            <w:tcW w:w="676" w:type="pct"/>
            <w:vAlign w:val="center"/>
            <w:hideMark/>
          </w:tcPr>
          <w:p w14:paraId="453501CA"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Use supervision, reflection and competency checks.</w:t>
            </w:r>
          </w:p>
        </w:tc>
        <w:tc>
          <w:tcPr>
            <w:tcW w:w="790" w:type="pct"/>
            <w:vAlign w:val="center"/>
            <w:hideMark/>
          </w:tcPr>
          <w:p w14:paraId="1D926E70"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Authentic leadership increases trust and performance (Hannah et al., 2020; Avolio et al., 2004).</w:t>
            </w:r>
          </w:p>
        </w:tc>
        <w:tc>
          <w:tcPr>
            <w:tcW w:w="734" w:type="pct"/>
            <w:vAlign w:val="center"/>
            <w:hideMark/>
          </w:tcPr>
          <w:p w14:paraId="15A3802E"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Begin in 1 week. Review monthly. Full evaluation at 12 weeks.</w:t>
            </w:r>
          </w:p>
        </w:tc>
      </w:tr>
      <w:tr w:rsidR="00A328D4" w:rsidRPr="00BA25E0" w14:paraId="0B377D71" w14:textId="77777777" w:rsidTr="00A328D4">
        <w:trPr>
          <w:trHeight w:val="1730"/>
          <w:tblCellSpacing w:w="15" w:type="dxa"/>
        </w:trPr>
        <w:tc>
          <w:tcPr>
            <w:tcW w:w="966" w:type="pct"/>
            <w:vAlign w:val="center"/>
            <w:hideMark/>
          </w:tcPr>
          <w:p w14:paraId="0B378B68" w14:textId="77777777" w:rsidR="00A328D4" w:rsidRPr="00BA25E0" w:rsidRDefault="00A328D4" w:rsidP="00A328D4">
            <w:pPr>
              <w:rPr>
                <w:rFonts w:ascii="Calibri" w:hAnsi="Calibri" w:cs="Calibri"/>
                <w:b/>
                <w:bCs/>
                <w:sz w:val="20"/>
                <w:szCs w:val="20"/>
              </w:rPr>
            </w:pPr>
            <w:r w:rsidRPr="00BA25E0">
              <w:rPr>
                <w:rFonts w:ascii="Calibri" w:hAnsi="Calibri" w:cs="Calibri"/>
                <w:b/>
                <w:bCs/>
                <w:sz w:val="20"/>
                <w:szCs w:val="20"/>
              </w:rPr>
              <w:t>4. Improve interpersonal relationships and psychological safety</w:t>
            </w:r>
          </w:p>
        </w:tc>
        <w:tc>
          <w:tcPr>
            <w:tcW w:w="935" w:type="pct"/>
            <w:vAlign w:val="center"/>
            <w:hideMark/>
          </w:tcPr>
          <w:p w14:paraId="6CEBDC56"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Invite quieter staff to contribute; encourage open communication.</w:t>
            </w:r>
          </w:p>
        </w:tc>
        <w:tc>
          <w:tcPr>
            <w:tcW w:w="801" w:type="pct"/>
            <w:vAlign w:val="center"/>
            <w:hideMark/>
          </w:tcPr>
          <w:p w14:paraId="2F70BAFE"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Track contributions; aim for all staff to contribute each shift.</w:t>
            </w:r>
          </w:p>
        </w:tc>
        <w:tc>
          <w:tcPr>
            <w:tcW w:w="676" w:type="pct"/>
            <w:vAlign w:val="center"/>
            <w:hideMark/>
          </w:tcPr>
          <w:p w14:paraId="12C25D8B"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Use open questions and positive reinforcement.</w:t>
            </w:r>
          </w:p>
        </w:tc>
        <w:tc>
          <w:tcPr>
            <w:tcW w:w="790" w:type="pct"/>
            <w:vAlign w:val="center"/>
            <w:hideMark/>
          </w:tcPr>
          <w:p w14:paraId="458B6AF9" w14:textId="0A2DAF35" w:rsidR="00A328D4" w:rsidRPr="00BA25E0" w:rsidRDefault="00A328D4" w:rsidP="00A328D4">
            <w:pPr>
              <w:rPr>
                <w:rFonts w:ascii="Calibri" w:hAnsi="Calibri" w:cs="Calibri"/>
                <w:sz w:val="20"/>
                <w:szCs w:val="20"/>
              </w:rPr>
            </w:pPr>
            <w:r w:rsidRPr="00BA25E0">
              <w:rPr>
                <w:rFonts w:ascii="Calibri" w:hAnsi="Calibri" w:cs="Calibri"/>
                <w:sz w:val="20"/>
                <w:szCs w:val="20"/>
              </w:rPr>
              <w:t>Leader behaviour shapes relational climate (Ralph &amp; Barling, 202</w:t>
            </w:r>
            <w:r w:rsidR="00386D75" w:rsidRPr="00BA25E0">
              <w:rPr>
                <w:rFonts w:ascii="Calibri" w:hAnsi="Calibri" w:cs="Calibri"/>
                <w:sz w:val="20"/>
                <w:szCs w:val="20"/>
              </w:rPr>
              <w:t>2</w:t>
            </w:r>
            <w:r w:rsidRPr="00BA25E0">
              <w:rPr>
                <w:rFonts w:ascii="Calibri" w:hAnsi="Calibri" w:cs="Calibri"/>
                <w:sz w:val="20"/>
                <w:szCs w:val="20"/>
              </w:rPr>
              <w:t>; Edmondson, 2019).</w:t>
            </w:r>
          </w:p>
        </w:tc>
        <w:tc>
          <w:tcPr>
            <w:tcW w:w="734" w:type="pct"/>
            <w:vAlign w:val="center"/>
            <w:hideMark/>
          </w:tcPr>
          <w:p w14:paraId="1093A542"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Begin in 1 week. Review at 6 and 10 weeks.</w:t>
            </w:r>
          </w:p>
        </w:tc>
      </w:tr>
      <w:tr w:rsidR="00A328D4" w:rsidRPr="00BA25E0" w14:paraId="066B419E" w14:textId="77777777" w:rsidTr="00A328D4">
        <w:trPr>
          <w:trHeight w:val="2094"/>
          <w:tblCellSpacing w:w="15" w:type="dxa"/>
        </w:trPr>
        <w:tc>
          <w:tcPr>
            <w:tcW w:w="966" w:type="pct"/>
            <w:vAlign w:val="center"/>
            <w:hideMark/>
          </w:tcPr>
          <w:p w14:paraId="6AD40ED2" w14:textId="77777777" w:rsidR="00A328D4" w:rsidRPr="00BA25E0" w:rsidRDefault="00A328D4" w:rsidP="00A328D4">
            <w:pPr>
              <w:rPr>
                <w:rFonts w:ascii="Calibri" w:hAnsi="Calibri" w:cs="Calibri"/>
                <w:b/>
                <w:bCs/>
                <w:sz w:val="20"/>
                <w:szCs w:val="20"/>
              </w:rPr>
            </w:pPr>
            <w:r w:rsidRPr="00BA25E0">
              <w:rPr>
                <w:rFonts w:ascii="Calibri" w:hAnsi="Calibri" w:cs="Calibri"/>
                <w:b/>
                <w:bCs/>
                <w:sz w:val="20"/>
                <w:szCs w:val="20"/>
              </w:rPr>
              <w:t>5. Strengthen professional integrity</w:t>
            </w:r>
          </w:p>
        </w:tc>
        <w:tc>
          <w:tcPr>
            <w:tcW w:w="935" w:type="pct"/>
            <w:vAlign w:val="center"/>
            <w:hideMark/>
          </w:tcPr>
          <w:p w14:paraId="64498606"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Clarify expectations; challenge non</w:t>
            </w:r>
            <w:r w:rsidRPr="00BA25E0">
              <w:rPr>
                <w:rFonts w:ascii="Calibri" w:hAnsi="Calibri" w:cs="Calibri"/>
                <w:sz w:val="20"/>
                <w:szCs w:val="20"/>
              </w:rPr>
              <w:noBreakHyphen/>
              <w:t>ABI</w:t>
            </w:r>
            <w:r w:rsidRPr="00BA25E0">
              <w:rPr>
                <w:rFonts w:ascii="Calibri" w:hAnsi="Calibri" w:cs="Calibri"/>
                <w:sz w:val="20"/>
                <w:szCs w:val="20"/>
              </w:rPr>
              <w:noBreakHyphen/>
              <w:t>informed interpretations; complete competency checks.</w:t>
            </w:r>
          </w:p>
        </w:tc>
        <w:tc>
          <w:tcPr>
            <w:tcW w:w="801" w:type="pct"/>
            <w:vAlign w:val="center"/>
            <w:hideMark/>
          </w:tcPr>
          <w:p w14:paraId="73A77835"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Record competency observations and supervision notes.</w:t>
            </w:r>
          </w:p>
        </w:tc>
        <w:tc>
          <w:tcPr>
            <w:tcW w:w="676" w:type="pct"/>
            <w:vAlign w:val="center"/>
            <w:hideMark/>
          </w:tcPr>
          <w:p w14:paraId="7ABB75E6"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Use supervision, reflection and training.</w:t>
            </w:r>
          </w:p>
        </w:tc>
        <w:tc>
          <w:tcPr>
            <w:tcW w:w="790" w:type="pct"/>
            <w:vAlign w:val="center"/>
            <w:hideMark/>
          </w:tcPr>
          <w:p w14:paraId="04A6E115"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Ethical climates reduce harmful behaviour (Brown &amp; Treviño, 2006; Bai et al., 2025).</w:t>
            </w:r>
          </w:p>
        </w:tc>
        <w:tc>
          <w:tcPr>
            <w:tcW w:w="734" w:type="pct"/>
            <w:vAlign w:val="center"/>
            <w:hideMark/>
          </w:tcPr>
          <w:p w14:paraId="1115A518" w14:textId="77777777" w:rsidR="00A328D4" w:rsidRPr="00BA25E0" w:rsidRDefault="00A328D4" w:rsidP="00A328D4">
            <w:pPr>
              <w:rPr>
                <w:rFonts w:ascii="Calibri" w:hAnsi="Calibri" w:cs="Calibri"/>
                <w:sz w:val="20"/>
                <w:szCs w:val="20"/>
              </w:rPr>
            </w:pPr>
            <w:r w:rsidRPr="00BA25E0">
              <w:rPr>
                <w:rFonts w:ascii="Calibri" w:hAnsi="Calibri" w:cs="Calibri"/>
                <w:sz w:val="20"/>
                <w:szCs w:val="20"/>
              </w:rPr>
              <w:t>Begin in 1 week. Competency checks within 3 weeks of concerns. Review at 8 and 14 weeks.</w:t>
            </w:r>
          </w:p>
        </w:tc>
      </w:tr>
    </w:tbl>
    <w:p w14:paraId="44B724F5" w14:textId="7F58DC4A" w:rsidR="00734DCC" w:rsidRPr="00BA25E0" w:rsidRDefault="00734DCC" w:rsidP="00734DCC">
      <w:pPr>
        <w:rPr>
          <w:rFonts w:ascii="Calibri" w:hAnsi="Calibri" w:cs="Calibri"/>
        </w:rPr>
      </w:pPr>
    </w:p>
    <w:p w14:paraId="2143DB4F" w14:textId="77777777" w:rsidR="006D449B" w:rsidRPr="00BA25E0" w:rsidRDefault="006D449B" w:rsidP="00734DCC">
      <w:pPr>
        <w:rPr>
          <w:rFonts w:ascii="Calibri" w:hAnsi="Calibri" w:cs="Calibri"/>
        </w:rPr>
      </w:pPr>
    </w:p>
    <w:p w14:paraId="36D2F7C3" w14:textId="77777777" w:rsidR="006D449B" w:rsidRPr="00BA25E0" w:rsidRDefault="006D449B" w:rsidP="00734DCC">
      <w:pPr>
        <w:rPr>
          <w:rFonts w:ascii="Calibri" w:hAnsi="Calibri" w:cs="Calibri"/>
        </w:rPr>
      </w:pPr>
    </w:p>
    <w:p w14:paraId="27F355A3" w14:textId="43288456" w:rsidR="00A94D99" w:rsidRPr="006D449B" w:rsidRDefault="00B726E7" w:rsidP="00ED4CE6">
      <w:pPr>
        <w:pStyle w:val="Heading1"/>
        <w:rPr>
          <w:rFonts w:ascii="Calibri" w:hAnsi="Calibri" w:cs="Calibri"/>
          <w:color w:val="A02B93" w:themeColor="accent5"/>
        </w:rPr>
      </w:pPr>
      <w:bookmarkStart w:id="36" w:name="_Toc242017875"/>
      <w:bookmarkStart w:id="37" w:name="_Toc242019736"/>
      <w:r w:rsidRPr="006D449B">
        <w:rPr>
          <w:rFonts w:ascii="Calibri" w:hAnsi="Calibri" w:cs="Calibri"/>
          <w:color w:val="A02B93" w:themeColor="accent5"/>
        </w:rPr>
        <w:lastRenderedPageBreak/>
        <w:t>References</w:t>
      </w:r>
      <w:bookmarkEnd w:id="36"/>
      <w:bookmarkEnd w:id="37"/>
    </w:p>
    <w:p w14:paraId="0FE88008" w14:textId="77777777" w:rsidR="00A94D99" w:rsidRPr="006D449B" w:rsidRDefault="00A94D99" w:rsidP="00A24F4A">
      <w:pPr>
        <w:rPr>
          <w:rFonts w:ascii="Calibri" w:hAnsi="Calibri" w:cs="Calibri"/>
        </w:rPr>
      </w:pPr>
    </w:p>
    <w:p w14:paraId="3511E004" w14:textId="77777777" w:rsidR="006810E2" w:rsidRPr="006D449B" w:rsidRDefault="006810E2" w:rsidP="00BA05A2">
      <w:pPr>
        <w:rPr>
          <w:rFonts w:ascii="Calibri" w:hAnsi="Calibri" w:cs="Calibri"/>
        </w:rPr>
      </w:pPr>
      <w:r w:rsidRPr="006D449B">
        <w:rPr>
          <w:rFonts w:ascii="Calibri" w:hAnsi="Calibri" w:cs="Calibri"/>
        </w:rPr>
        <w:t xml:space="preserve">Avolio, B. J., Gardner, W. L., Walumbwa, F. O., Luthans, F., &amp; May, D. R. (2004). Unlocking the mask: a look at the process by which authentic leaders impact follower attitudes and </w:t>
      </w:r>
      <w:proofErr w:type="spellStart"/>
      <w:r w:rsidRPr="006D449B">
        <w:rPr>
          <w:rFonts w:ascii="Calibri" w:hAnsi="Calibri" w:cs="Calibri"/>
        </w:rPr>
        <w:t>behaviors</w:t>
      </w:r>
      <w:proofErr w:type="spellEnd"/>
      <w:r w:rsidRPr="006D449B">
        <w:rPr>
          <w:rFonts w:ascii="Calibri" w:hAnsi="Calibri" w:cs="Calibri"/>
        </w:rPr>
        <w:t xml:space="preserve">. </w:t>
      </w:r>
      <w:r w:rsidRPr="006D449B">
        <w:rPr>
          <w:rFonts w:ascii="Calibri" w:hAnsi="Calibri" w:cs="Calibri"/>
          <w:i/>
          <w:iCs/>
        </w:rPr>
        <w:t>The Leadership Quarterly</w:t>
      </w:r>
      <w:r w:rsidRPr="006D449B">
        <w:rPr>
          <w:rFonts w:ascii="Calibri" w:hAnsi="Calibri" w:cs="Calibri"/>
        </w:rPr>
        <w:t xml:space="preserve">, </w:t>
      </w:r>
      <w:r w:rsidRPr="006D449B">
        <w:rPr>
          <w:rFonts w:ascii="Calibri" w:hAnsi="Calibri" w:cs="Calibri"/>
          <w:i/>
          <w:iCs/>
        </w:rPr>
        <w:t>15</w:t>
      </w:r>
      <w:r w:rsidRPr="006D449B">
        <w:rPr>
          <w:rFonts w:ascii="Calibri" w:hAnsi="Calibri" w:cs="Calibri"/>
        </w:rPr>
        <w:t>(6), 801–823. https://doi.org/10.1016/j.leaqua.2004.09.003</w:t>
      </w:r>
    </w:p>
    <w:p w14:paraId="09CBBE77" w14:textId="77777777" w:rsidR="006810E2" w:rsidRPr="006D449B" w:rsidRDefault="006810E2" w:rsidP="000D721E">
      <w:pPr>
        <w:rPr>
          <w:rFonts w:ascii="Calibri" w:hAnsi="Calibri" w:cs="Calibri"/>
        </w:rPr>
      </w:pPr>
      <w:r w:rsidRPr="006D449B">
        <w:rPr>
          <w:rFonts w:ascii="Calibri" w:hAnsi="Calibri" w:cs="Calibri"/>
        </w:rPr>
        <w:t xml:space="preserve">‌Bai, S., Zhang, X., Yu, D., Han, C., &amp; Yang, M. (2025). Investigating the impact of decent work perception on employee voice </w:t>
      </w:r>
      <w:proofErr w:type="spellStart"/>
      <w:r w:rsidRPr="006D449B">
        <w:rPr>
          <w:rFonts w:ascii="Calibri" w:hAnsi="Calibri" w:cs="Calibri"/>
        </w:rPr>
        <w:t>behavior</w:t>
      </w:r>
      <w:proofErr w:type="spellEnd"/>
      <w:r w:rsidRPr="006D449B">
        <w:rPr>
          <w:rFonts w:ascii="Calibri" w:hAnsi="Calibri" w:cs="Calibri"/>
        </w:rPr>
        <w:t xml:space="preserve">: evidence from text mining. </w:t>
      </w:r>
      <w:r w:rsidRPr="006D449B">
        <w:rPr>
          <w:rFonts w:ascii="Calibri" w:hAnsi="Calibri" w:cs="Calibri"/>
          <w:i/>
          <w:iCs/>
        </w:rPr>
        <w:t>Humanities and Social Sciences Communications</w:t>
      </w:r>
      <w:r w:rsidRPr="006D449B">
        <w:rPr>
          <w:rFonts w:ascii="Calibri" w:hAnsi="Calibri" w:cs="Calibri"/>
        </w:rPr>
        <w:t xml:space="preserve">, </w:t>
      </w:r>
      <w:r w:rsidRPr="006D449B">
        <w:rPr>
          <w:rFonts w:ascii="Calibri" w:hAnsi="Calibri" w:cs="Calibri"/>
          <w:i/>
          <w:iCs/>
        </w:rPr>
        <w:t>12</w:t>
      </w:r>
      <w:r w:rsidRPr="006D449B">
        <w:rPr>
          <w:rFonts w:ascii="Calibri" w:hAnsi="Calibri" w:cs="Calibri"/>
        </w:rPr>
        <w:t xml:space="preserve">(1). </w:t>
      </w:r>
      <w:hyperlink r:id="rId9" w:history="1">
        <w:r w:rsidRPr="006D449B">
          <w:rPr>
            <w:rStyle w:val="Hyperlink"/>
            <w:rFonts w:ascii="Calibri" w:hAnsi="Calibri" w:cs="Calibri"/>
          </w:rPr>
          <w:t>https://doi.org/10.1057/s41599-025-05623-z</w:t>
        </w:r>
      </w:hyperlink>
    </w:p>
    <w:p w14:paraId="685699DE" w14:textId="77777777" w:rsidR="006810E2" w:rsidRPr="006D449B" w:rsidRDefault="006810E2" w:rsidP="00FB0F3D">
      <w:pPr>
        <w:rPr>
          <w:rFonts w:ascii="Calibri" w:hAnsi="Calibri" w:cs="Calibri"/>
        </w:rPr>
      </w:pPr>
      <w:r w:rsidRPr="006D449B">
        <w:rPr>
          <w:rFonts w:ascii="Calibri" w:hAnsi="Calibri" w:cs="Calibri"/>
        </w:rPr>
        <w:t xml:space="preserve">Brown, M. E., &amp; Treviño, L. K. (2006). Ethical leadership: A review and future directions. </w:t>
      </w:r>
      <w:r w:rsidRPr="006D449B">
        <w:rPr>
          <w:rFonts w:ascii="Calibri" w:hAnsi="Calibri" w:cs="Calibri"/>
          <w:i/>
          <w:iCs/>
        </w:rPr>
        <w:t>The Leadership Quarterly</w:t>
      </w:r>
      <w:r w:rsidRPr="006D449B">
        <w:rPr>
          <w:rFonts w:ascii="Calibri" w:hAnsi="Calibri" w:cs="Calibri"/>
        </w:rPr>
        <w:t xml:space="preserve">, </w:t>
      </w:r>
      <w:r w:rsidRPr="006D449B">
        <w:rPr>
          <w:rFonts w:ascii="Calibri" w:hAnsi="Calibri" w:cs="Calibri"/>
          <w:i/>
          <w:iCs/>
        </w:rPr>
        <w:t>17</w:t>
      </w:r>
      <w:r w:rsidRPr="006D449B">
        <w:rPr>
          <w:rFonts w:ascii="Calibri" w:hAnsi="Calibri" w:cs="Calibri"/>
        </w:rPr>
        <w:t xml:space="preserve">(6), 595–616. </w:t>
      </w:r>
      <w:hyperlink r:id="rId10" w:history="1">
        <w:r w:rsidRPr="006D449B">
          <w:rPr>
            <w:rStyle w:val="Hyperlink"/>
            <w:rFonts w:ascii="Calibri" w:hAnsi="Calibri" w:cs="Calibri"/>
          </w:rPr>
          <w:t>https://doi.org/10.1016/j.leaqua.2006.10.004</w:t>
        </w:r>
      </w:hyperlink>
      <w:r w:rsidRPr="006D449B">
        <w:rPr>
          <w:rFonts w:ascii="Calibri" w:hAnsi="Calibri" w:cs="Calibri"/>
        </w:rPr>
        <w:t xml:space="preserve"> </w:t>
      </w:r>
    </w:p>
    <w:p w14:paraId="5D59D428" w14:textId="5EBC696E" w:rsidR="006810E2" w:rsidRPr="006D449B" w:rsidRDefault="006810E2" w:rsidP="00A24F4A">
      <w:pPr>
        <w:rPr>
          <w:rFonts w:ascii="Calibri" w:hAnsi="Calibri" w:cs="Calibri"/>
        </w:rPr>
      </w:pPr>
      <w:r w:rsidRPr="006D449B">
        <w:rPr>
          <w:rFonts w:ascii="Calibri" w:hAnsi="Calibri" w:cs="Calibri"/>
        </w:rPr>
        <w:t xml:space="preserve">Edmondson, A. (1999). Psychological safety and learning </w:t>
      </w:r>
      <w:proofErr w:type="spellStart"/>
      <w:r w:rsidRPr="006D449B">
        <w:rPr>
          <w:rFonts w:ascii="Calibri" w:hAnsi="Calibri" w:cs="Calibri"/>
        </w:rPr>
        <w:t>behavior</w:t>
      </w:r>
      <w:proofErr w:type="spellEnd"/>
      <w:r w:rsidRPr="006D449B">
        <w:rPr>
          <w:rFonts w:ascii="Calibri" w:hAnsi="Calibri" w:cs="Calibri"/>
        </w:rPr>
        <w:t xml:space="preserve"> in work teams. </w:t>
      </w:r>
      <w:r w:rsidRPr="006D449B">
        <w:rPr>
          <w:rFonts w:ascii="Calibri" w:hAnsi="Calibri" w:cs="Calibri"/>
          <w:i/>
          <w:iCs/>
        </w:rPr>
        <w:t>Administrative Science Quarterly, 44</w:t>
      </w:r>
      <w:r w:rsidRPr="006D449B">
        <w:rPr>
          <w:rFonts w:ascii="Calibri" w:hAnsi="Calibri" w:cs="Calibri"/>
        </w:rPr>
        <w:t xml:space="preserve">(2), 350–383. </w:t>
      </w:r>
      <w:hyperlink r:id="rId11" w:tgtFrame="_blank" w:tooltip="doi.org" w:history="1">
        <w:r w:rsidRPr="006D449B">
          <w:rPr>
            <w:rStyle w:val="Hyperlink"/>
            <w:rFonts w:ascii="Calibri" w:hAnsi="Calibri" w:cs="Calibri"/>
          </w:rPr>
          <w:t>https://doi.org/10.2307/2666999</w:t>
        </w:r>
      </w:hyperlink>
      <w:r w:rsidR="007D044F" w:rsidRPr="006D449B">
        <w:rPr>
          <w:rFonts w:ascii="Calibri" w:hAnsi="Calibri" w:cs="Calibri"/>
        </w:rPr>
        <w:br/>
      </w:r>
      <w:r w:rsidR="007D044F" w:rsidRPr="006D449B">
        <w:rPr>
          <w:rFonts w:ascii="Calibri" w:hAnsi="Calibri" w:cs="Calibri"/>
        </w:rPr>
        <w:br/>
        <w:t xml:space="preserve">Edmondson, A. C. (2019). </w:t>
      </w:r>
      <w:r w:rsidR="007D044F" w:rsidRPr="006D449B">
        <w:rPr>
          <w:rFonts w:ascii="Calibri" w:hAnsi="Calibri" w:cs="Calibri"/>
          <w:i/>
          <w:iCs/>
        </w:rPr>
        <w:t>The Fearless Organization</w:t>
      </w:r>
      <w:r w:rsidR="007D044F" w:rsidRPr="006D449B">
        <w:rPr>
          <w:rFonts w:ascii="Calibri" w:hAnsi="Calibri" w:cs="Calibri"/>
        </w:rPr>
        <w:t xml:space="preserve">. Google Books. </w:t>
      </w:r>
      <w:hyperlink r:id="rId12" w:history="1">
        <w:r w:rsidR="007D044F" w:rsidRPr="006D449B">
          <w:rPr>
            <w:rStyle w:val="Hyperlink"/>
            <w:rFonts w:ascii="Calibri" w:hAnsi="Calibri" w:cs="Calibri"/>
          </w:rPr>
          <w:t>https://books.google.com/books/about/The_Fearless_Organization.html?id=f9B5DwAAQBAJ</w:t>
        </w:r>
      </w:hyperlink>
    </w:p>
    <w:p w14:paraId="5A2CDBB2" w14:textId="77777777" w:rsidR="006810E2" w:rsidRPr="006D449B" w:rsidRDefault="006810E2" w:rsidP="00FD077B">
      <w:pPr>
        <w:rPr>
          <w:rFonts w:ascii="Calibri" w:hAnsi="Calibri" w:cs="Calibri"/>
        </w:rPr>
      </w:pPr>
      <w:r w:rsidRPr="006D449B">
        <w:rPr>
          <w:rFonts w:ascii="Calibri" w:hAnsi="Calibri" w:cs="Calibri"/>
        </w:rPr>
        <w:t xml:space="preserve">Frazier, M. L., </w:t>
      </w:r>
      <w:proofErr w:type="spellStart"/>
      <w:r w:rsidRPr="006D449B">
        <w:rPr>
          <w:rFonts w:ascii="Calibri" w:hAnsi="Calibri" w:cs="Calibri"/>
        </w:rPr>
        <w:t>Fainshmidt</w:t>
      </w:r>
      <w:proofErr w:type="spellEnd"/>
      <w:r w:rsidRPr="006D449B">
        <w:rPr>
          <w:rFonts w:ascii="Calibri" w:hAnsi="Calibri" w:cs="Calibri"/>
        </w:rPr>
        <w:t xml:space="preserve">, S., Klinger, R. L., </w:t>
      </w:r>
      <w:proofErr w:type="spellStart"/>
      <w:r w:rsidRPr="006D449B">
        <w:rPr>
          <w:rFonts w:ascii="Calibri" w:hAnsi="Calibri" w:cs="Calibri"/>
        </w:rPr>
        <w:t>Pezeshkan</w:t>
      </w:r>
      <w:proofErr w:type="spellEnd"/>
      <w:r w:rsidRPr="006D449B">
        <w:rPr>
          <w:rFonts w:ascii="Calibri" w:hAnsi="Calibri" w:cs="Calibri"/>
        </w:rPr>
        <w:t xml:space="preserve">, A., &amp; </w:t>
      </w:r>
      <w:proofErr w:type="spellStart"/>
      <w:r w:rsidRPr="006D449B">
        <w:rPr>
          <w:rFonts w:ascii="Calibri" w:hAnsi="Calibri" w:cs="Calibri"/>
        </w:rPr>
        <w:t>Vracheva</w:t>
      </w:r>
      <w:proofErr w:type="spellEnd"/>
      <w:r w:rsidRPr="006D449B">
        <w:rPr>
          <w:rFonts w:ascii="Calibri" w:hAnsi="Calibri" w:cs="Calibri"/>
        </w:rPr>
        <w:t xml:space="preserve">, V. (2016). Psychological Safety: A Meta‐Analytic Review and Extension. </w:t>
      </w:r>
      <w:r w:rsidRPr="006D449B">
        <w:rPr>
          <w:rFonts w:ascii="Calibri" w:hAnsi="Calibri" w:cs="Calibri"/>
          <w:i/>
          <w:iCs/>
        </w:rPr>
        <w:t>Personnel Psychology</w:t>
      </w:r>
      <w:r w:rsidRPr="006D449B">
        <w:rPr>
          <w:rFonts w:ascii="Calibri" w:hAnsi="Calibri" w:cs="Calibri"/>
        </w:rPr>
        <w:t xml:space="preserve">, </w:t>
      </w:r>
      <w:r w:rsidRPr="006D449B">
        <w:rPr>
          <w:rFonts w:ascii="Calibri" w:hAnsi="Calibri" w:cs="Calibri"/>
          <w:i/>
          <w:iCs/>
        </w:rPr>
        <w:t>70</w:t>
      </w:r>
      <w:r w:rsidRPr="006D449B">
        <w:rPr>
          <w:rFonts w:ascii="Calibri" w:hAnsi="Calibri" w:cs="Calibri"/>
        </w:rPr>
        <w:t>(1), 113–165. https://doi.org/10.1111/peps.12183</w:t>
      </w:r>
    </w:p>
    <w:p w14:paraId="05F51B5A" w14:textId="77777777" w:rsidR="006810E2" w:rsidRPr="006D449B" w:rsidRDefault="006810E2" w:rsidP="00A24F4A">
      <w:pPr>
        <w:rPr>
          <w:rFonts w:ascii="Calibri" w:hAnsi="Calibri" w:cs="Calibri"/>
        </w:rPr>
      </w:pPr>
      <w:r w:rsidRPr="006D449B">
        <w:rPr>
          <w:rFonts w:ascii="Calibri" w:hAnsi="Calibri" w:cs="Calibri"/>
        </w:rPr>
        <w:t xml:space="preserve">Goleman, D. (1998). </w:t>
      </w:r>
      <w:r w:rsidRPr="006D449B">
        <w:rPr>
          <w:rFonts w:ascii="Calibri" w:hAnsi="Calibri" w:cs="Calibri"/>
          <w:i/>
          <w:iCs/>
        </w:rPr>
        <w:t>Working with emotional intelligence</w:t>
      </w:r>
      <w:r w:rsidRPr="006D449B">
        <w:rPr>
          <w:rFonts w:ascii="Calibri" w:hAnsi="Calibri" w:cs="Calibri"/>
        </w:rPr>
        <w:t xml:space="preserve">. </w:t>
      </w:r>
      <w:hyperlink r:id="rId13" w:history="1">
        <w:r w:rsidRPr="006D449B">
          <w:rPr>
            <w:rStyle w:val="Hyperlink"/>
            <w:rFonts w:ascii="Calibri" w:hAnsi="Calibri" w:cs="Calibri"/>
          </w:rPr>
          <w:t>What is Emotional Intelligence</w:t>
        </w:r>
      </w:hyperlink>
      <w:r w:rsidRPr="006D449B">
        <w:rPr>
          <w:rFonts w:ascii="Calibri" w:hAnsi="Calibri" w:cs="Calibri"/>
        </w:rPr>
        <w:t xml:space="preserve"> </w:t>
      </w:r>
    </w:p>
    <w:p w14:paraId="2726FD73" w14:textId="77777777" w:rsidR="006810E2" w:rsidRPr="006D449B" w:rsidRDefault="006810E2" w:rsidP="00AF06D5">
      <w:pPr>
        <w:rPr>
          <w:rFonts w:ascii="Calibri" w:hAnsi="Calibri" w:cs="Calibri"/>
        </w:rPr>
      </w:pPr>
      <w:r w:rsidRPr="006D449B">
        <w:rPr>
          <w:rFonts w:ascii="Calibri" w:hAnsi="Calibri" w:cs="Calibri"/>
        </w:rPr>
        <w:t xml:space="preserve">Hannah, S. T., &amp; Avolio, B. J. (2011). Leader character, ethos, and virtue: Individual and collective considerations. </w:t>
      </w:r>
      <w:r w:rsidRPr="006D449B">
        <w:rPr>
          <w:rFonts w:ascii="Calibri" w:hAnsi="Calibri" w:cs="Calibri"/>
          <w:i/>
          <w:iCs/>
        </w:rPr>
        <w:t>The Leadership Quarterly</w:t>
      </w:r>
      <w:r w:rsidRPr="006D449B">
        <w:rPr>
          <w:rFonts w:ascii="Calibri" w:hAnsi="Calibri" w:cs="Calibri"/>
        </w:rPr>
        <w:t xml:space="preserve">, </w:t>
      </w:r>
      <w:r w:rsidRPr="006D449B">
        <w:rPr>
          <w:rFonts w:ascii="Calibri" w:hAnsi="Calibri" w:cs="Calibri"/>
          <w:i/>
          <w:iCs/>
        </w:rPr>
        <w:t>22</w:t>
      </w:r>
      <w:r w:rsidRPr="006D449B">
        <w:rPr>
          <w:rFonts w:ascii="Calibri" w:hAnsi="Calibri" w:cs="Calibri"/>
        </w:rPr>
        <w:t xml:space="preserve">(5), 989–994. </w:t>
      </w:r>
      <w:hyperlink r:id="rId14" w:history="1">
        <w:r w:rsidRPr="006D449B">
          <w:rPr>
            <w:rStyle w:val="Hyperlink"/>
            <w:rFonts w:ascii="Calibri" w:hAnsi="Calibri" w:cs="Calibri"/>
          </w:rPr>
          <w:t>https://doi.org/10.1016/j.leaqua.2011.07.018</w:t>
        </w:r>
      </w:hyperlink>
      <w:r w:rsidRPr="006D449B">
        <w:rPr>
          <w:rFonts w:ascii="Calibri" w:hAnsi="Calibri" w:cs="Calibri"/>
        </w:rPr>
        <w:t xml:space="preserve"> </w:t>
      </w:r>
    </w:p>
    <w:p w14:paraId="1DD5EFA2" w14:textId="77777777" w:rsidR="006810E2" w:rsidRPr="006D449B" w:rsidRDefault="006810E2" w:rsidP="004572D0">
      <w:pPr>
        <w:rPr>
          <w:rFonts w:ascii="Calibri" w:hAnsi="Calibri" w:cs="Calibri"/>
        </w:rPr>
      </w:pPr>
      <w:r w:rsidRPr="006D449B">
        <w:rPr>
          <w:rFonts w:ascii="Calibri" w:hAnsi="Calibri" w:cs="Calibri"/>
        </w:rPr>
        <w:t xml:space="preserve">‌Heilman, M. E. (2012). Gender stereotypes and workplace bias. </w:t>
      </w:r>
      <w:r w:rsidRPr="006D449B">
        <w:rPr>
          <w:rFonts w:ascii="Calibri" w:hAnsi="Calibri" w:cs="Calibri"/>
          <w:i/>
          <w:iCs/>
        </w:rPr>
        <w:t xml:space="preserve">Research in Organizational </w:t>
      </w:r>
      <w:proofErr w:type="spellStart"/>
      <w:r w:rsidRPr="006D449B">
        <w:rPr>
          <w:rFonts w:ascii="Calibri" w:hAnsi="Calibri" w:cs="Calibri"/>
          <w:i/>
          <w:iCs/>
        </w:rPr>
        <w:t>Behavior</w:t>
      </w:r>
      <w:proofErr w:type="spellEnd"/>
      <w:r w:rsidRPr="006D449B">
        <w:rPr>
          <w:rFonts w:ascii="Calibri" w:hAnsi="Calibri" w:cs="Calibri"/>
        </w:rPr>
        <w:t xml:space="preserve">, </w:t>
      </w:r>
      <w:r w:rsidRPr="006D449B">
        <w:rPr>
          <w:rFonts w:ascii="Calibri" w:hAnsi="Calibri" w:cs="Calibri"/>
          <w:i/>
          <w:iCs/>
        </w:rPr>
        <w:t>32</w:t>
      </w:r>
      <w:r w:rsidRPr="006D449B">
        <w:rPr>
          <w:rFonts w:ascii="Calibri" w:hAnsi="Calibri" w:cs="Calibri"/>
        </w:rPr>
        <w:t>, 113–135. https://doi.org/10.1016/j.riob.2012.11.003</w:t>
      </w:r>
    </w:p>
    <w:p w14:paraId="3356DEF0" w14:textId="77777777" w:rsidR="006810E2" w:rsidRPr="006D449B" w:rsidRDefault="006810E2" w:rsidP="00AD5976">
      <w:pPr>
        <w:rPr>
          <w:rFonts w:ascii="Calibri" w:hAnsi="Calibri" w:cs="Calibri"/>
        </w:rPr>
      </w:pPr>
      <w:r w:rsidRPr="006D449B">
        <w:rPr>
          <w:rFonts w:ascii="Calibri" w:hAnsi="Calibri" w:cs="Calibri"/>
          <w:lang w:val="en-US"/>
        </w:rPr>
        <w:t xml:space="preserve">Imperial College (2023, December 4th). </w:t>
      </w:r>
      <w:r w:rsidRPr="006D449B">
        <w:rPr>
          <w:rFonts w:ascii="Calibri" w:hAnsi="Calibri" w:cs="Calibri"/>
          <w:i/>
          <w:iCs/>
          <w:lang w:val="en-US"/>
        </w:rPr>
        <w:t>Unconscious Bias</w:t>
      </w:r>
      <w:r w:rsidRPr="006D449B">
        <w:rPr>
          <w:rFonts w:ascii="Calibri" w:hAnsi="Calibri" w:cs="Calibri"/>
          <w:lang w:val="en-US"/>
        </w:rPr>
        <w:t xml:space="preserve">. Imperial College London: Equality, Diversity, and Inclusion: </w:t>
      </w:r>
      <w:hyperlink r:id="rId15" w:history="1">
        <w:r w:rsidRPr="006D449B">
          <w:rPr>
            <w:rStyle w:val="Hyperlink"/>
            <w:rFonts w:ascii="Calibri" w:hAnsi="Calibri" w:cs="Calibri"/>
            <w:lang w:val="en-US"/>
          </w:rPr>
          <w:t>https://www.imperial.ac.uk/equality/resources/unconscious-bias/</w:t>
        </w:r>
      </w:hyperlink>
    </w:p>
    <w:p w14:paraId="26B362CC" w14:textId="77777777" w:rsidR="006810E2" w:rsidRPr="006D449B" w:rsidRDefault="006810E2" w:rsidP="004F73D3">
      <w:pPr>
        <w:rPr>
          <w:rFonts w:ascii="Calibri" w:hAnsi="Calibri" w:cs="Calibri"/>
        </w:rPr>
      </w:pPr>
      <w:r w:rsidRPr="006D449B">
        <w:rPr>
          <w:rFonts w:ascii="Calibri" w:hAnsi="Calibri" w:cs="Calibri"/>
        </w:rPr>
        <w:t xml:space="preserve">Kahneman, D. (2011). </w:t>
      </w:r>
      <w:r w:rsidRPr="006D449B">
        <w:rPr>
          <w:rFonts w:ascii="Calibri" w:hAnsi="Calibri" w:cs="Calibri"/>
          <w:i/>
          <w:iCs/>
        </w:rPr>
        <w:t>Thinking, Fast and Slow</w:t>
      </w:r>
      <w:r w:rsidRPr="006D449B">
        <w:rPr>
          <w:rFonts w:ascii="Calibri" w:hAnsi="Calibri" w:cs="Calibri"/>
        </w:rPr>
        <w:t xml:space="preserve"> [Psychological treatise on cognitive biases and decision-making]. Farrar, Strauss and Giroux.</w:t>
      </w:r>
    </w:p>
    <w:p w14:paraId="4AE1FC22" w14:textId="77777777" w:rsidR="006810E2" w:rsidRPr="006D449B" w:rsidRDefault="006810E2" w:rsidP="001961FF">
      <w:pPr>
        <w:rPr>
          <w:rFonts w:ascii="Calibri" w:hAnsi="Calibri" w:cs="Calibri"/>
        </w:rPr>
      </w:pPr>
      <w:r w:rsidRPr="006D449B">
        <w:rPr>
          <w:rFonts w:ascii="Calibri" w:hAnsi="Calibri" w:cs="Calibri"/>
        </w:rPr>
        <w:t xml:space="preserve">Lempert, K. M., &amp; Phelps, E. A. (2014). Neuroeconomics of Emotion and Decision Making. </w:t>
      </w:r>
      <w:r w:rsidRPr="006D449B">
        <w:rPr>
          <w:rFonts w:ascii="Calibri" w:hAnsi="Calibri" w:cs="Calibri"/>
          <w:i/>
          <w:iCs/>
        </w:rPr>
        <w:t>Neuroeconomics</w:t>
      </w:r>
      <w:r w:rsidRPr="006D449B">
        <w:rPr>
          <w:rFonts w:ascii="Calibri" w:hAnsi="Calibri" w:cs="Calibri"/>
        </w:rPr>
        <w:t xml:space="preserve">, 219–236. </w:t>
      </w:r>
      <w:hyperlink r:id="rId16" w:history="1">
        <w:r w:rsidRPr="006D449B">
          <w:rPr>
            <w:rStyle w:val="Hyperlink"/>
            <w:rFonts w:ascii="Calibri" w:hAnsi="Calibri" w:cs="Calibri"/>
          </w:rPr>
          <w:t>https://doi.org/10.1016/b978-0-12-416008-8.00012-7</w:t>
        </w:r>
      </w:hyperlink>
      <w:r w:rsidRPr="006D449B">
        <w:rPr>
          <w:rFonts w:ascii="Calibri" w:hAnsi="Calibri" w:cs="Calibri"/>
        </w:rPr>
        <w:t xml:space="preserve"> </w:t>
      </w:r>
    </w:p>
    <w:p w14:paraId="5A927DE4" w14:textId="77777777" w:rsidR="006810E2" w:rsidRPr="006D449B" w:rsidRDefault="006810E2" w:rsidP="00DE7CBD">
      <w:pPr>
        <w:rPr>
          <w:rFonts w:ascii="Calibri" w:hAnsi="Calibri" w:cs="Calibri"/>
        </w:rPr>
      </w:pPr>
      <w:r w:rsidRPr="006D449B">
        <w:rPr>
          <w:rFonts w:ascii="Calibri" w:hAnsi="Calibri" w:cs="Calibri"/>
        </w:rPr>
        <w:t xml:space="preserve">Mesmer-Magnus, J., Archana </w:t>
      </w:r>
      <w:proofErr w:type="spellStart"/>
      <w:r w:rsidRPr="006D449B">
        <w:rPr>
          <w:rFonts w:ascii="Calibri" w:hAnsi="Calibri" w:cs="Calibri"/>
        </w:rPr>
        <w:t>Manapragada</w:t>
      </w:r>
      <w:proofErr w:type="spellEnd"/>
      <w:r w:rsidRPr="006D449B">
        <w:rPr>
          <w:rFonts w:ascii="Calibri" w:hAnsi="Calibri" w:cs="Calibri"/>
        </w:rPr>
        <w:t xml:space="preserve">, Chockalingam </w:t>
      </w:r>
      <w:proofErr w:type="spellStart"/>
      <w:r w:rsidRPr="006D449B">
        <w:rPr>
          <w:rFonts w:ascii="Calibri" w:hAnsi="Calibri" w:cs="Calibri"/>
        </w:rPr>
        <w:t>Viswesvaran</w:t>
      </w:r>
      <w:proofErr w:type="spellEnd"/>
      <w:r w:rsidRPr="006D449B">
        <w:rPr>
          <w:rFonts w:ascii="Calibri" w:hAnsi="Calibri" w:cs="Calibri"/>
        </w:rPr>
        <w:t xml:space="preserve">, Allen, J. W., &amp; Mesmer-Magnus, J. (2017, April 21). </w:t>
      </w:r>
      <w:r w:rsidRPr="006D449B">
        <w:rPr>
          <w:rFonts w:ascii="Calibri" w:hAnsi="Calibri" w:cs="Calibri"/>
          <w:i/>
          <w:iCs/>
        </w:rPr>
        <w:t xml:space="preserve">Trait mindfulness at work: A meta-analysis of the </w:t>
      </w:r>
      <w:r w:rsidRPr="006D449B">
        <w:rPr>
          <w:rFonts w:ascii="Calibri" w:hAnsi="Calibri" w:cs="Calibri"/>
          <w:i/>
          <w:iCs/>
        </w:rPr>
        <w:lastRenderedPageBreak/>
        <w:t>personal and professional correlates of trait mindfulness</w:t>
      </w:r>
      <w:r w:rsidRPr="006D449B">
        <w:rPr>
          <w:rFonts w:ascii="Calibri" w:hAnsi="Calibri" w:cs="Calibri"/>
        </w:rPr>
        <w:t xml:space="preserve">. Human Performance; Taylor &amp; Francis. </w:t>
      </w:r>
      <w:hyperlink r:id="rId17" w:history="1">
        <w:r w:rsidRPr="006D449B">
          <w:rPr>
            <w:rStyle w:val="Hyperlink"/>
            <w:rFonts w:ascii="Calibri" w:hAnsi="Calibri" w:cs="Calibri"/>
          </w:rPr>
          <w:t>https://www.tandfonline.com/doi/full/10.1080/08959285.2017.1307842</w:t>
        </w:r>
      </w:hyperlink>
      <w:r w:rsidRPr="006D449B">
        <w:rPr>
          <w:rFonts w:ascii="Calibri" w:hAnsi="Calibri" w:cs="Calibri"/>
        </w:rPr>
        <w:t xml:space="preserve"> </w:t>
      </w:r>
      <w:r w:rsidRPr="006D449B">
        <w:rPr>
          <w:rFonts w:ascii="Calibri" w:hAnsi="Calibri" w:cs="Calibri"/>
          <w:b/>
          <w:bCs/>
        </w:rPr>
        <w:br/>
      </w:r>
      <w:r w:rsidRPr="006D449B">
        <w:rPr>
          <w:rFonts w:ascii="Calibri" w:hAnsi="Calibri" w:cs="Calibri"/>
          <w:b/>
          <w:bCs/>
        </w:rPr>
        <w:br/>
      </w:r>
      <w:r w:rsidRPr="006D449B">
        <w:rPr>
          <w:rFonts w:ascii="Calibri" w:hAnsi="Calibri" w:cs="Calibri"/>
        </w:rPr>
        <w:t xml:space="preserve">Newman, A., Donohue, R., &amp; Eva, N. (2017). Psychological safety: A systematic review of the literature. </w:t>
      </w:r>
      <w:r w:rsidRPr="006D449B">
        <w:rPr>
          <w:rFonts w:ascii="Calibri" w:hAnsi="Calibri" w:cs="Calibri"/>
          <w:i/>
          <w:iCs/>
        </w:rPr>
        <w:t>Human Resource Management Review</w:t>
      </w:r>
      <w:r w:rsidRPr="006D449B">
        <w:rPr>
          <w:rFonts w:ascii="Calibri" w:hAnsi="Calibri" w:cs="Calibri"/>
        </w:rPr>
        <w:t xml:space="preserve">, </w:t>
      </w:r>
      <w:r w:rsidRPr="006D449B">
        <w:rPr>
          <w:rFonts w:ascii="Calibri" w:hAnsi="Calibri" w:cs="Calibri"/>
          <w:i/>
          <w:iCs/>
        </w:rPr>
        <w:t>27</w:t>
      </w:r>
      <w:r w:rsidRPr="006D449B">
        <w:rPr>
          <w:rFonts w:ascii="Calibri" w:hAnsi="Calibri" w:cs="Calibri"/>
        </w:rPr>
        <w:t xml:space="preserve">(3), 521–535. </w:t>
      </w:r>
      <w:hyperlink r:id="rId18" w:history="1">
        <w:r w:rsidRPr="006D449B">
          <w:rPr>
            <w:rStyle w:val="Hyperlink"/>
            <w:rFonts w:ascii="Calibri" w:hAnsi="Calibri" w:cs="Calibri"/>
          </w:rPr>
          <w:t>https://doi.org/10.1016/j.hrmr.2017.01.001</w:t>
        </w:r>
      </w:hyperlink>
      <w:r w:rsidRPr="006D449B">
        <w:rPr>
          <w:rFonts w:ascii="Calibri" w:hAnsi="Calibri" w:cs="Calibri"/>
        </w:rPr>
        <w:t xml:space="preserve"> </w:t>
      </w:r>
    </w:p>
    <w:p w14:paraId="40F46FFD" w14:textId="67100271" w:rsidR="006810E2" w:rsidRPr="006D449B" w:rsidRDefault="006810E2">
      <w:pPr>
        <w:rPr>
          <w:rFonts w:ascii="Calibri" w:hAnsi="Calibri" w:cs="Calibri"/>
        </w:rPr>
      </w:pPr>
      <w:r w:rsidRPr="006D449B">
        <w:rPr>
          <w:rFonts w:ascii="Calibri" w:hAnsi="Calibri" w:cs="Calibri"/>
        </w:rPr>
        <w:t xml:space="preserve">Nishii, L. H. (2013). The Benefits of Climate for Inclusion for Gender-Diverse Groups. </w:t>
      </w:r>
      <w:r w:rsidRPr="006D449B">
        <w:rPr>
          <w:rFonts w:ascii="Calibri" w:hAnsi="Calibri" w:cs="Calibri"/>
          <w:i/>
          <w:iCs/>
        </w:rPr>
        <w:t>Academy of Management Journal</w:t>
      </w:r>
      <w:r w:rsidRPr="006D449B">
        <w:rPr>
          <w:rFonts w:ascii="Calibri" w:hAnsi="Calibri" w:cs="Calibri"/>
        </w:rPr>
        <w:t xml:space="preserve">, </w:t>
      </w:r>
      <w:r w:rsidRPr="006D449B">
        <w:rPr>
          <w:rFonts w:ascii="Calibri" w:hAnsi="Calibri" w:cs="Calibri"/>
          <w:i/>
          <w:iCs/>
        </w:rPr>
        <w:t>56</w:t>
      </w:r>
      <w:r w:rsidRPr="006D449B">
        <w:rPr>
          <w:rFonts w:ascii="Calibri" w:hAnsi="Calibri" w:cs="Calibri"/>
        </w:rPr>
        <w:t xml:space="preserve">(6), 1754–1774. </w:t>
      </w:r>
      <w:hyperlink r:id="rId19" w:history="1">
        <w:r w:rsidRPr="006D449B">
          <w:rPr>
            <w:rStyle w:val="Hyperlink"/>
            <w:rFonts w:ascii="Calibri" w:hAnsi="Calibri" w:cs="Calibri"/>
          </w:rPr>
          <w:t>https://doi.org/10.5465/amj.2009.0823</w:t>
        </w:r>
      </w:hyperlink>
    </w:p>
    <w:p w14:paraId="7C7926C8" w14:textId="0E9E4E36" w:rsidR="006810E2" w:rsidRPr="006D449B" w:rsidRDefault="006810E2" w:rsidP="00EE4350">
      <w:pPr>
        <w:rPr>
          <w:rFonts w:ascii="Calibri" w:hAnsi="Calibri" w:cs="Calibri"/>
        </w:rPr>
      </w:pPr>
      <w:r w:rsidRPr="006D449B">
        <w:rPr>
          <w:rFonts w:ascii="Calibri" w:hAnsi="Calibri" w:cs="Calibri"/>
        </w:rPr>
        <w:t xml:space="preserve">Suurd Ralph, C., &amp; Barling, J. (2022). Leader Inconsistency, Subjective Ambivalence, and Follower Outcomes. </w:t>
      </w:r>
      <w:r w:rsidRPr="006D449B">
        <w:rPr>
          <w:rFonts w:ascii="Calibri" w:hAnsi="Calibri" w:cs="Calibri"/>
          <w:i/>
          <w:iCs/>
        </w:rPr>
        <w:t>Journal of Business and Psychology</w:t>
      </w:r>
      <w:r w:rsidRPr="006D449B">
        <w:rPr>
          <w:rFonts w:ascii="Calibri" w:hAnsi="Calibri" w:cs="Calibri"/>
        </w:rPr>
        <w:t xml:space="preserve">, </w:t>
      </w:r>
      <w:r w:rsidRPr="006D449B">
        <w:rPr>
          <w:rFonts w:ascii="Calibri" w:hAnsi="Calibri" w:cs="Calibri"/>
          <w:i/>
          <w:iCs/>
        </w:rPr>
        <w:t>38</w:t>
      </w:r>
      <w:r w:rsidRPr="006D449B">
        <w:rPr>
          <w:rFonts w:ascii="Calibri" w:hAnsi="Calibri" w:cs="Calibri"/>
        </w:rPr>
        <w:t xml:space="preserve">(5), 1003–1021. </w:t>
      </w:r>
      <w:hyperlink r:id="rId20" w:history="1">
        <w:r w:rsidR="00ED4CE6" w:rsidRPr="006D449B">
          <w:rPr>
            <w:rStyle w:val="Hyperlink"/>
            <w:rFonts w:ascii="Calibri" w:hAnsi="Calibri" w:cs="Calibri"/>
          </w:rPr>
          <w:t>https://doi.org/10.1007/s10869-022-09852-w</w:t>
        </w:r>
      </w:hyperlink>
      <w:r w:rsidR="00ED4CE6" w:rsidRPr="006D449B">
        <w:rPr>
          <w:rFonts w:ascii="Calibri" w:hAnsi="Calibri" w:cs="Calibri"/>
        </w:rPr>
        <w:t xml:space="preserve"> </w:t>
      </w:r>
    </w:p>
    <w:sectPr w:rsidR="006810E2" w:rsidRPr="006D449B" w:rsidSect="008712A8">
      <w:footerReference w:type="default" r:id="rId2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67851D1" w14:textId="77777777" w:rsidR="00925FD9" w:rsidRDefault="00925FD9" w:rsidP="00B84169">
      <w:pPr>
        <w:spacing w:after="0" w:line="240" w:lineRule="auto"/>
      </w:pPr>
      <w:r>
        <w:separator/>
      </w:r>
    </w:p>
  </w:endnote>
  <w:endnote w:type="continuationSeparator" w:id="0">
    <w:p w14:paraId="2296E973" w14:textId="77777777" w:rsidR="00925FD9" w:rsidRDefault="00925FD9" w:rsidP="00B841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19287809"/>
      <w:docPartObj>
        <w:docPartGallery w:val="Page Numbers (Bottom of Page)"/>
        <w:docPartUnique/>
      </w:docPartObj>
    </w:sdtPr>
    <w:sdtContent>
      <w:p w14:paraId="487D3B06" w14:textId="20FE0C00" w:rsidR="00B84169" w:rsidRDefault="00B84169">
        <w:pPr>
          <w:pStyle w:val="Footer"/>
        </w:pPr>
        <w:r>
          <w:fldChar w:fldCharType="begin"/>
        </w:r>
        <w:r>
          <w:instrText>PAGE   \* MERGEFORMAT</w:instrText>
        </w:r>
        <w:r>
          <w:fldChar w:fldCharType="separate"/>
        </w:r>
        <w:r>
          <w:t>2</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3DC9D" w14:textId="77777777" w:rsidR="00925FD9" w:rsidRDefault="00925FD9" w:rsidP="00B84169">
      <w:pPr>
        <w:spacing w:after="0" w:line="240" w:lineRule="auto"/>
      </w:pPr>
      <w:r>
        <w:separator/>
      </w:r>
    </w:p>
  </w:footnote>
  <w:footnote w:type="continuationSeparator" w:id="0">
    <w:p w14:paraId="79362FBA" w14:textId="77777777" w:rsidR="00925FD9" w:rsidRDefault="00925FD9" w:rsidP="00B8416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80500F"/>
    <w:multiLevelType w:val="hybridMultilevel"/>
    <w:tmpl w:val="5470B53A"/>
    <w:lvl w:ilvl="0" w:tplc="0AAE2E22">
      <w:start w:val="1"/>
      <w:numFmt w:val="bullet"/>
      <w:lvlText w:val="•"/>
      <w:lvlJc w:val="left"/>
      <w:pPr>
        <w:tabs>
          <w:tab w:val="num" w:pos="720"/>
        </w:tabs>
        <w:ind w:left="720" w:hanging="360"/>
      </w:pPr>
      <w:rPr>
        <w:rFonts w:ascii="Arial" w:hAnsi="Arial" w:hint="default"/>
      </w:rPr>
    </w:lvl>
    <w:lvl w:ilvl="1" w:tplc="5D6C4ED2" w:tentative="1">
      <w:start w:val="1"/>
      <w:numFmt w:val="bullet"/>
      <w:lvlText w:val="•"/>
      <w:lvlJc w:val="left"/>
      <w:pPr>
        <w:tabs>
          <w:tab w:val="num" w:pos="1440"/>
        </w:tabs>
        <w:ind w:left="1440" w:hanging="360"/>
      </w:pPr>
      <w:rPr>
        <w:rFonts w:ascii="Arial" w:hAnsi="Arial" w:hint="default"/>
      </w:rPr>
    </w:lvl>
    <w:lvl w:ilvl="2" w:tplc="5A7E15A0" w:tentative="1">
      <w:start w:val="1"/>
      <w:numFmt w:val="bullet"/>
      <w:lvlText w:val="•"/>
      <w:lvlJc w:val="left"/>
      <w:pPr>
        <w:tabs>
          <w:tab w:val="num" w:pos="2160"/>
        </w:tabs>
        <w:ind w:left="2160" w:hanging="360"/>
      </w:pPr>
      <w:rPr>
        <w:rFonts w:ascii="Arial" w:hAnsi="Arial" w:hint="default"/>
      </w:rPr>
    </w:lvl>
    <w:lvl w:ilvl="3" w:tplc="EB42EE30" w:tentative="1">
      <w:start w:val="1"/>
      <w:numFmt w:val="bullet"/>
      <w:lvlText w:val="•"/>
      <w:lvlJc w:val="left"/>
      <w:pPr>
        <w:tabs>
          <w:tab w:val="num" w:pos="2880"/>
        </w:tabs>
        <w:ind w:left="2880" w:hanging="360"/>
      </w:pPr>
      <w:rPr>
        <w:rFonts w:ascii="Arial" w:hAnsi="Arial" w:hint="default"/>
      </w:rPr>
    </w:lvl>
    <w:lvl w:ilvl="4" w:tplc="441A26B4" w:tentative="1">
      <w:start w:val="1"/>
      <w:numFmt w:val="bullet"/>
      <w:lvlText w:val="•"/>
      <w:lvlJc w:val="left"/>
      <w:pPr>
        <w:tabs>
          <w:tab w:val="num" w:pos="3600"/>
        </w:tabs>
        <w:ind w:left="3600" w:hanging="360"/>
      </w:pPr>
      <w:rPr>
        <w:rFonts w:ascii="Arial" w:hAnsi="Arial" w:hint="default"/>
      </w:rPr>
    </w:lvl>
    <w:lvl w:ilvl="5" w:tplc="39CA5AE2" w:tentative="1">
      <w:start w:val="1"/>
      <w:numFmt w:val="bullet"/>
      <w:lvlText w:val="•"/>
      <w:lvlJc w:val="left"/>
      <w:pPr>
        <w:tabs>
          <w:tab w:val="num" w:pos="4320"/>
        </w:tabs>
        <w:ind w:left="4320" w:hanging="360"/>
      </w:pPr>
      <w:rPr>
        <w:rFonts w:ascii="Arial" w:hAnsi="Arial" w:hint="default"/>
      </w:rPr>
    </w:lvl>
    <w:lvl w:ilvl="6" w:tplc="F08E4204" w:tentative="1">
      <w:start w:val="1"/>
      <w:numFmt w:val="bullet"/>
      <w:lvlText w:val="•"/>
      <w:lvlJc w:val="left"/>
      <w:pPr>
        <w:tabs>
          <w:tab w:val="num" w:pos="5040"/>
        </w:tabs>
        <w:ind w:left="5040" w:hanging="360"/>
      </w:pPr>
      <w:rPr>
        <w:rFonts w:ascii="Arial" w:hAnsi="Arial" w:hint="default"/>
      </w:rPr>
    </w:lvl>
    <w:lvl w:ilvl="7" w:tplc="F2400046" w:tentative="1">
      <w:start w:val="1"/>
      <w:numFmt w:val="bullet"/>
      <w:lvlText w:val="•"/>
      <w:lvlJc w:val="left"/>
      <w:pPr>
        <w:tabs>
          <w:tab w:val="num" w:pos="5760"/>
        </w:tabs>
        <w:ind w:left="5760" w:hanging="360"/>
      </w:pPr>
      <w:rPr>
        <w:rFonts w:ascii="Arial" w:hAnsi="Arial" w:hint="default"/>
      </w:rPr>
    </w:lvl>
    <w:lvl w:ilvl="8" w:tplc="EE0CC3C6"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3A422E01"/>
    <w:multiLevelType w:val="hybridMultilevel"/>
    <w:tmpl w:val="28409976"/>
    <w:lvl w:ilvl="0" w:tplc="AB1256BC">
      <w:start w:val="1"/>
      <w:numFmt w:val="bullet"/>
      <w:lvlText w:val="•"/>
      <w:lvlJc w:val="left"/>
      <w:pPr>
        <w:tabs>
          <w:tab w:val="num" w:pos="720"/>
        </w:tabs>
        <w:ind w:left="720" w:hanging="360"/>
      </w:pPr>
      <w:rPr>
        <w:rFonts w:ascii="Arial" w:hAnsi="Arial" w:hint="default"/>
      </w:rPr>
    </w:lvl>
    <w:lvl w:ilvl="1" w:tplc="06462252" w:tentative="1">
      <w:start w:val="1"/>
      <w:numFmt w:val="bullet"/>
      <w:lvlText w:val="•"/>
      <w:lvlJc w:val="left"/>
      <w:pPr>
        <w:tabs>
          <w:tab w:val="num" w:pos="1440"/>
        </w:tabs>
        <w:ind w:left="1440" w:hanging="360"/>
      </w:pPr>
      <w:rPr>
        <w:rFonts w:ascii="Arial" w:hAnsi="Arial" w:hint="default"/>
      </w:rPr>
    </w:lvl>
    <w:lvl w:ilvl="2" w:tplc="F1028F72" w:tentative="1">
      <w:start w:val="1"/>
      <w:numFmt w:val="bullet"/>
      <w:lvlText w:val="•"/>
      <w:lvlJc w:val="left"/>
      <w:pPr>
        <w:tabs>
          <w:tab w:val="num" w:pos="2160"/>
        </w:tabs>
        <w:ind w:left="2160" w:hanging="360"/>
      </w:pPr>
      <w:rPr>
        <w:rFonts w:ascii="Arial" w:hAnsi="Arial" w:hint="default"/>
      </w:rPr>
    </w:lvl>
    <w:lvl w:ilvl="3" w:tplc="B0903082" w:tentative="1">
      <w:start w:val="1"/>
      <w:numFmt w:val="bullet"/>
      <w:lvlText w:val="•"/>
      <w:lvlJc w:val="left"/>
      <w:pPr>
        <w:tabs>
          <w:tab w:val="num" w:pos="2880"/>
        </w:tabs>
        <w:ind w:left="2880" w:hanging="360"/>
      </w:pPr>
      <w:rPr>
        <w:rFonts w:ascii="Arial" w:hAnsi="Arial" w:hint="default"/>
      </w:rPr>
    </w:lvl>
    <w:lvl w:ilvl="4" w:tplc="3E3868C4" w:tentative="1">
      <w:start w:val="1"/>
      <w:numFmt w:val="bullet"/>
      <w:lvlText w:val="•"/>
      <w:lvlJc w:val="left"/>
      <w:pPr>
        <w:tabs>
          <w:tab w:val="num" w:pos="3600"/>
        </w:tabs>
        <w:ind w:left="3600" w:hanging="360"/>
      </w:pPr>
      <w:rPr>
        <w:rFonts w:ascii="Arial" w:hAnsi="Arial" w:hint="default"/>
      </w:rPr>
    </w:lvl>
    <w:lvl w:ilvl="5" w:tplc="8410E28E" w:tentative="1">
      <w:start w:val="1"/>
      <w:numFmt w:val="bullet"/>
      <w:lvlText w:val="•"/>
      <w:lvlJc w:val="left"/>
      <w:pPr>
        <w:tabs>
          <w:tab w:val="num" w:pos="4320"/>
        </w:tabs>
        <w:ind w:left="4320" w:hanging="360"/>
      </w:pPr>
      <w:rPr>
        <w:rFonts w:ascii="Arial" w:hAnsi="Arial" w:hint="default"/>
      </w:rPr>
    </w:lvl>
    <w:lvl w:ilvl="6" w:tplc="EB608046" w:tentative="1">
      <w:start w:val="1"/>
      <w:numFmt w:val="bullet"/>
      <w:lvlText w:val="•"/>
      <w:lvlJc w:val="left"/>
      <w:pPr>
        <w:tabs>
          <w:tab w:val="num" w:pos="5040"/>
        </w:tabs>
        <w:ind w:left="5040" w:hanging="360"/>
      </w:pPr>
      <w:rPr>
        <w:rFonts w:ascii="Arial" w:hAnsi="Arial" w:hint="default"/>
      </w:rPr>
    </w:lvl>
    <w:lvl w:ilvl="7" w:tplc="A1A22D82" w:tentative="1">
      <w:start w:val="1"/>
      <w:numFmt w:val="bullet"/>
      <w:lvlText w:val="•"/>
      <w:lvlJc w:val="left"/>
      <w:pPr>
        <w:tabs>
          <w:tab w:val="num" w:pos="5760"/>
        </w:tabs>
        <w:ind w:left="5760" w:hanging="360"/>
      </w:pPr>
      <w:rPr>
        <w:rFonts w:ascii="Arial" w:hAnsi="Arial" w:hint="default"/>
      </w:rPr>
    </w:lvl>
    <w:lvl w:ilvl="8" w:tplc="43F2121E"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48D1441D"/>
    <w:multiLevelType w:val="multilevel"/>
    <w:tmpl w:val="A3D4A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1A1426E"/>
    <w:multiLevelType w:val="multilevel"/>
    <w:tmpl w:val="7ACC8A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5754568">
    <w:abstractNumId w:val="0"/>
  </w:num>
  <w:num w:numId="2" w16cid:durableId="807018824">
    <w:abstractNumId w:val="1"/>
  </w:num>
  <w:num w:numId="3" w16cid:durableId="890843550">
    <w:abstractNumId w:val="2"/>
  </w:num>
  <w:num w:numId="4" w16cid:durableId="172139805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5"/>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233"/>
    <w:rsid w:val="00007C2D"/>
    <w:rsid w:val="00011FE5"/>
    <w:rsid w:val="0002681B"/>
    <w:rsid w:val="00032E2F"/>
    <w:rsid w:val="0004118D"/>
    <w:rsid w:val="00053F7D"/>
    <w:rsid w:val="00061B9B"/>
    <w:rsid w:val="00064F48"/>
    <w:rsid w:val="000659E8"/>
    <w:rsid w:val="0008127E"/>
    <w:rsid w:val="000B0E05"/>
    <w:rsid w:val="000B0F65"/>
    <w:rsid w:val="000C02A5"/>
    <w:rsid w:val="000C5973"/>
    <w:rsid w:val="000D0884"/>
    <w:rsid w:val="000D3ACC"/>
    <w:rsid w:val="000D721E"/>
    <w:rsid w:val="000E133E"/>
    <w:rsid w:val="000E3227"/>
    <w:rsid w:val="000F554C"/>
    <w:rsid w:val="000F6F8D"/>
    <w:rsid w:val="00105288"/>
    <w:rsid w:val="001053C8"/>
    <w:rsid w:val="0010670A"/>
    <w:rsid w:val="00115ADF"/>
    <w:rsid w:val="0014526E"/>
    <w:rsid w:val="00145D43"/>
    <w:rsid w:val="00152A39"/>
    <w:rsid w:val="00157F00"/>
    <w:rsid w:val="001611A6"/>
    <w:rsid w:val="00171EFF"/>
    <w:rsid w:val="00173541"/>
    <w:rsid w:val="00173E2B"/>
    <w:rsid w:val="001811CF"/>
    <w:rsid w:val="001813E3"/>
    <w:rsid w:val="00181DF9"/>
    <w:rsid w:val="00192FAB"/>
    <w:rsid w:val="001961FF"/>
    <w:rsid w:val="001D1A3B"/>
    <w:rsid w:val="001D6B51"/>
    <w:rsid w:val="001E3DD6"/>
    <w:rsid w:val="001E6D4D"/>
    <w:rsid w:val="00204A03"/>
    <w:rsid w:val="0021060D"/>
    <w:rsid w:val="00213FDB"/>
    <w:rsid w:val="0024190D"/>
    <w:rsid w:val="00251AAE"/>
    <w:rsid w:val="002537DF"/>
    <w:rsid w:val="00255369"/>
    <w:rsid w:val="00297BBC"/>
    <w:rsid w:val="002A1061"/>
    <w:rsid w:val="002A39B6"/>
    <w:rsid w:val="002C3534"/>
    <w:rsid w:val="002D49B2"/>
    <w:rsid w:val="002E36F4"/>
    <w:rsid w:val="002F2478"/>
    <w:rsid w:val="002F280F"/>
    <w:rsid w:val="002F6174"/>
    <w:rsid w:val="00302366"/>
    <w:rsid w:val="003067F0"/>
    <w:rsid w:val="00311360"/>
    <w:rsid w:val="00322060"/>
    <w:rsid w:val="00325FB2"/>
    <w:rsid w:val="003305D4"/>
    <w:rsid w:val="003313D3"/>
    <w:rsid w:val="003368EE"/>
    <w:rsid w:val="00336E98"/>
    <w:rsid w:val="0034112A"/>
    <w:rsid w:val="00341CBD"/>
    <w:rsid w:val="00353E5F"/>
    <w:rsid w:val="00355F29"/>
    <w:rsid w:val="003578E6"/>
    <w:rsid w:val="003613AD"/>
    <w:rsid w:val="00364BEC"/>
    <w:rsid w:val="00366E4E"/>
    <w:rsid w:val="00384C41"/>
    <w:rsid w:val="00386D75"/>
    <w:rsid w:val="00387890"/>
    <w:rsid w:val="003B3BD3"/>
    <w:rsid w:val="003C5DE4"/>
    <w:rsid w:val="003D4183"/>
    <w:rsid w:val="003D54CB"/>
    <w:rsid w:val="003E0A84"/>
    <w:rsid w:val="003E22FA"/>
    <w:rsid w:val="00404C11"/>
    <w:rsid w:val="004065B0"/>
    <w:rsid w:val="00424CAE"/>
    <w:rsid w:val="00454AAC"/>
    <w:rsid w:val="004572D0"/>
    <w:rsid w:val="004613A1"/>
    <w:rsid w:val="00462550"/>
    <w:rsid w:val="00465002"/>
    <w:rsid w:val="004675C0"/>
    <w:rsid w:val="0047500D"/>
    <w:rsid w:val="0049341E"/>
    <w:rsid w:val="00495F78"/>
    <w:rsid w:val="004A5C61"/>
    <w:rsid w:val="004B2DCC"/>
    <w:rsid w:val="004C4DA4"/>
    <w:rsid w:val="004E3261"/>
    <w:rsid w:val="004E719E"/>
    <w:rsid w:val="004F3E63"/>
    <w:rsid w:val="004F73D3"/>
    <w:rsid w:val="0051052E"/>
    <w:rsid w:val="0051548E"/>
    <w:rsid w:val="00524119"/>
    <w:rsid w:val="00525D2B"/>
    <w:rsid w:val="00531614"/>
    <w:rsid w:val="005357F6"/>
    <w:rsid w:val="00546053"/>
    <w:rsid w:val="0055450D"/>
    <w:rsid w:val="00556A68"/>
    <w:rsid w:val="00556F2D"/>
    <w:rsid w:val="005653F1"/>
    <w:rsid w:val="00575A9A"/>
    <w:rsid w:val="00585593"/>
    <w:rsid w:val="00592795"/>
    <w:rsid w:val="005A2669"/>
    <w:rsid w:val="005E1183"/>
    <w:rsid w:val="005E1EF8"/>
    <w:rsid w:val="005E37F6"/>
    <w:rsid w:val="005E47CF"/>
    <w:rsid w:val="005E60C4"/>
    <w:rsid w:val="005F294C"/>
    <w:rsid w:val="00602B52"/>
    <w:rsid w:val="0060689F"/>
    <w:rsid w:val="0061239A"/>
    <w:rsid w:val="006268CB"/>
    <w:rsid w:val="00636910"/>
    <w:rsid w:val="00641452"/>
    <w:rsid w:val="00673C04"/>
    <w:rsid w:val="0067707C"/>
    <w:rsid w:val="006770FB"/>
    <w:rsid w:val="006810E2"/>
    <w:rsid w:val="006A5AD4"/>
    <w:rsid w:val="006B045F"/>
    <w:rsid w:val="006B45DF"/>
    <w:rsid w:val="006B5154"/>
    <w:rsid w:val="006D449B"/>
    <w:rsid w:val="006E76FE"/>
    <w:rsid w:val="006F35A5"/>
    <w:rsid w:val="00700E0E"/>
    <w:rsid w:val="0070534A"/>
    <w:rsid w:val="00705C6F"/>
    <w:rsid w:val="00723A36"/>
    <w:rsid w:val="00730616"/>
    <w:rsid w:val="00733B93"/>
    <w:rsid w:val="007346CC"/>
    <w:rsid w:val="00734DCC"/>
    <w:rsid w:val="0074190A"/>
    <w:rsid w:val="007645C8"/>
    <w:rsid w:val="007700A8"/>
    <w:rsid w:val="0077382F"/>
    <w:rsid w:val="007752CE"/>
    <w:rsid w:val="00776855"/>
    <w:rsid w:val="00776C14"/>
    <w:rsid w:val="007903E5"/>
    <w:rsid w:val="00791E19"/>
    <w:rsid w:val="007967F8"/>
    <w:rsid w:val="00797B45"/>
    <w:rsid w:val="007A3F52"/>
    <w:rsid w:val="007A4F42"/>
    <w:rsid w:val="007B7280"/>
    <w:rsid w:val="007C3251"/>
    <w:rsid w:val="007D044F"/>
    <w:rsid w:val="007D34EF"/>
    <w:rsid w:val="007E030B"/>
    <w:rsid w:val="007E0DDD"/>
    <w:rsid w:val="007E4273"/>
    <w:rsid w:val="007F4B98"/>
    <w:rsid w:val="007F5A22"/>
    <w:rsid w:val="00801A55"/>
    <w:rsid w:val="00805123"/>
    <w:rsid w:val="00806664"/>
    <w:rsid w:val="00812080"/>
    <w:rsid w:val="00814F8C"/>
    <w:rsid w:val="0081662D"/>
    <w:rsid w:val="00832357"/>
    <w:rsid w:val="008324D1"/>
    <w:rsid w:val="00832D73"/>
    <w:rsid w:val="00833E45"/>
    <w:rsid w:val="00837810"/>
    <w:rsid w:val="00845B36"/>
    <w:rsid w:val="00847314"/>
    <w:rsid w:val="00847FEB"/>
    <w:rsid w:val="00856D03"/>
    <w:rsid w:val="00861C6D"/>
    <w:rsid w:val="0086551C"/>
    <w:rsid w:val="008712A8"/>
    <w:rsid w:val="00873269"/>
    <w:rsid w:val="00880819"/>
    <w:rsid w:val="00884BEF"/>
    <w:rsid w:val="00884EE2"/>
    <w:rsid w:val="00885989"/>
    <w:rsid w:val="00893577"/>
    <w:rsid w:val="00894DA5"/>
    <w:rsid w:val="008A10B3"/>
    <w:rsid w:val="008A2504"/>
    <w:rsid w:val="008A482B"/>
    <w:rsid w:val="008B6BC6"/>
    <w:rsid w:val="008D0C9D"/>
    <w:rsid w:val="008E5789"/>
    <w:rsid w:val="008F1FE4"/>
    <w:rsid w:val="008F2C51"/>
    <w:rsid w:val="008F5DA9"/>
    <w:rsid w:val="00905C55"/>
    <w:rsid w:val="00907CE1"/>
    <w:rsid w:val="0091341A"/>
    <w:rsid w:val="00914391"/>
    <w:rsid w:val="00925FD9"/>
    <w:rsid w:val="0093327A"/>
    <w:rsid w:val="00934C1A"/>
    <w:rsid w:val="009356E6"/>
    <w:rsid w:val="0095191C"/>
    <w:rsid w:val="0095532E"/>
    <w:rsid w:val="009578F8"/>
    <w:rsid w:val="00961B17"/>
    <w:rsid w:val="009644C8"/>
    <w:rsid w:val="00973AC2"/>
    <w:rsid w:val="00976500"/>
    <w:rsid w:val="0098345F"/>
    <w:rsid w:val="009B1B85"/>
    <w:rsid w:val="009C4E2E"/>
    <w:rsid w:val="009D4133"/>
    <w:rsid w:val="009D76AD"/>
    <w:rsid w:val="009E1401"/>
    <w:rsid w:val="009E4DC6"/>
    <w:rsid w:val="009F027C"/>
    <w:rsid w:val="00A1267F"/>
    <w:rsid w:val="00A211CB"/>
    <w:rsid w:val="00A21853"/>
    <w:rsid w:val="00A23986"/>
    <w:rsid w:val="00A243C5"/>
    <w:rsid w:val="00A24F4A"/>
    <w:rsid w:val="00A275F1"/>
    <w:rsid w:val="00A328D4"/>
    <w:rsid w:val="00A43761"/>
    <w:rsid w:val="00A43A7C"/>
    <w:rsid w:val="00A54235"/>
    <w:rsid w:val="00A565DF"/>
    <w:rsid w:val="00A56F47"/>
    <w:rsid w:val="00A605FD"/>
    <w:rsid w:val="00A72F7A"/>
    <w:rsid w:val="00A7603C"/>
    <w:rsid w:val="00A94D99"/>
    <w:rsid w:val="00A9528A"/>
    <w:rsid w:val="00AA18AA"/>
    <w:rsid w:val="00AA4A0F"/>
    <w:rsid w:val="00AC2EE8"/>
    <w:rsid w:val="00AC7264"/>
    <w:rsid w:val="00AD0438"/>
    <w:rsid w:val="00AD5976"/>
    <w:rsid w:val="00AE11C6"/>
    <w:rsid w:val="00AE4777"/>
    <w:rsid w:val="00AF06D5"/>
    <w:rsid w:val="00AF0A66"/>
    <w:rsid w:val="00B02E64"/>
    <w:rsid w:val="00B06529"/>
    <w:rsid w:val="00B07686"/>
    <w:rsid w:val="00B11D36"/>
    <w:rsid w:val="00B24B46"/>
    <w:rsid w:val="00B31233"/>
    <w:rsid w:val="00B4284F"/>
    <w:rsid w:val="00B4294A"/>
    <w:rsid w:val="00B44EFC"/>
    <w:rsid w:val="00B46882"/>
    <w:rsid w:val="00B46C62"/>
    <w:rsid w:val="00B54A33"/>
    <w:rsid w:val="00B55F97"/>
    <w:rsid w:val="00B61532"/>
    <w:rsid w:val="00B7015D"/>
    <w:rsid w:val="00B726E7"/>
    <w:rsid w:val="00B77357"/>
    <w:rsid w:val="00B80D08"/>
    <w:rsid w:val="00B84169"/>
    <w:rsid w:val="00B84A94"/>
    <w:rsid w:val="00B85FD8"/>
    <w:rsid w:val="00BA05A2"/>
    <w:rsid w:val="00BA25E0"/>
    <w:rsid w:val="00BA444D"/>
    <w:rsid w:val="00BA5A9F"/>
    <w:rsid w:val="00BA7D7A"/>
    <w:rsid w:val="00BC2F9C"/>
    <w:rsid w:val="00BC60B9"/>
    <w:rsid w:val="00BC7106"/>
    <w:rsid w:val="00BD57F2"/>
    <w:rsid w:val="00BE42BB"/>
    <w:rsid w:val="00BF3E7C"/>
    <w:rsid w:val="00BF54A6"/>
    <w:rsid w:val="00C133C3"/>
    <w:rsid w:val="00C13D66"/>
    <w:rsid w:val="00C47047"/>
    <w:rsid w:val="00C51A52"/>
    <w:rsid w:val="00C70915"/>
    <w:rsid w:val="00C72524"/>
    <w:rsid w:val="00C72EE3"/>
    <w:rsid w:val="00C80AD7"/>
    <w:rsid w:val="00C878B8"/>
    <w:rsid w:val="00C87E53"/>
    <w:rsid w:val="00CA5A1F"/>
    <w:rsid w:val="00CB12C8"/>
    <w:rsid w:val="00CC20C3"/>
    <w:rsid w:val="00CC4159"/>
    <w:rsid w:val="00CC6452"/>
    <w:rsid w:val="00D169DE"/>
    <w:rsid w:val="00D17E15"/>
    <w:rsid w:val="00D31A4A"/>
    <w:rsid w:val="00D36F46"/>
    <w:rsid w:val="00D43E30"/>
    <w:rsid w:val="00D46509"/>
    <w:rsid w:val="00D46EFE"/>
    <w:rsid w:val="00D51DC9"/>
    <w:rsid w:val="00D56568"/>
    <w:rsid w:val="00D61A36"/>
    <w:rsid w:val="00D64581"/>
    <w:rsid w:val="00D71BDF"/>
    <w:rsid w:val="00D772B7"/>
    <w:rsid w:val="00D8448E"/>
    <w:rsid w:val="00D876D5"/>
    <w:rsid w:val="00D923AF"/>
    <w:rsid w:val="00D964D6"/>
    <w:rsid w:val="00D96A2B"/>
    <w:rsid w:val="00DA1F8A"/>
    <w:rsid w:val="00DD05B1"/>
    <w:rsid w:val="00DE7CBD"/>
    <w:rsid w:val="00DF56FE"/>
    <w:rsid w:val="00DF5EEB"/>
    <w:rsid w:val="00E00123"/>
    <w:rsid w:val="00E22AED"/>
    <w:rsid w:val="00E33084"/>
    <w:rsid w:val="00E5487C"/>
    <w:rsid w:val="00E564A5"/>
    <w:rsid w:val="00E67A55"/>
    <w:rsid w:val="00E73A07"/>
    <w:rsid w:val="00E87A56"/>
    <w:rsid w:val="00EA541B"/>
    <w:rsid w:val="00EB21C6"/>
    <w:rsid w:val="00EB491C"/>
    <w:rsid w:val="00EB7C3A"/>
    <w:rsid w:val="00ED4CE6"/>
    <w:rsid w:val="00EE0E54"/>
    <w:rsid w:val="00EE4350"/>
    <w:rsid w:val="00EE6C57"/>
    <w:rsid w:val="00EF3771"/>
    <w:rsid w:val="00F01C65"/>
    <w:rsid w:val="00F1163D"/>
    <w:rsid w:val="00F1329C"/>
    <w:rsid w:val="00F17DD6"/>
    <w:rsid w:val="00F22E8E"/>
    <w:rsid w:val="00F26DB1"/>
    <w:rsid w:val="00F412C7"/>
    <w:rsid w:val="00F42046"/>
    <w:rsid w:val="00F46212"/>
    <w:rsid w:val="00F4723A"/>
    <w:rsid w:val="00F605E9"/>
    <w:rsid w:val="00F611D3"/>
    <w:rsid w:val="00F62B01"/>
    <w:rsid w:val="00F747C0"/>
    <w:rsid w:val="00F77550"/>
    <w:rsid w:val="00F81F56"/>
    <w:rsid w:val="00F84DD0"/>
    <w:rsid w:val="00F84E85"/>
    <w:rsid w:val="00F908EC"/>
    <w:rsid w:val="00F93E58"/>
    <w:rsid w:val="00FB0F3D"/>
    <w:rsid w:val="00FB1009"/>
    <w:rsid w:val="00FB1A82"/>
    <w:rsid w:val="00FB621E"/>
    <w:rsid w:val="00FC3576"/>
    <w:rsid w:val="00FC5A3B"/>
    <w:rsid w:val="00FC5ED3"/>
    <w:rsid w:val="00FD077B"/>
    <w:rsid w:val="00FE0B83"/>
    <w:rsid w:val="00FE2E2F"/>
    <w:rsid w:val="00FE4A1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4F3760"/>
  <w15:chartTrackingRefBased/>
  <w15:docId w15:val="{99AE004E-8089-4BA2-A274-0AA104A6CE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3123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3123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123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123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123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12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12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12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12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123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3123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123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123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123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12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12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12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1233"/>
    <w:rPr>
      <w:rFonts w:eastAsiaTheme="majorEastAsia" w:cstheme="majorBidi"/>
      <w:color w:val="272727" w:themeColor="text1" w:themeTint="D8"/>
    </w:rPr>
  </w:style>
  <w:style w:type="paragraph" w:styleId="Title">
    <w:name w:val="Title"/>
    <w:basedOn w:val="Normal"/>
    <w:next w:val="Normal"/>
    <w:link w:val="TitleChar"/>
    <w:uiPriority w:val="10"/>
    <w:qFormat/>
    <w:rsid w:val="00B312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2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12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12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1233"/>
    <w:pPr>
      <w:spacing w:before="160"/>
      <w:jc w:val="center"/>
    </w:pPr>
    <w:rPr>
      <w:i/>
      <w:iCs/>
      <w:color w:val="404040" w:themeColor="text1" w:themeTint="BF"/>
    </w:rPr>
  </w:style>
  <w:style w:type="character" w:customStyle="1" w:styleId="QuoteChar">
    <w:name w:val="Quote Char"/>
    <w:basedOn w:val="DefaultParagraphFont"/>
    <w:link w:val="Quote"/>
    <w:uiPriority w:val="29"/>
    <w:rsid w:val="00B31233"/>
    <w:rPr>
      <w:i/>
      <w:iCs/>
      <w:color w:val="404040" w:themeColor="text1" w:themeTint="BF"/>
    </w:rPr>
  </w:style>
  <w:style w:type="paragraph" w:styleId="ListParagraph">
    <w:name w:val="List Paragraph"/>
    <w:basedOn w:val="Normal"/>
    <w:uiPriority w:val="34"/>
    <w:qFormat/>
    <w:rsid w:val="00B31233"/>
    <w:pPr>
      <w:ind w:left="720"/>
      <w:contextualSpacing/>
    </w:pPr>
  </w:style>
  <w:style w:type="character" w:styleId="IntenseEmphasis">
    <w:name w:val="Intense Emphasis"/>
    <w:basedOn w:val="DefaultParagraphFont"/>
    <w:uiPriority w:val="21"/>
    <w:qFormat/>
    <w:rsid w:val="00B31233"/>
    <w:rPr>
      <w:i/>
      <w:iCs/>
      <w:color w:val="0F4761" w:themeColor="accent1" w:themeShade="BF"/>
    </w:rPr>
  </w:style>
  <w:style w:type="paragraph" w:styleId="IntenseQuote">
    <w:name w:val="Intense Quote"/>
    <w:basedOn w:val="Normal"/>
    <w:next w:val="Normal"/>
    <w:link w:val="IntenseQuoteChar"/>
    <w:uiPriority w:val="30"/>
    <w:qFormat/>
    <w:rsid w:val="00B3123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1233"/>
    <w:rPr>
      <w:i/>
      <w:iCs/>
      <w:color w:val="0F4761" w:themeColor="accent1" w:themeShade="BF"/>
    </w:rPr>
  </w:style>
  <w:style w:type="character" w:styleId="IntenseReference">
    <w:name w:val="Intense Reference"/>
    <w:basedOn w:val="DefaultParagraphFont"/>
    <w:uiPriority w:val="32"/>
    <w:qFormat/>
    <w:rsid w:val="00B31233"/>
    <w:rPr>
      <w:b/>
      <w:bCs/>
      <w:smallCaps/>
      <w:color w:val="0F4761" w:themeColor="accent1" w:themeShade="BF"/>
      <w:spacing w:val="5"/>
    </w:rPr>
  </w:style>
  <w:style w:type="paragraph" w:styleId="NormalWeb">
    <w:name w:val="Normal (Web)"/>
    <w:basedOn w:val="Normal"/>
    <w:uiPriority w:val="99"/>
    <w:semiHidden/>
    <w:unhideWhenUsed/>
    <w:rsid w:val="00BC7106"/>
    <w:rPr>
      <w:rFonts w:ascii="Times New Roman" w:hAnsi="Times New Roman" w:cs="Times New Roman"/>
    </w:rPr>
  </w:style>
  <w:style w:type="character" w:styleId="Hyperlink">
    <w:name w:val="Hyperlink"/>
    <w:basedOn w:val="DefaultParagraphFont"/>
    <w:uiPriority w:val="99"/>
    <w:unhideWhenUsed/>
    <w:rsid w:val="00A24F4A"/>
    <w:rPr>
      <w:color w:val="467886" w:themeColor="hyperlink"/>
      <w:u w:val="single"/>
    </w:rPr>
  </w:style>
  <w:style w:type="character" w:styleId="UnresolvedMention">
    <w:name w:val="Unresolved Mention"/>
    <w:basedOn w:val="DefaultParagraphFont"/>
    <w:uiPriority w:val="99"/>
    <w:semiHidden/>
    <w:unhideWhenUsed/>
    <w:rsid w:val="00A24F4A"/>
    <w:rPr>
      <w:color w:val="605E5C"/>
      <w:shd w:val="clear" w:color="auto" w:fill="E1DFDD"/>
    </w:rPr>
  </w:style>
  <w:style w:type="character" w:styleId="FollowedHyperlink">
    <w:name w:val="FollowedHyperlink"/>
    <w:basedOn w:val="DefaultParagraphFont"/>
    <w:uiPriority w:val="99"/>
    <w:semiHidden/>
    <w:unhideWhenUsed/>
    <w:rsid w:val="00A24F4A"/>
    <w:rPr>
      <w:color w:val="96607D" w:themeColor="followedHyperlink"/>
      <w:u w:val="single"/>
    </w:rPr>
  </w:style>
  <w:style w:type="character" w:styleId="Strong">
    <w:name w:val="Strong"/>
    <w:basedOn w:val="DefaultParagraphFont"/>
    <w:uiPriority w:val="22"/>
    <w:qFormat/>
    <w:rsid w:val="0055450D"/>
    <w:rPr>
      <w:b/>
      <w:bCs/>
    </w:rPr>
  </w:style>
  <w:style w:type="paragraph" w:styleId="TOCHeading">
    <w:name w:val="TOC Heading"/>
    <w:basedOn w:val="Heading1"/>
    <w:next w:val="Normal"/>
    <w:uiPriority w:val="39"/>
    <w:unhideWhenUsed/>
    <w:qFormat/>
    <w:rsid w:val="004A5C61"/>
    <w:pPr>
      <w:spacing w:before="240" w:after="0" w:line="259" w:lineRule="auto"/>
      <w:outlineLvl w:val="9"/>
    </w:pPr>
    <w:rPr>
      <w:kern w:val="0"/>
      <w:sz w:val="32"/>
      <w:szCs w:val="32"/>
      <w:lang w:eastAsia="en-GB"/>
      <w14:ligatures w14:val="none"/>
    </w:rPr>
  </w:style>
  <w:style w:type="paragraph" w:styleId="TOC1">
    <w:name w:val="toc 1"/>
    <w:basedOn w:val="Normal"/>
    <w:next w:val="Normal"/>
    <w:autoRedefine/>
    <w:uiPriority w:val="39"/>
    <w:unhideWhenUsed/>
    <w:rsid w:val="004A5C61"/>
    <w:pPr>
      <w:spacing w:after="100"/>
    </w:pPr>
  </w:style>
  <w:style w:type="paragraph" w:styleId="TOC2">
    <w:name w:val="toc 2"/>
    <w:basedOn w:val="Normal"/>
    <w:next w:val="Normal"/>
    <w:autoRedefine/>
    <w:uiPriority w:val="39"/>
    <w:unhideWhenUsed/>
    <w:rsid w:val="004A5C61"/>
    <w:pPr>
      <w:spacing w:after="100"/>
      <w:ind w:left="240"/>
    </w:pPr>
  </w:style>
  <w:style w:type="paragraph" w:styleId="Header">
    <w:name w:val="header"/>
    <w:basedOn w:val="Normal"/>
    <w:link w:val="HeaderChar"/>
    <w:uiPriority w:val="99"/>
    <w:unhideWhenUsed/>
    <w:rsid w:val="00B84169"/>
    <w:pPr>
      <w:tabs>
        <w:tab w:val="center" w:pos="4513"/>
        <w:tab w:val="right" w:pos="9026"/>
      </w:tabs>
      <w:spacing w:after="0" w:line="240" w:lineRule="auto"/>
    </w:pPr>
  </w:style>
  <w:style w:type="character" w:customStyle="1" w:styleId="HeaderChar">
    <w:name w:val="Header Char"/>
    <w:basedOn w:val="DefaultParagraphFont"/>
    <w:link w:val="Header"/>
    <w:uiPriority w:val="99"/>
    <w:rsid w:val="00B84169"/>
  </w:style>
  <w:style w:type="paragraph" w:styleId="Footer">
    <w:name w:val="footer"/>
    <w:basedOn w:val="Normal"/>
    <w:link w:val="FooterChar"/>
    <w:uiPriority w:val="99"/>
    <w:unhideWhenUsed/>
    <w:rsid w:val="00B84169"/>
    <w:pPr>
      <w:tabs>
        <w:tab w:val="center" w:pos="4513"/>
        <w:tab w:val="right" w:pos="9026"/>
      </w:tabs>
      <w:spacing w:after="0" w:line="240" w:lineRule="auto"/>
    </w:pPr>
  </w:style>
  <w:style w:type="character" w:customStyle="1" w:styleId="FooterChar">
    <w:name w:val="Footer Char"/>
    <w:basedOn w:val="DefaultParagraphFont"/>
    <w:link w:val="Footer"/>
    <w:uiPriority w:val="99"/>
    <w:rsid w:val="00B841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ommunicationcache.com/uploads/1/0/8/8/10887248/emotional_intelligence_-_issues_in_paradigm_building.pdf" TargetMode="External"/><Relationship Id="rId18" Type="http://schemas.openxmlformats.org/officeDocument/2006/relationships/hyperlink" Target="https://doi.org/10.1016/j.hrmr.2017.01.001"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books.google.com/books/about/The_Fearless_Organization.html?id=f9B5DwAAQBAJ" TargetMode="External"/><Relationship Id="rId17" Type="http://schemas.openxmlformats.org/officeDocument/2006/relationships/hyperlink" Target="https://www.tandfonline.com/doi/full/10.1080/08959285.2017.1307842" TargetMode="External"/><Relationship Id="rId2" Type="http://schemas.openxmlformats.org/officeDocument/2006/relationships/numbering" Target="numbering.xml"/><Relationship Id="rId16" Type="http://schemas.openxmlformats.org/officeDocument/2006/relationships/hyperlink" Target="https://doi.org/10.1016/b978-0-12-416008-8.00012-7" TargetMode="External"/><Relationship Id="rId20" Type="http://schemas.openxmlformats.org/officeDocument/2006/relationships/hyperlink" Target="https://doi.org/10.1007/s10869-022-09852-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2666999?utm_source=copilot.com" TargetMode="External"/><Relationship Id="rId5" Type="http://schemas.openxmlformats.org/officeDocument/2006/relationships/webSettings" Target="webSettings.xml"/><Relationship Id="rId15" Type="http://schemas.openxmlformats.org/officeDocument/2006/relationships/hyperlink" Target="https://www.imperial.ac.uk/equality/resources/unconscious-bias/" TargetMode="External"/><Relationship Id="rId23" Type="http://schemas.openxmlformats.org/officeDocument/2006/relationships/theme" Target="theme/theme1.xml"/><Relationship Id="rId10" Type="http://schemas.openxmlformats.org/officeDocument/2006/relationships/hyperlink" Target="https://doi.org/10.1016/j.leaqua.2006.10.004" TargetMode="External"/><Relationship Id="rId19" Type="http://schemas.openxmlformats.org/officeDocument/2006/relationships/hyperlink" Target="https://doi.org/10.5465/amj.2009.0823" TargetMode="External"/><Relationship Id="rId4" Type="http://schemas.openxmlformats.org/officeDocument/2006/relationships/settings" Target="settings.xml"/><Relationship Id="rId9" Type="http://schemas.openxmlformats.org/officeDocument/2006/relationships/hyperlink" Target="https://doi.org/10.1057/s41599-025-05623-z" TargetMode="External"/><Relationship Id="rId14" Type="http://schemas.openxmlformats.org/officeDocument/2006/relationships/hyperlink" Target="https://doi.org/10.1016/j.leaqua.2011.07.018"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52A89B-2516-49F7-9019-FB9BCF729A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4236</TotalTime>
  <Pages>17</Pages>
  <Words>6057</Words>
  <Characters>34527</Characters>
  <Application>Microsoft Office Word</Application>
  <DocSecurity>0</DocSecurity>
  <Lines>287</Lines>
  <Paragraphs>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40503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jeri derrick</dc:creator>
  <cp:keywords/>
  <dc:description/>
  <cp:lastModifiedBy>jeri derrick</cp:lastModifiedBy>
  <cp:revision>359</cp:revision>
  <dcterms:created xsi:type="dcterms:W3CDTF">2026-09-08T12:13:00Z</dcterms:created>
  <dcterms:modified xsi:type="dcterms:W3CDTF">2026-10-04T14:50:00Z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61a4f180-db35-483f-a5d9-6281ddb6fc5d</vt:lpwstr>
  </property>
</Properties>
</file>