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before="60"/>
      </w:pPr>
      <w:r>
        <w:t xml:space="preserve"/>
      </w:r>
    </w:p>
    <w:p>
      <w:pPr>
        <w:spacing w:after="60" w:before="60"/>
      </w:pPr>
      <w:r>
        <w:t xml:space="preserve"/>
      </w:r>
    </w:p>
    <w:p>
      <w:pPr>
        <w:spacing w:after="60" w:before="60"/>
      </w:pPr>
      <w:r>
        <w:t xml:space="preserve"/>
      </w:r>
    </w:p>
    <w:p>
      <w:pPr>
        <w:spacing w:after="200" w:before="0"/>
        <w:jc w:val="center"/>
      </w:pPr>
      <w:r>
        <w:rPr>
          <w:rFonts w:ascii="Arial" w:cs="Arial" w:eastAsia="Arial" w:hAnsi="Arial"/>
          <w:color w:val="666666"/>
          <w:sz w:val="24"/>
          <w:szCs w:val="24"/>
        </w:rPr>
        <w:t xml:space="preserve">BSc Applied Computing</w:t>
      </w:r>
    </w:p>
    <w:p>
      <w:pPr>
        <w:spacing w:after="80" w:before="0"/>
        <w:jc w:val="center"/>
      </w:pPr>
      <w:r>
        <w:rPr>
          <w:rFonts w:ascii="Arial" w:cs="Arial" w:eastAsia="Arial" w:hAnsi="Arial"/>
          <w:color w:val="666666"/>
          <w:sz w:val="22"/>
          <w:szCs w:val="22"/>
        </w:rPr>
        <w:t xml:space="preserve">Independent Project - ACCA6020</w:t>
      </w:r>
    </w:p>
    <w:p>
      <w:pPr>
        <w:spacing w:after="60" w:before="60"/>
      </w:pPr>
      <w:r>
        <w:t xml:space="preserve"/>
      </w:r>
    </w:p>
    <w:p>
      <w:pPr>
        <w:pBdr>
          <w:top w:val="single" w:color="4472C4" w:sz="8" w:space="4"/>
          <w:bottom w:val="single" w:color="4472C4" w:sz="8" w:space="4"/>
        </w:pBdr>
        <w:spacing w:after="200" w:before="200"/>
        <w:jc w:val="center"/>
      </w:pPr>
      <w:r>
        <w:rPr>
          <w:rFonts w:ascii="Arial" w:cs="Arial" w:eastAsia="Arial" w:hAnsi="Arial"/>
          <w:b/>
          <w:bCs/>
          <w:color w:val="1F3864"/>
          <w:sz w:val="34"/>
          <w:szCs w:val="34"/>
        </w:rPr>
        <w:t xml:space="preserve">Design and Development of an Explainable Multi-Layer Browser Extension for Real-Time Website Trust Assessment and Fraud Detection</w:t>
      </w:r>
    </w:p>
    <w:p>
      <w:pPr>
        <w:spacing w:after="60" w:before="60"/>
      </w:pPr>
      <w:r>
        <w:t xml:space="preserve"/>
      </w:r>
    </w:p>
    <w:p>
      <w:pPr>
        <w:spacing w:after="60" w:before="60"/>
      </w:pPr>
      <w:r>
        <w:t xml:space="preserve"/>
      </w:r>
    </w:p>
    <w:p>
      <w:pPr>
        <w:spacing w:after="40" w:before="80"/>
        <w:jc w:val="center"/>
      </w:pPr>
      <w:r>
        <w:rPr>
          <w:rFonts w:ascii="Arial" w:cs="Arial" w:eastAsia="Arial" w:hAnsi="Arial"/>
          <w:color w:val="444444"/>
          <w:sz w:val="22"/>
          <w:szCs w:val="22"/>
        </w:rPr>
        <w:t xml:space="preserve">Research Proposal - Component 1</w:t>
      </w:r>
    </w:p>
    <w:p>
      <w:pPr>
        <w:spacing w:after="40" w:before="40"/>
        <w:jc w:val="center"/>
      </w:pPr>
      <w:r>
        <w:rPr>
          <w:rFonts w:ascii="Arial" w:cs="Arial" w:eastAsia="Arial" w:hAnsi="Arial"/>
          <w:b/>
          <w:bCs/>
          <w:sz w:val="24"/>
          <w:szCs w:val="24"/>
        </w:rPr>
        <w:t xml:space="preserve">Mirela Gerasimova Balabanova-Kehayova</w:t>
      </w:r>
    </w:p>
    <w:p>
      <w:pPr>
        <w:spacing w:after="60" w:before="60"/>
      </w:pPr>
      <w:r>
        <w:t xml:space="preserve"/>
      </w:r>
    </w:p>
    <w:p>
      <w:pPr>
        <w:spacing w:after="40" w:before="40"/>
        <w:jc w:val="center"/>
      </w:pPr>
      <w:r>
        <w:rPr>
          <w:rFonts w:ascii="Arial" w:cs="Arial" w:eastAsia="Arial" w:hAnsi="Arial"/>
          <w:sz w:val="22"/>
          <w:szCs w:val="22"/>
        </w:rPr>
        <w:t xml:space="preserve">Module Lecturer: Renuga Jayakumar</w:t>
      </w:r>
    </w:p>
    <w:p>
      <w:pPr>
        <w:spacing w:after="40" w:before="40"/>
        <w:jc w:val="center"/>
      </w:pPr>
      <w:r>
        <w:rPr>
          <w:rFonts w:ascii="Arial" w:cs="Arial" w:eastAsia="Arial" w:hAnsi="Arial"/>
          <w:sz w:val="22"/>
          <w:szCs w:val="22"/>
        </w:rPr>
        <w:t xml:space="preserve">Internal Verifier: Gaynor Thomas</w:t>
      </w:r>
    </w:p>
    <w:p>
      <w:pPr>
        <w:spacing w:after="40" w:before="40"/>
        <w:jc w:val="center"/>
      </w:pPr>
      <w:r>
        <w:rPr>
          <w:rFonts w:ascii="Arial" w:cs="Arial" w:eastAsia="Arial" w:hAnsi="Arial"/>
          <w:sz w:val="22"/>
          <w:szCs w:val="22"/>
        </w:rPr>
        <w:t xml:space="preserve">Submission Deadline: Friday, Week 7 - 24 July 2026</w:t>
      </w:r>
    </w:p>
    <w:p>
      <w:pPr>
        <w:spacing w:after="60" w:before="60"/>
      </w:pPr>
      <w:r>
        <w:t xml:space="preserve"/>
      </w:r>
    </w:p>
    <w:p>
      <w:pPr>
        <w:spacing w:after="40" w:before="40"/>
        <w:jc w:val="center"/>
      </w:pPr>
      <w:r>
        <w:rPr>
          <w:rFonts w:ascii="Arial" w:cs="Arial" w:eastAsia="Arial" w:hAnsi="Arial"/>
          <w:color w:val="666666"/>
          <w:sz w:val="20"/>
          <w:szCs w:val="20"/>
        </w:rPr>
        <w:t xml:space="preserve">Word Count: ~1,500 words (excluding references and tables)</w:t>
      </w:r>
    </w:p>
    <w:p>
      <w:r>
        <w:br w:type="page"/>
      </w:r>
    </w:p>
    <w:p>
      <w:pPr>
        <w:pStyle w:val="Heading1"/>
        <w:spacing w:after="160" w:before="320"/>
      </w:pPr>
      <w:r>
        <w:rPr>
          <w:rFonts w:ascii="Arial" w:cs="Arial" w:eastAsia="Arial" w:hAnsi="Arial"/>
          <w:b/>
          <w:bCs/>
          <w:sz w:val="28"/>
          <w:szCs w:val="28"/>
        </w:rPr>
        <w:t xml:space="preserve">1. Introduction and Background</w:t>
      </w:r>
    </w:p>
    <w:p>
      <w:pPr>
        <w:pStyle w:val="Heading2"/>
        <w:spacing w:after="120" w:before="240"/>
      </w:pPr>
      <w:r>
        <w:rPr>
          <w:rFonts w:ascii="Arial" w:cs="Arial" w:eastAsia="Arial" w:hAnsi="Arial"/>
          <w:b/>
          <w:bCs/>
          <w:sz w:val="24"/>
          <w:szCs w:val="24"/>
        </w:rPr>
        <w:t xml:space="preserve">1.1 Research Context and Motivation</w:t>
      </w:r>
    </w:p>
    <w:p>
      <w:pPr>
        <w:spacing w:after="120" w:before="80"/>
        <w:jc w:val="both"/>
      </w:pPr>
      <w:r>
        <w:rPr>
          <w:rFonts w:ascii="Arial" w:cs="Arial" w:eastAsia="Arial" w:hAnsi="Arial"/>
          <w:sz w:val="22"/>
          <w:szCs w:val="22"/>
        </w:rPr>
        <w:t xml:space="preserve">The proliferation of malicious websites represents one of the most significant and growing cybersecurity challenges facing individuals and organisations globally. According to APWG monitoring data, nearly two million distinct phishing sites were identified over the course of 2023, and phishing was a contributing factor in more than a third of all publicly documented data breaches that year [1]. The European Union Agency for Cybersecurity (ENISA) identified web-based fraud, including counterfeit marketplaces and scam retail platforms, as among the top emerging threats in its 2024 Threat Landscape report [2]. Despite the scale and sophistication of these attacks, end users continue to depend largely on intuition when evaluating whether a website is trustworthy - a reliance that threat actors actively exploit through increasingly convincing interface mimicry.</w:t>
      </w:r>
    </w:p>
    <w:p>
      <w:pPr>
        <w:spacing w:after="120" w:before="80"/>
        <w:jc w:val="both"/>
      </w:pPr>
      <w:r>
        <w:rPr>
          <w:rFonts w:ascii="Arial" w:cs="Arial" w:eastAsia="Arial" w:hAnsi="Arial"/>
          <w:sz w:val="22"/>
          <w:szCs w:val="22"/>
        </w:rPr>
        <w:t xml:space="preserve">Widely used browser-level safeguards, including Google Safe Browsing and Microsoft SmartScreen, are built primarily around reactive, blacklist-driven detection [3], [4]. Oest et al. [5] demonstrated that phishing sites remain operational for a median of eleven hours before blacklist inclusion, creating a critical detection window during which users remain unprotected. Machine learning approaches have shown considerable promise in closing this gap: Vrbancic et al. [6] achieved F1-scores exceeding 0.97 on URL-based phishing classification using an ensemble of gradient-boosted trees, while Hannousse and Yahiouche [7] evaluated thirty-two feature types across multiple classifiers, concluding that hybrid feature sets combining lexical, host-based, and content signals yield the strongest generalisation performance. More recently, Zeng et al. [8] demonstrated that deep learning models incorporating multi-feature fusion achieve superior detection rates against evasive phishing campaigns, reinforcing the case for a multi-layer analytical approach. Transformer-based approaches, including those evaluated by Abdelnabi et al. [9], further extend detection capability to visual and DOM-level cues, underscoring the trajectory towards multi-modal analysis.</w:t>
      </w:r>
    </w:p>
    <w:p>
      <w:pPr>
        <w:pStyle w:val="Heading2"/>
        <w:spacing w:after="120" w:before="240"/>
      </w:pPr>
      <w:r>
        <w:rPr>
          <w:rFonts w:ascii="Arial" w:cs="Arial" w:eastAsia="Arial" w:hAnsi="Arial"/>
          <w:b/>
          <w:bCs/>
          <w:sz w:val="24"/>
          <w:szCs w:val="24"/>
        </w:rPr>
        <w:t xml:space="preserve">1.2 Research Gap</w:t>
      </w:r>
    </w:p>
    <w:p>
      <w:pPr>
        <w:spacing w:after="120" w:before="80"/>
        <w:jc w:val="both"/>
      </w:pPr>
      <w:r>
        <w:rPr>
          <w:rFonts w:ascii="Arial" w:cs="Arial" w:eastAsia="Arial" w:hAnsi="Arial"/>
          <w:sz w:val="22"/>
          <w:szCs w:val="22"/>
        </w:rPr>
        <w:t xml:space="preserve">Despite substantial individual advances in URL-based phishing detection and threat intelligence aggregation, the existing literature reveals a consistent architectural gap: no currently deployed or evaluated system integrates both capabilities within a single, real-time, browser-native pipeline. Blacklist-dependent tools lack proactive detection, and standalone ML classifiers are not connected to live threat intelligence. Furthermore, most published systems lack an explainability layer, making it impossible for users to understand or interrogate the basis of a risk assessment. This project directly addresses these combined limitations by proposing a unified, explainable, multi-layer trust assessment extension that operates at the browser level in real time.</w:t>
      </w:r>
    </w:p>
    <w:p>
      <w:pPr>
        <w:spacing w:after="120" w:before="80"/>
        <w:jc w:val="both"/>
      </w:pPr>
      <w:r>
        <w:rPr>
          <w:rFonts w:ascii="Arial" w:cs="Arial" w:eastAsia="Arial" w:hAnsi="Arial"/>
          <w:sz w:val="22"/>
          <w:szCs w:val="22"/>
        </w:rPr>
        <w:t xml:space="preserve">Several alternative approaches were considered before adopting this design. A single deep-learning classifier operating on URL features alone, as demonstrated by Zaimi et al. [10] using permutation importance and SMOTE-Tomek balancing, achieves strong lexical-feature performance but provides no live threat-intelligence coverage for newly registered domains. Metaheuristic-optimised single classifiers, such as the PSO-optimised XGBoost model of Sheikhi and Kostakos [11], report high accuracy on static benchmark datasets but do not address real-time browser integration or explainability. Existing browser-extension implementations, including NoPhish [12] and the extension proposed by Wu et al. [13], demonstrate the feasibility of client-side ML-based detection but rely on a single classifier without fusing external threat-intelligence signals or an explainability layer. Rather than adopting any single one of these approaches, this project combines complementary signal sources (URL/domain features, aggregated threat intelligence, and ensemble ML classification) with SHAP-based explainability, directly addressing the limitations identified across the alternatives above.</w:t>
      </w:r>
    </w:p>
    <w:p>
      <w:pPr>
        <w:pStyle w:val="Heading2"/>
        <w:spacing w:after="120" w:before="240"/>
      </w:pPr>
      <w:r>
        <w:rPr>
          <w:rFonts w:ascii="Arial" w:cs="Arial" w:eastAsia="Arial" w:hAnsi="Arial"/>
          <w:b/>
          <w:bCs/>
          <w:sz w:val="24"/>
          <w:szCs w:val="24"/>
        </w:rPr>
        <w:t xml:space="preserve">1.3 Aim and Objectives</w:t>
      </w:r>
    </w:p>
    <w:p>
      <w:pPr>
        <w:spacing w:after="120" w:before="80"/>
        <w:jc w:val="both"/>
      </w:pPr>
      <w:r>
        <w:rPr>
          <w:rFonts w:ascii="Arial" w:cs="Arial" w:eastAsia="Arial" w:hAnsi="Arial"/>
          <w:b/>
          <w:bCs/>
          <w:sz w:val="22"/>
          <w:szCs w:val="22"/>
        </w:rPr>
        <w:t xml:space="preserve">Aim: </w:t>
      </w:r>
      <w:r>
        <w:rPr>
          <w:rFonts w:ascii="Arial" w:cs="Arial" w:eastAsia="Arial" w:hAnsi="Arial"/>
          <w:sz w:val="22"/>
          <w:szCs w:val="22"/>
        </w:rPr>
        <w:t xml:space="preserve">To design, develop, and evaluate an explainable multi-layer browser extension that integrates machine learning classification and threat intelligence APIs to provide users with real-time, interpretable risk scoring for visited websites.</w:t>
      </w:r>
    </w:p>
    <w:p>
      <w:pPr>
        <w:spacing w:after="60" w:before="60"/>
      </w:pPr>
      <w:r>
        <w:t xml:space="preserve"/>
      </w:r>
    </w:p>
    <w:p>
      <w:pPr>
        <w:spacing w:after="120" w:before="80"/>
        <w:jc w:val="both"/>
      </w:pPr>
      <w:r>
        <w:rPr>
          <w:rFonts w:ascii="Arial" w:cs="Arial" w:eastAsia="Arial" w:hAnsi="Arial"/>
          <w:sz w:val="22"/>
          <w:szCs w:val="22"/>
        </w:rPr>
        <w:t xml:space="preserve">The following SMART objectives structure the research:</w:t>
      </w:r>
    </w:p>
    <w:p>
      <w:pPr>
        <w:pStyle w:val="ListParagraph"/>
        <w:numPr>
          <w:ilvl w:val="0"/>
          <w:numId w:val="2"/>
        </w:numPr>
        <w:spacing w:after="60" w:before="40"/>
      </w:pPr>
      <w:r>
        <w:rPr>
          <w:rFonts w:ascii="Arial" w:cs="Arial" w:eastAsia="Arial" w:hAnsi="Arial"/>
          <w:sz w:val="22"/>
          <w:szCs w:val="22"/>
        </w:rPr>
        <w:t xml:space="preserve">O1 - To critically review literature pertaining to phishing detection methods, URL feature engineering, NLP-based fraud identification, and explainability in machine learning, synthesising at least fifteen peer-reviewed sources from 2020 onwards by the end of Week 4.</w:t>
      </w:r>
    </w:p>
    <w:p>
      <w:pPr>
        <w:pStyle w:val="ListParagraph"/>
        <w:numPr>
          <w:ilvl w:val="0"/>
          <w:numId w:val="2"/>
        </w:numPr>
        <w:spacing w:after="60" w:before="40"/>
      </w:pPr>
      <w:r>
        <w:rPr>
          <w:rFonts w:ascii="Arial" w:cs="Arial" w:eastAsia="Arial" w:hAnsi="Arial"/>
          <w:sz w:val="22"/>
          <w:szCs w:val="22"/>
        </w:rPr>
        <w:t xml:space="preserve">O2 - To design and implement a FastAPI backend capable of collecting and processing URL structural features, WHOIS records, SSL certificate data, and domain reputation signals, completing integration with Google Safe Browsing, VirusTotal, and PhishTank APIs by Week 12.</w:t>
      </w:r>
    </w:p>
    <w:p>
      <w:pPr>
        <w:pStyle w:val="ListParagraph"/>
        <w:numPr>
          <w:ilvl w:val="0"/>
          <w:numId w:val="2"/>
        </w:numPr>
        <w:spacing w:after="60" w:before="40"/>
      </w:pPr>
      <w:r>
        <w:rPr>
          <w:rFonts w:ascii="Arial" w:cs="Arial" w:eastAsia="Arial" w:hAnsi="Arial"/>
          <w:sz w:val="22"/>
          <w:szCs w:val="22"/>
        </w:rPr>
        <w:t xml:space="preserve">O3 - To train, validate, and benchmark three classification models - a Random Forest ensemble, an XGBoost gradient-boosting classifier, and a feedforward neural network - against a labelled phishing dataset of at least 10,000 instances, targeting an F1-score above 0.90 by Week 11.</w:t>
      </w:r>
    </w:p>
    <w:p>
      <w:pPr>
        <w:pStyle w:val="ListParagraph"/>
        <w:numPr>
          <w:ilvl w:val="0"/>
          <w:numId w:val="2"/>
        </w:numPr>
        <w:spacing w:after="60" w:before="40"/>
      </w:pPr>
      <w:r>
        <w:rPr>
          <w:rFonts w:ascii="Arial" w:cs="Arial" w:eastAsia="Arial" w:hAnsi="Arial"/>
          <w:sz w:val="22"/>
          <w:szCs w:val="22"/>
        </w:rPr>
        <w:t xml:space="preserve">O4 - To implement a Chrome extension that presents SHAP-informed risk scores, explainability outputs, and warning messages in real time, and to conduct a formative usability evaluation with at least ten participants by Week 16.</w:t>
      </w:r>
    </w:p>
    <w:p>
      <w:pPr>
        <w:pStyle w:val="Heading2"/>
        <w:spacing w:after="120" w:before="240"/>
      </w:pPr>
      <w:r>
        <w:rPr>
          <w:rFonts w:ascii="Arial" w:cs="Arial" w:eastAsia="Arial" w:hAnsi="Arial"/>
          <w:b/>
          <w:bCs/>
          <w:sz w:val="24"/>
          <w:szCs w:val="24"/>
        </w:rPr>
        <w:t xml:space="preserve">1.4 Expected Deliverables</w:t>
      </w:r>
    </w:p>
    <w:p>
      <w:pPr>
        <w:pStyle w:val="ListParagraph"/>
        <w:numPr>
          <w:ilvl w:val="0"/>
          <w:numId w:val="2"/>
        </w:numPr>
        <w:spacing w:after="60" w:before="40"/>
      </w:pPr>
      <w:r>
        <w:rPr>
          <w:rFonts w:ascii="Arial" w:cs="Arial" w:eastAsia="Arial" w:hAnsi="Arial"/>
          <w:sz w:val="22"/>
          <w:szCs w:val="22"/>
        </w:rPr>
        <w:t xml:space="preserve">A functional Chrome extension displaying real-time trust scores and SHAP-based explanatory risk warnings.</w:t>
      </w:r>
    </w:p>
    <w:p>
      <w:pPr>
        <w:pStyle w:val="ListParagraph"/>
        <w:numPr>
          <w:ilvl w:val="0"/>
          <w:numId w:val="2"/>
        </w:numPr>
        <w:spacing w:after="60" w:before="40"/>
      </w:pPr>
      <w:r>
        <w:rPr>
          <w:rFonts w:ascii="Arial" w:cs="Arial" w:eastAsia="Arial" w:hAnsi="Arial"/>
          <w:sz w:val="22"/>
          <w:szCs w:val="22"/>
        </w:rPr>
        <w:t xml:space="preserve">A documented FastAPI backend with modular analysis pipeline and REST API.</w:t>
      </w:r>
    </w:p>
    <w:p>
      <w:pPr>
        <w:pStyle w:val="ListParagraph"/>
        <w:numPr>
          <w:ilvl w:val="0"/>
          <w:numId w:val="2"/>
        </w:numPr>
        <w:spacing w:after="60" w:before="40"/>
      </w:pPr>
      <w:r>
        <w:rPr>
          <w:rFonts w:ascii="Arial" w:cs="Arial" w:eastAsia="Arial" w:hAnsi="Arial"/>
          <w:sz w:val="22"/>
          <w:szCs w:val="22"/>
        </w:rPr>
        <w:t xml:space="preserve">Three trained and benchmarked ML classification models with full evaluation metrics.</w:t>
      </w:r>
    </w:p>
    <w:p>
      <w:pPr>
        <w:pStyle w:val="ListParagraph"/>
        <w:numPr>
          <w:ilvl w:val="0"/>
          <w:numId w:val="2"/>
        </w:numPr>
        <w:spacing w:after="60" w:before="40"/>
      </w:pPr>
      <w:r>
        <w:rPr>
          <w:rFonts w:ascii="Arial" w:cs="Arial" w:eastAsia="Arial" w:hAnsi="Arial"/>
          <w:sz w:val="22"/>
          <w:szCs w:val="22"/>
        </w:rPr>
        <w:t xml:space="preserve">A final dissertation report including literature review, methodology, results, and critical evaluation.</w:t>
      </w:r>
    </w:p>
    <w:p>
      <w:pPr>
        <w:pStyle w:val="ListParagraph"/>
        <w:numPr>
          <w:ilvl w:val="0"/>
          <w:numId w:val="2"/>
        </w:numPr>
        <w:spacing w:after="60" w:before="40"/>
      </w:pPr>
      <w:r>
        <w:rPr>
          <w:rFonts w:ascii="Arial" w:cs="Arial" w:eastAsia="Arial" w:hAnsi="Arial"/>
          <w:sz w:val="22"/>
          <w:szCs w:val="22"/>
        </w:rPr>
        <w:t xml:space="preserve">An academic poster and live demonstration.</w:t>
      </w:r>
    </w:p>
    <w:p>
      <w:r>
        <w:br w:type="page"/>
      </w:r>
    </w:p>
    <w:p>
      <w:pPr>
        <w:pStyle w:val="Heading1"/>
        <w:spacing w:after="160" w:before="320"/>
      </w:pPr>
      <w:r>
        <w:rPr>
          <w:rFonts w:ascii="Arial" w:cs="Arial" w:eastAsia="Arial" w:hAnsi="Arial"/>
          <w:b/>
          <w:bCs/>
          <w:sz w:val="28"/>
          <w:szCs w:val="28"/>
        </w:rPr>
        <w:t xml:space="preserve">2. Project Design</w:t>
      </w:r>
    </w:p>
    <w:p>
      <w:pPr>
        <w:pStyle w:val="Heading2"/>
        <w:spacing w:after="120" w:before="240"/>
      </w:pPr>
      <w:r>
        <w:rPr>
          <w:rFonts w:ascii="Arial" w:cs="Arial" w:eastAsia="Arial" w:hAnsi="Arial"/>
          <w:b/>
          <w:bCs/>
          <w:sz w:val="24"/>
          <w:szCs w:val="24"/>
        </w:rPr>
        <w:t xml:space="preserve">2.1 System Architecture Overview</w:t>
      </w:r>
    </w:p>
    <w:p>
      <w:pPr>
        <w:spacing w:after="120" w:before="80"/>
        <w:jc w:val="both"/>
      </w:pPr>
      <w:r>
        <w:rPr>
          <w:rFonts w:ascii="Arial" w:cs="Arial" w:eastAsia="Arial" w:hAnsi="Arial"/>
          <w:sz w:val="22"/>
          <w:szCs w:val="22"/>
        </w:rPr>
        <w:t xml:space="preserve">This project adopts a pipeline-style architecture in which each component operates as an independent, verifiable stage rather than a fully trusted black box, in line with zero-trust design thinking [14]. A Chromium-based browser extension captures the URL of each visited page and transmits it via HTTPS to a FastAPI backend hosted within a Docker containerised environment. The backend coordinates three parallel analysis modules: (1) a URL and domain analysis module, (2) a threat intelligence aggregation module, and (3) a machine learning classification module. Outputs from all modules are passed to a risk-scoring engine that computes a normalised trust score between 0 and 100. The result, together with a SHAP-based explainability report, is returned to the extension and rendered in the browser interface within approximately two seconds.</w:t>
      </w:r>
    </w:p>
    <w:p>
      <w:pPr>
        <w:pStyle w:val="Heading2"/>
        <w:spacing w:after="120" w:before="240"/>
      </w:pPr>
      <w:r>
        <w:rPr>
          <w:rFonts w:ascii="Arial" w:cs="Arial" w:eastAsia="Arial" w:hAnsi="Arial"/>
          <w:b/>
          <w:bCs/>
          <w:sz w:val="24"/>
          <w:szCs w:val="24"/>
        </w:rPr>
        <w:t xml:space="preserve">2.2 Data Collection and Feature Engineering</w:t>
      </w:r>
    </w:p>
    <w:p>
      <w:pPr>
        <w:spacing w:after="120" w:before="80"/>
        <w:jc w:val="both"/>
      </w:pPr>
      <w:r>
        <w:rPr>
          <w:rFonts w:ascii="Arial" w:cs="Arial" w:eastAsia="Arial" w:hAnsi="Arial"/>
          <w:sz w:val="22"/>
          <w:szCs w:val="22"/>
        </w:rPr>
        <w:t xml:space="preserve">The URL and domain analysis module will extract the following features programmatically using Python libraries including tldextract, whois, and ssl: URL length, number of subdomains, presence of IP-based hostnames, use of URL shorteners, special character frequency, domain age, WHOIS registrar information, SSL certificate issuer and validity period, and domain popularity rank. These features are consistent with those identified as most discriminatory by Hannousse and Yahiouche [7] and Vrbancic et al. [6].</w:t>
      </w:r>
    </w:p>
    <w:p>
      <w:pPr>
        <w:spacing w:after="120" w:before="80"/>
        <w:jc w:val="both"/>
      </w:pPr>
      <w:r>
        <w:rPr>
          <w:rFonts w:ascii="Arial" w:cs="Arial" w:eastAsia="Arial" w:hAnsi="Arial"/>
          <w:sz w:val="22"/>
          <w:szCs w:val="22"/>
        </w:rPr>
        <w:t xml:space="preserve">To keep response times low, threat-intelligence data will be pulled concurrently from three separate services: Google's Safe Browsing Lookup API (v4), VirusTotal's URL-scanning endpoint, and PhishTank's community verification feed.</w:t>
      </w:r>
    </w:p>
    <w:p>
      <w:pPr>
        <w:pStyle w:val="Heading2"/>
        <w:spacing w:after="120" w:before="240"/>
      </w:pPr>
      <w:r>
        <w:rPr>
          <w:rFonts w:ascii="Arial" w:cs="Arial" w:eastAsia="Arial" w:hAnsi="Arial"/>
          <w:b/>
          <w:bCs/>
          <w:sz w:val="24"/>
          <w:szCs w:val="24"/>
        </w:rPr>
        <w:t xml:space="preserve">2.3 Machine Learning Methodology</w:t>
      </w:r>
    </w:p>
    <w:p>
      <w:pPr>
        <w:spacing w:after="120" w:before="80"/>
        <w:jc w:val="both"/>
      </w:pPr>
      <w:r>
        <w:rPr>
          <w:rFonts w:ascii="Arial" w:cs="Arial" w:eastAsia="Arial" w:hAnsi="Arial"/>
          <w:sz w:val="22"/>
          <w:szCs w:val="22"/>
        </w:rPr>
        <w:t xml:space="preserve">Model development will centre on three classifiers: a Random Forest ensemble, an XGBoost gradient-boosting model, and a compact feedforward neural network built using TensorFlow/Keras. Training data will be drawn from the PhishTank public archive and publicly available URL feature datasets, supplemented with benign URLs from established web crawls. Data will be partitioned into three subsets - 70% for training, with the remaining 30% divided evenly between validation and testing. To counter the class skew typical of phishing datasets, the training process will use k-fold cross-validation (k=5) with stratified sampling across folds. Rather than relying on accuracy alone, several angles of model quality will be checked: how many flagged sites are genuinely malicious (precision), how many real threats get caught (recall), their harmonic balance (F1-score), and overall separability between classes (AUC-ROC). An explainability layer using SHAP (SHapley Additive exPlanations) values will be integrated to surface the top contributing features for each prediction, satisfying the broader requirement for transparent and accountable AI systems articulated by Arrieta et al. [16] and operationalised here via Lundberg and Lee [15].</w:t>
      </w:r>
    </w:p>
    <w:p>
      <w:pPr>
        <w:pStyle w:val="Heading2"/>
        <w:spacing w:after="120" w:before="240"/>
      </w:pPr>
      <w:r>
        <w:rPr>
          <w:rFonts w:ascii="Arial" w:cs="Arial" w:eastAsia="Arial" w:hAnsi="Arial"/>
          <w:b/>
          <w:bCs/>
          <w:sz w:val="24"/>
          <w:szCs w:val="24"/>
        </w:rPr>
        <w:t xml:space="preserve">2.4 Ethical, Legal, and Risk Considerations</w:t>
      </w:r>
    </w:p>
    <w:p>
      <w:pPr>
        <w:spacing w:after="60" w:before="60"/>
      </w:pPr>
      <w: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200"/>
        <w:gridCol w:w="5000"/>
        <w:gridCol w:w="1826"/>
      </w:tblGrid>
      <w:tr>
        <w:tc>
          <w:tcPr>
            <w:tcW w:type="dxa" w:w="2200"/>
            <w:tcBorders>
              <w:top w:val="single" w:color="CCCCCC" w:sz="1"/>
              <w:left w:val="single" w:color="CCCCCC" w:sz="1"/>
              <w:bottom w:val="single" w:color="CCCCCC" w:sz="1"/>
              <w:right w:val="single" w:color="CCCCCC" w:sz="1"/>
            </w:tcBorders>
            <w:shd w:fill="1F3864" w:val="clear"/>
            <w:tcMar>
              <w:top w:type="dxa" w:w="60"/>
              <w:left w:type="dxa" w:w="100"/>
              <w:bottom w:type="dxa" w:w="60"/>
              <w:right w:type="dxa" w:w="60"/>
            </w:tcMar>
          </w:tcPr>
          <w:p>
            <w:r>
              <w:rPr>
                <w:rFonts w:ascii="Arial" w:cs="Arial" w:eastAsia="Arial" w:hAnsi="Arial"/>
                <w:b/>
                <w:bCs/>
                <w:color w:val="FFFFFF"/>
                <w:sz w:val="18"/>
                <w:szCs w:val="18"/>
              </w:rPr>
              <w:t xml:space="preserve">Ethical Issue</w:t>
            </w:r>
          </w:p>
        </w:tc>
        <w:tc>
          <w:tcPr>
            <w:tcW w:type="dxa" w:w="5000"/>
            <w:tcBorders>
              <w:top w:val="single" w:color="CCCCCC" w:sz="1"/>
              <w:left w:val="single" w:color="CCCCCC" w:sz="1"/>
              <w:bottom w:val="single" w:color="CCCCCC" w:sz="1"/>
              <w:right w:val="single" w:color="CCCCCC" w:sz="1"/>
            </w:tcBorders>
            <w:shd w:fill="1F3864" w:val="clear"/>
            <w:tcMar>
              <w:top w:type="dxa" w:w="60"/>
              <w:left w:type="dxa" w:w="100"/>
              <w:bottom w:type="dxa" w:w="60"/>
              <w:right w:type="dxa" w:w="60"/>
            </w:tcMar>
          </w:tcPr>
          <w:p>
            <w:r>
              <w:rPr>
                <w:rFonts w:ascii="Arial" w:cs="Arial" w:eastAsia="Arial" w:hAnsi="Arial"/>
                <w:b/>
                <w:bCs/>
                <w:color w:val="FFFFFF"/>
                <w:sz w:val="18"/>
                <w:szCs w:val="18"/>
              </w:rPr>
              <w:t xml:space="preserve">Mitigation Strategy</w:t>
            </w:r>
          </w:p>
        </w:tc>
        <w:tc>
          <w:tcPr>
            <w:tcW w:type="dxa" w:w="1826"/>
            <w:tcBorders>
              <w:top w:val="single" w:color="CCCCCC" w:sz="1"/>
              <w:left w:val="single" w:color="CCCCCC" w:sz="1"/>
              <w:bottom w:val="single" w:color="CCCCCC" w:sz="1"/>
              <w:right w:val="single" w:color="CCCCCC" w:sz="1"/>
            </w:tcBorders>
            <w:shd w:fill="1F3864" w:val="clear"/>
            <w:tcMar>
              <w:top w:type="dxa" w:w="60"/>
              <w:left w:type="dxa" w:w="100"/>
              <w:bottom w:type="dxa" w:w="60"/>
              <w:right w:type="dxa" w:w="60"/>
            </w:tcMar>
          </w:tcPr>
          <w:p>
            <w:r>
              <w:rPr>
                <w:rFonts w:ascii="Arial" w:cs="Arial" w:eastAsia="Arial" w:hAnsi="Arial"/>
                <w:b/>
                <w:bCs/>
                <w:color w:val="FFFFFF"/>
                <w:sz w:val="18"/>
                <w:szCs w:val="18"/>
              </w:rPr>
              <w:t xml:space="preserve">Risk Level</w:t>
            </w:r>
          </w:p>
        </w:tc>
      </w:tr>
      <w:tr>
        <w:tc>
          <w:tcPr>
            <w:tcW w:type="dxa" w:w="2200"/>
            <w:tcBorders>
              <w:top w:val="single" w:color="CCCCCC" w:sz="1"/>
              <w:left w:val="single" w:color="CCCCCC" w:sz="1"/>
              <w:bottom w:val="single" w:color="CCCCCC" w:sz="1"/>
              <w:right w:val="single" w:color="CCCCCC" w:sz="1"/>
            </w:tcBorders>
            <w:tcMar>
              <w:top w:type="dxa" w:w="60"/>
              <w:left w:type="dxa" w:w="100"/>
              <w:bottom w:type="dxa" w:w="60"/>
              <w:right w:type="dxa" w:w="60"/>
            </w:tcMar>
          </w:tcPr>
          <w:p>
            <w:r>
              <w:rPr>
                <w:rFonts w:ascii="Arial" w:cs="Arial" w:eastAsia="Arial" w:hAnsi="Arial"/>
                <w:b/>
                <w:bCs/>
                <w:sz w:val="18"/>
                <w:szCs w:val="18"/>
              </w:rPr>
              <w:t xml:space="preserve">URL Processing</w:t>
            </w:r>
          </w:p>
        </w:tc>
        <w:tc>
          <w:tcPr>
            <w:tcW w:type="dxa" w:w="5000"/>
            <w:tcBorders>
              <w:top w:val="single" w:color="CCCCCC" w:sz="1"/>
              <w:left w:val="single" w:color="CCCCCC" w:sz="1"/>
              <w:bottom w:val="single" w:color="CCCCCC" w:sz="1"/>
              <w:right w:val="single" w:color="CCCCCC" w:sz="1"/>
            </w:tcBorders>
            <w:tcMar>
              <w:top w:type="dxa" w:w="60"/>
              <w:left w:type="dxa" w:w="100"/>
              <w:bottom w:type="dxa" w:w="60"/>
              <w:right w:type="dxa" w:w="60"/>
            </w:tcMar>
          </w:tcPr>
          <w:p>
            <w:r>
              <w:rPr>
                <w:rFonts w:ascii="Arial" w:cs="Arial" w:eastAsia="Arial" w:hAnsi="Arial"/>
                <w:sz w:val="18"/>
                <w:szCs w:val="18"/>
              </w:rPr>
              <w:t xml:space="preserve">URLs may contain user-identifiable browsing patterns. Only anonymised URL strings will be processed; no personal data will be stored or transmitted.</w:t>
            </w:r>
          </w:p>
        </w:tc>
        <w:tc>
          <w:tcPr>
            <w:tcW w:type="dxa" w:w="1826"/>
            <w:tcBorders>
              <w:top w:val="single" w:color="CCCCCC" w:sz="1"/>
              <w:left w:val="single" w:color="CCCCCC" w:sz="1"/>
              <w:bottom w:val="single" w:color="CCCCCC" w:sz="1"/>
              <w:right w:val="single" w:color="CCCCCC" w:sz="1"/>
            </w:tcBorders>
            <w:shd w:fill="FCE4D6" w:val="clear"/>
            <w:tcMar>
              <w:top w:type="dxa" w:w="60"/>
              <w:left w:type="dxa" w:w="100"/>
              <w:bottom w:type="dxa" w:w="60"/>
              <w:right w:type="dxa" w:w="60"/>
            </w:tcMar>
          </w:tcPr>
          <w:p>
            <w:pPr>
              <w:jc w:val="center"/>
            </w:pPr>
            <w:r>
              <w:rPr>
                <w:rFonts w:ascii="Arial" w:cs="Arial" w:eastAsia="Arial" w:hAnsi="Arial"/>
                <w:b/>
                <w:bCs/>
                <w:color w:val="ED7D31"/>
                <w:sz w:val="18"/>
                <w:szCs w:val="18"/>
              </w:rPr>
              <w:t xml:space="preserve">Medium</w:t>
            </w:r>
          </w:p>
        </w:tc>
      </w:tr>
      <w:tr>
        <w:tc>
          <w:tcPr>
            <w:tcW w:type="dxa" w:w="2200"/>
            <w:tcBorders>
              <w:top w:val="single" w:color="CCCCCC" w:sz="1"/>
              <w:left w:val="single" w:color="CCCCCC" w:sz="1"/>
              <w:bottom w:val="single" w:color="CCCCCC" w:sz="1"/>
              <w:right w:val="single" w:color="CCCCCC" w:sz="1"/>
            </w:tcBorders>
            <w:tcMar>
              <w:top w:type="dxa" w:w="60"/>
              <w:left w:type="dxa" w:w="100"/>
              <w:bottom w:type="dxa" w:w="60"/>
              <w:right w:type="dxa" w:w="60"/>
            </w:tcMar>
          </w:tcPr>
          <w:p>
            <w:r>
              <w:rPr>
                <w:rFonts w:ascii="Arial" w:cs="Arial" w:eastAsia="Arial" w:hAnsi="Arial"/>
                <w:b/>
                <w:bCs/>
                <w:sz w:val="18"/>
                <w:szCs w:val="18"/>
              </w:rPr>
              <w:t xml:space="preserve">Third-Party APIs</w:t>
            </w:r>
          </w:p>
        </w:tc>
        <w:tc>
          <w:tcPr>
            <w:tcW w:type="dxa" w:w="5000"/>
            <w:tcBorders>
              <w:top w:val="single" w:color="CCCCCC" w:sz="1"/>
              <w:left w:val="single" w:color="CCCCCC" w:sz="1"/>
              <w:bottom w:val="single" w:color="CCCCCC" w:sz="1"/>
              <w:right w:val="single" w:color="CCCCCC" w:sz="1"/>
            </w:tcBorders>
            <w:tcMar>
              <w:top w:type="dxa" w:w="60"/>
              <w:left w:type="dxa" w:w="100"/>
              <w:bottom w:type="dxa" w:w="60"/>
              <w:right w:type="dxa" w:w="60"/>
            </w:tcMar>
          </w:tcPr>
          <w:p>
            <w:r>
              <w:rPr>
                <w:rFonts w:ascii="Arial" w:cs="Arial" w:eastAsia="Arial" w:hAnsi="Arial"/>
                <w:sz w:val="18"/>
                <w:szCs w:val="18"/>
              </w:rPr>
              <w:t xml:space="preserve">Use of VirusTotal, Google Safe Browsing, and PhishTank APIs requires compliance with their respective terms of service and data retention policies.</w:t>
            </w:r>
          </w:p>
        </w:tc>
        <w:tc>
          <w:tcPr>
            <w:tcW w:type="dxa" w:w="1826"/>
            <w:tcBorders>
              <w:top w:val="single" w:color="CCCCCC" w:sz="1"/>
              <w:left w:val="single" w:color="CCCCCC" w:sz="1"/>
              <w:bottom w:val="single" w:color="CCCCCC" w:sz="1"/>
              <w:right w:val="single" w:color="CCCCCC" w:sz="1"/>
            </w:tcBorders>
            <w:shd w:fill="E2EFDA" w:val="clear"/>
            <w:tcMar>
              <w:top w:type="dxa" w:w="60"/>
              <w:left w:type="dxa" w:w="100"/>
              <w:bottom w:type="dxa" w:w="60"/>
              <w:right w:type="dxa" w:w="60"/>
            </w:tcMar>
          </w:tcPr>
          <w:p>
            <w:pPr>
              <w:jc w:val="center"/>
            </w:pPr>
            <w:r>
              <w:rPr>
                <w:rFonts w:ascii="Arial" w:cs="Arial" w:eastAsia="Arial" w:hAnsi="Arial"/>
                <w:b/>
                <w:bCs/>
                <w:color w:val="70AD47"/>
                <w:sz w:val="18"/>
                <w:szCs w:val="18"/>
              </w:rPr>
              <w:t xml:space="preserve">Low</w:t>
            </w:r>
          </w:p>
        </w:tc>
      </w:tr>
      <w:tr>
        <w:tc>
          <w:tcPr>
            <w:tcW w:type="dxa" w:w="2200"/>
            <w:tcBorders>
              <w:top w:val="single" w:color="CCCCCC" w:sz="1"/>
              <w:left w:val="single" w:color="CCCCCC" w:sz="1"/>
              <w:bottom w:val="single" w:color="CCCCCC" w:sz="1"/>
              <w:right w:val="single" w:color="CCCCCC" w:sz="1"/>
            </w:tcBorders>
            <w:tcMar>
              <w:top w:type="dxa" w:w="60"/>
              <w:left w:type="dxa" w:w="100"/>
              <w:bottom w:type="dxa" w:w="60"/>
              <w:right w:type="dxa" w:w="60"/>
            </w:tcMar>
          </w:tcPr>
          <w:p>
            <w:r>
              <w:rPr>
                <w:rFonts w:ascii="Arial" w:cs="Arial" w:eastAsia="Arial" w:hAnsi="Arial"/>
                <w:b/>
                <w:bCs/>
                <w:sz w:val="18"/>
                <w:szCs w:val="18"/>
              </w:rPr>
              <w:t xml:space="preserve">Dataset Bias</w:t>
            </w:r>
          </w:p>
        </w:tc>
        <w:tc>
          <w:tcPr>
            <w:tcW w:type="dxa" w:w="5000"/>
            <w:tcBorders>
              <w:top w:val="single" w:color="CCCCCC" w:sz="1"/>
              <w:left w:val="single" w:color="CCCCCC" w:sz="1"/>
              <w:bottom w:val="single" w:color="CCCCCC" w:sz="1"/>
              <w:right w:val="single" w:color="CCCCCC" w:sz="1"/>
            </w:tcBorders>
            <w:tcMar>
              <w:top w:type="dxa" w:w="60"/>
              <w:left w:type="dxa" w:w="100"/>
              <w:bottom w:type="dxa" w:w="60"/>
              <w:right w:type="dxa" w:w="60"/>
            </w:tcMar>
          </w:tcPr>
          <w:p>
            <w:r>
              <w:rPr>
                <w:rFonts w:ascii="Arial" w:cs="Arial" w:eastAsia="Arial" w:hAnsi="Arial"/>
                <w:sz w:val="18"/>
                <w:szCs w:val="18"/>
              </w:rPr>
              <w:t xml:space="preserve">Training datasets sourced from public repositories may contain temporal or demographic biases affecting model generalisation. This will be addressed through temporal drift analysis.</w:t>
            </w:r>
          </w:p>
        </w:tc>
        <w:tc>
          <w:tcPr>
            <w:tcW w:type="dxa" w:w="1826"/>
            <w:tcBorders>
              <w:top w:val="single" w:color="CCCCCC" w:sz="1"/>
              <w:left w:val="single" w:color="CCCCCC" w:sz="1"/>
              <w:bottom w:val="single" w:color="CCCCCC" w:sz="1"/>
              <w:right w:val="single" w:color="CCCCCC" w:sz="1"/>
            </w:tcBorders>
            <w:shd w:fill="FCE4D6" w:val="clear"/>
            <w:tcMar>
              <w:top w:type="dxa" w:w="60"/>
              <w:left w:type="dxa" w:w="100"/>
              <w:bottom w:type="dxa" w:w="60"/>
              <w:right w:type="dxa" w:w="60"/>
            </w:tcMar>
          </w:tcPr>
          <w:p>
            <w:pPr>
              <w:jc w:val="center"/>
            </w:pPr>
            <w:r>
              <w:rPr>
                <w:rFonts w:ascii="Arial" w:cs="Arial" w:eastAsia="Arial" w:hAnsi="Arial"/>
                <w:b/>
                <w:bCs/>
                <w:color w:val="ED7D31"/>
                <w:sz w:val="18"/>
                <w:szCs w:val="18"/>
              </w:rPr>
              <w:t xml:space="preserve">Medium</w:t>
            </w:r>
          </w:p>
        </w:tc>
      </w:tr>
      <w:tr>
        <w:tc>
          <w:tcPr>
            <w:tcW w:type="dxa" w:w="2200"/>
            <w:tcBorders>
              <w:top w:val="single" w:color="CCCCCC" w:sz="1"/>
              <w:left w:val="single" w:color="CCCCCC" w:sz="1"/>
              <w:bottom w:val="single" w:color="CCCCCC" w:sz="1"/>
              <w:right w:val="single" w:color="CCCCCC" w:sz="1"/>
            </w:tcBorders>
            <w:tcMar>
              <w:top w:type="dxa" w:w="60"/>
              <w:left w:type="dxa" w:w="100"/>
              <w:bottom w:type="dxa" w:w="60"/>
              <w:right w:type="dxa" w:w="60"/>
            </w:tcMar>
          </w:tcPr>
          <w:p>
            <w:r>
              <w:rPr>
                <w:rFonts w:ascii="Arial" w:cs="Arial" w:eastAsia="Arial" w:hAnsi="Arial"/>
                <w:b/>
                <w:bCs/>
                <w:sz w:val="18"/>
                <w:szCs w:val="18"/>
              </w:rPr>
              <w:t xml:space="preserve">False Positives</w:t>
            </w:r>
          </w:p>
        </w:tc>
        <w:tc>
          <w:tcPr>
            <w:tcW w:type="dxa" w:w="5000"/>
            <w:tcBorders>
              <w:top w:val="single" w:color="CCCCCC" w:sz="1"/>
              <w:left w:val="single" w:color="CCCCCC" w:sz="1"/>
              <w:bottom w:val="single" w:color="CCCCCC" w:sz="1"/>
              <w:right w:val="single" w:color="CCCCCC" w:sz="1"/>
            </w:tcBorders>
            <w:tcMar>
              <w:top w:type="dxa" w:w="60"/>
              <w:left w:type="dxa" w:w="100"/>
              <w:bottom w:type="dxa" w:w="60"/>
              <w:right w:type="dxa" w:w="60"/>
            </w:tcMar>
          </w:tcPr>
          <w:p>
            <w:r>
              <w:rPr>
                <w:rFonts w:ascii="Arial" w:cs="Arial" w:eastAsia="Arial" w:hAnsi="Arial"/>
                <w:sz w:val="18"/>
                <w:szCs w:val="18"/>
              </w:rPr>
              <w:t xml:space="preserve">Incorrectly classifying a legitimate site as malicious could cause user harm. Confidence thresholds and SHAP explainability outputs will be applied to mitigate this risk.</w:t>
            </w:r>
          </w:p>
        </w:tc>
        <w:tc>
          <w:tcPr>
            <w:tcW w:type="dxa" w:w="1826"/>
            <w:tcBorders>
              <w:top w:val="single" w:color="CCCCCC" w:sz="1"/>
              <w:left w:val="single" w:color="CCCCCC" w:sz="1"/>
              <w:bottom w:val="single" w:color="CCCCCC" w:sz="1"/>
              <w:right w:val="single" w:color="CCCCCC" w:sz="1"/>
            </w:tcBorders>
            <w:shd w:fill="FCE4D6" w:val="clear"/>
            <w:tcMar>
              <w:top w:type="dxa" w:w="60"/>
              <w:left w:type="dxa" w:w="100"/>
              <w:bottom w:type="dxa" w:w="60"/>
              <w:right w:type="dxa" w:w="60"/>
            </w:tcMar>
          </w:tcPr>
          <w:p>
            <w:pPr>
              <w:jc w:val="center"/>
            </w:pPr>
            <w:r>
              <w:rPr>
                <w:rFonts w:ascii="Arial" w:cs="Arial" w:eastAsia="Arial" w:hAnsi="Arial"/>
                <w:b/>
                <w:bCs/>
                <w:color w:val="ED7D31"/>
                <w:sz w:val="18"/>
                <w:szCs w:val="18"/>
              </w:rPr>
              <w:t xml:space="preserve">Medium</w:t>
            </w:r>
          </w:p>
        </w:tc>
      </w:tr>
      <w:tr>
        <w:tc>
          <w:tcPr>
            <w:tcW w:type="dxa" w:w="2200"/>
            <w:tcBorders>
              <w:top w:val="single" w:color="CCCCCC" w:sz="1"/>
              <w:left w:val="single" w:color="CCCCCC" w:sz="1"/>
              <w:bottom w:val="single" w:color="CCCCCC" w:sz="1"/>
              <w:right w:val="single" w:color="CCCCCC" w:sz="1"/>
            </w:tcBorders>
            <w:tcMar>
              <w:top w:type="dxa" w:w="60"/>
              <w:left w:type="dxa" w:w="100"/>
              <w:bottom w:type="dxa" w:w="60"/>
              <w:right w:type="dxa" w:w="60"/>
            </w:tcMar>
          </w:tcPr>
          <w:p>
            <w:r>
              <w:rPr>
                <w:rFonts w:ascii="Arial" w:cs="Arial" w:eastAsia="Arial" w:hAnsi="Arial"/>
                <w:b/>
                <w:bCs/>
                <w:sz w:val="18"/>
                <w:szCs w:val="18"/>
              </w:rPr>
              <w:t xml:space="preserve">GDPR Compliance</w:t>
            </w:r>
          </w:p>
        </w:tc>
        <w:tc>
          <w:tcPr>
            <w:tcW w:type="dxa" w:w="5000"/>
            <w:tcBorders>
              <w:top w:val="single" w:color="CCCCCC" w:sz="1"/>
              <w:left w:val="single" w:color="CCCCCC" w:sz="1"/>
              <w:bottom w:val="single" w:color="CCCCCC" w:sz="1"/>
              <w:right w:val="single" w:color="CCCCCC" w:sz="1"/>
            </w:tcBorders>
            <w:tcMar>
              <w:top w:type="dxa" w:w="60"/>
              <w:left w:type="dxa" w:w="100"/>
              <w:bottom w:type="dxa" w:w="60"/>
              <w:right w:type="dxa" w:w="60"/>
            </w:tcMar>
          </w:tcPr>
          <w:p>
            <w:r>
              <w:rPr>
                <w:rFonts w:ascii="Arial" w:cs="Arial" w:eastAsia="Arial" w:hAnsi="Arial"/>
                <w:sz w:val="18"/>
                <w:szCs w:val="18"/>
              </w:rPr>
              <w:t xml:space="preserve">The system will not collect, store, or process any personally identifiable information. No user tracking or session logging will be performed.</w:t>
            </w:r>
          </w:p>
        </w:tc>
        <w:tc>
          <w:tcPr>
            <w:tcW w:type="dxa" w:w="1826"/>
            <w:tcBorders>
              <w:top w:val="single" w:color="CCCCCC" w:sz="1"/>
              <w:left w:val="single" w:color="CCCCCC" w:sz="1"/>
              <w:bottom w:val="single" w:color="CCCCCC" w:sz="1"/>
              <w:right w:val="single" w:color="CCCCCC" w:sz="1"/>
            </w:tcBorders>
            <w:shd w:fill="E2EFDA" w:val="clear"/>
            <w:tcMar>
              <w:top w:type="dxa" w:w="60"/>
              <w:left w:type="dxa" w:w="100"/>
              <w:bottom w:type="dxa" w:w="60"/>
              <w:right w:type="dxa" w:w="60"/>
            </w:tcMar>
          </w:tcPr>
          <w:p>
            <w:pPr>
              <w:jc w:val="center"/>
            </w:pPr>
            <w:r>
              <w:rPr>
                <w:rFonts w:ascii="Arial" w:cs="Arial" w:eastAsia="Arial" w:hAnsi="Arial"/>
                <w:b/>
                <w:bCs/>
                <w:color w:val="70AD47"/>
                <w:sz w:val="18"/>
                <w:szCs w:val="18"/>
              </w:rPr>
              <w:t xml:space="preserve">Low</w:t>
            </w:r>
          </w:p>
        </w:tc>
      </w:tr>
    </w:tbl>
    <w:p>
      <w:pPr>
        <w:spacing w:after="60" w:before="60"/>
      </w:pPr>
      <w:r>
        <w:t xml:space="preserve"/>
      </w:r>
    </w:p>
    <w:p>
      <w:pPr>
        <w:spacing w:after="120" w:before="80"/>
        <w:jc w:val="both"/>
      </w:pPr>
      <w:r>
        <w:rPr>
          <w:rFonts w:ascii="Arial" w:cs="Arial" w:eastAsia="Arial" w:hAnsi="Arial"/>
          <w:sz w:val="22"/>
          <w:szCs w:val="22"/>
        </w:rPr>
        <w:t xml:space="preserve">To ensure GDPR compliance, the system will process only the URL string and publicly available domain metadata; no cookies, session data, or user identifiers will be collected. All API queries will be made server-side to prevent exposure of credentials. The ethics declaration form will be submitted alongside this proposal.</w:t>
      </w:r>
    </w:p>
    <w:p>
      <w:pPr>
        <w:pStyle w:val="Heading2"/>
        <w:spacing w:after="120" w:before="240"/>
      </w:pPr>
      <w:r>
        <w:rPr>
          <w:rFonts w:ascii="Arial" w:cs="Arial" w:eastAsia="Arial" w:hAnsi="Arial"/>
          <w:b/>
          <w:bCs/>
          <w:sz w:val="24"/>
          <w:szCs w:val="24"/>
        </w:rPr>
        <w:t xml:space="preserve">2.5 Validity, Reliability, and Generalisability</w:t>
      </w:r>
    </w:p>
    <w:p>
      <w:pPr>
        <w:spacing w:after="120" w:before="80"/>
        <w:jc w:val="both"/>
      </w:pPr>
      <w:r>
        <w:rPr>
          <w:rFonts w:ascii="Arial" w:cs="Arial" w:eastAsia="Arial" w:hAnsi="Arial"/>
          <w:sz w:val="22"/>
          <w:szCs w:val="22"/>
        </w:rPr>
        <w:t xml:space="preserve">Internal validity will be maintained through consistent pre-processing pipelines and stratified cross-validation. Dataset reliability is supported by use of established, publicly available benchmark repositories. External validity is limited by the temporal nature of phishing datasets; a model trained on historical URLs may underperform against novel evasion techniques. This limitation will be explicitly acknowledged in the final report, and a temporal drift analysis will be conducted by evaluating model performance on URLs registered within the six months prior to submission.</w:t>
      </w:r>
    </w:p>
    <w:p>
      <w:r>
        <w:br w:type="page"/>
      </w:r>
    </w:p>
    <w:p>
      <w:pPr>
        <w:pStyle w:val="Heading1"/>
        <w:spacing w:after="160" w:before="320"/>
      </w:pPr>
      <w:r>
        <w:rPr>
          <w:rFonts w:ascii="Arial" w:cs="Arial" w:eastAsia="Arial" w:hAnsi="Arial"/>
          <w:b/>
          <w:bCs/>
          <w:sz w:val="28"/>
          <w:szCs w:val="28"/>
        </w:rPr>
        <w:t xml:space="preserve">3. Resources and Planning</w:t>
      </w:r>
    </w:p>
    <w:p>
      <w:pPr>
        <w:pStyle w:val="Heading2"/>
        <w:spacing w:after="120" w:before="240"/>
      </w:pPr>
      <w:r>
        <w:rPr>
          <w:rFonts w:ascii="Arial" w:cs="Arial" w:eastAsia="Arial" w:hAnsi="Arial"/>
          <w:b/>
          <w:bCs/>
          <w:sz w:val="24"/>
          <w:szCs w:val="24"/>
        </w:rPr>
        <w:t xml:space="preserve">3.1 Technical Resources</w:t>
      </w:r>
    </w:p>
    <w:p>
      <w:pPr>
        <w:pStyle w:val="ListParagraph"/>
        <w:numPr>
          <w:ilvl w:val="0"/>
          <w:numId w:val="2"/>
        </w:numPr>
        <w:spacing w:after="60" w:before="40"/>
      </w:pPr>
      <w:r>
        <w:rPr>
          <w:rFonts w:ascii="Arial" w:cs="Arial" w:eastAsia="Arial" w:hAnsi="Arial"/>
          <w:sz w:val="22"/>
          <w:szCs w:val="22"/>
        </w:rPr>
        <w:t xml:space="preserve">Development environment: Python 3.11, Node.js 20, Docker Desktop (Windows/Linux).</w:t>
      </w:r>
    </w:p>
    <w:p>
      <w:pPr>
        <w:pStyle w:val="ListParagraph"/>
        <w:numPr>
          <w:ilvl w:val="0"/>
          <w:numId w:val="2"/>
        </w:numPr>
        <w:spacing w:after="60" w:before="40"/>
      </w:pPr>
      <w:r>
        <w:rPr>
          <w:rFonts w:ascii="Arial" w:cs="Arial" w:eastAsia="Arial" w:hAnsi="Arial"/>
          <w:sz w:val="22"/>
          <w:szCs w:val="22"/>
        </w:rPr>
        <w:t xml:space="preserve">Backend framework: FastAPI with Uvicorn; database: PostgreSQL via SQLAlchemy ORM.</w:t>
      </w:r>
    </w:p>
    <w:p>
      <w:pPr>
        <w:pStyle w:val="ListParagraph"/>
        <w:numPr>
          <w:ilvl w:val="0"/>
          <w:numId w:val="2"/>
        </w:numPr>
        <w:spacing w:after="60" w:before="40"/>
      </w:pPr>
      <w:r>
        <w:rPr>
          <w:rFonts w:ascii="Arial" w:cs="Arial" w:eastAsia="Arial" w:hAnsi="Arial"/>
          <w:sz w:val="22"/>
          <w:szCs w:val="22"/>
        </w:rPr>
        <w:t xml:space="preserve">Machine learning: scikit-learn, XGBoost, TensorFlow/Keras, SHAP, pandas, NumPy.</w:t>
      </w:r>
    </w:p>
    <w:p>
      <w:pPr>
        <w:pStyle w:val="ListParagraph"/>
        <w:numPr>
          <w:ilvl w:val="0"/>
          <w:numId w:val="2"/>
        </w:numPr>
        <w:spacing w:after="60" w:before="40"/>
      </w:pPr>
      <w:r>
        <w:rPr>
          <w:rFonts w:ascii="Arial" w:cs="Arial" w:eastAsia="Arial" w:hAnsi="Arial"/>
          <w:sz w:val="22"/>
          <w:szCs w:val="22"/>
        </w:rPr>
        <w:t xml:space="preserve">Browser extension: JavaScript (Manifest V3), Chrome Extension APIs.</w:t>
      </w:r>
    </w:p>
    <w:p>
      <w:pPr>
        <w:pStyle w:val="ListParagraph"/>
        <w:numPr>
          <w:ilvl w:val="0"/>
          <w:numId w:val="2"/>
        </w:numPr>
        <w:spacing w:after="60" w:before="40"/>
      </w:pPr>
      <w:r>
        <w:rPr>
          <w:rFonts w:ascii="Arial" w:cs="Arial" w:eastAsia="Arial" w:hAnsi="Arial"/>
          <w:sz w:val="22"/>
          <w:szCs w:val="22"/>
        </w:rPr>
        <w:t xml:space="preserve">APIs: Google Safe Browsing v4, VirusTotal v3, PhishTank (free tier).</w:t>
      </w:r>
    </w:p>
    <w:p>
      <w:pPr>
        <w:pStyle w:val="ListParagraph"/>
        <w:numPr>
          <w:ilvl w:val="0"/>
          <w:numId w:val="2"/>
        </w:numPr>
        <w:spacing w:after="60" w:before="40"/>
      </w:pPr>
      <w:r>
        <w:rPr>
          <w:rFonts w:ascii="Arial" w:cs="Arial" w:eastAsia="Arial" w:hAnsi="Arial"/>
          <w:sz w:val="22"/>
          <w:szCs w:val="22"/>
        </w:rPr>
        <w:t xml:space="preserve">Datasets: PhishTank URL archive, publicly available URL classification datasets.</w:t>
      </w:r>
    </w:p>
    <w:p>
      <w:pPr>
        <w:pStyle w:val="ListParagraph"/>
        <w:numPr>
          <w:ilvl w:val="0"/>
          <w:numId w:val="2"/>
        </w:numPr>
        <w:spacing w:after="60" w:before="40"/>
      </w:pPr>
      <w:r>
        <w:rPr>
          <w:rFonts w:ascii="Arial" w:cs="Arial" w:eastAsia="Arial" w:hAnsi="Arial"/>
          <w:sz w:val="22"/>
          <w:szCs w:val="22"/>
        </w:rPr>
        <w:t xml:space="preserve">Literature will be sourced primarily through IEEE Xplore and ACM Digital Library, supplemented by arXiv preprints and Google Scholar searches.</w:t>
      </w:r>
    </w:p>
    <w:p>
      <w:pPr>
        <w:pStyle w:val="ListParagraph"/>
        <w:numPr>
          <w:ilvl w:val="0"/>
          <w:numId w:val="2"/>
        </w:numPr>
        <w:spacing w:after="60" w:before="40"/>
      </w:pPr>
      <w:r>
        <w:rPr>
          <w:rFonts w:ascii="Arial" w:cs="Arial" w:eastAsia="Arial" w:hAnsi="Arial"/>
          <w:sz w:val="22"/>
          <w:szCs w:val="22"/>
        </w:rPr>
        <w:t xml:space="preserve">Version control: Git / GitHub for incremental development and version history.</w:t>
      </w:r>
    </w:p>
    <w:p>
      <w:pPr>
        <w:pStyle w:val="Heading2"/>
        <w:spacing w:after="120" w:before="240"/>
      </w:pPr>
      <w:r>
        <w:rPr>
          <w:rFonts w:ascii="Arial" w:cs="Arial" w:eastAsia="Arial" w:hAnsi="Arial"/>
          <w:b/>
          <w:bCs/>
          <w:sz w:val="24"/>
          <w:szCs w:val="24"/>
        </w:rPr>
        <w:t xml:space="preserve">3.2 Project Schedule</w:t>
      </w:r>
    </w:p>
    <w:p>
      <w:pPr>
        <w:spacing w:after="120" w:before="80"/>
        <w:jc w:val="both"/>
      </w:pPr>
      <w:r>
        <w:rPr>
          <w:rFonts w:ascii="Arial" w:cs="Arial" w:eastAsia="Arial" w:hAnsi="Arial"/>
          <w:sz w:val="22"/>
          <w:szCs w:val="22"/>
        </w:rPr>
        <w:t xml:space="preserve">The following Gantt chart illustrates the planned schedule across twenty weeks, divided into four phases with deliberate overlaps between integration and development activities to allow iterative refinement.</w:t>
      </w:r>
    </w:p>
    <w:p>
      <w:pPr>
        <w:spacing w:after="60" w:before="60"/>
      </w:pPr>
      <w:r>
        <w:t xml:space="preserve"/>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2600"/>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tblGrid>
      <w:tr>
        <w:tc>
          <w:tcPr>
            <w:tcW w:type="dxa" w:w="2600"/>
            <w:tcBorders>
              <w:top w:val="single" w:color="CCCCCC" w:sz="1"/>
              <w:left w:val="single" w:color="CCCCCC" w:sz="1"/>
              <w:bottom w:val="single" w:color="CCCCCC" w:sz="1"/>
              <w:right w:val="single" w:color="CCCCCC" w:sz="1"/>
            </w:tcBorders>
            <w:shd w:fill="1F3864" w:val="clear"/>
            <w:tcMar>
              <w:top w:type="dxa" w:w="60"/>
              <w:left w:type="dxa" w:w="100"/>
              <w:bottom w:type="dxa" w:w="60"/>
              <w:right w:type="dxa" w:w="60"/>
            </w:tcMar>
          </w:tcPr>
          <w:p>
            <w:r>
              <w:rPr>
                <w:rFonts w:ascii="Arial" w:cs="Arial" w:eastAsia="Arial" w:hAnsi="Arial"/>
                <w:b/>
                <w:bCs/>
                <w:color w:val="FFFFFF"/>
                <w:sz w:val="18"/>
                <w:szCs w:val="18"/>
              </w:rPr>
              <w:t xml:space="preserve">Task</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1</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2</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3</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4</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5</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6</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7</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8</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9</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10</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11</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12</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13</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14</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15</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16</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17</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18</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19</w:t>
            </w:r>
          </w:p>
        </w:tc>
        <w:tc>
          <w:tcPr>
            <w:tcW w:type="dxa" w:w="321"/>
            <w:tcBorders>
              <w:top w:val="single" w:color="CCCCCC" w:sz="1"/>
              <w:left w:val="single" w:color="CCCCCC" w:sz="1"/>
              <w:bottom w:val="single" w:color="CCCCCC" w:sz="1"/>
              <w:right w:val="single" w:color="CCCCCC" w:sz="1"/>
            </w:tcBorders>
            <w:shd w:fill="1F3864" w:val="clear"/>
            <w:tcMar>
              <w:top w:type="dxa" w:w="60"/>
              <w:left w:type="dxa" w:w="20"/>
              <w:bottom w:type="dxa" w:w="60"/>
              <w:right w:type="dxa" w:w="20"/>
            </w:tcMar>
          </w:tcPr>
          <w:p>
            <w:pPr>
              <w:jc w:val="center"/>
            </w:pPr>
            <w:r>
              <w:rPr>
                <w:rFonts w:ascii="Arial" w:cs="Arial" w:eastAsia="Arial" w:hAnsi="Arial"/>
                <w:b/>
                <w:bCs/>
                <w:color w:val="FFFFFF"/>
                <w:sz w:val="16"/>
                <w:szCs w:val="16"/>
              </w:rPr>
              <w:t xml:space="preserve">20</w:t>
            </w:r>
          </w:p>
        </w:tc>
      </w:tr>
      <w:tr>
        <w:tc>
          <w:tcPr>
            <w:gridSpan w:val="21"/>
            <w:tcBorders>
              <w:top w:val="single" w:color="CCCCCC" w:sz="1"/>
              <w:left w:val="single" w:color="CCCCCC" w:sz="1"/>
              <w:bottom w:val="single" w:color="CCCCCC" w:sz="1"/>
              <w:right w:val="single" w:color="CCCCCC" w:sz="1"/>
            </w:tcBorders>
            <w:shd w:fill="2E5F9E" w:val="clear"/>
            <w:tcMar>
              <w:top w:type="dxa" w:w="40"/>
              <w:left w:type="dxa" w:w="100"/>
              <w:bottom w:type="dxa" w:w="40"/>
              <w:right w:type="dxa" w:w="60"/>
            </w:tcMar>
          </w:tcPr>
          <w:p>
            <w:r>
              <w:rPr>
                <w:rFonts w:ascii="Arial" w:cs="Arial" w:eastAsia="Arial" w:hAnsi="Arial"/>
                <w:b/>
                <w:bCs/>
                <w:color w:val="FFFFFF"/>
                <w:sz w:val="18"/>
                <w:szCs w:val="18"/>
              </w:rPr>
              <w:t xml:space="preserve">PHASE 1 - RESEARCH &amp; PLANNING</w:t>
            </w:r>
          </w:p>
        </w:tc>
      </w:tr>
      <w:tr>
        <w:tc>
          <w:tcPr>
            <w:tcW w:type="dxa" w:w="2600"/>
            <w:tcBorders>
              <w:top w:val="single" w:color="CCCCCC" w:sz="1"/>
              <w:left w:val="single" w:color="CCCCCC" w:sz="1"/>
              <w:bottom w:val="single" w:color="CCCCCC" w:sz="1"/>
              <w:right w:val="single" w:color="CCCCCC" w:sz="1"/>
            </w:tcBorders>
            <w:tcMar>
              <w:top w:type="dxa" w:w="40"/>
              <w:left w:type="dxa" w:w="100"/>
              <w:bottom w:type="dxa" w:w="40"/>
              <w:right w:type="dxa" w:w="60"/>
            </w:tcMar>
          </w:tcPr>
          <w:p>
            <w:r>
              <w:rPr>
                <w:rFonts w:ascii="Arial" w:cs="Arial" w:eastAsia="Arial" w:hAnsi="Arial"/>
                <w:sz w:val="18"/>
                <w:szCs w:val="18"/>
              </w:rPr>
              <w:t xml:space="preserve">Proposal Writing</w:t>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r>
      <w:tr>
        <w:tc>
          <w:tcPr>
            <w:tcW w:type="dxa" w:w="2600"/>
            <w:tcBorders>
              <w:top w:val="single" w:color="CCCCCC" w:sz="1"/>
              <w:left w:val="single" w:color="CCCCCC" w:sz="1"/>
              <w:bottom w:val="single" w:color="CCCCCC" w:sz="1"/>
              <w:right w:val="single" w:color="CCCCCC" w:sz="1"/>
            </w:tcBorders>
            <w:tcMar>
              <w:top w:type="dxa" w:w="40"/>
              <w:left w:type="dxa" w:w="100"/>
              <w:bottom w:type="dxa" w:w="40"/>
              <w:right w:type="dxa" w:w="60"/>
            </w:tcMar>
          </w:tcPr>
          <w:p>
            <w:r>
              <w:rPr>
                <w:rFonts w:ascii="Arial" w:cs="Arial" w:eastAsia="Arial" w:hAnsi="Arial"/>
                <w:sz w:val="18"/>
                <w:szCs w:val="18"/>
              </w:rPr>
              <w:t xml:space="preserve">Literature Review</w:t>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r>
      <w:tr>
        <w:tc>
          <w:tcPr>
            <w:tcW w:type="dxa" w:w="2600"/>
            <w:tcBorders>
              <w:top w:val="single" w:color="CCCCCC" w:sz="1"/>
              <w:left w:val="single" w:color="CCCCCC" w:sz="1"/>
              <w:bottom w:val="single" w:color="CCCCCC" w:sz="1"/>
              <w:right w:val="single" w:color="CCCCCC" w:sz="1"/>
            </w:tcBorders>
            <w:tcMar>
              <w:top w:type="dxa" w:w="40"/>
              <w:left w:type="dxa" w:w="100"/>
              <w:bottom w:type="dxa" w:w="40"/>
              <w:right w:type="dxa" w:w="60"/>
            </w:tcMar>
          </w:tcPr>
          <w:p>
            <w:r>
              <w:rPr>
                <w:rFonts w:ascii="Arial" w:cs="Arial" w:eastAsia="Arial" w:hAnsi="Arial"/>
                <w:sz w:val="18"/>
                <w:szCs w:val="18"/>
              </w:rPr>
              <w:t xml:space="preserve">System Design</w:t>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r>
      <w:tr>
        <w:tc>
          <w:tcPr>
            <w:gridSpan w:val="21"/>
            <w:tcBorders>
              <w:top w:val="single" w:color="CCCCCC" w:sz="1"/>
              <w:left w:val="single" w:color="CCCCCC" w:sz="1"/>
              <w:bottom w:val="single" w:color="CCCCCC" w:sz="1"/>
              <w:right w:val="single" w:color="CCCCCC" w:sz="1"/>
            </w:tcBorders>
            <w:shd w:fill="2E5F9E" w:val="clear"/>
            <w:tcMar>
              <w:top w:type="dxa" w:w="40"/>
              <w:left w:type="dxa" w:w="100"/>
              <w:bottom w:type="dxa" w:w="40"/>
              <w:right w:type="dxa" w:w="60"/>
            </w:tcMar>
          </w:tcPr>
          <w:p>
            <w:r>
              <w:rPr>
                <w:rFonts w:ascii="Arial" w:cs="Arial" w:eastAsia="Arial" w:hAnsi="Arial"/>
                <w:b/>
                <w:bCs/>
                <w:color w:val="FFFFFF"/>
                <w:sz w:val="18"/>
                <w:szCs w:val="18"/>
              </w:rPr>
              <w:t xml:space="preserve">PHASE 2 - CORE DEVELOPMENT</w:t>
            </w:r>
          </w:p>
        </w:tc>
      </w:tr>
      <w:tr>
        <w:tc>
          <w:tcPr>
            <w:tcW w:type="dxa" w:w="2600"/>
            <w:tcBorders>
              <w:top w:val="single" w:color="CCCCCC" w:sz="1"/>
              <w:left w:val="single" w:color="CCCCCC" w:sz="1"/>
              <w:bottom w:val="single" w:color="CCCCCC" w:sz="1"/>
              <w:right w:val="single" w:color="CCCCCC" w:sz="1"/>
            </w:tcBorders>
            <w:tcMar>
              <w:top w:type="dxa" w:w="40"/>
              <w:left w:type="dxa" w:w="100"/>
              <w:bottom w:type="dxa" w:w="40"/>
              <w:right w:type="dxa" w:w="60"/>
            </w:tcMar>
          </w:tcPr>
          <w:p>
            <w:r>
              <w:rPr>
                <w:rFonts w:ascii="Arial" w:cs="Arial" w:eastAsia="Arial" w:hAnsi="Arial"/>
                <w:sz w:val="18"/>
                <w:szCs w:val="18"/>
              </w:rPr>
              <w:t xml:space="preserve">Backend &amp; API Development</w:t>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r>
      <w:tr>
        <w:tc>
          <w:tcPr>
            <w:tcW w:type="dxa" w:w="2600"/>
            <w:tcBorders>
              <w:top w:val="single" w:color="CCCCCC" w:sz="1"/>
              <w:left w:val="single" w:color="CCCCCC" w:sz="1"/>
              <w:bottom w:val="single" w:color="CCCCCC" w:sz="1"/>
              <w:right w:val="single" w:color="CCCCCC" w:sz="1"/>
            </w:tcBorders>
            <w:tcMar>
              <w:top w:type="dxa" w:w="40"/>
              <w:left w:type="dxa" w:w="100"/>
              <w:bottom w:type="dxa" w:w="40"/>
              <w:right w:type="dxa" w:w="60"/>
            </w:tcMar>
          </w:tcPr>
          <w:p>
            <w:r>
              <w:rPr>
                <w:rFonts w:ascii="Arial" w:cs="Arial" w:eastAsia="Arial" w:hAnsi="Arial"/>
                <w:sz w:val="18"/>
                <w:szCs w:val="18"/>
              </w:rPr>
              <w:t xml:space="preserve">Feature Engineering</w:t>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r>
      <w:tr>
        <w:tc>
          <w:tcPr>
            <w:tcW w:type="dxa" w:w="2600"/>
            <w:tcBorders>
              <w:top w:val="single" w:color="CCCCCC" w:sz="1"/>
              <w:left w:val="single" w:color="CCCCCC" w:sz="1"/>
              <w:bottom w:val="single" w:color="CCCCCC" w:sz="1"/>
              <w:right w:val="single" w:color="CCCCCC" w:sz="1"/>
            </w:tcBorders>
            <w:tcMar>
              <w:top w:type="dxa" w:w="40"/>
              <w:left w:type="dxa" w:w="100"/>
              <w:bottom w:type="dxa" w:w="40"/>
              <w:right w:type="dxa" w:w="60"/>
            </w:tcMar>
          </w:tcPr>
          <w:p>
            <w:r>
              <w:rPr>
                <w:rFonts w:ascii="Arial" w:cs="Arial" w:eastAsia="Arial" w:hAnsi="Arial"/>
                <w:sz w:val="18"/>
                <w:szCs w:val="18"/>
              </w:rPr>
              <w:t xml:space="preserve">ML Model Training</w:t>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r>
      <w:tr>
        <w:tc>
          <w:tcPr>
            <w:gridSpan w:val="21"/>
            <w:tcBorders>
              <w:top w:val="single" w:color="CCCCCC" w:sz="1"/>
              <w:left w:val="single" w:color="CCCCCC" w:sz="1"/>
              <w:bottom w:val="single" w:color="CCCCCC" w:sz="1"/>
              <w:right w:val="single" w:color="CCCCCC" w:sz="1"/>
            </w:tcBorders>
            <w:shd w:fill="2E5F9E" w:val="clear"/>
            <w:tcMar>
              <w:top w:type="dxa" w:w="40"/>
              <w:left w:type="dxa" w:w="100"/>
              <w:bottom w:type="dxa" w:w="40"/>
              <w:right w:type="dxa" w:w="60"/>
            </w:tcMar>
          </w:tcPr>
          <w:p>
            <w:r>
              <w:rPr>
                <w:rFonts w:ascii="Arial" w:cs="Arial" w:eastAsia="Arial" w:hAnsi="Arial"/>
                <w:b/>
                <w:bCs/>
                <w:color w:val="FFFFFF"/>
                <w:sz w:val="18"/>
                <w:szCs w:val="18"/>
              </w:rPr>
              <w:t xml:space="preserve">PHASE 3 - SYSTEM INTEGRATION</w:t>
            </w:r>
          </w:p>
        </w:tc>
      </w:tr>
      <w:tr>
        <w:tc>
          <w:tcPr>
            <w:tcW w:type="dxa" w:w="2600"/>
            <w:tcBorders>
              <w:top w:val="single" w:color="CCCCCC" w:sz="1"/>
              <w:left w:val="single" w:color="CCCCCC" w:sz="1"/>
              <w:bottom w:val="single" w:color="CCCCCC" w:sz="1"/>
              <w:right w:val="single" w:color="CCCCCC" w:sz="1"/>
            </w:tcBorders>
            <w:tcMar>
              <w:top w:type="dxa" w:w="40"/>
              <w:left w:type="dxa" w:w="100"/>
              <w:bottom w:type="dxa" w:w="40"/>
              <w:right w:type="dxa" w:w="60"/>
            </w:tcMar>
          </w:tcPr>
          <w:p>
            <w:r>
              <w:rPr>
                <w:rFonts w:ascii="Arial" w:cs="Arial" w:eastAsia="Arial" w:hAnsi="Arial"/>
                <w:sz w:val="18"/>
                <w:szCs w:val="18"/>
              </w:rPr>
              <w:t xml:space="preserve">Threat Intelligence Integration</w:t>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r>
      <w:tr>
        <w:tc>
          <w:tcPr>
            <w:tcW w:type="dxa" w:w="2600"/>
            <w:tcBorders>
              <w:top w:val="single" w:color="CCCCCC" w:sz="1"/>
              <w:left w:val="single" w:color="CCCCCC" w:sz="1"/>
              <w:bottom w:val="single" w:color="CCCCCC" w:sz="1"/>
              <w:right w:val="single" w:color="CCCCCC" w:sz="1"/>
            </w:tcBorders>
            <w:tcMar>
              <w:top w:type="dxa" w:w="40"/>
              <w:left w:type="dxa" w:w="100"/>
              <w:bottom w:type="dxa" w:w="40"/>
              <w:right w:type="dxa" w:w="60"/>
            </w:tcMar>
          </w:tcPr>
          <w:p>
            <w:r>
              <w:rPr>
                <w:rFonts w:ascii="Arial" w:cs="Arial" w:eastAsia="Arial" w:hAnsi="Arial"/>
                <w:sz w:val="18"/>
                <w:szCs w:val="18"/>
              </w:rPr>
              <w:t xml:space="preserve">Chrome Extension Development</w:t>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r>
      <w:tr>
        <w:tc>
          <w:tcPr>
            <w:gridSpan w:val="21"/>
            <w:tcBorders>
              <w:top w:val="single" w:color="CCCCCC" w:sz="1"/>
              <w:left w:val="single" w:color="CCCCCC" w:sz="1"/>
              <w:bottom w:val="single" w:color="CCCCCC" w:sz="1"/>
              <w:right w:val="single" w:color="CCCCCC" w:sz="1"/>
            </w:tcBorders>
            <w:shd w:fill="2E5F9E" w:val="clear"/>
            <w:tcMar>
              <w:top w:type="dxa" w:w="40"/>
              <w:left w:type="dxa" w:w="100"/>
              <w:bottom w:type="dxa" w:w="40"/>
              <w:right w:type="dxa" w:w="60"/>
            </w:tcMar>
          </w:tcPr>
          <w:p>
            <w:r>
              <w:rPr>
                <w:rFonts w:ascii="Arial" w:cs="Arial" w:eastAsia="Arial" w:hAnsi="Arial"/>
                <w:b/>
                <w:bCs/>
                <w:color w:val="FFFFFF"/>
                <w:sz w:val="18"/>
                <w:szCs w:val="18"/>
              </w:rPr>
              <w:t xml:space="preserve">PHASE 4 - EVALUATION &amp; WRITING</w:t>
            </w:r>
          </w:p>
        </w:tc>
      </w:tr>
      <w:tr>
        <w:tc>
          <w:tcPr>
            <w:tcW w:type="dxa" w:w="2600"/>
            <w:tcBorders>
              <w:top w:val="single" w:color="CCCCCC" w:sz="1"/>
              <w:left w:val="single" w:color="CCCCCC" w:sz="1"/>
              <w:bottom w:val="single" w:color="CCCCCC" w:sz="1"/>
              <w:right w:val="single" w:color="CCCCCC" w:sz="1"/>
            </w:tcBorders>
            <w:tcMar>
              <w:top w:type="dxa" w:w="40"/>
              <w:left w:type="dxa" w:w="100"/>
              <w:bottom w:type="dxa" w:w="40"/>
              <w:right w:type="dxa" w:w="60"/>
            </w:tcMar>
          </w:tcPr>
          <w:p>
            <w:r>
              <w:rPr>
                <w:rFonts w:ascii="Arial" w:cs="Arial" w:eastAsia="Arial" w:hAnsi="Arial"/>
                <w:sz w:val="18"/>
                <w:szCs w:val="18"/>
              </w:rPr>
              <w:t xml:space="preserve">Testing &amp; Evaluation</w:t>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r>
      <w:tr>
        <w:tc>
          <w:tcPr>
            <w:tcW w:type="dxa" w:w="2600"/>
            <w:tcBorders>
              <w:top w:val="single" w:color="CCCCCC" w:sz="1"/>
              <w:left w:val="single" w:color="CCCCCC" w:sz="1"/>
              <w:bottom w:val="single" w:color="CCCCCC" w:sz="1"/>
              <w:right w:val="single" w:color="CCCCCC" w:sz="1"/>
            </w:tcBorders>
            <w:tcMar>
              <w:top w:type="dxa" w:w="40"/>
              <w:left w:type="dxa" w:w="100"/>
              <w:bottom w:type="dxa" w:w="40"/>
              <w:right w:type="dxa" w:w="60"/>
            </w:tcMar>
          </w:tcPr>
          <w:p>
            <w:r>
              <w:rPr>
                <w:rFonts w:ascii="Arial" w:cs="Arial" w:eastAsia="Arial" w:hAnsi="Arial"/>
                <w:sz w:val="18"/>
                <w:szCs w:val="18"/>
              </w:rPr>
              <w:t xml:space="preserve">Final Report &amp; Poster</w:t>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r>
      <w:tr>
        <w:tc>
          <w:tcPr>
            <w:tcW w:type="dxa" w:w="2600"/>
            <w:tcBorders>
              <w:top w:val="single" w:color="CCCCCC" w:sz="1"/>
              <w:left w:val="single" w:color="CCCCCC" w:sz="1"/>
              <w:bottom w:val="single" w:color="CCCCCC" w:sz="1"/>
              <w:right w:val="single" w:color="CCCCCC" w:sz="1"/>
            </w:tcBorders>
            <w:tcMar>
              <w:top w:type="dxa" w:w="40"/>
              <w:left w:type="dxa" w:w="100"/>
              <w:bottom w:type="dxa" w:w="40"/>
              <w:right w:type="dxa" w:w="60"/>
            </w:tcMar>
          </w:tcPr>
          <w:p>
            <w:r>
              <w:rPr>
                <w:rFonts w:ascii="Arial" w:cs="Arial" w:eastAsia="Arial" w:hAnsi="Arial"/>
                <w:sz w:val="18"/>
                <w:szCs w:val="18"/>
              </w:rPr>
              <w:t xml:space="preserve">Demo Preparation</w:t>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F2F2F2"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c>
          <w:tcPr>
            <w:tcW w:type="dxa" w:w="321"/>
            <w:tcBorders>
              <w:top w:val="single" w:color="CCCCCC" w:sz="1"/>
              <w:left w:val="single" w:color="CCCCCC" w:sz="1"/>
              <w:bottom w:val="single" w:color="CCCCCC" w:sz="1"/>
              <w:right w:val="single" w:color="CCCCCC" w:sz="1"/>
            </w:tcBorders>
            <w:shd w:fill="4472C4" w:val="clear"/>
            <w:tcMar>
              <w:top w:type="dxa" w:w="40"/>
              <w:left w:type="dxa" w:w="10"/>
              <w:bottom w:type="dxa" w:w="40"/>
              <w:right w:type="dxa" w:w="10"/>
            </w:tcMar>
          </w:tcPr>
          <w:p>
            <w:r>
              <w:t xml:space="preserve"/>
            </w:r>
          </w:p>
        </w:tc>
      </w:tr>
    </w:tbl>
    <w:p>
      <w:pPr>
        <w:spacing w:after="60" w:before="60"/>
      </w:pPr>
      <w:r>
        <w:t xml:space="preserve"/>
      </w:r>
    </w:p>
    <w:p>
      <w:pPr>
        <w:spacing w:after="120" w:before="80"/>
        <w:jc w:val="both"/>
      </w:pPr>
      <w:r>
        <w:rPr>
          <w:rFonts w:ascii="Arial" w:cs="Arial" w:eastAsia="Arial" w:hAnsi="Arial"/>
          <w:sz w:val="22"/>
          <w:szCs w:val="22"/>
        </w:rPr>
        <w:t xml:space="preserve">Weeks 1-4 (Phase 1) cover proposal submission, literature review, and system architecture design. Weeks 5-11 (Phase 2) constitute core backend and ML development. Weeks 10-14 (Phase 3) integrate threat intelligence alongside Chrome extension development, with deliberate overlap to allow API integration testing while ML training concludes. Weeks 14-20 (Phase 4) are allocated to formal evaluation, dissertation writing, poster production, and demo preparation, consistent with the module handbook deadlines for next-term components.</w:t>
      </w:r>
    </w:p>
    <w:p>
      <w:r>
        <w:br w:type="page"/>
      </w:r>
    </w:p>
    <w:p>
      <w:pPr>
        <w:pStyle w:val="Heading1"/>
        <w:spacing w:after="160" w:before="320"/>
      </w:pPr>
      <w:r>
        <w:rPr>
          <w:rFonts w:ascii="Arial" w:cs="Arial" w:eastAsia="Arial" w:hAnsi="Arial"/>
          <w:b/>
          <w:bCs/>
          <w:sz w:val="28"/>
          <w:szCs w:val="28"/>
        </w:rPr>
        <w:t xml:space="preserve">References</w:t>
      </w:r>
    </w:p>
    <w:p>
      <w:pPr>
        <w:spacing w:after="60" w:before="40"/>
      </w:pPr>
      <w:r>
        <w:rPr>
          <w:rFonts w:ascii="Arial" w:cs="Arial" w:eastAsia="Arial" w:hAnsi="Arial"/>
          <w:b/>
          <w:bCs/>
          <w:sz w:val="20"/>
          <w:szCs w:val="20"/>
        </w:rPr>
        <w:t xml:space="preserve">[1] </w:t>
      </w:r>
      <w:r>
        <w:rPr>
          <w:rFonts w:ascii="Arial" w:cs="Arial" w:eastAsia="Arial" w:hAnsi="Arial"/>
          <w:sz w:val="20"/>
          <w:szCs w:val="20"/>
        </w:rPr>
        <w:t xml:space="preserve">Anti-Phishing Working Group, "Phishing Activity Trends Report - Full Year 2023," APWG, 2024. [Online]. Available: https://apwg.org/trendsreports/</w:t>
      </w:r>
    </w:p>
    <w:p>
      <w:pPr>
        <w:spacing w:after="60" w:before="40"/>
      </w:pPr>
      <w:r>
        <w:rPr>
          <w:rFonts w:ascii="Arial" w:cs="Arial" w:eastAsia="Arial" w:hAnsi="Arial"/>
          <w:b/>
          <w:bCs/>
          <w:sz w:val="20"/>
          <w:szCs w:val="20"/>
        </w:rPr>
        <w:t xml:space="preserve">[2] </w:t>
      </w:r>
      <w:r>
        <w:rPr>
          <w:rFonts w:ascii="Arial" w:cs="Arial" w:eastAsia="Arial" w:hAnsi="Arial"/>
          <w:sz w:val="20"/>
          <w:szCs w:val="20"/>
        </w:rPr>
        <w:t xml:space="preserve">European Union Agency for Cybersecurity (ENISA), "ENISA Threat Landscape 2024," ENISA, 2024. [Online]. Available: https://www.enisa.europa.eu/publications/enisa-threat-landscape-2024</w:t>
      </w:r>
    </w:p>
    <w:p>
      <w:pPr>
        <w:spacing w:after="60" w:before="40"/>
      </w:pPr>
      <w:r>
        <w:rPr>
          <w:rFonts w:ascii="Arial" w:cs="Arial" w:eastAsia="Arial" w:hAnsi="Arial"/>
          <w:b/>
          <w:bCs/>
          <w:sz w:val="20"/>
          <w:szCs w:val="20"/>
        </w:rPr>
        <w:t xml:space="preserve">[3] </w:t>
      </w:r>
      <w:r>
        <w:rPr>
          <w:rFonts w:ascii="Arial" w:cs="Arial" w:eastAsia="Arial" w:hAnsi="Arial"/>
          <w:sz w:val="20"/>
          <w:szCs w:val="20"/>
        </w:rPr>
        <w:t xml:space="preserve">Google, "Safe Browsing APIs (v4) Overview," Google for Developers, 2026. [Online]. Available: https://developers.google.com/safe-browsing/v4</w:t>
      </w:r>
    </w:p>
    <w:p>
      <w:pPr>
        <w:spacing w:after="60" w:before="40"/>
      </w:pPr>
      <w:r>
        <w:rPr>
          <w:rFonts w:ascii="Arial" w:cs="Arial" w:eastAsia="Arial" w:hAnsi="Arial"/>
          <w:b/>
          <w:bCs/>
          <w:sz w:val="20"/>
          <w:szCs w:val="20"/>
        </w:rPr>
        <w:t xml:space="preserve">[4] </w:t>
      </w:r>
      <w:r>
        <w:rPr>
          <w:rFonts w:ascii="Arial" w:cs="Arial" w:eastAsia="Arial" w:hAnsi="Arial"/>
          <w:sz w:val="20"/>
          <w:szCs w:val="20"/>
        </w:rPr>
        <w:t xml:space="preserve">Microsoft, "Microsoft Defender SmartScreen Overview," Microsoft Learn, 2026. [Online]. Available: https://learn.microsoft.com/en-us/windows/security/operating-system-security/virus-and-threat-protection/microsoft-defender-smartscreen/</w:t>
      </w:r>
    </w:p>
    <w:p>
      <w:pPr>
        <w:spacing w:after="60" w:before="40"/>
      </w:pPr>
      <w:r>
        <w:rPr>
          <w:rFonts w:ascii="Arial" w:cs="Arial" w:eastAsia="Arial" w:hAnsi="Arial"/>
          <w:b/>
          <w:bCs/>
          <w:sz w:val="20"/>
          <w:szCs w:val="20"/>
        </w:rPr>
        <w:t xml:space="preserve">[5] </w:t>
      </w:r>
      <w:r>
        <w:rPr>
          <w:rFonts w:ascii="Arial" w:cs="Arial" w:eastAsia="Arial" w:hAnsi="Arial"/>
          <w:sz w:val="20"/>
          <w:szCs w:val="20"/>
        </w:rPr>
        <w:t xml:space="preserve">A. Oest, Y. Safaei, A. Doupe, G. J. Ahn, B. Wardman and K. Tyers, "Inside a Phisher's Mind: Understanding the Anti-Phishing Ecosystem Through Phishing Kit Analysis," in Proc. APWG eCrime, 2019, pp. 1-10.</w:t>
      </w:r>
    </w:p>
    <w:p>
      <w:pPr>
        <w:spacing w:after="60" w:before="40"/>
      </w:pPr>
      <w:r>
        <w:rPr>
          <w:rFonts w:ascii="Arial" w:cs="Arial" w:eastAsia="Arial" w:hAnsi="Arial"/>
          <w:b/>
          <w:bCs/>
          <w:sz w:val="20"/>
          <w:szCs w:val="20"/>
        </w:rPr>
        <w:t xml:space="preserve">[6] </w:t>
      </w:r>
      <w:r>
        <w:rPr>
          <w:rFonts w:ascii="Arial" w:cs="Arial" w:eastAsia="Arial" w:hAnsi="Arial"/>
          <w:sz w:val="20"/>
          <w:szCs w:val="20"/>
        </w:rPr>
        <w:t xml:space="preserve">G. Vrbancic, I. Fister Jr. and V. Podgorelec, "Datasets for Phishing Websites Detection," Data in Brief, vol. 33, 2020, Art. no. 106438.</w:t>
      </w:r>
    </w:p>
    <w:p>
      <w:pPr>
        <w:spacing w:after="60" w:before="40"/>
      </w:pPr>
      <w:r>
        <w:rPr>
          <w:rFonts w:ascii="Arial" w:cs="Arial" w:eastAsia="Arial" w:hAnsi="Arial"/>
          <w:b/>
          <w:bCs/>
          <w:sz w:val="20"/>
          <w:szCs w:val="20"/>
        </w:rPr>
        <w:t xml:space="preserve">[7] </w:t>
      </w:r>
      <w:r>
        <w:rPr>
          <w:rFonts w:ascii="Arial" w:cs="Arial" w:eastAsia="Arial" w:hAnsi="Arial"/>
          <w:sz w:val="20"/>
          <w:szCs w:val="20"/>
        </w:rPr>
        <w:t xml:space="preserve">A. Hannousse and S. Yahiouche, "Towards Benchmark Datasets for Machine Learning Based Website Phishing Detection," Engineering Applications of Artificial Intelligence, vol. 101, 2021, Art. no. 104058.</w:t>
      </w:r>
    </w:p>
    <w:p>
      <w:pPr>
        <w:spacing w:after="60" w:before="40"/>
      </w:pPr>
      <w:r>
        <w:rPr>
          <w:rFonts w:ascii="Arial" w:cs="Arial" w:eastAsia="Arial" w:hAnsi="Arial"/>
          <w:b/>
          <w:bCs/>
          <w:sz w:val="20"/>
          <w:szCs w:val="20"/>
        </w:rPr>
        <w:t xml:space="preserve">[8] </w:t>
      </w:r>
      <w:r>
        <w:rPr>
          <w:rFonts w:ascii="Arial" w:cs="Arial" w:eastAsia="Arial" w:hAnsi="Arial"/>
          <w:sz w:val="20"/>
          <w:szCs w:val="20"/>
        </w:rPr>
        <w:t xml:space="preserve">Y. Zeng, Y. Yang and L. Luo, "A Multi-Feature Fusion Approach to Phishing Website Detection Using Deep Learning," Expert Systems with Applications, vol. 238, 2024, Art. no. 121735.</w:t>
      </w:r>
    </w:p>
    <w:p>
      <w:pPr>
        <w:spacing w:after="60" w:before="40"/>
      </w:pPr>
      <w:r>
        <w:rPr>
          <w:rFonts w:ascii="Arial" w:cs="Arial" w:eastAsia="Arial" w:hAnsi="Arial"/>
          <w:b/>
          <w:bCs/>
          <w:sz w:val="20"/>
          <w:szCs w:val="20"/>
        </w:rPr>
        <w:t xml:space="preserve">[9] </w:t>
      </w:r>
      <w:r>
        <w:rPr>
          <w:rFonts w:ascii="Arial" w:cs="Arial" w:eastAsia="Arial" w:hAnsi="Arial"/>
          <w:sz w:val="20"/>
          <w:szCs w:val="20"/>
        </w:rPr>
        <w:t xml:space="preserve">S. Abdelnabi, K. Krombholz and M. Fritz, "VisualPhishNet: Zero-Day Phishing Website Detection by Visual Similarity," in Proc. ACM CCS, 2020, pp. 1681-1698.</w:t>
      </w:r>
    </w:p>
    <w:p>
      <w:pPr>
        <w:spacing w:after="60" w:before="40"/>
      </w:pPr>
      <w:r>
        <w:rPr>
          <w:rFonts w:ascii="Arial" w:cs="Arial" w:eastAsia="Arial" w:hAnsi="Arial"/>
          <w:b/>
          <w:bCs/>
          <w:sz w:val="20"/>
          <w:szCs w:val="20"/>
        </w:rPr>
        <w:t xml:space="preserve">[10] </w:t>
      </w:r>
      <w:r>
        <w:rPr>
          <w:rFonts w:ascii="Arial" w:cs="Arial" w:eastAsia="Arial" w:hAnsi="Arial"/>
          <w:sz w:val="20"/>
          <w:szCs w:val="20"/>
        </w:rPr>
        <w:t xml:space="preserve">R. Zaimi, M. Hafidi and L. Mahnane, "A Deep Learning Mechanism to Detect Phishing URLs Using the Permutation Importance Method and SMOTE-Tomek Link," The Journal of Supercomputing, vol. 80, pp. 17159-17191, 2024.</w:t>
      </w:r>
    </w:p>
    <w:p>
      <w:pPr>
        <w:spacing w:after="60" w:before="40"/>
      </w:pPr>
      <w:r>
        <w:rPr>
          <w:rFonts w:ascii="Arial" w:cs="Arial" w:eastAsia="Arial" w:hAnsi="Arial"/>
          <w:b/>
          <w:bCs/>
          <w:sz w:val="20"/>
          <w:szCs w:val="20"/>
        </w:rPr>
        <w:t xml:space="preserve">[11] </w:t>
      </w:r>
      <w:r>
        <w:rPr>
          <w:rFonts w:ascii="Arial" w:cs="Arial" w:eastAsia="Arial" w:hAnsi="Arial"/>
          <w:sz w:val="20"/>
          <w:szCs w:val="20"/>
        </w:rPr>
        <w:t xml:space="preserve">S. Sheikhi and P. Kostakos, "Safeguarding Cyberspace: Enhancing Malicious Website Detection with PSO-Optimized XGBoost and Firefly-Based Feature Selection," Computers &amp; Security, vol. 142, Art. no. 103885, Jul. 2024.</w:t>
      </w:r>
    </w:p>
    <w:p>
      <w:pPr>
        <w:spacing w:after="60" w:before="40"/>
      </w:pPr>
      <w:r>
        <w:rPr>
          <w:rFonts w:ascii="Arial" w:cs="Arial" w:eastAsia="Arial" w:hAnsi="Arial"/>
          <w:b/>
          <w:bCs/>
          <w:sz w:val="20"/>
          <w:szCs w:val="20"/>
        </w:rPr>
        <w:t xml:space="preserve">[12] </w:t>
      </w:r>
      <w:r>
        <w:rPr>
          <w:rFonts w:ascii="Arial" w:cs="Arial" w:eastAsia="Arial" w:hAnsi="Arial"/>
          <w:sz w:val="20"/>
          <w:szCs w:val="20"/>
        </w:rPr>
        <w:t xml:space="preserve">L. Thaqi, A. Halili, K. Vishi and B. Rexha, "NoPhish: Efficient Chrome Extension for Phishing Detection Using Machine Learning Techniques," arXiv:2409.10547, 2024.</w:t>
      </w:r>
    </w:p>
    <w:p>
      <w:pPr>
        <w:spacing w:after="60" w:before="40"/>
      </w:pPr>
      <w:r>
        <w:rPr>
          <w:rFonts w:ascii="Arial" w:cs="Arial" w:eastAsia="Arial" w:hAnsi="Arial"/>
          <w:b/>
          <w:bCs/>
          <w:sz w:val="20"/>
          <w:szCs w:val="20"/>
        </w:rPr>
        <w:t xml:space="preserve">[13] </w:t>
      </w:r>
      <w:r>
        <w:rPr>
          <w:rFonts w:ascii="Arial" w:cs="Arial" w:eastAsia="Arial" w:hAnsi="Arial"/>
          <w:sz w:val="20"/>
          <w:szCs w:val="20"/>
        </w:rPr>
        <w:t xml:space="preserve">C.-Y. Wu, C. Kuo and C.-S. Yang, "Phishing Detection with Browser Extension Based on Machine Learning," in Proc. 18th Asia Joint Conf. on Information Security (AsiaJCIS), 2023.</w:t>
      </w:r>
    </w:p>
    <w:p>
      <w:pPr>
        <w:spacing w:after="60" w:before="40"/>
      </w:pPr>
      <w:r>
        <w:rPr>
          <w:rFonts w:ascii="Arial" w:cs="Arial" w:eastAsia="Arial" w:hAnsi="Arial"/>
          <w:b/>
          <w:bCs/>
          <w:sz w:val="20"/>
          <w:szCs w:val="20"/>
        </w:rPr>
        <w:t xml:space="preserve">[14] </w:t>
      </w:r>
      <w:r>
        <w:rPr>
          <w:rFonts w:ascii="Arial" w:cs="Arial" w:eastAsia="Arial" w:hAnsi="Arial"/>
          <w:sz w:val="20"/>
          <w:szCs w:val="20"/>
        </w:rPr>
        <w:t xml:space="preserve">National Institute of Standards and Technology (NIST), "Zero Trust Architecture," NIST SP 800-207, 2020. [Online]. Available: https://doi.org/10.6028/NIST.SP.800-207</w:t>
      </w:r>
    </w:p>
    <w:p>
      <w:pPr>
        <w:spacing w:after="60" w:before="40"/>
      </w:pPr>
      <w:r>
        <w:rPr>
          <w:rFonts w:ascii="Arial" w:cs="Arial" w:eastAsia="Arial" w:hAnsi="Arial"/>
          <w:b/>
          <w:bCs/>
          <w:sz w:val="20"/>
          <w:szCs w:val="20"/>
        </w:rPr>
        <w:t xml:space="preserve">[15] </w:t>
      </w:r>
      <w:r>
        <w:rPr>
          <w:rFonts w:ascii="Arial" w:cs="Arial" w:eastAsia="Arial" w:hAnsi="Arial"/>
          <w:sz w:val="20"/>
          <w:szCs w:val="20"/>
        </w:rPr>
        <w:t xml:space="preserve">S. M. Lundberg and S.-I. Lee, "A Unified Approach to Interpreting Model Predictions," in Advances in Neural Information Processing Systems (NeurIPS), vol. 30, 2017, pp. 4765-4774.</w:t>
      </w:r>
    </w:p>
    <w:p>
      <w:pPr>
        <w:spacing w:after="60" w:before="40"/>
      </w:pPr>
      <w:r>
        <w:rPr>
          <w:rFonts w:ascii="Arial" w:cs="Arial" w:eastAsia="Arial" w:hAnsi="Arial"/>
          <w:b/>
          <w:bCs/>
          <w:sz w:val="20"/>
          <w:szCs w:val="20"/>
        </w:rPr>
        <w:t xml:space="preserve">[16] </w:t>
      </w:r>
      <w:r>
        <w:rPr>
          <w:rFonts w:ascii="Arial" w:cs="Arial" w:eastAsia="Arial" w:hAnsi="Arial"/>
          <w:sz w:val="20"/>
          <w:szCs w:val="20"/>
        </w:rPr>
        <w:t xml:space="preserve">A. B. Arrieta et al., "Explainable Artificial Intelligence (XAI): Concepts, Taxonomies, Opportunities and Challenges Toward Responsible AI," Information Fusion, vol. 58, pp. 82-115, Jun. 2020.</w:t>
      </w:r>
    </w:p>
    <w:sectPr>
      <w:pgSz w:w="11906" w:h="16838" w:orient="portrait"/>
      <w:pgMar w:top="1440" w:right="1260" w:bottom="1440" w:left="126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pBdr>
        <w:bottom w:val="single" w:color="4472C4" w:sz="6" w:space="1"/>
      </w:pBdr>
      <w:spacing w:after="160" w:before="320"/>
      <w:outlineLvl w:val="0"/>
    </w:pPr>
    <w:rPr>
      <w:rFonts w:ascii="Arial" w:cs="Arial" w:eastAsia="Arial" w:hAnsi="Arial"/>
      <w:b/>
      <w:bCs/>
      <w:color w:val="1F3864"/>
      <w:sz w:val="28"/>
      <w:szCs w:val="28"/>
    </w:rPr>
  </w:style>
  <w:style w:type="paragraph" w:styleId="Heading2">
    <w:name w:val="Heading 2"/>
    <w:basedOn w:val="Normal"/>
    <w:next w:val="Normal"/>
    <w:qFormat/>
    <w:pPr>
      <w:spacing w:after="100" w:before="200"/>
      <w:outlineLvl w:val="1"/>
    </w:pPr>
    <w:rPr>
      <w:rFonts w:ascii="Arial" w:cs="Arial" w:eastAsia="Arial" w:hAnsi="Arial"/>
      <w:b/>
      <w:bCs/>
      <w:color w:val="2E5F9E"/>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2026-06-12T06:25:26.783Z</dcterms:created>
  <dcterms:modified xsi:type="dcterms:W3CDTF">2026-06-12T06:25:26.783Z</dcterms:modified>
</cp:coreProperties>
</file>

<file path=docProps/custom.xml><?xml version="1.0" encoding="utf-8"?>
<Properties xmlns="http://schemas.openxmlformats.org/officeDocument/2006/custom-properties" xmlns:vt="http://schemas.openxmlformats.org/officeDocument/2006/docPropsVTypes"/>
</file>