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E479C9" w14:textId="77777777" w:rsidR="00A769CA" w:rsidRDefault="00A769CA">
      <w:pPr>
        <w:pBdr>
          <w:top w:val="nil"/>
          <w:left w:val="nil"/>
          <w:bottom w:val="nil"/>
          <w:right w:val="nil"/>
          <w:between w:val="nil"/>
        </w:pBdr>
        <w:spacing w:after="240" w:line="360" w:lineRule="auto"/>
        <w:jc w:val="both"/>
        <w:rPr>
          <w:color w:val="000000"/>
          <w:sz w:val="24"/>
          <w:szCs w:val="24"/>
        </w:rPr>
      </w:pPr>
    </w:p>
    <w:p w14:paraId="4E210084" w14:textId="77777777" w:rsidR="00A769CA" w:rsidRDefault="00A769CA">
      <w:pPr>
        <w:pBdr>
          <w:top w:val="nil"/>
          <w:left w:val="nil"/>
          <w:bottom w:val="nil"/>
          <w:right w:val="nil"/>
          <w:between w:val="nil"/>
        </w:pBdr>
        <w:spacing w:after="240" w:line="360" w:lineRule="auto"/>
        <w:jc w:val="both"/>
        <w:rPr>
          <w:color w:val="000000"/>
          <w:sz w:val="24"/>
          <w:szCs w:val="24"/>
        </w:rPr>
      </w:pPr>
    </w:p>
    <w:p w14:paraId="631DA264" w14:textId="77777777" w:rsidR="00A769CA" w:rsidRDefault="00A769CA">
      <w:pPr>
        <w:pBdr>
          <w:top w:val="nil"/>
          <w:left w:val="nil"/>
          <w:bottom w:val="nil"/>
          <w:right w:val="nil"/>
          <w:between w:val="nil"/>
        </w:pBdr>
        <w:spacing w:after="240" w:line="360" w:lineRule="auto"/>
        <w:jc w:val="both"/>
        <w:rPr>
          <w:color w:val="000000"/>
          <w:sz w:val="24"/>
          <w:szCs w:val="24"/>
        </w:rPr>
      </w:pPr>
    </w:p>
    <w:p w14:paraId="02EBB963" w14:textId="77777777" w:rsidR="00A769CA" w:rsidRDefault="008D3F3B">
      <w:pPr>
        <w:pStyle w:val="Title"/>
      </w:pPr>
      <w:bookmarkStart w:id="0" w:name="_heading=h.rpm0b87n189" w:colFirst="0" w:colLast="0"/>
      <w:bookmarkEnd w:id="0"/>
      <w:r>
        <w:t xml:space="preserve">Topic: The Impact of Strategic Supplier Relationship Management (SRM) on Supply Chain Performance in the Manufacturing Sector </w:t>
      </w:r>
    </w:p>
    <w:p w14:paraId="2833C363" w14:textId="77777777" w:rsidR="00A769CA" w:rsidRDefault="00A769CA">
      <w:pPr>
        <w:pBdr>
          <w:top w:val="nil"/>
          <w:left w:val="nil"/>
          <w:bottom w:val="nil"/>
          <w:right w:val="nil"/>
          <w:between w:val="nil"/>
        </w:pBdr>
        <w:spacing w:after="240" w:line="360" w:lineRule="auto"/>
        <w:jc w:val="center"/>
        <w:rPr>
          <w:b/>
          <w:bCs/>
          <w:color w:val="000000"/>
          <w:sz w:val="28"/>
          <w:szCs w:val="28"/>
        </w:rPr>
      </w:pPr>
    </w:p>
    <w:p w14:paraId="64DB7E30" w14:textId="77777777" w:rsidR="00A769CA" w:rsidRDefault="00A769CA">
      <w:pPr>
        <w:pBdr>
          <w:top w:val="nil"/>
          <w:left w:val="nil"/>
          <w:bottom w:val="nil"/>
          <w:right w:val="nil"/>
          <w:between w:val="nil"/>
        </w:pBdr>
        <w:spacing w:after="240" w:line="360" w:lineRule="auto"/>
        <w:jc w:val="center"/>
        <w:rPr>
          <w:b/>
          <w:bCs/>
          <w:color w:val="000000"/>
          <w:sz w:val="28"/>
          <w:szCs w:val="28"/>
        </w:rPr>
      </w:pPr>
    </w:p>
    <w:p w14:paraId="5384E462" w14:textId="77777777" w:rsidR="00A769CA" w:rsidRDefault="00A769CA">
      <w:pPr>
        <w:pBdr>
          <w:top w:val="nil"/>
          <w:left w:val="nil"/>
          <w:bottom w:val="nil"/>
          <w:right w:val="nil"/>
          <w:between w:val="nil"/>
        </w:pBdr>
        <w:spacing w:after="240" w:line="360" w:lineRule="auto"/>
        <w:jc w:val="center"/>
        <w:rPr>
          <w:b/>
          <w:bCs/>
          <w:color w:val="000000"/>
          <w:sz w:val="28"/>
          <w:szCs w:val="28"/>
        </w:rPr>
      </w:pPr>
    </w:p>
    <w:p w14:paraId="2C3A617D" w14:textId="79051129" w:rsidR="00A769CA" w:rsidRDefault="008D3F3B">
      <w:pPr>
        <w:pBdr>
          <w:top w:val="nil"/>
          <w:left w:val="nil"/>
          <w:bottom w:val="nil"/>
          <w:right w:val="nil"/>
          <w:between w:val="nil"/>
        </w:pBdr>
        <w:spacing w:before="240" w:after="240" w:line="360" w:lineRule="auto"/>
        <w:jc w:val="center"/>
        <w:rPr>
          <w:b/>
          <w:bCs/>
          <w:color w:val="000000"/>
          <w:sz w:val="28"/>
          <w:szCs w:val="28"/>
        </w:rPr>
      </w:pPr>
      <w:r>
        <w:rPr>
          <w:b/>
          <w:bCs/>
          <w:color w:val="000000"/>
          <w:sz w:val="28"/>
          <w:szCs w:val="28"/>
        </w:rPr>
        <w:t>Student Name:</w:t>
      </w:r>
      <w:r w:rsidR="00162E30">
        <w:rPr>
          <w:b/>
          <w:bCs/>
          <w:color w:val="000000"/>
          <w:sz w:val="28"/>
          <w:szCs w:val="28"/>
        </w:rPr>
        <w:t xml:space="preserve"> Jaswanth. </w:t>
      </w:r>
      <w:r>
        <w:rPr>
          <w:b/>
          <w:bCs/>
          <w:color w:val="000000"/>
          <w:sz w:val="28"/>
          <w:szCs w:val="28"/>
        </w:rPr>
        <w:t>K. B</w:t>
      </w:r>
    </w:p>
    <w:p w14:paraId="56BAC2BD" w14:textId="0D976287" w:rsidR="00A769CA" w:rsidRDefault="008D3F3B">
      <w:pPr>
        <w:pBdr>
          <w:top w:val="nil"/>
          <w:left w:val="nil"/>
          <w:bottom w:val="nil"/>
          <w:right w:val="nil"/>
          <w:between w:val="nil"/>
        </w:pBdr>
        <w:spacing w:before="240" w:after="240" w:line="360" w:lineRule="auto"/>
        <w:jc w:val="center"/>
        <w:rPr>
          <w:b/>
          <w:bCs/>
          <w:color w:val="000000"/>
          <w:sz w:val="28"/>
          <w:szCs w:val="28"/>
        </w:rPr>
      </w:pPr>
      <w:r>
        <w:rPr>
          <w:b/>
          <w:bCs/>
          <w:color w:val="000000"/>
          <w:sz w:val="28"/>
          <w:szCs w:val="28"/>
        </w:rPr>
        <w:t>Student ID:</w:t>
      </w:r>
      <w:r w:rsidR="00162E30">
        <w:rPr>
          <w:b/>
          <w:bCs/>
          <w:color w:val="000000"/>
          <w:sz w:val="28"/>
          <w:szCs w:val="28"/>
        </w:rPr>
        <w:t xml:space="preserve"> 2424937</w:t>
      </w:r>
      <w:r>
        <w:br w:type="page"/>
      </w:r>
    </w:p>
    <w:p w14:paraId="55CDADB1" w14:textId="77777777" w:rsidR="00A769CA" w:rsidRDefault="008D3F3B">
      <w:pPr>
        <w:pBdr>
          <w:top w:val="nil"/>
          <w:left w:val="nil"/>
          <w:bottom w:val="nil"/>
          <w:right w:val="nil"/>
          <w:between w:val="nil"/>
        </w:pBdr>
        <w:spacing w:before="240" w:after="240" w:line="360" w:lineRule="auto"/>
        <w:jc w:val="center"/>
        <w:rPr>
          <w:b/>
          <w:bCs/>
          <w:sz w:val="28"/>
          <w:szCs w:val="28"/>
        </w:rPr>
      </w:pPr>
      <w:r>
        <w:rPr>
          <w:b/>
          <w:bCs/>
          <w:sz w:val="24"/>
          <w:szCs w:val="24"/>
        </w:rPr>
        <w:lastRenderedPageBreak/>
        <w:t>Declaration</w:t>
      </w:r>
      <w:r>
        <w:rPr>
          <w:b/>
          <w:bCs/>
          <w:sz w:val="28"/>
          <w:szCs w:val="28"/>
        </w:rPr>
        <w:t xml:space="preserve"> </w:t>
      </w:r>
    </w:p>
    <w:p w14:paraId="4E8D41C2" w14:textId="77777777" w:rsidR="00A769CA" w:rsidRDefault="008D3F3B">
      <w:pPr>
        <w:pBdr>
          <w:top w:val="nil"/>
          <w:left w:val="nil"/>
          <w:bottom w:val="nil"/>
          <w:right w:val="nil"/>
          <w:between w:val="nil"/>
        </w:pBdr>
        <w:spacing w:before="240" w:after="240" w:line="360" w:lineRule="auto"/>
        <w:jc w:val="both"/>
        <w:rPr>
          <w:sz w:val="24"/>
          <w:szCs w:val="24"/>
        </w:rPr>
      </w:pPr>
      <w:r>
        <w:rPr>
          <w:sz w:val="24"/>
          <w:szCs w:val="24"/>
        </w:rPr>
        <w:t>I declare that this dissertation, titled “The Impact of Strategic Supplier Relationship Management on Supply Chain Performance in the Manufacturing Sector,” is my original work. It has not been submitted for any other qualification. All sources used have been properly acknowledged, and the research has been completed ethically and honestly.</w:t>
      </w:r>
    </w:p>
    <w:p w14:paraId="1C207CE1" w14:textId="77777777" w:rsidR="00A769CA" w:rsidRDefault="008D3F3B">
      <w:pPr>
        <w:pBdr>
          <w:top w:val="nil"/>
          <w:left w:val="nil"/>
          <w:bottom w:val="nil"/>
          <w:right w:val="nil"/>
          <w:between w:val="nil"/>
        </w:pBdr>
        <w:spacing w:before="240" w:after="240" w:line="360" w:lineRule="auto"/>
        <w:jc w:val="center"/>
        <w:rPr>
          <w:b/>
          <w:bCs/>
          <w:sz w:val="28"/>
          <w:szCs w:val="28"/>
        </w:rPr>
      </w:pPr>
      <w:r>
        <w:br w:type="page"/>
      </w:r>
    </w:p>
    <w:p w14:paraId="25638F91" w14:textId="77777777" w:rsidR="00A769CA" w:rsidRDefault="008D3F3B">
      <w:pPr>
        <w:pBdr>
          <w:top w:val="nil"/>
          <w:left w:val="nil"/>
          <w:bottom w:val="nil"/>
          <w:right w:val="nil"/>
          <w:between w:val="nil"/>
        </w:pBdr>
        <w:spacing w:before="240" w:after="240" w:line="360" w:lineRule="auto"/>
        <w:jc w:val="center"/>
        <w:rPr>
          <w:b/>
          <w:bCs/>
          <w:sz w:val="28"/>
          <w:szCs w:val="28"/>
        </w:rPr>
      </w:pPr>
      <w:r>
        <w:rPr>
          <w:b/>
          <w:bCs/>
          <w:sz w:val="24"/>
          <w:szCs w:val="24"/>
        </w:rPr>
        <w:lastRenderedPageBreak/>
        <w:t>Acknowledgement</w:t>
      </w:r>
      <w:r>
        <w:rPr>
          <w:b/>
          <w:bCs/>
          <w:sz w:val="28"/>
          <w:szCs w:val="28"/>
        </w:rPr>
        <w:t xml:space="preserve"> </w:t>
      </w:r>
    </w:p>
    <w:p w14:paraId="7787809E" w14:textId="77777777" w:rsidR="00A769CA" w:rsidRDefault="008D3F3B">
      <w:pPr>
        <w:pBdr>
          <w:top w:val="nil"/>
          <w:left w:val="nil"/>
          <w:bottom w:val="nil"/>
          <w:right w:val="nil"/>
          <w:between w:val="nil"/>
        </w:pBdr>
        <w:spacing w:before="240" w:after="240" w:line="360" w:lineRule="auto"/>
        <w:jc w:val="both"/>
        <w:rPr>
          <w:sz w:val="24"/>
          <w:szCs w:val="24"/>
        </w:rPr>
      </w:pPr>
      <w:r>
        <w:rPr>
          <w:sz w:val="24"/>
          <w:szCs w:val="24"/>
        </w:rPr>
        <w:t>I sincerely thank my supervisor for their guidance and support throughout this research. I am also grateful to my lecturers, peers, and family for their encouragement and patience. Their insights and motivation helped me stay focused and complete this dissertation successfully. I deeply appreciate everyone who contributed to this journey.</w:t>
      </w:r>
    </w:p>
    <w:p w14:paraId="245E3086" w14:textId="77777777" w:rsidR="00A769CA" w:rsidRDefault="008D3F3B">
      <w:pPr>
        <w:pBdr>
          <w:top w:val="nil"/>
          <w:left w:val="nil"/>
          <w:bottom w:val="nil"/>
          <w:right w:val="nil"/>
          <w:between w:val="nil"/>
        </w:pBdr>
        <w:spacing w:after="240" w:line="360" w:lineRule="auto"/>
        <w:rPr>
          <w:b/>
          <w:bCs/>
          <w:color w:val="000000"/>
          <w:sz w:val="28"/>
          <w:szCs w:val="28"/>
        </w:rPr>
      </w:pPr>
      <w:r>
        <w:br w:type="page"/>
      </w:r>
    </w:p>
    <w:p w14:paraId="4C785993" w14:textId="77777777" w:rsidR="00A769CA" w:rsidRDefault="008D3F3B">
      <w:pPr>
        <w:pBdr>
          <w:top w:val="nil"/>
          <w:left w:val="nil"/>
          <w:bottom w:val="nil"/>
          <w:right w:val="nil"/>
          <w:between w:val="nil"/>
        </w:pBdr>
        <w:spacing w:after="240" w:line="360" w:lineRule="auto"/>
        <w:jc w:val="center"/>
        <w:rPr>
          <w:b/>
          <w:bCs/>
          <w:sz w:val="24"/>
          <w:szCs w:val="24"/>
        </w:rPr>
      </w:pPr>
      <w:r>
        <w:rPr>
          <w:b/>
          <w:bCs/>
          <w:sz w:val="24"/>
          <w:szCs w:val="24"/>
        </w:rPr>
        <w:lastRenderedPageBreak/>
        <w:t xml:space="preserve">Abstract </w:t>
      </w:r>
    </w:p>
    <w:p w14:paraId="40112E86" w14:textId="77777777" w:rsidR="00A769CA" w:rsidRDefault="008D3F3B">
      <w:pPr>
        <w:pBdr>
          <w:top w:val="nil"/>
          <w:left w:val="nil"/>
          <w:bottom w:val="nil"/>
          <w:right w:val="nil"/>
          <w:between w:val="nil"/>
        </w:pBdr>
        <w:spacing w:after="240" w:line="360" w:lineRule="auto"/>
        <w:jc w:val="both"/>
        <w:rPr>
          <w:sz w:val="24"/>
          <w:szCs w:val="24"/>
        </w:rPr>
      </w:pPr>
      <w:r>
        <w:rPr>
          <w:b/>
          <w:bCs/>
          <w:sz w:val="24"/>
          <w:szCs w:val="24"/>
        </w:rPr>
        <w:t>Introduction:</w:t>
      </w:r>
      <w:r>
        <w:rPr>
          <w:sz w:val="24"/>
          <w:szCs w:val="24"/>
        </w:rPr>
        <w:t xml:space="preserve"> This dissertation explores how Strategic Supplier Relationship Management (SRM) shapes supply chain performance in the manufacturing sector, an industry that is constantly evolving and facing growing pressure to deliver high-quality products quickly and cost-effectively. Because of this, strong and long-term supplier relationships have become more important than ever. Each chapter of the dissertation contributes to understanding why SRM matters and how it can improve overall supply chain outcomes.</w:t>
      </w:r>
    </w:p>
    <w:p w14:paraId="6E32A783" w14:textId="77777777" w:rsidR="00A769CA" w:rsidRDefault="008D3F3B">
      <w:pPr>
        <w:pBdr>
          <w:top w:val="nil"/>
          <w:left w:val="nil"/>
          <w:bottom w:val="nil"/>
          <w:right w:val="nil"/>
          <w:between w:val="nil"/>
        </w:pBdr>
        <w:spacing w:after="240" w:line="360" w:lineRule="auto"/>
        <w:jc w:val="both"/>
        <w:rPr>
          <w:sz w:val="24"/>
          <w:szCs w:val="24"/>
        </w:rPr>
      </w:pPr>
      <w:r>
        <w:rPr>
          <w:b/>
          <w:bCs/>
          <w:sz w:val="24"/>
          <w:szCs w:val="24"/>
        </w:rPr>
        <w:t>OBJECTIVES:</w:t>
      </w:r>
      <w:r>
        <w:rPr>
          <w:sz w:val="24"/>
          <w:szCs w:val="24"/>
        </w:rPr>
        <w:t xml:space="preserve"> The main purpose of this research was to understand how SRM contributes to better supply chain performance. A further aim was to identify which SRM practices—such as communication, collaboration, trust, or performance monitoring—have the strongest effect on improving operational outcomes like delivery reliability, product quality, and cost savings.</w:t>
      </w:r>
    </w:p>
    <w:p w14:paraId="28514ED1" w14:textId="77777777" w:rsidR="00A769CA" w:rsidRDefault="008D3F3B">
      <w:pPr>
        <w:pBdr>
          <w:top w:val="nil"/>
          <w:left w:val="nil"/>
          <w:bottom w:val="nil"/>
          <w:right w:val="nil"/>
          <w:between w:val="nil"/>
        </w:pBdr>
        <w:spacing w:after="240" w:line="360" w:lineRule="auto"/>
        <w:jc w:val="both"/>
        <w:rPr>
          <w:sz w:val="24"/>
          <w:szCs w:val="24"/>
        </w:rPr>
      </w:pPr>
      <w:r>
        <w:rPr>
          <w:b/>
          <w:bCs/>
          <w:sz w:val="24"/>
          <w:szCs w:val="24"/>
        </w:rPr>
        <w:t>METHODS:</w:t>
      </w:r>
      <w:r>
        <w:rPr>
          <w:sz w:val="24"/>
          <w:szCs w:val="24"/>
        </w:rPr>
        <w:t xml:space="preserve"> To gain a complete understanding, a mixed-method approach was used. A structured survey was distributed to supply chain and procurement professionals working in manufacturing firms to gather numerical data. Alongside this, semi-structured interviews were carried out to capture more personal experiences, challenges, and insights from practitioners. Key areas assessed included communication quality, supplier involvement, trust, and joint problem-solving.</w:t>
      </w:r>
    </w:p>
    <w:p w14:paraId="524975ED" w14:textId="77777777" w:rsidR="00A769CA" w:rsidRDefault="008D3F3B">
      <w:pPr>
        <w:pBdr>
          <w:top w:val="nil"/>
          <w:left w:val="nil"/>
          <w:bottom w:val="nil"/>
          <w:right w:val="nil"/>
          <w:between w:val="nil"/>
        </w:pBdr>
        <w:spacing w:after="240" w:line="360" w:lineRule="auto"/>
        <w:jc w:val="both"/>
        <w:rPr>
          <w:sz w:val="24"/>
          <w:szCs w:val="24"/>
        </w:rPr>
      </w:pPr>
      <w:r>
        <w:rPr>
          <w:b/>
          <w:bCs/>
          <w:sz w:val="24"/>
          <w:szCs w:val="24"/>
        </w:rPr>
        <w:t>RESULTS:</w:t>
      </w:r>
      <w:r>
        <w:rPr>
          <w:sz w:val="24"/>
          <w:szCs w:val="24"/>
        </w:rPr>
        <w:t xml:space="preserve"> The results showed a clear positive link between strong SRM practices and improved supply chain performance. Companies that actively engaged in structured SRM reported better delivery consistency, improved quality, and lower procurement costs. Communication, supplier collaboration, and regular performance reviews stood out as the most influential factors. Interview responses also revealed barriers such as limited resources, poor alignment within teams, and inconsistent supplier commitment.</w:t>
      </w:r>
    </w:p>
    <w:p w14:paraId="673DE24E" w14:textId="77777777" w:rsidR="00A769CA" w:rsidRDefault="008D3F3B">
      <w:pPr>
        <w:pBdr>
          <w:top w:val="nil"/>
          <w:left w:val="nil"/>
          <w:bottom w:val="nil"/>
          <w:right w:val="nil"/>
          <w:between w:val="nil"/>
        </w:pBdr>
        <w:spacing w:after="240" w:line="360" w:lineRule="auto"/>
        <w:jc w:val="both"/>
        <w:rPr>
          <w:sz w:val="24"/>
          <w:szCs w:val="24"/>
        </w:rPr>
      </w:pPr>
      <w:r>
        <w:rPr>
          <w:b/>
          <w:bCs/>
          <w:sz w:val="24"/>
          <w:szCs w:val="24"/>
        </w:rPr>
        <w:t>CONCLUSION:</w:t>
      </w:r>
      <w:r>
        <w:rPr>
          <w:sz w:val="24"/>
          <w:szCs w:val="24"/>
        </w:rPr>
        <w:t xml:space="preserve"> Overall, the study finds that SRM significantly strengthens supply chain performance in the manufacturing sector. Firms that prioritise relationship-building with suppliers are better positioned to reduce risks, enhance efficiency, and build long-term competitive advantage. Future studies could explore SRM impacts in other regions or track performance changes over longer periods.</w:t>
      </w:r>
    </w:p>
    <w:p w14:paraId="4C1FC90A" w14:textId="77777777" w:rsidR="00A769CA" w:rsidRDefault="008D3F3B">
      <w:pPr>
        <w:pBdr>
          <w:top w:val="nil"/>
          <w:left w:val="nil"/>
          <w:bottom w:val="nil"/>
          <w:right w:val="nil"/>
          <w:between w:val="nil"/>
        </w:pBdr>
        <w:spacing w:before="280" w:after="240" w:line="360" w:lineRule="auto"/>
        <w:jc w:val="center"/>
        <w:rPr>
          <w:b/>
          <w:bCs/>
          <w:color w:val="000000"/>
          <w:sz w:val="24"/>
          <w:szCs w:val="24"/>
        </w:rPr>
      </w:pPr>
      <w:r>
        <w:rPr>
          <w:b/>
          <w:bCs/>
          <w:color w:val="000000"/>
          <w:sz w:val="24"/>
          <w:szCs w:val="24"/>
        </w:rPr>
        <w:lastRenderedPageBreak/>
        <w:t>Table of Contents</w:t>
      </w:r>
    </w:p>
    <w:sdt>
      <w:sdtPr>
        <w:id w:val="-2054669666"/>
        <w:docPartObj>
          <w:docPartGallery w:val="Table of Contents"/>
          <w:docPartUnique/>
        </w:docPartObj>
      </w:sdtPr>
      <w:sdtEndPr/>
      <w:sdtContent>
        <w:p w14:paraId="7A706463" w14:textId="77777777" w:rsidR="00A769CA" w:rsidRDefault="008D3F3B">
          <w:pPr>
            <w:widowControl w:val="0"/>
            <w:tabs>
              <w:tab w:val="right" w:leader="dot" w:pos="12000"/>
            </w:tabs>
            <w:spacing w:before="60" w:line="360" w:lineRule="auto"/>
            <w:rPr>
              <w:b/>
              <w:bCs/>
              <w:color w:val="000000"/>
            </w:rPr>
          </w:pPr>
          <w:r>
            <w:fldChar w:fldCharType="begin"/>
          </w:r>
          <w:r>
            <w:instrText xml:space="preserve"> TOC \h \u \z \t "Heading 1,1,Heading 2,2,Heading 3,3,"</w:instrText>
          </w:r>
          <w:r>
            <w:fldChar w:fldCharType="separate"/>
          </w:r>
          <w:hyperlink w:anchor="_heading=h.6b868hno28v5">
            <w:r>
              <w:rPr>
                <w:color w:val="000000"/>
                <w:sz w:val="24"/>
                <w:szCs w:val="24"/>
              </w:rPr>
              <w:t>CHAPTER 1: INTRODUCTION</w:t>
            </w:r>
            <w:r>
              <w:rPr>
                <w:color w:val="000000"/>
                <w:sz w:val="24"/>
                <w:szCs w:val="24"/>
              </w:rPr>
              <w:tab/>
              <w:t>9</w:t>
            </w:r>
          </w:hyperlink>
        </w:p>
        <w:p w14:paraId="44C82F6A" w14:textId="77777777" w:rsidR="00A769CA" w:rsidRDefault="008D3F3B">
          <w:pPr>
            <w:widowControl w:val="0"/>
            <w:tabs>
              <w:tab w:val="right" w:leader="dot" w:pos="12000"/>
            </w:tabs>
            <w:spacing w:before="60" w:line="360" w:lineRule="auto"/>
            <w:ind w:left="360"/>
            <w:rPr>
              <w:color w:val="000000"/>
            </w:rPr>
          </w:pPr>
          <w:hyperlink w:anchor="_heading=h.2a6ww3anz2d">
            <w:r>
              <w:rPr>
                <w:color w:val="000000"/>
                <w:sz w:val="24"/>
                <w:szCs w:val="24"/>
              </w:rPr>
              <w:t>1.1 Background &amp; Problem Statement</w:t>
            </w:r>
            <w:r>
              <w:rPr>
                <w:color w:val="000000"/>
                <w:sz w:val="24"/>
                <w:szCs w:val="24"/>
              </w:rPr>
              <w:tab/>
              <w:t>9</w:t>
            </w:r>
          </w:hyperlink>
        </w:p>
        <w:p w14:paraId="4ECFBC51" w14:textId="77777777" w:rsidR="00A769CA" w:rsidRDefault="008D3F3B">
          <w:pPr>
            <w:widowControl w:val="0"/>
            <w:tabs>
              <w:tab w:val="right" w:leader="dot" w:pos="12000"/>
            </w:tabs>
            <w:spacing w:before="60" w:line="360" w:lineRule="auto"/>
            <w:ind w:left="360"/>
            <w:rPr>
              <w:color w:val="000000"/>
            </w:rPr>
          </w:pPr>
          <w:hyperlink w:anchor="_heading=h.pmspoh5iacz1">
            <w:r>
              <w:rPr>
                <w:color w:val="000000"/>
                <w:sz w:val="24"/>
                <w:szCs w:val="24"/>
              </w:rPr>
              <w:t>1.2 Research Aim</w:t>
            </w:r>
            <w:r>
              <w:rPr>
                <w:color w:val="000000"/>
                <w:sz w:val="24"/>
                <w:szCs w:val="24"/>
              </w:rPr>
              <w:tab/>
              <w:t>13</w:t>
            </w:r>
          </w:hyperlink>
        </w:p>
        <w:p w14:paraId="12783BDB" w14:textId="77777777" w:rsidR="00A769CA" w:rsidRDefault="008D3F3B">
          <w:pPr>
            <w:widowControl w:val="0"/>
            <w:tabs>
              <w:tab w:val="right" w:leader="dot" w:pos="12000"/>
            </w:tabs>
            <w:spacing w:before="60" w:line="360" w:lineRule="auto"/>
            <w:ind w:left="360"/>
            <w:rPr>
              <w:color w:val="000000"/>
            </w:rPr>
          </w:pPr>
          <w:hyperlink w:anchor="_heading=h.urqk9we31rbj">
            <w:r>
              <w:rPr>
                <w:color w:val="000000"/>
                <w:sz w:val="24"/>
                <w:szCs w:val="24"/>
              </w:rPr>
              <w:t>1.3 Research Objectives</w:t>
            </w:r>
            <w:r>
              <w:rPr>
                <w:color w:val="000000"/>
                <w:sz w:val="24"/>
                <w:szCs w:val="24"/>
              </w:rPr>
              <w:tab/>
              <w:t>13</w:t>
            </w:r>
          </w:hyperlink>
        </w:p>
        <w:p w14:paraId="299CFE87" w14:textId="77777777" w:rsidR="00A769CA" w:rsidRDefault="008D3F3B">
          <w:pPr>
            <w:widowControl w:val="0"/>
            <w:tabs>
              <w:tab w:val="right" w:leader="dot" w:pos="12000"/>
            </w:tabs>
            <w:spacing w:before="60" w:line="360" w:lineRule="auto"/>
            <w:ind w:left="360"/>
            <w:rPr>
              <w:color w:val="000000"/>
            </w:rPr>
          </w:pPr>
          <w:hyperlink w:anchor="_heading=h.1ehbn6rvm13w">
            <w:r>
              <w:rPr>
                <w:color w:val="000000"/>
                <w:sz w:val="24"/>
                <w:szCs w:val="24"/>
              </w:rPr>
              <w:t>1.4 Research Questions</w:t>
            </w:r>
            <w:r>
              <w:rPr>
                <w:color w:val="000000"/>
                <w:sz w:val="24"/>
                <w:szCs w:val="24"/>
              </w:rPr>
              <w:tab/>
              <w:t>14</w:t>
            </w:r>
          </w:hyperlink>
        </w:p>
        <w:p w14:paraId="06DD3CD7" w14:textId="77777777" w:rsidR="00A769CA" w:rsidRDefault="008D3F3B">
          <w:pPr>
            <w:widowControl w:val="0"/>
            <w:tabs>
              <w:tab w:val="right" w:leader="dot" w:pos="12000"/>
            </w:tabs>
            <w:spacing w:before="60" w:line="360" w:lineRule="auto"/>
            <w:ind w:left="360"/>
            <w:rPr>
              <w:color w:val="000000"/>
            </w:rPr>
          </w:pPr>
          <w:hyperlink w:anchor="_heading=h.8mmzmxovbtow">
            <w:r>
              <w:rPr>
                <w:color w:val="000000"/>
                <w:sz w:val="24"/>
                <w:szCs w:val="24"/>
              </w:rPr>
              <w:t>1.5 Significance or Relevance of Study</w:t>
            </w:r>
            <w:r>
              <w:rPr>
                <w:color w:val="000000"/>
                <w:sz w:val="24"/>
                <w:szCs w:val="24"/>
              </w:rPr>
              <w:tab/>
              <w:t>14</w:t>
            </w:r>
          </w:hyperlink>
        </w:p>
        <w:p w14:paraId="7073B5A1" w14:textId="77777777" w:rsidR="00A769CA" w:rsidRDefault="008D3F3B">
          <w:pPr>
            <w:widowControl w:val="0"/>
            <w:tabs>
              <w:tab w:val="right" w:leader="dot" w:pos="12000"/>
            </w:tabs>
            <w:spacing w:before="60" w:line="360" w:lineRule="auto"/>
            <w:ind w:left="360"/>
            <w:rPr>
              <w:color w:val="000000"/>
            </w:rPr>
          </w:pPr>
          <w:hyperlink w:anchor="_heading=h.4frumm5wpom1">
            <w:r>
              <w:rPr>
                <w:color w:val="000000"/>
                <w:sz w:val="24"/>
                <w:szCs w:val="24"/>
              </w:rPr>
              <w:t>1.6 Brief Research Methodology</w:t>
            </w:r>
            <w:r>
              <w:rPr>
                <w:color w:val="000000"/>
                <w:sz w:val="24"/>
                <w:szCs w:val="24"/>
              </w:rPr>
              <w:tab/>
              <w:t>16</w:t>
            </w:r>
          </w:hyperlink>
        </w:p>
        <w:p w14:paraId="220BE42A" w14:textId="77777777" w:rsidR="00A769CA" w:rsidRDefault="008D3F3B">
          <w:pPr>
            <w:widowControl w:val="0"/>
            <w:tabs>
              <w:tab w:val="right" w:leader="dot" w:pos="12000"/>
            </w:tabs>
            <w:spacing w:before="60" w:line="360" w:lineRule="auto"/>
            <w:ind w:left="360"/>
            <w:rPr>
              <w:color w:val="000000"/>
            </w:rPr>
          </w:pPr>
          <w:hyperlink w:anchor="_heading=h.bqhodk99ref0">
            <w:r>
              <w:rPr>
                <w:color w:val="000000"/>
                <w:sz w:val="24"/>
                <w:szCs w:val="24"/>
              </w:rPr>
              <w:t>1.7 Structure of the rest of the project</w:t>
            </w:r>
            <w:r>
              <w:rPr>
                <w:color w:val="000000"/>
                <w:sz w:val="24"/>
                <w:szCs w:val="24"/>
              </w:rPr>
              <w:tab/>
              <w:t>16</w:t>
            </w:r>
          </w:hyperlink>
        </w:p>
        <w:p w14:paraId="3D3CF0B5" w14:textId="77777777" w:rsidR="00A769CA" w:rsidRDefault="008D3F3B">
          <w:pPr>
            <w:widowControl w:val="0"/>
            <w:tabs>
              <w:tab w:val="right" w:leader="dot" w:pos="12000"/>
            </w:tabs>
            <w:spacing w:before="60" w:line="360" w:lineRule="auto"/>
            <w:rPr>
              <w:b/>
              <w:bCs/>
              <w:color w:val="000000"/>
            </w:rPr>
          </w:pPr>
          <w:hyperlink w:anchor="_heading=h.e5gbzz1c3ufm">
            <w:r>
              <w:rPr>
                <w:color w:val="000000"/>
                <w:sz w:val="24"/>
                <w:szCs w:val="24"/>
              </w:rPr>
              <w:t>CHAPTER 2: LITERATURE REVIEW</w:t>
            </w:r>
            <w:r>
              <w:rPr>
                <w:color w:val="000000"/>
                <w:sz w:val="24"/>
                <w:szCs w:val="24"/>
              </w:rPr>
              <w:tab/>
              <w:t>18</w:t>
            </w:r>
          </w:hyperlink>
        </w:p>
        <w:p w14:paraId="65EB143D" w14:textId="77777777" w:rsidR="00A769CA" w:rsidRDefault="008D3F3B">
          <w:pPr>
            <w:widowControl w:val="0"/>
            <w:tabs>
              <w:tab w:val="right" w:leader="dot" w:pos="12000"/>
            </w:tabs>
            <w:spacing w:before="60" w:line="360" w:lineRule="auto"/>
            <w:ind w:left="360"/>
            <w:rPr>
              <w:color w:val="000000"/>
            </w:rPr>
          </w:pPr>
          <w:hyperlink w:anchor="_heading=h.imcgcmame77b">
            <w:r>
              <w:rPr>
                <w:color w:val="000000"/>
                <w:sz w:val="24"/>
                <w:szCs w:val="24"/>
              </w:rPr>
              <w:t>2.1 Introduction</w:t>
            </w:r>
            <w:r>
              <w:rPr>
                <w:color w:val="000000"/>
                <w:sz w:val="24"/>
                <w:szCs w:val="24"/>
              </w:rPr>
              <w:tab/>
              <w:t>18</w:t>
            </w:r>
          </w:hyperlink>
        </w:p>
        <w:p w14:paraId="067442C1" w14:textId="77777777" w:rsidR="00A769CA" w:rsidRDefault="008D3F3B">
          <w:pPr>
            <w:widowControl w:val="0"/>
            <w:tabs>
              <w:tab w:val="right" w:leader="dot" w:pos="12000"/>
            </w:tabs>
            <w:spacing w:before="60" w:line="360" w:lineRule="auto"/>
            <w:ind w:left="360"/>
            <w:rPr>
              <w:color w:val="000000"/>
            </w:rPr>
          </w:pPr>
          <w:hyperlink w:anchor="_heading=h.6s87vxvpccic">
            <w:r>
              <w:rPr>
                <w:color w:val="000000"/>
                <w:sz w:val="24"/>
                <w:szCs w:val="24"/>
              </w:rPr>
              <w:t>2.2 Research Areas / Topics</w:t>
            </w:r>
            <w:r>
              <w:rPr>
                <w:color w:val="000000"/>
                <w:sz w:val="24"/>
                <w:szCs w:val="24"/>
              </w:rPr>
              <w:tab/>
              <w:t>18</w:t>
            </w:r>
          </w:hyperlink>
        </w:p>
        <w:p w14:paraId="35318A61" w14:textId="77777777" w:rsidR="00A769CA" w:rsidRDefault="008D3F3B">
          <w:pPr>
            <w:widowControl w:val="0"/>
            <w:tabs>
              <w:tab w:val="right" w:leader="dot" w:pos="12000"/>
            </w:tabs>
            <w:spacing w:before="60" w:line="360" w:lineRule="auto"/>
            <w:ind w:left="720"/>
            <w:rPr>
              <w:color w:val="000000"/>
            </w:rPr>
          </w:pPr>
          <w:hyperlink w:anchor="_heading=h.tjrpv07j5qn">
            <w:r>
              <w:rPr>
                <w:color w:val="000000"/>
                <w:sz w:val="24"/>
                <w:szCs w:val="24"/>
              </w:rPr>
              <w:t>2.2.1 The key elements of strategic SRM in the manufacturing sector.</w:t>
            </w:r>
            <w:r>
              <w:rPr>
                <w:color w:val="000000"/>
                <w:sz w:val="24"/>
                <w:szCs w:val="24"/>
              </w:rPr>
              <w:tab/>
              <w:t>18</w:t>
            </w:r>
          </w:hyperlink>
        </w:p>
        <w:p w14:paraId="489681C8" w14:textId="77777777" w:rsidR="00A769CA" w:rsidRDefault="008D3F3B">
          <w:pPr>
            <w:widowControl w:val="0"/>
            <w:tabs>
              <w:tab w:val="right" w:leader="dot" w:pos="12000"/>
            </w:tabs>
            <w:spacing w:before="60" w:line="360" w:lineRule="auto"/>
            <w:ind w:left="720"/>
            <w:rPr>
              <w:color w:val="000000"/>
            </w:rPr>
          </w:pPr>
          <w:hyperlink w:anchor="_heading=h.ee8uhhqyp88o">
            <w:r>
              <w:rPr>
                <w:color w:val="000000"/>
                <w:sz w:val="24"/>
                <w:szCs w:val="24"/>
              </w:rPr>
              <w:t>2.2.2 The analysis of the impact of SRM on supply chain performance indicators (such as efficiency, flexibility, and customer satisfaction).</w:t>
            </w:r>
            <w:r>
              <w:rPr>
                <w:color w:val="000000"/>
                <w:sz w:val="24"/>
                <w:szCs w:val="24"/>
              </w:rPr>
              <w:tab/>
              <w:t>21</w:t>
            </w:r>
          </w:hyperlink>
        </w:p>
        <w:p w14:paraId="50FDA7A1" w14:textId="77777777" w:rsidR="00A769CA" w:rsidRDefault="008D3F3B">
          <w:pPr>
            <w:widowControl w:val="0"/>
            <w:tabs>
              <w:tab w:val="right" w:leader="dot" w:pos="12000"/>
            </w:tabs>
            <w:spacing w:before="60" w:line="360" w:lineRule="auto"/>
            <w:ind w:left="720"/>
            <w:rPr>
              <w:color w:val="000000"/>
            </w:rPr>
          </w:pPr>
          <w:hyperlink w:anchor="_heading=h.8juldp1a3y9d">
            <w:r>
              <w:rPr>
                <w:color w:val="000000"/>
                <w:sz w:val="24"/>
                <w:szCs w:val="24"/>
              </w:rPr>
              <w:t>2.2.3 Identification of the challenges and barriers that affect the effective implementation of SRM.</w:t>
            </w:r>
            <w:r>
              <w:rPr>
                <w:color w:val="000000"/>
                <w:sz w:val="24"/>
                <w:szCs w:val="24"/>
              </w:rPr>
              <w:tab/>
              <w:t>24</w:t>
            </w:r>
          </w:hyperlink>
        </w:p>
        <w:p w14:paraId="2E149A64" w14:textId="77777777" w:rsidR="00A769CA" w:rsidRDefault="008D3F3B">
          <w:pPr>
            <w:widowControl w:val="0"/>
            <w:tabs>
              <w:tab w:val="right" w:leader="dot" w:pos="12000"/>
            </w:tabs>
            <w:spacing w:before="60" w:line="360" w:lineRule="auto"/>
            <w:ind w:left="720"/>
            <w:rPr>
              <w:color w:val="000000"/>
            </w:rPr>
          </w:pPr>
          <w:hyperlink w:anchor="_heading=h.cp4i9zggpun8">
            <w:r>
              <w:rPr>
                <w:color w:val="000000"/>
                <w:sz w:val="24"/>
                <w:szCs w:val="24"/>
              </w:rPr>
              <w:t>2.2.4 The managerial recommendations to strengthen supplier relationships for improved supply chain outcomes.</w:t>
            </w:r>
            <w:r>
              <w:rPr>
                <w:color w:val="000000"/>
                <w:sz w:val="24"/>
                <w:szCs w:val="24"/>
              </w:rPr>
              <w:tab/>
              <w:t>27</w:t>
            </w:r>
          </w:hyperlink>
        </w:p>
        <w:p w14:paraId="6773AC11" w14:textId="77777777" w:rsidR="00A769CA" w:rsidRDefault="008D3F3B">
          <w:pPr>
            <w:widowControl w:val="0"/>
            <w:tabs>
              <w:tab w:val="right" w:leader="dot" w:pos="12000"/>
            </w:tabs>
            <w:spacing w:before="60" w:line="360" w:lineRule="auto"/>
            <w:ind w:left="360"/>
            <w:rPr>
              <w:color w:val="000000"/>
            </w:rPr>
          </w:pPr>
          <w:hyperlink w:anchor="_heading=h.ajrfwixr8cw8">
            <w:r>
              <w:rPr>
                <w:color w:val="000000"/>
                <w:sz w:val="24"/>
                <w:szCs w:val="24"/>
              </w:rPr>
              <w:t>2.3 Literature Gap</w:t>
            </w:r>
            <w:r>
              <w:rPr>
                <w:color w:val="000000"/>
                <w:sz w:val="24"/>
                <w:szCs w:val="24"/>
              </w:rPr>
              <w:tab/>
              <w:t>29</w:t>
            </w:r>
          </w:hyperlink>
        </w:p>
        <w:p w14:paraId="5B9CFBCA" w14:textId="77777777" w:rsidR="00A769CA" w:rsidRDefault="008D3F3B">
          <w:pPr>
            <w:widowControl w:val="0"/>
            <w:tabs>
              <w:tab w:val="right" w:leader="dot" w:pos="12000"/>
            </w:tabs>
            <w:spacing w:before="60" w:line="360" w:lineRule="auto"/>
            <w:ind w:left="360"/>
            <w:rPr>
              <w:color w:val="000000"/>
            </w:rPr>
          </w:pPr>
          <w:hyperlink w:anchor="_heading=h.7478a3j3cr2j">
            <w:r>
              <w:rPr>
                <w:color w:val="000000"/>
                <w:sz w:val="24"/>
                <w:szCs w:val="24"/>
              </w:rPr>
              <w:t>2.4 Theoretical Concept</w:t>
            </w:r>
            <w:r>
              <w:rPr>
                <w:color w:val="000000"/>
                <w:sz w:val="24"/>
                <w:szCs w:val="24"/>
              </w:rPr>
              <w:tab/>
              <w:t>30</w:t>
            </w:r>
          </w:hyperlink>
        </w:p>
        <w:p w14:paraId="307458A3" w14:textId="77777777" w:rsidR="00A769CA" w:rsidRDefault="008D3F3B">
          <w:pPr>
            <w:widowControl w:val="0"/>
            <w:tabs>
              <w:tab w:val="right" w:leader="dot" w:pos="12000"/>
            </w:tabs>
            <w:spacing w:before="60" w:line="360" w:lineRule="auto"/>
            <w:ind w:left="360"/>
            <w:rPr>
              <w:color w:val="000000"/>
            </w:rPr>
          </w:pPr>
          <w:hyperlink w:anchor="_heading=h.y4s11bmreycs">
            <w:r>
              <w:rPr>
                <w:color w:val="000000"/>
                <w:sz w:val="24"/>
                <w:szCs w:val="24"/>
              </w:rPr>
              <w:t>2.5 Conceptual Framework</w:t>
            </w:r>
            <w:r>
              <w:rPr>
                <w:color w:val="000000"/>
                <w:sz w:val="24"/>
                <w:szCs w:val="24"/>
              </w:rPr>
              <w:tab/>
              <w:t>32</w:t>
            </w:r>
          </w:hyperlink>
        </w:p>
        <w:p w14:paraId="7A794066" w14:textId="77777777" w:rsidR="00A769CA" w:rsidRDefault="008D3F3B">
          <w:pPr>
            <w:widowControl w:val="0"/>
            <w:tabs>
              <w:tab w:val="right" w:leader="dot" w:pos="12000"/>
            </w:tabs>
            <w:spacing w:before="60" w:line="360" w:lineRule="auto"/>
            <w:ind w:left="360"/>
            <w:rPr>
              <w:color w:val="000000"/>
            </w:rPr>
          </w:pPr>
          <w:hyperlink w:anchor="_heading=h.se27wilo5qv7">
            <w:r>
              <w:rPr>
                <w:color w:val="000000"/>
                <w:sz w:val="24"/>
                <w:szCs w:val="24"/>
              </w:rPr>
              <w:t>2.6 Conclusion</w:t>
            </w:r>
            <w:r>
              <w:rPr>
                <w:color w:val="000000"/>
                <w:sz w:val="24"/>
                <w:szCs w:val="24"/>
              </w:rPr>
              <w:tab/>
              <w:t>33</w:t>
            </w:r>
          </w:hyperlink>
        </w:p>
        <w:p w14:paraId="18A88B6F" w14:textId="77777777" w:rsidR="00A769CA" w:rsidRDefault="008D3F3B">
          <w:pPr>
            <w:widowControl w:val="0"/>
            <w:tabs>
              <w:tab w:val="right" w:leader="dot" w:pos="12000"/>
            </w:tabs>
            <w:spacing w:before="60" w:line="360" w:lineRule="auto"/>
            <w:rPr>
              <w:b/>
              <w:bCs/>
              <w:color w:val="000000"/>
            </w:rPr>
          </w:pPr>
          <w:hyperlink w:anchor="_heading=h.rtym5sidbiut">
            <w:r>
              <w:rPr>
                <w:color w:val="000000"/>
                <w:sz w:val="24"/>
                <w:szCs w:val="24"/>
              </w:rPr>
              <w:t>CHAPTER 3: RESEARCH METHODOLOGY</w:t>
            </w:r>
            <w:r>
              <w:rPr>
                <w:color w:val="000000"/>
                <w:sz w:val="24"/>
                <w:szCs w:val="24"/>
              </w:rPr>
              <w:tab/>
              <w:t>34</w:t>
            </w:r>
          </w:hyperlink>
        </w:p>
        <w:p w14:paraId="14F9D6E7" w14:textId="77777777" w:rsidR="00A769CA" w:rsidRDefault="008D3F3B">
          <w:pPr>
            <w:widowControl w:val="0"/>
            <w:tabs>
              <w:tab w:val="right" w:leader="dot" w:pos="12000"/>
            </w:tabs>
            <w:spacing w:before="60" w:line="360" w:lineRule="auto"/>
            <w:ind w:left="360"/>
            <w:rPr>
              <w:color w:val="000000"/>
            </w:rPr>
          </w:pPr>
          <w:hyperlink w:anchor="_heading=h.1sbt817q8w3h">
            <w:r>
              <w:rPr>
                <w:color w:val="000000"/>
                <w:sz w:val="24"/>
                <w:szCs w:val="24"/>
              </w:rPr>
              <w:t>3.1 Introduction</w:t>
            </w:r>
            <w:r>
              <w:rPr>
                <w:color w:val="000000"/>
                <w:sz w:val="24"/>
                <w:szCs w:val="24"/>
              </w:rPr>
              <w:tab/>
              <w:t>34</w:t>
            </w:r>
          </w:hyperlink>
        </w:p>
        <w:p w14:paraId="4FB60A86" w14:textId="77777777" w:rsidR="00A769CA" w:rsidRDefault="008D3F3B">
          <w:pPr>
            <w:widowControl w:val="0"/>
            <w:tabs>
              <w:tab w:val="right" w:leader="dot" w:pos="12000"/>
            </w:tabs>
            <w:spacing w:before="60" w:line="360" w:lineRule="auto"/>
            <w:ind w:left="360"/>
            <w:rPr>
              <w:color w:val="000000"/>
            </w:rPr>
          </w:pPr>
          <w:hyperlink w:anchor="_heading=h.jsj3108fpbfo">
            <w:r>
              <w:rPr>
                <w:color w:val="000000"/>
                <w:sz w:val="24"/>
                <w:szCs w:val="24"/>
              </w:rPr>
              <w:t>3.2 Research Philosophies and Assumptions</w:t>
            </w:r>
            <w:r>
              <w:rPr>
                <w:color w:val="000000"/>
                <w:sz w:val="24"/>
                <w:szCs w:val="24"/>
              </w:rPr>
              <w:tab/>
              <w:t>34</w:t>
            </w:r>
          </w:hyperlink>
        </w:p>
        <w:p w14:paraId="15BE8FC6" w14:textId="77777777" w:rsidR="00A769CA" w:rsidRDefault="008D3F3B">
          <w:pPr>
            <w:widowControl w:val="0"/>
            <w:tabs>
              <w:tab w:val="right" w:leader="dot" w:pos="12000"/>
            </w:tabs>
            <w:spacing w:before="60" w:line="360" w:lineRule="auto"/>
            <w:ind w:left="360"/>
            <w:rPr>
              <w:color w:val="000000"/>
            </w:rPr>
          </w:pPr>
          <w:hyperlink w:anchor="_heading=h.iefus2336jxy">
            <w:r>
              <w:rPr>
                <w:color w:val="000000"/>
                <w:sz w:val="24"/>
                <w:szCs w:val="24"/>
              </w:rPr>
              <w:t>3.3 Research Design</w:t>
            </w:r>
            <w:r>
              <w:rPr>
                <w:color w:val="000000"/>
                <w:sz w:val="24"/>
                <w:szCs w:val="24"/>
              </w:rPr>
              <w:tab/>
              <w:t>35</w:t>
            </w:r>
          </w:hyperlink>
        </w:p>
        <w:p w14:paraId="4A9E5148" w14:textId="77777777" w:rsidR="00A769CA" w:rsidRDefault="008D3F3B">
          <w:pPr>
            <w:widowControl w:val="0"/>
            <w:tabs>
              <w:tab w:val="right" w:leader="dot" w:pos="12000"/>
            </w:tabs>
            <w:spacing w:before="60" w:line="360" w:lineRule="auto"/>
            <w:ind w:left="360"/>
            <w:rPr>
              <w:color w:val="000000"/>
            </w:rPr>
          </w:pPr>
          <w:hyperlink w:anchor="_heading=h.3ztwy6nhgapv">
            <w:r>
              <w:rPr>
                <w:color w:val="000000"/>
                <w:sz w:val="24"/>
                <w:szCs w:val="24"/>
              </w:rPr>
              <w:t>3.4 Research Method</w:t>
            </w:r>
            <w:r>
              <w:rPr>
                <w:color w:val="000000"/>
                <w:sz w:val="24"/>
                <w:szCs w:val="24"/>
              </w:rPr>
              <w:tab/>
              <w:t>36</w:t>
            </w:r>
          </w:hyperlink>
        </w:p>
        <w:p w14:paraId="36A11365" w14:textId="77777777" w:rsidR="00A769CA" w:rsidRDefault="008D3F3B">
          <w:pPr>
            <w:widowControl w:val="0"/>
            <w:tabs>
              <w:tab w:val="right" w:leader="dot" w:pos="12000"/>
            </w:tabs>
            <w:spacing w:before="60" w:line="360" w:lineRule="auto"/>
            <w:ind w:left="360"/>
            <w:rPr>
              <w:color w:val="000000"/>
            </w:rPr>
          </w:pPr>
          <w:hyperlink w:anchor="_heading=h.1zhyysm4izoz">
            <w:r>
              <w:rPr>
                <w:color w:val="000000"/>
                <w:sz w:val="24"/>
                <w:szCs w:val="24"/>
              </w:rPr>
              <w:t>3.5 Research Approaches</w:t>
            </w:r>
            <w:r>
              <w:rPr>
                <w:color w:val="000000"/>
                <w:sz w:val="24"/>
                <w:szCs w:val="24"/>
              </w:rPr>
              <w:tab/>
              <w:t>37</w:t>
            </w:r>
          </w:hyperlink>
        </w:p>
        <w:p w14:paraId="5C71D42B" w14:textId="77777777" w:rsidR="00A769CA" w:rsidRDefault="008D3F3B">
          <w:pPr>
            <w:widowControl w:val="0"/>
            <w:tabs>
              <w:tab w:val="right" w:leader="dot" w:pos="12000"/>
            </w:tabs>
            <w:spacing w:before="60" w:line="360" w:lineRule="auto"/>
            <w:ind w:left="360"/>
            <w:rPr>
              <w:color w:val="000000"/>
            </w:rPr>
          </w:pPr>
          <w:hyperlink w:anchor="_heading=h.a2z8wj2ca75m">
            <w:r>
              <w:rPr>
                <w:color w:val="000000"/>
                <w:sz w:val="24"/>
                <w:szCs w:val="24"/>
              </w:rPr>
              <w:t>3.6 Data Collection Methods</w:t>
            </w:r>
            <w:r>
              <w:rPr>
                <w:color w:val="000000"/>
                <w:sz w:val="24"/>
                <w:szCs w:val="24"/>
              </w:rPr>
              <w:tab/>
              <w:t>38</w:t>
            </w:r>
          </w:hyperlink>
        </w:p>
        <w:p w14:paraId="15E56498" w14:textId="77777777" w:rsidR="00A769CA" w:rsidRDefault="008D3F3B">
          <w:pPr>
            <w:widowControl w:val="0"/>
            <w:tabs>
              <w:tab w:val="right" w:leader="dot" w:pos="12000"/>
            </w:tabs>
            <w:spacing w:before="60" w:line="360" w:lineRule="auto"/>
            <w:ind w:left="360"/>
            <w:rPr>
              <w:color w:val="000000"/>
            </w:rPr>
          </w:pPr>
          <w:hyperlink w:anchor="_heading=h.ctozvxj09s5m">
            <w:r>
              <w:rPr>
                <w:color w:val="000000"/>
                <w:sz w:val="24"/>
                <w:szCs w:val="24"/>
              </w:rPr>
              <w:t>3.7 Data Selection Process</w:t>
            </w:r>
            <w:r>
              <w:rPr>
                <w:color w:val="000000"/>
                <w:sz w:val="24"/>
                <w:szCs w:val="24"/>
              </w:rPr>
              <w:tab/>
              <w:t>39</w:t>
            </w:r>
          </w:hyperlink>
        </w:p>
        <w:p w14:paraId="1C50CF12" w14:textId="77777777" w:rsidR="00A769CA" w:rsidRDefault="008D3F3B">
          <w:pPr>
            <w:widowControl w:val="0"/>
            <w:tabs>
              <w:tab w:val="right" w:leader="dot" w:pos="12000"/>
            </w:tabs>
            <w:spacing w:before="60" w:line="360" w:lineRule="auto"/>
            <w:ind w:left="360"/>
            <w:rPr>
              <w:color w:val="000000"/>
            </w:rPr>
          </w:pPr>
          <w:hyperlink w:anchor="_heading=h.65tlswg6ye9u">
            <w:r>
              <w:rPr>
                <w:color w:val="000000"/>
                <w:sz w:val="24"/>
                <w:szCs w:val="24"/>
              </w:rPr>
              <w:t>3.8 Data Analysis</w:t>
            </w:r>
            <w:r>
              <w:rPr>
                <w:color w:val="000000"/>
                <w:sz w:val="24"/>
                <w:szCs w:val="24"/>
              </w:rPr>
              <w:tab/>
              <w:t>42</w:t>
            </w:r>
          </w:hyperlink>
        </w:p>
        <w:p w14:paraId="6324B3B0" w14:textId="77777777" w:rsidR="00A769CA" w:rsidRDefault="008D3F3B">
          <w:pPr>
            <w:widowControl w:val="0"/>
            <w:tabs>
              <w:tab w:val="right" w:leader="dot" w:pos="12000"/>
            </w:tabs>
            <w:spacing w:before="60" w:line="360" w:lineRule="auto"/>
            <w:ind w:left="360"/>
            <w:rPr>
              <w:color w:val="000000"/>
            </w:rPr>
          </w:pPr>
          <w:hyperlink w:anchor="_heading=h.9swvhwxksffy">
            <w:r>
              <w:rPr>
                <w:color w:val="000000"/>
                <w:sz w:val="24"/>
                <w:szCs w:val="24"/>
              </w:rPr>
              <w:t>3.9 Ethical Considerations</w:t>
            </w:r>
            <w:r>
              <w:rPr>
                <w:color w:val="000000"/>
                <w:sz w:val="24"/>
                <w:szCs w:val="24"/>
              </w:rPr>
              <w:tab/>
              <w:t>42</w:t>
            </w:r>
          </w:hyperlink>
        </w:p>
        <w:p w14:paraId="120E5217" w14:textId="77777777" w:rsidR="00A769CA" w:rsidRDefault="008D3F3B">
          <w:pPr>
            <w:widowControl w:val="0"/>
            <w:tabs>
              <w:tab w:val="right" w:leader="dot" w:pos="12000"/>
            </w:tabs>
            <w:spacing w:before="60" w:line="360" w:lineRule="auto"/>
            <w:ind w:left="360"/>
            <w:rPr>
              <w:color w:val="000000"/>
            </w:rPr>
          </w:pPr>
          <w:hyperlink w:anchor="_heading=h.h48zadcgg53d">
            <w:r>
              <w:rPr>
                <w:color w:val="000000"/>
                <w:sz w:val="24"/>
                <w:szCs w:val="24"/>
              </w:rPr>
              <w:t>3.10 Conclusion</w:t>
            </w:r>
            <w:r>
              <w:rPr>
                <w:color w:val="000000"/>
                <w:sz w:val="24"/>
                <w:szCs w:val="24"/>
              </w:rPr>
              <w:tab/>
              <w:t>43</w:t>
            </w:r>
          </w:hyperlink>
        </w:p>
        <w:p w14:paraId="4A6FE617" w14:textId="77777777" w:rsidR="00A769CA" w:rsidRDefault="008D3F3B">
          <w:pPr>
            <w:widowControl w:val="0"/>
            <w:tabs>
              <w:tab w:val="right" w:leader="dot" w:pos="12000"/>
            </w:tabs>
            <w:spacing w:before="60" w:line="360" w:lineRule="auto"/>
            <w:rPr>
              <w:b/>
              <w:bCs/>
              <w:color w:val="000000"/>
            </w:rPr>
          </w:pPr>
          <w:hyperlink w:anchor="_heading=h.iebhfsx8jel9">
            <w:r>
              <w:rPr>
                <w:color w:val="000000"/>
                <w:sz w:val="24"/>
                <w:szCs w:val="24"/>
              </w:rPr>
              <w:t>CHAPTER 4: FINDINGS / RESULTS, ANALYSIS AND DISCUSSION</w:t>
            </w:r>
            <w:r>
              <w:rPr>
                <w:color w:val="000000"/>
                <w:sz w:val="24"/>
                <w:szCs w:val="24"/>
              </w:rPr>
              <w:tab/>
              <w:t>44</w:t>
            </w:r>
          </w:hyperlink>
        </w:p>
        <w:p w14:paraId="41DAE0DD" w14:textId="77777777" w:rsidR="00A769CA" w:rsidRDefault="008D3F3B">
          <w:pPr>
            <w:widowControl w:val="0"/>
            <w:tabs>
              <w:tab w:val="right" w:leader="dot" w:pos="12000"/>
            </w:tabs>
            <w:spacing w:before="60" w:line="360" w:lineRule="auto"/>
            <w:ind w:left="360"/>
            <w:rPr>
              <w:color w:val="000000"/>
            </w:rPr>
          </w:pPr>
          <w:hyperlink w:anchor="_heading=h.y63qkk5wz5yf">
            <w:r>
              <w:rPr>
                <w:color w:val="000000"/>
                <w:sz w:val="24"/>
                <w:szCs w:val="24"/>
              </w:rPr>
              <w:t>4.1 Chapter Introduction</w:t>
            </w:r>
            <w:r>
              <w:rPr>
                <w:color w:val="000000"/>
                <w:sz w:val="24"/>
                <w:szCs w:val="24"/>
              </w:rPr>
              <w:tab/>
              <w:t>44</w:t>
            </w:r>
          </w:hyperlink>
        </w:p>
        <w:p w14:paraId="04F15654" w14:textId="77777777" w:rsidR="00A769CA" w:rsidRDefault="008D3F3B">
          <w:pPr>
            <w:widowControl w:val="0"/>
            <w:tabs>
              <w:tab w:val="right" w:leader="dot" w:pos="12000"/>
            </w:tabs>
            <w:spacing w:before="60" w:line="360" w:lineRule="auto"/>
            <w:ind w:left="360"/>
            <w:rPr>
              <w:color w:val="000000"/>
            </w:rPr>
          </w:pPr>
          <w:hyperlink w:anchor="_heading=h.kq2k54sh98da">
            <w:r>
              <w:rPr>
                <w:color w:val="000000"/>
                <w:sz w:val="24"/>
                <w:szCs w:val="24"/>
              </w:rPr>
              <w:t>4.2 Summary / Presentation of Findings / Results</w:t>
            </w:r>
            <w:r>
              <w:rPr>
                <w:color w:val="000000"/>
                <w:sz w:val="24"/>
                <w:szCs w:val="24"/>
              </w:rPr>
              <w:tab/>
              <w:t>44</w:t>
            </w:r>
          </w:hyperlink>
        </w:p>
        <w:p w14:paraId="39899867" w14:textId="77777777" w:rsidR="00A769CA" w:rsidRDefault="008D3F3B">
          <w:pPr>
            <w:widowControl w:val="0"/>
            <w:tabs>
              <w:tab w:val="right" w:leader="dot" w:pos="12000"/>
            </w:tabs>
            <w:spacing w:before="60" w:line="360" w:lineRule="auto"/>
            <w:ind w:left="720"/>
            <w:rPr>
              <w:color w:val="000000"/>
            </w:rPr>
          </w:pPr>
          <w:hyperlink w:anchor="_heading=h.grj5h289ighj">
            <w:r>
              <w:rPr>
                <w:color w:val="000000"/>
                <w:sz w:val="24"/>
                <w:szCs w:val="24"/>
              </w:rPr>
              <w:t>4.2.1 Strategic SRM in the Manufacturing Sector</w:t>
            </w:r>
            <w:r>
              <w:rPr>
                <w:color w:val="000000"/>
                <w:sz w:val="24"/>
                <w:szCs w:val="24"/>
              </w:rPr>
              <w:tab/>
              <w:t>44</w:t>
            </w:r>
          </w:hyperlink>
        </w:p>
        <w:p w14:paraId="6EA8709F" w14:textId="77777777" w:rsidR="00A769CA" w:rsidRDefault="008D3F3B">
          <w:pPr>
            <w:widowControl w:val="0"/>
            <w:tabs>
              <w:tab w:val="right" w:leader="dot" w:pos="12000"/>
            </w:tabs>
            <w:spacing w:before="60" w:line="360" w:lineRule="auto"/>
            <w:ind w:left="720"/>
            <w:rPr>
              <w:color w:val="000000"/>
            </w:rPr>
          </w:pPr>
          <w:hyperlink w:anchor="_heading=h.cxrh8nb7s56d">
            <w:r>
              <w:rPr>
                <w:color w:val="000000"/>
                <w:sz w:val="24"/>
                <w:szCs w:val="24"/>
              </w:rPr>
              <w:t>4.2.2 Effects of SRM on Supply Chain Performance indicators (efficiency, flexibility, customer satisfaction)</w:t>
            </w:r>
            <w:r>
              <w:rPr>
                <w:color w:val="000000"/>
                <w:sz w:val="24"/>
                <w:szCs w:val="24"/>
              </w:rPr>
              <w:tab/>
              <w:t>46</w:t>
            </w:r>
          </w:hyperlink>
        </w:p>
        <w:p w14:paraId="4EF56F5C" w14:textId="77777777" w:rsidR="00A769CA" w:rsidRDefault="008D3F3B">
          <w:pPr>
            <w:widowControl w:val="0"/>
            <w:tabs>
              <w:tab w:val="right" w:leader="dot" w:pos="12000"/>
            </w:tabs>
            <w:spacing w:before="60" w:line="360" w:lineRule="auto"/>
            <w:ind w:left="720"/>
            <w:rPr>
              <w:color w:val="000000"/>
            </w:rPr>
          </w:pPr>
          <w:hyperlink w:anchor="_heading=h.15puiunt7zuv">
            <w:r>
              <w:rPr>
                <w:color w:val="000000"/>
                <w:sz w:val="24"/>
                <w:szCs w:val="24"/>
              </w:rPr>
              <w:t>4.2.3 Challenges to SRM implementation</w:t>
            </w:r>
            <w:r>
              <w:rPr>
                <w:color w:val="000000"/>
                <w:sz w:val="24"/>
                <w:szCs w:val="24"/>
              </w:rPr>
              <w:tab/>
              <w:t>48</w:t>
            </w:r>
          </w:hyperlink>
        </w:p>
        <w:p w14:paraId="38BDEFF8" w14:textId="77777777" w:rsidR="00A769CA" w:rsidRDefault="008D3F3B">
          <w:pPr>
            <w:widowControl w:val="0"/>
            <w:tabs>
              <w:tab w:val="right" w:leader="dot" w:pos="12000"/>
            </w:tabs>
            <w:spacing w:before="60" w:line="360" w:lineRule="auto"/>
            <w:ind w:left="720"/>
            <w:rPr>
              <w:color w:val="000000"/>
            </w:rPr>
          </w:pPr>
          <w:hyperlink w:anchor="_heading=h.i43fnw3lbz6">
            <w:r>
              <w:rPr>
                <w:color w:val="000000"/>
                <w:sz w:val="24"/>
                <w:szCs w:val="24"/>
              </w:rPr>
              <w:t>4.2.4 Managerial Recommendations to Improve Supply Chain Outcomes by Strengthening Supplier Relationships</w:t>
            </w:r>
            <w:r>
              <w:rPr>
                <w:color w:val="000000"/>
                <w:sz w:val="24"/>
                <w:szCs w:val="24"/>
              </w:rPr>
              <w:tab/>
              <w:t>49</w:t>
            </w:r>
          </w:hyperlink>
        </w:p>
        <w:p w14:paraId="69ABC4DF" w14:textId="77777777" w:rsidR="00A769CA" w:rsidRDefault="008D3F3B">
          <w:pPr>
            <w:widowControl w:val="0"/>
            <w:tabs>
              <w:tab w:val="right" w:leader="dot" w:pos="12000"/>
            </w:tabs>
            <w:spacing w:before="60" w:line="360" w:lineRule="auto"/>
            <w:ind w:left="360"/>
            <w:rPr>
              <w:color w:val="000000"/>
            </w:rPr>
          </w:pPr>
          <w:hyperlink w:anchor="_heading=h.asy82oidgen4">
            <w:r>
              <w:rPr>
                <w:color w:val="000000"/>
                <w:sz w:val="24"/>
                <w:szCs w:val="24"/>
              </w:rPr>
              <w:t>4.3 Analysis of Results</w:t>
            </w:r>
            <w:r>
              <w:rPr>
                <w:color w:val="000000"/>
                <w:sz w:val="24"/>
                <w:szCs w:val="24"/>
              </w:rPr>
              <w:tab/>
              <w:t>50</w:t>
            </w:r>
          </w:hyperlink>
        </w:p>
        <w:p w14:paraId="7DAC9FA9" w14:textId="77777777" w:rsidR="00A769CA" w:rsidRDefault="008D3F3B">
          <w:pPr>
            <w:widowControl w:val="0"/>
            <w:tabs>
              <w:tab w:val="right" w:leader="dot" w:pos="12000"/>
            </w:tabs>
            <w:spacing w:before="60" w:line="360" w:lineRule="auto"/>
            <w:ind w:left="360"/>
            <w:rPr>
              <w:color w:val="000000"/>
            </w:rPr>
          </w:pPr>
          <w:hyperlink w:anchor="_heading=h.hhn70qdsc1xp">
            <w:r>
              <w:rPr>
                <w:color w:val="000000"/>
                <w:sz w:val="24"/>
                <w:szCs w:val="24"/>
              </w:rPr>
              <w:t>4.4 Discussion of Results</w:t>
            </w:r>
            <w:r>
              <w:rPr>
                <w:color w:val="000000"/>
                <w:sz w:val="24"/>
                <w:szCs w:val="24"/>
              </w:rPr>
              <w:tab/>
              <w:t>52</w:t>
            </w:r>
          </w:hyperlink>
        </w:p>
        <w:p w14:paraId="627611E0" w14:textId="77777777" w:rsidR="00A769CA" w:rsidRDefault="008D3F3B">
          <w:pPr>
            <w:widowControl w:val="0"/>
            <w:tabs>
              <w:tab w:val="right" w:leader="dot" w:pos="12000"/>
            </w:tabs>
            <w:spacing w:before="60" w:line="360" w:lineRule="auto"/>
            <w:ind w:left="360"/>
            <w:rPr>
              <w:color w:val="000000"/>
            </w:rPr>
          </w:pPr>
          <w:hyperlink w:anchor="_heading=h.vmog9khkq78o">
            <w:r>
              <w:rPr>
                <w:color w:val="000000"/>
                <w:sz w:val="24"/>
                <w:szCs w:val="24"/>
              </w:rPr>
              <w:t>SRM as a Strategic Contributor, not an Operational Function</w:t>
            </w:r>
            <w:r>
              <w:rPr>
                <w:color w:val="000000"/>
                <w:sz w:val="24"/>
                <w:szCs w:val="24"/>
              </w:rPr>
              <w:tab/>
              <w:t>52</w:t>
            </w:r>
          </w:hyperlink>
        </w:p>
        <w:p w14:paraId="6698A566" w14:textId="77777777" w:rsidR="00A769CA" w:rsidRDefault="008D3F3B">
          <w:pPr>
            <w:widowControl w:val="0"/>
            <w:tabs>
              <w:tab w:val="right" w:leader="dot" w:pos="12000"/>
            </w:tabs>
            <w:spacing w:before="60" w:line="360" w:lineRule="auto"/>
            <w:ind w:left="360"/>
            <w:rPr>
              <w:color w:val="000000"/>
            </w:rPr>
          </w:pPr>
          <w:hyperlink w:anchor="_heading=h.fz0smzln560s">
            <w:r>
              <w:rPr>
                <w:color w:val="000000"/>
                <w:sz w:val="24"/>
                <w:szCs w:val="24"/>
              </w:rPr>
              <w:t>Effect of SRM on Efficiency: Confirmed by Transparency and Co-Planning</w:t>
            </w:r>
            <w:r>
              <w:rPr>
                <w:color w:val="000000"/>
                <w:sz w:val="24"/>
                <w:szCs w:val="24"/>
              </w:rPr>
              <w:tab/>
              <w:t>53</w:t>
            </w:r>
          </w:hyperlink>
        </w:p>
        <w:p w14:paraId="090E30E5" w14:textId="77777777" w:rsidR="00A769CA" w:rsidRDefault="008D3F3B">
          <w:pPr>
            <w:widowControl w:val="0"/>
            <w:tabs>
              <w:tab w:val="right" w:leader="dot" w:pos="12000"/>
            </w:tabs>
            <w:spacing w:before="60" w:line="360" w:lineRule="auto"/>
            <w:ind w:left="360"/>
            <w:rPr>
              <w:color w:val="000000"/>
            </w:rPr>
          </w:pPr>
          <w:hyperlink w:anchor="_heading=h.2hz7wavdmo07">
            <w:r>
              <w:rPr>
                <w:color w:val="000000"/>
                <w:sz w:val="24"/>
                <w:szCs w:val="24"/>
              </w:rPr>
              <w:t>SRM Enhances Flexibility by Trust, Responsiveness and Supplier Capability</w:t>
            </w:r>
            <w:r>
              <w:rPr>
                <w:color w:val="000000"/>
                <w:sz w:val="24"/>
                <w:szCs w:val="24"/>
              </w:rPr>
              <w:tab/>
              <w:t>53</w:t>
            </w:r>
          </w:hyperlink>
        </w:p>
        <w:p w14:paraId="007677D1" w14:textId="77777777" w:rsidR="00A769CA" w:rsidRDefault="008D3F3B">
          <w:pPr>
            <w:widowControl w:val="0"/>
            <w:tabs>
              <w:tab w:val="right" w:leader="dot" w:pos="12000"/>
            </w:tabs>
            <w:spacing w:before="60" w:line="360" w:lineRule="auto"/>
            <w:ind w:left="360"/>
            <w:rPr>
              <w:color w:val="000000"/>
            </w:rPr>
          </w:pPr>
          <w:hyperlink w:anchor="_heading=h.moq8uaa26ukx">
            <w:r>
              <w:rPr>
                <w:color w:val="000000"/>
                <w:sz w:val="24"/>
                <w:szCs w:val="24"/>
              </w:rPr>
              <w:t>The role of SRM in Customer Satisfaction: Quality, Reliability and Ethical Guarantee</w:t>
            </w:r>
            <w:r>
              <w:rPr>
                <w:color w:val="000000"/>
                <w:sz w:val="24"/>
                <w:szCs w:val="24"/>
              </w:rPr>
              <w:tab/>
              <w:t>54</w:t>
            </w:r>
          </w:hyperlink>
        </w:p>
        <w:p w14:paraId="5BDF505C" w14:textId="77777777" w:rsidR="00A769CA" w:rsidRDefault="008D3F3B">
          <w:pPr>
            <w:widowControl w:val="0"/>
            <w:tabs>
              <w:tab w:val="right" w:leader="dot" w:pos="12000"/>
            </w:tabs>
            <w:spacing w:before="60" w:line="360" w:lineRule="auto"/>
            <w:ind w:left="360"/>
            <w:rPr>
              <w:color w:val="000000"/>
            </w:rPr>
          </w:pPr>
          <w:hyperlink w:anchor="_heading=h.m89owtdq2d86">
            <w:r>
              <w:rPr>
                <w:color w:val="000000"/>
                <w:sz w:val="24"/>
                <w:szCs w:val="24"/>
              </w:rPr>
              <w:t>Chronic Problems Reflect Structural to Behavioural Misfit</w:t>
            </w:r>
            <w:r>
              <w:rPr>
                <w:color w:val="000000"/>
                <w:sz w:val="24"/>
                <w:szCs w:val="24"/>
              </w:rPr>
              <w:tab/>
              <w:t>54</w:t>
            </w:r>
          </w:hyperlink>
        </w:p>
        <w:p w14:paraId="211AC58C" w14:textId="77777777" w:rsidR="00A769CA" w:rsidRDefault="008D3F3B">
          <w:pPr>
            <w:widowControl w:val="0"/>
            <w:tabs>
              <w:tab w:val="right" w:leader="dot" w:pos="12000"/>
            </w:tabs>
            <w:spacing w:before="60" w:line="360" w:lineRule="auto"/>
            <w:ind w:left="360"/>
            <w:rPr>
              <w:color w:val="000000"/>
            </w:rPr>
          </w:pPr>
          <w:hyperlink w:anchor="_heading=h.1dhtdex7ab8x">
            <w:r>
              <w:rPr>
                <w:color w:val="000000"/>
                <w:sz w:val="24"/>
                <w:szCs w:val="24"/>
              </w:rPr>
              <w:t>Managerial Recommendation Strengths: SRM as a Long-Term Capability</w:t>
            </w:r>
            <w:r>
              <w:rPr>
                <w:color w:val="000000"/>
                <w:sz w:val="24"/>
                <w:szCs w:val="24"/>
              </w:rPr>
              <w:tab/>
              <w:t>55</w:t>
            </w:r>
          </w:hyperlink>
        </w:p>
        <w:p w14:paraId="1B194EEC" w14:textId="77777777" w:rsidR="00A769CA" w:rsidRDefault="008D3F3B">
          <w:pPr>
            <w:widowControl w:val="0"/>
            <w:tabs>
              <w:tab w:val="right" w:leader="dot" w:pos="12000"/>
            </w:tabs>
            <w:spacing w:before="60" w:line="360" w:lineRule="auto"/>
            <w:ind w:left="360"/>
            <w:rPr>
              <w:color w:val="000000"/>
            </w:rPr>
          </w:pPr>
          <w:hyperlink w:anchor="_heading=h.kmp6lpo508rk">
            <w:r>
              <w:rPr>
                <w:color w:val="000000"/>
                <w:sz w:val="24"/>
                <w:szCs w:val="24"/>
              </w:rPr>
              <w:t>4.5 Chapter Summary</w:t>
            </w:r>
            <w:r>
              <w:rPr>
                <w:color w:val="000000"/>
                <w:sz w:val="24"/>
                <w:szCs w:val="24"/>
              </w:rPr>
              <w:tab/>
              <w:t>57</w:t>
            </w:r>
          </w:hyperlink>
        </w:p>
        <w:p w14:paraId="34F57D04" w14:textId="77777777" w:rsidR="00A769CA" w:rsidRDefault="008D3F3B">
          <w:pPr>
            <w:widowControl w:val="0"/>
            <w:tabs>
              <w:tab w:val="right" w:leader="dot" w:pos="12000"/>
            </w:tabs>
            <w:spacing w:before="60" w:line="360" w:lineRule="auto"/>
            <w:rPr>
              <w:b/>
              <w:bCs/>
              <w:color w:val="000000"/>
            </w:rPr>
          </w:pPr>
          <w:hyperlink w:anchor="_heading=h.7nj5yrmidolh">
            <w:r>
              <w:rPr>
                <w:color w:val="000000"/>
                <w:sz w:val="24"/>
                <w:szCs w:val="24"/>
              </w:rPr>
              <w:t>CHAPTER 5: CONCLUSIONS AND RECOMMENDATIONS</w:t>
            </w:r>
            <w:r>
              <w:rPr>
                <w:color w:val="000000"/>
                <w:sz w:val="24"/>
                <w:szCs w:val="24"/>
              </w:rPr>
              <w:tab/>
              <w:t>57</w:t>
            </w:r>
          </w:hyperlink>
        </w:p>
        <w:p w14:paraId="48C9CEA8" w14:textId="77777777" w:rsidR="00A769CA" w:rsidRDefault="008D3F3B">
          <w:pPr>
            <w:widowControl w:val="0"/>
            <w:tabs>
              <w:tab w:val="right" w:leader="dot" w:pos="12000"/>
            </w:tabs>
            <w:spacing w:before="60" w:line="360" w:lineRule="auto"/>
            <w:ind w:left="360"/>
            <w:rPr>
              <w:color w:val="000000"/>
            </w:rPr>
          </w:pPr>
          <w:hyperlink w:anchor="_heading=h.rtrzx8uexegz">
            <w:r>
              <w:rPr>
                <w:color w:val="000000"/>
                <w:sz w:val="24"/>
                <w:szCs w:val="24"/>
              </w:rPr>
              <w:t>5.1 Chapter Introduction</w:t>
            </w:r>
            <w:r>
              <w:rPr>
                <w:color w:val="000000"/>
                <w:sz w:val="24"/>
                <w:szCs w:val="24"/>
              </w:rPr>
              <w:tab/>
              <w:t>57</w:t>
            </w:r>
          </w:hyperlink>
        </w:p>
        <w:p w14:paraId="0109D276" w14:textId="77777777" w:rsidR="00A769CA" w:rsidRDefault="008D3F3B">
          <w:pPr>
            <w:widowControl w:val="0"/>
            <w:tabs>
              <w:tab w:val="right" w:leader="dot" w:pos="12000"/>
            </w:tabs>
            <w:spacing w:before="60" w:line="360" w:lineRule="auto"/>
            <w:ind w:left="360"/>
            <w:rPr>
              <w:color w:val="000000"/>
            </w:rPr>
          </w:pPr>
          <w:hyperlink w:anchor="_heading=h.85fbvaad8vs7">
            <w:r>
              <w:rPr>
                <w:color w:val="000000"/>
                <w:sz w:val="24"/>
                <w:szCs w:val="24"/>
              </w:rPr>
              <w:t>5.2 Summary of main findings</w:t>
            </w:r>
            <w:r>
              <w:rPr>
                <w:color w:val="000000"/>
                <w:sz w:val="24"/>
                <w:szCs w:val="24"/>
              </w:rPr>
              <w:tab/>
              <w:t>57</w:t>
            </w:r>
          </w:hyperlink>
        </w:p>
        <w:p w14:paraId="70DB9AA8" w14:textId="77777777" w:rsidR="00A769CA" w:rsidRDefault="008D3F3B">
          <w:pPr>
            <w:widowControl w:val="0"/>
            <w:tabs>
              <w:tab w:val="right" w:leader="dot" w:pos="12000"/>
            </w:tabs>
            <w:spacing w:before="60" w:line="360" w:lineRule="auto"/>
            <w:ind w:left="360"/>
            <w:rPr>
              <w:color w:val="000000"/>
            </w:rPr>
          </w:pPr>
          <w:hyperlink w:anchor="_heading=h.bqgfn2a4em35">
            <w:r>
              <w:rPr>
                <w:color w:val="000000"/>
                <w:sz w:val="24"/>
                <w:szCs w:val="24"/>
              </w:rPr>
              <w:t xml:space="preserve">5.3 Conclusion based on the research questions </w:t>
            </w:r>
            <w:r>
              <w:rPr>
                <w:color w:val="000000"/>
                <w:sz w:val="24"/>
                <w:szCs w:val="24"/>
              </w:rPr>
              <w:tab/>
              <w:t>59</w:t>
            </w:r>
          </w:hyperlink>
        </w:p>
        <w:p w14:paraId="33C91C2A" w14:textId="77777777" w:rsidR="00A769CA" w:rsidRDefault="008D3F3B">
          <w:pPr>
            <w:widowControl w:val="0"/>
            <w:tabs>
              <w:tab w:val="right" w:leader="dot" w:pos="12000"/>
            </w:tabs>
            <w:spacing w:before="60" w:line="360" w:lineRule="auto"/>
            <w:ind w:left="360"/>
            <w:rPr>
              <w:color w:val="000000"/>
            </w:rPr>
          </w:pPr>
          <w:hyperlink w:anchor="_heading=h.kp486o8xtspe">
            <w:r>
              <w:rPr>
                <w:color w:val="000000"/>
                <w:sz w:val="24"/>
                <w:szCs w:val="24"/>
              </w:rPr>
              <w:t>5.4 Recommendation</w:t>
            </w:r>
            <w:r>
              <w:rPr>
                <w:color w:val="000000"/>
                <w:sz w:val="24"/>
                <w:szCs w:val="24"/>
              </w:rPr>
              <w:tab/>
              <w:t>60</w:t>
            </w:r>
          </w:hyperlink>
        </w:p>
        <w:p w14:paraId="454A434F" w14:textId="77777777" w:rsidR="00A769CA" w:rsidRDefault="008D3F3B">
          <w:pPr>
            <w:widowControl w:val="0"/>
            <w:tabs>
              <w:tab w:val="right" w:leader="dot" w:pos="12000"/>
            </w:tabs>
            <w:spacing w:before="60" w:line="360" w:lineRule="auto"/>
            <w:ind w:left="360"/>
            <w:rPr>
              <w:color w:val="000000"/>
            </w:rPr>
          </w:pPr>
          <w:hyperlink w:anchor="_heading=h.9f3m0tgp99nj">
            <w:r>
              <w:rPr>
                <w:color w:val="000000"/>
                <w:sz w:val="24"/>
                <w:szCs w:val="24"/>
              </w:rPr>
              <w:t>5.5 Limitations of Research</w:t>
            </w:r>
            <w:r>
              <w:rPr>
                <w:color w:val="000000"/>
                <w:sz w:val="24"/>
                <w:szCs w:val="24"/>
              </w:rPr>
              <w:tab/>
              <w:t>61</w:t>
            </w:r>
          </w:hyperlink>
        </w:p>
        <w:p w14:paraId="4D05158D" w14:textId="77777777" w:rsidR="00A769CA" w:rsidRDefault="008D3F3B">
          <w:pPr>
            <w:widowControl w:val="0"/>
            <w:tabs>
              <w:tab w:val="right" w:leader="dot" w:pos="12000"/>
            </w:tabs>
            <w:spacing w:before="60" w:line="360" w:lineRule="auto"/>
            <w:ind w:left="360"/>
            <w:rPr>
              <w:color w:val="000000"/>
            </w:rPr>
          </w:pPr>
          <w:hyperlink w:anchor="_heading=h.z5g6vaukkr0l">
            <w:r>
              <w:rPr>
                <w:color w:val="000000"/>
                <w:sz w:val="24"/>
                <w:szCs w:val="24"/>
              </w:rPr>
              <w:t>5.6 Recommendation for Future Work</w:t>
            </w:r>
            <w:r>
              <w:rPr>
                <w:color w:val="000000"/>
                <w:sz w:val="24"/>
                <w:szCs w:val="24"/>
              </w:rPr>
              <w:tab/>
              <w:t>62</w:t>
            </w:r>
          </w:hyperlink>
        </w:p>
        <w:p w14:paraId="5718929F" w14:textId="77777777" w:rsidR="00A769CA" w:rsidRDefault="008D3F3B">
          <w:pPr>
            <w:widowControl w:val="0"/>
            <w:tabs>
              <w:tab w:val="right" w:leader="dot" w:pos="12000"/>
            </w:tabs>
            <w:spacing w:before="60" w:line="360" w:lineRule="auto"/>
            <w:ind w:left="360"/>
            <w:rPr>
              <w:color w:val="000000"/>
            </w:rPr>
          </w:pPr>
          <w:hyperlink w:anchor="_heading=h.o7g8fsfnabdh">
            <w:r>
              <w:rPr>
                <w:color w:val="000000"/>
                <w:sz w:val="24"/>
                <w:szCs w:val="24"/>
              </w:rPr>
              <w:t>5.7 Chapter Summary</w:t>
            </w:r>
            <w:r>
              <w:rPr>
                <w:color w:val="000000"/>
                <w:sz w:val="24"/>
                <w:szCs w:val="24"/>
              </w:rPr>
              <w:tab/>
              <w:t>63</w:t>
            </w:r>
          </w:hyperlink>
        </w:p>
        <w:p w14:paraId="64BDB3C7" w14:textId="77777777" w:rsidR="00A769CA" w:rsidRDefault="008D3F3B">
          <w:pPr>
            <w:widowControl w:val="0"/>
            <w:tabs>
              <w:tab w:val="right" w:leader="dot" w:pos="12000"/>
            </w:tabs>
            <w:spacing w:before="60" w:line="360" w:lineRule="auto"/>
            <w:rPr>
              <w:b/>
              <w:bCs/>
              <w:color w:val="000000"/>
            </w:rPr>
          </w:pPr>
          <w:hyperlink w:anchor="_heading=h.8orjleat85gw">
            <w:r>
              <w:rPr>
                <w:color w:val="000000"/>
                <w:sz w:val="24"/>
                <w:szCs w:val="24"/>
              </w:rPr>
              <w:t>References</w:t>
            </w:r>
            <w:r>
              <w:rPr>
                <w:color w:val="000000"/>
                <w:sz w:val="24"/>
                <w:szCs w:val="24"/>
              </w:rPr>
              <w:tab/>
              <w:t>64</w:t>
            </w:r>
          </w:hyperlink>
        </w:p>
        <w:p w14:paraId="5CA6C736" w14:textId="77777777" w:rsidR="00A769CA" w:rsidRDefault="008D3F3B">
          <w:pPr>
            <w:widowControl w:val="0"/>
            <w:tabs>
              <w:tab w:val="right" w:leader="dot" w:pos="12000"/>
            </w:tabs>
            <w:spacing w:before="60" w:line="360" w:lineRule="auto"/>
            <w:rPr>
              <w:b/>
              <w:bCs/>
              <w:color w:val="000000"/>
            </w:rPr>
          </w:pPr>
          <w:hyperlink w:anchor="_heading=h.2oz2rmdduhaf">
            <w:r>
              <w:rPr>
                <w:color w:val="000000"/>
                <w:sz w:val="24"/>
                <w:szCs w:val="24"/>
              </w:rPr>
              <w:t>Appendix</w:t>
            </w:r>
            <w:r>
              <w:rPr>
                <w:color w:val="000000"/>
                <w:sz w:val="24"/>
                <w:szCs w:val="24"/>
              </w:rPr>
              <w:tab/>
              <w:t>78</w:t>
            </w:r>
          </w:hyperlink>
          <w:r>
            <w:fldChar w:fldCharType="end"/>
          </w:r>
        </w:p>
      </w:sdtContent>
    </w:sdt>
    <w:p w14:paraId="05354E5E" w14:textId="77777777" w:rsidR="00A769CA" w:rsidRDefault="008D3F3B">
      <w:pPr>
        <w:spacing w:line="360" w:lineRule="auto"/>
        <w:rPr>
          <w:color w:val="000000"/>
          <w:sz w:val="24"/>
          <w:szCs w:val="24"/>
        </w:rPr>
      </w:pPr>
      <w:r>
        <w:br w:type="page"/>
      </w:r>
    </w:p>
    <w:p w14:paraId="690C2744" w14:textId="77777777" w:rsidR="00A769CA" w:rsidRDefault="008D3F3B">
      <w:pPr>
        <w:pBdr>
          <w:top w:val="nil"/>
          <w:left w:val="nil"/>
          <w:bottom w:val="nil"/>
          <w:right w:val="nil"/>
          <w:between w:val="nil"/>
        </w:pBdr>
        <w:tabs>
          <w:tab w:val="right" w:pos="9019"/>
        </w:tabs>
        <w:spacing w:line="360" w:lineRule="auto"/>
        <w:jc w:val="center"/>
        <w:rPr>
          <w:b/>
          <w:bCs/>
          <w:color w:val="000000"/>
          <w:sz w:val="24"/>
          <w:szCs w:val="24"/>
        </w:rPr>
      </w:pPr>
      <w:r>
        <w:rPr>
          <w:b/>
          <w:bCs/>
          <w:color w:val="000000"/>
          <w:sz w:val="24"/>
          <w:szCs w:val="24"/>
        </w:rPr>
        <w:lastRenderedPageBreak/>
        <w:t>List of Figures</w:t>
      </w:r>
    </w:p>
    <w:sdt>
      <w:sdtPr>
        <w:id w:val="2004364877"/>
        <w:docPartObj>
          <w:docPartGallery w:val="Table of Contents"/>
          <w:docPartUnique/>
        </w:docPartObj>
      </w:sdtPr>
      <w:sdtEndPr/>
      <w:sdtContent>
        <w:p w14:paraId="124B419C" w14:textId="77777777" w:rsidR="00A769CA" w:rsidRDefault="008D3F3B">
          <w:pPr>
            <w:pBdr>
              <w:top w:val="nil"/>
              <w:left w:val="nil"/>
              <w:bottom w:val="nil"/>
              <w:right w:val="nil"/>
              <w:between w:val="nil"/>
            </w:pBdr>
            <w:tabs>
              <w:tab w:val="right" w:pos="9019"/>
            </w:tabs>
            <w:spacing w:line="360" w:lineRule="auto"/>
            <w:jc w:val="both"/>
            <w:rPr>
              <w:color w:val="000000"/>
              <w:sz w:val="24"/>
              <w:szCs w:val="24"/>
            </w:rPr>
          </w:pPr>
          <w:r>
            <w:fldChar w:fldCharType="begin"/>
          </w:r>
          <w:r>
            <w:instrText xml:space="preserve"> TOC \h \u \z \t "Heading 1,1,Heading 2,2,Heading 3,3,Heading 4,4,Heading 5,5,Heading 6,6,"</w:instrText>
          </w:r>
          <w:r>
            <w:fldChar w:fldCharType="separate"/>
          </w:r>
          <w:hyperlink w:anchor="_heading=h.iurgwh5cbtw4">
            <w:r>
              <w:rPr>
                <w:color w:val="000000"/>
                <w:sz w:val="24"/>
                <w:szCs w:val="24"/>
              </w:rPr>
              <w:t>Figure 1: Output in the manufacturing market</w:t>
            </w:r>
            <w:r>
              <w:rPr>
                <w:color w:val="000000"/>
                <w:sz w:val="24"/>
                <w:szCs w:val="24"/>
              </w:rPr>
              <w:tab/>
              <w:t>10</w:t>
            </w:r>
          </w:hyperlink>
        </w:p>
        <w:p w14:paraId="6C20B258" w14:textId="77777777" w:rsidR="00A769CA" w:rsidRDefault="008D3F3B">
          <w:pPr>
            <w:pBdr>
              <w:top w:val="nil"/>
              <w:left w:val="nil"/>
              <w:bottom w:val="nil"/>
              <w:right w:val="nil"/>
              <w:between w:val="nil"/>
            </w:pBdr>
            <w:tabs>
              <w:tab w:val="right" w:pos="9019"/>
            </w:tabs>
            <w:spacing w:line="360" w:lineRule="auto"/>
            <w:jc w:val="both"/>
            <w:rPr>
              <w:color w:val="000000"/>
              <w:sz w:val="24"/>
              <w:szCs w:val="24"/>
            </w:rPr>
          </w:pPr>
          <w:hyperlink w:anchor="_heading=h.7np2sb1bkoeu">
            <w:r>
              <w:rPr>
                <w:color w:val="000000"/>
                <w:sz w:val="24"/>
                <w:szCs w:val="24"/>
              </w:rPr>
              <w:t>Figure 2: The top priorities in business and supply chain operations in 2021</w:t>
            </w:r>
            <w:r>
              <w:rPr>
                <w:color w:val="000000"/>
                <w:sz w:val="24"/>
                <w:szCs w:val="24"/>
              </w:rPr>
              <w:tab/>
              <w:t>12</w:t>
            </w:r>
          </w:hyperlink>
        </w:p>
        <w:p w14:paraId="3D66CE68" w14:textId="77777777" w:rsidR="00A769CA" w:rsidRDefault="008D3F3B">
          <w:pPr>
            <w:pBdr>
              <w:top w:val="nil"/>
              <w:left w:val="nil"/>
              <w:bottom w:val="nil"/>
              <w:right w:val="nil"/>
              <w:between w:val="nil"/>
            </w:pBdr>
            <w:tabs>
              <w:tab w:val="right" w:pos="9019"/>
            </w:tabs>
            <w:spacing w:line="360" w:lineRule="auto"/>
            <w:jc w:val="both"/>
            <w:rPr>
              <w:color w:val="000000"/>
              <w:sz w:val="24"/>
              <w:szCs w:val="24"/>
            </w:rPr>
          </w:pPr>
          <w:hyperlink w:anchor="_heading=h.vkf5i9ogcrb8">
            <w:r>
              <w:rPr>
                <w:color w:val="000000"/>
                <w:sz w:val="24"/>
                <w:szCs w:val="24"/>
              </w:rPr>
              <w:t>Figure 3: The Resource-Based View Theory</w:t>
            </w:r>
            <w:r>
              <w:rPr>
                <w:color w:val="000000"/>
                <w:sz w:val="24"/>
                <w:szCs w:val="24"/>
              </w:rPr>
              <w:tab/>
              <w:t>19</w:t>
            </w:r>
          </w:hyperlink>
        </w:p>
        <w:p w14:paraId="2C094FF6" w14:textId="77777777" w:rsidR="00A769CA" w:rsidRDefault="008D3F3B">
          <w:pPr>
            <w:pBdr>
              <w:top w:val="nil"/>
              <w:left w:val="nil"/>
              <w:bottom w:val="nil"/>
              <w:right w:val="nil"/>
              <w:between w:val="nil"/>
            </w:pBdr>
            <w:tabs>
              <w:tab w:val="right" w:pos="9019"/>
            </w:tabs>
            <w:spacing w:line="360" w:lineRule="auto"/>
            <w:jc w:val="both"/>
            <w:rPr>
              <w:color w:val="000000"/>
              <w:sz w:val="24"/>
              <w:szCs w:val="24"/>
            </w:rPr>
          </w:pPr>
          <w:hyperlink w:anchor="_heading=h.djft3fpu3w9e">
            <w:r>
              <w:rPr>
                <w:color w:val="000000"/>
                <w:sz w:val="24"/>
                <w:szCs w:val="24"/>
              </w:rPr>
              <w:t>Figure 4: The implementation of the environmentally sustainable practices that changed over the last year</w:t>
            </w:r>
            <w:r>
              <w:rPr>
                <w:color w:val="000000"/>
                <w:sz w:val="24"/>
                <w:szCs w:val="24"/>
              </w:rPr>
              <w:tab/>
              <w:t>21</w:t>
            </w:r>
          </w:hyperlink>
        </w:p>
        <w:p w14:paraId="7C4D6495" w14:textId="77777777" w:rsidR="00A769CA" w:rsidRDefault="008D3F3B">
          <w:pPr>
            <w:pBdr>
              <w:top w:val="nil"/>
              <w:left w:val="nil"/>
              <w:bottom w:val="nil"/>
              <w:right w:val="nil"/>
              <w:between w:val="nil"/>
            </w:pBdr>
            <w:tabs>
              <w:tab w:val="right" w:pos="9019"/>
            </w:tabs>
            <w:spacing w:line="360" w:lineRule="auto"/>
            <w:jc w:val="both"/>
            <w:rPr>
              <w:color w:val="000000"/>
              <w:sz w:val="24"/>
              <w:szCs w:val="24"/>
            </w:rPr>
          </w:pPr>
          <w:hyperlink w:anchor="_heading=h.o67t732dnr5s">
            <w:r>
              <w:rPr>
                <w:color w:val="000000"/>
                <w:sz w:val="24"/>
                <w:szCs w:val="24"/>
              </w:rPr>
              <w:t>Figure 5: Theory of Transaction Cost Economics</w:t>
            </w:r>
            <w:r>
              <w:rPr>
                <w:color w:val="000000"/>
                <w:sz w:val="24"/>
                <w:szCs w:val="24"/>
              </w:rPr>
              <w:tab/>
              <w:t>22</w:t>
            </w:r>
          </w:hyperlink>
        </w:p>
        <w:p w14:paraId="4018AEA0" w14:textId="77777777" w:rsidR="00A769CA" w:rsidRDefault="008D3F3B">
          <w:pPr>
            <w:pBdr>
              <w:top w:val="nil"/>
              <w:left w:val="nil"/>
              <w:bottom w:val="nil"/>
              <w:right w:val="nil"/>
              <w:between w:val="nil"/>
            </w:pBdr>
            <w:tabs>
              <w:tab w:val="right" w:pos="9019"/>
            </w:tabs>
            <w:spacing w:line="360" w:lineRule="auto"/>
            <w:jc w:val="both"/>
            <w:rPr>
              <w:color w:val="000000"/>
              <w:sz w:val="24"/>
              <w:szCs w:val="24"/>
            </w:rPr>
          </w:pPr>
          <w:hyperlink w:anchor="_heading=h.hlgiy3yb9hno">
            <w:r>
              <w:rPr>
                <w:color w:val="000000"/>
                <w:sz w:val="24"/>
                <w:szCs w:val="24"/>
              </w:rPr>
              <w:t>Figure 6: The Theoretical Model aligned with the Social Exchange Theory.</w:t>
            </w:r>
            <w:r>
              <w:rPr>
                <w:color w:val="000000"/>
                <w:sz w:val="24"/>
                <w:szCs w:val="24"/>
              </w:rPr>
              <w:tab/>
              <w:t>24</w:t>
            </w:r>
          </w:hyperlink>
        </w:p>
        <w:p w14:paraId="0DF00BC4" w14:textId="77777777" w:rsidR="00A769CA" w:rsidRDefault="008D3F3B">
          <w:pPr>
            <w:pBdr>
              <w:top w:val="nil"/>
              <w:left w:val="nil"/>
              <w:bottom w:val="nil"/>
              <w:right w:val="nil"/>
              <w:between w:val="nil"/>
            </w:pBdr>
            <w:tabs>
              <w:tab w:val="right" w:pos="9019"/>
            </w:tabs>
            <w:spacing w:line="360" w:lineRule="auto"/>
            <w:jc w:val="both"/>
            <w:rPr>
              <w:color w:val="000000"/>
              <w:sz w:val="24"/>
              <w:szCs w:val="24"/>
            </w:rPr>
          </w:pPr>
          <w:hyperlink w:anchor="_heading=h.h6waqjyl8og2">
            <w:r>
              <w:rPr>
                <w:color w:val="000000"/>
                <w:sz w:val="24"/>
                <w:szCs w:val="24"/>
              </w:rPr>
              <w:t>Figure 7: Conceptual framework</w:t>
            </w:r>
            <w:r>
              <w:rPr>
                <w:color w:val="000000"/>
                <w:sz w:val="24"/>
                <w:szCs w:val="24"/>
              </w:rPr>
              <w:tab/>
              <w:t>31</w:t>
            </w:r>
          </w:hyperlink>
        </w:p>
        <w:p w14:paraId="4D00174C" w14:textId="77777777" w:rsidR="00A769CA" w:rsidRDefault="008D3F3B">
          <w:pPr>
            <w:pBdr>
              <w:top w:val="nil"/>
              <w:left w:val="nil"/>
              <w:bottom w:val="nil"/>
              <w:right w:val="nil"/>
              <w:between w:val="nil"/>
            </w:pBdr>
            <w:tabs>
              <w:tab w:val="right" w:pos="9019"/>
            </w:tabs>
            <w:spacing w:line="360" w:lineRule="auto"/>
            <w:jc w:val="both"/>
            <w:rPr>
              <w:color w:val="000000"/>
              <w:sz w:val="24"/>
              <w:szCs w:val="24"/>
            </w:rPr>
          </w:pPr>
          <w:hyperlink w:anchor="_heading=h.9mpe7iuokmp3">
            <w:r>
              <w:rPr>
                <w:color w:val="000000"/>
                <w:sz w:val="24"/>
                <w:szCs w:val="24"/>
              </w:rPr>
              <w:t>Figure 8: PRISMA flowchart diagram</w:t>
            </w:r>
            <w:r>
              <w:rPr>
                <w:color w:val="000000"/>
                <w:sz w:val="24"/>
                <w:szCs w:val="24"/>
              </w:rPr>
              <w:tab/>
              <w:t>39</w:t>
            </w:r>
          </w:hyperlink>
        </w:p>
        <w:p w14:paraId="178AA830" w14:textId="77777777" w:rsidR="00A769CA" w:rsidRDefault="008D3F3B">
          <w:pPr>
            <w:pBdr>
              <w:top w:val="nil"/>
              <w:left w:val="nil"/>
              <w:bottom w:val="nil"/>
              <w:right w:val="nil"/>
              <w:between w:val="nil"/>
            </w:pBdr>
            <w:tabs>
              <w:tab w:val="right" w:pos="9019"/>
            </w:tabs>
            <w:spacing w:line="360" w:lineRule="auto"/>
            <w:jc w:val="both"/>
            <w:rPr>
              <w:color w:val="000000"/>
              <w:sz w:val="24"/>
              <w:szCs w:val="24"/>
            </w:rPr>
          </w:pPr>
          <w:hyperlink w:anchor="_heading=h.yoyisa53atzr">
            <w:r>
              <w:rPr>
                <w:color w:val="000000"/>
                <w:sz w:val="24"/>
                <w:szCs w:val="24"/>
              </w:rPr>
              <w:t>Figure 9: Gantt Chart of the 8-week Timeline</w:t>
            </w:r>
            <w:r>
              <w:rPr>
                <w:color w:val="000000"/>
                <w:sz w:val="24"/>
                <w:szCs w:val="24"/>
              </w:rPr>
              <w:tab/>
              <w:t>40</w:t>
            </w:r>
          </w:hyperlink>
        </w:p>
        <w:p w14:paraId="3D62EA4B" w14:textId="77777777" w:rsidR="00A769CA" w:rsidRDefault="008D3F3B">
          <w:pPr>
            <w:pBdr>
              <w:top w:val="nil"/>
              <w:left w:val="nil"/>
              <w:bottom w:val="nil"/>
              <w:right w:val="nil"/>
              <w:between w:val="nil"/>
            </w:pBdr>
            <w:tabs>
              <w:tab w:val="right" w:pos="9019"/>
            </w:tabs>
            <w:spacing w:line="360" w:lineRule="auto"/>
            <w:jc w:val="both"/>
            <w:rPr>
              <w:color w:val="000000"/>
              <w:sz w:val="24"/>
              <w:szCs w:val="24"/>
            </w:rPr>
          </w:pPr>
          <w:hyperlink w:anchor="_heading=h.o1v9gnlioq1t">
            <w:r>
              <w:rPr>
                <w:color w:val="000000"/>
                <w:sz w:val="24"/>
                <w:szCs w:val="24"/>
              </w:rPr>
              <w:t>Figure 10: Effects of the COVID-19 pandemic on Supply Chain Delay in Businesses</w:t>
            </w:r>
            <w:r>
              <w:rPr>
                <w:color w:val="000000"/>
                <w:sz w:val="24"/>
                <w:szCs w:val="24"/>
              </w:rPr>
              <w:tab/>
              <w:t>44</w:t>
            </w:r>
          </w:hyperlink>
        </w:p>
        <w:p w14:paraId="16C30335" w14:textId="77777777" w:rsidR="00A769CA" w:rsidRDefault="008D3F3B">
          <w:pPr>
            <w:pBdr>
              <w:top w:val="nil"/>
              <w:left w:val="nil"/>
              <w:bottom w:val="nil"/>
              <w:right w:val="nil"/>
              <w:between w:val="nil"/>
            </w:pBdr>
            <w:spacing w:after="240" w:line="360" w:lineRule="auto"/>
            <w:jc w:val="both"/>
            <w:rPr>
              <w:color w:val="000000"/>
              <w:sz w:val="24"/>
              <w:szCs w:val="24"/>
            </w:rPr>
          </w:pPr>
          <w:r>
            <w:fldChar w:fldCharType="end"/>
          </w:r>
        </w:p>
      </w:sdtContent>
    </w:sdt>
    <w:p w14:paraId="525ED86D" w14:textId="77777777" w:rsidR="00A769CA" w:rsidRDefault="008D3F3B">
      <w:pPr>
        <w:spacing w:line="360" w:lineRule="auto"/>
        <w:rPr>
          <w:b/>
          <w:bCs/>
          <w:color w:val="000000"/>
          <w:sz w:val="28"/>
          <w:szCs w:val="28"/>
        </w:rPr>
      </w:pPr>
      <w:r>
        <w:br w:type="page"/>
      </w:r>
    </w:p>
    <w:p w14:paraId="1BA1B513" w14:textId="77777777" w:rsidR="00A769CA" w:rsidRDefault="008D3F3B">
      <w:pPr>
        <w:pStyle w:val="Heading1"/>
      </w:pPr>
      <w:bookmarkStart w:id="1" w:name="_heading=h.6b868hno28v5" w:colFirst="0" w:colLast="0"/>
      <w:bookmarkEnd w:id="1"/>
      <w:r>
        <w:lastRenderedPageBreak/>
        <w:t xml:space="preserve">CHAPTER 1: INTRODUCTION </w:t>
      </w:r>
    </w:p>
    <w:p w14:paraId="25AC6DD3" w14:textId="77777777" w:rsidR="00A769CA" w:rsidRDefault="008D3F3B">
      <w:pPr>
        <w:pStyle w:val="Heading2"/>
        <w:spacing w:after="240"/>
      </w:pPr>
      <w:bookmarkStart w:id="2" w:name="_heading=h.2a6ww3anz2d" w:colFirst="0" w:colLast="0"/>
      <w:bookmarkEnd w:id="2"/>
      <w:r>
        <w:t xml:space="preserve">1.1 Background &amp; Problem Statement </w:t>
      </w:r>
    </w:p>
    <w:p w14:paraId="62FDFBE9"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222222"/>
          <w:sz w:val="24"/>
          <w:szCs w:val="24"/>
        </w:rPr>
        <w:t>The strategic supplier relations management, or SRM, often positively affects the overall supply chain performance, especially in the manufacturing sector. This is mainly carried out with the help of enhancing efficiency, reducing overall costs, increasing quality, and enhancing business resilience through robust partnerships with the business suppliers (</w:t>
      </w:r>
      <w:r>
        <w:rPr>
          <w:color w:val="000000"/>
          <w:sz w:val="24"/>
          <w:szCs w:val="24"/>
        </w:rPr>
        <w:t>Trabucco and De Giovanni, 2021</w:t>
      </w:r>
      <w:r>
        <w:rPr>
          <w:color w:val="222222"/>
          <w:sz w:val="24"/>
          <w:szCs w:val="24"/>
        </w:rPr>
        <w:t>). In other words, it might be appropriate to infer that the effective SRM can doubtlessly cherish collaboration, transparency, and innovation, which can certainly enable manufacturers to better respond to the market fluctuations and mitigate the potential risks. It has sometimes been observed that companies are forced to produce goods on time and at a low cost. They should also satisfy quality and customer requirements. The industry evolves and develops very quickly. The world</w:t>
      </w:r>
      <w:r>
        <w:rPr>
          <w:color w:val="222222"/>
          <w:sz w:val="24"/>
          <w:szCs w:val="24"/>
        </w:rPr>
        <w:t xml:space="preserve"> is getting interconnected and becoming more dangerous. According to recent studies, an improved relationship within the supply chain contributes to firms remaining competitive. </w:t>
      </w:r>
    </w:p>
    <w:p w14:paraId="44B605B1"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b/>
          <w:bCs/>
          <w:i/>
          <w:iCs/>
          <w:color w:val="222222"/>
          <w:sz w:val="24"/>
          <w:szCs w:val="24"/>
        </w:rPr>
        <w:t>Strategic SRM and its role</w:t>
      </w:r>
    </w:p>
    <w:p w14:paraId="16052E4C"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222222"/>
          <w:sz w:val="24"/>
          <w:szCs w:val="24"/>
        </w:rPr>
        <w:t>The Supplier Relationship Management (SRM) is beyond the purchase of parts. Strategic SRM implies the treatment of suppliers. It lies in long-term value as opposed to one-time deals. Good SRM encompasses the exchange of information, collaborative planning, and collaborative problem solving (</w:t>
      </w:r>
      <w:r>
        <w:rPr>
          <w:color w:val="000000"/>
          <w:sz w:val="24"/>
          <w:szCs w:val="24"/>
        </w:rPr>
        <w:t xml:space="preserve">Xu </w:t>
      </w:r>
      <w:r>
        <w:rPr>
          <w:i/>
          <w:iCs/>
          <w:color w:val="000000"/>
          <w:sz w:val="24"/>
          <w:szCs w:val="24"/>
        </w:rPr>
        <w:t xml:space="preserve">et al., </w:t>
      </w:r>
      <w:r>
        <w:rPr>
          <w:color w:val="000000"/>
          <w:sz w:val="24"/>
          <w:szCs w:val="24"/>
        </w:rPr>
        <w:t>2024</w:t>
      </w:r>
      <w:r>
        <w:rPr>
          <w:color w:val="222222"/>
          <w:sz w:val="24"/>
          <w:szCs w:val="24"/>
        </w:rPr>
        <w:t xml:space="preserve">). Suppliers tend to increase quality and speed when firms make investments in SRM. Such partnerships favour emerging product concepts and a more efficient shipping plan. SRM </w:t>
      </w:r>
      <w:proofErr w:type="spellStart"/>
      <w:r>
        <w:rPr>
          <w:color w:val="222222"/>
          <w:sz w:val="24"/>
          <w:szCs w:val="24"/>
        </w:rPr>
        <w:t>varirables</w:t>
      </w:r>
      <w:proofErr w:type="spellEnd"/>
      <w:r>
        <w:rPr>
          <w:color w:val="222222"/>
          <w:sz w:val="24"/>
          <w:szCs w:val="24"/>
        </w:rPr>
        <w:t xml:space="preserve">, namely, efficiency, flexibility, and customer satisfaction, are also useful in case of minimised risks of supply and preventing expensive disconnection problems. </w:t>
      </w:r>
    </w:p>
    <w:p w14:paraId="5FCDC8AA"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222222"/>
          <w:sz w:val="24"/>
          <w:szCs w:val="24"/>
        </w:rPr>
        <w:t xml:space="preserve">The cooperation of the suppliers can be viewed as a central aspect of being competitive in the present competitive manufacturing arena. It has been observed that there is a sharp rise in the manufacturing market, which rose to nearly 34.5 trillion USD in the year 2023. Apart from this, it is also anticipated that there can also be a sharp increase in the value of dollars, which can reach up to almost 36.7 trillion USD by the </w:t>
      </w:r>
      <w:r>
        <w:rPr>
          <w:color w:val="222222"/>
          <w:sz w:val="24"/>
          <w:szCs w:val="24"/>
        </w:rPr>
        <w:lastRenderedPageBreak/>
        <w:t>end of 2029 at a CAGR of 1.01 per cent (Fictive, 2024). SRM has developed in terms of a strategic change towards long-term business cooperation with the suppliers, as well as value creation instead of a transactional role, as mentioned by Grant (2024). This specific manufacturing sector is highly relevant as it involves a very complex and critical supply network. </w:t>
      </w:r>
    </w:p>
    <w:p w14:paraId="7497FE4B"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b/>
          <w:bCs/>
          <w:i/>
          <w:iCs/>
          <w:color w:val="222222"/>
          <w:sz w:val="24"/>
          <w:szCs w:val="24"/>
        </w:rPr>
        <w:t>The way SRM enhances the performance of the supply chain. </w:t>
      </w:r>
    </w:p>
    <w:p w14:paraId="0603699A"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222222"/>
          <w:sz w:val="24"/>
          <w:szCs w:val="24"/>
        </w:rPr>
        <w:t>SRM increases the number of fundamental performance areas. First, it enhances quality such that supplier processes shift towards firm standards. Second, it is quicker in its decision-making in response to changes in demand due to enhanced information flow. Third, it reduces the cost through waste, rework, and emergency purchases (</w:t>
      </w:r>
      <w:proofErr w:type="spellStart"/>
      <w:r>
        <w:rPr>
          <w:color w:val="000000"/>
          <w:sz w:val="24"/>
          <w:szCs w:val="24"/>
        </w:rPr>
        <w:t>Madzik</w:t>
      </w:r>
      <w:proofErr w:type="spellEnd"/>
      <w:r>
        <w:rPr>
          <w:color w:val="000000"/>
          <w:sz w:val="24"/>
          <w:szCs w:val="24"/>
        </w:rPr>
        <w:t xml:space="preserve"> and </w:t>
      </w:r>
      <w:proofErr w:type="spellStart"/>
      <w:r>
        <w:rPr>
          <w:color w:val="000000"/>
          <w:sz w:val="24"/>
          <w:szCs w:val="24"/>
        </w:rPr>
        <w:t>Suwannasap</w:t>
      </w:r>
      <w:proofErr w:type="spellEnd"/>
      <w:r>
        <w:rPr>
          <w:color w:val="000000"/>
          <w:sz w:val="24"/>
          <w:szCs w:val="24"/>
        </w:rPr>
        <w:t>, 2023</w:t>
      </w:r>
      <w:r>
        <w:rPr>
          <w:color w:val="222222"/>
          <w:sz w:val="24"/>
          <w:szCs w:val="24"/>
        </w:rPr>
        <w:t>). Fourth, it assists firms in innovating quickly through the co-development of parts or processes with suppliers. Research in the manufacturing industry proves that flexibility and operational efficiency are enhanced when there is integration with the suppliers. Such profits are usually passed to customer service and increased competitiveness in the market. </w:t>
      </w:r>
    </w:p>
    <w:p w14:paraId="4BF6F111" w14:textId="77777777" w:rsidR="00A769CA" w:rsidRDefault="008D3F3B">
      <w:pPr>
        <w:keepNext/>
        <w:pBdr>
          <w:top w:val="nil"/>
          <w:left w:val="nil"/>
          <w:bottom w:val="nil"/>
          <w:right w:val="nil"/>
          <w:between w:val="nil"/>
        </w:pBdr>
        <w:spacing w:after="240" w:line="360" w:lineRule="auto"/>
        <w:jc w:val="center"/>
      </w:pPr>
      <w:r>
        <w:rPr>
          <w:noProof/>
          <w:color w:val="000000"/>
        </w:rPr>
        <w:drawing>
          <wp:inline distT="0" distB="0" distL="0" distR="0" wp14:anchorId="30A3F6EE" wp14:editId="1D44C468">
            <wp:extent cx="5733415" cy="3830320"/>
            <wp:effectExtent l="0" t="0" r="0" b="0"/>
            <wp:docPr id="2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733415" cy="3830320"/>
                    </a:xfrm>
                    <a:prstGeom prst="rect">
                      <a:avLst/>
                    </a:prstGeom>
                    <a:ln/>
                  </pic:spPr>
                </pic:pic>
              </a:graphicData>
            </a:graphic>
          </wp:inline>
        </w:drawing>
      </w:r>
    </w:p>
    <w:p w14:paraId="5B8AF4E3" w14:textId="77777777" w:rsidR="00A769CA" w:rsidRDefault="008D3F3B">
      <w:pPr>
        <w:pBdr>
          <w:top w:val="nil"/>
          <w:left w:val="nil"/>
          <w:bottom w:val="nil"/>
          <w:right w:val="nil"/>
          <w:between w:val="nil"/>
        </w:pBdr>
        <w:spacing w:after="200" w:line="360" w:lineRule="auto"/>
        <w:jc w:val="center"/>
        <w:rPr>
          <w:b/>
          <w:bCs/>
          <w:color w:val="000000"/>
          <w:sz w:val="24"/>
          <w:szCs w:val="24"/>
        </w:rPr>
      </w:pPr>
      <w:bookmarkStart w:id="3" w:name="_heading=h.iurgwh5cbtw4" w:colFirst="0" w:colLast="0"/>
      <w:bookmarkEnd w:id="3"/>
      <w:r>
        <w:rPr>
          <w:b/>
          <w:bCs/>
          <w:color w:val="1F497D"/>
          <w:sz w:val="24"/>
          <w:szCs w:val="24"/>
        </w:rPr>
        <w:t>Figure 1: Output in the manufacturing market</w:t>
      </w:r>
    </w:p>
    <w:p w14:paraId="7CE18EE3" w14:textId="77777777" w:rsidR="00A769CA" w:rsidRDefault="008D3F3B">
      <w:pPr>
        <w:pBdr>
          <w:top w:val="nil"/>
          <w:left w:val="nil"/>
          <w:bottom w:val="nil"/>
          <w:right w:val="nil"/>
          <w:between w:val="nil"/>
        </w:pBdr>
        <w:spacing w:after="240" w:line="360" w:lineRule="auto"/>
        <w:jc w:val="center"/>
        <w:rPr>
          <w:color w:val="000000"/>
          <w:sz w:val="24"/>
          <w:szCs w:val="24"/>
        </w:rPr>
      </w:pPr>
      <w:bookmarkStart w:id="4" w:name="_heading=h.onbbx4mudqe2" w:colFirst="0" w:colLast="0"/>
      <w:bookmarkEnd w:id="4"/>
      <w:r>
        <w:rPr>
          <w:b/>
          <w:bCs/>
          <w:color w:val="000000"/>
          <w:sz w:val="24"/>
          <w:szCs w:val="24"/>
        </w:rPr>
        <w:lastRenderedPageBreak/>
        <w:t>Source:</w:t>
      </w:r>
      <w:r>
        <w:rPr>
          <w:color w:val="000000"/>
          <w:sz w:val="24"/>
          <w:szCs w:val="24"/>
        </w:rPr>
        <w:t xml:space="preserve"> (</w:t>
      </w:r>
      <w:proofErr w:type="spellStart"/>
      <w:r>
        <w:rPr>
          <w:color w:val="000000"/>
          <w:sz w:val="24"/>
          <w:szCs w:val="24"/>
        </w:rPr>
        <w:t>Fictiv</w:t>
      </w:r>
      <w:proofErr w:type="spellEnd"/>
      <w:r>
        <w:rPr>
          <w:color w:val="000000"/>
          <w:sz w:val="24"/>
          <w:szCs w:val="24"/>
        </w:rPr>
        <w:t>, 2024)</w:t>
      </w:r>
    </w:p>
    <w:p w14:paraId="7433A647"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222222"/>
          <w:sz w:val="24"/>
          <w:szCs w:val="24"/>
        </w:rPr>
        <w:t xml:space="preserve">The above statistical figure illustrates the output in the manufacturing market, which indicates that there is a significant chance of a high growth </w:t>
      </w:r>
      <w:proofErr w:type="gramStart"/>
      <w:r>
        <w:rPr>
          <w:color w:val="222222"/>
          <w:sz w:val="24"/>
          <w:szCs w:val="24"/>
        </w:rPr>
        <w:t>in the near future</w:t>
      </w:r>
      <w:proofErr w:type="gramEnd"/>
      <w:r>
        <w:rPr>
          <w:color w:val="222222"/>
          <w:sz w:val="24"/>
          <w:szCs w:val="24"/>
        </w:rPr>
        <w:t>, that is, almost 36.7 trillion USD in 2029 (</w:t>
      </w:r>
      <w:proofErr w:type="spellStart"/>
      <w:r>
        <w:rPr>
          <w:color w:val="222222"/>
          <w:sz w:val="24"/>
          <w:szCs w:val="24"/>
        </w:rPr>
        <w:t>Fictiv</w:t>
      </w:r>
      <w:proofErr w:type="spellEnd"/>
      <w:r>
        <w:rPr>
          <w:color w:val="222222"/>
          <w:sz w:val="24"/>
          <w:szCs w:val="24"/>
        </w:rPr>
        <w:t xml:space="preserve">, 2024). However, not every manufacturing firm has an organised aspect </w:t>
      </w:r>
      <w:proofErr w:type="gramStart"/>
      <w:r>
        <w:rPr>
          <w:color w:val="222222"/>
          <w:sz w:val="24"/>
          <w:szCs w:val="24"/>
        </w:rPr>
        <w:t>in order to</w:t>
      </w:r>
      <w:proofErr w:type="gramEnd"/>
      <w:r>
        <w:rPr>
          <w:color w:val="222222"/>
          <w:sz w:val="24"/>
          <w:szCs w:val="24"/>
        </w:rPr>
        <w:t xml:space="preserve"> involve suppliers as well as deal with the existing performance gaps and inefficiencies. It is also difficult to perceive the impact of strategic SRM, especially on performance outcomes, including flexibility, efficiency, and customer satisfaction, while the manufacturing industry has increasingly become </w:t>
      </w:r>
      <w:proofErr w:type="gramStart"/>
      <w:r>
        <w:rPr>
          <w:color w:val="222222"/>
          <w:sz w:val="24"/>
          <w:szCs w:val="24"/>
        </w:rPr>
        <w:t>technology-based</w:t>
      </w:r>
      <w:proofErr w:type="gramEnd"/>
      <w:r>
        <w:rPr>
          <w:color w:val="222222"/>
          <w:sz w:val="24"/>
          <w:szCs w:val="24"/>
        </w:rPr>
        <w:t>. </w:t>
      </w:r>
    </w:p>
    <w:p w14:paraId="7C7EEFBE"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b/>
          <w:bCs/>
          <w:i/>
          <w:iCs/>
          <w:color w:val="222222"/>
          <w:sz w:val="24"/>
          <w:szCs w:val="24"/>
        </w:rPr>
        <w:t>Enablers and tools</w:t>
      </w:r>
    </w:p>
    <w:p w14:paraId="2CC05944"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222222"/>
          <w:sz w:val="24"/>
          <w:szCs w:val="24"/>
        </w:rPr>
        <w:t xml:space="preserve">The modern SRM is supported </w:t>
      </w:r>
      <w:proofErr w:type="gramStart"/>
      <w:r>
        <w:rPr>
          <w:color w:val="222222"/>
          <w:sz w:val="24"/>
          <w:szCs w:val="24"/>
        </w:rPr>
        <w:t>by the use of</w:t>
      </w:r>
      <w:proofErr w:type="gramEnd"/>
      <w:r>
        <w:rPr>
          <w:color w:val="222222"/>
          <w:sz w:val="24"/>
          <w:szCs w:val="24"/>
        </w:rPr>
        <w:t xml:space="preserve"> digital tools. Unified dashboards, suppliers, and cloud platforms facilitate the sharing of information. Online resources are used in real time to monitor the performance of suppliers. Joint forecasting and inventory planning are also supported by them. Human beings and processes are still important. Partnerships are achieved through clarity of roles, frequent meetings, and performance indicators. It has been observed that the companies that integrate digital tools with definite SRM practices </w:t>
      </w:r>
      <w:r>
        <w:rPr>
          <w:color w:val="222222"/>
          <w:sz w:val="24"/>
          <w:szCs w:val="24"/>
        </w:rPr>
        <w:t>are the most benefited (</w:t>
      </w:r>
      <w:r>
        <w:rPr>
          <w:color w:val="000000"/>
          <w:sz w:val="24"/>
          <w:szCs w:val="24"/>
        </w:rPr>
        <w:t>Grant, 2024</w:t>
      </w:r>
      <w:r>
        <w:rPr>
          <w:color w:val="222222"/>
          <w:sz w:val="24"/>
          <w:szCs w:val="24"/>
        </w:rPr>
        <w:t>). </w:t>
      </w:r>
    </w:p>
    <w:p w14:paraId="6A2D4850" w14:textId="77777777" w:rsidR="00A769CA" w:rsidRDefault="008D3F3B">
      <w:pPr>
        <w:keepNext/>
        <w:pBdr>
          <w:top w:val="nil"/>
          <w:left w:val="nil"/>
          <w:bottom w:val="nil"/>
          <w:right w:val="nil"/>
          <w:between w:val="nil"/>
        </w:pBdr>
        <w:spacing w:before="240" w:after="240" w:line="360" w:lineRule="auto"/>
        <w:jc w:val="center"/>
      </w:pPr>
      <w:r>
        <w:rPr>
          <w:noProof/>
          <w:color w:val="000000"/>
        </w:rPr>
        <w:lastRenderedPageBreak/>
        <w:drawing>
          <wp:inline distT="0" distB="0" distL="0" distR="0" wp14:anchorId="722F893E" wp14:editId="24B109F5">
            <wp:extent cx="5733415" cy="3736975"/>
            <wp:effectExtent l="0" t="0" r="0" b="0"/>
            <wp:docPr id="3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733415" cy="3736975"/>
                    </a:xfrm>
                    <a:prstGeom prst="rect">
                      <a:avLst/>
                    </a:prstGeom>
                    <a:ln/>
                  </pic:spPr>
                </pic:pic>
              </a:graphicData>
            </a:graphic>
          </wp:inline>
        </w:drawing>
      </w:r>
    </w:p>
    <w:p w14:paraId="663C1142" w14:textId="77777777" w:rsidR="00A769CA" w:rsidRDefault="008D3F3B">
      <w:pPr>
        <w:pBdr>
          <w:top w:val="nil"/>
          <w:left w:val="nil"/>
          <w:bottom w:val="nil"/>
          <w:right w:val="nil"/>
          <w:between w:val="nil"/>
        </w:pBdr>
        <w:spacing w:after="200" w:line="360" w:lineRule="auto"/>
        <w:jc w:val="center"/>
        <w:rPr>
          <w:color w:val="000000"/>
          <w:sz w:val="24"/>
          <w:szCs w:val="24"/>
        </w:rPr>
      </w:pPr>
      <w:bookmarkStart w:id="5" w:name="_heading=h.7np2sb1bkoeu" w:colFirst="0" w:colLast="0"/>
      <w:bookmarkEnd w:id="5"/>
      <w:r>
        <w:rPr>
          <w:color w:val="1F497D"/>
          <w:sz w:val="24"/>
          <w:szCs w:val="24"/>
        </w:rPr>
        <w:t>Figure 2: The top priorities in business and supply chain operations in 2021</w:t>
      </w:r>
    </w:p>
    <w:p w14:paraId="296EF5E8" w14:textId="77777777" w:rsidR="00A769CA" w:rsidRDefault="008D3F3B">
      <w:pPr>
        <w:pBdr>
          <w:top w:val="nil"/>
          <w:left w:val="nil"/>
          <w:bottom w:val="nil"/>
          <w:right w:val="nil"/>
          <w:between w:val="nil"/>
        </w:pBdr>
        <w:spacing w:before="240" w:after="240" w:line="360" w:lineRule="auto"/>
        <w:jc w:val="center"/>
        <w:rPr>
          <w:color w:val="000000"/>
          <w:sz w:val="24"/>
          <w:szCs w:val="24"/>
        </w:rPr>
      </w:pPr>
      <w:r>
        <w:rPr>
          <w:b/>
          <w:bCs/>
          <w:color w:val="222222"/>
          <w:sz w:val="24"/>
          <w:szCs w:val="24"/>
        </w:rPr>
        <w:t>Source:</w:t>
      </w:r>
      <w:r>
        <w:rPr>
          <w:color w:val="222222"/>
          <w:sz w:val="24"/>
          <w:szCs w:val="24"/>
        </w:rPr>
        <w:t xml:space="preserve"> (</w:t>
      </w:r>
      <w:r>
        <w:rPr>
          <w:color w:val="000000"/>
          <w:sz w:val="24"/>
          <w:szCs w:val="24"/>
        </w:rPr>
        <w:t>Placek, 2022</w:t>
      </w:r>
      <w:r>
        <w:rPr>
          <w:color w:val="222222"/>
          <w:sz w:val="24"/>
          <w:szCs w:val="24"/>
        </w:rPr>
        <w:t>) </w:t>
      </w:r>
    </w:p>
    <w:p w14:paraId="20DC9276"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222222"/>
          <w:sz w:val="24"/>
          <w:szCs w:val="24"/>
        </w:rPr>
        <w:t>The above graphical illustration highlights the growing top priorities in business as well as supply chain business operations in 2021. According to a 2020 global survey, the professionals who are associated with the logistics sector mentioned that they typically would give importance to business continuity planning, investing in modern sciences and technologies, and ensuring financial viability in 2021 (</w:t>
      </w:r>
      <w:r>
        <w:rPr>
          <w:color w:val="000000"/>
          <w:sz w:val="24"/>
          <w:szCs w:val="24"/>
        </w:rPr>
        <w:t>Placek, 2022</w:t>
      </w:r>
      <w:r>
        <w:rPr>
          <w:color w:val="222222"/>
          <w:sz w:val="24"/>
          <w:szCs w:val="24"/>
        </w:rPr>
        <w:t>).  </w:t>
      </w:r>
    </w:p>
    <w:p w14:paraId="48EB6FCA"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222222"/>
          <w:sz w:val="24"/>
          <w:szCs w:val="24"/>
        </w:rPr>
        <w:t>SRM is not used well by all manufacturers. There are people who assess SRM as an additional activity. Other people do not have clear supplier segmentation. Small and medium companies have resource constraints to operate intensive SRM (</w:t>
      </w:r>
      <w:r>
        <w:rPr>
          <w:color w:val="000000"/>
          <w:sz w:val="24"/>
          <w:szCs w:val="24"/>
        </w:rPr>
        <w:t xml:space="preserve">Taghipour, </w:t>
      </w:r>
      <w:proofErr w:type="spellStart"/>
      <w:r>
        <w:rPr>
          <w:color w:val="000000"/>
          <w:sz w:val="24"/>
          <w:szCs w:val="24"/>
        </w:rPr>
        <w:t>Fooladvand</w:t>
      </w:r>
      <w:proofErr w:type="spellEnd"/>
      <w:r>
        <w:rPr>
          <w:color w:val="000000"/>
          <w:sz w:val="24"/>
          <w:szCs w:val="24"/>
        </w:rPr>
        <w:t>, Khazaei and Ramezani, 2023</w:t>
      </w:r>
      <w:r>
        <w:rPr>
          <w:color w:val="222222"/>
          <w:sz w:val="24"/>
          <w:szCs w:val="24"/>
        </w:rPr>
        <w:t>). International supply chains bring linguistic, legal, and cultural obstacles. Lack of technology and poor data management also add to ineffective SRM. Although SRM does exist, occasionally firms fail to recognise the SRM activities in the supply chain outcome indicated by quantifiable metrics. This generates disproportionate returns in firms and sectors. </w:t>
      </w:r>
    </w:p>
    <w:p w14:paraId="0B2C77B2" w14:textId="77777777" w:rsidR="00A769CA" w:rsidRDefault="008D3F3B">
      <w:pPr>
        <w:pBdr>
          <w:top w:val="nil"/>
          <w:left w:val="nil"/>
          <w:bottom w:val="nil"/>
          <w:right w:val="nil"/>
          <w:between w:val="nil"/>
        </w:pBdr>
        <w:spacing w:after="240" w:line="360" w:lineRule="auto"/>
        <w:jc w:val="both"/>
        <w:rPr>
          <w:color w:val="000000"/>
          <w:sz w:val="24"/>
          <w:szCs w:val="24"/>
        </w:rPr>
      </w:pPr>
      <w:r>
        <w:rPr>
          <w:b/>
          <w:bCs/>
          <w:i/>
          <w:iCs/>
          <w:color w:val="000000"/>
          <w:sz w:val="24"/>
          <w:szCs w:val="24"/>
        </w:rPr>
        <w:t xml:space="preserve">Problem statement: </w:t>
      </w:r>
    </w:p>
    <w:p w14:paraId="43F89CF0" w14:textId="77777777" w:rsidR="00A769CA" w:rsidRDefault="008D3F3B">
      <w:pPr>
        <w:pBdr>
          <w:top w:val="nil"/>
          <w:left w:val="nil"/>
          <w:bottom w:val="nil"/>
          <w:right w:val="nil"/>
          <w:between w:val="nil"/>
        </w:pBdr>
        <w:spacing w:after="240" w:line="360" w:lineRule="auto"/>
        <w:jc w:val="both"/>
        <w:rPr>
          <w:color w:val="000000"/>
          <w:sz w:val="24"/>
          <w:szCs w:val="24"/>
        </w:rPr>
      </w:pPr>
      <w:r>
        <w:rPr>
          <w:color w:val="000000"/>
          <w:sz w:val="24"/>
          <w:szCs w:val="24"/>
        </w:rPr>
        <w:lastRenderedPageBreak/>
        <w:t xml:space="preserve">Supplier relationships in the manufacturing industry have become the basic factor in maintaining a stable and efficient supply chain in the current fast-changing manufacturing industry (Schmidt </w:t>
      </w:r>
      <w:r>
        <w:rPr>
          <w:i/>
          <w:iCs/>
          <w:color w:val="000000"/>
          <w:sz w:val="24"/>
          <w:szCs w:val="24"/>
        </w:rPr>
        <w:t>et al.</w:t>
      </w:r>
      <w:r>
        <w:rPr>
          <w:color w:val="000000"/>
          <w:sz w:val="24"/>
          <w:szCs w:val="24"/>
        </w:rPr>
        <w:t>, 2023). Nevertheless, transactional and reactive methods of supplier management are common with many manufacturers, and not strategic collaboration. This restricts their capability to enhance core areas of performance-like quality of its products, responsiveness, cost effectiveness, and customer satisfaction (Grant, 2024). Grant (2024) has demonstrated that firms that opt to be strategic with Supplier Relationship Management (SRM) achieve greater innovation, flexibility, and long-term competitiveness</w:t>
      </w:r>
      <w:r>
        <w:rPr>
          <w:color w:val="000000"/>
          <w:sz w:val="24"/>
          <w:szCs w:val="24"/>
        </w:rPr>
        <w:t>. However, most companies do not completely consider the SRM practices in operation. Difficulties in the form of a lack of trust in suppliers, a lack of effective communication, and inconsistent performance analysis, as well as insufficient Internet use, still negatively affect the partnership with suppliers. </w:t>
      </w:r>
    </w:p>
    <w:p w14:paraId="33A982A6" w14:textId="77777777" w:rsidR="00A769CA" w:rsidRDefault="008D3F3B">
      <w:pPr>
        <w:pStyle w:val="Heading2"/>
        <w:spacing w:after="240"/>
      </w:pPr>
      <w:bookmarkStart w:id="6" w:name="_heading=h.pmspoh5iacz1" w:colFirst="0" w:colLast="0"/>
      <w:bookmarkEnd w:id="6"/>
      <w:r>
        <w:t xml:space="preserve">1.2 Research Aim </w:t>
      </w:r>
    </w:p>
    <w:p w14:paraId="0905DD85" w14:textId="77777777" w:rsidR="00A769CA" w:rsidRDefault="008D3F3B">
      <w:pPr>
        <w:pBdr>
          <w:top w:val="nil"/>
          <w:left w:val="nil"/>
          <w:bottom w:val="nil"/>
          <w:right w:val="nil"/>
          <w:between w:val="nil"/>
        </w:pBdr>
        <w:spacing w:after="240" w:line="360" w:lineRule="auto"/>
        <w:jc w:val="both"/>
        <w:rPr>
          <w:color w:val="000000"/>
          <w:sz w:val="24"/>
          <w:szCs w:val="24"/>
        </w:rPr>
      </w:pPr>
      <w:r>
        <w:rPr>
          <w:color w:val="000000"/>
          <w:sz w:val="24"/>
          <w:szCs w:val="24"/>
        </w:rPr>
        <w:t>To evaluate the impact of strategic supplier relationship management on supply chain performance within the manufacturing sector. </w:t>
      </w:r>
    </w:p>
    <w:p w14:paraId="410FE82B" w14:textId="77777777" w:rsidR="00A769CA" w:rsidRDefault="008D3F3B">
      <w:pPr>
        <w:pStyle w:val="Heading2"/>
        <w:spacing w:after="240"/>
      </w:pPr>
      <w:bookmarkStart w:id="7" w:name="_heading=h.urqk9we31rbj" w:colFirst="0" w:colLast="0"/>
      <w:bookmarkEnd w:id="7"/>
      <w:r>
        <w:t xml:space="preserve">1.3 Research Objectives </w:t>
      </w:r>
    </w:p>
    <w:p w14:paraId="1A4AA3F2" w14:textId="77777777" w:rsidR="00A769CA" w:rsidRDefault="008D3F3B">
      <w:pPr>
        <w:numPr>
          <w:ilvl w:val="0"/>
          <w:numId w:val="2"/>
        </w:numPr>
        <w:pBdr>
          <w:top w:val="nil"/>
          <w:left w:val="nil"/>
          <w:bottom w:val="nil"/>
          <w:right w:val="nil"/>
          <w:between w:val="nil"/>
        </w:pBdr>
        <w:spacing w:after="240" w:line="360" w:lineRule="auto"/>
        <w:jc w:val="both"/>
        <w:rPr>
          <w:color w:val="000000"/>
          <w:sz w:val="24"/>
          <w:szCs w:val="24"/>
        </w:rPr>
      </w:pPr>
      <w:r>
        <w:rPr>
          <w:color w:val="000000"/>
          <w:sz w:val="24"/>
          <w:szCs w:val="24"/>
        </w:rPr>
        <w:t>To examine the core components of strategic SRM in the manufacturing sector.</w:t>
      </w:r>
    </w:p>
    <w:p w14:paraId="3C804B16" w14:textId="77777777" w:rsidR="00A769CA" w:rsidRDefault="008D3F3B">
      <w:pPr>
        <w:numPr>
          <w:ilvl w:val="0"/>
          <w:numId w:val="2"/>
        </w:numPr>
        <w:pBdr>
          <w:top w:val="nil"/>
          <w:left w:val="nil"/>
          <w:bottom w:val="nil"/>
          <w:right w:val="nil"/>
          <w:between w:val="nil"/>
        </w:pBdr>
        <w:spacing w:after="240" w:line="360" w:lineRule="auto"/>
        <w:jc w:val="both"/>
        <w:rPr>
          <w:color w:val="000000"/>
          <w:sz w:val="24"/>
          <w:szCs w:val="24"/>
        </w:rPr>
      </w:pPr>
      <w:r>
        <w:rPr>
          <w:color w:val="000000"/>
          <w:sz w:val="24"/>
          <w:szCs w:val="24"/>
        </w:rPr>
        <w:t>To analyse SRM influence on supply chain performance indicators such as efficiency, flexibility, and customer satisfaction.</w:t>
      </w:r>
    </w:p>
    <w:p w14:paraId="20CD7278" w14:textId="77777777" w:rsidR="00A769CA" w:rsidRDefault="008D3F3B">
      <w:pPr>
        <w:numPr>
          <w:ilvl w:val="0"/>
          <w:numId w:val="2"/>
        </w:numPr>
        <w:pBdr>
          <w:top w:val="nil"/>
          <w:left w:val="nil"/>
          <w:bottom w:val="nil"/>
          <w:right w:val="nil"/>
          <w:between w:val="nil"/>
        </w:pBdr>
        <w:spacing w:after="240" w:line="360" w:lineRule="auto"/>
        <w:jc w:val="both"/>
        <w:rPr>
          <w:color w:val="000000"/>
          <w:sz w:val="24"/>
          <w:szCs w:val="24"/>
        </w:rPr>
      </w:pPr>
      <w:r>
        <w:rPr>
          <w:color w:val="000000"/>
          <w:sz w:val="24"/>
          <w:szCs w:val="24"/>
        </w:rPr>
        <w:t>To identify the challenges and barriers that affects the effective implementation of SRM.</w:t>
      </w:r>
    </w:p>
    <w:p w14:paraId="04AD3984" w14:textId="77777777" w:rsidR="00A769CA" w:rsidRDefault="008D3F3B">
      <w:pPr>
        <w:numPr>
          <w:ilvl w:val="0"/>
          <w:numId w:val="2"/>
        </w:numPr>
        <w:pBdr>
          <w:top w:val="nil"/>
          <w:left w:val="nil"/>
          <w:bottom w:val="nil"/>
          <w:right w:val="nil"/>
          <w:between w:val="nil"/>
        </w:pBdr>
        <w:spacing w:after="240" w:line="360" w:lineRule="auto"/>
        <w:jc w:val="both"/>
        <w:rPr>
          <w:color w:val="000000"/>
          <w:sz w:val="24"/>
          <w:szCs w:val="24"/>
        </w:rPr>
      </w:pPr>
      <w:r>
        <w:rPr>
          <w:color w:val="000000"/>
          <w:sz w:val="24"/>
          <w:szCs w:val="24"/>
        </w:rPr>
        <w:t>To provide managerial recommendations to strengthen supplier relationships for improved supply chain outcomes. </w:t>
      </w:r>
    </w:p>
    <w:p w14:paraId="04844137" w14:textId="77777777" w:rsidR="00A769CA" w:rsidRDefault="008D3F3B">
      <w:pPr>
        <w:pStyle w:val="Heading2"/>
        <w:spacing w:after="240"/>
      </w:pPr>
      <w:bookmarkStart w:id="8" w:name="_heading=h.1ehbn6rvm13w" w:colFirst="0" w:colLast="0"/>
      <w:bookmarkEnd w:id="8"/>
      <w:r>
        <w:t xml:space="preserve">1.4 Research Questions </w:t>
      </w:r>
    </w:p>
    <w:p w14:paraId="60C6A0A9" w14:textId="77777777" w:rsidR="00A769CA" w:rsidRDefault="008D3F3B">
      <w:pPr>
        <w:numPr>
          <w:ilvl w:val="0"/>
          <w:numId w:val="3"/>
        </w:numPr>
        <w:pBdr>
          <w:top w:val="nil"/>
          <w:left w:val="nil"/>
          <w:bottom w:val="nil"/>
          <w:right w:val="nil"/>
          <w:between w:val="nil"/>
        </w:pBdr>
        <w:spacing w:after="240" w:line="360" w:lineRule="auto"/>
        <w:jc w:val="both"/>
        <w:rPr>
          <w:color w:val="000000"/>
          <w:sz w:val="24"/>
          <w:szCs w:val="24"/>
        </w:rPr>
      </w:pPr>
      <w:r>
        <w:rPr>
          <w:color w:val="000000"/>
          <w:sz w:val="24"/>
          <w:szCs w:val="24"/>
        </w:rPr>
        <w:t>What are the core components of strategic SRM in the manufacturing sector? </w:t>
      </w:r>
    </w:p>
    <w:p w14:paraId="3F0E70C0" w14:textId="77777777" w:rsidR="00A769CA" w:rsidRDefault="008D3F3B">
      <w:pPr>
        <w:numPr>
          <w:ilvl w:val="0"/>
          <w:numId w:val="3"/>
        </w:numPr>
        <w:pBdr>
          <w:top w:val="nil"/>
          <w:left w:val="nil"/>
          <w:bottom w:val="nil"/>
          <w:right w:val="nil"/>
          <w:between w:val="nil"/>
        </w:pBdr>
        <w:spacing w:after="240" w:line="360" w:lineRule="auto"/>
        <w:jc w:val="both"/>
        <w:rPr>
          <w:color w:val="000000"/>
          <w:sz w:val="24"/>
          <w:szCs w:val="24"/>
        </w:rPr>
      </w:pPr>
      <w:r>
        <w:rPr>
          <w:color w:val="000000"/>
          <w:sz w:val="24"/>
          <w:szCs w:val="24"/>
        </w:rPr>
        <w:lastRenderedPageBreak/>
        <w:t>How does SRM influence supply chain performance indicators such as efficiency, flexibility, and customer satisfaction? </w:t>
      </w:r>
    </w:p>
    <w:p w14:paraId="28084B2C" w14:textId="77777777" w:rsidR="00A769CA" w:rsidRDefault="008D3F3B">
      <w:pPr>
        <w:numPr>
          <w:ilvl w:val="0"/>
          <w:numId w:val="3"/>
        </w:numPr>
        <w:pBdr>
          <w:top w:val="nil"/>
          <w:left w:val="nil"/>
          <w:bottom w:val="nil"/>
          <w:right w:val="nil"/>
          <w:between w:val="nil"/>
        </w:pBdr>
        <w:spacing w:after="240" w:line="360" w:lineRule="auto"/>
        <w:jc w:val="both"/>
        <w:rPr>
          <w:color w:val="000000"/>
          <w:sz w:val="24"/>
          <w:szCs w:val="24"/>
        </w:rPr>
      </w:pPr>
      <w:r>
        <w:rPr>
          <w:color w:val="000000"/>
          <w:sz w:val="24"/>
          <w:szCs w:val="24"/>
        </w:rPr>
        <w:t>What are the challenges and barriers that affect the effective implementation of SRM? </w:t>
      </w:r>
    </w:p>
    <w:p w14:paraId="61388D28" w14:textId="77777777" w:rsidR="00A769CA" w:rsidRDefault="008D3F3B">
      <w:pPr>
        <w:numPr>
          <w:ilvl w:val="0"/>
          <w:numId w:val="3"/>
        </w:numPr>
        <w:pBdr>
          <w:top w:val="nil"/>
          <w:left w:val="nil"/>
          <w:bottom w:val="nil"/>
          <w:right w:val="nil"/>
          <w:between w:val="nil"/>
        </w:pBdr>
        <w:spacing w:after="240" w:line="360" w:lineRule="auto"/>
        <w:jc w:val="both"/>
        <w:rPr>
          <w:color w:val="000000"/>
          <w:sz w:val="24"/>
          <w:szCs w:val="24"/>
        </w:rPr>
      </w:pPr>
      <w:r>
        <w:rPr>
          <w:color w:val="000000"/>
          <w:sz w:val="24"/>
          <w:szCs w:val="24"/>
        </w:rPr>
        <w:t>What are managerial recommendations to strengthen supplier relationships for improved supply chain outcomes? </w:t>
      </w:r>
    </w:p>
    <w:p w14:paraId="518C1DE2" w14:textId="77777777" w:rsidR="00A769CA" w:rsidRDefault="008D3F3B">
      <w:pPr>
        <w:pStyle w:val="Heading2"/>
        <w:spacing w:after="240"/>
      </w:pPr>
      <w:bookmarkStart w:id="9" w:name="_heading=h.8mmzmxovbtow" w:colFirst="0" w:colLast="0"/>
      <w:bookmarkEnd w:id="9"/>
      <w:r>
        <w:t xml:space="preserve">1.5 Significance or Relevance of Study </w:t>
      </w:r>
    </w:p>
    <w:p w14:paraId="07634597" w14:textId="77777777" w:rsidR="00A769CA" w:rsidRDefault="008D3F3B">
      <w:pPr>
        <w:pBdr>
          <w:top w:val="nil"/>
          <w:left w:val="nil"/>
          <w:bottom w:val="nil"/>
          <w:right w:val="nil"/>
          <w:between w:val="nil"/>
        </w:pBdr>
        <w:spacing w:after="240" w:line="360" w:lineRule="auto"/>
        <w:jc w:val="both"/>
        <w:rPr>
          <w:color w:val="000000"/>
          <w:sz w:val="24"/>
          <w:szCs w:val="24"/>
        </w:rPr>
      </w:pPr>
      <w:r>
        <w:rPr>
          <w:b/>
          <w:bCs/>
          <w:i/>
          <w:iCs/>
          <w:color w:val="000000"/>
          <w:sz w:val="24"/>
          <w:szCs w:val="24"/>
        </w:rPr>
        <w:t>Importance of the Study</w:t>
      </w:r>
    </w:p>
    <w:p w14:paraId="06716735" w14:textId="77777777" w:rsidR="00A769CA" w:rsidRDefault="008D3F3B">
      <w:pPr>
        <w:pBdr>
          <w:top w:val="nil"/>
          <w:left w:val="nil"/>
          <w:bottom w:val="nil"/>
          <w:right w:val="nil"/>
          <w:between w:val="nil"/>
        </w:pBdr>
        <w:spacing w:after="240" w:line="360" w:lineRule="auto"/>
        <w:jc w:val="both"/>
        <w:rPr>
          <w:color w:val="000000"/>
          <w:sz w:val="24"/>
          <w:szCs w:val="24"/>
        </w:rPr>
      </w:pPr>
      <w:r>
        <w:rPr>
          <w:color w:val="000000"/>
          <w:sz w:val="24"/>
          <w:szCs w:val="24"/>
        </w:rPr>
        <w:t>The manufacturing industry has been classified among the strongest pillars of the global economy (</w:t>
      </w:r>
      <w:proofErr w:type="spellStart"/>
      <w:r>
        <w:rPr>
          <w:color w:val="000000"/>
          <w:sz w:val="24"/>
          <w:szCs w:val="24"/>
        </w:rPr>
        <w:t>Setyadi</w:t>
      </w:r>
      <w:proofErr w:type="spellEnd"/>
      <w:r>
        <w:rPr>
          <w:color w:val="000000"/>
          <w:sz w:val="24"/>
          <w:szCs w:val="24"/>
        </w:rPr>
        <w:t xml:space="preserve"> </w:t>
      </w:r>
      <w:r>
        <w:rPr>
          <w:i/>
          <w:iCs/>
          <w:color w:val="000000"/>
          <w:sz w:val="24"/>
          <w:szCs w:val="24"/>
        </w:rPr>
        <w:t>et al.</w:t>
      </w:r>
      <w:r>
        <w:rPr>
          <w:color w:val="000000"/>
          <w:sz w:val="24"/>
          <w:szCs w:val="24"/>
        </w:rPr>
        <w:t>, 2025). It subsidises millions of jobs and leads to innovation and exports. Nevertheless, there is also the increasing competition, interruption with the supply chain, and rapid transformations in technology. It is this intricate environment that has made the management of suppliers a key ingredient to success. Strategic Supplier Relationship Management (SRM) assists companies in stopping being reduced to transaction details and establishing long-term relations that enhance efficiency, qualit</w:t>
      </w:r>
      <w:r>
        <w:rPr>
          <w:color w:val="000000"/>
          <w:sz w:val="24"/>
          <w:szCs w:val="24"/>
        </w:rPr>
        <w:t xml:space="preserve">y, and innovation (Jones, 2025). The proposed study is important as it investigates the direct impact of strategic SRM on the performance of the supply chain, which is a less-studied area in manufacturing. </w:t>
      </w:r>
    </w:p>
    <w:p w14:paraId="47911C51" w14:textId="77777777" w:rsidR="00A769CA" w:rsidRDefault="008D3F3B">
      <w:pPr>
        <w:pBdr>
          <w:top w:val="nil"/>
          <w:left w:val="nil"/>
          <w:bottom w:val="nil"/>
          <w:right w:val="nil"/>
          <w:between w:val="nil"/>
        </w:pBdr>
        <w:spacing w:after="240" w:line="360" w:lineRule="auto"/>
        <w:jc w:val="both"/>
        <w:rPr>
          <w:color w:val="000000"/>
          <w:sz w:val="24"/>
          <w:szCs w:val="24"/>
        </w:rPr>
      </w:pPr>
      <w:r>
        <w:rPr>
          <w:b/>
          <w:bCs/>
          <w:i/>
          <w:iCs/>
          <w:color w:val="000000"/>
          <w:sz w:val="24"/>
          <w:szCs w:val="24"/>
        </w:rPr>
        <w:t>Contribution to Knowledge</w:t>
      </w:r>
    </w:p>
    <w:p w14:paraId="24F834E1" w14:textId="77777777" w:rsidR="00A769CA" w:rsidRDefault="008D3F3B">
      <w:pPr>
        <w:pBdr>
          <w:top w:val="nil"/>
          <w:left w:val="nil"/>
          <w:bottom w:val="nil"/>
          <w:right w:val="nil"/>
          <w:between w:val="nil"/>
        </w:pBdr>
        <w:spacing w:after="240" w:line="360" w:lineRule="auto"/>
        <w:jc w:val="both"/>
        <w:rPr>
          <w:color w:val="000000"/>
          <w:sz w:val="24"/>
          <w:szCs w:val="24"/>
        </w:rPr>
      </w:pPr>
      <w:r>
        <w:rPr>
          <w:color w:val="000000"/>
          <w:sz w:val="24"/>
          <w:szCs w:val="24"/>
        </w:rPr>
        <w:t xml:space="preserve">The study is going to contribute meaningfully to theoretical and practical debates as it demonstrates how SRM practices are associated with quantifiable performance functions. Although previous pieces of literature have targeted logistics, cost management, or digitalisation, there has been a lack of literature exploring the strategic issues of SRM in terms of their impact on the efficiency, flexibility, and competitiveness of manufacturing (Ardolino </w:t>
      </w:r>
      <w:r>
        <w:rPr>
          <w:i/>
          <w:iCs/>
          <w:color w:val="000000"/>
          <w:sz w:val="24"/>
          <w:szCs w:val="24"/>
        </w:rPr>
        <w:t>et al.</w:t>
      </w:r>
      <w:r>
        <w:rPr>
          <w:color w:val="000000"/>
          <w:sz w:val="24"/>
          <w:szCs w:val="24"/>
        </w:rPr>
        <w:t xml:space="preserve">, 2025). This study assists in determining the practices that would yield the greatest contribution to operational success by analysing the existing SRM strategies. It also illustrates the role of trust, communication, and cooperation between manufacturers and suppliers, as well as providing an evidence-based model of enhancing performance. </w:t>
      </w:r>
    </w:p>
    <w:p w14:paraId="61117354" w14:textId="77777777" w:rsidR="00A769CA" w:rsidRDefault="008D3F3B">
      <w:pPr>
        <w:pBdr>
          <w:top w:val="nil"/>
          <w:left w:val="nil"/>
          <w:bottom w:val="nil"/>
          <w:right w:val="nil"/>
          <w:between w:val="nil"/>
        </w:pBdr>
        <w:spacing w:after="240" w:line="360" w:lineRule="auto"/>
        <w:jc w:val="both"/>
        <w:rPr>
          <w:color w:val="000000"/>
          <w:sz w:val="24"/>
          <w:szCs w:val="24"/>
        </w:rPr>
      </w:pPr>
      <w:r>
        <w:rPr>
          <w:b/>
          <w:bCs/>
          <w:i/>
          <w:iCs/>
          <w:color w:val="000000"/>
          <w:sz w:val="24"/>
          <w:szCs w:val="24"/>
        </w:rPr>
        <w:lastRenderedPageBreak/>
        <w:t>Practical Relevance </w:t>
      </w:r>
    </w:p>
    <w:p w14:paraId="75824450" w14:textId="77777777" w:rsidR="00A769CA" w:rsidRDefault="008D3F3B">
      <w:pPr>
        <w:pBdr>
          <w:top w:val="nil"/>
          <w:left w:val="nil"/>
          <w:bottom w:val="nil"/>
          <w:right w:val="nil"/>
          <w:between w:val="nil"/>
        </w:pBdr>
        <w:spacing w:after="240" w:line="360" w:lineRule="auto"/>
        <w:jc w:val="both"/>
        <w:rPr>
          <w:color w:val="000000"/>
          <w:sz w:val="24"/>
          <w:szCs w:val="24"/>
        </w:rPr>
      </w:pPr>
      <w:r>
        <w:rPr>
          <w:color w:val="000000"/>
          <w:sz w:val="24"/>
          <w:szCs w:val="24"/>
        </w:rPr>
        <w:t xml:space="preserve">The results of our research direct the manufacturing managers, supply chain professionals, and policy makers. The results can help managers to develop superior SRM systems, which lead to improved performance with the suppliers, minimisation of risks, and innovation. One of the ways through which supply chain professionals can learn to utilise supplier relationships that lead to decreased disruptions and value within network creation in the event of creating value. The policymakers may apply the discoveries </w:t>
      </w:r>
      <w:r>
        <w:rPr>
          <w:color w:val="000000"/>
          <w:sz w:val="24"/>
          <w:szCs w:val="24"/>
        </w:rPr>
        <w:t>to advance industry-wide norms that foster stable and sustainable supplier relationships (</w:t>
      </w:r>
      <w:proofErr w:type="spellStart"/>
      <w:r>
        <w:rPr>
          <w:color w:val="000000"/>
          <w:sz w:val="24"/>
          <w:szCs w:val="24"/>
        </w:rPr>
        <w:t>Alamandi</w:t>
      </w:r>
      <w:proofErr w:type="spellEnd"/>
      <w:r>
        <w:rPr>
          <w:color w:val="000000"/>
          <w:sz w:val="24"/>
          <w:szCs w:val="24"/>
        </w:rPr>
        <w:t>, 2025). As an example, it was revealed that those firms having good relationships with suppliers can get back on their feet quicker than those without good relationships due to disruptions like the COVID-19 pandemic and geopolitical tensions (BBC, 2025). </w:t>
      </w:r>
    </w:p>
    <w:p w14:paraId="2183B95C" w14:textId="77777777" w:rsidR="00A769CA" w:rsidRDefault="008D3F3B">
      <w:pPr>
        <w:pBdr>
          <w:top w:val="nil"/>
          <w:left w:val="nil"/>
          <w:bottom w:val="nil"/>
          <w:right w:val="nil"/>
          <w:between w:val="nil"/>
        </w:pBdr>
        <w:spacing w:after="240" w:line="360" w:lineRule="auto"/>
        <w:jc w:val="both"/>
        <w:rPr>
          <w:color w:val="000000"/>
          <w:sz w:val="24"/>
          <w:szCs w:val="24"/>
        </w:rPr>
      </w:pPr>
      <w:r>
        <w:rPr>
          <w:b/>
          <w:bCs/>
          <w:i/>
          <w:iCs/>
          <w:color w:val="000000"/>
          <w:sz w:val="24"/>
          <w:szCs w:val="24"/>
        </w:rPr>
        <w:t>Stakeholders and wider impact: </w:t>
      </w:r>
    </w:p>
    <w:p w14:paraId="556AC17B" w14:textId="77777777" w:rsidR="00A769CA" w:rsidRDefault="008D3F3B">
      <w:pPr>
        <w:pBdr>
          <w:top w:val="nil"/>
          <w:left w:val="nil"/>
          <w:bottom w:val="nil"/>
          <w:right w:val="nil"/>
          <w:between w:val="nil"/>
        </w:pBdr>
        <w:spacing w:after="240" w:line="360" w:lineRule="auto"/>
        <w:jc w:val="both"/>
        <w:rPr>
          <w:color w:val="000000"/>
          <w:sz w:val="24"/>
          <w:szCs w:val="24"/>
        </w:rPr>
      </w:pPr>
      <w:r>
        <w:rPr>
          <w:color w:val="000000"/>
          <w:sz w:val="24"/>
          <w:szCs w:val="24"/>
        </w:rPr>
        <w:t xml:space="preserve">The primary research stakeholders are manufacturing firms, suppliers, government bodies, and academic researchers. The manufacturers gain in the form of better performance and competitiveness. The suppliers benefit from a more stable, transparent, and fair business relationship (Grant, 2024). The insights of the study can be utilised by the government agencies to foster supply chain resilience and sustainability. The scholars may expand the findings and come up with additional theories that can connect SRM </w:t>
      </w:r>
      <w:r>
        <w:rPr>
          <w:color w:val="000000"/>
          <w:sz w:val="24"/>
          <w:szCs w:val="24"/>
        </w:rPr>
        <w:t>with performance outcomes.</w:t>
      </w:r>
    </w:p>
    <w:p w14:paraId="7B8D7B53" w14:textId="77777777" w:rsidR="00A769CA" w:rsidRDefault="008D3F3B">
      <w:pPr>
        <w:pBdr>
          <w:top w:val="nil"/>
          <w:left w:val="nil"/>
          <w:bottom w:val="nil"/>
          <w:right w:val="nil"/>
          <w:between w:val="nil"/>
        </w:pBdr>
        <w:spacing w:after="240" w:line="360" w:lineRule="auto"/>
        <w:jc w:val="both"/>
        <w:rPr>
          <w:color w:val="000000"/>
          <w:sz w:val="24"/>
          <w:szCs w:val="24"/>
        </w:rPr>
      </w:pPr>
      <w:r>
        <w:rPr>
          <w:color w:val="000000"/>
          <w:sz w:val="24"/>
          <w:szCs w:val="24"/>
        </w:rPr>
        <w:t xml:space="preserve">In general, this research is applicable as it can not only address one of the gaps in the research but also enhance the performance of manufacturing in practice. It promotes a transformation in transactional supplier management to strategic collaboration, assisting the firms to enhance resilience, adaptability, and long-term development in the global market. </w:t>
      </w:r>
    </w:p>
    <w:p w14:paraId="7DC111B7" w14:textId="77777777" w:rsidR="00A769CA" w:rsidRDefault="008D3F3B">
      <w:pPr>
        <w:pStyle w:val="Heading2"/>
        <w:spacing w:after="240"/>
      </w:pPr>
      <w:bookmarkStart w:id="10" w:name="_heading=h.4frumm5wpom1" w:colFirst="0" w:colLast="0"/>
      <w:bookmarkEnd w:id="10"/>
      <w:r>
        <w:t xml:space="preserve">1.6 Brief Research Methodology </w:t>
      </w:r>
    </w:p>
    <w:p w14:paraId="72D18F57" w14:textId="77777777" w:rsidR="00A769CA" w:rsidRDefault="008D3F3B">
      <w:pPr>
        <w:pBdr>
          <w:top w:val="nil"/>
          <w:left w:val="nil"/>
          <w:bottom w:val="nil"/>
          <w:right w:val="nil"/>
          <w:between w:val="nil"/>
        </w:pBdr>
        <w:spacing w:after="240" w:line="360" w:lineRule="auto"/>
        <w:jc w:val="both"/>
        <w:rPr>
          <w:color w:val="000000"/>
          <w:sz w:val="24"/>
          <w:szCs w:val="24"/>
        </w:rPr>
      </w:pPr>
      <w:r>
        <w:rPr>
          <w:color w:val="000000"/>
          <w:sz w:val="24"/>
          <w:szCs w:val="24"/>
        </w:rPr>
        <w:t xml:space="preserve">This research work is going to apply the interpretivist philosophy </w:t>
      </w:r>
      <w:proofErr w:type="gramStart"/>
      <w:r>
        <w:rPr>
          <w:color w:val="000000"/>
          <w:sz w:val="24"/>
          <w:szCs w:val="24"/>
        </w:rPr>
        <w:t>in order to</w:t>
      </w:r>
      <w:proofErr w:type="gramEnd"/>
      <w:r>
        <w:rPr>
          <w:color w:val="000000"/>
          <w:sz w:val="24"/>
          <w:szCs w:val="24"/>
        </w:rPr>
        <w:t xml:space="preserve"> explain the effect of SRM practices on supply chain management. The interpretivist philosophy helps in understanding the behavioural and relational aspects of SRM within complex organisational contexts (</w:t>
      </w:r>
      <w:r>
        <w:rPr>
          <w:color w:val="222222"/>
          <w:sz w:val="24"/>
          <w:szCs w:val="24"/>
        </w:rPr>
        <w:t>Jones, 2025</w:t>
      </w:r>
      <w:r>
        <w:rPr>
          <w:color w:val="000000"/>
          <w:sz w:val="24"/>
          <w:szCs w:val="24"/>
        </w:rPr>
        <w:t xml:space="preserve">). Additionally, an inductive approach is going to </w:t>
      </w:r>
      <w:r>
        <w:rPr>
          <w:color w:val="000000"/>
          <w:sz w:val="24"/>
          <w:szCs w:val="24"/>
        </w:rPr>
        <w:lastRenderedPageBreak/>
        <w:t>be used, while this research work is not testing the existence of earlier theories and patterns; however, it generates them based on observed data. The research applies a descriptive research design, which plays a crucial role in givin</w:t>
      </w:r>
      <w:r>
        <w:rPr>
          <w:color w:val="000000"/>
          <w:sz w:val="24"/>
          <w:szCs w:val="24"/>
        </w:rPr>
        <w:t xml:space="preserve">g the proper overview of the impact of the strategic SRM on the supply chain management. </w:t>
      </w:r>
    </w:p>
    <w:p w14:paraId="6C74F22A" w14:textId="77777777" w:rsidR="00A769CA" w:rsidRDefault="008D3F3B">
      <w:pPr>
        <w:pBdr>
          <w:top w:val="nil"/>
          <w:left w:val="nil"/>
          <w:bottom w:val="nil"/>
          <w:right w:val="nil"/>
          <w:between w:val="nil"/>
        </w:pBdr>
        <w:spacing w:after="240" w:line="360" w:lineRule="auto"/>
        <w:jc w:val="both"/>
        <w:rPr>
          <w:color w:val="000000"/>
          <w:sz w:val="24"/>
          <w:szCs w:val="24"/>
        </w:rPr>
      </w:pPr>
      <w:r>
        <w:rPr>
          <w:color w:val="000000"/>
          <w:sz w:val="24"/>
          <w:szCs w:val="24"/>
        </w:rPr>
        <w:t xml:space="preserve">The use of qualitative research work provides a deep research insight regarding the effect of SRM on business supply chain management. These insightful pieces of information, in terms of peer-reviewed articles, are going to be collected from credible sources, such as Google Scholar, Scopus, ScienceDirect, and other relevant sources. The use of thematic data analysis assists researchers in identifying, analysing, and reporting the themes in qualitative data (Naeem </w:t>
      </w:r>
      <w:r>
        <w:rPr>
          <w:i/>
          <w:iCs/>
          <w:color w:val="000000"/>
          <w:sz w:val="24"/>
          <w:szCs w:val="24"/>
        </w:rPr>
        <w:t>et al.</w:t>
      </w:r>
      <w:r>
        <w:rPr>
          <w:color w:val="000000"/>
          <w:sz w:val="24"/>
          <w:szCs w:val="24"/>
        </w:rPr>
        <w:t xml:space="preserve">, 2023). Every piece of information taken from such credible sources is properly cited by providing the reference list and in-text citation. No data manipulation is compromised. This research work is going to be completed within 8 weeks with the help of a proper research timeline. </w:t>
      </w:r>
    </w:p>
    <w:p w14:paraId="5D7B354F" w14:textId="77777777" w:rsidR="00A769CA" w:rsidRDefault="008D3F3B">
      <w:pPr>
        <w:pStyle w:val="Heading2"/>
        <w:spacing w:after="240"/>
      </w:pPr>
      <w:bookmarkStart w:id="11" w:name="_heading=h.bqhodk99ref0" w:colFirst="0" w:colLast="0"/>
      <w:bookmarkEnd w:id="11"/>
      <w:r>
        <w:t xml:space="preserve">1.7 Structure of the rest of the project </w:t>
      </w:r>
    </w:p>
    <w:p w14:paraId="5AB901DF" w14:textId="77777777" w:rsidR="00A769CA" w:rsidRDefault="008D3F3B">
      <w:pPr>
        <w:pBdr>
          <w:top w:val="nil"/>
          <w:left w:val="nil"/>
          <w:bottom w:val="nil"/>
          <w:right w:val="nil"/>
          <w:between w:val="nil"/>
        </w:pBdr>
        <w:spacing w:after="240" w:line="360" w:lineRule="auto"/>
        <w:jc w:val="both"/>
        <w:rPr>
          <w:color w:val="000000"/>
          <w:sz w:val="24"/>
          <w:szCs w:val="24"/>
        </w:rPr>
      </w:pPr>
      <w:r>
        <w:rPr>
          <w:color w:val="000000"/>
          <w:sz w:val="24"/>
          <w:szCs w:val="24"/>
        </w:rPr>
        <w:t xml:space="preserve">There is a specific structure of the report </w:t>
      </w:r>
      <w:proofErr w:type="gramStart"/>
      <w:r>
        <w:rPr>
          <w:color w:val="000000"/>
          <w:sz w:val="24"/>
          <w:szCs w:val="24"/>
        </w:rPr>
        <w:t>in order to</w:t>
      </w:r>
      <w:proofErr w:type="gramEnd"/>
      <w:r>
        <w:rPr>
          <w:color w:val="000000"/>
          <w:sz w:val="24"/>
          <w:szCs w:val="24"/>
        </w:rPr>
        <w:t xml:space="preserve"> study the impact of strategic supplier relationship management (SRM) on supply chain performance in the manufacturing sector. This structure can include the introduction in the initial chapter, then a literature review, which is going to encompass a brief introduction of the chapter, the key research areas or topics, a conceptual framework, and then a conclusion. Apart from this, the third chapter analyses the adopted research methodology, which is going to include an introduction of the researc</w:t>
      </w:r>
      <w:r>
        <w:rPr>
          <w:color w:val="000000"/>
          <w:sz w:val="24"/>
          <w:szCs w:val="24"/>
        </w:rPr>
        <w:t>h methods, research philosophies and assumptions, research design, research approach, data collection methods, ethical considerations, and a conclusion. The fourth chapter incorporates a summary of the findings, an analysis of the results, and a discussion of the results. In the end, the fifth chapter conclusion subsumes a summary of main findings, conclusions based on the research questions, practical as well as theoretical recommendations, limitations of research, and then recommendations for future work.</w:t>
      </w:r>
      <w:r>
        <w:rPr>
          <w:color w:val="000000"/>
          <w:sz w:val="24"/>
          <w:szCs w:val="24"/>
        </w:rPr>
        <w:t xml:space="preserve"> </w:t>
      </w:r>
    </w:p>
    <w:p w14:paraId="0689B09E" w14:textId="77777777" w:rsidR="00A769CA" w:rsidRDefault="008D3F3B">
      <w:pPr>
        <w:pStyle w:val="Heading1"/>
      </w:pPr>
      <w:bookmarkStart w:id="12" w:name="_heading=h.ewk6jycxg209" w:colFirst="0" w:colLast="0"/>
      <w:bookmarkEnd w:id="12"/>
      <w:r>
        <w:br w:type="page"/>
      </w:r>
    </w:p>
    <w:p w14:paraId="6B494063" w14:textId="77777777" w:rsidR="00A769CA" w:rsidRDefault="008D3F3B">
      <w:pPr>
        <w:pStyle w:val="Heading1"/>
      </w:pPr>
      <w:bookmarkStart w:id="13" w:name="_heading=h.e5gbzz1c3ufm" w:colFirst="0" w:colLast="0"/>
      <w:bookmarkEnd w:id="13"/>
      <w:r>
        <w:lastRenderedPageBreak/>
        <w:t>CHAPTER 2: LITERATURE REVIEW</w:t>
      </w:r>
    </w:p>
    <w:p w14:paraId="74380F7F" w14:textId="77777777" w:rsidR="00A769CA" w:rsidRDefault="008D3F3B">
      <w:pPr>
        <w:pStyle w:val="Heading2"/>
        <w:spacing w:after="240"/>
      </w:pPr>
      <w:bookmarkStart w:id="14" w:name="_heading=h.imcgcmame77b" w:colFirst="0" w:colLast="0"/>
      <w:bookmarkEnd w:id="14"/>
      <w:r>
        <w:t>2.1 Introduction</w:t>
      </w:r>
    </w:p>
    <w:p w14:paraId="25B76CCE" w14:textId="77777777" w:rsidR="00A769CA" w:rsidRDefault="008D3F3B">
      <w:pPr>
        <w:pBdr>
          <w:top w:val="nil"/>
          <w:left w:val="nil"/>
          <w:bottom w:val="nil"/>
          <w:right w:val="nil"/>
          <w:between w:val="nil"/>
        </w:pBdr>
        <w:spacing w:after="240" w:line="360" w:lineRule="auto"/>
        <w:jc w:val="both"/>
        <w:rPr>
          <w:color w:val="000000"/>
          <w:sz w:val="24"/>
          <w:szCs w:val="24"/>
        </w:rPr>
      </w:pPr>
      <w:r>
        <w:rPr>
          <w:color w:val="000000"/>
          <w:sz w:val="24"/>
          <w:szCs w:val="24"/>
        </w:rPr>
        <w:t>A review of the literature can be viewed as essential in the research work, as it assists in setting up the present state of knowledge, identifying the existing gaps in the research work, and helps in justifying the need for a new study with the help of offering context for the research question. This chapter is specifically going to highlight the key elements of strategic SRM in the manufacturing sector and the analysis of the effect of SRM on supply chain performance indicators, namely efficiency, flexibi</w:t>
      </w:r>
      <w:r>
        <w:rPr>
          <w:color w:val="000000"/>
          <w:sz w:val="24"/>
          <w:szCs w:val="24"/>
        </w:rPr>
        <w:t xml:space="preserve">lity, and customer satisfaction. The identification of the challenges and barriers that can, directly and indirectly, impact the effective implementation of SRM is also going to be assessed in this research chapter. This chapter concludes by offering a few managerial recommendations </w:t>
      </w:r>
      <w:proofErr w:type="gramStart"/>
      <w:r>
        <w:rPr>
          <w:color w:val="000000"/>
          <w:sz w:val="24"/>
          <w:szCs w:val="24"/>
        </w:rPr>
        <w:t>in order to</w:t>
      </w:r>
      <w:proofErr w:type="gramEnd"/>
      <w:r>
        <w:rPr>
          <w:color w:val="000000"/>
          <w:sz w:val="24"/>
          <w:szCs w:val="24"/>
        </w:rPr>
        <w:t xml:space="preserve"> fortify the supplier relations for enhanced supply chain results. The gaps in the existing literature are going to be found in the theoretical as well as conceptual frameworks in this chapter. </w:t>
      </w:r>
    </w:p>
    <w:p w14:paraId="08D5E372" w14:textId="77777777" w:rsidR="00A769CA" w:rsidRDefault="008D3F3B">
      <w:pPr>
        <w:pStyle w:val="Heading2"/>
        <w:spacing w:after="240"/>
      </w:pPr>
      <w:bookmarkStart w:id="15" w:name="_heading=h.6s87vxvpccic" w:colFirst="0" w:colLast="0"/>
      <w:bookmarkEnd w:id="15"/>
      <w:r>
        <w:t xml:space="preserve">2.2 Research Areas / Topics </w:t>
      </w:r>
    </w:p>
    <w:p w14:paraId="10834045" w14:textId="77777777" w:rsidR="00A769CA" w:rsidRDefault="008D3F3B">
      <w:pPr>
        <w:pStyle w:val="Heading3"/>
        <w:spacing w:before="0" w:after="240"/>
      </w:pPr>
      <w:bookmarkStart w:id="16" w:name="_heading=h.tjrpv07j5qn" w:colFirst="0" w:colLast="0"/>
      <w:bookmarkEnd w:id="16"/>
      <w:r>
        <w:rPr>
          <w:color w:val="000000"/>
        </w:rPr>
        <w:t xml:space="preserve">2.2.1 The key elements of strategic SRM in the manufacturing sector. </w:t>
      </w:r>
    </w:p>
    <w:p w14:paraId="16453EDB" w14:textId="77777777" w:rsidR="00A769CA" w:rsidRDefault="008D3F3B">
      <w:pPr>
        <w:spacing w:after="200" w:line="360" w:lineRule="auto"/>
        <w:jc w:val="both"/>
        <w:rPr>
          <w:b/>
          <w:bCs/>
          <w:i/>
          <w:iCs/>
          <w:sz w:val="24"/>
          <w:szCs w:val="24"/>
        </w:rPr>
      </w:pPr>
      <w:r>
        <w:rPr>
          <w:b/>
          <w:bCs/>
          <w:i/>
          <w:iCs/>
          <w:sz w:val="24"/>
          <w:szCs w:val="24"/>
        </w:rPr>
        <w:t xml:space="preserve">Supplier segmentation, collaboration, and joint planning: </w:t>
      </w:r>
    </w:p>
    <w:p w14:paraId="79891C57" w14:textId="77777777" w:rsidR="00A769CA" w:rsidRDefault="008D3F3B">
      <w:pPr>
        <w:spacing w:after="200" w:line="360" w:lineRule="auto"/>
        <w:jc w:val="both"/>
        <w:rPr>
          <w:sz w:val="24"/>
          <w:szCs w:val="24"/>
        </w:rPr>
      </w:pPr>
      <w:r>
        <w:rPr>
          <w:sz w:val="24"/>
          <w:szCs w:val="24"/>
        </w:rPr>
        <w:t xml:space="preserve">The main strategy of strategic supplier relationship management (SRM) in manufacturing is about the segmentation of the suppliers, the participation in mutual planning, performance monitoring and control, elimination of predisposed risks and continuous improvement. </w:t>
      </w:r>
      <w:proofErr w:type="spellStart"/>
      <w:r>
        <w:rPr>
          <w:sz w:val="24"/>
          <w:szCs w:val="24"/>
        </w:rPr>
        <w:t>Patrucco</w:t>
      </w:r>
      <w:proofErr w:type="spellEnd"/>
      <w:r>
        <w:rPr>
          <w:sz w:val="24"/>
          <w:szCs w:val="24"/>
        </w:rPr>
        <w:t>, Frattini and Di Benedetto (2022) focus on the idea of collaboration leveraging integrated systems and common planning, stating that these systems can be regarded as a key element to make innovation more effective. Contrarily, Vaka (2024) introduces SRM as a tool primarily used as a form of maintaining the quality of products and adaptability suggesting the notion that the key product is not innovation but a competitive advantage. However, both views come to the same conclusion when it comes to lon</w:t>
      </w:r>
      <w:r>
        <w:rPr>
          <w:sz w:val="24"/>
          <w:szCs w:val="24"/>
        </w:rPr>
        <w:t>g term collaborations in ensuring the benefits of the supply chain are maximised.</w:t>
      </w:r>
    </w:p>
    <w:p w14:paraId="1C112C12" w14:textId="77777777" w:rsidR="00A769CA" w:rsidRDefault="008D3F3B">
      <w:pPr>
        <w:spacing w:after="200" w:line="360" w:lineRule="auto"/>
        <w:jc w:val="both"/>
        <w:rPr>
          <w:sz w:val="24"/>
          <w:szCs w:val="24"/>
        </w:rPr>
      </w:pPr>
      <w:r>
        <w:rPr>
          <w:sz w:val="24"/>
          <w:szCs w:val="24"/>
        </w:rPr>
        <w:lastRenderedPageBreak/>
        <w:t xml:space="preserve">The segmentation among suppliers is taken to be the structural basis of SRM. Kusnirova, </w:t>
      </w:r>
      <w:proofErr w:type="spellStart"/>
      <w:r>
        <w:rPr>
          <w:sz w:val="24"/>
          <w:szCs w:val="24"/>
        </w:rPr>
        <w:t>Durisova</w:t>
      </w:r>
      <w:proofErr w:type="spellEnd"/>
      <w:r>
        <w:rPr>
          <w:sz w:val="24"/>
          <w:szCs w:val="24"/>
        </w:rPr>
        <w:t xml:space="preserve"> and </w:t>
      </w:r>
      <w:proofErr w:type="spellStart"/>
      <w:r>
        <w:rPr>
          <w:sz w:val="24"/>
          <w:szCs w:val="24"/>
        </w:rPr>
        <w:t>Bubeliny</w:t>
      </w:r>
      <w:proofErr w:type="spellEnd"/>
      <w:r>
        <w:rPr>
          <w:sz w:val="24"/>
          <w:szCs w:val="24"/>
        </w:rPr>
        <w:t xml:space="preserve"> (2024) add that companies do the classification by suppliers based on the contribution and strategic value; strategic suppliers </w:t>
      </w:r>
      <w:proofErr w:type="gramStart"/>
      <w:r>
        <w:rPr>
          <w:sz w:val="24"/>
          <w:szCs w:val="24"/>
        </w:rPr>
        <w:t>have to</w:t>
      </w:r>
      <w:proofErr w:type="gramEnd"/>
      <w:r>
        <w:rPr>
          <w:sz w:val="24"/>
          <w:szCs w:val="24"/>
        </w:rPr>
        <w:t xml:space="preserve"> be deeply involved, whereas transactional can be managed through the routinary buying. Conversely, </w:t>
      </w:r>
      <w:proofErr w:type="spellStart"/>
      <w:r>
        <w:rPr>
          <w:sz w:val="24"/>
          <w:szCs w:val="24"/>
        </w:rPr>
        <w:t>Patrucco</w:t>
      </w:r>
      <w:proofErr w:type="spellEnd"/>
      <w:r>
        <w:rPr>
          <w:sz w:val="24"/>
          <w:szCs w:val="24"/>
        </w:rPr>
        <w:t>, Frattini and Di Benedetto (2022) emphasise the meaning of segmentation not so much as categorisation but as the method to prioritize collaborative resources which implicates segmentation as a determinant of the innovation potential instead of si</w:t>
      </w:r>
      <w:r>
        <w:rPr>
          <w:sz w:val="24"/>
          <w:szCs w:val="24"/>
        </w:rPr>
        <w:t xml:space="preserve">mply priority of supply. Teamwork and planning </w:t>
      </w:r>
      <w:proofErr w:type="gramStart"/>
      <w:r>
        <w:rPr>
          <w:sz w:val="24"/>
          <w:szCs w:val="24"/>
        </w:rPr>
        <w:t>helps</w:t>
      </w:r>
      <w:proofErr w:type="gramEnd"/>
      <w:r>
        <w:rPr>
          <w:sz w:val="24"/>
          <w:szCs w:val="24"/>
        </w:rPr>
        <w:t xml:space="preserve"> in fostering trust and productivity. Duran, Ozturk and O'Sullivan (2025) consider joint planning to be a necessary activity to correspond forecasts and design of products, whereas Olaleye </w:t>
      </w:r>
      <w:r>
        <w:rPr>
          <w:i/>
          <w:iCs/>
          <w:sz w:val="24"/>
          <w:szCs w:val="24"/>
        </w:rPr>
        <w:t>et al</w:t>
      </w:r>
      <w:r>
        <w:rPr>
          <w:sz w:val="24"/>
          <w:szCs w:val="24"/>
        </w:rPr>
        <w:t xml:space="preserve">. (2024) emphasize responsiveness and cost reductions. Conversely, digital platforms enhance </w:t>
      </w:r>
      <w:proofErr w:type="gramStart"/>
      <w:r>
        <w:rPr>
          <w:sz w:val="24"/>
          <w:szCs w:val="24"/>
        </w:rPr>
        <w:t>transparency</w:t>
      </w:r>
      <w:proofErr w:type="gramEnd"/>
      <w:r>
        <w:rPr>
          <w:sz w:val="24"/>
          <w:szCs w:val="24"/>
        </w:rPr>
        <w:t xml:space="preserve"> and this is an indication that a new SRM practice is turning to data sharing as a strategic approach and not operational. </w:t>
      </w:r>
    </w:p>
    <w:p w14:paraId="59D468C2" w14:textId="77777777" w:rsidR="00A769CA" w:rsidRDefault="008D3F3B">
      <w:pPr>
        <w:pBdr>
          <w:top w:val="nil"/>
          <w:left w:val="nil"/>
          <w:bottom w:val="nil"/>
          <w:right w:val="nil"/>
          <w:between w:val="nil"/>
        </w:pBdr>
        <w:spacing w:after="240" w:line="360" w:lineRule="auto"/>
        <w:jc w:val="both"/>
        <w:rPr>
          <w:b/>
          <w:bCs/>
          <w:i/>
          <w:iCs/>
          <w:color w:val="000000"/>
          <w:sz w:val="24"/>
          <w:szCs w:val="24"/>
        </w:rPr>
      </w:pPr>
      <w:r>
        <w:rPr>
          <w:b/>
          <w:bCs/>
          <w:i/>
          <w:iCs/>
          <w:color w:val="000000"/>
          <w:sz w:val="24"/>
          <w:szCs w:val="24"/>
        </w:rPr>
        <w:t xml:space="preserve">Performance measurement and constant improvement: </w:t>
      </w:r>
    </w:p>
    <w:p w14:paraId="44C3B97C" w14:textId="77777777" w:rsidR="00A769CA" w:rsidRDefault="008D3F3B">
      <w:pPr>
        <w:pBdr>
          <w:top w:val="nil"/>
          <w:left w:val="nil"/>
          <w:bottom w:val="nil"/>
          <w:right w:val="nil"/>
          <w:between w:val="nil"/>
        </w:pBdr>
        <w:spacing w:after="240" w:line="360" w:lineRule="auto"/>
        <w:jc w:val="both"/>
        <w:rPr>
          <w:color w:val="000000"/>
          <w:sz w:val="24"/>
          <w:szCs w:val="24"/>
        </w:rPr>
      </w:pPr>
      <w:r>
        <w:rPr>
          <w:color w:val="000000"/>
          <w:sz w:val="24"/>
          <w:szCs w:val="24"/>
        </w:rPr>
        <w:t xml:space="preserve">The concept of performance measurement can be illustrated as another important element of SRM. According to </w:t>
      </w:r>
      <w:proofErr w:type="spellStart"/>
      <w:r>
        <w:rPr>
          <w:color w:val="000000"/>
          <w:sz w:val="24"/>
          <w:szCs w:val="24"/>
        </w:rPr>
        <w:t>Dahinine</w:t>
      </w:r>
      <w:proofErr w:type="spellEnd"/>
      <w:r>
        <w:rPr>
          <w:color w:val="000000"/>
          <w:sz w:val="24"/>
          <w:szCs w:val="24"/>
        </w:rPr>
        <w:t xml:space="preserve"> </w:t>
      </w:r>
      <w:r>
        <w:rPr>
          <w:i/>
          <w:iCs/>
          <w:color w:val="000000"/>
          <w:sz w:val="24"/>
          <w:szCs w:val="24"/>
        </w:rPr>
        <w:t xml:space="preserve">et al. </w:t>
      </w:r>
      <w:r>
        <w:rPr>
          <w:color w:val="000000"/>
          <w:sz w:val="24"/>
          <w:szCs w:val="24"/>
        </w:rPr>
        <w:t>(2024), performance measurement can ensure that supplier performance aligns with the goal of the company. It has also been observed that the manufacturers sometimes apply the key performance indicators, such as innovation capability, product quality, delivery reliability, and cost efficiency. As stated by Rishi, Dwivedi, and Ghosal (2022), there is continuous monitoring and feedback, which can create business responsibility and assist the suppliers in improving gradually. Constant business i</w:t>
      </w:r>
      <w:r>
        <w:rPr>
          <w:color w:val="000000"/>
          <w:sz w:val="24"/>
          <w:szCs w:val="24"/>
        </w:rPr>
        <w:t xml:space="preserve">mprovement programs, which are typically supported by regular performance reviews, can undoubtedly motivate suppliers to manage high business standards and adapt to the dynamic market to meet changing business demands. </w:t>
      </w:r>
    </w:p>
    <w:p w14:paraId="23AFB02D" w14:textId="77777777" w:rsidR="00A769CA" w:rsidRDefault="008D3F3B">
      <w:pPr>
        <w:keepNext/>
        <w:pBdr>
          <w:top w:val="nil"/>
          <w:left w:val="nil"/>
          <w:bottom w:val="nil"/>
          <w:right w:val="nil"/>
          <w:between w:val="nil"/>
        </w:pBdr>
        <w:spacing w:after="240" w:line="360" w:lineRule="auto"/>
        <w:jc w:val="center"/>
      </w:pPr>
      <w:r>
        <w:rPr>
          <w:noProof/>
          <w:color w:val="000000"/>
          <w:sz w:val="24"/>
          <w:szCs w:val="24"/>
        </w:rPr>
        <w:lastRenderedPageBreak/>
        <w:drawing>
          <wp:inline distT="114300" distB="114300" distL="114300" distR="114300" wp14:anchorId="36D7CE33" wp14:editId="100E5E56">
            <wp:extent cx="5731200" cy="3238500"/>
            <wp:effectExtent l="0" t="0" r="0" b="0"/>
            <wp:docPr id="30"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0"/>
                    <a:srcRect/>
                    <a:stretch>
                      <a:fillRect/>
                    </a:stretch>
                  </pic:blipFill>
                  <pic:spPr>
                    <a:xfrm>
                      <a:off x="0" y="0"/>
                      <a:ext cx="5731200" cy="3238500"/>
                    </a:xfrm>
                    <a:prstGeom prst="rect">
                      <a:avLst/>
                    </a:prstGeom>
                    <a:ln/>
                  </pic:spPr>
                </pic:pic>
              </a:graphicData>
            </a:graphic>
          </wp:inline>
        </w:drawing>
      </w:r>
    </w:p>
    <w:p w14:paraId="260677EE" w14:textId="77777777" w:rsidR="00A769CA" w:rsidRDefault="008D3F3B">
      <w:pPr>
        <w:pBdr>
          <w:top w:val="nil"/>
          <w:left w:val="nil"/>
          <w:bottom w:val="nil"/>
          <w:right w:val="nil"/>
          <w:between w:val="nil"/>
        </w:pBdr>
        <w:spacing w:after="200" w:line="360" w:lineRule="auto"/>
        <w:jc w:val="center"/>
        <w:rPr>
          <w:b/>
          <w:bCs/>
          <w:color w:val="000000"/>
          <w:sz w:val="24"/>
          <w:szCs w:val="24"/>
        </w:rPr>
      </w:pPr>
      <w:bookmarkStart w:id="17" w:name="_heading=h.vkf5i9ogcrb8" w:colFirst="0" w:colLast="0"/>
      <w:bookmarkEnd w:id="17"/>
      <w:r>
        <w:rPr>
          <w:b/>
          <w:bCs/>
          <w:color w:val="1F497D"/>
          <w:sz w:val="24"/>
          <w:szCs w:val="24"/>
        </w:rPr>
        <w:t xml:space="preserve"> Figure 3: The Resource-Based View Theory</w:t>
      </w:r>
    </w:p>
    <w:p w14:paraId="6133A72C" w14:textId="77777777" w:rsidR="00A769CA" w:rsidRDefault="008D3F3B">
      <w:pPr>
        <w:pBdr>
          <w:top w:val="nil"/>
          <w:left w:val="nil"/>
          <w:bottom w:val="nil"/>
          <w:right w:val="nil"/>
          <w:between w:val="nil"/>
        </w:pBdr>
        <w:spacing w:after="240" w:line="360" w:lineRule="auto"/>
        <w:jc w:val="center"/>
        <w:rPr>
          <w:color w:val="000000"/>
          <w:sz w:val="24"/>
          <w:szCs w:val="24"/>
        </w:rPr>
      </w:pPr>
      <w:r>
        <w:rPr>
          <w:b/>
          <w:bCs/>
          <w:color w:val="000000"/>
          <w:sz w:val="24"/>
          <w:szCs w:val="24"/>
        </w:rPr>
        <w:t>Source:</w:t>
      </w:r>
      <w:r>
        <w:rPr>
          <w:color w:val="000000"/>
          <w:sz w:val="24"/>
          <w:szCs w:val="24"/>
        </w:rPr>
        <w:t xml:space="preserve"> (Rishi, Dwivedi, and Ghosal, 2022) </w:t>
      </w:r>
    </w:p>
    <w:p w14:paraId="15A1284A" w14:textId="77777777" w:rsidR="00A769CA" w:rsidRDefault="008D3F3B">
      <w:pPr>
        <w:pBdr>
          <w:top w:val="nil"/>
          <w:left w:val="nil"/>
          <w:bottom w:val="nil"/>
          <w:right w:val="nil"/>
          <w:between w:val="nil"/>
        </w:pBdr>
        <w:spacing w:after="240" w:line="360" w:lineRule="auto"/>
        <w:jc w:val="both"/>
        <w:rPr>
          <w:b/>
          <w:bCs/>
          <w:i/>
          <w:iCs/>
          <w:color w:val="000000"/>
          <w:sz w:val="24"/>
          <w:szCs w:val="24"/>
        </w:rPr>
      </w:pPr>
      <w:r>
        <w:rPr>
          <w:b/>
          <w:bCs/>
          <w:i/>
          <w:iCs/>
          <w:color w:val="000000"/>
          <w:sz w:val="24"/>
          <w:szCs w:val="24"/>
        </w:rPr>
        <w:t xml:space="preserve">Strategic appropriateness and competitive advantage: </w:t>
      </w:r>
    </w:p>
    <w:p w14:paraId="62936889" w14:textId="77777777" w:rsidR="00A769CA" w:rsidRDefault="008D3F3B">
      <w:pPr>
        <w:spacing w:after="200" w:line="360" w:lineRule="auto"/>
        <w:jc w:val="both"/>
        <w:rPr>
          <w:sz w:val="24"/>
          <w:szCs w:val="24"/>
        </w:rPr>
      </w:pPr>
      <w:r>
        <w:rPr>
          <w:sz w:val="24"/>
          <w:szCs w:val="24"/>
        </w:rPr>
        <w:t xml:space="preserve">Strong SRM is put into close contact with RBV, where supplier relations are regarded as specific strategic resources (El </w:t>
      </w:r>
      <w:proofErr w:type="spellStart"/>
      <w:r>
        <w:rPr>
          <w:sz w:val="24"/>
          <w:szCs w:val="24"/>
        </w:rPr>
        <w:t>Nemar</w:t>
      </w:r>
      <w:proofErr w:type="spellEnd"/>
      <w:r>
        <w:rPr>
          <w:i/>
          <w:iCs/>
          <w:sz w:val="24"/>
          <w:szCs w:val="24"/>
        </w:rPr>
        <w:t xml:space="preserve"> et al.,</w:t>
      </w:r>
      <w:r>
        <w:rPr>
          <w:sz w:val="24"/>
          <w:szCs w:val="24"/>
        </w:rPr>
        <w:t xml:space="preserve"> 2025). </w:t>
      </w:r>
      <w:proofErr w:type="spellStart"/>
      <w:r>
        <w:rPr>
          <w:sz w:val="24"/>
          <w:szCs w:val="24"/>
        </w:rPr>
        <w:t>Patrucco</w:t>
      </w:r>
      <w:proofErr w:type="spellEnd"/>
      <w:r>
        <w:rPr>
          <w:sz w:val="24"/>
          <w:szCs w:val="24"/>
        </w:rPr>
        <w:t xml:space="preserve">, Frattini and Di Benedetto (2022), in turn, focus on relational capital as something that is hard to imitate, and therefore differentiates in the long term, as well as efficiency is not mutually exclusive. Suppliers and manufacturers are also more likely to control costs and enhance performance when both the supplier and manufacturer have similar goals. Companies that integrate SRM strategically enjoy shorter lead times and greater responsiveness. </w:t>
      </w:r>
    </w:p>
    <w:p w14:paraId="4C1E3ED0" w14:textId="77777777" w:rsidR="00A769CA" w:rsidRDefault="008D3F3B">
      <w:pPr>
        <w:spacing w:after="200" w:line="360" w:lineRule="auto"/>
        <w:jc w:val="both"/>
        <w:rPr>
          <w:b/>
          <w:bCs/>
          <w:i/>
          <w:iCs/>
          <w:sz w:val="24"/>
          <w:szCs w:val="24"/>
        </w:rPr>
      </w:pPr>
      <w:r>
        <w:rPr>
          <w:b/>
          <w:bCs/>
          <w:i/>
          <w:iCs/>
          <w:sz w:val="24"/>
          <w:szCs w:val="24"/>
        </w:rPr>
        <w:t xml:space="preserve">Supplier development: </w:t>
      </w:r>
    </w:p>
    <w:p w14:paraId="3F5C92BF" w14:textId="77777777" w:rsidR="00A769CA" w:rsidRDefault="008D3F3B">
      <w:pPr>
        <w:spacing w:after="200" w:line="360" w:lineRule="auto"/>
        <w:jc w:val="both"/>
        <w:rPr>
          <w:sz w:val="24"/>
          <w:szCs w:val="24"/>
        </w:rPr>
      </w:pPr>
      <w:r>
        <w:rPr>
          <w:sz w:val="24"/>
          <w:szCs w:val="24"/>
        </w:rPr>
        <w:t>Supplier development increases the ability of suppliers by training and transferring knowledge. Unlike Vaghani (2024), who considers the ongoing efficiency enhancement, Olaleye</w:t>
      </w:r>
      <w:r>
        <w:rPr>
          <w:i/>
          <w:iCs/>
          <w:sz w:val="24"/>
          <w:szCs w:val="24"/>
        </w:rPr>
        <w:t xml:space="preserve"> et al</w:t>
      </w:r>
      <w:r>
        <w:rPr>
          <w:sz w:val="24"/>
          <w:szCs w:val="24"/>
        </w:rPr>
        <w:t xml:space="preserve">. (2024) present development in terms of establishing sustainable competitiveness throughout the supply chain. These efforts, including lean activities and the use of digital tools, enhance trust and mutual advancement. </w:t>
      </w:r>
    </w:p>
    <w:p w14:paraId="5D76736A" w14:textId="77777777" w:rsidR="00A769CA" w:rsidRDefault="008D3F3B">
      <w:pPr>
        <w:spacing w:after="200" w:line="360" w:lineRule="auto"/>
        <w:jc w:val="both"/>
        <w:rPr>
          <w:b/>
          <w:bCs/>
          <w:i/>
          <w:iCs/>
          <w:sz w:val="24"/>
          <w:szCs w:val="24"/>
        </w:rPr>
      </w:pPr>
      <w:r>
        <w:rPr>
          <w:b/>
          <w:bCs/>
          <w:i/>
          <w:iCs/>
          <w:sz w:val="24"/>
          <w:szCs w:val="24"/>
        </w:rPr>
        <w:lastRenderedPageBreak/>
        <w:t xml:space="preserve">Technology and data integration: </w:t>
      </w:r>
    </w:p>
    <w:p w14:paraId="24369508" w14:textId="77777777" w:rsidR="00A769CA" w:rsidRDefault="008D3F3B">
      <w:pPr>
        <w:spacing w:after="200" w:line="360" w:lineRule="auto"/>
        <w:jc w:val="both"/>
        <w:rPr>
          <w:sz w:val="24"/>
          <w:szCs w:val="24"/>
        </w:rPr>
      </w:pPr>
      <w:r>
        <w:rPr>
          <w:sz w:val="24"/>
          <w:szCs w:val="24"/>
        </w:rPr>
        <w:t xml:space="preserve">SRM is converted through the illusion of technology. Jawad and Balazs (2024) emphasise the ability to make better decisions with the help of SRM software and analytics, but </w:t>
      </w:r>
      <w:proofErr w:type="spellStart"/>
      <w:r>
        <w:rPr>
          <w:sz w:val="24"/>
          <w:szCs w:val="24"/>
        </w:rPr>
        <w:t>Patrucco</w:t>
      </w:r>
      <w:proofErr w:type="spellEnd"/>
      <w:r>
        <w:rPr>
          <w:sz w:val="24"/>
          <w:szCs w:val="24"/>
        </w:rPr>
        <w:t xml:space="preserve">, Frattini and Di Benedetto (2022) focus on transparency and risk prevention. Conversely, having real-time data sharing also allows disruption responses to be done fast, and this strengthens supply reliability. </w:t>
      </w:r>
    </w:p>
    <w:p w14:paraId="5D00207B" w14:textId="77777777" w:rsidR="00A769CA" w:rsidRDefault="008D3F3B">
      <w:pPr>
        <w:pStyle w:val="Heading3"/>
        <w:spacing w:before="0" w:after="240"/>
        <w:rPr>
          <w:color w:val="000000"/>
        </w:rPr>
      </w:pPr>
      <w:bookmarkStart w:id="18" w:name="_heading=h.ee8uhhqyp88o" w:colFirst="0" w:colLast="0"/>
      <w:bookmarkEnd w:id="18"/>
      <w:r>
        <w:rPr>
          <w:color w:val="000000"/>
        </w:rPr>
        <w:t xml:space="preserve">2.2.2 The analysis of the impact of SRM on supply chain performance indicators (such as efficiency, flexibility, and customer satisfaction). </w:t>
      </w:r>
    </w:p>
    <w:p w14:paraId="68EB00F2" w14:textId="77777777" w:rsidR="00A769CA" w:rsidRDefault="008D3F3B">
      <w:pPr>
        <w:spacing w:after="240" w:line="360" w:lineRule="auto"/>
        <w:jc w:val="both"/>
        <w:rPr>
          <w:sz w:val="24"/>
          <w:szCs w:val="24"/>
        </w:rPr>
      </w:pPr>
      <w:r>
        <w:rPr>
          <w:b/>
          <w:bCs/>
          <w:i/>
          <w:iCs/>
          <w:sz w:val="24"/>
          <w:szCs w:val="24"/>
        </w:rPr>
        <w:t xml:space="preserve">SRM and business efficiency: </w:t>
      </w:r>
    </w:p>
    <w:p w14:paraId="1A904432" w14:textId="77777777" w:rsidR="00A769CA" w:rsidRDefault="008D3F3B">
      <w:pPr>
        <w:spacing w:after="200" w:line="360" w:lineRule="auto"/>
        <w:jc w:val="both"/>
        <w:rPr>
          <w:sz w:val="24"/>
          <w:szCs w:val="24"/>
        </w:rPr>
      </w:pPr>
      <w:r>
        <w:rPr>
          <w:sz w:val="24"/>
          <w:szCs w:val="24"/>
        </w:rPr>
        <w:t xml:space="preserve">Strategic SRM helps in improving the efficiency of the business by ensuring that resources are optimised and output is better, and waste is reduced. As </w:t>
      </w:r>
      <w:proofErr w:type="spellStart"/>
      <w:r>
        <w:rPr>
          <w:sz w:val="24"/>
          <w:szCs w:val="24"/>
        </w:rPr>
        <w:t>Fatorachian</w:t>
      </w:r>
      <w:proofErr w:type="spellEnd"/>
      <w:r>
        <w:rPr>
          <w:sz w:val="24"/>
          <w:szCs w:val="24"/>
        </w:rPr>
        <w:t xml:space="preserve"> and Pawar (2025) raise, the exchange of information minimises waste within the inventory chain, decreasing the costs; </w:t>
      </w:r>
      <w:proofErr w:type="spellStart"/>
      <w:r>
        <w:rPr>
          <w:sz w:val="24"/>
          <w:szCs w:val="24"/>
        </w:rPr>
        <w:t>Riofiandi</w:t>
      </w:r>
      <w:proofErr w:type="spellEnd"/>
      <w:r>
        <w:rPr>
          <w:sz w:val="24"/>
          <w:szCs w:val="24"/>
        </w:rPr>
        <w:t xml:space="preserve"> and </w:t>
      </w:r>
      <w:proofErr w:type="spellStart"/>
      <w:r>
        <w:rPr>
          <w:sz w:val="24"/>
          <w:szCs w:val="24"/>
        </w:rPr>
        <w:t>Tarigan</w:t>
      </w:r>
      <w:proofErr w:type="spellEnd"/>
      <w:r>
        <w:rPr>
          <w:sz w:val="24"/>
          <w:szCs w:val="24"/>
        </w:rPr>
        <w:t xml:space="preserve"> (2022) also emphasise that real-time collaboration can help to provide more precise production times. Instead, the two are both cost-cutting, with their emphasis being very narrow as they do not prioritise large performance principles like innovation, which is very narrow-minded. It makes digital SRM tools even more efficient; Smith (2024) cites automated da</w:t>
      </w:r>
      <w:r>
        <w:rPr>
          <w:sz w:val="24"/>
          <w:szCs w:val="24"/>
        </w:rPr>
        <w:t xml:space="preserve">ta sharing and mitigates administrative mistakes, with </w:t>
      </w:r>
      <w:proofErr w:type="spellStart"/>
      <w:r>
        <w:rPr>
          <w:sz w:val="24"/>
          <w:szCs w:val="24"/>
        </w:rPr>
        <w:t>Fatorachian</w:t>
      </w:r>
      <w:proofErr w:type="spellEnd"/>
      <w:r>
        <w:rPr>
          <w:sz w:val="24"/>
          <w:szCs w:val="24"/>
        </w:rPr>
        <w:t xml:space="preserve"> and Pawar (2025) referring to the quality of the forecasts. Unlike </w:t>
      </w:r>
      <w:proofErr w:type="spellStart"/>
      <w:r>
        <w:rPr>
          <w:sz w:val="24"/>
          <w:szCs w:val="24"/>
        </w:rPr>
        <w:t>Riofiandi</w:t>
      </w:r>
      <w:proofErr w:type="spellEnd"/>
      <w:r>
        <w:rPr>
          <w:sz w:val="24"/>
          <w:szCs w:val="24"/>
        </w:rPr>
        <w:t xml:space="preserve"> and </w:t>
      </w:r>
      <w:proofErr w:type="spellStart"/>
      <w:r>
        <w:rPr>
          <w:sz w:val="24"/>
          <w:szCs w:val="24"/>
        </w:rPr>
        <w:t>Tarigan</w:t>
      </w:r>
      <w:proofErr w:type="spellEnd"/>
      <w:r>
        <w:rPr>
          <w:sz w:val="24"/>
          <w:szCs w:val="24"/>
        </w:rPr>
        <w:t xml:space="preserve"> (2022) supply-scheduling outlook, Smith (2024) attaches importance to transparency and monitoring. There are similarities though in both perspectives that SRM is seen as one of the defining factors of productivity and cost reduction. </w:t>
      </w:r>
    </w:p>
    <w:p w14:paraId="2B94E471" w14:textId="77777777" w:rsidR="00A769CA" w:rsidRDefault="008D3F3B">
      <w:pPr>
        <w:spacing w:after="240" w:line="360" w:lineRule="auto"/>
        <w:jc w:val="both"/>
        <w:rPr>
          <w:sz w:val="24"/>
          <w:szCs w:val="24"/>
        </w:rPr>
      </w:pPr>
      <w:r>
        <w:rPr>
          <w:b/>
          <w:bCs/>
          <w:i/>
          <w:iCs/>
          <w:sz w:val="24"/>
          <w:szCs w:val="24"/>
        </w:rPr>
        <w:t xml:space="preserve">SRM and Flexibility: </w:t>
      </w:r>
    </w:p>
    <w:p w14:paraId="0A0C9853" w14:textId="77777777" w:rsidR="00A769CA" w:rsidRDefault="008D3F3B">
      <w:pPr>
        <w:spacing w:after="200" w:line="360" w:lineRule="auto"/>
        <w:jc w:val="both"/>
        <w:rPr>
          <w:sz w:val="24"/>
          <w:szCs w:val="24"/>
        </w:rPr>
      </w:pPr>
      <w:r>
        <w:rPr>
          <w:sz w:val="24"/>
          <w:szCs w:val="24"/>
        </w:rPr>
        <w:t xml:space="preserve">SRM also fosters flexibility of the supply chain. Closely spaced supplier-buyer implies enable firms to rearrange production plans and develop products in the shortest amount of time, whereas </w:t>
      </w:r>
      <w:proofErr w:type="spellStart"/>
      <w:r>
        <w:rPr>
          <w:sz w:val="24"/>
          <w:szCs w:val="24"/>
        </w:rPr>
        <w:t>Riofiandi</w:t>
      </w:r>
      <w:proofErr w:type="spellEnd"/>
      <w:r>
        <w:rPr>
          <w:sz w:val="24"/>
          <w:szCs w:val="24"/>
        </w:rPr>
        <w:t xml:space="preserve"> and </w:t>
      </w:r>
      <w:proofErr w:type="spellStart"/>
      <w:r>
        <w:rPr>
          <w:sz w:val="24"/>
          <w:szCs w:val="24"/>
        </w:rPr>
        <w:t>Tarigan</w:t>
      </w:r>
      <w:proofErr w:type="spellEnd"/>
      <w:r>
        <w:rPr>
          <w:sz w:val="24"/>
          <w:szCs w:val="24"/>
        </w:rPr>
        <w:t xml:space="preserve"> (2022) concentrate more on the timing and ignore product adjustments. The flexibility lies in the availability of data about forecasting; Smith (2024) states that digital SRM solutions improve response to disruption faster, unlike traditional coordination tools that have delays. Supplier development programs also increase the resilience; Olaleye</w:t>
      </w:r>
      <w:r>
        <w:rPr>
          <w:i/>
          <w:iCs/>
          <w:sz w:val="24"/>
          <w:szCs w:val="24"/>
        </w:rPr>
        <w:t xml:space="preserve"> et al.</w:t>
      </w:r>
      <w:r>
        <w:rPr>
          <w:sz w:val="24"/>
          <w:szCs w:val="24"/>
        </w:rPr>
        <w:t xml:space="preserve"> (2024) highlight the </w:t>
      </w:r>
      <w:r>
        <w:rPr>
          <w:sz w:val="24"/>
          <w:szCs w:val="24"/>
        </w:rPr>
        <w:lastRenderedPageBreak/>
        <w:t xml:space="preserve">increase in supplier capacity, which, according to the authors, is created due to collaboration and not just with </w:t>
      </w:r>
      <w:r>
        <w:rPr>
          <w:sz w:val="24"/>
          <w:szCs w:val="24"/>
        </w:rPr>
        <w:t xml:space="preserve">the help of digital integration. </w:t>
      </w:r>
    </w:p>
    <w:p w14:paraId="203C5064" w14:textId="77777777" w:rsidR="00A769CA" w:rsidRDefault="008D3F3B">
      <w:pPr>
        <w:pBdr>
          <w:top w:val="nil"/>
          <w:left w:val="nil"/>
          <w:bottom w:val="nil"/>
          <w:right w:val="nil"/>
          <w:between w:val="nil"/>
        </w:pBdr>
        <w:spacing w:after="240" w:line="360" w:lineRule="auto"/>
        <w:jc w:val="both"/>
        <w:rPr>
          <w:b/>
          <w:bCs/>
          <w:i/>
          <w:iCs/>
          <w:color w:val="000000"/>
          <w:sz w:val="24"/>
          <w:szCs w:val="24"/>
        </w:rPr>
      </w:pPr>
      <w:r>
        <w:rPr>
          <w:b/>
          <w:bCs/>
          <w:i/>
          <w:iCs/>
          <w:color w:val="000000"/>
          <w:sz w:val="24"/>
          <w:szCs w:val="24"/>
        </w:rPr>
        <w:t xml:space="preserve">SRM and customer satisfaction: </w:t>
      </w:r>
    </w:p>
    <w:p w14:paraId="44E4D48F" w14:textId="77777777" w:rsidR="00A769CA" w:rsidRDefault="008D3F3B">
      <w:pPr>
        <w:pBdr>
          <w:top w:val="nil"/>
          <w:left w:val="nil"/>
          <w:bottom w:val="nil"/>
          <w:right w:val="nil"/>
          <w:between w:val="nil"/>
        </w:pBdr>
        <w:spacing w:after="240" w:line="360" w:lineRule="auto"/>
        <w:jc w:val="both"/>
        <w:rPr>
          <w:color w:val="000000"/>
          <w:sz w:val="24"/>
          <w:szCs w:val="24"/>
        </w:rPr>
      </w:pPr>
      <w:r>
        <w:rPr>
          <w:color w:val="000000"/>
          <w:sz w:val="24"/>
          <w:szCs w:val="24"/>
        </w:rPr>
        <w:t xml:space="preserve">The concept of customer satisfaction sometimes depends on product quality, timely delivery, and continuous service. According to Grant (2024), SRM impacts almost every area with the help of enhancing coordination, communication, and trust between suppliers and manufacturers. </w:t>
      </w:r>
      <w:proofErr w:type="spellStart"/>
      <w:r>
        <w:rPr>
          <w:color w:val="000000"/>
          <w:sz w:val="24"/>
          <w:szCs w:val="24"/>
        </w:rPr>
        <w:t>Riofiandi</w:t>
      </w:r>
      <w:proofErr w:type="spellEnd"/>
      <w:r>
        <w:rPr>
          <w:color w:val="000000"/>
          <w:sz w:val="24"/>
          <w:szCs w:val="24"/>
        </w:rPr>
        <w:t xml:space="preserve"> and </w:t>
      </w:r>
      <w:proofErr w:type="spellStart"/>
      <w:r>
        <w:rPr>
          <w:color w:val="000000"/>
          <w:sz w:val="24"/>
          <w:szCs w:val="24"/>
        </w:rPr>
        <w:t>Tarigan</w:t>
      </w:r>
      <w:proofErr w:type="spellEnd"/>
      <w:r>
        <w:rPr>
          <w:color w:val="000000"/>
          <w:sz w:val="24"/>
          <w:szCs w:val="24"/>
        </w:rPr>
        <w:t xml:space="preserve"> (2022) stated that effective supplier cooperation results in fewer defects of products, better responsiveness, and reliable deliveries to the growing customer base. Product availability and the reduction of waiting times for customers are ensured, especially when manufacturers and suppliers work together. </w:t>
      </w:r>
    </w:p>
    <w:p w14:paraId="19BB4FB0" w14:textId="77777777" w:rsidR="00A769CA" w:rsidRDefault="008D3F3B">
      <w:pPr>
        <w:keepNext/>
        <w:pBdr>
          <w:top w:val="nil"/>
          <w:left w:val="nil"/>
          <w:bottom w:val="nil"/>
          <w:right w:val="nil"/>
          <w:between w:val="nil"/>
        </w:pBdr>
        <w:spacing w:after="240" w:line="360" w:lineRule="auto"/>
        <w:jc w:val="center"/>
      </w:pPr>
      <w:r>
        <w:rPr>
          <w:noProof/>
          <w:color w:val="000000"/>
          <w:sz w:val="24"/>
          <w:szCs w:val="24"/>
        </w:rPr>
        <w:drawing>
          <wp:inline distT="114300" distB="114300" distL="114300" distR="114300" wp14:anchorId="1245BAA0" wp14:editId="18153424">
            <wp:extent cx="5731200" cy="3695700"/>
            <wp:effectExtent l="0" t="0" r="0" b="0"/>
            <wp:docPr id="3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731200" cy="3695700"/>
                    </a:xfrm>
                    <a:prstGeom prst="rect">
                      <a:avLst/>
                    </a:prstGeom>
                    <a:ln/>
                  </pic:spPr>
                </pic:pic>
              </a:graphicData>
            </a:graphic>
          </wp:inline>
        </w:drawing>
      </w:r>
    </w:p>
    <w:p w14:paraId="41ECCF54" w14:textId="77777777" w:rsidR="00A769CA" w:rsidRDefault="008D3F3B">
      <w:pPr>
        <w:pBdr>
          <w:top w:val="nil"/>
          <w:left w:val="nil"/>
          <w:bottom w:val="nil"/>
          <w:right w:val="nil"/>
          <w:between w:val="nil"/>
        </w:pBdr>
        <w:spacing w:after="200" w:line="360" w:lineRule="auto"/>
        <w:jc w:val="center"/>
        <w:rPr>
          <w:b/>
          <w:bCs/>
          <w:color w:val="1F497D"/>
          <w:sz w:val="24"/>
          <w:szCs w:val="24"/>
        </w:rPr>
      </w:pPr>
      <w:bookmarkStart w:id="19" w:name="_heading=h.djft3fpu3w9e" w:colFirst="0" w:colLast="0"/>
      <w:bookmarkEnd w:id="19"/>
      <w:r>
        <w:rPr>
          <w:b/>
          <w:bCs/>
          <w:color w:val="1F497D"/>
          <w:sz w:val="24"/>
          <w:szCs w:val="24"/>
        </w:rPr>
        <w:t>Figure 4: The implementation of the environmentally sustainable practices that changed over the last year</w:t>
      </w:r>
    </w:p>
    <w:p w14:paraId="34DAB2CA" w14:textId="77777777" w:rsidR="00A769CA" w:rsidRDefault="008D3F3B">
      <w:pPr>
        <w:pBdr>
          <w:top w:val="nil"/>
          <w:left w:val="nil"/>
          <w:bottom w:val="nil"/>
          <w:right w:val="nil"/>
          <w:between w:val="nil"/>
        </w:pBdr>
        <w:spacing w:after="240" w:line="360" w:lineRule="auto"/>
        <w:jc w:val="center"/>
        <w:rPr>
          <w:color w:val="000000"/>
          <w:sz w:val="24"/>
          <w:szCs w:val="24"/>
        </w:rPr>
      </w:pPr>
      <w:r>
        <w:rPr>
          <w:b/>
          <w:bCs/>
          <w:color w:val="000000"/>
          <w:sz w:val="24"/>
          <w:szCs w:val="24"/>
        </w:rPr>
        <w:t>Source:</w:t>
      </w:r>
      <w:r>
        <w:rPr>
          <w:color w:val="000000"/>
          <w:sz w:val="24"/>
          <w:szCs w:val="24"/>
        </w:rPr>
        <w:t xml:space="preserve"> (Placek, 2022) </w:t>
      </w:r>
    </w:p>
    <w:p w14:paraId="4509D117" w14:textId="77777777" w:rsidR="00A769CA" w:rsidRDefault="008D3F3B">
      <w:pPr>
        <w:pBdr>
          <w:top w:val="nil"/>
          <w:left w:val="nil"/>
          <w:bottom w:val="nil"/>
          <w:right w:val="nil"/>
          <w:between w:val="nil"/>
        </w:pBdr>
        <w:spacing w:after="240" w:line="360" w:lineRule="auto"/>
        <w:jc w:val="both"/>
        <w:rPr>
          <w:color w:val="000000"/>
          <w:sz w:val="24"/>
          <w:szCs w:val="24"/>
        </w:rPr>
      </w:pPr>
      <w:r>
        <w:rPr>
          <w:color w:val="000000"/>
          <w:sz w:val="24"/>
          <w:szCs w:val="24"/>
        </w:rPr>
        <w:t xml:space="preserve">The above statistical figure illustrates the trends of the implementation of environmentally sustainable practices that have changed over the last year. In this </w:t>
      </w:r>
      <w:r>
        <w:rPr>
          <w:color w:val="000000"/>
          <w:sz w:val="24"/>
          <w:szCs w:val="24"/>
        </w:rPr>
        <w:lastRenderedPageBreak/>
        <w:t xml:space="preserve">regard, Placek (2022) stated that almost 45.2 per cent of professionals from the logistics sector reported that their plans remain unchanged in relation to the implementation of environmentally sustainable practices in the year 2020. On the other hand, nearly 26.9 per cent of respondents recommended that they are more likely to execute these changes. In recent times, customers also give value to ethical as well as sustainable practices in the manufacturing industry, as conveyed by Tanveer </w:t>
      </w:r>
      <w:r>
        <w:rPr>
          <w:i/>
          <w:iCs/>
          <w:color w:val="000000"/>
          <w:sz w:val="24"/>
          <w:szCs w:val="24"/>
        </w:rPr>
        <w:t>et al.</w:t>
      </w:r>
      <w:r>
        <w:rPr>
          <w:color w:val="000000"/>
          <w:sz w:val="24"/>
          <w:szCs w:val="24"/>
        </w:rPr>
        <w:t xml:space="preserve"> (2021). The</w:t>
      </w:r>
      <w:r>
        <w:rPr>
          <w:color w:val="000000"/>
          <w:sz w:val="24"/>
          <w:szCs w:val="24"/>
        </w:rPr>
        <w:t xml:space="preserve"> appropriate use of SRM can enhance this aspect with the help of assisting the manufacturers in ensuring that suppliers follow sustainable and ethical standards. Vaka (2024) pointed out those firms with sustainable supplier practices are typically more trusted by the consumer segment, which can lead to stronger brand loyalty. As a result, SRM not only enhances operational performance but also assists the brand reputation and customer relationships of the specific firm. </w:t>
      </w:r>
    </w:p>
    <w:p w14:paraId="24A733CD" w14:textId="77777777" w:rsidR="00A769CA" w:rsidRDefault="008D3F3B">
      <w:pPr>
        <w:pBdr>
          <w:top w:val="nil"/>
          <w:left w:val="nil"/>
          <w:bottom w:val="nil"/>
          <w:right w:val="nil"/>
          <w:between w:val="nil"/>
        </w:pBdr>
        <w:spacing w:after="240" w:line="360" w:lineRule="auto"/>
        <w:jc w:val="both"/>
        <w:rPr>
          <w:b/>
          <w:bCs/>
          <w:i/>
          <w:iCs/>
          <w:color w:val="000000"/>
          <w:sz w:val="24"/>
          <w:szCs w:val="24"/>
        </w:rPr>
      </w:pPr>
      <w:r>
        <w:rPr>
          <w:b/>
          <w:bCs/>
          <w:i/>
          <w:iCs/>
          <w:color w:val="000000"/>
          <w:sz w:val="24"/>
          <w:szCs w:val="24"/>
        </w:rPr>
        <w:t xml:space="preserve">Theoretical support and strategic impact: </w:t>
      </w:r>
    </w:p>
    <w:p w14:paraId="3D7B0E26" w14:textId="77777777" w:rsidR="00A769CA" w:rsidRDefault="008D3F3B">
      <w:pPr>
        <w:pBdr>
          <w:top w:val="nil"/>
          <w:left w:val="nil"/>
          <w:bottom w:val="nil"/>
          <w:right w:val="nil"/>
          <w:between w:val="nil"/>
        </w:pBdr>
        <w:spacing w:after="240" w:line="360" w:lineRule="auto"/>
        <w:jc w:val="both"/>
        <w:rPr>
          <w:color w:val="000000"/>
          <w:sz w:val="24"/>
          <w:szCs w:val="24"/>
        </w:rPr>
      </w:pPr>
      <w:r>
        <w:rPr>
          <w:color w:val="000000"/>
          <w:sz w:val="24"/>
          <w:szCs w:val="24"/>
        </w:rPr>
        <w:t xml:space="preserve">The advantages of SRM can be elaborated with the support of the Theory of Transaction Cost Economics (TCE). The TCE states that strategic partnerships can reduce uncertainty and alleviate costs associated with business coordination, as illustrated by Li </w:t>
      </w:r>
      <w:r>
        <w:rPr>
          <w:i/>
          <w:iCs/>
          <w:color w:val="000000"/>
          <w:sz w:val="24"/>
          <w:szCs w:val="24"/>
        </w:rPr>
        <w:t xml:space="preserve">et al. </w:t>
      </w:r>
      <w:r>
        <w:rPr>
          <w:color w:val="000000"/>
          <w:sz w:val="24"/>
          <w:szCs w:val="24"/>
        </w:rPr>
        <w:t xml:space="preserve">(2024). The firms can spend less time and money on negotiation, monitoring, and dispute resolution, with the aid of maintaining long-term supplier relationships, as stated by Grant (2024). The RBV also assists this specific notion by recommending that robust connection with the suppliers, which are valuable and hard to copy. </w:t>
      </w:r>
    </w:p>
    <w:p w14:paraId="34DA9701" w14:textId="77777777" w:rsidR="00A769CA" w:rsidRDefault="008D3F3B">
      <w:pPr>
        <w:keepNext/>
        <w:pBdr>
          <w:top w:val="nil"/>
          <w:left w:val="nil"/>
          <w:bottom w:val="nil"/>
          <w:right w:val="nil"/>
          <w:between w:val="nil"/>
        </w:pBdr>
        <w:spacing w:after="240" w:line="360" w:lineRule="auto"/>
        <w:jc w:val="center"/>
      </w:pPr>
      <w:r>
        <w:rPr>
          <w:noProof/>
          <w:color w:val="000000"/>
          <w:sz w:val="24"/>
          <w:szCs w:val="24"/>
        </w:rPr>
        <w:drawing>
          <wp:inline distT="114300" distB="114300" distL="114300" distR="114300" wp14:anchorId="007DFC69" wp14:editId="7C48E583">
            <wp:extent cx="5731200" cy="2235200"/>
            <wp:effectExtent l="0" t="0" r="0" b="0"/>
            <wp:docPr id="3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731200" cy="2235200"/>
                    </a:xfrm>
                    <a:prstGeom prst="rect">
                      <a:avLst/>
                    </a:prstGeom>
                    <a:ln/>
                  </pic:spPr>
                </pic:pic>
              </a:graphicData>
            </a:graphic>
          </wp:inline>
        </w:drawing>
      </w:r>
    </w:p>
    <w:p w14:paraId="40DFDAFA" w14:textId="77777777" w:rsidR="00A769CA" w:rsidRDefault="008D3F3B">
      <w:pPr>
        <w:pBdr>
          <w:top w:val="nil"/>
          <w:left w:val="nil"/>
          <w:bottom w:val="nil"/>
          <w:right w:val="nil"/>
          <w:between w:val="nil"/>
        </w:pBdr>
        <w:spacing w:after="200" w:line="360" w:lineRule="auto"/>
        <w:jc w:val="center"/>
        <w:rPr>
          <w:b/>
          <w:bCs/>
          <w:color w:val="000000"/>
          <w:sz w:val="24"/>
          <w:szCs w:val="24"/>
        </w:rPr>
      </w:pPr>
      <w:bookmarkStart w:id="20" w:name="_heading=h.o67t732dnr5s" w:colFirst="0" w:colLast="0"/>
      <w:bookmarkEnd w:id="20"/>
      <w:r>
        <w:rPr>
          <w:b/>
          <w:bCs/>
          <w:color w:val="1F497D"/>
          <w:sz w:val="24"/>
          <w:szCs w:val="24"/>
        </w:rPr>
        <w:t>Figure 5: Theory of Transaction Cost Economics</w:t>
      </w:r>
    </w:p>
    <w:p w14:paraId="66E08BF3" w14:textId="77777777" w:rsidR="00A769CA" w:rsidRDefault="008D3F3B">
      <w:pPr>
        <w:pBdr>
          <w:top w:val="nil"/>
          <w:left w:val="nil"/>
          <w:bottom w:val="nil"/>
          <w:right w:val="nil"/>
          <w:between w:val="nil"/>
        </w:pBdr>
        <w:spacing w:after="240" w:line="360" w:lineRule="auto"/>
        <w:jc w:val="center"/>
        <w:rPr>
          <w:color w:val="000000"/>
          <w:sz w:val="24"/>
          <w:szCs w:val="24"/>
        </w:rPr>
      </w:pPr>
      <w:r>
        <w:rPr>
          <w:b/>
          <w:bCs/>
          <w:color w:val="000000"/>
          <w:sz w:val="24"/>
          <w:szCs w:val="24"/>
        </w:rPr>
        <w:lastRenderedPageBreak/>
        <w:t>Source:</w:t>
      </w:r>
      <w:r>
        <w:rPr>
          <w:color w:val="000000"/>
          <w:sz w:val="24"/>
          <w:szCs w:val="24"/>
        </w:rPr>
        <w:t xml:space="preserve"> (Corporate Finance Institute, 2025) </w:t>
      </w:r>
    </w:p>
    <w:p w14:paraId="4F65CF08"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000000"/>
          <w:sz w:val="24"/>
          <w:szCs w:val="24"/>
        </w:rPr>
        <w:t xml:space="preserve">When SRM is incorporated into the manufacturing activities at an appropriate level, it leads to increased efficiency, flexibility, and satisfaction among the customers. There are fewer disruptions in supply, better quality coordination, and prompt reaction to market variations in firms. All these advantages render SRM a necessary component of the competitive strategy of a company, particularly in a dynamic global market. </w:t>
      </w:r>
    </w:p>
    <w:p w14:paraId="0FC43303" w14:textId="77777777" w:rsidR="00A769CA" w:rsidRDefault="008D3F3B">
      <w:pPr>
        <w:pStyle w:val="Heading3"/>
        <w:spacing w:before="0" w:after="240"/>
        <w:rPr>
          <w:color w:val="000000"/>
        </w:rPr>
      </w:pPr>
      <w:bookmarkStart w:id="21" w:name="_heading=h.8juldp1a3y9d" w:colFirst="0" w:colLast="0"/>
      <w:bookmarkEnd w:id="21"/>
      <w:r>
        <w:rPr>
          <w:color w:val="000000"/>
        </w:rPr>
        <w:t>2.2.3 Identification of the challenges and barriers that affect the effective implementation of SRM.</w:t>
      </w:r>
    </w:p>
    <w:p w14:paraId="74E5AA0B" w14:textId="77777777" w:rsidR="00A769CA" w:rsidRDefault="008D3F3B">
      <w:pPr>
        <w:pBdr>
          <w:top w:val="nil"/>
          <w:left w:val="nil"/>
          <w:bottom w:val="nil"/>
          <w:right w:val="nil"/>
          <w:between w:val="nil"/>
        </w:pBdr>
        <w:spacing w:before="240" w:after="240" w:line="360" w:lineRule="auto"/>
        <w:jc w:val="both"/>
        <w:rPr>
          <w:b/>
          <w:bCs/>
          <w:i/>
          <w:iCs/>
          <w:color w:val="000000"/>
          <w:sz w:val="24"/>
          <w:szCs w:val="24"/>
        </w:rPr>
      </w:pPr>
      <w:r>
        <w:rPr>
          <w:b/>
          <w:bCs/>
          <w:i/>
          <w:iCs/>
          <w:color w:val="000000"/>
          <w:sz w:val="24"/>
          <w:szCs w:val="24"/>
        </w:rPr>
        <w:t xml:space="preserve">Barriers in organisations and between people: </w:t>
      </w:r>
    </w:p>
    <w:p w14:paraId="29B94B6D"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000000"/>
          <w:sz w:val="24"/>
          <w:szCs w:val="24"/>
        </w:rPr>
        <w:t xml:space="preserve">The major problem of SRM implementation is the lack of proper communication between manufacturers and suppliers. </w:t>
      </w:r>
      <w:proofErr w:type="spellStart"/>
      <w:r>
        <w:rPr>
          <w:color w:val="000000"/>
          <w:sz w:val="24"/>
          <w:szCs w:val="24"/>
        </w:rPr>
        <w:t>Sankala</w:t>
      </w:r>
      <w:proofErr w:type="spellEnd"/>
      <w:r>
        <w:rPr>
          <w:color w:val="000000"/>
          <w:sz w:val="24"/>
          <w:szCs w:val="24"/>
        </w:rPr>
        <w:t xml:space="preserve"> (2024) stated that communication failures tend to cause misunderstandings, delays, and mismatched expectations, determining the effectiveness of SRM activities. Lack of transparency in information between the companies and the suppliers makes it hard to make timely decisions or make accurate forecasts. Moreover, the lack of supplier-manufacturer cooperation is left weak through the divergence of their goals. As an illustration, suppliers will be interested in maximising profit margins, and buyers wi</w:t>
      </w:r>
      <w:r>
        <w:rPr>
          <w:color w:val="000000"/>
          <w:sz w:val="24"/>
          <w:szCs w:val="24"/>
        </w:rPr>
        <w:t xml:space="preserve">ll want to get lower prices, and this may lead to tension in the relationship. </w:t>
      </w:r>
    </w:p>
    <w:p w14:paraId="448F6FEF"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000000"/>
          <w:sz w:val="24"/>
          <w:szCs w:val="24"/>
        </w:rPr>
        <w:t xml:space="preserve">A significant impediment to SRM effectiveness is the presence of cultural mismatch, as well. The </w:t>
      </w:r>
      <w:proofErr w:type="spellStart"/>
      <w:r>
        <w:rPr>
          <w:color w:val="000000"/>
          <w:sz w:val="24"/>
          <w:szCs w:val="24"/>
        </w:rPr>
        <w:t>Glavee</w:t>
      </w:r>
      <w:proofErr w:type="spellEnd"/>
      <w:r>
        <w:rPr>
          <w:color w:val="000000"/>
          <w:sz w:val="24"/>
          <w:szCs w:val="24"/>
        </w:rPr>
        <w:t xml:space="preserve">-Geo, </w:t>
      </w:r>
      <w:proofErr w:type="spellStart"/>
      <w:r>
        <w:rPr>
          <w:color w:val="000000"/>
          <w:sz w:val="24"/>
          <w:szCs w:val="24"/>
        </w:rPr>
        <w:t>Engelseth</w:t>
      </w:r>
      <w:proofErr w:type="spellEnd"/>
      <w:r>
        <w:rPr>
          <w:color w:val="000000"/>
          <w:sz w:val="24"/>
          <w:szCs w:val="24"/>
        </w:rPr>
        <w:t xml:space="preserve"> and Buvik (2021) discovered that in most cases, cultural differences in the negotiation styles, communication patterns, and decision-making processes can bring friction, particularly during global supply chains. Such differences may lead to confusion, loss of cooperation and absence of mutual understanding. In most instances, foreign suppliers might not conform to the local business practices, resulting in a lack of alignment of strategies and a low quality of partnership. </w:t>
      </w:r>
    </w:p>
    <w:p w14:paraId="4DC60DC6" w14:textId="77777777" w:rsidR="00A769CA" w:rsidRDefault="008D3F3B">
      <w:pPr>
        <w:pBdr>
          <w:top w:val="nil"/>
          <w:left w:val="nil"/>
          <w:bottom w:val="nil"/>
          <w:right w:val="nil"/>
          <w:between w:val="nil"/>
        </w:pBdr>
        <w:spacing w:before="240" w:after="240" w:line="360" w:lineRule="auto"/>
        <w:jc w:val="both"/>
        <w:rPr>
          <w:b/>
          <w:bCs/>
          <w:i/>
          <w:iCs/>
          <w:color w:val="000000"/>
          <w:sz w:val="24"/>
          <w:szCs w:val="24"/>
        </w:rPr>
      </w:pPr>
      <w:r>
        <w:rPr>
          <w:b/>
          <w:bCs/>
          <w:i/>
          <w:iCs/>
          <w:color w:val="000000"/>
          <w:sz w:val="24"/>
          <w:szCs w:val="24"/>
        </w:rPr>
        <w:t xml:space="preserve">Imbalance of Power and Prejudiced Behaviour: </w:t>
      </w:r>
    </w:p>
    <w:p w14:paraId="420B38A0"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000000"/>
          <w:sz w:val="24"/>
          <w:szCs w:val="24"/>
        </w:rPr>
        <w:t xml:space="preserve">Another problematic issue in the implementation of SRM is power imbalance. According to Gazdecki and </w:t>
      </w:r>
      <w:proofErr w:type="spellStart"/>
      <w:r>
        <w:rPr>
          <w:color w:val="000000"/>
          <w:sz w:val="24"/>
          <w:szCs w:val="24"/>
        </w:rPr>
        <w:t>Grześkowiak</w:t>
      </w:r>
      <w:proofErr w:type="spellEnd"/>
      <w:r>
        <w:rPr>
          <w:color w:val="000000"/>
          <w:sz w:val="24"/>
          <w:szCs w:val="24"/>
        </w:rPr>
        <w:t xml:space="preserve"> (2025), the large manufacturing companies </w:t>
      </w:r>
      <w:r>
        <w:rPr>
          <w:color w:val="000000"/>
          <w:sz w:val="24"/>
          <w:szCs w:val="24"/>
        </w:rPr>
        <w:lastRenderedPageBreak/>
        <w:t xml:space="preserve">tend to control the relations with suppliers because they have a more significant presence in the market. Such a lack of balance may deter free cooperation and restrain the desire of suppliers to exchange creative ideas or classified information. It has been suggested by </w:t>
      </w:r>
      <w:proofErr w:type="spellStart"/>
      <w:r>
        <w:rPr>
          <w:color w:val="000000"/>
          <w:sz w:val="24"/>
          <w:szCs w:val="24"/>
        </w:rPr>
        <w:t>Glavee</w:t>
      </w:r>
      <w:proofErr w:type="spellEnd"/>
      <w:r>
        <w:rPr>
          <w:color w:val="000000"/>
          <w:sz w:val="24"/>
          <w:szCs w:val="24"/>
        </w:rPr>
        <w:t xml:space="preserve">-Geo </w:t>
      </w:r>
      <w:proofErr w:type="spellStart"/>
      <w:r>
        <w:rPr>
          <w:color w:val="000000"/>
          <w:sz w:val="24"/>
          <w:szCs w:val="24"/>
        </w:rPr>
        <w:t>Engelseth</w:t>
      </w:r>
      <w:proofErr w:type="spellEnd"/>
      <w:r>
        <w:rPr>
          <w:color w:val="000000"/>
          <w:sz w:val="24"/>
          <w:szCs w:val="24"/>
        </w:rPr>
        <w:t xml:space="preserve"> and Buvik (2021) that this power imbalance facilitates opportunistic behaviour, in which one of the parties acts in their own benefit over the other. As an example, </w:t>
      </w:r>
      <w:r>
        <w:rPr>
          <w:color w:val="000000"/>
          <w:sz w:val="24"/>
          <w:szCs w:val="24"/>
        </w:rPr>
        <w:t xml:space="preserve">a supplier may take advantage of a buyer by giving too high discounts or terms of payment, which results in dissatisfaction and mistrust, which is long-lasting. </w:t>
      </w:r>
    </w:p>
    <w:p w14:paraId="438827D8" w14:textId="77777777" w:rsidR="00A769CA" w:rsidRDefault="008D3F3B">
      <w:pPr>
        <w:keepNext/>
        <w:pBdr>
          <w:top w:val="nil"/>
          <w:left w:val="nil"/>
          <w:bottom w:val="nil"/>
          <w:right w:val="nil"/>
          <w:between w:val="nil"/>
        </w:pBdr>
        <w:spacing w:after="240" w:line="360" w:lineRule="auto"/>
        <w:jc w:val="center"/>
      </w:pPr>
      <w:r>
        <w:rPr>
          <w:noProof/>
          <w:color w:val="000000"/>
          <w:sz w:val="24"/>
          <w:szCs w:val="24"/>
        </w:rPr>
        <w:drawing>
          <wp:inline distT="114300" distB="114300" distL="114300" distR="114300" wp14:anchorId="1399DA97" wp14:editId="1063856F">
            <wp:extent cx="5731200" cy="3352800"/>
            <wp:effectExtent l="0" t="0" r="0" b="0"/>
            <wp:docPr id="3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5731200" cy="3352800"/>
                    </a:xfrm>
                    <a:prstGeom prst="rect">
                      <a:avLst/>
                    </a:prstGeom>
                    <a:ln/>
                  </pic:spPr>
                </pic:pic>
              </a:graphicData>
            </a:graphic>
          </wp:inline>
        </w:drawing>
      </w:r>
    </w:p>
    <w:p w14:paraId="596D5B84" w14:textId="77777777" w:rsidR="00A769CA" w:rsidRDefault="008D3F3B">
      <w:pPr>
        <w:pBdr>
          <w:top w:val="nil"/>
          <w:left w:val="nil"/>
          <w:bottom w:val="nil"/>
          <w:right w:val="nil"/>
          <w:between w:val="nil"/>
        </w:pBdr>
        <w:spacing w:after="200" w:line="360" w:lineRule="auto"/>
        <w:jc w:val="center"/>
        <w:rPr>
          <w:b/>
          <w:bCs/>
          <w:color w:val="000000"/>
          <w:sz w:val="24"/>
          <w:szCs w:val="24"/>
        </w:rPr>
      </w:pPr>
      <w:bookmarkStart w:id="22" w:name="_heading=h.hlgiy3yb9hno" w:colFirst="0" w:colLast="0"/>
      <w:bookmarkEnd w:id="22"/>
      <w:r>
        <w:rPr>
          <w:b/>
          <w:bCs/>
          <w:color w:val="1F497D"/>
          <w:sz w:val="24"/>
          <w:szCs w:val="24"/>
        </w:rPr>
        <w:t>Figure 6: The Theoretical Model aligned with the Social Exchange Theory.</w:t>
      </w:r>
    </w:p>
    <w:p w14:paraId="535CACD2" w14:textId="77777777" w:rsidR="00A769CA" w:rsidRDefault="008D3F3B">
      <w:pPr>
        <w:pBdr>
          <w:top w:val="nil"/>
          <w:left w:val="nil"/>
          <w:bottom w:val="nil"/>
          <w:right w:val="nil"/>
          <w:between w:val="nil"/>
        </w:pBdr>
        <w:spacing w:after="240" w:line="360" w:lineRule="auto"/>
        <w:jc w:val="center"/>
        <w:rPr>
          <w:color w:val="000000"/>
          <w:sz w:val="24"/>
          <w:szCs w:val="24"/>
        </w:rPr>
      </w:pPr>
      <w:r>
        <w:rPr>
          <w:b/>
          <w:bCs/>
          <w:color w:val="000000"/>
          <w:sz w:val="24"/>
          <w:szCs w:val="24"/>
        </w:rPr>
        <w:t xml:space="preserve">Source: </w:t>
      </w:r>
      <w:r>
        <w:rPr>
          <w:color w:val="000000"/>
          <w:sz w:val="24"/>
          <w:szCs w:val="24"/>
        </w:rPr>
        <w:t xml:space="preserve">(Steiner </w:t>
      </w:r>
      <w:r>
        <w:rPr>
          <w:i/>
          <w:iCs/>
          <w:color w:val="000000"/>
          <w:sz w:val="24"/>
          <w:szCs w:val="24"/>
        </w:rPr>
        <w:t>et al.,</w:t>
      </w:r>
      <w:r>
        <w:rPr>
          <w:color w:val="000000"/>
          <w:sz w:val="24"/>
          <w:szCs w:val="24"/>
        </w:rPr>
        <w:t xml:space="preserve"> 2020) </w:t>
      </w:r>
    </w:p>
    <w:p w14:paraId="255ED446"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000000"/>
          <w:sz w:val="24"/>
          <w:szCs w:val="24"/>
        </w:rPr>
        <w:t xml:space="preserve">This is supported by the Social Exchange Theory (SET), which states that relationships succeed through reciprocity and fairness. Steiner </w:t>
      </w:r>
      <w:r>
        <w:rPr>
          <w:i/>
          <w:iCs/>
          <w:color w:val="000000"/>
          <w:sz w:val="24"/>
          <w:szCs w:val="24"/>
        </w:rPr>
        <w:t>et al</w:t>
      </w:r>
      <w:r>
        <w:rPr>
          <w:color w:val="000000"/>
          <w:sz w:val="24"/>
          <w:szCs w:val="24"/>
        </w:rPr>
        <w:t xml:space="preserve">. (2020) highlighted that the lack of trust and unfairness result in suppliers withholding important information or failing to work hard, which harms the partnership. Thus, it is necessary to establish a culture of trust and equity to be able to maintain relationships in SRM and make them beneficial to both parties. </w:t>
      </w:r>
    </w:p>
    <w:p w14:paraId="42024F0E" w14:textId="77777777" w:rsidR="00A769CA" w:rsidRDefault="008D3F3B">
      <w:pPr>
        <w:pBdr>
          <w:top w:val="nil"/>
          <w:left w:val="nil"/>
          <w:bottom w:val="nil"/>
          <w:right w:val="nil"/>
          <w:between w:val="nil"/>
        </w:pBdr>
        <w:spacing w:before="240" w:after="240" w:line="360" w:lineRule="auto"/>
        <w:jc w:val="both"/>
        <w:rPr>
          <w:b/>
          <w:bCs/>
          <w:i/>
          <w:iCs/>
          <w:color w:val="000000"/>
          <w:sz w:val="24"/>
          <w:szCs w:val="24"/>
        </w:rPr>
      </w:pPr>
      <w:r>
        <w:rPr>
          <w:b/>
          <w:bCs/>
          <w:i/>
          <w:iCs/>
          <w:color w:val="000000"/>
          <w:sz w:val="24"/>
          <w:szCs w:val="24"/>
        </w:rPr>
        <w:t xml:space="preserve">Absence of Management Allegiance and Prices: </w:t>
      </w:r>
    </w:p>
    <w:p w14:paraId="6D9FACD1"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000000"/>
          <w:sz w:val="24"/>
          <w:szCs w:val="24"/>
        </w:rPr>
        <w:lastRenderedPageBreak/>
        <w:t xml:space="preserve">Good SRM involves powerful upper management and dedication to it. But, as </w:t>
      </w:r>
      <w:proofErr w:type="spellStart"/>
      <w:r>
        <w:rPr>
          <w:color w:val="000000"/>
          <w:sz w:val="24"/>
          <w:szCs w:val="24"/>
        </w:rPr>
        <w:t>Mankge</w:t>
      </w:r>
      <w:proofErr w:type="spellEnd"/>
      <w:r>
        <w:rPr>
          <w:color w:val="000000"/>
          <w:sz w:val="24"/>
          <w:szCs w:val="24"/>
        </w:rPr>
        <w:t xml:space="preserve"> </w:t>
      </w:r>
      <w:r>
        <w:rPr>
          <w:i/>
          <w:iCs/>
          <w:color w:val="000000"/>
          <w:sz w:val="24"/>
          <w:szCs w:val="24"/>
        </w:rPr>
        <w:t>et al</w:t>
      </w:r>
      <w:r>
        <w:rPr>
          <w:color w:val="000000"/>
          <w:sz w:val="24"/>
          <w:szCs w:val="24"/>
        </w:rPr>
        <w:t>. (2024) emphasised, in most manufacturing companies, particularly in developing countries, managerial backing of SRM programs weakens most of the time. SRM programs are not directed, do not have funding, and are not accountable without the involvement of senior levels. Various managers fail to appreciate the strategic importance of relationships with suppliers and regard them as a normal transaction rather than a strategic alliance. This narrow vision does not allow the organisation to invest i</w:t>
      </w:r>
      <w:r>
        <w:rPr>
          <w:color w:val="000000"/>
          <w:sz w:val="24"/>
          <w:szCs w:val="24"/>
        </w:rPr>
        <w:t xml:space="preserve">n training, technology as well or long-term supplier development. </w:t>
      </w:r>
    </w:p>
    <w:p w14:paraId="21B5BAE0"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000000"/>
          <w:sz w:val="24"/>
          <w:szCs w:val="24"/>
        </w:rPr>
        <w:t xml:space="preserve">Also, many managers and employees are not skilled enough to apply SRM. </w:t>
      </w:r>
      <w:proofErr w:type="spellStart"/>
      <w:r>
        <w:rPr>
          <w:color w:val="000000"/>
          <w:sz w:val="24"/>
          <w:szCs w:val="24"/>
        </w:rPr>
        <w:t>Onukwulu</w:t>
      </w:r>
      <w:proofErr w:type="spellEnd"/>
      <w:r>
        <w:rPr>
          <w:color w:val="000000"/>
          <w:sz w:val="24"/>
          <w:szCs w:val="24"/>
        </w:rPr>
        <w:t xml:space="preserve">, </w:t>
      </w:r>
      <w:proofErr w:type="spellStart"/>
      <w:r>
        <w:rPr>
          <w:color w:val="000000"/>
          <w:sz w:val="24"/>
          <w:szCs w:val="24"/>
        </w:rPr>
        <w:t>Odochi</w:t>
      </w:r>
      <w:proofErr w:type="spellEnd"/>
      <w:r>
        <w:rPr>
          <w:color w:val="000000"/>
          <w:sz w:val="24"/>
          <w:szCs w:val="24"/>
        </w:rPr>
        <w:t xml:space="preserve">-Agho and Eyo-Udo (2025) stated that the processes of supplier evaluation, data analysis, negotiation, and risk management are complex activities in the process of implementing SRM. In essence, teams are likely to be unable to utilise the SRM tools properly without appropriate training, making them commit errors, be inefficient, and make poor decisions. </w:t>
      </w:r>
    </w:p>
    <w:p w14:paraId="53CEDAE5" w14:textId="77777777" w:rsidR="00A769CA" w:rsidRDefault="008D3F3B">
      <w:pPr>
        <w:pBdr>
          <w:top w:val="nil"/>
          <w:left w:val="nil"/>
          <w:bottom w:val="nil"/>
          <w:right w:val="nil"/>
          <w:between w:val="nil"/>
        </w:pBdr>
        <w:spacing w:before="240" w:after="240" w:line="360" w:lineRule="auto"/>
        <w:jc w:val="both"/>
        <w:rPr>
          <w:b/>
          <w:bCs/>
          <w:i/>
          <w:iCs/>
          <w:color w:val="000000"/>
          <w:sz w:val="24"/>
          <w:szCs w:val="24"/>
        </w:rPr>
      </w:pPr>
      <w:r>
        <w:rPr>
          <w:b/>
          <w:bCs/>
          <w:i/>
          <w:iCs/>
          <w:color w:val="000000"/>
          <w:sz w:val="24"/>
          <w:szCs w:val="24"/>
        </w:rPr>
        <w:t xml:space="preserve">Challenges Working with Technology and Data: </w:t>
      </w:r>
    </w:p>
    <w:p w14:paraId="41B073E2"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000000"/>
          <w:sz w:val="24"/>
          <w:szCs w:val="24"/>
        </w:rPr>
        <w:t xml:space="preserve">In contemporary SRM, including the times when the digital transformation takes place, technology becomes indispensable. </w:t>
      </w:r>
      <w:proofErr w:type="gramStart"/>
      <w:r>
        <w:rPr>
          <w:color w:val="000000"/>
          <w:sz w:val="24"/>
          <w:szCs w:val="24"/>
        </w:rPr>
        <w:t>Yet,</w:t>
      </w:r>
      <w:proofErr w:type="gramEnd"/>
      <w:r>
        <w:rPr>
          <w:color w:val="000000"/>
          <w:sz w:val="24"/>
          <w:szCs w:val="24"/>
        </w:rPr>
        <w:t xml:space="preserve"> not all companies have the required infrastructure that is required to sustain digital SRM systems. According to </w:t>
      </w:r>
      <w:proofErr w:type="spellStart"/>
      <w:r>
        <w:rPr>
          <w:color w:val="000000"/>
          <w:sz w:val="24"/>
          <w:szCs w:val="24"/>
        </w:rPr>
        <w:t>Mankge</w:t>
      </w:r>
      <w:proofErr w:type="spellEnd"/>
      <w:r>
        <w:rPr>
          <w:color w:val="000000"/>
          <w:sz w:val="24"/>
          <w:szCs w:val="24"/>
        </w:rPr>
        <w:t xml:space="preserve"> </w:t>
      </w:r>
      <w:r>
        <w:rPr>
          <w:i/>
          <w:iCs/>
          <w:color w:val="000000"/>
          <w:sz w:val="24"/>
          <w:szCs w:val="24"/>
        </w:rPr>
        <w:t>et al</w:t>
      </w:r>
      <w:r>
        <w:rPr>
          <w:color w:val="000000"/>
          <w:sz w:val="24"/>
          <w:szCs w:val="24"/>
        </w:rPr>
        <w:t xml:space="preserve">. (2024), the lack of access to digital tools, including automated procurement tools and an integrated database of suppliers, decreases the visibility throughout the supply chain. It complicates monitoring the performance of the suppliers, detecting risks, and sharing information in real time. </w:t>
      </w:r>
    </w:p>
    <w:p w14:paraId="295A8623"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000000"/>
          <w:sz w:val="24"/>
          <w:szCs w:val="24"/>
        </w:rPr>
        <w:t xml:space="preserve">There are also major obstacles to disconnected data systems. The spread of supplier data across departments or storing information in incompatible systems blocks these departments from effectively measuring performance and making decisions. Li </w:t>
      </w:r>
      <w:r>
        <w:rPr>
          <w:i/>
          <w:iCs/>
          <w:color w:val="000000"/>
          <w:sz w:val="24"/>
          <w:szCs w:val="24"/>
        </w:rPr>
        <w:t>et al</w:t>
      </w:r>
      <w:r>
        <w:rPr>
          <w:color w:val="000000"/>
          <w:sz w:val="24"/>
          <w:szCs w:val="24"/>
        </w:rPr>
        <w:t xml:space="preserve">. (2024) inferred that the lack of unified data platforms results in a delay in reporting and unreliable data based on the operational characteristics. Consequently, this causes firms to not be able to fairly assess supplier contributions, and this undermines accountability and transparency. </w:t>
      </w:r>
    </w:p>
    <w:p w14:paraId="10D8A8CF" w14:textId="77777777" w:rsidR="00A769CA" w:rsidRDefault="008D3F3B">
      <w:pPr>
        <w:pBdr>
          <w:top w:val="nil"/>
          <w:left w:val="nil"/>
          <w:bottom w:val="nil"/>
          <w:right w:val="nil"/>
          <w:between w:val="nil"/>
        </w:pBdr>
        <w:spacing w:before="240" w:after="240" w:line="360" w:lineRule="auto"/>
        <w:jc w:val="both"/>
        <w:rPr>
          <w:b/>
          <w:bCs/>
          <w:i/>
          <w:iCs/>
          <w:color w:val="000000"/>
          <w:sz w:val="24"/>
          <w:szCs w:val="24"/>
        </w:rPr>
      </w:pPr>
      <w:r>
        <w:rPr>
          <w:b/>
          <w:bCs/>
          <w:i/>
          <w:iCs/>
          <w:color w:val="000000"/>
          <w:sz w:val="24"/>
          <w:szCs w:val="24"/>
        </w:rPr>
        <w:t xml:space="preserve">Issues of Trust and Collaboration: </w:t>
      </w:r>
    </w:p>
    <w:p w14:paraId="62D0DA99"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000000"/>
          <w:sz w:val="24"/>
          <w:szCs w:val="24"/>
        </w:rPr>
        <w:lastRenderedPageBreak/>
        <w:t xml:space="preserve">Confidence is also among the most important determinants of SRM success. Without trust, the suppliers can fail to provide essential information concerning costs, production capacity of production or problems relating to quality. </w:t>
      </w:r>
      <w:proofErr w:type="spellStart"/>
      <w:r>
        <w:rPr>
          <w:color w:val="000000"/>
          <w:sz w:val="24"/>
          <w:szCs w:val="24"/>
        </w:rPr>
        <w:t>Riofiandi</w:t>
      </w:r>
      <w:proofErr w:type="spellEnd"/>
      <w:r>
        <w:rPr>
          <w:color w:val="000000"/>
          <w:sz w:val="24"/>
          <w:szCs w:val="24"/>
        </w:rPr>
        <w:t xml:space="preserve"> and </w:t>
      </w:r>
      <w:proofErr w:type="spellStart"/>
      <w:r>
        <w:rPr>
          <w:color w:val="000000"/>
          <w:sz w:val="24"/>
          <w:szCs w:val="24"/>
        </w:rPr>
        <w:t>Tarigan</w:t>
      </w:r>
      <w:proofErr w:type="spellEnd"/>
      <w:r>
        <w:rPr>
          <w:color w:val="000000"/>
          <w:sz w:val="24"/>
          <w:szCs w:val="24"/>
        </w:rPr>
        <w:t xml:space="preserve"> (2022) stated that mistrust results in higher transaction costs since the two parties incur more time and resources in surveillance of each other. This issue coincides with the theory of Transaction Cost Economics (TCE). According to </w:t>
      </w:r>
      <w:proofErr w:type="spellStart"/>
      <w:r>
        <w:rPr>
          <w:color w:val="000000"/>
          <w:sz w:val="24"/>
          <w:szCs w:val="24"/>
        </w:rPr>
        <w:t>Owot</w:t>
      </w:r>
      <w:proofErr w:type="spellEnd"/>
      <w:r>
        <w:rPr>
          <w:color w:val="000000"/>
          <w:sz w:val="24"/>
          <w:szCs w:val="24"/>
        </w:rPr>
        <w:t xml:space="preserve"> </w:t>
      </w:r>
      <w:r>
        <w:rPr>
          <w:i/>
          <w:iCs/>
          <w:color w:val="000000"/>
          <w:sz w:val="24"/>
          <w:szCs w:val="24"/>
        </w:rPr>
        <w:t>et al.</w:t>
      </w:r>
      <w:r>
        <w:rPr>
          <w:color w:val="000000"/>
          <w:sz w:val="24"/>
          <w:szCs w:val="24"/>
        </w:rPr>
        <w:t xml:space="preserve"> (2023), the theory of Transaction Cost Economics indicates that any form of uncertainty and mistrust augments the cost of coordination in the supply chains. </w:t>
      </w:r>
    </w:p>
    <w:p w14:paraId="015F11C7"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000000"/>
          <w:sz w:val="24"/>
          <w:szCs w:val="24"/>
        </w:rPr>
        <w:t xml:space="preserve">Moreover, poor collaboration mechanisms will also dilute trust. As noted by Smith (2024), digital SRM tools may help in improving collaboration based on the input of information in real time, but only when both parties are ready to collaborate. Lack of collaboration makes companies fail in availing any innovations, cost savings and improvement of their processes. </w:t>
      </w:r>
    </w:p>
    <w:p w14:paraId="3739ABE0" w14:textId="77777777" w:rsidR="00A769CA" w:rsidRDefault="008D3F3B">
      <w:pPr>
        <w:pStyle w:val="Heading3"/>
        <w:spacing w:before="0" w:after="240"/>
        <w:rPr>
          <w:color w:val="000000"/>
        </w:rPr>
      </w:pPr>
      <w:bookmarkStart w:id="23" w:name="_heading=h.cp4i9zggpun8" w:colFirst="0" w:colLast="0"/>
      <w:bookmarkEnd w:id="23"/>
      <w:r>
        <w:rPr>
          <w:color w:val="000000"/>
        </w:rPr>
        <w:t>2.2.4 The managerial recommendations to strengthen supplier relationships for improved supply chain outcomes.</w:t>
      </w:r>
    </w:p>
    <w:p w14:paraId="3A838D23" w14:textId="77777777" w:rsidR="00A769CA" w:rsidRDefault="008D3F3B">
      <w:pPr>
        <w:pBdr>
          <w:top w:val="nil"/>
          <w:left w:val="nil"/>
          <w:bottom w:val="nil"/>
          <w:right w:val="nil"/>
          <w:between w:val="nil"/>
        </w:pBdr>
        <w:spacing w:after="240" w:line="360" w:lineRule="auto"/>
        <w:jc w:val="both"/>
        <w:rPr>
          <w:color w:val="0E101A"/>
          <w:sz w:val="24"/>
          <w:szCs w:val="24"/>
        </w:rPr>
      </w:pPr>
      <w:r>
        <w:rPr>
          <w:color w:val="0E101A"/>
          <w:sz w:val="24"/>
          <w:szCs w:val="24"/>
        </w:rPr>
        <w:t>The appropriate managerial practices play a key role in improving the relationship with the suppliers and the performance of the whole supply chain.</w:t>
      </w:r>
    </w:p>
    <w:p w14:paraId="63CA5812" w14:textId="77777777" w:rsidR="00A769CA" w:rsidRDefault="008D3F3B">
      <w:pPr>
        <w:spacing w:line="360" w:lineRule="auto"/>
        <w:jc w:val="both"/>
        <w:rPr>
          <w:sz w:val="24"/>
          <w:szCs w:val="24"/>
        </w:rPr>
      </w:pPr>
      <w:r>
        <w:rPr>
          <w:sz w:val="24"/>
          <w:szCs w:val="24"/>
        </w:rPr>
        <w:t xml:space="preserve">Holloway (2024) highlights transparency and strategic communication as the key process, to facilitate building supplier trust and providing quick coordination in case of disruption, but Coşkun and </w:t>
      </w:r>
      <w:proofErr w:type="spellStart"/>
      <w:r>
        <w:rPr>
          <w:sz w:val="24"/>
          <w:szCs w:val="24"/>
        </w:rPr>
        <w:t>Erturgut</w:t>
      </w:r>
      <w:proofErr w:type="spellEnd"/>
      <w:r>
        <w:rPr>
          <w:sz w:val="24"/>
          <w:szCs w:val="24"/>
        </w:rPr>
        <w:t xml:space="preserve"> (2024) are more specific in their approach towards establishing and maintaining stable information-sharing patterns as a tool of reducing uncertainty, conflict, and poor decision-making. Holloway is more of a broad and relationship focused view and Coşkun and </w:t>
      </w:r>
      <w:proofErr w:type="spellStart"/>
      <w:r>
        <w:rPr>
          <w:sz w:val="24"/>
          <w:szCs w:val="24"/>
        </w:rPr>
        <w:t>Erturgut</w:t>
      </w:r>
      <w:proofErr w:type="spellEnd"/>
      <w:r>
        <w:rPr>
          <w:sz w:val="24"/>
          <w:szCs w:val="24"/>
        </w:rPr>
        <w:t xml:space="preserve"> use the lens of operational control in which communication is directly connected with risk reduction and stability of performance. This analogy shows that SRM communication should be crafted as a trust building activity and an institu</w:t>
      </w:r>
      <w:r>
        <w:rPr>
          <w:sz w:val="24"/>
          <w:szCs w:val="24"/>
        </w:rPr>
        <w:t>tional operation governance process.</w:t>
      </w:r>
    </w:p>
    <w:p w14:paraId="64A19B01" w14:textId="77777777" w:rsidR="00A769CA" w:rsidRDefault="008D3F3B">
      <w:pPr>
        <w:spacing w:line="360" w:lineRule="auto"/>
        <w:jc w:val="both"/>
        <w:rPr>
          <w:sz w:val="24"/>
          <w:szCs w:val="24"/>
        </w:rPr>
      </w:pPr>
      <w:r>
        <w:rPr>
          <w:sz w:val="24"/>
          <w:szCs w:val="24"/>
        </w:rPr>
        <w:t xml:space="preserve">Jyoti and Akter (2022) suggest that the governance of suppliers must be based on the systematised performance, like standardised scorecards, service-level agreements, and strategically aligned collaborative metrics, whereas </w:t>
      </w:r>
      <w:proofErr w:type="spellStart"/>
      <w:r>
        <w:rPr>
          <w:sz w:val="24"/>
          <w:szCs w:val="24"/>
        </w:rPr>
        <w:t>Almaskar</w:t>
      </w:r>
      <w:proofErr w:type="spellEnd"/>
      <w:r>
        <w:rPr>
          <w:i/>
          <w:iCs/>
          <w:sz w:val="24"/>
          <w:szCs w:val="24"/>
        </w:rPr>
        <w:t xml:space="preserve"> et al. </w:t>
      </w:r>
      <w:r>
        <w:rPr>
          <w:sz w:val="24"/>
          <w:szCs w:val="24"/>
        </w:rPr>
        <w:t xml:space="preserve">(2025) view the phenomenon of performance evaluation through the prism of behavioural and motivational perspective, suggesting that periodical evaluation enhances the sense of </w:t>
      </w:r>
      <w:r>
        <w:rPr>
          <w:sz w:val="24"/>
          <w:szCs w:val="24"/>
        </w:rPr>
        <w:lastRenderedPageBreak/>
        <w:t xml:space="preserve">responsibility and results in constant improvement of suppliers on the basis of feedback. Jyoti and Akter have system design as their top priority and the same is </w:t>
      </w:r>
      <w:proofErr w:type="spellStart"/>
      <w:r>
        <w:rPr>
          <w:sz w:val="24"/>
          <w:szCs w:val="24"/>
        </w:rPr>
        <w:t>Almaskar</w:t>
      </w:r>
      <w:proofErr w:type="spellEnd"/>
      <w:r>
        <w:rPr>
          <w:sz w:val="24"/>
          <w:szCs w:val="24"/>
        </w:rPr>
        <w:t xml:space="preserve"> et al. however, system design is less important in Jyoti and Akter. The comparison shows that a good performance evaluation can only be a combinatio</w:t>
      </w:r>
      <w:r>
        <w:rPr>
          <w:sz w:val="24"/>
          <w:szCs w:val="24"/>
        </w:rPr>
        <w:t>n of good governance structure as well as a behavioural reinforcement mechanism.</w:t>
      </w:r>
    </w:p>
    <w:p w14:paraId="26C467DB" w14:textId="77777777" w:rsidR="00A769CA" w:rsidRDefault="008D3F3B">
      <w:pPr>
        <w:spacing w:line="360" w:lineRule="auto"/>
        <w:jc w:val="both"/>
        <w:rPr>
          <w:sz w:val="24"/>
          <w:szCs w:val="24"/>
        </w:rPr>
      </w:pPr>
      <w:r>
        <w:rPr>
          <w:sz w:val="24"/>
          <w:szCs w:val="24"/>
        </w:rPr>
        <w:t xml:space="preserve">Feng and Jalali (2024) may situate supplier development as a strategic capacity-building instrument which is already attained by the means of training, knowledge sharing, and investing in innovation in technologically intensive global supply chains, whereas Pillai and Srivastava (2024) may consider supplier development as a result of its operational performance, namely, enhanced reliability, cost-efficiency, and demand responsiveness. Feng and Jalali pay attention to accumulation of strategic capability in </w:t>
      </w:r>
      <w:r>
        <w:rPr>
          <w:sz w:val="24"/>
          <w:szCs w:val="24"/>
        </w:rPr>
        <w:t>the long term, whereas Pillai and Srivastava pay attention to performance optimisation in the short term. This analogy points out that supplier development can only be able to provide value when strategic capability building is closely coupled to quantifiable manufacturing performance.</w:t>
      </w:r>
    </w:p>
    <w:p w14:paraId="57D10503" w14:textId="77777777" w:rsidR="00A769CA" w:rsidRDefault="008D3F3B">
      <w:pPr>
        <w:spacing w:line="360" w:lineRule="auto"/>
        <w:jc w:val="both"/>
        <w:rPr>
          <w:sz w:val="24"/>
          <w:szCs w:val="24"/>
        </w:rPr>
      </w:pPr>
      <w:r>
        <w:rPr>
          <w:sz w:val="24"/>
          <w:szCs w:val="24"/>
        </w:rPr>
        <w:t>Han and Um (2024) believe that risk-sharing and collaborative contingency planning minimises susceptibility to major disruptions in dispersed supply chains around the globe, and Matos (2024) focuses on the operational stabilisation using shared predictive tools and inventory winners which control the effects of a bullwhip and maintain the service continuity. Han and Um take strategic risk governance approach, whereas Matos lays stress on operational protection mechanisms at the operational level. This analo</w:t>
      </w:r>
      <w:r>
        <w:rPr>
          <w:sz w:val="24"/>
          <w:szCs w:val="24"/>
        </w:rPr>
        <w:t>gy explains that supply chain resiliency requires the incorporation of strategic risk cooperation with operational shock-absorption systems.</w:t>
      </w:r>
    </w:p>
    <w:p w14:paraId="08BA36BC" w14:textId="77777777" w:rsidR="00A769CA" w:rsidRDefault="008D3F3B">
      <w:pPr>
        <w:spacing w:line="360" w:lineRule="auto"/>
        <w:jc w:val="both"/>
        <w:rPr>
          <w:sz w:val="24"/>
          <w:szCs w:val="24"/>
        </w:rPr>
      </w:pPr>
      <w:r>
        <w:rPr>
          <w:sz w:val="24"/>
          <w:szCs w:val="24"/>
        </w:rPr>
        <w:t>Smith (2024) lists digital SRM tools like real-time monitoring systems, analytics dashboards, and traceability platforms as important in improving supplier visibility, managerial control, but Chauhan</w:t>
      </w:r>
      <w:r>
        <w:rPr>
          <w:i/>
          <w:iCs/>
          <w:sz w:val="24"/>
          <w:szCs w:val="24"/>
        </w:rPr>
        <w:t xml:space="preserve"> et al. </w:t>
      </w:r>
      <w:r>
        <w:rPr>
          <w:sz w:val="24"/>
          <w:szCs w:val="24"/>
        </w:rPr>
        <w:t>(2022) emphasize how digitalisation can be used to achieve coordination, reduce transaction costs, and bolster transparency in communication networks among partners. Smith puts emphasis on strategic intelligence and oversight whereas Chauhan et al. lay stress on speed of execution and cost efficiency. In this comparison, it is pointed out that digital SRM is both capable of providing quality decisions in the strategy and efficiency in execution in manufacturing supply chains at the same time.</w:t>
      </w:r>
    </w:p>
    <w:p w14:paraId="6AD27A53" w14:textId="77777777" w:rsidR="00A769CA" w:rsidRDefault="008D3F3B">
      <w:pPr>
        <w:pBdr>
          <w:top w:val="nil"/>
          <w:left w:val="nil"/>
          <w:bottom w:val="nil"/>
          <w:right w:val="nil"/>
          <w:between w:val="nil"/>
        </w:pBdr>
        <w:spacing w:after="240" w:line="360" w:lineRule="auto"/>
        <w:jc w:val="both"/>
        <w:rPr>
          <w:color w:val="0E101A"/>
          <w:sz w:val="24"/>
          <w:szCs w:val="24"/>
        </w:rPr>
      </w:pPr>
      <w:r>
        <w:rPr>
          <w:color w:val="0E101A"/>
          <w:sz w:val="24"/>
          <w:szCs w:val="24"/>
        </w:rPr>
        <w:t xml:space="preserve">One of the most significant recommendations to improve trust and collaboration is based on implementing a </w:t>
      </w:r>
      <w:r>
        <w:rPr>
          <w:b/>
          <w:bCs/>
          <w:i/>
          <w:iCs/>
          <w:color w:val="0E101A"/>
          <w:sz w:val="24"/>
          <w:szCs w:val="24"/>
        </w:rPr>
        <w:t xml:space="preserve">transparent communication and performance-sharing </w:t>
      </w:r>
      <w:r>
        <w:rPr>
          <w:b/>
          <w:bCs/>
          <w:i/>
          <w:iCs/>
          <w:color w:val="0E101A"/>
          <w:sz w:val="24"/>
          <w:szCs w:val="24"/>
        </w:rPr>
        <w:lastRenderedPageBreak/>
        <w:t>framework</w:t>
      </w:r>
      <w:r>
        <w:rPr>
          <w:color w:val="0E101A"/>
          <w:sz w:val="24"/>
          <w:szCs w:val="24"/>
        </w:rPr>
        <w:t xml:space="preserve"> within the SRM strategy. As opined by Masood </w:t>
      </w:r>
      <w:r>
        <w:rPr>
          <w:i/>
          <w:iCs/>
          <w:color w:val="0E101A"/>
          <w:sz w:val="24"/>
          <w:szCs w:val="24"/>
        </w:rPr>
        <w:t>et al.</w:t>
      </w:r>
      <w:r>
        <w:rPr>
          <w:color w:val="0E101A"/>
          <w:sz w:val="24"/>
          <w:szCs w:val="24"/>
        </w:rPr>
        <w:t xml:space="preserve"> (2023), a transparent communication and performance sharing framework is based on determining mechanisms to evaluate peer-to-peer engagement in social media assessment. Trust is often underlined by information and transactional relationships. In this aspect, companies can focus on developing and establishing transparent communication to bring real-time access to delivery, quality, and costs to pro</w:t>
      </w:r>
      <w:r>
        <w:rPr>
          <w:color w:val="0E101A"/>
          <w:sz w:val="24"/>
          <w:szCs w:val="24"/>
        </w:rPr>
        <w:t xml:space="preserve">mote accountability. In addition, adaptation to the long-term partnership contracts would also become efficient to evaluate mutual commitment and reduce opportunistic behaviours. In terms of creating shared digital platforms, companies can build trust and inventory with quality performance. This has also been associated with signifying promoting accountability and reliability (Nakash and </w:t>
      </w:r>
      <w:proofErr w:type="spellStart"/>
      <w:r>
        <w:rPr>
          <w:color w:val="0E101A"/>
          <w:sz w:val="24"/>
          <w:szCs w:val="24"/>
        </w:rPr>
        <w:t>Bolisani</w:t>
      </w:r>
      <w:proofErr w:type="spellEnd"/>
      <w:r>
        <w:rPr>
          <w:color w:val="0E101A"/>
          <w:sz w:val="24"/>
          <w:szCs w:val="24"/>
        </w:rPr>
        <w:t>, 2025). When suppliers feel informed, this demonstrates the relevance of fostering a strong sense of partnership</w:t>
      </w:r>
      <w:r>
        <w:rPr>
          <w:color w:val="0E101A"/>
          <w:sz w:val="24"/>
          <w:szCs w:val="24"/>
        </w:rPr>
        <w:t xml:space="preserve"> rather than communication to reduce conflict. Therefore, adaptation to these recommendations can help companies to manage transparent communication </w:t>
      </w:r>
      <w:proofErr w:type="gramStart"/>
      <w:r>
        <w:rPr>
          <w:color w:val="0E101A"/>
          <w:sz w:val="24"/>
          <w:szCs w:val="24"/>
        </w:rPr>
        <w:t>and also</w:t>
      </w:r>
      <w:proofErr w:type="gramEnd"/>
      <w:r>
        <w:rPr>
          <w:color w:val="0E101A"/>
          <w:sz w:val="24"/>
          <w:szCs w:val="24"/>
        </w:rPr>
        <w:t xml:space="preserve"> build confidence and reduce conflicts to develop great supply chain performance across the manufacturing sector for better growth and adaptability.</w:t>
      </w:r>
    </w:p>
    <w:p w14:paraId="27ABAC8D" w14:textId="77777777" w:rsidR="00A769CA" w:rsidRDefault="008D3F3B">
      <w:pPr>
        <w:pStyle w:val="Heading2"/>
        <w:spacing w:after="240"/>
      </w:pPr>
      <w:bookmarkStart w:id="24" w:name="_heading=h.ajrfwixr8cw8" w:colFirst="0" w:colLast="0"/>
      <w:bookmarkEnd w:id="24"/>
      <w:r>
        <w:t>2.3 Literature Gap</w:t>
      </w:r>
    </w:p>
    <w:p w14:paraId="0007745E" w14:textId="77777777" w:rsidR="00A769CA" w:rsidRDefault="008D3F3B">
      <w:pPr>
        <w:pBdr>
          <w:top w:val="nil"/>
          <w:left w:val="nil"/>
          <w:bottom w:val="nil"/>
          <w:right w:val="nil"/>
          <w:between w:val="nil"/>
        </w:pBdr>
        <w:spacing w:after="240" w:line="360" w:lineRule="auto"/>
        <w:jc w:val="both"/>
        <w:rPr>
          <w:color w:val="000000"/>
          <w:sz w:val="24"/>
          <w:szCs w:val="24"/>
        </w:rPr>
      </w:pPr>
      <w:r>
        <w:rPr>
          <w:color w:val="0E101A"/>
          <w:sz w:val="24"/>
          <w:szCs w:val="24"/>
        </w:rPr>
        <w:t xml:space="preserve">The main literature gap of the study is </w:t>
      </w:r>
      <w:r>
        <w:rPr>
          <w:b/>
          <w:bCs/>
          <w:i/>
          <w:iCs/>
          <w:color w:val="0E101A"/>
          <w:sz w:val="24"/>
          <w:szCs w:val="24"/>
        </w:rPr>
        <w:t xml:space="preserve">the limited assessment of the theoretical interpretation. </w:t>
      </w:r>
      <w:r>
        <w:rPr>
          <w:color w:val="0E101A"/>
          <w:sz w:val="24"/>
          <w:szCs w:val="24"/>
        </w:rPr>
        <w:t>Although extensive studies have been conducted on SHRM, there is a lack of theoretical interpretation due to a lack of influential trust and performance outcomes. Most of the existing studies have relied on quantitative performance metrics without a proper link to established frameworks. In this context, the views of Del Gesso and Lodhi (2025) opined that the limited theoretical interpretation system quality and performance. As per the study, the lac</w:t>
      </w:r>
      <w:r>
        <w:rPr>
          <w:color w:val="0E101A"/>
          <w:sz w:val="24"/>
          <w:szCs w:val="24"/>
        </w:rPr>
        <w:t>k of theoretical grounding restricts a better understanding in terms of signifying SRM practices for improved supply chain outcomes. On the other hand, Abdulkareem and Mohd Ramli (2022) opined that limited theory interpretation also affects influences through hindering the system success model and values. The main association of the gap with the studies reflects on theory-driven research, along with integrating conceptual models to provide a strong interpretive foundation for SRM. Therefore, further studies</w:t>
      </w:r>
      <w:r>
        <w:rPr>
          <w:color w:val="0E101A"/>
          <w:sz w:val="24"/>
          <w:szCs w:val="24"/>
        </w:rPr>
        <w:t xml:space="preserve"> would be needed to bridge the gap between theory and practice and develop a comprehensive </w:t>
      </w:r>
      <w:r>
        <w:rPr>
          <w:color w:val="0E101A"/>
          <w:sz w:val="24"/>
          <w:szCs w:val="24"/>
        </w:rPr>
        <w:lastRenderedPageBreak/>
        <w:t>understanding of supplier relationships and strategic impacts on manufacturing performance and regulations.</w:t>
      </w:r>
    </w:p>
    <w:p w14:paraId="3907F724" w14:textId="77777777" w:rsidR="00A769CA" w:rsidRDefault="008D3F3B">
      <w:pPr>
        <w:pStyle w:val="Heading2"/>
        <w:spacing w:after="240"/>
      </w:pPr>
      <w:bookmarkStart w:id="25" w:name="_heading=h.7478a3j3cr2j" w:colFirst="0" w:colLast="0"/>
      <w:bookmarkEnd w:id="25"/>
      <w:r>
        <w:t>2.4 Theoretical Concept</w:t>
      </w:r>
    </w:p>
    <w:p w14:paraId="01A0F461" w14:textId="77777777" w:rsidR="00A769CA" w:rsidRDefault="008D3F3B">
      <w:pPr>
        <w:pBdr>
          <w:top w:val="nil"/>
          <w:left w:val="nil"/>
          <w:bottom w:val="nil"/>
          <w:right w:val="nil"/>
          <w:between w:val="nil"/>
        </w:pBdr>
        <w:spacing w:before="240" w:after="240" w:line="360" w:lineRule="auto"/>
        <w:jc w:val="both"/>
        <w:rPr>
          <w:b/>
          <w:bCs/>
          <w:i/>
          <w:iCs/>
          <w:color w:val="000000"/>
          <w:sz w:val="24"/>
          <w:szCs w:val="24"/>
        </w:rPr>
      </w:pPr>
      <w:r>
        <w:rPr>
          <w:b/>
          <w:bCs/>
          <w:i/>
          <w:iCs/>
          <w:color w:val="000000"/>
          <w:sz w:val="24"/>
          <w:szCs w:val="24"/>
        </w:rPr>
        <w:t xml:space="preserve">Social Exchange Theory (SET): </w:t>
      </w:r>
    </w:p>
    <w:p w14:paraId="16CBD541"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000000"/>
          <w:sz w:val="24"/>
          <w:szCs w:val="24"/>
        </w:rPr>
        <w:t xml:space="preserve">According to Steiner </w:t>
      </w:r>
      <w:r>
        <w:rPr>
          <w:i/>
          <w:iCs/>
          <w:color w:val="000000"/>
          <w:sz w:val="24"/>
          <w:szCs w:val="24"/>
        </w:rPr>
        <w:t>et al.</w:t>
      </w:r>
      <w:r>
        <w:rPr>
          <w:color w:val="000000"/>
          <w:sz w:val="24"/>
          <w:szCs w:val="24"/>
        </w:rPr>
        <w:t xml:space="preserve"> (2020), SET generally focuses on the connection between the suppliers and the manufacturers, which is mainly developed depending on confidence, equity, and reciprocity. It can also be stated that cooperation will be enhanced, especially when two different entities feel mutually benefited simultaneously. </w:t>
      </w:r>
    </w:p>
    <w:p w14:paraId="24C0D1F1" w14:textId="77777777" w:rsidR="00A769CA" w:rsidRDefault="008D3F3B">
      <w:pPr>
        <w:pBdr>
          <w:top w:val="nil"/>
          <w:left w:val="nil"/>
          <w:bottom w:val="nil"/>
          <w:right w:val="nil"/>
          <w:between w:val="nil"/>
        </w:pBdr>
        <w:spacing w:before="240" w:after="240" w:line="360" w:lineRule="auto"/>
        <w:jc w:val="both"/>
        <w:rPr>
          <w:b/>
          <w:bCs/>
          <w:i/>
          <w:iCs/>
          <w:color w:val="000000"/>
          <w:sz w:val="24"/>
          <w:szCs w:val="24"/>
        </w:rPr>
      </w:pPr>
      <w:r>
        <w:rPr>
          <w:b/>
          <w:bCs/>
          <w:i/>
          <w:iCs/>
          <w:color w:val="000000"/>
          <w:sz w:val="24"/>
          <w:szCs w:val="24"/>
        </w:rPr>
        <w:t xml:space="preserve">Relational View Theory: </w:t>
      </w:r>
    </w:p>
    <w:p w14:paraId="1442D9CA"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000000"/>
          <w:sz w:val="24"/>
          <w:szCs w:val="24"/>
        </w:rPr>
        <w:t xml:space="preserve">Relational View Theory is developed on RBV with the help of asserting that the modern business connection among the firms can doubtlessly produce joint competitive benefits. According to Bondin (2022), this can be done by exchanging data, innovating together, and learning simultaneously across the supply chain management process. </w:t>
      </w:r>
    </w:p>
    <w:p w14:paraId="63A9E44C"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b/>
          <w:bCs/>
          <w:i/>
          <w:iCs/>
          <w:color w:val="000000"/>
          <w:sz w:val="24"/>
          <w:szCs w:val="24"/>
        </w:rPr>
        <w:t>Resource-Based View (RBV):</w:t>
      </w:r>
      <w:r>
        <w:rPr>
          <w:color w:val="000000"/>
          <w:sz w:val="24"/>
          <w:szCs w:val="24"/>
        </w:rPr>
        <w:t xml:space="preserve"> This specific theory states that strategic business supplier relationships are effective, valuable, rare, and inimitable resources. These characteristics of the relationships of the suppliers can, directly and indirectly, enhance the long-term competitiveness of a company. According to Rishi, Dwivedi, and Ghosal (2022), trust and business collaboration can be viewed as imperative internal abilities, which can enhance innovation and enable performance in SRM. </w:t>
      </w:r>
    </w:p>
    <w:p w14:paraId="07A82BDD" w14:textId="77777777" w:rsidR="00A769CA" w:rsidRDefault="008D3F3B">
      <w:pPr>
        <w:pBdr>
          <w:top w:val="nil"/>
          <w:left w:val="nil"/>
          <w:bottom w:val="nil"/>
          <w:right w:val="nil"/>
          <w:between w:val="nil"/>
        </w:pBdr>
        <w:spacing w:before="240" w:after="240" w:line="360" w:lineRule="auto"/>
        <w:jc w:val="both"/>
        <w:rPr>
          <w:b/>
          <w:bCs/>
          <w:i/>
          <w:iCs/>
          <w:color w:val="000000"/>
          <w:sz w:val="24"/>
          <w:szCs w:val="24"/>
        </w:rPr>
      </w:pPr>
      <w:r>
        <w:rPr>
          <w:b/>
          <w:bCs/>
          <w:i/>
          <w:iCs/>
          <w:color w:val="000000"/>
          <w:sz w:val="24"/>
          <w:szCs w:val="24"/>
        </w:rPr>
        <w:t xml:space="preserve">Transaction Cost Economics (TCE): </w:t>
      </w:r>
    </w:p>
    <w:p w14:paraId="59A77CE6"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000000"/>
          <w:sz w:val="24"/>
          <w:szCs w:val="24"/>
        </w:rPr>
        <w:t xml:space="preserve">The costs associated with the business transaction can be reduced with the aid of effective SRM according to Transaction Cost Economics theory. As stated by Li </w:t>
      </w:r>
      <w:r>
        <w:rPr>
          <w:i/>
          <w:iCs/>
          <w:color w:val="000000"/>
          <w:sz w:val="24"/>
          <w:szCs w:val="24"/>
        </w:rPr>
        <w:t xml:space="preserve">et al. </w:t>
      </w:r>
      <w:r>
        <w:rPr>
          <w:color w:val="000000"/>
          <w:sz w:val="24"/>
          <w:szCs w:val="24"/>
        </w:rPr>
        <w:t xml:space="preserve">(2024), this can be attained through the implementation of effective communication and the mitigation of challenges between the suppliers and the manufacturers. </w:t>
      </w:r>
    </w:p>
    <w:p w14:paraId="096F6591" w14:textId="77777777" w:rsidR="00A769CA" w:rsidRDefault="008D3F3B">
      <w:pPr>
        <w:spacing w:after="200" w:line="360" w:lineRule="auto"/>
        <w:jc w:val="both"/>
        <w:rPr>
          <w:sz w:val="24"/>
          <w:szCs w:val="24"/>
        </w:rPr>
      </w:pPr>
      <w:r>
        <w:rPr>
          <w:sz w:val="24"/>
          <w:szCs w:val="24"/>
        </w:rPr>
        <w:t xml:space="preserve">Although it is not mentioned directly in the article, the thematic analysis process presupposes the adoption of both theoretical and practical knowledge to find a solution. The thematic analysis will be guided by the theories that will lend insights into </w:t>
      </w:r>
      <w:r>
        <w:rPr>
          <w:sz w:val="24"/>
          <w:szCs w:val="24"/>
        </w:rPr>
        <w:lastRenderedPageBreak/>
        <w:t xml:space="preserve">the perception of the relationships between suppliers and manufacturing companies in the context of the value creation, cost-effectiveness, collaboration, and trust. RBV assists in the recognition of the theme associated with SRM as a strategic resource that is related to the competitive advantage (Rishi et al., 2022). Conversely, TCE focuses on the topics of uncertainty, costs of monitoring, and coordination issues (Li et al., 2024). SET gives precedence to the Reciprocity, fairness, and trust analysis as </w:t>
      </w:r>
      <w:r>
        <w:rPr>
          <w:sz w:val="24"/>
          <w:szCs w:val="24"/>
        </w:rPr>
        <w:t xml:space="preserve">motivational factors of collaboration (Steiner et al., 2020), whereas the Relational View focuses on joint learning and innovation (Bondin, 2022). Combined, these theories enable the analysis to categorize data under value-based theme, cost-based theme, trust-based theme and collaboration-based theme. </w:t>
      </w:r>
    </w:p>
    <w:p w14:paraId="11980F45" w14:textId="77777777" w:rsidR="00A769CA" w:rsidRDefault="008D3F3B">
      <w:pPr>
        <w:pStyle w:val="Heading2"/>
        <w:spacing w:after="240"/>
      </w:pPr>
      <w:bookmarkStart w:id="26" w:name="_heading=h.y4s11bmreycs" w:colFirst="0" w:colLast="0"/>
      <w:bookmarkEnd w:id="26"/>
      <w:r>
        <w:lastRenderedPageBreak/>
        <w:t>2.5 Conceptual Framework</w:t>
      </w:r>
    </w:p>
    <w:p w14:paraId="118E8843" w14:textId="77777777" w:rsidR="00A769CA" w:rsidRDefault="008D3F3B">
      <w:pPr>
        <w:keepNext/>
        <w:pBdr>
          <w:top w:val="nil"/>
          <w:left w:val="nil"/>
          <w:bottom w:val="nil"/>
          <w:right w:val="nil"/>
          <w:between w:val="nil"/>
        </w:pBdr>
        <w:spacing w:after="240" w:line="360" w:lineRule="auto"/>
        <w:jc w:val="center"/>
      </w:pPr>
      <w:r>
        <w:rPr>
          <w:noProof/>
          <w:color w:val="000000"/>
          <w:sz w:val="24"/>
          <w:szCs w:val="24"/>
        </w:rPr>
        <w:drawing>
          <wp:inline distT="114300" distB="114300" distL="114300" distR="114300" wp14:anchorId="5502BE1A" wp14:editId="6543CFEC">
            <wp:extent cx="5731200" cy="6845300"/>
            <wp:effectExtent l="0" t="0" r="0" b="0"/>
            <wp:docPr id="3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4"/>
                    <a:srcRect/>
                    <a:stretch>
                      <a:fillRect/>
                    </a:stretch>
                  </pic:blipFill>
                  <pic:spPr>
                    <a:xfrm>
                      <a:off x="0" y="0"/>
                      <a:ext cx="5731200" cy="6845300"/>
                    </a:xfrm>
                    <a:prstGeom prst="rect">
                      <a:avLst/>
                    </a:prstGeom>
                    <a:ln/>
                  </pic:spPr>
                </pic:pic>
              </a:graphicData>
            </a:graphic>
          </wp:inline>
        </w:drawing>
      </w:r>
    </w:p>
    <w:p w14:paraId="240E1CAD" w14:textId="77777777" w:rsidR="00A769CA" w:rsidRDefault="008D3F3B">
      <w:pPr>
        <w:pBdr>
          <w:top w:val="nil"/>
          <w:left w:val="nil"/>
          <w:bottom w:val="nil"/>
          <w:right w:val="nil"/>
          <w:between w:val="nil"/>
        </w:pBdr>
        <w:spacing w:after="200" w:line="360" w:lineRule="auto"/>
        <w:jc w:val="center"/>
        <w:rPr>
          <w:b/>
          <w:bCs/>
          <w:color w:val="000000"/>
          <w:sz w:val="24"/>
          <w:szCs w:val="24"/>
        </w:rPr>
      </w:pPr>
      <w:bookmarkStart w:id="27" w:name="_heading=h.h6waqjyl8og2" w:colFirst="0" w:colLast="0"/>
      <w:bookmarkEnd w:id="27"/>
      <w:r>
        <w:rPr>
          <w:b/>
          <w:bCs/>
          <w:color w:val="1F497D"/>
          <w:sz w:val="24"/>
          <w:szCs w:val="24"/>
        </w:rPr>
        <w:t>Figure 7: Conceptual framework</w:t>
      </w:r>
    </w:p>
    <w:p w14:paraId="4C6EE460" w14:textId="77777777" w:rsidR="00A769CA" w:rsidRDefault="008D3F3B">
      <w:pPr>
        <w:pBdr>
          <w:top w:val="nil"/>
          <w:left w:val="nil"/>
          <w:bottom w:val="nil"/>
          <w:right w:val="nil"/>
          <w:between w:val="nil"/>
        </w:pBdr>
        <w:spacing w:after="240" w:line="360" w:lineRule="auto"/>
        <w:jc w:val="center"/>
        <w:rPr>
          <w:color w:val="000000"/>
          <w:sz w:val="24"/>
          <w:szCs w:val="24"/>
        </w:rPr>
      </w:pPr>
      <w:r>
        <w:rPr>
          <w:color w:val="000000"/>
          <w:sz w:val="24"/>
          <w:szCs w:val="24"/>
        </w:rPr>
        <w:t>(Source: Self-Created)</w:t>
      </w:r>
    </w:p>
    <w:p w14:paraId="553C144F" w14:textId="77777777" w:rsidR="00A769CA" w:rsidRDefault="008D3F3B">
      <w:pPr>
        <w:pBdr>
          <w:top w:val="nil"/>
          <w:left w:val="nil"/>
          <w:bottom w:val="nil"/>
          <w:right w:val="nil"/>
          <w:between w:val="nil"/>
        </w:pBdr>
        <w:spacing w:after="240" w:line="360" w:lineRule="auto"/>
        <w:jc w:val="both"/>
        <w:rPr>
          <w:b/>
          <w:bCs/>
          <w:color w:val="000000"/>
          <w:sz w:val="24"/>
          <w:szCs w:val="24"/>
        </w:rPr>
      </w:pPr>
      <w:r>
        <w:rPr>
          <w:b/>
          <w:bCs/>
          <w:color w:val="000000"/>
          <w:sz w:val="24"/>
          <w:szCs w:val="24"/>
        </w:rPr>
        <w:t>Findings</w:t>
      </w:r>
    </w:p>
    <w:p w14:paraId="7CE407F1" w14:textId="77777777" w:rsidR="00A769CA" w:rsidRDefault="008D3F3B">
      <w:pPr>
        <w:pBdr>
          <w:top w:val="nil"/>
          <w:left w:val="nil"/>
          <w:bottom w:val="nil"/>
          <w:right w:val="nil"/>
          <w:between w:val="nil"/>
        </w:pBdr>
        <w:spacing w:after="240" w:line="360" w:lineRule="auto"/>
        <w:jc w:val="both"/>
        <w:rPr>
          <w:color w:val="000000"/>
          <w:sz w:val="24"/>
          <w:szCs w:val="24"/>
        </w:rPr>
      </w:pPr>
      <w:r>
        <w:rPr>
          <w:color w:val="000000"/>
          <w:sz w:val="24"/>
          <w:szCs w:val="24"/>
        </w:rPr>
        <w:lastRenderedPageBreak/>
        <w:t xml:space="preserve">The conceptual framework illustrates the significance of SSRM in enhancing supply chain performance in the manufacturing sector. This has led to relevance in evaluating collaborative planning, joint planning, and performance measurement. The framework is also grounded in the Social Exchange theory and the Resource-based view to highlight strategic resource development. This has also been assessed through deploying strategic supplier collaboration. By integrating these theoretical perspectives, the model is </w:t>
      </w:r>
      <w:r>
        <w:rPr>
          <w:color w:val="000000"/>
          <w:sz w:val="24"/>
          <w:szCs w:val="24"/>
        </w:rPr>
        <w:t xml:space="preserve">also a demonstration of the fact that effective SRM has the power to manage the transformation of supplier relationships into valuable resources. Therefore, this has also emphasised improving efficiency, resilience, and long-term supply chain success for better engagement and regulations as well. </w:t>
      </w:r>
    </w:p>
    <w:p w14:paraId="5311A24F" w14:textId="77777777" w:rsidR="00A769CA" w:rsidRDefault="008D3F3B">
      <w:pPr>
        <w:pStyle w:val="Heading2"/>
        <w:spacing w:after="240"/>
      </w:pPr>
      <w:bookmarkStart w:id="28" w:name="_heading=h.se27wilo5qv7" w:colFirst="0" w:colLast="0"/>
      <w:bookmarkEnd w:id="28"/>
      <w:r>
        <w:t xml:space="preserve">2.6 Conclusion </w:t>
      </w:r>
    </w:p>
    <w:p w14:paraId="668C90FB" w14:textId="77777777" w:rsidR="00A769CA" w:rsidRDefault="008D3F3B">
      <w:pPr>
        <w:pBdr>
          <w:top w:val="nil"/>
          <w:left w:val="nil"/>
          <w:bottom w:val="nil"/>
          <w:right w:val="nil"/>
          <w:between w:val="nil"/>
        </w:pBdr>
        <w:spacing w:before="240" w:after="240" w:line="360" w:lineRule="auto"/>
        <w:jc w:val="both"/>
        <w:rPr>
          <w:sz w:val="24"/>
          <w:szCs w:val="24"/>
        </w:rPr>
      </w:pPr>
      <w:r>
        <w:rPr>
          <w:color w:val="000000"/>
          <w:sz w:val="24"/>
          <w:szCs w:val="24"/>
        </w:rPr>
        <w:t xml:space="preserve">This chapter has insightfully discussed the crucial areas of research, identified the gaps in the existing research articles and journals regarding the research topic, and developed the conceptual framework. Apart from this, the theoretical understanding has also been developed in this chapter related to the study topic. </w:t>
      </w:r>
      <w:r>
        <w:rPr>
          <w:sz w:val="24"/>
          <w:szCs w:val="24"/>
        </w:rPr>
        <w:t xml:space="preserve">The literature analysed shows that SRM factors, namely segmentation, collaboration, use of technology, performance management, and supplier development, have a direct impact on efficiency, flexibility and customer satisfaction </w:t>
      </w:r>
      <w:proofErr w:type="gramStart"/>
      <w:r>
        <w:rPr>
          <w:sz w:val="24"/>
          <w:szCs w:val="24"/>
        </w:rPr>
        <w:t>and also</w:t>
      </w:r>
      <w:proofErr w:type="gramEnd"/>
      <w:r>
        <w:rPr>
          <w:sz w:val="24"/>
          <w:szCs w:val="24"/>
        </w:rPr>
        <w:t xml:space="preserve"> exposes the barriers to implementation. These results address the research questions because they prove SRM enhances the effectiveness of the supply chain and the point that the connection and performance of suppliers can be addressed by several managerial techniques. </w:t>
      </w:r>
    </w:p>
    <w:p w14:paraId="39A2D6AF" w14:textId="77777777" w:rsidR="00A769CA" w:rsidRDefault="00A769CA">
      <w:pPr>
        <w:pBdr>
          <w:top w:val="nil"/>
          <w:left w:val="nil"/>
          <w:bottom w:val="nil"/>
          <w:right w:val="nil"/>
          <w:between w:val="nil"/>
        </w:pBdr>
        <w:spacing w:before="240" w:after="240" w:line="360" w:lineRule="auto"/>
        <w:jc w:val="both"/>
        <w:rPr>
          <w:sz w:val="24"/>
          <w:szCs w:val="24"/>
        </w:rPr>
      </w:pPr>
    </w:p>
    <w:p w14:paraId="3712C7D3" w14:textId="77777777" w:rsidR="00A769CA" w:rsidRDefault="008D3F3B">
      <w:pPr>
        <w:pBdr>
          <w:top w:val="nil"/>
          <w:left w:val="nil"/>
          <w:bottom w:val="nil"/>
          <w:right w:val="nil"/>
          <w:between w:val="nil"/>
        </w:pBdr>
        <w:spacing w:before="240" w:after="240" w:line="360" w:lineRule="auto"/>
        <w:jc w:val="both"/>
        <w:rPr>
          <w:color w:val="000000"/>
          <w:sz w:val="24"/>
          <w:szCs w:val="24"/>
        </w:rPr>
      </w:pPr>
      <w:r>
        <w:br w:type="page"/>
      </w:r>
    </w:p>
    <w:p w14:paraId="6688B1BB" w14:textId="77777777" w:rsidR="00A769CA" w:rsidRDefault="00A769CA">
      <w:pPr>
        <w:pBdr>
          <w:top w:val="nil"/>
          <w:left w:val="nil"/>
          <w:bottom w:val="nil"/>
          <w:right w:val="nil"/>
          <w:between w:val="nil"/>
        </w:pBdr>
        <w:spacing w:before="240" w:after="240" w:line="360" w:lineRule="auto"/>
        <w:jc w:val="both"/>
        <w:rPr>
          <w:color w:val="000000"/>
          <w:sz w:val="24"/>
          <w:szCs w:val="24"/>
        </w:rPr>
      </w:pPr>
    </w:p>
    <w:p w14:paraId="25174919" w14:textId="77777777" w:rsidR="00A769CA" w:rsidRDefault="008D3F3B">
      <w:pPr>
        <w:pStyle w:val="Heading1"/>
      </w:pPr>
      <w:bookmarkStart w:id="29" w:name="_heading=h.rtym5sidbiut" w:colFirst="0" w:colLast="0"/>
      <w:bookmarkEnd w:id="29"/>
      <w:r>
        <w:t xml:space="preserve">CHAPTER 3: RESEARCH METHODOLOGY </w:t>
      </w:r>
    </w:p>
    <w:p w14:paraId="095C08B8" w14:textId="77777777" w:rsidR="00A769CA" w:rsidRDefault="008D3F3B">
      <w:pPr>
        <w:pStyle w:val="Heading2"/>
        <w:spacing w:after="240"/>
      </w:pPr>
      <w:bookmarkStart w:id="30" w:name="_heading=h.1sbt817q8w3h" w:colFirst="0" w:colLast="0"/>
      <w:bookmarkEnd w:id="30"/>
      <w:r>
        <w:t xml:space="preserve">3.1 Introduction </w:t>
      </w:r>
    </w:p>
    <w:p w14:paraId="2AC73D02"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000000"/>
          <w:sz w:val="24"/>
          <w:szCs w:val="24"/>
        </w:rPr>
        <w:t>This chapter highlights the methodological tools employed in conducting the research. The purpose of this chapter is to illustrate the specific types of research tools used in this study, along with their proper justification. This is necessary so that the credibility of the study's findings can be assessed. As such, this chapter of the study will justify the choice of research philosophy along with any underlying assumptions while conducting the research. Again, the design, method and approaches used by th</w:t>
      </w:r>
      <w:r>
        <w:rPr>
          <w:color w:val="000000"/>
          <w:sz w:val="24"/>
          <w:szCs w:val="24"/>
        </w:rPr>
        <w:t>e research will also be explained in this chapter. Furthermore, the methods of data collection and analysis will also be covered in this section of the research, along with the consideration of ethical values.</w:t>
      </w:r>
    </w:p>
    <w:p w14:paraId="387C381D" w14:textId="77777777" w:rsidR="00A769CA" w:rsidRDefault="008D3F3B">
      <w:pPr>
        <w:pStyle w:val="Heading2"/>
        <w:spacing w:after="240"/>
      </w:pPr>
      <w:bookmarkStart w:id="31" w:name="_heading=h.jsj3108fpbfo" w:colFirst="0" w:colLast="0"/>
      <w:bookmarkEnd w:id="31"/>
      <w:r>
        <w:t>3.2 Research Philosophies and Assumptions</w:t>
      </w:r>
    </w:p>
    <w:p w14:paraId="108187D4"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000000"/>
          <w:sz w:val="24"/>
          <w:szCs w:val="24"/>
        </w:rPr>
        <w:t>Research philosophy involves the set of assumptions and beliefs which guide scholars and researchers in conducting studies by influencing their ideals and response towards new knowledge (Saliya, 2023). As such, research philosophy addresses the reality of scholars and their nature of response towards the gathering of new knowledge. The present study required a definite research philosophy because it shapes the overall method of collecting and interpreting information on SRM effects on supply chain performan</w:t>
      </w:r>
      <w:r>
        <w:rPr>
          <w:color w:val="000000"/>
          <w:sz w:val="24"/>
          <w:szCs w:val="24"/>
        </w:rPr>
        <w:t xml:space="preserve">ce. The different schools of philosophy are classified into interpretivism, positivism, pragmatism and realism. The positivist philosophy considers objectivity and assumes that true knowledge can only be obtained from scientifically derived mechanisms (Maretha, 2023). Although it could have generated accurate results, the process would have been expensive as it requires the organisation of elaborate surveys and interviews. </w:t>
      </w:r>
      <w:proofErr w:type="gramStart"/>
      <w:r>
        <w:rPr>
          <w:color w:val="000000"/>
          <w:sz w:val="24"/>
          <w:szCs w:val="24"/>
        </w:rPr>
        <w:t>So</w:t>
      </w:r>
      <w:proofErr w:type="gramEnd"/>
      <w:r>
        <w:rPr>
          <w:color w:val="000000"/>
          <w:sz w:val="24"/>
          <w:szCs w:val="24"/>
        </w:rPr>
        <w:t xml:space="preserve"> it was not used. Again, realism asserts the independent existence of reality in th</w:t>
      </w:r>
      <w:r>
        <w:rPr>
          <w:color w:val="000000"/>
          <w:sz w:val="24"/>
          <w:szCs w:val="24"/>
        </w:rPr>
        <w:t xml:space="preserve">e human mind. This was not ideal because the present study is an academic exploration. Lastly, pragmatism was also not used because it lacks theoretical depth. Therefore, the </w:t>
      </w:r>
      <w:r>
        <w:rPr>
          <w:b/>
          <w:bCs/>
          <w:i/>
          <w:iCs/>
          <w:color w:val="000000"/>
          <w:sz w:val="24"/>
          <w:szCs w:val="24"/>
        </w:rPr>
        <w:t>interpretivism philosophy</w:t>
      </w:r>
      <w:r>
        <w:rPr>
          <w:color w:val="000000"/>
          <w:sz w:val="24"/>
          <w:szCs w:val="24"/>
        </w:rPr>
        <w:t xml:space="preserve"> was selected in this study. The interpretivist philosophy considers that reality is socially and subjectively constructed (Junjie and </w:t>
      </w:r>
      <w:proofErr w:type="spellStart"/>
      <w:r>
        <w:rPr>
          <w:color w:val="000000"/>
          <w:sz w:val="24"/>
          <w:szCs w:val="24"/>
        </w:rPr>
        <w:t>Yingxin</w:t>
      </w:r>
      <w:proofErr w:type="spellEnd"/>
      <w:r>
        <w:rPr>
          <w:color w:val="000000"/>
          <w:sz w:val="24"/>
          <w:szCs w:val="24"/>
        </w:rPr>
        <w:t xml:space="preserve">, 2022). As such, in interpretivism </w:t>
      </w:r>
      <w:r>
        <w:rPr>
          <w:color w:val="000000"/>
          <w:sz w:val="24"/>
          <w:szCs w:val="24"/>
        </w:rPr>
        <w:lastRenderedPageBreak/>
        <w:t>philosophy, reality can only be understood by the examination of the subjective interpretations and lived experiences of people. The i</w:t>
      </w:r>
      <w:r>
        <w:rPr>
          <w:color w:val="000000"/>
          <w:sz w:val="24"/>
          <w:szCs w:val="24"/>
        </w:rPr>
        <w:t>nterpretivist philosophy was selected in this research so that it is possible to examine the effects of strategy SRM in the context of supply chain performance in the manufacturing sector. The subjective interpretations and assumptions of previous scholars and authors obtained from different academic sources were incorporated into this research with the help of interpretivism philosophy. Therefore, interpretivism philosophy has influenced the process of acceptance of new information regarding SRM and supply</w:t>
      </w:r>
      <w:r>
        <w:rPr>
          <w:color w:val="000000"/>
          <w:sz w:val="24"/>
          <w:szCs w:val="24"/>
        </w:rPr>
        <w:t xml:space="preserve"> chain performance in the manufacturing sector. Furthermore, the interpretivism philosophy has benefited this research with a deep understanding regarding efficiency, customer satisfaction and flexibility of supply chains. These were supply chain performance indicators which were evaluated by understanding how they are influenced by SRM in the manufacturing sector. The meanings, motivations and valid contexts regarding SRM were possible to be identified through interpretivism philosophy. This enabled this s</w:t>
      </w:r>
      <w:r>
        <w:rPr>
          <w:color w:val="000000"/>
          <w:sz w:val="24"/>
          <w:szCs w:val="24"/>
        </w:rPr>
        <w:t>tudy to explore complex social phenomena, develop new theories and generate highly valid qualitative data in their natural settings.</w:t>
      </w:r>
    </w:p>
    <w:p w14:paraId="54449AF1" w14:textId="77777777" w:rsidR="00A769CA" w:rsidRDefault="008D3F3B">
      <w:pPr>
        <w:pStyle w:val="Heading2"/>
        <w:spacing w:after="240"/>
      </w:pPr>
      <w:bookmarkStart w:id="32" w:name="_heading=h.iefus2336jxy" w:colFirst="0" w:colLast="0"/>
      <w:bookmarkEnd w:id="32"/>
      <w:r>
        <w:t xml:space="preserve">3.3 Research Design </w:t>
      </w:r>
    </w:p>
    <w:p w14:paraId="66F901F7"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000000"/>
          <w:sz w:val="24"/>
          <w:szCs w:val="24"/>
        </w:rPr>
        <w:t>The research design is the blueprint and the overall strategy which outlines the plan regarding the collection and interpretation of data (</w:t>
      </w:r>
      <w:proofErr w:type="spellStart"/>
      <w:r>
        <w:rPr>
          <w:color w:val="000000"/>
          <w:sz w:val="24"/>
          <w:szCs w:val="24"/>
        </w:rPr>
        <w:t>Kekeya</w:t>
      </w:r>
      <w:proofErr w:type="spellEnd"/>
      <w:r>
        <w:rPr>
          <w:color w:val="000000"/>
          <w:sz w:val="24"/>
          <w:szCs w:val="24"/>
        </w:rPr>
        <w:t>, 2021). The design is an integral aspect of academic explorations because it enables scholars to answer research questions. As such, the research design is needed in this study so that it can offer structure along with a clear roadmap and direction. It can thus minimise bias and increase the validity and reliability of the results. The application of a definite research design was thus necessary so that it could guide decision-making and facilitate accurate analysis. The various types of research des</w:t>
      </w:r>
      <w:r>
        <w:rPr>
          <w:color w:val="000000"/>
          <w:sz w:val="24"/>
          <w:szCs w:val="24"/>
        </w:rPr>
        <w:t>ign are classified into correlational, descriptive, exploratory and experimental, among others. The correlational design is non-experimental and investigates the strength and direction of association between variables. Although it could have been statistically accurate, it cannot prove that the change in a variable directly changes the other. Again, the exploratory research design is unstructured, which would not have been able to sufficiently answer the research questions. On the other hand, the experiment</w:t>
      </w:r>
      <w:r>
        <w:rPr>
          <w:color w:val="000000"/>
          <w:sz w:val="24"/>
          <w:szCs w:val="24"/>
        </w:rPr>
        <w:t xml:space="preserve">al research design has the limitations of high costs, ethical concerns and time </w:t>
      </w:r>
      <w:r>
        <w:rPr>
          <w:color w:val="000000"/>
          <w:sz w:val="24"/>
          <w:szCs w:val="24"/>
        </w:rPr>
        <w:lastRenderedPageBreak/>
        <w:t xml:space="preserve">consumption. Therefore, the </w:t>
      </w:r>
      <w:r>
        <w:rPr>
          <w:b/>
          <w:bCs/>
          <w:i/>
          <w:iCs/>
          <w:color w:val="000000"/>
          <w:sz w:val="24"/>
          <w:szCs w:val="24"/>
        </w:rPr>
        <w:t>descriptive design</w:t>
      </w:r>
      <w:r>
        <w:rPr>
          <w:color w:val="000000"/>
          <w:sz w:val="24"/>
          <w:szCs w:val="24"/>
        </w:rPr>
        <w:t xml:space="preserve"> was selected in the present research. The descriptive research design is non-experimental and used in the systematic illustration of characteristics of specific populations and phenomena (</w:t>
      </w:r>
      <w:proofErr w:type="spellStart"/>
      <w:r>
        <w:rPr>
          <w:color w:val="000000"/>
          <w:sz w:val="24"/>
          <w:szCs w:val="24"/>
        </w:rPr>
        <w:t>Muzari</w:t>
      </w:r>
      <w:proofErr w:type="spellEnd"/>
      <w:r>
        <w:rPr>
          <w:color w:val="000000"/>
          <w:sz w:val="24"/>
          <w:szCs w:val="24"/>
        </w:rPr>
        <w:t>, Shava and Shonhiwa, 2022). As such, the descriptive design is observational in its application, where variables are not manipulated, and serves as the foundation for larger research process</w:t>
      </w:r>
      <w:r>
        <w:rPr>
          <w:color w:val="000000"/>
          <w:sz w:val="24"/>
          <w:szCs w:val="24"/>
        </w:rPr>
        <w:t>es. The descriptive research design was used in this study so that it is possible to adequately highlight the effects of SRM on the supply chain performance of firms in the manufacturing sector. In this context, the descriptive design has benefited this study with the provision of a detailed and comprehensive overview of the topic of this study. It also enables the cost-effective and efficient collection of data, along with the ability to study variables in their natural settings. Since interpretivism philo</w:t>
      </w:r>
      <w:r>
        <w:rPr>
          <w:color w:val="000000"/>
          <w:sz w:val="24"/>
          <w:szCs w:val="24"/>
        </w:rPr>
        <w:t>sophy is used in this study, the descriptive design was compatible with it and allows the generation of hypotheses. The identification of the patterns in the performance indicators of the supply chain in the manufacturing sector under SRM's influence was also possible to be thoroughly evaluated with a descriptive design. Therefore, descriptive design has helped this research with the easy replication of processes, which allowed for the gathering and comparison of data from various sources.</w:t>
      </w:r>
    </w:p>
    <w:p w14:paraId="79CD4894" w14:textId="77777777" w:rsidR="00A769CA" w:rsidRDefault="008D3F3B">
      <w:pPr>
        <w:pStyle w:val="Heading2"/>
        <w:spacing w:after="240"/>
      </w:pPr>
      <w:bookmarkStart w:id="33" w:name="_heading=h.3ztwy6nhgapv" w:colFirst="0" w:colLast="0"/>
      <w:bookmarkEnd w:id="33"/>
      <w:r>
        <w:t>3.4 Research Method</w:t>
      </w:r>
    </w:p>
    <w:p w14:paraId="53664C87"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000000"/>
          <w:sz w:val="24"/>
          <w:szCs w:val="24"/>
        </w:rPr>
        <w:t>The methods to conduct research are specific and systematic processes for the collection and analysis of information, which can answer the research questions. This involves the application of specific techniques and tools to practically conduct this study. The implementation of a definite research method was necessary in this study so that it ensures credibility, impartiality and reliability of the findings. The different types of research methods are subdivided into qualitative, quantitative and mixed. The</w:t>
      </w:r>
      <w:r>
        <w:rPr>
          <w:color w:val="000000"/>
          <w:sz w:val="24"/>
          <w:szCs w:val="24"/>
        </w:rPr>
        <w:t xml:space="preserve"> quantitative research method involves the collection of numerical insights along with their analysis for the identification of inherent patterns, testing relationships, fitting models, and thereby making predictions (</w:t>
      </w:r>
      <w:proofErr w:type="spellStart"/>
      <w:r>
        <w:rPr>
          <w:color w:val="000000"/>
          <w:sz w:val="24"/>
          <w:szCs w:val="24"/>
        </w:rPr>
        <w:t>Ghanad</w:t>
      </w:r>
      <w:proofErr w:type="spellEnd"/>
      <w:r>
        <w:rPr>
          <w:color w:val="000000"/>
          <w:sz w:val="24"/>
          <w:szCs w:val="24"/>
        </w:rPr>
        <w:t>, 2023). Although it would have generated accurate real-time insights, it is rigid and possesses limited context and depth. The mixed method, on the other hand, would have required integration of descriptive and numerical insights, which is time-consuming and expensive to carry out succe</w:t>
      </w:r>
      <w:r>
        <w:rPr>
          <w:color w:val="000000"/>
          <w:sz w:val="24"/>
          <w:szCs w:val="24"/>
        </w:rPr>
        <w:t xml:space="preserve">ssfully. Therefore, the </w:t>
      </w:r>
      <w:r>
        <w:rPr>
          <w:b/>
          <w:bCs/>
          <w:i/>
          <w:iCs/>
          <w:color w:val="000000"/>
          <w:sz w:val="24"/>
          <w:szCs w:val="24"/>
        </w:rPr>
        <w:t>qualitative method</w:t>
      </w:r>
      <w:r>
        <w:rPr>
          <w:color w:val="000000"/>
          <w:sz w:val="24"/>
          <w:szCs w:val="24"/>
        </w:rPr>
        <w:t xml:space="preserve"> was selected in the present study. </w:t>
      </w:r>
      <w:r>
        <w:rPr>
          <w:color w:val="000000"/>
          <w:sz w:val="24"/>
          <w:szCs w:val="24"/>
        </w:rPr>
        <w:lastRenderedPageBreak/>
        <w:t xml:space="preserve">The qualitative method is the gathering and analysis of non-numerical information so that the complexities and depth associated with human behaviours, experiences and motivations can be understood (Bhangu, Provost and </w:t>
      </w:r>
      <w:proofErr w:type="spellStart"/>
      <w:r>
        <w:rPr>
          <w:color w:val="000000"/>
          <w:sz w:val="24"/>
          <w:szCs w:val="24"/>
        </w:rPr>
        <w:t>Caduff</w:t>
      </w:r>
      <w:proofErr w:type="spellEnd"/>
      <w:r>
        <w:rPr>
          <w:color w:val="000000"/>
          <w:sz w:val="24"/>
          <w:szCs w:val="24"/>
        </w:rPr>
        <w:t>, 2023). As such, the qualitative method focuses on gathering descriptive information so that hidden meanings in social phenomena can be identified.  The qualitative method was used in this study so that it cou</w:t>
      </w:r>
      <w:r>
        <w:rPr>
          <w:color w:val="000000"/>
          <w:sz w:val="24"/>
          <w:szCs w:val="24"/>
        </w:rPr>
        <w:t>ld provide a contextual and in-depth understanding of the effects of SRM on supply chain performance in the manufacturing sector. It was thus compatible with the interpretivism philosophy and descriptive design, which are applied in this research. In this regard, the complex social phenomena of SRM and its influence on the different parameters of supply chain performance of firms in the manufacturing sector were described by the qualitative method. The qualitative method has benefited this research with the</w:t>
      </w:r>
      <w:r>
        <w:rPr>
          <w:color w:val="000000"/>
          <w:sz w:val="24"/>
          <w:szCs w:val="24"/>
        </w:rPr>
        <w:t xml:space="preserve"> exploration of underlying motivations and beliefs, which offer detailed and rich insights into the complex social phenomena. In addition, the qualitative method was also flexible to be applied, which resulted in the emergence of new insights on SRM and supply chain performance, thereby making this study responsive and dynamic. Furthermore, the use of the qualitative method has also enabled this research to generate new hypotheses and theories regarding the topic. It has also offered a comprehensive and hol</w:t>
      </w:r>
      <w:r>
        <w:rPr>
          <w:color w:val="000000"/>
          <w:sz w:val="24"/>
          <w:szCs w:val="24"/>
        </w:rPr>
        <w:t>istic understanding of how supply chain performance is shaped by SRM in the manufacturing sector.</w:t>
      </w:r>
    </w:p>
    <w:p w14:paraId="1692AD23" w14:textId="77777777" w:rsidR="00A769CA" w:rsidRDefault="008D3F3B">
      <w:pPr>
        <w:pStyle w:val="Heading2"/>
        <w:spacing w:after="240"/>
      </w:pPr>
      <w:bookmarkStart w:id="34" w:name="_heading=h.1zhyysm4izoz" w:colFirst="0" w:colLast="0"/>
      <w:bookmarkEnd w:id="34"/>
      <w:r>
        <w:t>3.5 Research Approaches</w:t>
      </w:r>
    </w:p>
    <w:p w14:paraId="1408E63E"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000000"/>
          <w:sz w:val="24"/>
          <w:szCs w:val="24"/>
        </w:rPr>
        <w:t>The approach of academic explorations is the overall procedure used in conducting the research. This includes the various steps associated with data collection, analysis, and interpretation. In this regard, the research approach is dependent on the nature of the research problem, which in this case is identifying the impacts of SRM on supply chain performance in the manufacturing sector. The use of a definite research approach is necessary for this study to obtain accurate, unbiased and reliable outcomes th</w:t>
      </w:r>
      <w:r>
        <w:rPr>
          <w:color w:val="000000"/>
          <w:sz w:val="24"/>
          <w:szCs w:val="24"/>
        </w:rPr>
        <w:t xml:space="preserve">at can guide the entire process. Therefore, the research approach has provided legitimacy for the findings after justifying the methodological choices. The different types of research approaches are inductive, deductive and abductive. The deductive approach begins with a specific theory, forming hypotheses and collecting and analysing information to test whether it is true (Kumar and </w:t>
      </w:r>
      <w:proofErr w:type="spellStart"/>
      <w:r>
        <w:rPr>
          <w:color w:val="000000"/>
          <w:sz w:val="24"/>
          <w:szCs w:val="24"/>
        </w:rPr>
        <w:t>Ujire</w:t>
      </w:r>
      <w:proofErr w:type="spellEnd"/>
      <w:r>
        <w:rPr>
          <w:color w:val="000000"/>
          <w:sz w:val="24"/>
          <w:szCs w:val="24"/>
        </w:rPr>
        <w:t xml:space="preserve">, 2024). However, it is not used because it is rigid and heavily relies on initial premises, which can result </w:t>
      </w:r>
      <w:r>
        <w:rPr>
          <w:color w:val="000000"/>
          <w:sz w:val="24"/>
          <w:szCs w:val="24"/>
        </w:rPr>
        <w:lastRenderedPageBreak/>
        <w:t>in unsound</w:t>
      </w:r>
      <w:r>
        <w:rPr>
          <w:color w:val="000000"/>
          <w:sz w:val="24"/>
          <w:szCs w:val="24"/>
        </w:rPr>
        <w:t xml:space="preserve"> conclusions. Again, the abductive approach has a potential for bias because of its inherent uncertainties. Therefore, the </w:t>
      </w:r>
      <w:r>
        <w:rPr>
          <w:b/>
          <w:bCs/>
          <w:i/>
          <w:iCs/>
          <w:color w:val="000000"/>
          <w:sz w:val="24"/>
          <w:szCs w:val="24"/>
        </w:rPr>
        <w:t>inductive approach</w:t>
      </w:r>
      <w:r>
        <w:rPr>
          <w:color w:val="000000"/>
          <w:sz w:val="24"/>
          <w:szCs w:val="24"/>
        </w:rPr>
        <w:t xml:space="preserve"> was chosen in this research. The inductive approach is a bottom-up technique where specific observations are used in the identification of patterns for the development of broader theories and generalisations (Kumar and </w:t>
      </w:r>
      <w:proofErr w:type="spellStart"/>
      <w:r>
        <w:rPr>
          <w:color w:val="000000"/>
          <w:sz w:val="24"/>
          <w:szCs w:val="24"/>
        </w:rPr>
        <w:t>Ujire</w:t>
      </w:r>
      <w:proofErr w:type="spellEnd"/>
      <w:r>
        <w:rPr>
          <w:color w:val="000000"/>
          <w:sz w:val="24"/>
          <w:szCs w:val="24"/>
        </w:rPr>
        <w:t>, 2024). As such, the purpose of utilising the inductive approach is to develop new theories regarding the effects of SRM on supply chain performa</w:t>
      </w:r>
      <w:r>
        <w:rPr>
          <w:color w:val="000000"/>
          <w:sz w:val="24"/>
          <w:szCs w:val="24"/>
        </w:rPr>
        <w:t xml:space="preserve">nce in the manufacturing sector. The inductive approach is also compatible with interpretivism philosophy, where subjective interpretations are essential </w:t>
      </w:r>
      <w:proofErr w:type="gramStart"/>
      <w:r>
        <w:rPr>
          <w:color w:val="000000"/>
          <w:sz w:val="24"/>
          <w:szCs w:val="24"/>
        </w:rPr>
        <w:t>and also</w:t>
      </w:r>
      <w:proofErr w:type="gramEnd"/>
      <w:r>
        <w:rPr>
          <w:color w:val="000000"/>
          <w:sz w:val="24"/>
          <w:szCs w:val="24"/>
        </w:rPr>
        <w:t xml:space="preserve"> form an integral part of the qualitative method. In this regard, the descriptive design has enabled this research to observe the details of the parameters, thereby facilitating the inductive approach to develop new hypotheses and theories. Furthermore, the inductive approach has benefited this research with the deep exploration of SRM and its effe</w:t>
      </w:r>
      <w:r>
        <w:rPr>
          <w:color w:val="000000"/>
          <w:sz w:val="24"/>
          <w:szCs w:val="24"/>
        </w:rPr>
        <w:t>cts on supply chain performance in the manufacturing sector. The insights, opinions and perspectives of previous scholars and researchers obtained in this study were used to develop new theories with the help of the inductive approach. Therefore, the inductive approach has helped this research to generate detailed insights which are well-suited for the qualitative method. Since the topic is comparatively new, the inductive approach has also academically benefited this study by developing fundamental theorie</w:t>
      </w:r>
      <w:r>
        <w:rPr>
          <w:color w:val="000000"/>
          <w:sz w:val="24"/>
          <w:szCs w:val="24"/>
        </w:rPr>
        <w:t>s regarding SRM and supply chain performance in manufacturing activities from a generalised perspective. The patterns identified in this research have thus supported futuristic explorations on the topic.</w:t>
      </w:r>
    </w:p>
    <w:p w14:paraId="347599C9" w14:textId="77777777" w:rsidR="00A769CA" w:rsidRDefault="008D3F3B">
      <w:pPr>
        <w:pStyle w:val="Heading2"/>
        <w:spacing w:after="240"/>
      </w:pPr>
      <w:bookmarkStart w:id="35" w:name="_heading=h.a2z8wj2ca75m" w:colFirst="0" w:colLast="0"/>
      <w:bookmarkEnd w:id="35"/>
      <w:r>
        <w:t xml:space="preserve">3.6 Data Collection Methods </w:t>
      </w:r>
    </w:p>
    <w:p w14:paraId="1E9995E1"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000000"/>
          <w:sz w:val="24"/>
          <w:szCs w:val="24"/>
        </w:rPr>
        <w:t>The collection of data is the systematic process of collecting and measuring information from different sources so that questions can be answered and hypotheses can be tested. The gathering of data thus formed an important part of the present study, so that it is possible to know the effects of SRM on supply chain performance in the manufacturing sector. As such, the purpose of following specific data collection methods is to gather enough evidence to achieve the research objectives in this study. The diffe</w:t>
      </w:r>
      <w:r>
        <w:rPr>
          <w:color w:val="000000"/>
          <w:sz w:val="24"/>
          <w:szCs w:val="24"/>
        </w:rPr>
        <w:t xml:space="preserve">rent types of data collection are mainly classified into primary and secondary based on their sources of origin. Primary data implies information that is directly collected for the first time with the aid of surveys, interviews and scientific experiments (Mazhar </w:t>
      </w:r>
      <w:r>
        <w:rPr>
          <w:i/>
          <w:iCs/>
          <w:color w:val="000000"/>
          <w:sz w:val="24"/>
          <w:szCs w:val="24"/>
        </w:rPr>
        <w:t>et al.</w:t>
      </w:r>
      <w:r>
        <w:rPr>
          <w:color w:val="000000"/>
          <w:sz w:val="24"/>
          <w:szCs w:val="24"/>
        </w:rPr>
        <w:t xml:space="preserve"> 2021). Although primary data would have improved the accuracy of the </w:t>
      </w:r>
      <w:r>
        <w:rPr>
          <w:color w:val="000000"/>
          <w:sz w:val="24"/>
          <w:szCs w:val="24"/>
        </w:rPr>
        <w:lastRenderedPageBreak/>
        <w:t xml:space="preserve">findings, it is incompatible in this research because, in that situation, new theories could not have been developed. Therefore, </w:t>
      </w:r>
      <w:r>
        <w:rPr>
          <w:b/>
          <w:bCs/>
          <w:i/>
          <w:iCs/>
          <w:color w:val="000000"/>
          <w:sz w:val="24"/>
          <w:szCs w:val="24"/>
        </w:rPr>
        <w:t>secondary data</w:t>
      </w:r>
      <w:r>
        <w:rPr>
          <w:color w:val="000000"/>
          <w:sz w:val="24"/>
          <w:szCs w:val="24"/>
        </w:rPr>
        <w:t xml:space="preserve"> was collected in the present </w:t>
      </w:r>
      <w:r>
        <w:rPr>
          <w:color w:val="000000"/>
          <w:sz w:val="24"/>
          <w:szCs w:val="24"/>
        </w:rPr>
        <w:t xml:space="preserve">study. Secondary data implies the information which was previously collected by some other research entity or organisation for a different purpose (Mazhar </w:t>
      </w:r>
      <w:r>
        <w:rPr>
          <w:i/>
          <w:iCs/>
          <w:color w:val="000000"/>
          <w:sz w:val="24"/>
          <w:szCs w:val="24"/>
        </w:rPr>
        <w:t>et al.</w:t>
      </w:r>
      <w:r>
        <w:rPr>
          <w:color w:val="000000"/>
          <w:sz w:val="24"/>
          <w:szCs w:val="24"/>
        </w:rPr>
        <w:t xml:space="preserve"> 2021). This was also later made available for extensive use by the </w:t>
      </w:r>
      <w:proofErr w:type="gramStart"/>
      <w:r>
        <w:rPr>
          <w:color w:val="000000"/>
          <w:sz w:val="24"/>
          <w:szCs w:val="24"/>
        </w:rPr>
        <w:t>general public</w:t>
      </w:r>
      <w:proofErr w:type="gramEnd"/>
      <w:r>
        <w:rPr>
          <w:color w:val="000000"/>
          <w:sz w:val="24"/>
          <w:szCs w:val="24"/>
        </w:rPr>
        <w:t>, including mainstream scholars and researchers. In the present study, secondary data were primarily collected from academic journals and articles published by scholars in different databases. This includes peer-reviewed literary sources from Google Scholar, Scopus, Pr</w:t>
      </w:r>
      <w:r>
        <w:rPr>
          <w:color w:val="000000"/>
          <w:sz w:val="24"/>
          <w:szCs w:val="24"/>
        </w:rPr>
        <w:t>oQuest and PubMed, among others. The other sources of collecting secondary data involve the use of press releases. As such, this research has used reliable news websites such as BBC and The Guardian to obtain information regarding SRM and supply chain performance in the manufacturing sector. The purpose of using news media websites is to obtain current affairs on the topic so that it can lend new perspectives and insights aside from empirical knowledge. Furthermore, the present study has also collected seco</w:t>
      </w:r>
      <w:r>
        <w:rPr>
          <w:color w:val="000000"/>
          <w:sz w:val="24"/>
          <w:szCs w:val="24"/>
        </w:rPr>
        <w:t>ndary data in the form of infographics from reliable websites such as Statista. This is designed to diagrammatically present secondary data as available in the public domain. The collection of secondary data has benefited this study by saving time and being cost-effective. This is because the collected information was previously gathered by others. It also provided a greater scope for this research to conduct the study from a generalised perspective by focusing only on the manufacturing sector. Moreover, se</w:t>
      </w:r>
      <w:r>
        <w:rPr>
          <w:color w:val="000000"/>
          <w:sz w:val="24"/>
          <w:szCs w:val="24"/>
        </w:rPr>
        <w:t>condary data has also helped this research to obtain new insights and delve deeper into the issue, thereby improving the research outcomes.</w:t>
      </w:r>
    </w:p>
    <w:p w14:paraId="051794C3" w14:textId="77777777" w:rsidR="00A769CA" w:rsidRDefault="008D3F3B">
      <w:pPr>
        <w:pStyle w:val="Heading2"/>
        <w:spacing w:before="240" w:after="240"/>
      </w:pPr>
      <w:bookmarkStart w:id="36" w:name="_heading=h.ctozvxj09s5m" w:colFirst="0" w:colLast="0"/>
      <w:bookmarkEnd w:id="36"/>
      <w:r>
        <w:t>3.7 Data Selection Process</w:t>
      </w:r>
    </w:p>
    <w:p w14:paraId="74B29CE8" w14:textId="77777777" w:rsidR="00A769CA" w:rsidRDefault="008D3F3B">
      <w:pPr>
        <w:spacing w:line="360" w:lineRule="auto"/>
        <w:jc w:val="both"/>
        <w:rPr>
          <w:b/>
          <w:bCs/>
          <w:sz w:val="24"/>
          <w:szCs w:val="24"/>
        </w:rPr>
      </w:pPr>
      <w:r>
        <w:rPr>
          <w:b/>
          <w:bCs/>
          <w:sz w:val="24"/>
          <w:szCs w:val="24"/>
        </w:rPr>
        <w:t>Inclusion criteria:</w:t>
      </w:r>
    </w:p>
    <w:p w14:paraId="033A6699" w14:textId="77777777" w:rsidR="00A769CA" w:rsidRDefault="008D3F3B">
      <w:pPr>
        <w:numPr>
          <w:ilvl w:val="0"/>
          <w:numId w:val="5"/>
        </w:numPr>
        <w:spacing w:line="360" w:lineRule="auto"/>
        <w:jc w:val="both"/>
        <w:rPr>
          <w:sz w:val="24"/>
          <w:szCs w:val="24"/>
        </w:rPr>
      </w:pPr>
      <w:r>
        <w:rPr>
          <w:sz w:val="24"/>
          <w:szCs w:val="24"/>
        </w:rPr>
        <w:t>Academic articles which directly address the impacts of strategic SRM on supply chain performance on the manufacturing sector were included in this study.</w:t>
      </w:r>
    </w:p>
    <w:p w14:paraId="727EA7DD" w14:textId="77777777" w:rsidR="00A769CA" w:rsidRDefault="008D3F3B">
      <w:pPr>
        <w:numPr>
          <w:ilvl w:val="0"/>
          <w:numId w:val="5"/>
        </w:numPr>
        <w:spacing w:line="360" w:lineRule="auto"/>
        <w:jc w:val="both"/>
        <w:rPr>
          <w:sz w:val="24"/>
          <w:szCs w:val="24"/>
        </w:rPr>
      </w:pPr>
      <w:r>
        <w:rPr>
          <w:sz w:val="24"/>
          <w:szCs w:val="24"/>
        </w:rPr>
        <w:t>Those articles and literary sources which were published in the English language were given preference throughout the selection procedure.</w:t>
      </w:r>
    </w:p>
    <w:p w14:paraId="7FFAB089" w14:textId="77777777" w:rsidR="00A769CA" w:rsidRDefault="008D3F3B">
      <w:pPr>
        <w:numPr>
          <w:ilvl w:val="0"/>
          <w:numId w:val="5"/>
        </w:numPr>
        <w:spacing w:line="360" w:lineRule="auto"/>
        <w:jc w:val="both"/>
        <w:rPr>
          <w:sz w:val="24"/>
          <w:szCs w:val="24"/>
        </w:rPr>
      </w:pPr>
      <w:r>
        <w:rPr>
          <w:sz w:val="24"/>
          <w:szCs w:val="24"/>
        </w:rPr>
        <w:t xml:space="preserve">Articles published in the last five years were selected in this </w:t>
      </w:r>
      <w:proofErr w:type="gramStart"/>
      <w:r>
        <w:rPr>
          <w:sz w:val="24"/>
          <w:szCs w:val="24"/>
        </w:rPr>
        <w:t>study  to</w:t>
      </w:r>
      <w:proofErr w:type="gramEnd"/>
      <w:r>
        <w:rPr>
          <w:sz w:val="24"/>
          <w:szCs w:val="24"/>
        </w:rPr>
        <w:t xml:space="preserve"> ensure accuracy. </w:t>
      </w:r>
    </w:p>
    <w:p w14:paraId="4F537413" w14:textId="77777777" w:rsidR="00A769CA" w:rsidRDefault="008D3F3B">
      <w:pPr>
        <w:spacing w:line="360" w:lineRule="auto"/>
        <w:jc w:val="both"/>
        <w:rPr>
          <w:b/>
          <w:bCs/>
          <w:sz w:val="24"/>
          <w:szCs w:val="24"/>
        </w:rPr>
      </w:pPr>
      <w:r>
        <w:rPr>
          <w:b/>
          <w:bCs/>
          <w:sz w:val="24"/>
          <w:szCs w:val="24"/>
        </w:rPr>
        <w:lastRenderedPageBreak/>
        <w:t xml:space="preserve">Exclusion criteria: </w:t>
      </w:r>
    </w:p>
    <w:p w14:paraId="4F98E3EE" w14:textId="77777777" w:rsidR="00A769CA" w:rsidRDefault="008D3F3B">
      <w:pPr>
        <w:numPr>
          <w:ilvl w:val="0"/>
          <w:numId w:val="4"/>
        </w:numPr>
        <w:spacing w:line="360" w:lineRule="auto"/>
        <w:jc w:val="both"/>
        <w:rPr>
          <w:sz w:val="24"/>
          <w:szCs w:val="24"/>
        </w:rPr>
      </w:pPr>
      <w:r>
        <w:rPr>
          <w:sz w:val="24"/>
          <w:szCs w:val="24"/>
        </w:rPr>
        <w:t xml:space="preserve">Journals and articles which are not directly associated with strategic </w:t>
      </w:r>
      <w:proofErr w:type="gramStart"/>
      <w:r>
        <w:rPr>
          <w:sz w:val="24"/>
          <w:szCs w:val="24"/>
        </w:rPr>
        <w:t>SRM</w:t>
      </w:r>
      <w:proofErr w:type="gramEnd"/>
      <w:r>
        <w:rPr>
          <w:sz w:val="24"/>
          <w:szCs w:val="24"/>
        </w:rPr>
        <w:t xml:space="preserve"> and supply chain performance were discarded.</w:t>
      </w:r>
    </w:p>
    <w:p w14:paraId="376CF1EF" w14:textId="77777777" w:rsidR="00A769CA" w:rsidRDefault="008D3F3B">
      <w:pPr>
        <w:numPr>
          <w:ilvl w:val="0"/>
          <w:numId w:val="4"/>
        </w:numPr>
        <w:spacing w:line="360" w:lineRule="auto"/>
        <w:jc w:val="both"/>
        <w:rPr>
          <w:sz w:val="24"/>
          <w:szCs w:val="24"/>
        </w:rPr>
      </w:pPr>
      <w:r>
        <w:rPr>
          <w:sz w:val="24"/>
          <w:szCs w:val="24"/>
        </w:rPr>
        <w:t>Literary sources which were published in any language other than English were not considered.</w:t>
      </w:r>
    </w:p>
    <w:p w14:paraId="698A3ACF" w14:textId="77777777" w:rsidR="00A769CA" w:rsidRDefault="008D3F3B">
      <w:pPr>
        <w:numPr>
          <w:ilvl w:val="0"/>
          <w:numId w:val="4"/>
        </w:numPr>
        <w:spacing w:line="360" w:lineRule="auto"/>
        <w:jc w:val="both"/>
        <w:rPr>
          <w:sz w:val="24"/>
          <w:szCs w:val="24"/>
        </w:rPr>
      </w:pPr>
      <w:r>
        <w:rPr>
          <w:sz w:val="24"/>
          <w:szCs w:val="24"/>
        </w:rPr>
        <w:t>Articles older than five years were eliminated from this research.</w:t>
      </w:r>
    </w:p>
    <w:p w14:paraId="76FF00FF" w14:textId="77777777" w:rsidR="00A769CA" w:rsidRDefault="008D3F3B">
      <w:pPr>
        <w:spacing w:line="360" w:lineRule="auto"/>
        <w:jc w:val="both"/>
        <w:rPr>
          <w:b/>
          <w:bCs/>
          <w:sz w:val="24"/>
          <w:szCs w:val="24"/>
        </w:rPr>
      </w:pPr>
      <w:r>
        <w:rPr>
          <w:b/>
          <w:bCs/>
          <w:sz w:val="24"/>
          <w:szCs w:val="24"/>
        </w:rPr>
        <w:t>Sampling Strategy</w:t>
      </w:r>
    </w:p>
    <w:p w14:paraId="2FD622C2" w14:textId="77777777" w:rsidR="00A769CA" w:rsidRDefault="008D3F3B">
      <w:pPr>
        <w:spacing w:line="360" w:lineRule="auto"/>
        <w:jc w:val="both"/>
        <w:rPr>
          <w:sz w:val="24"/>
          <w:szCs w:val="24"/>
        </w:rPr>
      </w:pPr>
      <w:r>
        <w:rPr>
          <w:sz w:val="24"/>
          <w:szCs w:val="24"/>
        </w:rPr>
        <w:t xml:space="preserve">The strategy to draw a sample of academic journal articles and associated secondary sources was done with the help of the PRISMA flowchart. </w:t>
      </w:r>
    </w:p>
    <w:p w14:paraId="45004A83" w14:textId="77777777" w:rsidR="00A769CA" w:rsidRDefault="008D3F3B">
      <w:pPr>
        <w:keepNext/>
        <w:spacing w:line="360" w:lineRule="auto"/>
        <w:jc w:val="center"/>
      </w:pPr>
      <w:r>
        <w:rPr>
          <w:noProof/>
          <w:sz w:val="24"/>
          <w:szCs w:val="24"/>
        </w:rPr>
        <w:drawing>
          <wp:inline distT="114300" distB="114300" distL="114300" distR="114300" wp14:anchorId="758C80D3" wp14:editId="2A3714AB">
            <wp:extent cx="3530088" cy="4009045"/>
            <wp:effectExtent l="0" t="0" r="0" b="0"/>
            <wp:docPr id="37"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5"/>
                    <a:srcRect/>
                    <a:stretch>
                      <a:fillRect/>
                    </a:stretch>
                  </pic:blipFill>
                  <pic:spPr>
                    <a:xfrm>
                      <a:off x="0" y="0"/>
                      <a:ext cx="3530088" cy="4009045"/>
                    </a:xfrm>
                    <a:prstGeom prst="rect">
                      <a:avLst/>
                    </a:prstGeom>
                    <a:ln/>
                  </pic:spPr>
                </pic:pic>
              </a:graphicData>
            </a:graphic>
          </wp:inline>
        </w:drawing>
      </w:r>
    </w:p>
    <w:p w14:paraId="37375BDB" w14:textId="77777777" w:rsidR="00A769CA" w:rsidRDefault="008D3F3B">
      <w:pPr>
        <w:pBdr>
          <w:top w:val="nil"/>
          <w:left w:val="nil"/>
          <w:bottom w:val="nil"/>
          <w:right w:val="nil"/>
          <w:between w:val="nil"/>
        </w:pBdr>
        <w:spacing w:after="200" w:line="360" w:lineRule="auto"/>
        <w:jc w:val="center"/>
        <w:rPr>
          <w:b/>
          <w:bCs/>
          <w:color w:val="1F497D"/>
          <w:sz w:val="24"/>
          <w:szCs w:val="24"/>
        </w:rPr>
      </w:pPr>
      <w:bookmarkStart w:id="37" w:name="_heading=h.9mpe7iuokmp3" w:colFirst="0" w:colLast="0"/>
      <w:bookmarkEnd w:id="37"/>
      <w:r>
        <w:rPr>
          <w:b/>
          <w:bCs/>
          <w:color w:val="1F497D"/>
          <w:sz w:val="24"/>
          <w:szCs w:val="24"/>
        </w:rPr>
        <w:t>Figure 8: PRISMA flowchart diagram</w:t>
      </w:r>
    </w:p>
    <w:p w14:paraId="61CBB959" w14:textId="77777777" w:rsidR="00A769CA" w:rsidRDefault="008D3F3B">
      <w:pPr>
        <w:spacing w:line="360" w:lineRule="auto"/>
        <w:jc w:val="center"/>
        <w:rPr>
          <w:sz w:val="24"/>
          <w:szCs w:val="24"/>
        </w:rPr>
      </w:pPr>
      <w:r>
        <w:rPr>
          <w:b/>
          <w:bCs/>
          <w:sz w:val="24"/>
          <w:szCs w:val="24"/>
        </w:rPr>
        <w:t>Source:</w:t>
      </w:r>
      <w:r>
        <w:rPr>
          <w:sz w:val="24"/>
          <w:szCs w:val="24"/>
        </w:rPr>
        <w:t xml:space="preserve"> Self-made</w:t>
      </w:r>
    </w:p>
    <w:p w14:paraId="5F926E89" w14:textId="77777777" w:rsidR="00A769CA" w:rsidRDefault="00A769CA">
      <w:pPr>
        <w:spacing w:line="360" w:lineRule="auto"/>
        <w:jc w:val="both"/>
        <w:rPr>
          <w:sz w:val="24"/>
          <w:szCs w:val="24"/>
        </w:rPr>
      </w:pPr>
    </w:p>
    <w:p w14:paraId="0FA76A7E" w14:textId="77777777" w:rsidR="00A769CA" w:rsidRDefault="008D3F3B">
      <w:pPr>
        <w:spacing w:line="360" w:lineRule="auto"/>
        <w:jc w:val="both"/>
        <w:rPr>
          <w:sz w:val="24"/>
          <w:szCs w:val="24"/>
        </w:rPr>
      </w:pPr>
      <w:r>
        <w:rPr>
          <w:sz w:val="24"/>
          <w:szCs w:val="24"/>
        </w:rPr>
        <w:t xml:space="preserve">In the above figure, the PRISMA flowchart used to draw the relevant academic articles is illustrated. Out of the 100 records screened, 20 were excluded as they did not match the requirements. Of the remaining 80 reports that were sought for retrieval, 40 were not retrieved. Finally, the 40 academic articles were assessed for their eligibility. They </w:t>
      </w:r>
      <w:r>
        <w:rPr>
          <w:sz w:val="24"/>
          <w:szCs w:val="24"/>
        </w:rPr>
        <w:lastRenderedPageBreak/>
        <w:t xml:space="preserve">were further screened based on the inclusion and exclusion criteria which resulted in the use of 20 academic journals in the findings chapter </w:t>
      </w:r>
      <w:proofErr w:type="gramStart"/>
      <w:r>
        <w:rPr>
          <w:sz w:val="24"/>
          <w:szCs w:val="24"/>
        </w:rPr>
        <w:t>of  this</w:t>
      </w:r>
      <w:proofErr w:type="gramEnd"/>
      <w:r>
        <w:rPr>
          <w:sz w:val="24"/>
          <w:szCs w:val="24"/>
        </w:rPr>
        <w:t xml:space="preserve"> study. </w:t>
      </w:r>
    </w:p>
    <w:p w14:paraId="24AD2CC1" w14:textId="77777777" w:rsidR="00A769CA" w:rsidRDefault="00A769CA">
      <w:pPr>
        <w:spacing w:line="360" w:lineRule="auto"/>
        <w:jc w:val="both"/>
        <w:rPr>
          <w:sz w:val="24"/>
          <w:szCs w:val="24"/>
        </w:rPr>
      </w:pPr>
    </w:p>
    <w:p w14:paraId="229ABECF" w14:textId="77777777" w:rsidR="00A769CA" w:rsidRDefault="008D3F3B">
      <w:pPr>
        <w:spacing w:line="360" w:lineRule="auto"/>
        <w:jc w:val="both"/>
        <w:rPr>
          <w:b/>
          <w:bCs/>
          <w:sz w:val="24"/>
          <w:szCs w:val="24"/>
        </w:rPr>
      </w:pPr>
      <w:r>
        <w:rPr>
          <w:b/>
          <w:bCs/>
          <w:sz w:val="24"/>
          <w:szCs w:val="24"/>
        </w:rPr>
        <w:t xml:space="preserve">Quality Appreciation </w:t>
      </w:r>
    </w:p>
    <w:p w14:paraId="2596C4BF" w14:textId="77777777" w:rsidR="00A769CA" w:rsidRDefault="008D3F3B">
      <w:pPr>
        <w:spacing w:line="360" w:lineRule="auto"/>
        <w:jc w:val="both"/>
        <w:rPr>
          <w:sz w:val="24"/>
          <w:szCs w:val="24"/>
        </w:rPr>
      </w:pPr>
      <w:r>
        <w:rPr>
          <w:sz w:val="24"/>
          <w:szCs w:val="24"/>
        </w:rPr>
        <w:t xml:space="preserve">The quality of the chosen academic articles </w:t>
      </w:r>
      <w:proofErr w:type="gramStart"/>
      <w:r>
        <w:rPr>
          <w:sz w:val="24"/>
          <w:szCs w:val="24"/>
        </w:rPr>
        <w:t>were</w:t>
      </w:r>
      <w:proofErr w:type="gramEnd"/>
      <w:r>
        <w:rPr>
          <w:sz w:val="24"/>
          <w:szCs w:val="24"/>
        </w:rPr>
        <w:t xml:space="preserve"> evaluated with the help of the Critical Appraisal Skills Programme (CASP). This helped the researcher to assess whether the chosen articles have a structured process with a definite purpose to understand the findings. Therefore, application of the CASP has benefited this study by the proper representation of the different aspects of the academic journals. </w:t>
      </w:r>
    </w:p>
    <w:p w14:paraId="24069A0C" w14:textId="77777777" w:rsidR="00A769CA" w:rsidRDefault="00A769CA">
      <w:pPr>
        <w:spacing w:line="360" w:lineRule="auto"/>
        <w:jc w:val="both"/>
        <w:rPr>
          <w:sz w:val="24"/>
          <w:szCs w:val="24"/>
        </w:rPr>
      </w:pPr>
    </w:p>
    <w:p w14:paraId="2C507CDA" w14:textId="77777777" w:rsidR="00A769CA" w:rsidRDefault="008D3F3B">
      <w:pPr>
        <w:spacing w:line="360" w:lineRule="auto"/>
        <w:jc w:val="both"/>
        <w:rPr>
          <w:b/>
          <w:bCs/>
          <w:sz w:val="24"/>
          <w:szCs w:val="24"/>
        </w:rPr>
      </w:pPr>
      <w:r>
        <w:rPr>
          <w:b/>
          <w:bCs/>
          <w:sz w:val="24"/>
          <w:szCs w:val="24"/>
        </w:rPr>
        <w:t>Timeline</w:t>
      </w:r>
    </w:p>
    <w:p w14:paraId="26D27D68" w14:textId="77777777" w:rsidR="00A769CA" w:rsidRDefault="008D3F3B">
      <w:pPr>
        <w:keepNext/>
        <w:spacing w:line="360" w:lineRule="auto"/>
        <w:jc w:val="center"/>
      </w:pPr>
      <w:r>
        <w:rPr>
          <w:b/>
          <w:bCs/>
          <w:noProof/>
          <w:sz w:val="24"/>
          <w:szCs w:val="24"/>
        </w:rPr>
        <w:drawing>
          <wp:inline distT="114300" distB="114300" distL="114300" distR="114300" wp14:anchorId="1E209AE5" wp14:editId="63E31490">
            <wp:extent cx="4908550" cy="2389045"/>
            <wp:effectExtent l="0" t="0" r="0" b="0"/>
            <wp:docPr id="36"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6"/>
                    <a:srcRect/>
                    <a:stretch>
                      <a:fillRect/>
                    </a:stretch>
                  </pic:blipFill>
                  <pic:spPr>
                    <a:xfrm>
                      <a:off x="0" y="0"/>
                      <a:ext cx="4908550" cy="2389045"/>
                    </a:xfrm>
                    <a:prstGeom prst="rect">
                      <a:avLst/>
                    </a:prstGeom>
                    <a:ln/>
                  </pic:spPr>
                </pic:pic>
              </a:graphicData>
            </a:graphic>
          </wp:inline>
        </w:drawing>
      </w:r>
    </w:p>
    <w:p w14:paraId="7421B9D2" w14:textId="77777777" w:rsidR="00A769CA" w:rsidRDefault="008D3F3B">
      <w:pPr>
        <w:pBdr>
          <w:top w:val="nil"/>
          <w:left w:val="nil"/>
          <w:bottom w:val="nil"/>
          <w:right w:val="nil"/>
          <w:between w:val="nil"/>
        </w:pBdr>
        <w:spacing w:after="200" w:line="360" w:lineRule="auto"/>
        <w:jc w:val="center"/>
        <w:rPr>
          <w:b/>
          <w:bCs/>
          <w:color w:val="1F497D"/>
          <w:sz w:val="24"/>
          <w:szCs w:val="24"/>
        </w:rPr>
      </w:pPr>
      <w:bookmarkStart w:id="38" w:name="_heading=h.yoyisa53atzr" w:colFirst="0" w:colLast="0"/>
      <w:bookmarkEnd w:id="38"/>
      <w:r>
        <w:rPr>
          <w:b/>
          <w:bCs/>
          <w:color w:val="1F497D"/>
          <w:sz w:val="24"/>
          <w:szCs w:val="24"/>
        </w:rPr>
        <w:t>Figure 9: Gantt Chart of the 8-week Timeline</w:t>
      </w:r>
    </w:p>
    <w:p w14:paraId="4CE2B296" w14:textId="77777777" w:rsidR="00A769CA" w:rsidRDefault="008D3F3B">
      <w:pPr>
        <w:spacing w:line="360" w:lineRule="auto"/>
        <w:jc w:val="center"/>
        <w:rPr>
          <w:sz w:val="24"/>
          <w:szCs w:val="24"/>
        </w:rPr>
      </w:pPr>
      <w:r>
        <w:rPr>
          <w:sz w:val="24"/>
          <w:szCs w:val="24"/>
        </w:rPr>
        <w:t>Source: Self-made</w:t>
      </w:r>
    </w:p>
    <w:p w14:paraId="2FEA03BA" w14:textId="77777777" w:rsidR="00A769CA" w:rsidRDefault="008D3F3B">
      <w:pPr>
        <w:spacing w:line="360" w:lineRule="auto"/>
        <w:jc w:val="both"/>
        <w:rPr>
          <w:sz w:val="24"/>
          <w:szCs w:val="24"/>
        </w:rPr>
      </w:pPr>
      <w:r>
        <w:rPr>
          <w:sz w:val="24"/>
          <w:szCs w:val="24"/>
        </w:rPr>
        <w:t xml:space="preserve">In the above figure, the 8-week work timeline for the present research is diagrammatically illustrated with the help of the Gantt chart. </w:t>
      </w:r>
    </w:p>
    <w:p w14:paraId="3F9DCB3D" w14:textId="77777777" w:rsidR="00A769CA" w:rsidRDefault="008D3F3B">
      <w:pPr>
        <w:pStyle w:val="Heading2"/>
        <w:spacing w:after="240"/>
      </w:pPr>
      <w:bookmarkStart w:id="39" w:name="_heading=h.65tlswg6ye9u" w:colFirst="0" w:colLast="0"/>
      <w:bookmarkEnd w:id="39"/>
      <w:r>
        <w:t>3.8 Data Analysis</w:t>
      </w:r>
    </w:p>
    <w:p w14:paraId="238AC6BE" w14:textId="77777777" w:rsidR="00A769CA" w:rsidRDefault="008D3F3B">
      <w:pPr>
        <w:pBdr>
          <w:top w:val="nil"/>
          <w:left w:val="nil"/>
          <w:bottom w:val="nil"/>
          <w:right w:val="nil"/>
          <w:between w:val="nil"/>
        </w:pBdr>
        <w:spacing w:before="240" w:after="240" w:line="360" w:lineRule="auto"/>
        <w:jc w:val="both"/>
        <w:rPr>
          <w:sz w:val="24"/>
          <w:szCs w:val="24"/>
        </w:rPr>
      </w:pPr>
      <w:r>
        <w:rPr>
          <w:sz w:val="24"/>
          <w:szCs w:val="24"/>
        </w:rPr>
        <w:t xml:space="preserve">Data analysis is the process of converting data to obtain valuable evidence, by systematically collecting, cleansing, transforming and modelling the data (Ahuja, Singh and Simon, 2024). The thematic analysis was chosen in this paper because other methods like diagnostic, prescriptive and predictive analytics were inappropriate since they would end up misinterpreting causality, expensive implementation process and data bias issues. That is why thematic analysis was the most suitable choice to </w:t>
      </w:r>
      <w:r>
        <w:rPr>
          <w:sz w:val="24"/>
          <w:szCs w:val="24"/>
        </w:rPr>
        <w:lastRenderedPageBreak/>
        <w:t>arrange and analyse qualitative secondary data (</w:t>
      </w:r>
      <w:proofErr w:type="spellStart"/>
      <w:r>
        <w:rPr>
          <w:sz w:val="24"/>
          <w:szCs w:val="24"/>
        </w:rPr>
        <w:t>Lochmiller</w:t>
      </w:r>
      <w:proofErr w:type="spellEnd"/>
      <w:r>
        <w:rPr>
          <w:sz w:val="24"/>
          <w:szCs w:val="24"/>
        </w:rPr>
        <w:t xml:space="preserve">, 2021). The analysis in the present study was conducted based on the six-step framework, outlined by Braun and Clarke, the first step was familiarisation: all the gathered sources were read thoroughly to get the context and content. This was succeeded by first coding where pertinent segments that were related to the research objectives were marked. These codes were clustered together in the theme development stage to determine patterns that were in </w:t>
      </w:r>
      <w:r>
        <w:rPr>
          <w:sz w:val="24"/>
          <w:szCs w:val="24"/>
        </w:rPr>
        <w:t>common across data sets. The reviewing themes phase consisted in the refining and restructuring of these initial themes so that they make sense and are in line with the research questions. After that, themes were defined and named which assisted in clarifying the contribution of each theme to the analytic process. Lastly, the themes were summarized in a logical story that made comparisons of concepts, interpreted meanings and spawned insights. Such a process allowed flexibility, was conducive to the interpr</w:t>
      </w:r>
      <w:r>
        <w:rPr>
          <w:sz w:val="24"/>
          <w:szCs w:val="24"/>
        </w:rPr>
        <w:t xml:space="preserve">etivist philosophy that was used to guide the </w:t>
      </w:r>
      <w:proofErr w:type="gramStart"/>
      <w:r>
        <w:rPr>
          <w:sz w:val="24"/>
          <w:szCs w:val="24"/>
        </w:rPr>
        <w:t>research, and</w:t>
      </w:r>
      <w:proofErr w:type="gramEnd"/>
      <w:r>
        <w:rPr>
          <w:sz w:val="24"/>
          <w:szCs w:val="24"/>
        </w:rPr>
        <w:t xml:space="preserve"> facilitated the ability to evaluate the non-numerical data in a structured but flexible manner.</w:t>
      </w:r>
    </w:p>
    <w:p w14:paraId="1DF729DD" w14:textId="77777777" w:rsidR="00A769CA" w:rsidRDefault="008D3F3B">
      <w:pPr>
        <w:pStyle w:val="Heading2"/>
        <w:spacing w:after="240"/>
      </w:pPr>
      <w:bookmarkStart w:id="40" w:name="_heading=h.9swvhwxksffy" w:colFirst="0" w:colLast="0"/>
      <w:bookmarkEnd w:id="40"/>
      <w:r>
        <w:t>3.9 Ethical Considerations</w:t>
      </w:r>
    </w:p>
    <w:p w14:paraId="2E0DB7A9"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000000"/>
          <w:sz w:val="24"/>
          <w:szCs w:val="24"/>
        </w:rPr>
        <w:t xml:space="preserve">The considerations of ethical principles and values act as moral guidelines which ensure the integrity and responsible conduct of research (Hasan </w:t>
      </w:r>
      <w:r>
        <w:rPr>
          <w:i/>
          <w:iCs/>
          <w:color w:val="000000"/>
          <w:sz w:val="24"/>
          <w:szCs w:val="24"/>
        </w:rPr>
        <w:t>et al.</w:t>
      </w:r>
      <w:r>
        <w:rPr>
          <w:color w:val="000000"/>
          <w:sz w:val="24"/>
          <w:szCs w:val="24"/>
        </w:rPr>
        <w:t xml:space="preserve"> 2021). The use of sound ethics has value in academic explorations because it ensures honesty in reporting the findings, greater transparency and objectivity. These are some fundamental principles and moral values which were applied in this study. They have not only ensured the authenticity of the findings but also have shaped the process of using data to address the research questions and adequately achieve the objectives. The absence of moral values and ethics in this study could have led to potenti</w:t>
      </w:r>
      <w:r>
        <w:rPr>
          <w:color w:val="000000"/>
          <w:sz w:val="24"/>
          <w:szCs w:val="24"/>
        </w:rPr>
        <w:t xml:space="preserve">al bias and questioned the integrity of the overall research. Therefore, </w:t>
      </w:r>
      <w:proofErr w:type="gramStart"/>
      <w:r>
        <w:rPr>
          <w:color w:val="000000"/>
          <w:sz w:val="24"/>
          <w:szCs w:val="24"/>
        </w:rPr>
        <w:t>in order to</w:t>
      </w:r>
      <w:proofErr w:type="gramEnd"/>
      <w:r>
        <w:rPr>
          <w:color w:val="000000"/>
          <w:sz w:val="24"/>
          <w:szCs w:val="24"/>
        </w:rPr>
        <w:t xml:space="preserve"> prove that the present study is credible, sound ethical practices were implemented which enhanced trustworthiness, validity and reliability. As such, the present study has utilised and collected secondary data only from those journals, articles, newspaper agencies and websites which are freely accessible. The information from sources which needed additional permission and money to purchase was not used in this study. This w</w:t>
      </w:r>
      <w:r>
        <w:rPr>
          <w:color w:val="000000"/>
          <w:sz w:val="24"/>
          <w:szCs w:val="24"/>
        </w:rPr>
        <w:t xml:space="preserve">as intentionally done to prevent the violation of intellectual property rights. Again, while using secondary data from different academic, literary and press media </w:t>
      </w:r>
      <w:r>
        <w:rPr>
          <w:color w:val="000000"/>
          <w:sz w:val="24"/>
          <w:szCs w:val="24"/>
        </w:rPr>
        <w:lastRenderedPageBreak/>
        <w:t xml:space="preserve">sources, the proper referencing tools accompanied by in-text citations were also used. This was done to prevent obligations of plagiarism charges from affecting this study </w:t>
      </w:r>
      <w:proofErr w:type="gramStart"/>
      <w:r>
        <w:rPr>
          <w:color w:val="000000"/>
          <w:sz w:val="24"/>
          <w:szCs w:val="24"/>
        </w:rPr>
        <w:t>and also</w:t>
      </w:r>
      <w:proofErr w:type="gramEnd"/>
      <w:r>
        <w:rPr>
          <w:color w:val="000000"/>
          <w:sz w:val="24"/>
          <w:szCs w:val="24"/>
        </w:rPr>
        <w:t xml:space="preserve"> to express gratitude towards previous scholars and research agencies. Furthermore, the secondary data obtained from multiple sources was also reported fully and transp</w:t>
      </w:r>
      <w:r>
        <w:rPr>
          <w:color w:val="000000"/>
          <w:sz w:val="24"/>
          <w:szCs w:val="24"/>
        </w:rPr>
        <w:t>arently. This was done to prevent unethical academic conduct, such as selective reporting, from adversely affecting the research with bias. Moreover, in the process of selecting secondary data, information published and updated in the last five years was given preference. This was done to ensure accuracy in the research findings. Lastly, the present research has also considered those journals, infographics, news and associated websites which were published in the English language. Therefore, sound ethical a</w:t>
      </w:r>
      <w:r>
        <w:rPr>
          <w:color w:val="000000"/>
          <w:sz w:val="24"/>
          <w:szCs w:val="24"/>
        </w:rPr>
        <w:t xml:space="preserve">nd moral values were overall followed throughout the process of conducting the study. Additionally, the </w:t>
      </w:r>
      <w:r>
        <w:rPr>
          <w:sz w:val="24"/>
          <w:szCs w:val="24"/>
        </w:rPr>
        <w:t>represent</w:t>
      </w:r>
      <w:r>
        <w:rPr>
          <w:color w:val="000000"/>
          <w:sz w:val="24"/>
          <w:szCs w:val="24"/>
        </w:rPr>
        <w:t xml:space="preserve"> study has also stored the chosen </w:t>
      </w:r>
      <w:r>
        <w:rPr>
          <w:sz w:val="24"/>
          <w:szCs w:val="24"/>
        </w:rPr>
        <w:t>academic</w:t>
      </w:r>
      <w:r>
        <w:rPr>
          <w:color w:val="000000"/>
          <w:sz w:val="24"/>
          <w:szCs w:val="24"/>
        </w:rPr>
        <w:t xml:space="preserve"> </w:t>
      </w:r>
      <w:r>
        <w:rPr>
          <w:sz w:val="24"/>
          <w:szCs w:val="24"/>
        </w:rPr>
        <w:t>journals and</w:t>
      </w:r>
      <w:r>
        <w:rPr>
          <w:color w:val="000000"/>
          <w:sz w:val="24"/>
          <w:szCs w:val="24"/>
        </w:rPr>
        <w:t xml:space="preserve"> </w:t>
      </w:r>
      <w:r>
        <w:rPr>
          <w:sz w:val="24"/>
          <w:szCs w:val="24"/>
        </w:rPr>
        <w:t>articles</w:t>
      </w:r>
      <w:r>
        <w:rPr>
          <w:color w:val="000000"/>
          <w:sz w:val="24"/>
          <w:szCs w:val="24"/>
        </w:rPr>
        <w:t xml:space="preserve"> in the OneDrive data storage which </w:t>
      </w:r>
      <w:r>
        <w:rPr>
          <w:sz w:val="24"/>
          <w:szCs w:val="24"/>
        </w:rPr>
        <w:t>has fulfilled the requirements of the University. It is important to note that the CASP tool ensured that the selected literary sources in this research are dependable with confirmed insights to analyse and draw conclusions in this study. As such the conclusions drawn from this study can be replica</w:t>
      </w:r>
      <w:r>
        <w:rPr>
          <w:sz w:val="24"/>
          <w:szCs w:val="24"/>
        </w:rPr>
        <w:t xml:space="preserve">ted which implies that the transferability criteria </w:t>
      </w:r>
      <w:proofErr w:type="gramStart"/>
      <w:r>
        <w:rPr>
          <w:sz w:val="24"/>
          <w:szCs w:val="24"/>
        </w:rPr>
        <w:t>is</w:t>
      </w:r>
      <w:proofErr w:type="gramEnd"/>
      <w:r>
        <w:rPr>
          <w:sz w:val="24"/>
          <w:szCs w:val="24"/>
        </w:rPr>
        <w:t xml:space="preserve"> achieved. This further ensures the trustworthiness of this research. </w:t>
      </w:r>
    </w:p>
    <w:p w14:paraId="5F4BA6F5" w14:textId="77777777" w:rsidR="00A769CA" w:rsidRDefault="008D3F3B">
      <w:pPr>
        <w:pStyle w:val="Heading2"/>
        <w:spacing w:after="240"/>
      </w:pPr>
      <w:bookmarkStart w:id="41" w:name="_heading=h.h48zadcgg53d" w:colFirst="0" w:colLast="0"/>
      <w:bookmarkEnd w:id="41"/>
      <w:r>
        <w:t xml:space="preserve">3.10 Conclusion </w:t>
      </w:r>
    </w:p>
    <w:p w14:paraId="7450F9AA"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000000"/>
          <w:sz w:val="24"/>
          <w:szCs w:val="24"/>
        </w:rPr>
        <w:t>The present chapter has highlighted and justified the use of interpretivism philosophy, inductive approach, qualitative method and descriptive design in this research. Additionally, secondary data was collected from a variety of sources to incorporate multiple perspectives and insights regarding SRM's effect on supply chain performance in the manufacturing sector. Furthermore, thematic data analysis paved the way for examining and evaluating the secondary data so that the research objectives can be achieved</w:t>
      </w:r>
      <w:r>
        <w:rPr>
          <w:color w:val="000000"/>
          <w:sz w:val="24"/>
          <w:szCs w:val="24"/>
        </w:rPr>
        <w:t xml:space="preserve">. The different activities which were implemented in this research to ensure sound moral ethics and generate authentic findings were also discussed in detail in this chapter. Overall, this chapter has elaborately discussed and justified the choice of different methodological tools which were used in conducting the research. </w:t>
      </w:r>
    </w:p>
    <w:p w14:paraId="6186E7D7" w14:textId="77777777" w:rsidR="00A769CA" w:rsidRDefault="00A769CA">
      <w:pPr>
        <w:pStyle w:val="Heading1"/>
      </w:pPr>
      <w:bookmarkStart w:id="42" w:name="_heading=h.hn82b3q4z4xm" w:colFirst="0" w:colLast="0"/>
      <w:bookmarkEnd w:id="42"/>
    </w:p>
    <w:p w14:paraId="0F791154" w14:textId="77777777" w:rsidR="00A769CA" w:rsidRDefault="008D3F3B">
      <w:pPr>
        <w:pStyle w:val="Heading1"/>
        <w:keepNext/>
        <w:keepLines/>
      </w:pPr>
      <w:bookmarkStart w:id="43" w:name="_heading=h.iebhfsx8jel9" w:colFirst="0" w:colLast="0"/>
      <w:bookmarkEnd w:id="43"/>
      <w:r>
        <w:lastRenderedPageBreak/>
        <w:t>CHAPTER 4: FINDINGS / RESULTS, ANALYSIS AND DISCUSSION</w:t>
      </w:r>
    </w:p>
    <w:p w14:paraId="329A7E69" w14:textId="77777777" w:rsidR="00A769CA" w:rsidRDefault="008D3F3B">
      <w:pPr>
        <w:pStyle w:val="Heading2"/>
        <w:spacing w:before="0" w:after="240"/>
        <w:rPr>
          <w:i w:val="0"/>
          <w:iCs w:val="0"/>
        </w:rPr>
      </w:pPr>
      <w:bookmarkStart w:id="44" w:name="_heading=h.y63qkk5wz5yf" w:colFirst="0" w:colLast="0"/>
      <w:bookmarkEnd w:id="44"/>
      <w:r>
        <w:rPr>
          <w:i w:val="0"/>
          <w:iCs w:val="0"/>
        </w:rPr>
        <w:t>4.1 Chapter Introduction</w:t>
      </w:r>
    </w:p>
    <w:p w14:paraId="6BF05324" w14:textId="77777777" w:rsidR="00A769CA" w:rsidRDefault="008D3F3B">
      <w:pPr>
        <w:pBdr>
          <w:top w:val="nil"/>
          <w:left w:val="nil"/>
          <w:bottom w:val="nil"/>
          <w:right w:val="nil"/>
          <w:between w:val="nil"/>
        </w:pBdr>
        <w:spacing w:after="240" w:line="360" w:lineRule="auto"/>
        <w:jc w:val="both"/>
        <w:rPr>
          <w:color w:val="000000"/>
          <w:sz w:val="24"/>
          <w:szCs w:val="24"/>
        </w:rPr>
      </w:pPr>
      <w:r>
        <w:rPr>
          <w:color w:val="000000"/>
          <w:sz w:val="24"/>
          <w:szCs w:val="24"/>
        </w:rPr>
        <w:t xml:space="preserve">The present section of the study has primarily focused on the exhibition of the secondary data regarding the effects of SRM on supply chain performance in the manufacturing sector. The presentation of the secondary data is necessary so that relevant findings can be distinguished from one another </w:t>
      </w:r>
      <w:proofErr w:type="gramStart"/>
      <w:r>
        <w:rPr>
          <w:color w:val="000000"/>
          <w:sz w:val="24"/>
          <w:szCs w:val="24"/>
        </w:rPr>
        <w:t>and also</w:t>
      </w:r>
      <w:proofErr w:type="gramEnd"/>
      <w:r>
        <w:rPr>
          <w:color w:val="000000"/>
          <w:sz w:val="24"/>
          <w:szCs w:val="24"/>
        </w:rPr>
        <w:t xml:space="preserve"> analysed accordingly. This chapter first summarises and presents the findings on </w:t>
      </w:r>
      <w:proofErr w:type="gramStart"/>
      <w:r>
        <w:rPr>
          <w:color w:val="000000"/>
          <w:sz w:val="24"/>
          <w:szCs w:val="24"/>
        </w:rPr>
        <w:t>SRM</w:t>
      </w:r>
      <w:proofErr w:type="gramEnd"/>
      <w:r>
        <w:rPr>
          <w:color w:val="000000"/>
          <w:sz w:val="24"/>
          <w:szCs w:val="24"/>
        </w:rPr>
        <w:t xml:space="preserve"> and supply chain performance based on the different themes addressed in the literature review section. Next, the results of the secondary data are also analysed in this chapter. Furthermore, the findings are also discussed by comparing them with the opinions of scholars and previous researchers as covered in the literature review section. This is done based on the themes to ensure the thematic analysis of the secon</w:t>
      </w:r>
      <w:r>
        <w:rPr>
          <w:color w:val="000000"/>
          <w:sz w:val="24"/>
          <w:szCs w:val="24"/>
        </w:rPr>
        <w:t xml:space="preserve">dary data. </w:t>
      </w:r>
    </w:p>
    <w:p w14:paraId="7DB2737A" w14:textId="77777777" w:rsidR="00A769CA" w:rsidRDefault="008D3F3B">
      <w:pPr>
        <w:pStyle w:val="Heading2"/>
        <w:spacing w:before="0" w:after="240"/>
        <w:rPr>
          <w:i w:val="0"/>
          <w:iCs w:val="0"/>
        </w:rPr>
      </w:pPr>
      <w:bookmarkStart w:id="45" w:name="_heading=h.kq2k54sh98da" w:colFirst="0" w:colLast="0"/>
      <w:bookmarkEnd w:id="45"/>
      <w:r>
        <w:rPr>
          <w:i w:val="0"/>
          <w:iCs w:val="0"/>
        </w:rPr>
        <w:t>4.2 Summary / Presentation of Findings / Results</w:t>
      </w:r>
    </w:p>
    <w:p w14:paraId="420502A3" w14:textId="77777777" w:rsidR="00A769CA" w:rsidRDefault="008D3F3B">
      <w:pPr>
        <w:pStyle w:val="Heading3"/>
        <w:spacing w:before="0" w:after="240"/>
        <w:rPr>
          <w:color w:val="000000"/>
        </w:rPr>
      </w:pPr>
      <w:bookmarkStart w:id="46" w:name="_heading=h.grj5h289ighj" w:colFirst="0" w:colLast="0"/>
      <w:bookmarkEnd w:id="46"/>
      <w:r>
        <w:rPr>
          <w:color w:val="000000"/>
        </w:rPr>
        <w:t>4.2.1 Strategic SRM in the Manufacturing Sector</w:t>
      </w:r>
    </w:p>
    <w:p w14:paraId="5542EFAB" w14:textId="77777777" w:rsidR="00A769CA" w:rsidRDefault="008D3F3B">
      <w:pPr>
        <w:pBdr>
          <w:top w:val="nil"/>
          <w:left w:val="nil"/>
          <w:bottom w:val="nil"/>
          <w:right w:val="nil"/>
          <w:between w:val="nil"/>
        </w:pBdr>
        <w:spacing w:after="240" w:line="360" w:lineRule="auto"/>
        <w:jc w:val="both"/>
        <w:rPr>
          <w:color w:val="000000"/>
          <w:sz w:val="24"/>
          <w:szCs w:val="24"/>
        </w:rPr>
      </w:pPr>
      <w:r>
        <w:rPr>
          <w:color w:val="000000"/>
          <w:sz w:val="24"/>
          <w:szCs w:val="24"/>
        </w:rPr>
        <w:t xml:space="preserve">The systematic management and improvement of partnerships with key suppliers for the creation of mutual value and risk mitigation is called strategic SRM (Vaandrager, 2024). This approach extends beyond transactional relationships by focusing on beneficial partnerships and collaborations in the long term, which drive innovation </w:t>
      </w:r>
      <w:proofErr w:type="gramStart"/>
      <w:r>
        <w:rPr>
          <w:color w:val="000000"/>
          <w:sz w:val="24"/>
          <w:szCs w:val="24"/>
        </w:rPr>
        <w:t>and also</w:t>
      </w:r>
      <w:proofErr w:type="gramEnd"/>
      <w:r>
        <w:rPr>
          <w:color w:val="000000"/>
          <w:sz w:val="24"/>
          <w:szCs w:val="24"/>
        </w:rPr>
        <w:t xml:space="preserve"> ensure supply chain resilience while optimising costs. The segmentation of suppliers, risk management, open communication and evaluating performance are necessary for the achievement of shared goals (Ikonen, 2025). The strategic division of suppliers in the manufacturing sector is based on their individual importance. In this context, it is vital to understand and identify which suppliers in the manufacturing supply chain need deeper collaboration. However, The Guardian (2021) has reported that Bri</w:t>
      </w:r>
      <w:r>
        <w:rPr>
          <w:color w:val="000000"/>
          <w:sz w:val="24"/>
          <w:szCs w:val="24"/>
        </w:rPr>
        <w:t xml:space="preserve">tain's factories in the manufacturing sector are struggling to meet the record demands for goods and services because of severe supply chain constraints. The newspaper has also reported that, as per the Confederation of British Industry (CBI), manufacturers were running down their stock of finished goods to meet the strongest order books. Therefore, the segmentation of suppliers is necessary as part of the SRM </w:t>
      </w:r>
      <w:r>
        <w:rPr>
          <w:color w:val="000000"/>
          <w:sz w:val="24"/>
          <w:szCs w:val="24"/>
        </w:rPr>
        <w:lastRenderedPageBreak/>
        <w:t xml:space="preserve">to mitigate risks. According to </w:t>
      </w:r>
      <w:proofErr w:type="spellStart"/>
      <w:r>
        <w:rPr>
          <w:color w:val="000000"/>
          <w:sz w:val="24"/>
          <w:szCs w:val="24"/>
        </w:rPr>
        <w:t>Hajarath</w:t>
      </w:r>
      <w:proofErr w:type="spellEnd"/>
      <w:r>
        <w:rPr>
          <w:color w:val="000000"/>
          <w:sz w:val="24"/>
          <w:szCs w:val="24"/>
        </w:rPr>
        <w:t xml:space="preserve"> and Vummadi (2024), the proactive identification and miti</w:t>
      </w:r>
      <w:r>
        <w:rPr>
          <w:color w:val="000000"/>
          <w:sz w:val="24"/>
          <w:szCs w:val="24"/>
        </w:rPr>
        <w:t xml:space="preserve">gation of risks in the supply chain is necessary to achieve supply chain resilience. As such, strategic SRM involves the monitoring of external factors such as market conditions. This is necessary to prevent disruptions and shortages of intermediate goods and raw materials, such as labour, in the manufacturing sector. The application of strategic SRM in the manufacturing sector is also necessary so that it is possible to prevent unforeseen disruptions. </w:t>
      </w:r>
    </w:p>
    <w:p w14:paraId="03F165C4" w14:textId="77777777" w:rsidR="00A769CA" w:rsidRDefault="008D3F3B">
      <w:pPr>
        <w:keepNext/>
        <w:pBdr>
          <w:top w:val="nil"/>
          <w:left w:val="nil"/>
          <w:bottom w:val="nil"/>
          <w:right w:val="nil"/>
          <w:between w:val="nil"/>
        </w:pBdr>
        <w:spacing w:after="240" w:line="360" w:lineRule="auto"/>
        <w:jc w:val="center"/>
      </w:pPr>
      <w:r>
        <w:rPr>
          <w:noProof/>
          <w:color w:val="000000"/>
          <w:sz w:val="24"/>
          <w:szCs w:val="24"/>
        </w:rPr>
        <w:drawing>
          <wp:inline distT="114300" distB="114300" distL="114300" distR="114300" wp14:anchorId="1998BC32" wp14:editId="13788283">
            <wp:extent cx="4119511" cy="3113584"/>
            <wp:effectExtent l="0" t="0" r="0" b="0"/>
            <wp:docPr id="3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7"/>
                    <a:srcRect/>
                    <a:stretch>
                      <a:fillRect/>
                    </a:stretch>
                  </pic:blipFill>
                  <pic:spPr>
                    <a:xfrm>
                      <a:off x="0" y="0"/>
                      <a:ext cx="4119511" cy="3113584"/>
                    </a:xfrm>
                    <a:prstGeom prst="rect">
                      <a:avLst/>
                    </a:prstGeom>
                    <a:ln/>
                  </pic:spPr>
                </pic:pic>
              </a:graphicData>
            </a:graphic>
          </wp:inline>
        </w:drawing>
      </w:r>
    </w:p>
    <w:p w14:paraId="5ED9C03B" w14:textId="77777777" w:rsidR="00A769CA" w:rsidRDefault="008D3F3B">
      <w:pPr>
        <w:pBdr>
          <w:top w:val="nil"/>
          <w:left w:val="nil"/>
          <w:bottom w:val="nil"/>
          <w:right w:val="nil"/>
          <w:between w:val="nil"/>
        </w:pBdr>
        <w:spacing w:after="200" w:line="360" w:lineRule="auto"/>
        <w:jc w:val="center"/>
        <w:rPr>
          <w:b/>
          <w:bCs/>
          <w:color w:val="000000"/>
          <w:sz w:val="24"/>
          <w:szCs w:val="24"/>
        </w:rPr>
      </w:pPr>
      <w:bookmarkStart w:id="47" w:name="_heading=h.o1v9gnlioq1t" w:colFirst="0" w:colLast="0"/>
      <w:bookmarkEnd w:id="47"/>
      <w:r>
        <w:rPr>
          <w:b/>
          <w:bCs/>
          <w:color w:val="1F497D"/>
          <w:sz w:val="24"/>
          <w:szCs w:val="24"/>
        </w:rPr>
        <w:t>Figure 10: Effects of the COVID-19 pandemic on Supply Chain Delay in Businesses</w:t>
      </w:r>
    </w:p>
    <w:p w14:paraId="62B081D4" w14:textId="77777777" w:rsidR="00A769CA" w:rsidRDefault="008D3F3B">
      <w:pPr>
        <w:pBdr>
          <w:top w:val="nil"/>
          <w:left w:val="nil"/>
          <w:bottom w:val="nil"/>
          <w:right w:val="nil"/>
          <w:between w:val="nil"/>
        </w:pBdr>
        <w:spacing w:after="240" w:line="360" w:lineRule="auto"/>
        <w:jc w:val="center"/>
        <w:rPr>
          <w:color w:val="000000"/>
          <w:sz w:val="24"/>
          <w:szCs w:val="24"/>
        </w:rPr>
      </w:pPr>
      <w:r>
        <w:rPr>
          <w:b/>
          <w:bCs/>
          <w:color w:val="000000"/>
          <w:sz w:val="24"/>
          <w:szCs w:val="24"/>
        </w:rPr>
        <w:t>Source:</w:t>
      </w:r>
      <w:r>
        <w:rPr>
          <w:color w:val="000000"/>
          <w:sz w:val="24"/>
          <w:szCs w:val="24"/>
        </w:rPr>
        <w:t xml:space="preserve"> (Statista, 2020)</w:t>
      </w:r>
    </w:p>
    <w:p w14:paraId="28719F86" w14:textId="77777777" w:rsidR="00A769CA" w:rsidRDefault="008D3F3B">
      <w:pPr>
        <w:pBdr>
          <w:top w:val="nil"/>
          <w:left w:val="nil"/>
          <w:bottom w:val="nil"/>
          <w:right w:val="nil"/>
          <w:between w:val="nil"/>
        </w:pBdr>
        <w:spacing w:after="240" w:line="360" w:lineRule="auto"/>
        <w:jc w:val="both"/>
        <w:rPr>
          <w:color w:val="000000"/>
          <w:sz w:val="24"/>
          <w:szCs w:val="24"/>
        </w:rPr>
      </w:pPr>
      <w:r>
        <w:rPr>
          <w:color w:val="000000"/>
          <w:sz w:val="24"/>
          <w:szCs w:val="24"/>
        </w:rPr>
        <w:t xml:space="preserve">In the above figure, the impacts of the pandemic on the delays in the supply chain for business are illustrated with histograms by considering the opinions of respondents. The highest number of 47.3% respondents has supported it to be less than four weeks, whereas 31.08% respondents have considered it to be between 4 and 6 weeks (Statista, 2020). Therefore, </w:t>
      </w:r>
      <w:proofErr w:type="gramStart"/>
      <w:r>
        <w:rPr>
          <w:color w:val="000000"/>
          <w:sz w:val="24"/>
          <w:szCs w:val="24"/>
        </w:rPr>
        <w:t>the majority of</w:t>
      </w:r>
      <w:proofErr w:type="gramEnd"/>
      <w:r>
        <w:rPr>
          <w:color w:val="000000"/>
          <w:sz w:val="24"/>
          <w:szCs w:val="24"/>
        </w:rPr>
        <w:t xml:space="preserve"> the respondents in the study conducted by the Statista publishing house have exhibited deep concerns for supply chain delays owing to the pandemic. This implies the need for applying strategic SRM to overcome the disruptive effects of unforeseen incidents such as COVID-19.</w:t>
      </w:r>
    </w:p>
    <w:p w14:paraId="2A0194AC" w14:textId="77777777" w:rsidR="00A769CA" w:rsidRDefault="008D3F3B">
      <w:pPr>
        <w:pBdr>
          <w:top w:val="nil"/>
          <w:left w:val="nil"/>
          <w:bottom w:val="nil"/>
          <w:right w:val="nil"/>
          <w:between w:val="nil"/>
        </w:pBdr>
        <w:spacing w:after="240" w:line="360" w:lineRule="auto"/>
        <w:jc w:val="both"/>
        <w:rPr>
          <w:color w:val="000000"/>
          <w:sz w:val="24"/>
          <w:szCs w:val="24"/>
        </w:rPr>
      </w:pPr>
      <w:r>
        <w:rPr>
          <w:color w:val="000000"/>
          <w:sz w:val="24"/>
          <w:szCs w:val="24"/>
        </w:rPr>
        <w:lastRenderedPageBreak/>
        <w:t xml:space="preserve">Again, strategic SRM is also necessary for innovation and value optimisation (Grant, 2024). This is because strategic SRM entails the encouragement of joint initiatives with suppliers for the development of new products. Even existing commodities produced by the manufacturing sector can be improved with the joint initiatives of strategic SRM, thereby leading to the creation of more efficient processes. </w:t>
      </w:r>
    </w:p>
    <w:p w14:paraId="19B15EC8" w14:textId="77777777" w:rsidR="00A769CA" w:rsidRDefault="008D3F3B">
      <w:pPr>
        <w:pStyle w:val="Heading3"/>
        <w:spacing w:before="0" w:after="240"/>
        <w:rPr>
          <w:color w:val="000000"/>
        </w:rPr>
      </w:pPr>
      <w:bookmarkStart w:id="48" w:name="_heading=h.cxrh8nb7s56d" w:colFirst="0" w:colLast="0"/>
      <w:bookmarkEnd w:id="48"/>
      <w:r>
        <w:rPr>
          <w:color w:val="000000"/>
        </w:rPr>
        <w:t>4.2.2 Effects of SRM on Supply Chain Performance indicators (efficiency, flexibility, customer satisfaction)</w:t>
      </w:r>
    </w:p>
    <w:p w14:paraId="448DDF65" w14:textId="77777777" w:rsidR="00A769CA" w:rsidRDefault="008D3F3B">
      <w:pPr>
        <w:pBdr>
          <w:top w:val="nil"/>
          <w:left w:val="nil"/>
          <w:bottom w:val="nil"/>
          <w:right w:val="nil"/>
          <w:between w:val="nil"/>
        </w:pBdr>
        <w:spacing w:after="240" w:line="360" w:lineRule="auto"/>
        <w:jc w:val="both"/>
        <w:rPr>
          <w:color w:val="000000"/>
          <w:sz w:val="24"/>
          <w:szCs w:val="24"/>
        </w:rPr>
      </w:pPr>
      <w:r>
        <w:rPr>
          <w:color w:val="000000"/>
          <w:sz w:val="24"/>
          <w:szCs w:val="24"/>
        </w:rPr>
        <w:t xml:space="preserve">SRM has emerged as a strategic concern of companies that want to improve the overall performance of their supply chains in an </w:t>
      </w:r>
      <w:proofErr w:type="gramStart"/>
      <w:r>
        <w:rPr>
          <w:color w:val="000000"/>
          <w:sz w:val="24"/>
          <w:szCs w:val="24"/>
        </w:rPr>
        <w:t>ever-competitive</w:t>
      </w:r>
      <w:proofErr w:type="gramEnd"/>
      <w:r>
        <w:rPr>
          <w:color w:val="000000"/>
          <w:sz w:val="24"/>
          <w:szCs w:val="24"/>
        </w:rPr>
        <w:t xml:space="preserve"> and volatile market. SRM is the structured process of assessing, building, and working with suppliers </w:t>
      </w:r>
      <w:proofErr w:type="gramStart"/>
      <w:r>
        <w:rPr>
          <w:color w:val="000000"/>
          <w:sz w:val="24"/>
          <w:szCs w:val="24"/>
        </w:rPr>
        <w:t>in order to</w:t>
      </w:r>
      <w:proofErr w:type="gramEnd"/>
      <w:r>
        <w:rPr>
          <w:color w:val="000000"/>
          <w:sz w:val="24"/>
          <w:szCs w:val="24"/>
        </w:rPr>
        <w:t xml:space="preserve"> generate maximum value. It has a significant presence in three of the key performance indicators of the manufacturing supply chain, including efficiency, flexibility and customer satisfaction.</w:t>
      </w:r>
    </w:p>
    <w:p w14:paraId="11BFFD23" w14:textId="77777777" w:rsidR="00A769CA" w:rsidRDefault="008D3F3B">
      <w:pPr>
        <w:pBdr>
          <w:top w:val="nil"/>
          <w:left w:val="nil"/>
          <w:bottom w:val="nil"/>
          <w:right w:val="nil"/>
          <w:between w:val="nil"/>
        </w:pBdr>
        <w:spacing w:after="240" w:line="360" w:lineRule="auto"/>
        <w:jc w:val="both"/>
        <w:rPr>
          <w:color w:val="000000"/>
          <w:sz w:val="24"/>
          <w:szCs w:val="24"/>
        </w:rPr>
      </w:pPr>
      <w:r>
        <w:rPr>
          <w:color w:val="000000"/>
          <w:sz w:val="24"/>
          <w:szCs w:val="24"/>
        </w:rPr>
        <w:t>To start with, SRM greatly enhances the efficiency of the supply chain. Through effective communication and coordination of manufacturers and suppliers, firms have better insights into the procurement activities, lead time and capacity constraints (</w:t>
      </w:r>
      <w:proofErr w:type="spellStart"/>
      <w:r>
        <w:rPr>
          <w:color w:val="000000"/>
          <w:sz w:val="24"/>
          <w:szCs w:val="24"/>
        </w:rPr>
        <w:t>Chenini</w:t>
      </w:r>
      <w:proofErr w:type="spellEnd"/>
      <w:r>
        <w:rPr>
          <w:color w:val="000000"/>
          <w:sz w:val="24"/>
          <w:szCs w:val="24"/>
        </w:rPr>
        <w:t xml:space="preserve"> </w:t>
      </w:r>
      <w:r>
        <w:rPr>
          <w:i/>
          <w:iCs/>
          <w:color w:val="000000"/>
          <w:sz w:val="24"/>
          <w:szCs w:val="24"/>
        </w:rPr>
        <w:t>et al.</w:t>
      </w:r>
      <w:r>
        <w:rPr>
          <w:color w:val="000000"/>
          <w:sz w:val="24"/>
          <w:szCs w:val="24"/>
        </w:rPr>
        <w:t xml:space="preserve"> 2021). Such transparency minimises the information asymmetry, which allows making more precise predictions, conducting more efficient manufacturing operations and reducing inventory holding costs. Best SRM practices, including collective planning, performance review sessions or meetings, and engaging suppliers early, also enable the firm to eliminate redundancies and find cost-saving opportunities (Bennett, 2023). Also, the strategic alliances stimulate the suppliers to invest in process inno</w:t>
      </w:r>
      <w:r>
        <w:rPr>
          <w:color w:val="000000"/>
          <w:sz w:val="24"/>
          <w:szCs w:val="24"/>
        </w:rPr>
        <w:t>vations or upgrades in technology to increase reliability in production. These efficiency increases lead to the reduction in operation costs and time of throughput that is vital in ensuring that one remains competitive in price-sensitive markets.</w:t>
      </w:r>
    </w:p>
    <w:p w14:paraId="0D5EDA38" w14:textId="77777777" w:rsidR="00A769CA" w:rsidRDefault="008D3F3B">
      <w:pPr>
        <w:pBdr>
          <w:top w:val="nil"/>
          <w:left w:val="nil"/>
          <w:bottom w:val="nil"/>
          <w:right w:val="nil"/>
          <w:between w:val="nil"/>
        </w:pBdr>
        <w:spacing w:after="240" w:line="360" w:lineRule="auto"/>
        <w:jc w:val="both"/>
        <w:rPr>
          <w:color w:val="000000"/>
          <w:sz w:val="24"/>
          <w:szCs w:val="24"/>
        </w:rPr>
      </w:pPr>
      <w:r>
        <w:rPr>
          <w:color w:val="000000"/>
          <w:sz w:val="24"/>
          <w:szCs w:val="24"/>
        </w:rPr>
        <w:t>Second, SRM increases the flexibility of the supply chain, which allows firms to react quickly to market changes, demand fluctuations, and supply disruptions. Adaptability to changing market conditions is necessary to help businesses sustain their competitive advantage in the long run (</w:t>
      </w:r>
      <w:proofErr w:type="spellStart"/>
      <w:r>
        <w:rPr>
          <w:color w:val="000000"/>
          <w:sz w:val="24"/>
          <w:szCs w:val="24"/>
        </w:rPr>
        <w:t>Sadalia</w:t>
      </w:r>
      <w:proofErr w:type="spellEnd"/>
      <w:r>
        <w:rPr>
          <w:color w:val="000000"/>
          <w:sz w:val="24"/>
          <w:szCs w:val="24"/>
        </w:rPr>
        <w:t xml:space="preserve">, </w:t>
      </w:r>
      <w:proofErr w:type="spellStart"/>
      <w:r>
        <w:rPr>
          <w:color w:val="000000"/>
          <w:sz w:val="24"/>
          <w:szCs w:val="24"/>
        </w:rPr>
        <w:t>Muharam</w:t>
      </w:r>
      <w:proofErr w:type="spellEnd"/>
      <w:r>
        <w:rPr>
          <w:color w:val="000000"/>
          <w:sz w:val="24"/>
          <w:szCs w:val="24"/>
        </w:rPr>
        <w:t xml:space="preserve"> and Mulyana, 2021).  Good supplier relationships may help to increase the willingness of the suppliers to change </w:t>
      </w:r>
      <w:r>
        <w:rPr>
          <w:color w:val="000000"/>
          <w:sz w:val="24"/>
          <w:szCs w:val="24"/>
        </w:rPr>
        <w:lastRenderedPageBreak/>
        <w:t>the production schedule, provide customised solutions, or focus on urgent orders. Suppliers can share technological information, collaborate in problem-solving and develop new products more readily when the buyer is a long-term partner instead of a transactional buyer. Such adaptability is particularly necessary in a setting where uncertain demand is present. This is also relevan</w:t>
      </w:r>
      <w:r>
        <w:rPr>
          <w:color w:val="000000"/>
          <w:sz w:val="24"/>
          <w:szCs w:val="24"/>
        </w:rPr>
        <w:t>t where shocks frequently occur, as is the case in global supply crises or geopolitical crises. The Russian invasion of Ukraine is a geopolitical crisis which has adversely affected UK manufacturers with higher costs owing to a surge in energy prices (Partington, 2022). The sanctions imposed by the US-led NATO on Russia also created restrictions in the export of metals, which affects the manufacturing industry. As such, SRM helps to create a more resilient supply chain that can keep the continuity even in c</w:t>
      </w:r>
      <w:r>
        <w:rPr>
          <w:color w:val="000000"/>
          <w:sz w:val="24"/>
          <w:szCs w:val="24"/>
        </w:rPr>
        <w:t>haotic circumstances through joint risk management and shared contingency planning.</w:t>
      </w:r>
    </w:p>
    <w:p w14:paraId="0AE65A28" w14:textId="77777777" w:rsidR="00A769CA" w:rsidRDefault="008D3F3B">
      <w:pPr>
        <w:pBdr>
          <w:top w:val="nil"/>
          <w:left w:val="nil"/>
          <w:bottom w:val="nil"/>
          <w:right w:val="nil"/>
          <w:between w:val="nil"/>
        </w:pBdr>
        <w:spacing w:after="240" w:line="360" w:lineRule="auto"/>
        <w:jc w:val="both"/>
        <w:rPr>
          <w:color w:val="000000"/>
          <w:sz w:val="24"/>
          <w:szCs w:val="24"/>
        </w:rPr>
      </w:pPr>
      <w:r>
        <w:rPr>
          <w:color w:val="000000"/>
          <w:sz w:val="24"/>
          <w:szCs w:val="24"/>
        </w:rPr>
        <w:t>Furthermore, SRM also leads to enhanced customer satisfaction where businesses achieve enhanced quality products (Joel</w:t>
      </w:r>
      <w:r>
        <w:rPr>
          <w:i/>
          <w:iCs/>
          <w:color w:val="000000"/>
          <w:sz w:val="24"/>
          <w:szCs w:val="24"/>
        </w:rPr>
        <w:t xml:space="preserve"> et al. </w:t>
      </w:r>
      <w:r>
        <w:rPr>
          <w:color w:val="000000"/>
          <w:sz w:val="24"/>
          <w:szCs w:val="24"/>
        </w:rPr>
        <w:t xml:space="preserve">2024). This is because of reduced lead times due to good supplier relationships. When the suppliers are willing to maintain a stable quality level and deliver on time, downstream manufacturing processes become more reliable and lead to fewer stockouts, production delays or defects. Such reliability has a direct impact on the end-user experience and the reputation that the firm has for service excellence. SRM programs also help in innovation and continual improvement so that firms </w:t>
      </w:r>
      <w:proofErr w:type="gramStart"/>
      <w:r>
        <w:rPr>
          <w:color w:val="000000"/>
          <w:sz w:val="24"/>
          <w:szCs w:val="24"/>
        </w:rPr>
        <w:t>are able to</w:t>
      </w:r>
      <w:proofErr w:type="gramEnd"/>
      <w:r>
        <w:rPr>
          <w:color w:val="000000"/>
          <w:sz w:val="24"/>
          <w:szCs w:val="24"/>
        </w:rPr>
        <w:t xml:space="preserve"> launch </w:t>
      </w:r>
      <w:r>
        <w:rPr>
          <w:color w:val="000000"/>
          <w:sz w:val="24"/>
          <w:szCs w:val="24"/>
        </w:rPr>
        <w:t>new products faster or tailor offerings to suit customer preferences (Glory, 2023). Also, open and honest relationships throughout the supply chain assist manufacturing companies in attaining ethical sourcing. It also guarantees that they comply with sustainability, which is more important among customers who want socially responsible supply chains.</w:t>
      </w:r>
    </w:p>
    <w:p w14:paraId="421D72C5" w14:textId="77777777" w:rsidR="00A769CA" w:rsidRDefault="008D3F3B">
      <w:pPr>
        <w:pBdr>
          <w:top w:val="nil"/>
          <w:left w:val="nil"/>
          <w:bottom w:val="nil"/>
          <w:right w:val="nil"/>
          <w:between w:val="nil"/>
        </w:pBdr>
        <w:spacing w:after="240" w:line="360" w:lineRule="auto"/>
        <w:jc w:val="both"/>
        <w:rPr>
          <w:color w:val="000000"/>
          <w:sz w:val="24"/>
          <w:szCs w:val="24"/>
        </w:rPr>
      </w:pPr>
      <w:r>
        <w:rPr>
          <w:color w:val="000000"/>
          <w:sz w:val="24"/>
          <w:szCs w:val="24"/>
        </w:rPr>
        <w:t xml:space="preserve">Moreover, SRM provides a solid base of competitive advantage through the involvement of suppliers in the strategic vision of business (George, </w:t>
      </w:r>
      <w:proofErr w:type="spellStart"/>
      <w:r>
        <w:rPr>
          <w:color w:val="000000"/>
          <w:sz w:val="24"/>
          <w:szCs w:val="24"/>
        </w:rPr>
        <w:t>Dosumu</w:t>
      </w:r>
      <w:proofErr w:type="spellEnd"/>
      <w:r>
        <w:rPr>
          <w:color w:val="000000"/>
          <w:sz w:val="24"/>
          <w:szCs w:val="24"/>
        </w:rPr>
        <w:t xml:space="preserve"> and Makata, 2024). It shifts the relationship between them from reactive and transactional to proactive cooperation, which creates strategic value for both parties. Greater efficiency minimises waste and expenses, flexibility helps to be responsive, and customer satisfaction increases brand loyalty. With the trends of increasingly more complex and uncertain supply chains, the capacity to develop and maintain strategic </w:t>
      </w:r>
      <w:r>
        <w:rPr>
          <w:color w:val="000000"/>
          <w:sz w:val="24"/>
          <w:szCs w:val="24"/>
        </w:rPr>
        <w:lastRenderedPageBreak/>
        <w:t>supplier relationships is essential to maintain high performance in all essential i</w:t>
      </w:r>
      <w:r>
        <w:rPr>
          <w:color w:val="000000"/>
          <w:sz w:val="24"/>
          <w:szCs w:val="24"/>
        </w:rPr>
        <w:t>ndicators.</w:t>
      </w:r>
    </w:p>
    <w:p w14:paraId="7EC8B8EB" w14:textId="77777777" w:rsidR="00A769CA" w:rsidRDefault="008D3F3B">
      <w:pPr>
        <w:pStyle w:val="Heading3"/>
        <w:spacing w:before="0" w:after="240"/>
        <w:rPr>
          <w:color w:val="000000"/>
        </w:rPr>
      </w:pPr>
      <w:bookmarkStart w:id="49" w:name="_heading=h.15puiunt7zuv" w:colFirst="0" w:colLast="0"/>
      <w:bookmarkEnd w:id="49"/>
      <w:r>
        <w:rPr>
          <w:color w:val="000000"/>
        </w:rPr>
        <w:t>4.2.3 Challenges to SRM implementation</w:t>
      </w:r>
    </w:p>
    <w:p w14:paraId="756B08E7" w14:textId="77777777" w:rsidR="00A769CA" w:rsidRDefault="008D3F3B">
      <w:pPr>
        <w:pBdr>
          <w:top w:val="nil"/>
          <w:left w:val="nil"/>
          <w:bottom w:val="nil"/>
          <w:right w:val="nil"/>
          <w:between w:val="nil"/>
        </w:pBdr>
        <w:spacing w:after="240" w:line="360" w:lineRule="auto"/>
        <w:jc w:val="both"/>
        <w:rPr>
          <w:color w:val="000000"/>
          <w:sz w:val="24"/>
          <w:szCs w:val="24"/>
        </w:rPr>
      </w:pPr>
      <w:r>
        <w:rPr>
          <w:color w:val="000000"/>
          <w:sz w:val="24"/>
          <w:szCs w:val="24"/>
        </w:rPr>
        <w:t xml:space="preserve">The application of SRM has </w:t>
      </w:r>
      <w:proofErr w:type="gramStart"/>
      <w:r>
        <w:rPr>
          <w:color w:val="000000"/>
          <w:sz w:val="24"/>
          <w:szCs w:val="24"/>
        </w:rPr>
        <w:t>a number of</w:t>
      </w:r>
      <w:proofErr w:type="gramEnd"/>
      <w:r>
        <w:rPr>
          <w:color w:val="000000"/>
          <w:sz w:val="24"/>
          <w:szCs w:val="24"/>
        </w:rPr>
        <w:t xml:space="preserve"> organisational, operational, and cultural challenges that may impede its functionality in the manufacturing sector. Lack of trust and transparency between manufacturers and suppliers is one of the major obstacles (</w:t>
      </w:r>
      <w:proofErr w:type="spellStart"/>
      <w:r>
        <w:rPr>
          <w:color w:val="000000"/>
          <w:sz w:val="24"/>
          <w:szCs w:val="24"/>
        </w:rPr>
        <w:t>Baharmand</w:t>
      </w:r>
      <w:proofErr w:type="spellEnd"/>
      <w:r>
        <w:rPr>
          <w:color w:val="000000"/>
          <w:sz w:val="24"/>
          <w:szCs w:val="24"/>
        </w:rPr>
        <w:t>, Maghsoudi and Coppi, 2021). Data is held secret by organisations, thereby failing to share information on costs, capabilities, or forecasts. This prevents the fostering of collaborative relationships.</w:t>
      </w:r>
    </w:p>
    <w:p w14:paraId="26417796" w14:textId="77777777" w:rsidR="00A769CA" w:rsidRDefault="008D3F3B">
      <w:pPr>
        <w:pBdr>
          <w:top w:val="nil"/>
          <w:left w:val="nil"/>
          <w:bottom w:val="nil"/>
          <w:right w:val="nil"/>
          <w:between w:val="nil"/>
        </w:pBdr>
        <w:spacing w:after="240" w:line="360" w:lineRule="auto"/>
        <w:jc w:val="both"/>
        <w:rPr>
          <w:color w:val="000000"/>
          <w:sz w:val="24"/>
          <w:szCs w:val="24"/>
        </w:rPr>
      </w:pPr>
      <w:r>
        <w:rPr>
          <w:color w:val="000000"/>
          <w:sz w:val="24"/>
          <w:szCs w:val="24"/>
        </w:rPr>
        <w:t>The other significant obstacle is a lack of goal congruence. Manufacturers tend to think more of cost reduction, whereas suppliers focus on revenue growth and stability (</w:t>
      </w:r>
      <w:proofErr w:type="spellStart"/>
      <w:r>
        <w:rPr>
          <w:color w:val="000000"/>
          <w:sz w:val="24"/>
          <w:szCs w:val="24"/>
        </w:rPr>
        <w:t>Rounaghi</w:t>
      </w:r>
      <w:proofErr w:type="spellEnd"/>
      <w:r>
        <w:rPr>
          <w:color w:val="000000"/>
          <w:sz w:val="24"/>
          <w:szCs w:val="24"/>
        </w:rPr>
        <w:t>, Jarrar and Dana, 2021). In case of divergence of the strategic goals, the partnership activities become shallow, thereby creating difficulties in the implementation of SRM. Moreover, power distribution may cause relationships to be strained. The dominating manufacturers may dictate unfair terms of trade to suppliers. This is because smaller companies and suppliers might not have the bargaining power to affect changes imposed by manufacturers.</w:t>
      </w:r>
    </w:p>
    <w:p w14:paraId="38957E19" w14:textId="77777777" w:rsidR="00A769CA" w:rsidRDefault="008D3F3B">
      <w:pPr>
        <w:pBdr>
          <w:top w:val="nil"/>
          <w:left w:val="nil"/>
          <w:bottom w:val="nil"/>
          <w:right w:val="nil"/>
          <w:between w:val="nil"/>
        </w:pBdr>
        <w:spacing w:after="240" w:line="360" w:lineRule="auto"/>
        <w:jc w:val="both"/>
        <w:rPr>
          <w:color w:val="000000"/>
          <w:sz w:val="24"/>
          <w:szCs w:val="24"/>
        </w:rPr>
      </w:pPr>
      <w:r>
        <w:rPr>
          <w:color w:val="000000"/>
          <w:sz w:val="24"/>
          <w:szCs w:val="24"/>
        </w:rPr>
        <w:t xml:space="preserve">SRM is also impeded by internal organisational problems. Manufacturing businesses require multi-functional coordination among the procurement, operations, logistics, and finance departments (Shish, 2025). Organisations operating in a departmental and isolated manner find it hard to share information and coordinate supplier performance. Also, lack of training and change resistance may restrain the willingness or capability of the employees to embrace collaborative practices. </w:t>
      </w:r>
    </w:p>
    <w:p w14:paraId="5A135F4B" w14:textId="77777777" w:rsidR="00A769CA" w:rsidRDefault="008D3F3B">
      <w:pPr>
        <w:pStyle w:val="Heading3"/>
        <w:spacing w:before="0" w:after="240"/>
        <w:rPr>
          <w:color w:val="000000"/>
        </w:rPr>
      </w:pPr>
      <w:bookmarkStart w:id="50" w:name="_heading=h.i43fnw3lbz6" w:colFirst="0" w:colLast="0"/>
      <w:bookmarkEnd w:id="50"/>
      <w:r>
        <w:rPr>
          <w:color w:val="000000"/>
        </w:rPr>
        <w:t xml:space="preserve">4.2.4 Managerial Recommendations to Improve Supply Chain Outcomes by Strengthening Supplier Relationships </w:t>
      </w:r>
    </w:p>
    <w:p w14:paraId="343BB4C3" w14:textId="77777777" w:rsidR="00A769CA" w:rsidRDefault="008D3F3B">
      <w:pPr>
        <w:pBdr>
          <w:top w:val="nil"/>
          <w:left w:val="nil"/>
          <w:bottom w:val="nil"/>
          <w:right w:val="nil"/>
          <w:between w:val="nil"/>
        </w:pBdr>
        <w:spacing w:after="200" w:line="360" w:lineRule="auto"/>
        <w:jc w:val="both"/>
        <w:rPr>
          <w:color w:val="000000"/>
          <w:sz w:val="24"/>
          <w:szCs w:val="24"/>
        </w:rPr>
      </w:pPr>
      <w:r>
        <w:rPr>
          <w:color w:val="000000"/>
          <w:sz w:val="24"/>
          <w:szCs w:val="24"/>
        </w:rPr>
        <w:t xml:space="preserve">Tightening supplier relations is a decisive managerial practice towards improving the overall performance of the supply chain in the manufacturing industry. The secondary findings by Johnson (2025) state that the open-line communication and frequent exchange of information between manufacturers and suppliers will lessen uncertainty and delays in operations, which helps with a quicker decision-making process and a </w:t>
      </w:r>
      <w:r>
        <w:rPr>
          <w:color w:val="000000"/>
          <w:sz w:val="24"/>
          <w:szCs w:val="24"/>
        </w:rPr>
        <w:lastRenderedPageBreak/>
        <w:t xml:space="preserve">more seamless coordination. This underscores the fact that openness is one of the factors which enhance reliability in supply chain operations. The findings of Jyoti and Akter (2022) also add that a structured supplier performance evaluation and scorecard will help managers to track quality, delivery and cost efficiency to ensure continuous improvement and responsibility among the suppliers. In terms of capability-building, </w:t>
      </w:r>
      <w:proofErr w:type="spellStart"/>
      <w:r>
        <w:rPr>
          <w:color w:val="000000"/>
          <w:sz w:val="24"/>
          <w:szCs w:val="24"/>
        </w:rPr>
        <w:t>Iyelolu</w:t>
      </w:r>
      <w:proofErr w:type="spellEnd"/>
      <w:r>
        <w:rPr>
          <w:color w:val="000000"/>
          <w:sz w:val="24"/>
          <w:szCs w:val="24"/>
        </w:rPr>
        <w:t xml:space="preserve"> </w:t>
      </w:r>
      <w:r>
        <w:rPr>
          <w:i/>
          <w:iCs/>
          <w:color w:val="000000"/>
          <w:sz w:val="24"/>
          <w:szCs w:val="24"/>
        </w:rPr>
        <w:t xml:space="preserve">et al. </w:t>
      </w:r>
      <w:r>
        <w:rPr>
          <w:color w:val="000000"/>
          <w:sz w:val="24"/>
          <w:szCs w:val="24"/>
        </w:rPr>
        <w:t>(2024) also describe supplier development in terms of training and te</w:t>
      </w:r>
      <w:r>
        <w:rPr>
          <w:color w:val="000000"/>
          <w:sz w:val="24"/>
          <w:szCs w:val="24"/>
        </w:rPr>
        <w:t>chnological assistance as one that promotes innovation and product quality, as well as long-term competitiveness. Also, the literature-based findings by Holloway (2025) reflect that the level of visibility and traceability across the supply chain will be improved by accepting digital SRM tools like analytics dashboards and real-time monitoring systems, which will enable managers to address risks and disruptions swiftly. All recommendations combined demonstrate that communication, performance management, sup</w:t>
      </w:r>
      <w:r>
        <w:rPr>
          <w:color w:val="000000"/>
          <w:sz w:val="24"/>
          <w:szCs w:val="24"/>
        </w:rPr>
        <w:t xml:space="preserve">plier development, and digital integration are the critical elements of enhancing the supply chain outcomes. Tightening supplier relations is a decisive managerial practice towards improving the overall performance of the supply chain in the manufacturing industry. The secondary findings by Johnson (2025) state that the open-line communication and frequent exchange of information between manufacturers and suppliers will lessen uncertainty and delays in operations, which helps with a quicker decision-making </w:t>
      </w:r>
      <w:r>
        <w:rPr>
          <w:color w:val="000000"/>
          <w:sz w:val="24"/>
          <w:szCs w:val="24"/>
        </w:rPr>
        <w:t xml:space="preserve">process and a more seamless coordination. This underscores the fact that openness is one of the factors which enhance reliability in supply chain operations. The findings of Jyoti and Akter (2022) also add that a structured supplier performance evaluation and scorecard will help managers to track quality, delivery and cost efficiency to ensure continuous improvement and responsibility among the suppliers. In terms of capability-building, </w:t>
      </w:r>
      <w:proofErr w:type="spellStart"/>
      <w:r>
        <w:rPr>
          <w:color w:val="000000"/>
          <w:sz w:val="24"/>
          <w:szCs w:val="24"/>
        </w:rPr>
        <w:t>Iyelolu</w:t>
      </w:r>
      <w:proofErr w:type="spellEnd"/>
      <w:r>
        <w:rPr>
          <w:color w:val="000000"/>
          <w:sz w:val="24"/>
          <w:szCs w:val="24"/>
        </w:rPr>
        <w:t xml:space="preserve"> </w:t>
      </w:r>
      <w:r>
        <w:rPr>
          <w:i/>
          <w:iCs/>
          <w:color w:val="000000"/>
          <w:sz w:val="24"/>
          <w:szCs w:val="24"/>
        </w:rPr>
        <w:t xml:space="preserve">et al. </w:t>
      </w:r>
      <w:r>
        <w:rPr>
          <w:color w:val="000000"/>
          <w:sz w:val="24"/>
          <w:szCs w:val="24"/>
        </w:rPr>
        <w:t>(2024) also describe supplier development in terms of t</w:t>
      </w:r>
      <w:r>
        <w:rPr>
          <w:color w:val="000000"/>
          <w:sz w:val="24"/>
          <w:szCs w:val="24"/>
        </w:rPr>
        <w:t>raining and technological assistance as one that promotes innovation and product quality, as well as long-term competitiveness. Also, the literature-based findings by Holloway (2025) reflect that the level of visibility and traceability across the supply chain will be improved by accepting digital SRM tools like analytics dashboards and real-time monitoring systems, which will enable managers to address risks and disruptions swiftly. All recommendations combined demonstrate that communication, performance m</w:t>
      </w:r>
      <w:r>
        <w:rPr>
          <w:color w:val="000000"/>
          <w:sz w:val="24"/>
          <w:szCs w:val="24"/>
        </w:rPr>
        <w:t>anagement, supplier development, and digital integration are the critical elements of enhancing the supply chain outcomes. </w:t>
      </w:r>
    </w:p>
    <w:p w14:paraId="7192619F" w14:textId="77777777" w:rsidR="00A769CA" w:rsidRDefault="008D3F3B">
      <w:pPr>
        <w:pStyle w:val="Heading2"/>
        <w:spacing w:before="0" w:after="240"/>
        <w:rPr>
          <w:i w:val="0"/>
          <w:iCs w:val="0"/>
        </w:rPr>
      </w:pPr>
      <w:bookmarkStart w:id="51" w:name="_heading=h.asy82oidgen4" w:colFirst="0" w:colLast="0"/>
      <w:bookmarkEnd w:id="51"/>
      <w:r>
        <w:rPr>
          <w:i w:val="0"/>
          <w:iCs w:val="0"/>
        </w:rPr>
        <w:lastRenderedPageBreak/>
        <w:t>4.3 Analysis of Results</w:t>
      </w:r>
    </w:p>
    <w:p w14:paraId="17B8073A" w14:textId="77777777" w:rsidR="00A769CA" w:rsidRDefault="008D3F3B">
      <w:pPr>
        <w:pBdr>
          <w:top w:val="nil"/>
          <w:left w:val="nil"/>
          <w:bottom w:val="nil"/>
          <w:right w:val="nil"/>
          <w:between w:val="nil"/>
        </w:pBdr>
        <w:spacing w:after="200" w:line="360" w:lineRule="auto"/>
        <w:jc w:val="both"/>
        <w:rPr>
          <w:color w:val="000000"/>
          <w:sz w:val="24"/>
          <w:szCs w:val="24"/>
        </w:rPr>
      </w:pPr>
      <w:r>
        <w:rPr>
          <w:color w:val="000000"/>
          <w:sz w:val="24"/>
          <w:szCs w:val="24"/>
        </w:rPr>
        <w:t>This portion is a critical analysis of the major findings, interpreting the meaning and significance against the objectives of the research. The analysis will be organised into the four strongest themes that came out of the results.</w:t>
      </w:r>
    </w:p>
    <w:p w14:paraId="09F9F64B" w14:textId="77777777" w:rsidR="00A769CA" w:rsidRDefault="008D3F3B">
      <w:pPr>
        <w:pBdr>
          <w:top w:val="nil"/>
          <w:left w:val="nil"/>
          <w:bottom w:val="nil"/>
          <w:right w:val="nil"/>
          <w:between w:val="nil"/>
        </w:pBdr>
        <w:spacing w:after="200" w:line="360" w:lineRule="auto"/>
        <w:jc w:val="both"/>
        <w:rPr>
          <w:color w:val="000000"/>
          <w:sz w:val="24"/>
          <w:szCs w:val="24"/>
        </w:rPr>
      </w:pPr>
      <w:r>
        <w:rPr>
          <w:color w:val="000000"/>
          <w:sz w:val="24"/>
          <w:szCs w:val="24"/>
        </w:rPr>
        <w:t xml:space="preserve">The initial theme </w:t>
      </w:r>
      <w:proofErr w:type="gramStart"/>
      <w:r>
        <w:rPr>
          <w:color w:val="000000"/>
          <w:sz w:val="24"/>
          <w:szCs w:val="24"/>
        </w:rPr>
        <w:t>evidences</w:t>
      </w:r>
      <w:proofErr w:type="gramEnd"/>
      <w:r>
        <w:rPr>
          <w:color w:val="000000"/>
          <w:sz w:val="24"/>
          <w:szCs w:val="24"/>
        </w:rPr>
        <w:t xml:space="preserve"> that strategic SRM is at the heart of enhancing manufacturing supply chains by minimising risks, working in partnership, and innovating. The results indicate that SRM is no longer a transactional role, but a strategic partnership model on a long-term basis. The COVID-19-related disruption and the shortage of supplies encountered by the manufacturers in the UK highlight the weakness of companies that did not structure their supplier segmentation and proactive risk management. According to this anal</w:t>
      </w:r>
      <w:r>
        <w:rPr>
          <w:color w:val="000000"/>
          <w:sz w:val="24"/>
          <w:szCs w:val="24"/>
        </w:rPr>
        <w:t xml:space="preserve">ysis, companies that use SRM as a strategy, but not as an operating mechanism, are in a better position to deal with uncertainty. Segmentation of suppliers will help companies to focus on important suppliers to have them work more closely with them </w:t>
      </w:r>
      <w:proofErr w:type="gramStart"/>
      <w:r>
        <w:rPr>
          <w:color w:val="000000"/>
          <w:sz w:val="24"/>
          <w:szCs w:val="24"/>
        </w:rPr>
        <w:t>in order to</w:t>
      </w:r>
      <w:proofErr w:type="gramEnd"/>
      <w:r>
        <w:rPr>
          <w:color w:val="000000"/>
          <w:sz w:val="24"/>
          <w:szCs w:val="24"/>
        </w:rPr>
        <w:t xml:space="preserve"> ensure that they have supply continuity in case of a crisis. </w:t>
      </w:r>
    </w:p>
    <w:p w14:paraId="556A53E4" w14:textId="77777777" w:rsidR="00A769CA" w:rsidRDefault="008D3F3B">
      <w:pPr>
        <w:pBdr>
          <w:top w:val="nil"/>
          <w:left w:val="nil"/>
          <w:bottom w:val="nil"/>
          <w:right w:val="nil"/>
          <w:between w:val="nil"/>
        </w:pBdr>
        <w:spacing w:after="200" w:line="360" w:lineRule="auto"/>
        <w:jc w:val="both"/>
        <w:rPr>
          <w:color w:val="000000"/>
          <w:sz w:val="24"/>
          <w:szCs w:val="24"/>
        </w:rPr>
      </w:pPr>
      <w:r>
        <w:rPr>
          <w:color w:val="000000"/>
          <w:sz w:val="24"/>
          <w:szCs w:val="24"/>
        </w:rPr>
        <w:t>The second theme substantiates that SRM is powerful and multidimensional in terms of its influence on major performance indicators of the supply chain, which are efficiency, flexibility, and customer satisfaction. The results suggest that transparency and aligned planning help to reduce information asymmetry and result in more favourable procurement choices, reduced inventory expenses, and production scheduling. Analytically, this demonstrates that efficiency gains within the SRM are institutionally embedde</w:t>
      </w:r>
      <w:r>
        <w:rPr>
          <w:color w:val="000000"/>
          <w:sz w:val="24"/>
          <w:szCs w:val="24"/>
        </w:rPr>
        <w:t xml:space="preserve">d in the form of joint planning and collaborative forecasting, which is not just in the form of cost reduction efforts. Flexibility is a crucial result of a stable and trusted supplier relationship. The flexibility regarding being able to change the production schedule and control the interruptions in geopolitical and economic crises proves that this is not an accidental design but a relationship-based feature. </w:t>
      </w:r>
    </w:p>
    <w:p w14:paraId="6B2137F4" w14:textId="77777777" w:rsidR="00A769CA" w:rsidRDefault="008D3F3B">
      <w:pPr>
        <w:pBdr>
          <w:top w:val="nil"/>
          <w:left w:val="nil"/>
          <w:bottom w:val="nil"/>
          <w:right w:val="nil"/>
          <w:between w:val="nil"/>
        </w:pBdr>
        <w:spacing w:after="200" w:line="360" w:lineRule="auto"/>
        <w:jc w:val="both"/>
        <w:rPr>
          <w:color w:val="000000"/>
          <w:sz w:val="24"/>
          <w:szCs w:val="24"/>
        </w:rPr>
      </w:pPr>
      <w:r>
        <w:rPr>
          <w:color w:val="000000"/>
          <w:sz w:val="24"/>
          <w:szCs w:val="24"/>
        </w:rPr>
        <w:t xml:space="preserve">The third theme is that the organisational, behavioural and cultural issues are major limitations to the effectiveness of SRM. Low trust and lack of transparency have persisted, which means that most manufacturers are still anchored in the adversarial procurement model. This undermines co-operation and value co-creation. Misalignment of goals between suppliers and buyers further undermines the stability </w:t>
      </w:r>
      <w:r>
        <w:rPr>
          <w:color w:val="000000"/>
          <w:sz w:val="24"/>
          <w:szCs w:val="24"/>
        </w:rPr>
        <w:lastRenderedPageBreak/>
        <w:t>of the partnership, given that there is no serious cooperation due to the differences in financial priorities. This problem is aggravated by power imbalances that are characterised by the inhibition of innovation and long-term commitment by suppliers. At the internal level, silo-based themes of organisational structures, lack of cross-functional coordination, and change resistance lower the capability of the organisation in introducing an integrated approach in SRM practices. This discussion proves that ext</w:t>
      </w:r>
      <w:r>
        <w:rPr>
          <w:color w:val="000000"/>
          <w:sz w:val="24"/>
          <w:szCs w:val="24"/>
        </w:rPr>
        <w:t>ernal supplier determinants are not the sole drivers of SRM failure, but internal managerial and cultural flaws also play a significant role.</w:t>
      </w:r>
    </w:p>
    <w:p w14:paraId="746C7B95" w14:textId="77777777" w:rsidR="00A769CA" w:rsidRDefault="008D3F3B">
      <w:pPr>
        <w:pBdr>
          <w:top w:val="nil"/>
          <w:left w:val="nil"/>
          <w:bottom w:val="nil"/>
          <w:right w:val="nil"/>
          <w:between w:val="nil"/>
        </w:pBdr>
        <w:spacing w:after="200" w:line="360" w:lineRule="auto"/>
        <w:jc w:val="both"/>
        <w:rPr>
          <w:color w:val="000000"/>
          <w:sz w:val="24"/>
          <w:szCs w:val="24"/>
        </w:rPr>
      </w:pPr>
      <w:r>
        <w:rPr>
          <w:color w:val="000000"/>
          <w:sz w:val="24"/>
          <w:szCs w:val="24"/>
        </w:rPr>
        <w:t>The fourth theme is to show that the factor that most affects the transformation of SRM to enhanced performance in the supply chain is managerial action. The results indicate that open communication enhances relational governance, and codified performance monitoring presents accountability and motivation to obey the continuous improvement. Supplier development indicates a change in the cost-based procurement approach to a long-term capability development approach. Such a strategic orientation allows manufac</w:t>
      </w:r>
      <w:r>
        <w:rPr>
          <w:color w:val="000000"/>
          <w:sz w:val="24"/>
          <w:szCs w:val="24"/>
        </w:rPr>
        <w:t xml:space="preserve">turers to enhance capacity in innovation and quality consistency within the supply chain. Supply chain visibility and responsiveness are further increased </w:t>
      </w:r>
      <w:proofErr w:type="gramStart"/>
      <w:r>
        <w:rPr>
          <w:color w:val="000000"/>
          <w:sz w:val="24"/>
          <w:szCs w:val="24"/>
        </w:rPr>
        <w:t>by the use of</w:t>
      </w:r>
      <w:proofErr w:type="gramEnd"/>
      <w:r>
        <w:rPr>
          <w:color w:val="000000"/>
          <w:sz w:val="24"/>
          <w:szCs w:val="24"/>
        </w:rPr>
        <w:t xml:space="preserve"> digital SRM tools. </w:t>
      </w:r>
    </w:p>
    <w:p w14:paraId="00CDEB35" w14:textId="77777777" w:rsidR="00A769CA" w:rsidRDefault="008D3F3B">
      <w:pPr>
        <w:pBdr>
          <w:top w:val="nil"/>
          <w:left w:val="nil"/>
          <w:bottom w:val="nil"/>
          <w:right w:val="nil"/>
          <w:between w:val="nil"/>
        </w:pBdr>
        <w:spacing w:after="200" w:line="360" w:lineRule="auto"/>
        <w:jc w:val="both"/>
        <w:rPr>
          <w:color w:val="000000"/>
          <w:sz w:val="24"/>
          <w:szCs w:val="24"/>
        </w:rPr>
      </w:pPr>
      <w:r>
        <w:rPr>
          <w:color w:val="000000"/>
          <w:sz w:val="24"/>
          <w:szCs w:val="24"/>
        </w:rPr>
        <w:t xml:space="preserve">On balance, SRM is a strategic linker of efficiency, resilience, and competitive advantage in manufacturing supply chains. Nonetheless, it relies on organisational alignment, managerial commitment and readiness to go digital to succeed. Those firms that consider SRM as an in-built strategic capability enjoy sustained performance gains, whereas those that use it as a transactional function do not fully reap the benefits. </w:t>
      </w:r>
    </w:p>
    <w:p w14:paraId="76C50F44" w14:textId="77777777" w:rsidR="00A769CA" w:rsidRDefault="008D3F3B">
      <w:pPr>
        <w:pStyle w:val="Heading2"/>
        <w:spacing w:before="0" w:after="200"/>
        <w:rPr>
          <w:sz w:val="32"/>
          <w:szCs w:val="32"/>
        </w:rPr>
      </w:pPr>
      <w:bookmarkStart w:id="52" w:name="_heading=h.hhn70qdsc1xp" w:colFirst="0" w:colLast="0"/>
      <w:bookmarkEnd w:id="52"/>
      <w:r>
        <w:t xml:space="preserve">4.4 Discussion of Results </w:t>
      </w:r>
    </w:p>
    <w:p w14:paraId="00E79AB2" w14:textId="77777777" w:rsidR="00A769CA" w:rsidRDefault="008D3F3B">
      <w:pPr>
        <w:pBdr>
          <w:top w:val="nil"/>
          <w:left w:val="nil"/>
          <w:bottom w:val="nil"/>
          <w:right w:val="nil"/>
          <w:between w:val="nil"/>
        </w:pBdr>
        <w:spacing w:after="200" w:line="360" w:lineRule="auto"/>
        <w:jc w:val="both"/>
        <w:rPr>
          <w:color w:val="000000"/>
          <w:sz w:val="24"/>
          <w:szCs w:val="24"/>
        </w:rPr>
      </w:pPr>
      <w:r>
        <w:rPr>
          <w:color w:val="000000"/>
          <w:sz w:val="24"/>
          <w:szCs w:val="24"/>
        </w:rPr>
        <w:t>The results of the research indicate that there is a multidimensional and strong association between Strategic Supplier Relationship Management (SRM) and the supply chain performance within the manufacturing industry. The discussion summarises the results analysed with the existing literature and theoretical bases like Social Exchange Theory (SET), Resource-Based View (RBV), Relational View (RV), and Transaction Cost Economics (TCE). In this section, the results are also connected with the research objectiv</w:t>
      </w:r>
      <w:r>
        <w:rPr>
          <w:color w:val="000000"/>
          <w:sz w:val="24"/>
          <w:szCs w:val="24"/>
        </w:rPr>
        <w:t xml:space="preserve">es-core SRM components, the impact of its effect on the </w:t>
      </w:r>
      <w:r>
        <w:rPr>
          <w:color w:val="000000"/>
          <w:sz w:val="24"/>
          <w:szCs w:val="24"/>
        </w:rPr>
        <w:lastRenderedPageBreak/>
        <w:t>performance indicators, challenges, and the managerial implications, which makes the results interpretation deeper.</w:t>
      </w:r>
    </w:p>
    <w:p w14:paraId="50264866" w14:textId="77777777" w:rsidR="00A769CA" w:rsidRDefault="008D3F3B">
      <w:pPr>
        <w:pStyle w:val="Heading2"/>
        <w:spacing w:before="0" w:after="200"/>
        <w:rPr>
          <w:sz w:val="32"/>
          <w:szCs w:val="32"/>
        </w:rPr>
      </w:pPr>
      <w:bookmarkStart w:id="53" w:name="_heading=h.vmog9khkq78o" w:colFirst="0" w:colLast="0"/>
      <w:bookmarkEnd w:id="53"/>
      <w:r>
        <w:t>SRM as a Strategic Contributor, not an Operational Function</w:t>
      </w:r>
    </w:p>
    <w:p w14:paraId="67B45190" w14:textId="77777777" w:rsidR="00A769CA" w:rsidRDefault="008D3F3B">
      <w:pPr>
        <w:pBdr>
          <w:top w:val="nil"/>
          <w:left w:val="nil"/>
          <w:bottom w:val="nil"/>
          <w:right w:val="nil"/>
          <w:between w:val="nil"/>
        </w:pBdr>
        <w:spacing w:after="200" w:line="360" w:lineRule="auto"/>
        <w:jc w:val="both"/>
        <w:rPr>
          <w:color w:val="000000"/>
          <w:sz w:val="24"/>
          <w:szCs w:val="24"/>
        </w:rPr>
      </w:pPr>
      <w:r>
        <w:rPr>
          <w:color w:val="000000"/>
          <w:sz w:val="24"/>
          <w:szCs w:val="24"/>
        </w:rPr>
        <w:t xml:space="preserve">As indicated by the findings, the SRM is transforming from a conventional transactional purchasing position to strategic partnership ability. It corresponds to Grant (2024), who pointed out that the current competitiveness of manufacturing is </w:t>
      </w:r>
      <w:proofErr w:type="gramStart"/>
      <w:r>
        <w:rPr>
          <w:color w:val="000000"/>
          <w:sz w:val="24"/>
          <w:szCs w:val="24"/>
        </w:rPr>
        <w:t>more and more</w:t>
      </w:r>
      <w:proofErr w:type="gramEnd"/>
      <w:r>
        <w:rPr>
          <w:color w:val="000000"/>
          <w:sz w:val="24"/>
          <w:szCs w:val="24"/>
        </w:rPr>
        <w:t xml:space="preserve"> based on using the capabilities of suppliers as a source of innovation and operational continuity. The findings suggest that strategic SRM practices, which are supplier segmentation, joint planning, risk forecasting, and long-term collaboration, are significantly related to enhanced resilience, especially when facing a disruption like in the case of the COVID-19 pandemic.</w:t>
      </w:r>
    </w:p>
    <w:p w14:paraId="0BA9E4D2" w14:textId="77777777" w:rsidR="00A769CA" w:rsidRDefault="008D3F3B">
      <w:pPr>
        <w:pBdr>
          <w:top w:val="nil"/>
          <w:left w:val="nil"/>
          <w:bottom w:val="nil"/>
          <w:right w:val="nil"/>
          <w:between w:val="nil"/>
        </w:pBdr>
        <w:spacing w:after="200" w:line="360" w:lineRule="auto"/>
        <w:jc w:val="both"/>
        <w:rPr>
          <w:color w:val="000000"/>
          <w:sz w:val="24"/>
          <w:szCs w:val="24"/>
        </w:rPr>
      </w:pPr>
      <w:r>
        <w:rPr>
          <w:color w:val="000000"/>
          <w:sz w:val="24"/>
          <w:szCs w:val="24"/>
        </w:rPr>
        <w:t>A finding that manufacturers without developed SRM systems were proportionately impacted finds backing in supply chain delays documented by Statista (2020). Companies that continued with active SRM strategies (communication, mutual contingency plans and systematic segmentation) were faster to recover. This upholds the RBV perception that relationships with suppliers are special intangible assets, which are hard to replicate by competitors.</w:t>
      </w:r>
    </w:p>
    <w:p w14:paraId="0FBC0829" w14:textId="77777777" w:rsidR="00A769CA" w:rsidRDefault="008D3F3B">
      <w:pPr>
        <w:pStyle w:val="Heading2"/>
        <w:spacing w:before="0" w:after="200"/>
        <w:rPr>
          <w:sz w:val="32"/>
          <w:szCs w:val="32"/>
        </w:rPr>
      </w:pPr>
      <w:bookmarkStart w:id="54" w:name="_heading=h.fz0smzln560s" w:colFirst="0" w:colLast="0"/>
      <w:bookmarkEnd w:id="54"/>
      <w:r>
        <w:t>Effect of SRM on Efficiency: Confirmed by Transparency and Co-Planning</w:t>
      </w:r>
    </w:p>
    <w:p w14:paraId="3B91C564" w14:textId="77777777" w:rsidR="00A769CA" w:rsidRDefault="008D3F3B">
      <w:pPr>
        <w:pBdr>
          <w:top w:val="nil"/>
          <w:left w:val="nil"/>
          <w:bottom w:val="nil"/>
          <w:right w:val="nil"/>
          <w:between w:val="nil"/>
        </w:pBdr>
        <w:spacing w:after="200" w:line="360" w:lineRule="auto"/>
        <w:jc w:val="both"/>
        <w:rPr>
          <w:color w:val="000000"/>
          <w:sz w:val="24"/>
          <w:szCs w:val="24"/>
        </w:rPr>
      </w:pPr>
      <w:r>
        <w:rPr>
          <w:color w:val="000000"/>
          <w:sz w:val="24"/>
          <w:szCs w:val="24"/>
        </w:rPr>
        <w:t xml:space="preserve">The findings validate the claim that SRM is a highly effective approach that helps to increase the efficiency of an organisation by lowering the level of information asymmetry, improving the accuracy in planning and preventing operational wastefulness. This confirms the opinion of Bennett (2023), who reckoned that the effect of efficiency increases is most prominent in cases where SRM promotes common forecasting and prompt supplier engagement. This study demonstrates that efficiency will not come simply by </w:t>
      </w:r>
      <w:r>
        <w:rPr>
          <w:color w:val="000000"/>
          <w:sz w:val="24"/>
          <w:szCs w:val="24"/>
        </w:rPr>
        <w:t>reducing costs but rather through more profound relationship processes like the sharing of information openly and the common review of operations.</w:t>
      </w:r>
    </w:p>
    <w:p w14:paraId="624E6584" w14:textId="77777777" w:rsidR="00A769CA" w:rsidRDefault="008D3F3B">
      <w:pPr>
        <w:pBdr>
          <w:top w:val="nil"/>
          <w:left w:val="nil"/>
          <w:bottom w:val="nil"/>
          <w:right w:val="nil"/>
          <w:between w:val="nil"/>
        </w:pBdr>
        <w:spacing w:after="200" w:line="360" w:lineRule="auto"/>
        <w:jc w:val="both"/>
        <w:rPr>
          <w:color w:val="000000"/>
          <w:sz w:val="24"/>
          <w:szCs w:val="24"/>
        </w:rPr>
      </w:pPr>
      <w:r>
        <w:rPr>
          <w:color w:val="000000"/>
          <w:sz w:val="24"/>
          <w:szCs w:val="24"/>
        </w:rPr>
        <w:t xml:space="preserve">Moreover, all the findings support the TCE theory-structured SRM allows firms to cut down on transaction costs by cutting down on disputes, renegotiations and emergency procurement. The use of digital SRM tools makes it more visible and less uncertain in </w:t>
      </w:r>
      <w:r>
        <w:rPr>
          <w:color w:val="000000"/>
          <w:sz w:val="24"/>
          <w:szCs w:val="24"/>
        </w:rPr>
        <w:lastRenderedPageBreak/>
        <w:t>coordination, which again proves the results of Smith (2024) about the influence of data-driven supplier control.</w:t>
      </w:r>
    </w:p>
    <w:p w14:paraId="74997123" w14:textId="77777777" w:rsidR="00A769CA" w:rsidRDefault="008D3F3B">
      <w:pPr>
        <w:pBdr>
          <w:top w:val="nil"/>
          <w:left w:val="nil"/>
          <w:bottom w:val="nil"/>
          <w:right w:val="nil"/>
          <w:between w:val="nil"/>
        </w:pBdr>
        <w:spacing w:after="200" w:line="360" w:lineRule="auto"/>
        <w:jc w:val="both"/>
        <w:rPr>
          <w:color w:val="000000"/>
          <w:sz w:val="24"/>
          <w:szCs w:val="24"/>
        </w:rPr>
      </w:pPr>
      <w:r>
        <w:rPr>
          <w:color w:val="000000"/>
          <w:sz w:val="24"/>
          <w:szCs w:val="24"/>
        </w:rPr>
        <w:t>In such a way, the findings are very definite that SRM-based efficiency is not a one-time event but a product of joint activities that decrease delays, eliminate waste of operations, and enhance the stability of procurements.</w:t>
      </w:r>
    </w:p>
    <w:p w14:paraId="3D96330B" w14:textId="77777777" w:rsidR="00A769CA" w:rsidRDefault="008D3F3B">
      <w:pPr>
        <w:pStyle w:val="Heading2"/>
        <w:spacing w:before="0" w:after="200"/>
        <w:rPr>
          <w:sz w:val="32"/>
          <w:szCs w:val="32"/>
        </w:rPr>
      </w:pPr>
      <w:bookmarkStart w:id="55" w:name="_heading=h.2hz7wavdmo07" w:colFirst="0" w:colLast="0"/>
      <w:bookmarkEnd w:id="55"/>
      <w:r>
        <w:t>SRM Enhances Flexibility by Trust, Responsiveness and Supplier Capability</w:t>
      </w:r>
    </w:p>
    <w:p w14:paraId="4630F30E" w14:textId="77777777" w:rsidR="00A769CA" w:rsidRDefault="008D3F3B">
      <w:pPr>
        <w:pBdr>
          <w:top w:val="nil"/>
          <w:left w:val="nil"/>
          <w:bottom w:val="nil"/>
          <w:right w:val="nil"/>
          <w:between w:val="nil"/>
        </w:pBdr>
        <w:spacing w:after="200" w:line="360" w:lineRule="auto"/>
        <w:jc w:val="both"/>
        <w:rPr>
          <w:color w:val="000000"/>
          <w:sz w:val="24"/>
          <w:szCs w:val="24"/>
        </w:rPr>
      </w:pPr>
      <w:r>
        <w:rPr>
          <w:color w:val="000000"/>
          <w:sz w:val="24"/>
          <w:szCs w:val="24"/>
        </w:rPr>
        <w:t>The results of the study highlight the essence of importance of SRM in improving the flexibility of the supply chain. The finding is in line with the views expressed by Sy Jr (2025), who postulated that supply chain agility is based on the level of collaboration between the supplier and the buyer. The data indicate that companies that had well-established SRM structures exhibited better ability to make changes in production timelines, adapt to the market variability, and react to geopolitical shocks like th</w:t>
      </w:r>
      <w:r>
        <w:rPr>
          <w:color w:val="000000"/>
          <w:sz w:val="24"/>
          <w:szCs w:val="24"/>
        </w:rPr>
        <w:t>e conflict in Russia and Ukraine (Partington, 2022).</w:t>
      </w:r>
    </w:p>
    <w:p w14:paraId="5EE9338E" w14:textId="77777777" w:rsidR="00A769CA" w:rsidRDefault="008D3F3B">
      <w:pPr>
        <w:pBdr>
          <w:top w:val="nil"/>
          <w:left w:val="nil"/>
          <w:bottom w:val="nil"/>
          <w:right w:val="nil"/>
          <w:between w:val="nil"/>
        </w:pBdr>
        <w:spacing w:after="200" w:line="360" w:lineRule="auto"/>
        <w:jc w:val="both"/>
        <w:rPr>
          <w:color w:val="000000"/>
          <w:sz w:val="24"/>
          <w:szCs w:val="24"/>
        </w:rPr>
      </w:pPr>
      <w:r>
        <w:rPr>
          <w:color w:val="000000"/>
          <w:sz w:val="24"/>
          <w:szCs w:val="24"/>
        </w:rPr>
        <w:t>The theoretical explanation of SET is powerful: when the suppliers feel trusted, fair, and reciprocated, it becomes easier to focus on them in a crisis, optimise logistics, or exchange important information. This is supported by the results of the study, which show that flexibility arises due to high relational capital, not necessarily through formal contracts.</w:t>
      </w:r>
    </w:p>
    <w:p w14:paraId="336BB5C3" w14:textId="77777777" w:rsidR="00A769CA" w:rsidRDefault="008D3F3B">
      <w:pPr>
        <w:pBdr>
          <w:top w:val="nil"/>
          <w:left w:val="nil"/>
          <w:bottom w:val="nil"/>
          <w:right w:val="nil"/>
          <w:between w:val="nil"/>
        </w:pBdr>
        <w:spacing w:after="200" w:line="360" w:lineRule="auto"/>
        <w:jc w:val="both"/>
        <w:rPr>
          <w:color w:val="000000"/>
          <w:sz w:val="24"/>
          <w:szCs w:val="24"/>
        </w:rPr>
      </w:pPr>
      <w:r>
        <w:rPr>
          <w:color w:val="000000"/>
          <w:sz w:val="24"/>
          <w:szCs w:val="24"/>
        </w:rPr>
        <w:t>Moreover, the supplier development programmes, which are described as a large SRM aspect in the findings, improve the responsiveness of suppliers in terms of their operations and technology. This is in line with the findings of Olaleye et al. (2024), who pointed to supplier capability-building as an agent of flexibility in the face of unpredictable market dynamics.</w:t>
      </w:r>
    </w:p>
    <w:p w14:paraId="4628D840" w14:textId="77777777" w:rsidR="00A769CA" w:rsidRDefault="008D3F3B">
      <w:pPr>
        <w:pStyle w:val="Heading2"/>
        <w:spacing w:before="0" w:after="200"/>
        <w:rPr>
          <w:sz w:val="32"/>
          <w:szCs w:val="32"/>
        </w:rPr>
      </w:pPr>
      <w:bookmarkStart w:id="56" w:name="_heading=h.moq8uaa26ukx" w:colFirst="0" w:colLast="0"/>
      <w:bookmarkEnd w:id="56"/>
      <w:r>
        <w:t>The role of SRM in Customer Satisfaction: Quality, Reliability and Ethical Guarantee</w:t>
      </w:r>
    </w:p>
    <w:p w14:paraId="27FCE3FF" w14:textId="77777777" w:rsidR="00A769CA" w:rsidRDefault="008D3F3B">
      <w:pPr>
        <w:pBdr>
          <w:top w:val="nil"/>
          <w:left w:val="nil"/>
          <w:bottom w:val="nil"/>
          <w:right w:val="nil"/>
          <w:between w:val="nil"/>
        </w:pBdr>
        <w:spacing w:after="200" w:line="360" w:lineRule="auto"/>
        <w:jc w:val="both"/>
        <w:rPr>
          <w:color w:val="000000"/>
          <w:sz w:val="24"/>
          <w:szCs w:val="24"/>
        </w:rPr>
      </w:pPr>
      <w:r>
        <w:rPr>
          <w:color w:val="000000"/>
          <w:sz w:val="24"/>
          <w:szCs w:val="24"/>
        </w:rPr>
        <w:t xml:space="preserve">The finding indicates that SRM has a considerable impact on improving the level of customer satisfaction by improving product quality, lowering lead times, and adhering to ethical sourcing. This is consistent with Grant (2024) and Tanveer et al. (2021), who stated that the reliability of the supply chain and its sustainability are becoming more </w:t>
      </w:r>
      <w:r>
        <w:rPr>
          <w:color w:val="000000"/>
          <w:sz w:val="24"/>
          <w:szCs w:val="24"/>
        </w:rPr>
        <w:lastRenderedPageBreak/>
        <w:t>important when it comes to customer loyalty. The results show that manufacturers that practice SRM more strongly will experience fewer product defects and delays, which positively affects customer experience.</w:t>
      </w:r>
    </w:p>
    <w:p w14:paraId="2BC371D3" w14:textId="77777777" w:rsidR="00A769CA" w:rsidRDefault="008D3F3B">
      <w:pPr>
        <w:pBdr>
          <w:top w:val="nil"/>
          <w:left w:val="nil"/>
          <w:bottom w:val="nil"/>
          <w:right w:val="nil"/>
          <w:between w:val="nil"/>
        </w:pBdr>
        <w:spacing w:after="200" w:line="360" w:lineRule="auto"/>
        <w:jc w:val="both"/>
        <w:rPr>
          <w:color w:val="000000"/>
          <w:sz w:val="24"/>
          <w:szCs w:val="24"/>
        </w:rPr>
      </w:pPr>
      <w:r>
        <w:rPr>
          <w:color w:val="000000"/>
          <w:sz w:val="24"/>
          <w:szCs w:val="24"/>
        </w:rPr>
        <w:t>Moreover, the paper brings out the significance of ethical and sustainable supplier management, which is on the increase. This is reinforced by the data provided by Placek (2022) in terms of the environmental trends, which indicates to us that the sustainability requirements of the supply chain stakeholders are on an upward trend. Companies with strategic management of suppliers have a better chance to track compliance, impact ethical performance, and adhere to the international sustainability standards. Th</w:t>
      </w:r>
      <w:r>
        <w:rPr>
          <w:color w:val="000000"/>
          <w:sz w:val="24"/>
          <w:szCs w:val="24"/>
        </w:rPr>
        <w:t>is enhances brand name recognition and gives long-term loyalty benefits.</w:t>
      </w:r>
    </w:p>
    <w:p w14:paraId="03F26A5F" w14:textId="77777777" w:rsidR="00A769CA" w:rsidRDefault="008D3F3B">
      <w:pPr>
        <w:pStyle w:val="Heading2"/>
        <w:spacing w:before="0" w:after="200"/>
        <w:rPr>
          <w:sz w:val="32"/>
          <w:szCs w:val="32"/>
        </w:rPr>
      </w:pPr>
      <w:bookmarkStart w:id="57" w:name="_heading=h.m89owtdq2d86" w:colFirst="0" w:colLast="0"/>
      <w:bookmarkEnd w:id="57"/>
      <w:r>
        <w:t>Chronic Problems Reflect Structural to Behavioural Misfit</w:t>
      </w:r>
    </w:p>
    <w:p w14:paraId="05E77344" w14:textId="77777777" w:rsidR="00A769CA" w:rsidRDefault="008D3F3B">
      <w:pPr>
        <w:pBdr>
          <w:top w:val="nil"/>
          <w:left w:val="nil"/>
          <w:bottom w:val="nil"/>
          <w:right w:val="nil"/>
          <w:between w:val="nil"/>
        </w:pBdr>
        <w:spacing w:after="200" w:line="360" w:lineRule="auto"/>
        <w:jc w:val="both"/>
        <w:rPr>
          <w:color w:val="000000"/>
          <w:sz w:val="24"/>
          <w:szCs w:val="24"/>
        </w:rPr>
      </w:pPr>
      <w:r>
        <w:rPr>
          <w:color w:val="000000"/>
          <w:sz w:val="24"/>
          <w:szCs w:val="24"/>
        </w:rPr>
        <w:t xml:space="preserve">The results of the study indicate that the implementation of SRM still experiences some serious organisational and inter-personal barriers. Problems of mistrust, power imbalance, departmental silo structure and absence of managerial commitment are very prevalent. These results confirm previous studies, according to which </w:t>
      </w:r>
      <w:proofErr w:type="spellStart"/>
      <w:r>
        <w:rPr>
          <w:color w:val="000000"/>
          <w:sz w:val="24"/>
          <w:szCs w:val="24"/>
        </w:rPr>
        <w:t>Glavee</w:t>
      </w:r>
      <w:proofErr w:type="spellEnd"/>
      <w:r>
        <w:rPr>
          <w:color w:val="000000"/>
          <w:sz w:val="24"/>
          <w:szCs w:val="24"/>
        </w:rPr>
        <w:t>-Geo et al. (2021) found that cultural and communication barriers were constant inhibitors of cross-organisational collaboration.</w:t>
      </w:r>
    </w:p>
    <w:p w14:paraId="1B3DA663" w14:textId="77777777" w:rsidR="00A769CA" w:rsidRDefault="008D3F3B">
      <w:pPr>
        <w:pBdr>
          <w:top w:val="nil"/>
          <w:left w:val="nil"/>
          <w:bottom w:val="nil"/>
          <w:right w:val="nil"/>
          <w:between w:val="nil"/>
        </w:pBdr>
        <w:spacing w:after="200" w:line="360" w:lineRule="auto"/>
        <w:jc w:val="both"/>
        <w:rPr>
          <w:color w:val="000000"/>
          <w:sz w:val="24"/>
          <w:szCs w:val="24"/>
        </w:rPr>
      </w:pPr>
      <w:r>
        <w:rPr>
          <w:color w:val="000000"/>
          <w:sz w:val="24"/>
          <w:szCs w:val="24"/>
        </w:rPr>
        <w:t>The findings indicate that organisational internal problems, especially silo operations and lack of skills, are equally harmful as external supplier-buyer conflicts. This observation is consistent with the report done by Shish (2025), who noted that internal fragmentation limits the circulation of supplier intelligence and undermines SRM performance.</w:t>
      </w:r>
    </w:p>
    <w:p w14:paraId="2724DDA9" w14:textId="77777777" w:rsidR="00A769CA" w:rsidRDefault="008D3F3B">
      <w:pPr>
        <w:pBdr>
          <w:top w:val="nil"/>
          <w:left w:val="nil"/>
          <w:bottom w:val="nil"/>
          <w:right w:val="nil"/>
          <w:between w:val="nil"/>
        </w:pBdr>
        <w:spacing w:after="200" w:line="360" w:lineRule="auto"/>
        <w:jc w:val="both"/>
        <w:rPr>
          <w:color w:val="000000"/>
          <w:sz w:val="24"/>
          <w:szCs w:val="24"/>
        </w:rPr>
      </w:pPr>
      <w:r>
        <w:rPr>
          <w:color w:val="000000"/>
          <w:sz w:val="24"/>
          <w:szCs w:val="24"/>
        </w:rPr>
        <w:t>SET once more offers an understanding of clarity; partnerships diminish in the case of the absence of reciprocity and fairness. Co-creation of value is hampered by the existence of opportunistic behaviour, unilateral demand, or secrecy that destroys trust. These lessons help to realise that behavioural alignment is a key to the success of SRM, as it should not rely solely on structural mechanisms.</w:t>
      </w:r>
    </w:p>
    <w:p w14:paraId="4C5870FD" w14:textId="77777777" w:rsidR="00A769CA" w:rsidRDefault="008D3F3B">
      <w:pPr>
        <w:pStyle w:val="Heading2"/>
        <w:spacing w:before="0" w:after="200"/>
        <w:rPr>
          <w:sz w:val="32"/>
          <w:szCs w:val="32"/>
        </w:rPr>
      </w:pPr>
      <w:bookmarkStart w:id="58" w:name="_heading=h.1dhtdex7ab8x" w:colFirst="0" w:colLast="0"/>
      <w:bookmarkEnd w:id="58"/>
      <w:r>
        <w:lastRenderedPageBreak/>
        <w:t>Managerial Recommendation Strengths: SRM as a Long-Term Capability</w:t>
      </w:r>
    </w:p>
    <w:p w14:paraId="77F37685" w14:textId="77777777" w:rsidR="00A769CA" w:rsidRDefault="008D3F3B">
      <w:pPr>
        <w:pBdr>
          <w:top w:val="nil"/>
          <w:left w:val="nil"/>
          <w:bottom w:val="nil"/>
          <w:right w:val="nil"/>
          <w:between w:val="nil"/>
        </w:pBdr>
        <w:spacing w:after="200" w:line="360" w:lineRule="auto"/>
        <w:jc w:val="both"/>
        <w:rPr>
          <w:color w:val="000000"/>
          <w:sz w:val="24"/>
          <w:szCs w:val="24"/>
        </w:rPr>
      </w:pPr>
      <w:r>
        <w:rPr>
          <w:color w:val="000000"/>
          <w:sz w:val="24"/>
          <w:szCs w:val="24"/>
        </w:rPr>
        <w:t>The findings highlight the pivotal position played by the managerial action in transforming SRM outcomes. Powerful communication systems, continuous performance assessment, building capability with suppliers, and integrating digital SRM were established to be important enablers. This supports the arguments of Jyoti and Akter (2022) and Holloway (2025) observed that managers should institutionalise collaborative mechanisms to have lasting supply chain gains.</w:t>
      </w:r>
    </w:p>
    <w:p w14:paraId="5216B9A3" w14:textId="77777777" w:rsidR="00A769CA" w:rsidRDefault="008D3F3B">
      <w:pPr>
        <w:pBdr>
          <w:top w:val="nil"/>
          <w:left w:val="nil"/>
          <w:bottom w:val="nil"/>
          <w:right w:val="nil"/>
          <w:between w:val="nil"/>
        </w:pBdr>
        <w:spacing w:after="200" w:line="360" w:lineRule="auto"/>
        <w:jc w:val="both"/>
        <w:rPr>
          <w:color w:val="000000"/>
          <w:sz w:val="24"/>
          <w:szCs w:val="24"/>
        </w:rPr>
      </w:pPr>
      <w:r>
        <w:rPr>
          <w:color w:val="000000"/>
          <w:sz w:val="24"/>
          <w:szCs w:val="24"/>
        </w:rPr>
        <w:t xml:space="preserve">Altogether, the discussion has shown that the effect of SRM is multi-layered, strategic, and relational. It is part of efficiency, flexibility and customer satisfaction, not in an isolated operation, but in a consistent system of managerial, structural and behavioural practices that increase relational capital and resilience in the supply chain.  </w:t>
      </w:r>
    </w:p>
    <w:p w14:paraId="4CDC7CA7" w14:textId="77777777" w:rsidR="00A769CA" w:rsidRDefault="008D3F3B">
      <w:pPr>
        <w:pBdr>
          <w:top w:val="nil"/>
          <w:left w:val="nil"/>
          <w:bottom w:val="nil"/>
          <w:right w:val="nil"/>
          <w:between w:val="nil"/>
        </w:pBdr>
        <w:spacing w:after="200" w:line="360" w:lineRule="auto"/>
        <w:jc w:val="both"/>
        <w:rPr>
          <w:color w:val="000000"/>
          <w:sz w:val="24"/>
          <w:szCs w:val="24"/>
        </w:rPr>
      </w:pPr>
      <w:r>
        <w:rPr>
          <w:color w:val="000000"/>
          <w:sz w:val="24"/>
          <w:szCs w:val="24"/>
        </w:rPr>
        <w:t xml:space="preserve">The illustration of the leading aspects of SRM within the manufacturing sector identifies supplier segmentation, collaborative planning, performance measurement and constant improvement as some of the pillars. As </w:t>
      </w:r>
      <w:proofErr w:type="spellStart"/>
      <w:r>
        <w:rPr>
          <w:color w:val="000000"/>
          <w:sz w:val="24"/>
          <w:szCs w:val="24"/>
        </w:rPr>
        <w:t>Patrucco</w:t>
      </w:r>
      <w:proofErr w:type="spellEnd"/>
      <w:r>
        <w:rPr>
          <w:color w:val="000000"/>
          <w:sz w:val="24"/>
          <w:szCs w:val="24"/>
        </w:rPr>
        <w:t xml:space="preserve">, Frattini and Di Benedetto (2022) noted, coordination and innovation are promoted by integration along with joint planning and shared systems of data. Nonetheless, in the second part, </w:t>
      </w:r>
      <w:proofErr w:type="spellStart"/>
      <w:r>
        <w:rPr>
          <w:color w:val="000000"/>
          <w:sz w:val="24"/>
          <w:szCs w:val="24"/>
        </w:rPr>
        <w:t>Riofiandi</w:t>
      </w:r>
      <w:proofErr w:type="spellEnd"/>
      <w:r>
        <w:rPr>
          <w:color w:val="000000"/>
          <w:sz w:val="24"/>
          <w:szCs w:val="24"/>
        </w:rPr>
        <w:t xml:space="preserve"> and </w:t>
      </w:r>
      <w:proofErr w:type="spellStart"/>
      <w:r>
        <w:rPr>
          <w:color w:val="000000"/>
          <w:sz w:val="24"/>
          <w:szCs w:val="24"/>
        </w:rPr>
        <w:t>Tarigan</w:t>
      </w:r>
      <w:proofErr w:type="spellEnd"/>
      <w:r>
        <w:rPr>
          <w:color w:val="000000"/>
          <w:sz w:val="24"/>
          <w:szCs w:val="24"/>
        </w:rPr>
        <w:t xml:space="preserve"> (2022) indicated that despite the beneficial effect of collaboration of supplier relations on responsiveness and low inventory costs, effective application of collaboration becomes possible only under the condition of timely exchange of information. On the contrary, the former section suggests th</w:t>
      </w:r>
      <w:r>
        <w:rPr>
          <w:color w:val="000000"/>
          <w:sz w:val="24"/>
          <w:szCs w:val="24"/>
        </w:rPr>
        <w:t>at such attempts operate practically as automatic mechanisms at the level of strategy, and the latter indicates that the value of SRM to efficiency lies in digital technologies and the proper prediction of outcomes (Smith, 2024). Therefore, the theoretical strategic benefits of SRM should be aligned with the technological and process reality. </w:t>
      </w:r>
    </w:p>
    <w:p w14:paraId="41A6F5B9" w14:textId="77777777" w:rsidR="00A769CA" w:rsidRDefault="008D3F3B">
      <w:pPr>
        <w:pBdr>
          <w:top w:val="nil"/>
          <w:left w:val="nil"/>
          <w:bottom w:val="nil"/>
          <w:right w:val="nil"/>
          <w:between w:val="nil"/>
        </w:pBdr>
        <w:spacing w:after="200" w:line="360" w:lineRule="auto"/>
        <w:jc w:val="both"/>
        <w:rPr>
          <w:color w:val="000000"/>
          <w:sz w:val="24"/>
          <w:szCs w:val="24"/>
        </w:rPr>
      </w:pPr>
      <w:r>
        <w:rPr>
          <w:color w:val="000000"/>
          <w:sz w:val="24"/>
          <w:szCs w:val="24"/>
        </w:rPr>
        <w:t xml:space="preserve">Equally, the RBV logic, introduced by El </w:t>
      </w:r>
      <w:proofErr w:type="spellStart"/>
      <w:r>
        <w:rPr>
          <w:color w:val="000000"/>
          <w:sz w:val="24"/>
          <w:szCs w:val="24"/>
        </w:rPr>
        <w:t>Nemar</w:t>
      </w:r>
      <w:proofErr w:type="spellEnd"/>
      <w:r>
        <w:rPr>
          <w:color w:val="000000"/>
          <w:sz w:val="24"/>
          <w:szCs w:val="24"/>
        </w:rPr>
        <w:t xml:space="preserve"> et al. (2025) and justified by Rishi, Dwivedi and Ghosal (2022), implies that SRM creates the relational capital that can be hard to replicate by the rivals. Conversely, the second section contends that the enhanced flexibility of the supply chain cannot solely rely on the long-term relational assets, but on instantaneous capacity changes and dependable forecasting (Sy Jr, 2025). Thus, SRM is theoretically constructed on competitiveness based on intangible resources, </w:t>
      </w:r>
      <w:proofErr w:type="gramStart"/>
      <w:r>
        <w:rPr>
          <w:color w:val="000000"/>
          <w:sz w:val="24"/>
          <w:szCs w:val="24"/>
        </w:rPr>
        <w:t>but in reality,</w:t>
      </w:r>
      <w:proofErr w:type="gramEnd"/>
      <w:r>
        <w:rPr>
          <w:color w:val="000000"/>
          <w:sz w:val="24"/>
          <w:szCs w:val="24"/>
        </w:rPr>
        <w:t xml:space="preserve"> it will rely on th</w:t>
      </w:r>
      <w:r>
        <w:rPr>
          <w:color w:val="000000"/>
          <w:sz w:val="24"/>
          <w:szCs w:val="24"/>
        </w:rPr>
        <w:t>e flexibility of operations but not the presence of strong relationships. </w:t>
      </w:r>
    </w:p>
    <w:p w14:paraId="3D2D98FE" w14:textId="77777777" w:rsidR="00A769CA" w:rsidRDefault="008D3F3B">
      <w:pPr>
        <w:pBdr>
          <w:top w:val="nil"/>
          <w:left w:val="nil"/>
          <w:bottom w:val="nil"/>
          <w:right w:val="nil"/>
          <w:between w:val="nil"/>
        </w:pBdr>
        <w:spacing w:after="200" w:line="360" w:lineRule="auto"/>
        <w:jc w:val="both"/>
        <w:rPr>
          <w:color w:val="000000"/>
          <w:sz w:val="24"/>
          <w:szCs w:val="24"/>
        </w:rPr>
      </w:pPr>
      <w:r>
        <w:rPr>
          <w:color w:val="000000"/>
          <w:sz w:val="24"/>
          <w:szCs w:val="24"/>
        </w:rPr>
        <w:lastRenderedPageBreak/>
        <w:t xml:space="preserve">In the case of performance improvement, there seems to be a difference as well. The first part of the article by </w:t>
      </w:r>
      <w:proofErr w:type="spellStart"/>
      <w:r>
        <w:rPr>
          <w:color w:val="000000"/>
          <w:sz w:val="24"/>
          <w:szCs w:val="24"/>
        </w:rPr>
        <w:t>Dahinine</w:t>
      </w:r>
      <w:proofErr w:type="spellEnd"/>
      <w:r>
        <w:rPr>
          <w:color w:val="000000"/>
          <w:sz w:val="24"/>
          <w:szCs w:val="24"/>
        </w:rPr>
        <w:t xml:space="preserve"> et al. (2024) defines performance measurement as the alignment of the corporate objectives with the activities of the suppliers. On the other hand, regarding the second section, performance is described as an outcome chain-wide, such as fewer disruptions, increased productivity and reduced administrative costs (Smith, 2024). Thus, the former is about analysing suppliers; the latter is associated with bettering systems. This paradox brings out an important fact, namely, SRM would not be able to impr</w:t>
      </w:r>
      <w:r>
        <w:rPr>
          <w:color w:val="000000"/>
          <w:sz w:val="24"/>
          <w:szCs w:val="24"/>
        </w:rPr>
        <w:t>ove performance unless it has been integrated into digital processes in the form of measurement and not as a control system. </w:t>
      </w:r>
    </w:p>
    <w:p w14:paraId="19531980" w14:textId="77777777" w:rsidR="00A769CA" w:rsidRDefault="008D3F3B">
      <w:pPr>
        <w:pBdr>
          <w:top w:val="nil"/>
          <w:left w:val="nil"/>
          <w:bottom w:val="nil"/>
          <w:right w:val="nil"/>
          <w:between w:val="nil"/>
        </w:pBdr>
        <w:spacing w:after="200" w:line="360" w:lineRule="auto"/>
        <w:jc w:val="both"/>
        <w:rPr>
          <w:color w:val="000000"/>
          <w:sz w:val="24"/>
          <w:szCs w:val="24"/>
        </w:rPr>
      </w:pPr>
      <w:r>
        <w:rPr>
          <w:color w:val="000000"/>
          <w:sz w:val="24"/>
          <w:szCs w:val="24"/>
        </w:rPr>
        <w:t>Moreover, sustainability and customer satisfaction results, as stated by Tanveer et al. (2021) and Vaka (2024), seem to confirm this viewpoint that SRM is a facilitator of ethical performance and brand loyalty. The former section, in its turn, introduces SRM in a more limited sense of efficiency, innovation, and risk reduction. That is, the role that SRM plays in competitive differentiation based on the aspects of sustainability and consumer trust is understated in the strategic conceptualisation but suppor</w:t>
      </w:r>
      <w:r>
        <w:rPr>
          <w:color w:val="000000"/>
          <w:sz w:val="24"/>
          <w:szCs w:val="24"/>
        </w:rPr>
        <w:t>ted when performance indicators are examined directly. </w:t>
      </w:r>
    </w:p>
    <w:p w14:paraId="2405F315" w14:textId="77777777" w:rsidR="00A769CA" w:rsidRDefault="008D3F3B">
      <w:pPr>
        <w:pBdr>
          <w:top w:val="nil"/>
          <w:left w:val="nil"/>
          <w:bottom w:val="nil"/>
          <w:right w:val="nil"/>
          <w:between w:val="nil"/>
        </w:pBdr>
        <w:spacing w:after="200" w:line="360" w:lineRule="auto"/>
        <w:jc w:val="both"/>
        <w:rPr>
          <w:color w:val="000000"/>
          <w:sz w:val="24"/>
          <w:szCs w:val="24"/>
        </w:rPr>
      </w:pPr>
      <w:r>
        <w:rPr>
          <w:color w:val="000000"/>
          <w:sz w:val="24"/>
          <w:szCs w:val="24"/>
        </w:rPr>
        <w:t>Overall, the discussions show that although SRM is strategically placed as a driver of long-term relational value, the actual advantages of the supply chain performance are only implemented when the collaboration between SRM can be facilitated by technological innovations and sound planning and coordination based on real-time information. </w:t>
      </w:r>
    </w:p>
    <w:p w14:paraId="134B2D38" w14:textId="77777777" w:rsidR="00A769CA" w:rsidRDefault="008D3F3B">
      <w:pPr>
        <w:pStyle w:val="Heading2"/>
        <w:spacing w:before="0" w:after="200"/>
        <w:rPr>
          <w:sz w:val="32"/>
          <w:szCs w:val="32"/>
        </w:rPr>
      </w:pPr>
      <w:bookmarkStart w:id="59" w:name="_heading=h.kmp6lpo508rk" w:colFirst="0" w:colLast="0"/>
      <w:bookmarkEnd w:id="59"/>
      <w:r>
        <w:t xml:space="preserve">4.5 Chapter Summary </w:t>
      </w:r>
    </w:p>
    <w:p w14:paraId="461286D9" w14:textId="77777777" w:rsidR="00A769CA" w:rsidRDefault="008D3F3B">
      <w:pPr>
        <w:pBdr>
          <w:top w:val="nil"/>
          <w:left w:val="nil"/>
          <w:bottom w:val="nil"/>
          <w:right w:val="nil"/>
          <w:between w:val="nil"/>
        </w:pBdr>
        <w:spacing w:after="200" w:line="360" w:lineRule="auto"/>
        <w:jc w:val="both"/>
        <w:rPr>
          <w:color w:val="000000"/>
          <w:sz w:val="24"/>
          <w:szCs w:val="24"/>
        </w:rPr>
      </w:pPr>
      <w:bookmarkStart w:id="60" w:name="_heading=h.6we8ld3nmhyw" w:colFirst="0" w:colLast="0"/>
      <w:bookmarkEnd w:id="60"/>
      <w:r>
        <w:rPr>
          <w:color w:val="000000"/>
          <w:sz w:val="24"/>
          <w:szCs w:val="24"/>
        </w:rPr>
        <w:t>It is a chapter that has given and discussed secondary findings on Strategic Supplier Relationship Management (SRM) in relation to performance within the manufacturing supply chains. It demonstrates that strategic SRM improves resilience, efficiency, and flexibility and customer satisfaction by segmenting the suppliers, joint planning, openness and innovation. Its significance is indicated by the evidence of COVID-19 disruptions. Mechanisms of resistance, such as mistrust, goal incompatibility, siloed struc</w:t>
      </w:r>
      <w:r>
        <w:rPr>
          <w:color w:val="000000"/>
          <w:sz w:val="24"/>
          <w:szCs w:val="24"/>
        </w:rPr>
        <w:t>tures and power disequilibrium, are the issues. Marketing activities such as communication, development of suppliers, performance assessment and digital SRM are crucial. Altogether, SRM is strategic, relational, and is necessary for continuity and competitiveness. </w:t>
      </w:r>
    </w:p>
    <w:p w14:paraId="4FCC13F0" w14:textId="77777777" w:rsidR="00A769CA" w:rsidRDefault="008D3F3B">
      <w:pPr>
        <w:pStyle w:val="Heading1"/>
        <w:spacing w:before="280" w:after="280"/>
      </w:pPr>
      <w:bookmarkStart w:id="61" w:name="_heading=h.7nj5yrmidolh" w:colFirst="0" w:colLast="0"/>
      <w:bookmarkEnd w:id="61"/>
      <w:r>
        <w:lastRenderedPageBreak/>
        <w:t xml:space="preserve">CHAPTER 5: CONCLUSIONS AND RECOMMENDATIONS </w:t>
      </w:r>
    </w:p>
    <w:p w14:paraId="6325C79C" w14:textId="77777777" w:rsidR="00A769CA" w:rsidRDefault="008D3F3B">
      <w:pPr>
        <w:pStyle w:val="Heading2"/>
        <w:spacing w:before="0" w:after="200"/>
        <w:rPr>
          <w:sz w:val="32"/>
          <w:szCs w:val="32"/>
        </w:rPr>
      </w:pPr>
      <w:bookmarkStart w:id="62" w:name="_heading=h.rtrzx8uexegz" w:colFirst="0" w:colLast="0"/>
      <w:bookmarkEnd w:id="62"/>
      <w:r>
        <w:t xml:space="preserve">5.1 Chapter Introduction </w:t>
      </w:r>
    </w:p>
    <w:p w14:paraId="3B679B51" w14:textId="77777777" w:rsidR="00A769CA" w:rsidRDefault="008D3F3B">
      <w:pPr>
        <w:pBdr>
          <w:top w:val="nil"/>
          <w:left w:val="nil"/>
          <w:bottom w:val="nil"/>
          <w:right w:val="nil"/>
          <w:between w:val="nil"/>
        </w:pBdr>
        <w:spacing w:after="200" w:line="360" w:lineRule="auto"/>
        <w:jc w:val="both"/>
        <w:rPr>
          <w:color w:val="000000"/>
          <w:sz w:val="24"/>
          <w:szCs w:val="24"/>
        </w:rPr>
      </w:pPr>
      <w:r>
        <w:rPr>
          <w:color w:val="000000"/>
          <w:sz w:val="24"/>
          <w:szCs w:val="24"/>
        </w:rPr>
        <w:t>This chapter is the final part of the study, as it draws a summary conclusion of the main findings on the role of Strategic Supplier Relationship Management (SRM) in the performance of the supply chain in the manufacturing industry. It comments on the way the research objectives were met by analysing the secondary data. Moreover, the chapter gives useful managerial suggestions on the results of the study and draws future research directions to increase the learning and practice of SRM in the modern manufact</w:t>
      </w:r>
      <w:r>
        <w:rPr>
          <w:color w:val="000000"/>
          <w:sz w:val="24"/>
          <w:szCs w:val="24"/>
        </w:rPr>
        <w:t>uring setting.</w:t>
      </w:r>
    </w:p>
    <w:p w14:paraId="10BE3EA2" w14:textId="77777777" w:rsidR="00A769CA" w:rsidRDefault="008D3F3B">
      <w:pPr>
        <w:pStyle w:val="Heading2"/>
        <w:spacing w:before="0" w:after="200"/>
        <w:rPr>
          <w:sz w:val="32"/>
          <w:szCs w:val="32"/>
        </w:rPr>
      </w:pPr>
      <w:bookmarkStart w:id="63" w:name="_heading=h.85fbvaad8vs7" w:colFirst="0" w:colLast="0"/>
      <w:bookmarkEnd w:id="63"/>
      <w:r>
        <w:t xml:space="preserve">5.2 Summary of main findings </w:t>
      </w:r>
    </w:p>
    <w:p w14:paraId="6D7575E9" w14:textId="77777777" w:rsidR="00A769CA" w:rsidRDefault="008D3F3B">
      <w:pPr>
        <w:pBdr>
          <w:top w:val="nil"/>
          <w:left w:val="nil"/>
          <w:bottom w:val="nil"/>
          <w:right w:val="nil"/>
          <w:between w:val="nil"/>
        </w:pBdr>
        <w:spacing w:after="200" w:line="360" w:lineRule="auto"/>
        <w:jc w:val="both"/>
        <w:rPr>
          <w:b/>
          <w:bCs/>
          <w:i/>
          <w:iCs/>
          <w:sz w:val="24"/>
          <w:szCs w:val="24"/>
        </w:rPr>
      </w:pPr>
      <w:r>
        <w:rPr>
          <w:b/>
          <w:bCs/>
          <w:i/>
          <w:iCs/>
          <w:sz w:val="24"/>
          <w:szCs w:val="24"/>
        </w:rPr>
        <w:t>Findings Related to Research Question 1: What are the core components of strategic SRM in the manufacturing sector?</w:t>
      </w:r>
    </w:p>
    <w:p w14:paraId="4E395A2A" w14:textId="77777777" w:rsidR="00A769CA" w:rsidRDefault="008D3F3B">
      <w:pPr>
        <w:pBdr>
          <w:top w:val="nil"/>
          <w:left w:val="nil"/>
          <w:bottom w:val="nil"/>
          <w:right w:val="nil"/>
          <w:between w:val="nil"/>
        </w:pBdr>
        <w:spacing w:after="200" w:line="360" w:lineRule="auto"/>
        <w:jc w:val="both"/>
        <w:rPr>
          <w:color w:val="000000"/>
          <w:sz w:val="24"/>
          <w:szCs w:val="24"/>
        </w:rPr>
      </w:pPr>
      <w:r>
        <w:rPr>
          <w:sz w:val="24"/>
          <w:szCs w:val="24"/>
        </w:rPr>
        <w:t xml:space="preserve">The findings addressing Research Question 1 identify the key foundational elements that define strategic SRM within the manufacturing context. </w:t>
      </w:r>
      <w:r>
        <w:rPr>
          <w:color w:val="000000"/>
          <w:sz w:val="24"/>
          <w:szCs w:val="24"/>
        </w:rPr>
        <w:t>These study results concur with the argument that Strategic Supplier Relationship Management (SRM) is an important aspect of enhancing the performance of the supply chain in the manufacturing industry. The study determined that SRM could go beyond transactional purchasing and long-term and partnership-oriented relationships that improve risk mitigation, innovation and resilience. Supplier segmentation and proactive risk monitoring have been determined as fundamental aspects of strategic SRM, particularly in</w:t>
      </w:r>
      <w:r>
        <w:rPr>
          <w:color w:val="000000"/>
          <w:sz w:val="24"/>
          <w:szCs w:val="24"/>
        </w:rPr>
        <w:t xml:space="preserve"> times of crisis like the COVID-19 pandemic, when companies that have weak SRM frameworks suffered significant disruptions.</w:t>
      </w:r>
    </w:p>
    <w:p w14:paraId="0944D41A" w14:textId="77777777" w:rsidR="00A769CA" w:rsidRDefault="008D3F3B">
      <w:pPr>
        <w:pBdr>
          <w:top w:val="nil"/>
          <w:left w:val="nil"/>
          <w:bottom w:val="nil"/>
          <w:right w:val="nil"/>
          <w:between w:val="nil"/>
        </w:pBdr>
        <w:spacing w:after="200" w:line="360" w:lineRule="auto"/>
        <w:jc w:val="both"/>
        <w:rPr>
          <w:b/>
          <w:bCs/>
          <w:i/>
          <w:iCs/>
          <w:sz w:val="24"/>
          <w:szCs w:val="24"/>
        </w:rPr>
      </w:pPr>
      <w:r>
        <w:rPr>
          <w:b/>
          <w:bCs/>
          <w:i/>
          <w:iCs/>
          <w:sz w:val="24"/>
          <w:szCs w:val="24"/>
        </w:rPr>
        <w:t xml:space="preserve">Findings Related to Research Question </w:t>
      </w:r>
      <w:proofErr w:type="gramStart"/>
      <w:r>
        <w:rPr>
          <w:b/>
          <w:bCs/>
          <w:i/>
          <w:iCs/>
          <w:sz w:val="24"/>
          <w:szCs w:val="24"/>
        </w:rPr>
        <w:t>2:How</w:t>
      </w:r>
      <w:proofErr w:type="gramEnd"/>
      <w:r>
        <w:rPr>
          <w:b/>
          <w:bCs/>
          <w:i/>
          <w:iCs/>
          <w:sz w:val="24"/>
          <w:szCs w:val="24"/>
        </w:rPr>
        <w:t xml:space="preserve"> does SRM influence supply chain performance indicators such as efficiency, flexibility, and customer satisfaction?</w:t>
      </w:r>
    </w:p>
    <w:p w14:paraId="3089B0EE" w14:textId="77777777" w:rsidR="00A769CA" w:rsidRDefault="008D3F3B">
      <w:pPr>
        <w:pBdr>
          <w:top w:val="nil"/>
          <w:left w:val="nil"/>
          <w:bottom w:val="nil"/>
          <w:right w:val="nil"/>
          <w:between w:val="nil"/>
        </w:pBdr>
        <w:spacing w:after="200" w:line="360" w:lineRule="auto"/>
        <w:jc w:val="both"/>
        <w:rPr>
          <w:color w:val="000000"/>
          <w:sz w:val="24"/>
          <w:szCs w:val="24"/>
        </w:rPr>
      </w:pPr>
      <w:r>
        <w:rPr>
          <w:sz w:val="24"/>
          <w:szCs w:val="24"/>
        </w:rPr>
        <w:t xml:space="preserve">The findings related to Research Question 2 demonstrate the performance-based impacts of SRM across key operational </w:t>
      </w:r>
      <w:proofErr w:type="spellStart"/>
      <w:proofErr w:type="gramStart"/>
      <w:r>
        <w:rPr>
          <w:sz w:val="24"/>
          <w:szCs w:val="24"/>
        </w:rPr>
        <w:t>indicators.</w:t>
      </w:r>
      <w:r>
        <w:rPr>
          <w:color w:val="000000"/>
          <w:sz w:val="24"/>
          <w:szCs w:val="24"/>
        </w:rPr>
        <w:t>The</w:t>
      </w:r>
      <w:proofErr w:type="spellEnd"/>
      <w:proofErr w:type="gramEnd"/>
      <w:r>
        <w:rPr>
          <w:color w:val="000000"/>
          <w:sz w:val="24"/>
          <w:szCs w:val="24"/>
        </w:rPr>
        <w:t xml:space="preserve"> analysis also found that SRM greatly affects three major performance indicators of supply chain operations, which are efficiency, flexibility, and customer satisfaction. Better communication and coordination between manufacturers and suppliers were observed to help in the </w:t>
      </w:r>
      <w:r>
        <w:rPr>
          <w:color w:val="000000"/>
          <w:sz w:val="24"/>
          <w:szCs w:val="24"/>
        </w:rPr>
        <w:lastRenderedPageBreak/>
        <w:t>reduction of information asymmetry, decrease of inventory cost, and improvement of production efficiency. Regarding flexibility, good relations with suppliers allowed companies to react fast to the changes in demand and exte</w:t>
      </w:r>
      <w:r>
        <w:rPr>
          <w:color w:val="000000"/>
          <w:sz w:val="24"/>
          <w:szCs w:val="24"/>
        </w:rPr>
        <w:t>rnal shocks like geopolitical disputes, and fluctuation of energy prices. This also improved customer satisfaction by increasing the quality of the product, decreasing lead times, sourcing in an ethical way, and constant innovation due to close collaboration with the supplier.</w:t>
      </w:r>
    </w:p>
    <w:p w14:paraId="2D5558E1" w14:textId="77777777" w:rsidR="00A769CA" w:rsidRDefault="008D3F3B">
      <w:pPr>
        <w:pBdr>
          <w:top w:val="nil"/>
          <w:left w:val="nil"/>
          <w:bottom w:val="nil"/>
          <w:right w:val="nil"/>
          <w:between w:val="nil"/>
        </w:pBdr>
        <w:spacing w:after="200" w:line="360" w:lineRule="auto"/>
        <w:jc w:val="both"/>
        <w:rPr>
          <w:b/>
          <w:bCs/>
          <w:i/>
          <w:iCs/>
          <w:sz w:val="24"/>
          <w:szCs w:val="24"/>
        </w:rPr>
      </w:pPr>
      <w:r>
        <w:rPr>
          <w:b/>
          <w:bCs/>
          <w:i/>
          <w:iCs/>
          <w:sz w:val="24"/>
          <w:szCs w:val="24"/>
        </w:rPr>
        <w:t>Findings Related to Research Question 3: What are the challenges and barriers that affect the effective implementation of SRM?</w:t>
      </w:r>
    </w:p>
    <w:p w14:paraId="3E3F6EFA" w14:textId="77777777" w:rsidR="00A769CA" w:rsidRDefault="008D3F3B">
      <w:pPr>
        <w:pBdr>
          <w:top w:val="nil"/>
          <w:left w:val="nil"/>
          <w:bottom w:val="nil"/>
          <w:right w:val="nil"/>
          <w:between w:val="nil"/>
        </w:pBdr>
        <w:spacing w:after="200" w:line="360" w:lineRule="auto"/>
        <w:jc w:val="both"/>
        <w:rPr>
          <w:color w:val="000000"/>
          <w:sz w:val="24"/>
          <w:szCs w:val="24"/>
        </w:rPr>
      </w:pPr>
      <w:r>
        <w:rPr>
          <w:sz w:val="24"/>
          <w:szCs w:val="24"/>
        </w:rPr>
        <w:t xml:space="preserve">The findings for Research Question 3 highlight the structural, relational, and institutional barriers that limit the effectiveness of SRM </w:t>
      </w:r>
      <w:proofErr w:type="spellStart"/>
      <w:proofErr w:type="gramStart"/>
      <w:r>
        <w:rPr>
          <w:sz w:val="24"/>
          <w:szCs w:val="24"/>
        </w:rPr>
        <w:t>implementation.</w:t>
      </w:r>
      <w:r>
        <w:rPr>
          <w:color w:val="000000"/>
          <w:sz w:val="24"/>
          <w:szCs w:val="24"/>
        </w:rPr>
        <w:t>Although</w:t>
      </w:r>
      <w:proofErr w:type="spellEnd"/>
      <w:proofErr w:type="gramEnd"/>
      <w:r>
        <w:rPr>
          <w:color w:val="000000"/>
          <w:sz w:val="24"/>
          <w:szCs w:val="24"/>
        </w:rPr>
        <w:t xml:space="preserve"> the advantages were enjoyed, the results showed that there are </w:t>
      </w:r>
      <w:proofErr w:type="gramStart"/>
      <w:r>
        <w:rPr>
          <w:color w:val="000000"/>
          <w:sz w:val="24"/>
          <w:szCs w:val="24"/>
        </w:rPr>
        <w:t>a number of</w:t>
      </w:r>
      <w:proofErr w:type="gramEnd"/>
      <w:r>
        <w:rPr>
          <w:color w:val="000000"/>
          <w:sz w:val="24"/>
          <w:szCs w:val="24"/>
        </w:rPr>
        <w:t xml:space="preserve"> serious issues that influence the process of SRM. These are low trust and transparency, non-congruency of strategic objectives, buyer-supplier power conflicts and institutional barriers within the organisation, like a silo-based organisation and unwillingness to change. </w:t>
      </w:r>
    </w:p>
    <w:p w14:paraId="2291525A" w14:textId="77777777" w:rsidR="00A769CA" w:rsidRDefault="008D3F3B">
      <w:pPr>
        <w:pBdr>
          <w:top w:val="nil"/>
          <w:left w:val="nil"/>
          <w:bottom w:val="nil"/>
          <w:right w:val="nil"/>
          <w:between w:val="nil"/>
        </w:pBdr>
        <w:spacing w:after="200" w:line="360" w:lineRule="auto"/>
        <w:jc w:val="both"/>
        <w:rPr>
          <w:b/>
          <w:bCs/>
          <w:i/>
          <w:iCs/>
          <w:sz w:val="24"/>
          <w:szCs w:val="24"/>
        </w:rPr>
      </w:pPr>
      <w:r>
        <w:rPr>
          <w:b/>
          <w:bCs/>
          <w:i/>
          <w:iCs/>
          <w:sz w:val="24"/>
          <w:szCs w:val="24"/>
        </w:rPr>
        <w:t>Findings Related to Research Question 4: What are managerial recommendations to strengthen supplier relationships for improved supply chain outcomes?</w:t>
      </w:r>
    </w:p>
    <w:p w14:paraId="3C10FEE4" w14:textId="77777777" w:rsidR="00A769CA" w:rsidRDefault="008D3F3B">
      <w:pPr>
        <w:pBdr>
          <w:top w:val="nil"/>
          <w:left w:val="nil"/>
          <w:bottom w:val="nil"/>
          <w:right w:val="nil"/>
          <w:between w:val="nil"/>
        </w:pBdr>
        <w:spacing w:after="200" w:line="360" w:lineRule="auto"/>
        <w:jc w:val="both"/>
        <w:rPr>
          <w:color w:val="000000"/>
          <w:sz w:val="24"/>
          <w:szCs w:val="24"/>
        </w:rPr>
      </w:pPr>
      <w:r>
        <w:rPr>
          <w:sz w:val="24"/>
          <w:szCs w:val="24"/>
        </w:rPr>
        <w:t xml:space="preserve">The findings linked to Research Question 4 emphasise the need for targeted managerial strategies to overcome SRM barriers and maximise performance </w:t>
      </w:r>
      <w:proofErr w:type="spellStart"/>
      <w:r>
        <w:rPr>
          <w:sz w:val="24"/>
          <w:szCs w:val="24"/>
        </w:rPr>
        <w:t>benefits.</w:t>
      </w:r>
      <w:r>
        <w:rPr>
          <w:color w:val="000000"/>
          <w:sz w:val="24"/>
          <w:szCs w:val="24"/>
        </w:rPr>
        <w:t>Lastly</w:t>
      </w:r>
      <w:proofErr w:type="spellEnd"/>
      <w:r>
        <w:rPr>
          <w:color w:val="000000"/>
          <w:sz w:val="24"/>
          <w:szCs w:val="24"/>
        </w:rPr>
        <w:t>, the research found that to overcome these barriers so that the performance benefits of SRM in the manufacturing supply chains can be reaped in full, there needs to be effective managerial intervention in the form of open communication, supplier performance review, capability development and adoption of digital SRM tools. </w:t>
      </w:r>
    </w:p>
    <w:p w14:paraId="730F5382" w14:textId="77777777" w:rsidR="00A769CA" w:rsidRDefault="008D3F3B">
      <w:pPr>
        <w:pStyle w:val="Heading2"/>
        <w:spacing w:before="0" w:after="200"/>
        <w:rPr>
          <w:sz w:val="32"/>
          <w:szCs w:val="32"/>
        </w:rPr>
      </w:pPr>
      <w:bookmarkStart w:id="64" w:name="_heading=h.bqgfn2a4em35" w:colFirst="0" w:colLast="0"/>
      <w:bookmarkEnd w:id="64"/>
      <w:r>
        <w:t>5.3 Conclusion based on the research questions </w:t>
      </w:r>
    </w:p>
    <w:p w14:paraId="2E038489" w14:textId="77777777" w:rsidR="00A769CA" w:rsidRDefault="008D3F3B">
      <w:pPr>
        <w:pBdr>
          <w:top w:val="nil"/>
          <w:left w:val="nil"/>
          <w:bottom w:val="nil"/>
          <w:right w:val="nil"/>
          <w:between w:val="nil"/>
        </w:pBdr>
        <w:spacing w:after="200" w:line="360" w:lineRule="auto"/>
        <w:jc w:val="both"/>
        <w:rPr>
          <w:color w:val="000000"/>
          <w:sz w:val="24"/>
          <w:szCs w:val="24"/>
        </w:rPr>
      </w:pPr>
      <w:r>
        <w:rPr>
          <w:color w:val="000000"/>
          <w:sz w:val="24"/>
          <w:szCs w:val="24"/>
        </w:rPr>
        <w:t xml:space="preserve">The discussion has shown that strategic SRM is founded on fundamental elements such as supplier segmentation, collaborative planning, performance measurement, supplier development, as well as integrating technology. All these are constituents of transforming the supplier relationships more to value relationships, rather than transactional ones. SRM has a positive impact on the supply chain in that it leads to </w:t>
      </w:r>
      <w:r>
        <w:rPr>
          <w:color w:val="000000"/>
          <w:sz w:val="24"/>
          <w:szCs w:val="24"/>
        </w:rPr>
        <w:lastRenderedPageBreak/>
        <w:t>improvement in supply chain efficiency due to less wastage and ease in the supply chain, enhancement of supply chain flexibility due to proactive forecasting and innovation and has a positive impact on customer satisfaction because of uniform quality and reliability. </w:t>
      </w:r>
    </w:p>
    <w:p w14:paraId="58003B3C" w14:textId="77777777" w:rsidR="00A769CA" w:rsidRDefault="008D3F3B">
      <w:pPr>
        <w:pBdr>
          <w:top w:val="nil"/>
          <w:left w:val="nil"/>
          <w:bottom w:val="nil"/>
          <w:right w:val="nil"/>
          <w:between w:val="nil"/>
        </w:pBdr>
        <w:spacing w:after="200" w:line="360" w:lineRule="auto"/>
        <w:jc w:val="both"/>
        <w:rPr>
          <w:color w:val="000000"/>
          <w:sz w:val="24"/>
          <w:szCs w:val="24"/>
        </w:rPr>
      </w:pPr>
      <w:r>
        <w:rPr>
          <w:color w:val="000000"/>
          <w:sz w:val="24"/>
          <w:szCs w:val="24"/>
        </w:rPr>
        <w:t>Nonetheless, the study also shows that there are still long-standing problems, including mistrust, goal misalignment, limited digital integration, and a lack of capability of the suppliers, which prevent the effectiveness of SRM. The solution to these barriers includes managerial dedication to open communication, frequent performance appraisals, ongoing supplier development programs, and the use of online-based platforms that can be used to share information in real time. The results in general confirm that</w:t>
      </w:r>
      <w:r>
        <w:rPr>
          <w:color w:val="000000"/>
          <w:sz w:val="24"/>
          <w:szCs w:val="24"/>
        </w:rPr>
        <w:t xml:space="preserve"> SRM is not just a functional activity but a competitive force that creates competitiveness, harmony in the manufacturing supply chain. </w:t>
      </w:r>
    </w:p>
    <w:p w14:paraId="1BED40DE" w14:textId="77777777" w:rsidR="00A769CA" w:rsidRDefault="008D3F3B">
      <w:pPr>
        <w:pStyle w:val="Heading2"/>
        <w:spacing w:before="0" w:after="200"/>
        <w:rPr>
          <w:sz w:val="32"/>
          <w:szCs w:val="32"/>
        </w:rPr>
      </w:pPr>
      <w:bookmarkStart w:id="65" w:name="_heading=h.kp486o8xtspe" w:colFirst="0" w:colLast="0"/>
      <w:bookmarkEnd w:id="65"/>
      <w:r>
        <w:t xml:space="preserve">5.4 Recommendation </w:t>
      </w:r>
    </w:p>
    <w:p w14:paraId="77DE56D7" w14:textId="77777777" w:rsidR="00A769CA" w:rsidRDefault="008D3F3B">
      <w:pPr>
        <w:pBdr>
          <w:top w:val="nil"/>
          <w:left w:val="nil"/>
          <w:bottom w:val="nil"/>
          <w:right w:val="nil"/>
          <w:between w:val="nil"/>
        </w:pBdr>
        <w:spacing w:after="200" w:line="360" w:lineRule="auto"/>
        <w:jc w:val="both"/>
        <w:rPr>
          <w:color w:val="000000"/>
          <w:sz w:val="24"/>
          <w:szCs w:val="24"/>
        </w:rPr>
      </w:pPr>
      <w:r>
        <w:rPr>
          <w:color w:val="000000"/>
          <w:sz w:val="24"/>
          <w:szCs w:val="24"/>
        </w:rPr>
        <w:t>Strategic Supplier Relationship Management (SRM) is an essential tool in promoting an efficient, responsive and competent supply chain as well as customer satisfaction. But to extract complete advantages, managerial efforts and a correct theoretical basis should be taken into consideration. </w:t>
      </w:r>
    </w:p>
    <w:p w14:paraId="27B68046" w14:textId="77777777" w:rsidR="00A769CA" w:rsidRDefault="008D3F3B">
      <w:pPr>
        <w:pBdr>
          <w:top w:val="nil"/>
          <w:left w:val="nil"/>
          <w:bottom w:val="nil"/>
          <w:right w:val="nil"/>
          <w:between w:val="nil"/>
        </w:pBdr>
        <w:spacing w:after="200" w:line="360" w:lineRule="auto"/>
        <w:jc w:val="both"/>
        <w:rPr>
          <w:color w:val="000000"/>
          <w:sz w:val="24"/>
          <w:szCs w:val="24"/>
        </w:rPr>
      </w:pPr>
      <w:r>
        <w:rPr>
          <w:b/>
          <w:bCs/>
          <w:i/>
          <w:iCs/>
          <w:color w:val="000000"/>
          <w:sz w:val="24"/>
          <w:szCs w:val="24"/>
        </w:rPr>
        <w:t>Enhance Well-structured Supplier Segmentation and Competence. </w:t>
      </w:r>
    </w:p>
    <w:p w14:paraId="1F63D52C" w14:textId="77777777" w:rsidR="00A769CA" w:rsidRDefault="008D3F3B">
      <w:pPr>
        <w:pBdr>
          <w:top w:val="nil"/>
          <w:left w:val="nil"/>
          <w:bottom w:val="nil"/>
          <w:right w:val="nil"/>
          <w:between w:val="nil"/>
        </w:pBdr>
        <w:spacing w:after="200" w:line="360" w:lineRule="auto"/>
        <w:jc w:val="both"/>
        <w:rPr>
          <w:color w:val="000000"/>
          <w:sz w:val="24"/>
          <w:szCs w:val="24"/>
        </w:rPr>
      </w:pPr>
      <w:r>
        <w:rPr>
          <w:color w:val="000000"/>
          <w:sz w:val="24"/>
          <w:szCs w:val="24"/>
        </w:rPr>
        <w:t>In practice, companies need to create effective segmentation standards due to the contribution to values, supply risk, potential, and the necessity of innovation and influence on production. Strategic suppliers need detailed interactions, such as joint planning, innovation meetings, and long-term ELT contracts (Huang and Li, 2024). Transactional suppliers, on the other hand, are those that can be dealt with using standard purchasing procedures. Theoretically, the segmentation goes hand in hand with the Reso</w:t>
      </w:r>
      <w:r>
        <w:rPr>
          <w:color w:val="000000"/>
          <w:sz w:val="24"/>
          <w:szCs w:val="24"/>
        </w:rPr>
        <w:t>urce-Based View (RBV) that positions supplier relationships as the rare and imitable assets. The firms achieve relational capital, which builds competitive advantage by perceiving their major suppliers as strategic resources and not as replaceable vendors. </w:t>
      </w:r>
    </w:p>
    <w:p w14:paraId="53F5C75C" w14:textId="77777777" w:rsidR="00A769CA" w:rsidRDefault="008D3F3B">
      <w:pPr>
        <w:pBdr>
          <w:top w:val="nil"/>
          <w:left w:val="nil"/>
          <w:bottom w:val="nil"/>
          <w:right w:val="nil"/>
          <w:between w:val="nil"/>
        </w:pBdr>
        <w:spacing w:after="200" w:line="360" w:lineRule="auto"/>
        <w:jc w:val="both"/>
        <w:rPr>
          <w:color w:val="000000"/>
          <w:sz w:val="24"/>
          <w:szCs w:val="24"/>
        </w:rPr>
      </w:pPr>
      <w:r>
        <w:rPr>
          <w:b/>
          <w:bCs/>
          <w:i/>
          <w:iCs/>
          <w:color w:val="000000"/>
          <w:sz w:val="24"/>
          <w:szCs w:val="24"/>
        </w:rPr>
        <w:t>Systematise the underlying Collaboration Planning and Communication. </w:t>
      </w:r>
    </w:p>
    <w:p w14:paraId="16EDEE1D" w14:textId="77777777" w:rsidR="00A769CA" w:rsidRDefault="008D3F3B">
      <w:pPr>
        <w:pBdr>
          <w:top w:val="nil"/>
          <w:left w:val="nil"/>
          <w:bottom w:val="nil"/>
          <w:right w:val="nil"/>
          <w:between w:val="nil"/>
        </w:pBdr>
        <w:spacing w:after="200" w:line="360" w:lineRule="auto"/>
        <w:jc w:val="both"/>
        <w:rPr>
          <w:color w:val="000000"/>
          <w:sz w:val="24"/>
          <w:szCs w:val="24"/>
        </w:rPr>
      </w:pPr>
      <w:r>
        <w:rPr>
          <w:color w:val="000000"/>
          <w:sz w:val="24"/>
          <w:szCs w:val="24"/>
        </w:rPr>
        <w:lastRenderedPageBreak/>
        <w:t xml:space="preserve">In practice, companies should establish official communication networks, regular reporting processes, and a common digital environment where companies can provide forecasting an information, production schedules, and design modifications. These minimise the mistakes and enhance coordination. Another way in which transparent communication reduces misunderstanding and cultural gaps between partners globally is by minimising cultural differences (Dinu </w:t>
      </w:r>
      <w:r>
        <w:rPr>
          <w:i/>
          <w:iCs/>
          <w:color w:val="000000"/>
          <w:sz w:val="24"/>
          <w:szCs w:val="24"/>
        </w:rPr>
        <w:t>et al.</w:t>
      </w:r>
      <w:r>
        <w:rPr>
          <w:color w:val="000000"/>
          <w:sz w:val="24"/>
          <w:szCs w:val="24"/>
        </w:rPr>
        <w:t>, 2025). In theory, this is an affirmation of the Theory of the Action of Economists, which states that efficiency is enhanced by cutting back on the costs of monitoring, negotiations, and dispute resolution.</w:t>
      </w:r>
    </w:p>
    <w:p w14:paraId="40D49245" w14:textId="77777777" w:rsidR="00A769CA" w:rsidRDefault="008D3F3B">
      <w:pPr>
        <w:pBdr>
          <w:top w:val="nil"/>
          <w:left w:val="nil"/>
          <w:bottom w:val="nil"/>
          <w:right w:val="nil"/>
          <w:between w:val="nil"/>
        </w:pBdr>
        <w:spacing w:after="200" w:line="360" w:lineRule="auto"/>
        <w:jc w:val="both"/>
        <w:rPr>
          <w:color w:val="000000"/>
          <w:sz w:val="24"/>
          <w:szCs w:val="24"/>
        </w:rPr>
      </w:pPr>
      <w:r>
        <w:rPr>
          <w:b/>
          <w:bCs/>
          <w:i/>
          <w:iCs/>
          <w:color w:val="000000"/>
          <w:sz w:val="24"/>
          <w:szCs w:val="24"/>
        </w:rPr>
        <w:t>Implement Strong Performance Measurement Systems and Continuous Improvement Systems.</w:t>
      </w:r>
    </w:p>
    <w:p w14:paraId="35FC42B3" w14:textId="77777777" w:rsidR="00A769CA" w:rsidRDefault="008D3F3B">
      <w:pPr>
        <w:pBdr>
          <w:top w:val="nil"/>
          <w:left w:val="nil"/>
          <w:bottom w:val="nil"/>
          <w:right w:val="nil"/>
          <w:between w:val="nil"/>
        </w:pBdr>
        <w:spacing w:after="200" w:line="360" w:lineRule="auto"/>
        <w:jc w:val="both"/>
        <w:rPr>
          <w:color w:val="000000"/>
          <w:sz w:val="24"/>
          <w:szCs w:val="24"/>
        </w:rPr>
      </w:pPr>
      <w:r>
        <w:rPr>
          <w:color w:val="000000"/>
          <w:sz w:val="24"/>
          <w:szCs w:val="24"/>
        </w:rPr>
        <w:t>Realistically, scorecards, service-level agreement (SLA) and agreed-upon KPIs assist in harmonising activities of the supplier in line with organisational objectives. The categories of KPI can be quality, cost efficiency, flexibility, ability to innovate, and the ability to deliver on time. Regular feedback leads to accountability by suppliers and encourages a gradual improvement (</w:t>
      </w:r>
      <w:proofErr w:type="spellStart"/>
      <w:r>
        <w:rPr>
          <w:color w:val="000000"/>
          <w:sz w:val="24"/>
          <w:szCs w:val="24"/>
        </w:rPr>
        <w:t>Onukwulu</w:t>
      </w:r>
      <w:proofErr w:type="spellEnd"/>
      <w:r>
        <w:rPr>
          <w:color w:val="000000"/>
          <w:sz w:val="24"/>
          <w:szCs w:val="24"/>
        </w:rPr>
        <w:t xml:space="preserve">, </w:t>
      </w:r>
      <w:proofErr w:type="spellStart"/>
      <w:r>
        <w:rPr>
          <w:color w:val="000000"/>
          <w:sz w:val="24"/>
          <w:szCs w:val="24"/>
        </w:rPr>
        <w:t>Odochi</w:t>
      </w:r>
      <w:proofErr w:type="spellEnd"/>
      <w:r>
        <w:rPr>
          <w:color w:val="000000"/>
          <w:sz w:val="24"/>
          <w:szCs w:val="24"/>
        </w:rPr>
        <w:t xml:space="preserve">-Agho and Eyo-Udo, 2025). This may, in principle, </w:t>
      </w:r>
      <w:proofErr w:type="gramStart"/>
      <w:r>
        <w:rPr>
          <w:color w:val="000000"/>
          <w:sz w:val="24"/>
          <w:szCs w:val="24"/>
        </w:rPr>
        <w:t>be a reflection of</w:t>
      </w:r>
      <w:proofErr w:type="gramEnd"/>
      <w:r>
        <w:rPr>
          <w:color w:val="000000"/>
          <w:sz w:val="24"/>
          <w:szCs w:val="24"/>
        </w:rPr>
        <w:t xml:space="preserve"> Social Exchange Theory (SET), as fair assessments to build currency, reciprocity and mutual gain will induce suppliers to volunteer information and work in good faith. </w:t>
      </w:r>
    </w:p>
    <w:p w14:paraId="29979A81" w14:textId="77777777" w:rsidR="00A769CA" w:rsidRDefault="008D3F3B">
      <w:pPr>
        <w:pBdr>
          <w:top w:val="nil"/>
          <w:left w:val="nil"/>
          <w:bottom w:val="nil"/>
          <w:right w:val="nil"/>
          <w:between w:val="nil"/>
        </w:pBdr>
        <w:spacing w:after="200" w:line="360" w:lineRule="auto"/>
        <w:jc w:val="both"/>
        <w:rPr>
          <w:color w:val="000000"/>
          <w:sz w:val="24"/>
          <w:szCs w:val="24"/>
        </w:rPr>
      </w:pPr>
      <w:r>
        <w:rPr>
          <w:b/>
          <w:bCs/>
          <w:i/>
          <w:iCs/>
          <w:color w:val="000000"/>
          <w:sz w:val="24"/>
          <w:szCs w:val="24"/>
        </w:rPr>
        <w:t>Investment in Supplier Development and Capacity Enhancement. </w:t>
      </w:r>
    </w:p>
    <w:p w14:paraId="380F19A9" w14:textId="77777777" w:rsidR="00A769CA" w:rsidRDefault="008D3F3B">
      <w:pPr>
        <w:pBdr>
          <w:top w:val="nil"/>
          <w:left w:val="nil"/>
          <w:bottom w:val="nil"/>
          <w:right w:val="nil"/>
          <w:between w:val="nil"/>
        </w:pBdr>
        <w:spacing w:after="200" w:line="360" w:lineRule="auto"/>
        <w:jc w:val="both"/>
        <w:rPr>
          <w:color w:val="000000"/>
          <w:sz w:val="24"/>
          <w:szCs w:val="24"/>
        </w:rPr>
      </w:pPr>
      <w:r>
        <w:rPr>
          <w:color w:val="000000"/>
          <w:sz w:val="24"/>
          <w:szCs w:val="24"/>
        </w:rPr>
        <w:t>Expanding on the practical viewpoint, supplier development programs that train in lean techniques, technical transitions, adoption of digital tools, joint R&amp;D, and others, enhance production reliability and flexibility of processes. This equally assists in responsiveness in the event of demand variation or disturbance. In theory, supplier development enhances the RBV notion of differentiated and competence-based partnership formation, establishing differentiated supply chain performance that competitors can</w:t>
      </w:r>
      <w:r>
        <w:rPr>
          <w:color w:val="000000"/>
          <w:sz w:val="24"/>
          <w:szCs w:val="24"/>
        </w:rPr>
        <w:t>not easily outsource. </w:t>
      </w:r>
    </w:p>
    <w:p w14:paraId="36583738" w14:textId="77777777" w:rsidR="00A769CA" w:rsidRDefault="008D3F3B">
      <w:pPr>
        <w:pStyle w:val="Heading2"/>
      </w:pPr>
      <w:bookmarkStart w:id="66" w:name="_heading=h.9f3m0tgp99nj" w:colFirst="0" w:colLast="0"/>
      <w:bookmarkEnd w:id="66"/>
      <w:r>
        <w:t>5.5 Limitations of Research</w:t>
      </w:r>
    </w:p>
    <w:p w14:paraId="714B3C7A" w14:textId="77777777" w:rsidR="00A769CA" w:rsidRDefault="008D3F3B">
      <w:pPr>
        <w:spacing w:line="360" w:lineRule="auto"/>
        <w:jc w:val="both"/>
        <w:rPr>
          <w:color w:val="0E101A"/>
          <w:sz w:val="24"/>
          <w:szCs w:val="24"/>
        </w:rPr>
      </w:pPr>
      <w:r>
        <w:rPr>
          <w:color w:val="0E101A"/>
          <w:sz w:val="24"/>
          <w:szCs w:val="24"/>
        </w:rPr>
        <w:t xml:space="preserve">Although the study has provided valuable insights into the impact of strategic Supplier Relationship Management on supply chain performance within the manufacturing </w:t>
      </w:r>
      <w:r>
        <w:rPr>
          <w:color w:val="0E101A"/>
          <w:sz w:val="24"/>
          <w:szCs w:val="24"/>
        </w:rPr>
        <w:lastRenderedPageBreak/>
        <w:t xml:space="preserve">sector, several limitations must be acknowledged. First, the research has adopted an interpretivist philosophy and qualitative secondary data, which means the findings rely heavily on existing literature. This has limited the ability to generalise results across the entire manufacturing industry. It is because published studies do not fully represent diverse organisational contexts or varying supplier structures (Khan </w:t>
      </w:r>
      <w:r>
        <w:rPr>
          <w:i/>
          <w:iCs/>
          <w:color w:val="0E101A"/>
          <w:sz w:val="24"/>
          <w:szCs w:val="24"/>
        </w:rPr>
        <w:t>et al.</w:t>
      </w:r>
      <w:r>
        <w:rPr>
          <w:color w:val="0E101A"/>
          <w:sz w:val="24"/>
          <w:szCs w:val="24"/>
        </w:rPr>
        <w:t xml:space="preserve"> 2021). Second, the study does not involve primary data collection regarding intervi</w:t>
      </w:r>
      <w:r>
        <w:rPr>
          <w:color w:val="0E101A"/>
          <w:sz w:val="24"/>
          <w:szCs w:val="24"/>
        </w:rPr>
        <w:t xml:space="preserve">ews or surveys with manufacturing managers, which could have provided experience-based insights into the real-world SRM practices and behavioural dynamics. Apart from that, the literature that the study used might have publication bias. Successful SRM cases are more likely to appear in academic sources than poorly executed practices. Additionally, rapid technological advancements regarding AI-driven analysis and automation mean that some insights might become outdated. AI-Emran &amp; </w:t>
      </w:r>
      <w:proofErr w:type="spellStart"/>
      <w:r>
        <w:rPr>
          <w:color w:val="0E101A"/>
          <w:sz w:val="24"/>
          <w:szCs w:val="24"/>
        </w:rPr>
        <w:t>Granic</w:t>
      </w:r>
      <w:proofErr w:type="spellEnd"/>
      <w:r>
        <w:rPr>
          <w:color w:val="0E101A"/>
          <w:sz w:val="24"/>
          <w:szCs w:val="24"/>
        </w:rPr>
        <w:t xml:space="preserve"> (2021) opined that o</w:t>
      </w:r>
      <w:r>
        <w:rPr>
          <w:color w:val="0E101A"/>
          <w:sz w:val="24"/>
          <w:szCs w:val="24"/>
        </w:rPr>
        <w:t>utdated insights affect applicability by hindering study sources and evaluation. Regarding this, potential variation can also affect determining resource availability and digital capabilities. All these research limitations restrict the depth of literature exploration and limit opportunities for comparative analysis across manufacturing sub-sectors.</w:t>
      </w:r>
    </w:p>
    <w:p w14:paraId="6E5C0C0E" w14:textId="77777777" w:rsidR="00A769CA" w:rsidRDefault="008D3F3B">
      <w:pPr>
        <w:pStyle w:val="Heading2"/>
      </w:pPr>
      <w:bookmarkStart w:id="67" w:name="_heading=h.z5g6vaukkr0l" w:colFirst="0" w:colLast="0"/>
      <w:bookmarkEnd w:id="67"/>
      <w:r>
        <w:t xml:space="preserve">5.6 Recommendation for Future Work </w:t>
      </w:r>
    </w:p>
    <w:p w14:paraId="5C4758F7" w14:textId="77777777" w:rsidR="00A769CA" w:rsidRDefault="008D3F3B">
      <w:pPr>
        <w:spacing w:line="360" w:lineRule="auto"/>
        <w:jc w:val="both"/>
        <w:rPr>
          <w:color w:val="0E101A"/>
          <w:sz w:val="24"/>
          <w:szCs w:val="24"/>
        </w:rPr>
      </w:pPr>
      <w:r>
        <w:rPr>
          <w:color w:val="0E101A"/>
          <w:sz w:val="24"/>
          <w:szCs w:val="24"/>
        </w:rPr>
        <w:t xml:space="preserve">Future research on the impact of Strategic Supplier Management (SRM) on the supply chain performance in the manufacturing sector should consider several extensions. In the future, </w:t>
      </w:r>
      <w:r>
        <w:rPr>
          <w:b/>
          <w:bCs/>
          <w:i/>
          <w:iCs/>
          <w:color w:val="0E101A"/>
          <w:sz w:val="24"/>
          <w:szCs w:val="24"/>
        </w:rPr>
        <w:t>primary data collection</w:t>
      </w:r>
      <w:r>
        <w:rPr>
          <w:color w:val="0E101A"/>
          <w:sz w:val="24"/>
          <w:szCs w:val="24"/>
        </w:rPr>
        <w:t xml:space="preserve"> will be conducted in the form of interviews, surveys, and focus groups with suppliers. This would allow researchers to capture lived experience and behavioural dynamics that cannot be fully understood through secondary data alone. Such data provides deeper insight into how trust, communication patterns, and cultural alignment influence SRM effectiveness (Grant, 2024). Second, future researchers should explore </w:t>
      </w:r>
      <w:r>
        <w:rPr>
          <w:b/>
          <w:bCs/>
          <w:i/>
          <w:iCs/>
          <w:color w:val="0E101A"/>
          <w:sz w:val="24"/>
          <w:szCs w:val="24"/>
        </w:rPr>
        <w:t>industry-specific variations</w:t>
      </w:r>
      <w:r>
        <w:rPr>
          <w:color w:val="0E101A"/>
          <w:sz w:val="24"/>
          <w:szCs w:val="24"/>
        </w:rPr>
        <w:t xml:space="preserve"> in SRM practices. SRM priorities in the manufa</w:t>
      </w:r>
      <w:r>
        <w:rPr>
          <w:color w:val="0E101A"/>
          <w:sz w:val="24"/>
          <w:szCs w:val="24"/>
        </w:rPr>
        <w:t xml:space="preserve">cturing sector differ greatly between the industries of automotive and consumer goods (Singh </w:t>
      </w:r>
      <w:r>
        <w:rPr>
          <w:i/>
          <w:iCs/>
          <w:color w:val="0E101A"/>
          <w:sz w:val="24"/>
          <w:szCs w:val="24"/>
        </w:rPr>
        <w:t>et al.</w:t>
      </w:r>
      <w:r>
        <w:rPr>
          <w:color w:val="0E101A"/>
          <w:sz w:val="24"/>
          <w:szCs w:val="24"/>
        </w:rPr>
        <w:t xml:space="preserve"> 2022). In this context, comparative analysis would also become effective to evaluate certain SRM components of supplier development and collaborative planning for strong performance in particular contexts. </w:t>
      </w:r>
    </w:p>
    <w:p w14:paraId="382CDA84" w14:textId="77777777" w:rsidR="00A769CA" w:rsidRDefault="008D3F3B">
      <w:pPr>
        <w:spacing w:line="360" w:lineRule="auto"/>
        <w:jc w:val="both"/>
        <w:rPr>
          <w:color w:val="0E101A"/>
          <w:sz w:val="24"/>
          <w:szCs w:val="24"/>
        </w:rPr>
      </w:pPr>
      <w:r>
        <w:rPr>
          <w:color w:val="0E101A"/>
          <w:sz w:val="24"/>
          <w:szCs w:val="24"/>
        </w:rPr>
        <w:lastRenderedPageBreak/>
        <w:t xml:space="preserve">The role of emerging technologies in shaping SRM also deserves further investigation. Digital dashboards, predictive analytics, and blockchain-based traceability have transformed supplier collaboration (Owusu-Berko, 2025). In this context, future work should examine how these tools have enhanced efficiency, flexibility, and resilience. It can also be associated with identifying potential challenges of data privacy, system integration, and supplier readiness. Additionally, researchers should also assess the </w:t>
      </w:r>
      <w:r>
        <w:rPr>
          <w:color w:val="0E101A"/>
          <w:sz w:val="24"/>
          <w:szCs w:val="24"/>
        </w:rPr>
        <w:t>connection between SRM and sustainability performance, including ethical sourcing. Understanding the effectiveness of strategic SRM can support sustainability operations. Apart from that, the incorporation of a longitudinal study would be beneficial to evaluate how SRM practices would evolve. Long-term relationships can contribute to innovation and crisis recovery. Therefore, tracking all these SRM initiatives over the year would offer stronger causal insights into the true impact of supply chain performanc</w:t>
      </w:r>
      <w:r>
        <w:rPr>
          <w:color w:val="0E101A"/>
          <w:sz w:val="24"/>
          <w:szCs w:val="24"/>
        </w:rPr>
        <w:t xml:space="preserve">e. </w:t>
      </w:r>
    </w:p>
    <w:p w14:paraId="2BC7CB2D" w14:textId="77777777" w:rsidR="00A769CA" w:rsidRDefault="008D3F3B">
      <w:pPr>
        <w:pStyle w:val="Heading2"/>
      </w:pPr>
      <w:bookmarkStart w:id="68" w:name="_heading=h.o7g8fsfnabdh" w:colFirst="0" w:colLast="0"/>
      <w:bookmarkEnd w:id="68"/>
      <w:r>
        <w:t xml:space="preserve">5.7 Chapter Summary </w:t>
      </w:r>
    </w:p>
    <w:p w14:paraId="2ACA534B" w14:textId="77777777" w:rsidR="00A769CA" w:rsidRDefault="008D3F3B">
      <w:pPr>
        <w:spacing w:line="360" w:lineRule="auto"/>
        <w:jc w:val="both"/>
        <w:rPr>
          <w:color w:val="0E101A"/>
          <w:sz w:val="24"/>
          <w:szCs w:val="24"/>
        </w:rPr>
      </w:pPr>
      <w:r>
        <w:rPr>
          <w:color w:val="0E101A"/>
          <w:sz w:val="24"/>
          <w:szCs w:val="24"/>
        </w:rPr>
        <w:t>Chapter 5 brings together everything learned in this study by summarising the key findings, conclusions, and practical recommendations. It shows that strong, strategic SRM can genuinely improve how manufacturing supply chains perform by boosting efficiency, flexibility, quality, and customer satisfaction. However, it also highlights that many companies still struggle with issues like weak communication, limited trust, and slow adoption of digital tools. The chapter offers clear suggestions for managers, suc</w:t>
      </w:r>
      <w:r>
        <w:rPr>
          <w:color w:val="0E101A"/>
          <w:sz w:val="24"/>
          <w:szCs w:val="24"/>
        </w:rPr>
        <w:t>h as strengthening collaboration, investing in supplier development, and using modern technologies to improve transparency and decision-making. It also acknowledges that the study relied mainly on secondary data, which limits its depth. Finally, it encourages future researchers to gather primary insights and explore SRM across different industries and technologies.</w:t>
      </w:r>
    </w:p>
    <w:p w14:paraId="2EEA24D6" w14:textId="77777777" w:rsidR="00A769CA" w:rsidRDefault="00A769CA">
      <w:pPr>
        <w:spacing w:line="360" w:lineRule="auto"/>
        <w:jc w:val="both"/>
        <w:rPr>
          <w:sz w:val="24"/>
          <w:szCs w:val="24"/>
        </w:rPr>
      </w:pPr>
    </w:p>
    <w:p w14:paraId="6793EF3F" w14:textId="77777777" w:rsidR="00A769CA" w:rsidRDefault="008D3F3B">
      <w:pPr>
        <w:pBdr>
          <w:top w:val="nil"/>
          <w:left w:val="nil"/>
          <w:bottom w:val="nil"/>
          <w:right w:val="nil"/>
          <w:between w:val="nil"/>
        </w:pBdr>
        <w:spacing w:line="360" w:lineRule="auto"/>
        <w:rPr>
          <w:color w:val="000000"/>
        </w:rPr>
      </w:pPr>
      <w:bookmarkStart w:id="69" w:name="_heading=h.hqr8kot83g76" w:colFirst="0" w:colLast="0"/>
      <w:bookmarkEnd w:id="69"/>
      <w:r>
        <w:br w:type="page"/>
      </w:r>
    </w:p>
    <w:p w14:paraId="314E24FF" w14:textId="77777777" w:rsidR="00A769CA" w:rsidRDefault="008D3F3B">
      <w:pPr>
        <w:pStyle w:val="Heading1"/>
      </w:pPr>
      <w:bookmarkStart w:id="70" w:name="_heading=h.8orjleat85gw" w:colFirst="0" w:colLast="0"/>
      <w:bookmarkEnd w:id="70"/>
      <w:r>
        <w:lastRenderedPageBreak/>
        <w:t xml:space="preserve">References </w:t>
      </w:r>
    </w:p>
    <w:p w14:paraId="1DEE0DB3"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000000"/>
          <w:sz w:val="24"/>
          <w:szCs w:val="24"/>
        </w:rPr>
        <w:t xml:space="preserve">Abdulkareem, A.K. and Mohd Ramli, R. (2022) ‘Does trust in e-government influence the performance of e-government? An integration of information system success model and public value theory, </w:t>
      </w:r>
      <w:r>
        <w:rPr>
          <w:i/>
          <w:iCs/>
          <w:color w:val="000000"/>
          <w:sz w:val="24"/>
          <w:szCs w:val="24"/>
        </w:rPr>
        <w:t>Transforming Government: People, Process and Policy</w:t>
      </w:r>
      <w:r>
        <w:rPr>
          <w:color w:val="000000"/>
          <w:sz w:val="24"/>
          <w:szCs w:val="24"/>
        </w:rPr>
        <w:t>, 16(1), pp. 1–17. Available at:</w:t>
      </w:r>
      <w:hyperlink r:id="rId18">
        <w:r>
          <w:rPr>
            <w:color w:val="000000"/>
            <w:sz w:val="24"/>
            <w:szCs w:val="24"/>
          </w:rPr>
          <w:t xml:space="preserve"> </w:t>
        </w:r>
      </w:hyperlink>
      <w:hyperlink r:id="rId19">
        <w:r>
          <w:rPr>
            <w:color w:val="1155CC"/>
            <w:sz w:val="24"/>
            <w:szCs w:val="24"/>
            <w:u w:val="single"/>
          </w:rPr>
          <w:t>https://doi.org/10.1108/TG-01-2021-0001</w:t>
        </w:r>
      </w:hyperlink>
      <w:r>
        <w:rPr>
          <w:color w:val="000000"/>
          <w:sz w:val="24"/>
          <w:szCs w:val="24"/>
        </w:rPr>
        <w:t>.</w:t>
      </w:r>
    </w:p>
    <w:p w14:paraId="5090554E"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000000"/>
          <w:sz w:val="24"/>
          <w:szCs w:val="24"/>
        </w:rPr>
        <w:t xml:space="preserve">Ahuja, L., Singh, B. and Simon, R. (2024) ‘Data cleaning: paving a way for accurate and clean data’, </w:t>
      </w:r>
      <w:r>
        <w:rPr>
          <w:i/>
          <w:iCs/>
          <w:color w:val="000000"/>
          <w:sz w:val="24"/>
          <w:szCs w:val="24"/>
        </w:rPr>
        <w:t>Global Journal of Enterprise Information System</w:t>
      </w:r>
      <w:r>
        <w:rPr>
          <w:color w:val="000000"/>
          <w:sz w:val="24"/>
          <w:szCs w:val="24"/>
        </w:rPr>
        <w:t>, 16(1), pp. 18–25. Available at:</w:t>
      </w:r>
      <w:hyperlink r:id="rId20">
        <w:r>
          <w:rPr>
            <w:color w:val="000000"/>
            <w:sz w:val="24"/>
            <w:szCs w:val="24"/>
          </w:rPr>
          <w:t xml:space="preserve"> </w:t>
        </w:r>
      </w:hyperlink>
      <w:hyperlink r:id="rId21">
        <w:r>
          <w:rPr>
            <w:color w:val="1155CC"/>
            <w:sz w:val="24"/>
            <w:szCs w:val="24"/>
            <w:u w:val="single"/>
          </w:rPr>
          <w:t>https://gjeis.com/index.php/GJEIS/article/download/758/697</w:t>
        </w:r>
      </w:hyperlink>
      <w:r>
        <w:rPr>
          <w:color w:val="000000"/>
          <w:sz w:val="24"/>
          <w:szCs w:val="24"/>
        </w:rPr>
        <w:t xml:space="preserve"> (Accessed: 10 November 2025).</w:t>
      </w:r>
    </w:p>
    <w:p w14:paraId="4C2583E7" w14:textId="77777777" w:rsidR="00A769CA" w:rsidRDefault="008D3F3B">
      <w:pPr>
        <w:pBdr>
          <w:top w:val="nil"/>
          <w:left w:val="nil"/>
          <w:bottom w:val="nil"/>
          <w:right w:val="nil"/>
          <w:between w:val="nil"/>
        </w:pBdr>
        <w:spacing w:before="240" w:after="240" w:line="360" w:lineRule="auto"/>
        <w:jc w:val="both"/>
        <w:rPr>
          <w:color w:val="000000"/>
          <w:sz w:val="24"/>
          <w:szCs w:val="24"/>
        </w:rPr>
      </w:pPr>
      <w:proofErr w:type="spellStart"/>
      <w:r>
        <w:rPr>
          <w:color w:val="000000"/>
          <w:sz w:val="24"/>
          <w:szCs w:val="24"/>
        </w:rPr>
        <w:t>Alamandi</w:t>
      </w:r>
      <w:proofErr w:type="spellEnd"/>
      <w:r>
        <w:rPr>
          <w:color w:val="000000"/>
          <w:sz w:val="24"/>
          <w:szCs w:val="24"/>
        </w:rPr>
        <w:t xml:space="preserve">, M. (2025) ‘Sustainable innovation management: balancing economic growth and environmental responsibility’, </w:t>
      </w:r>
      <w:r>
        <w:rPr>
          <w:i/>
          <w:iCs/>
          <w:color w:val="000000"/>
          <w:sz w:val="24"/>
          <w:szCs w:val="24"/>
        </w:rPr>
        <w:t>Sustainability</w:t>
      </w:r>
      <w:r>
        <w:rPr>
          <w:color w:val="000000"/>
          <w:sz w:val="24"/>
          <w:szCs w:val="24"/>
        </w:rPr>
        <w:t>, 17(10), p. 4362. Available at:</w:t>
      </w:r>
      <w:hyperlink r:id="rId22">
        <w:r>
          <w:rPr>
            <w:color w:val="000000"/>
            <w:sz w:val="24"/>
            <w:szCs w:val="24"/>
          </w:rPr>
          <w:t xml:space="preserve"> </w:t>
        </w:r>
      </w:hyperlink>
      <w:hyperlink r:id="rId23">
        <w:r>
          <w:rPr>
            <w:color w:val="1155CC"/>
            <w:sz w:val="24"/>
            <w:szCs w:val="24"/>
            <w:u w:val="single"/>
          </w:rPr>
          <w:t>https://doi.org/10.3390/su17104362</w:t>
        </w:r>
      </w:hyperlink>
      <w:r>
        <w:rPr>
          <w:color w:val="000000"/>
          <w:sz w:val="24"/>
          <w:szCs w:val="24"/>
        </w:rPr>
        <w:t>.</w:t>
      </w:r>
    </w:p>
    <w:p w14:paraId="56420457" w14:textId="77777777" w:rsidR="00A769CA" w:rsidRDefault="008D3F3B">
      <w:pPr>
        <w:pBdr>
          <w:top w:val="nil"/>
          <w:left w:val="nil"/>
          <w:bottom w:val="nil"/>
          <w:right w:val="nil"/>
          <w:between w:val="nil"/>
        </w:pBdr>
        <w:spacing w:after="240" w:line="360" w:lineRule="auto"/>
        <w:jc w:val="both"/>
        <w:rPr>
          <w:sz w:val="24"/>
          <w:szCs w:val="24"/>
        </w:rPr>
      </w:pPr>
      <w:r>
        <w:rPr>
          <w:sz w:val="24"/>
          <w:szCs w:val="24"/>
        </w:rPr>
        <w:t xml:space="preserve">Al-Emran, M. and </w:t>
      </w:r>
      <w:proofErr w:type="spellStart"/>
      <w:r>
        <w:rPr>
          <w:sz w:val="24"/>
          <w:szCs w:val="24"/>
        </w:rPr>
        <w:t>Granić</w:t>
      </w:r>
      <w:proofErr w:type="spellEnd"/>
      <w:r>
        <w:rPr>
          <w:sz w:val="24"/>
          <w:szCs w:val="24"/>
        </w:rPr>
        <w:t xml:space="preserve">, A., (2021). Is it still valid or outdated? A bibliometric analysis of the technology acceptance model and its applications from 2010 to 2020. In </w:t>
      </w:r>
      <w:r>
        <w:rPr>
          <w:i/>
          <w:iCs/>
          <w:sz w:val="24"/>
          <w:szCs w:val="24"/>
        </w:rPr>
        <w:t>Recent advances in technology acceptance models and theories</w:t>
      </w:r>
      <w:r>
        <w:rPr>
          <w:sz w:val="24"/>
          <w:szCs w:val="24"/>
        </w:rPr>
        <w:t xml:space="preserve"> (pp. 1-12). Cham: Springer International Publishing. Available at: </w:t>
      </w:r>
      <w:hyperlink r:id="rId24">
        <w:r>
          <w:rPr>
            <w:color w:val="1155CC"/>
            <w:sz w:val="24"/>
            <w:szCs w:val="24"/>
            <w:u w:val="single"/>
          </w:rPr>
          <w:t>https://doi.org/10.1007/978-3-030-64987-6_1</w:t>
        </w:r>
      </w:hyperlink>
    </w:p>
    <w:p w14:paraId="3DAD6C20" w14:textId="77777777" w:rsidR="00A769CA" w:rsidRDefault="008D3F3B">
      <w:pPr>
        <w:pBdr>
          <w:top w:val="nil"/>
          <w:left w:val="nil"/>
          <w:bottom w:val="nil"/>
          <w:right w:val="nil"/>
          <w:between w:val="nil"/>
        </w:pBdr>
        <w:spacing w:before="240" w:after="240" w:line="360" w:lineRule="auto"/>
        <w:jc w:val="both"/>
        <w:rPr>
          <w:color w:val="000000"/>
          <w:sz w:val="24"/>
          <w:szCs w:val="24"/>
        </w:rPr>
      </w:pPr>
      <w:proofErr w:type="spellStart"/>
      <w:r>
        <w:rPr>
          <w:color w:val="000000"/>
          <w:sz w:val="24"/>
          <w:szCs w:val="24"/>
        </w:rPr>
        <w:t>Almaskar</w:t>
      </w:r>
      <w:proofErr w:type="spellEnd"/>
      <w:r>
        <w:rPr>
          <w:color w:val="000000"/>
          <w:sz w:val="24"/>
          <w:szCs w:val="24"/>
        </w:rPr>
        <w:t xml:space="preserve">, T.H., Mohamad, E., Shafee, N.A.Q.M. and Yahaya, S.N. (2025) ‘The role of financial governance on institutional performance: a review study’, </w:t>
      </w:r>
      <w:r>
        <w:rPr>
          <w:i/>
          <w:iCs/>
          <w:color w:val="000000"/>
          <w:sz w:val="24"/>
          <w:szCs w:val="24"/>
        </w:rPr>
        <w:t>Multidisciplinary Reviews</w:t>
      </w:r>
      <w:r>
        <w:rPr>
          <w:color w:val="000000"/>
          <w:sz w:val="24"/>
          <w:szCs w:val="24"/>
        </w:rPr>
        <w:t>, 8(8), pp. 2025238–2025238. Available at:</w:t>
      </w:r>
      <w:hyperlink r:id="rId25">
        <w:r>
          <w:rPr>
            <w:color w:val="000000"/>
            <w:sz w:val="24"/>
            <w:szCs w:val="24"/>
          </w:rPr>
          <w:t xml:space="preserve"> </w:t>
        </w:r>
      </w:hyperlink>
      <w:hyperlink r:id="rId26">
        <w:r>
          <w:rPr>
            <w:color w:val="1155CC"/>
            <w:sz w:val="24"/>
            <w:szCs w:val="24"/>
            <w:u w:val="single"/>
          </w:rPr>
          <w:t>https://doi.org/10.31893/multirev.2025238</w:t>
        </w:r>
      </w:hyperlink>
      <w:r>
        <w:rPr>
          <w:color w:val="000000"/>
          <w:sz w:val="24"/>
          <w:szCs w:val="24"/>
        </w:rPr>
        <w:t>.</w:t>
      </w:r>
    </w:p>
    <w:p w14:paraId="4119DE64"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000000"/>
          <w:sz w:val="24"/>
          <w:szCs w:val="24"/>
        </w:rPr>
        <w:t xml:space="preserve">Ardolino, M., Bino, A., Ciano, M.P. and Bacchetti, A. (2025) ‘Enabling digital capabilities with technologies: a multiple case study of manufacturing supply chains in disruptive times’, </w:t>
      </w:r>
      <w:r>
        <w:rPr>
          <w:i/>
          <w:iCs/>
          <w:color w:val="000000"/>
          <w:sz w:val="24"/>
          <w:szCs w:val="24"/>
        </w:rPr>
        <w:t>Systems</w:t>
      </w:r>
      <w:r>
        <w:rPr>
          <w:color w:val="000000"/>
          <w:sz w:val="24"/>
          <w:szCs w:val="24"/>
        </w:rPr>
        <w:t>, 13(1), p. 39. Available at:</w:t>
      </w:r>
      <w:hyperlink r:id="rId27">
        <w:r>
          <w:rPr>
            <w:color w:val="000000"/>
            <w:sz w:val="24"/>
            <w:szCs w:val="24"/>
          </w:rPr>
          <w:t xml:space="preserve"> </w:t>
        </w:r>
      </w:hyperlink>
      <w:hyperlink r:id="rId28">
        <w:r>
          <w:rPr>
            <w:color w:val="1155CC"/>
            <w:sz w:val="24"/>
            <w:szCs w:val="24"/>
            <w:u w:val="single"/>
          </w:rPr>
          <w:t>https://doi.org/10.3390/systems13010039</w:t>
        </w:r>
      </w:hyperlink>
      <w:r>
        <w:rPr>
          <w:color w:val="000000"/>
          <w:sz w:val="24"/>
          <w:szCs w:val="24"/>
        </w:rPr>
        <w:t>.</w:t>
      </w:r>
    </w:p>
    <w:p w14:paraId="18758935" w14:textId="77777777" w:rsidR="00A769CA" w:rsidRDefault="008D3F3B">
      <w:pPr>
        <w:pBdr>
          <w:top w:val="nil"/>
          <w:left w:val="nil"/>
          <w:bottom w:val="nil"/>
          <w:right w:val="nil"/>
          <w:between w:val="nil"/>
        </w:pBdr>
        <w:spacing w:before="240" w:after="240" w:line="360" w:lineRule="auto"/>
        <w:jc w:val="both"/>
        <w:rPr>
          <w:color w:val="000000"/>
          <w:sz w:val="24"/>
          <w:szCs w:val="24"/>
        </w:rPr>
      </w:pPr>
      <w:proofErr w:type="spellStart"/>
      <w:r>
        <w:rPr>
          <w:color w:val="000000"/>
          <w:sz w:val="24"/>
          <w:szCs w:val="24"/>
        </w:rPr>
        <w:t>Baharmand</w:t>
      </w:r>
      <w:proofErr w:type="spellEnd"/>
      <w:r>
        <w:rPr>
          <w:color w:val="000000"/>
          <w:sz w:val="24"/>
          <w:szCs w:val="24"/>
        </w:rPr>
        <w:t xml:space="preserve">, H., Maghsoudi, A. and Coppi, G. (2021) ‘Exploring the application of blockchain to humanitarian supply chains: insights from Humanitarian Supply Blockchain pilot project’, </w:t>
      </w:r>
      <w:r>
        <w:rPr>
          <w:i/>
          <w:iCs/>
          <w:color w:val="000000"/>
          <w:sz w:val="24"/>
          <w:szCs w:val="24"/>
        </w:rPr>
        <w:t>International Journal of Operations &amp; Production Management</w:t>
      </w:r>
      <w:r>
        <w:rPr>
          <w:color w:val="000000"/>
          <w:sz w:val="24"/>
          <w:szCs w:val="24"/>
        </w:rPr>
        <w:t>, 41(9), pp. 1522–1543. Available at:</w:t>
      </w:r>
      <w:hyperlink r:id="rId29">
        <w:r>
          <w:rPr>
            <w:color w:val="000000"/>
            <w:sz w:val="24"/>
            <w:szCs w:val="24"/>
          </w:rPr>
          <w:t xml:space="preserve"> </w:t>
        </w:r>
      </w:hyperlink>
      <w:hyperlink r:id="rId30">
        <w:r>
          <w:rPr>
            <w:color w:val="1155CC"/>
            <w:sz w:val="24"/>
            <w:szCs w:val="24"/>
            <w:u w:val="single"/>
          </w:rPr>
          <w:t>https://doi.org/10.1108/IJOPM-12-2020-0884</w:t>
        </w:r>
      </w:hyperlink>
      <w:r>
        <w:rPr>
          <w:color w:val="000000"/>
          <w:sz w:val="24"/>
          <w:szCs w:val="24"/>
        </w:rPr>
        <w:t>.</w:t>
      </w:r>
    </w:p>
    <w:p w14:paraId="701D78CA"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000000"/>
          <w:sz w:val="24"/>
          <w:szCs w:val="24"/>
        </w:rPr>
        <w:lastRenderedPageBreak/>
        <w:t>BBC (2025) ‘Building resilient supply chains after disruption’. Available at:</w:t>
      </w:r>
      <w:hyperlink r:id="rId31">
        <w:r>
          <w:rPr>
            <w:color w:val="000000"/>
            <w:sz w:val="24"/>
            <w:szCs w:val="24"/>
          </w:rPr>
          <w:t xml:space="preserve"> </w:t>
        </w:r>
      </w:hyperlink>
      <w:hyperlink r:id="rId32">
        <w:r>
          <w:rPr>
            <w:color w:val="1155CC"/>
            <w:sz w:val="24"/>
            <w:szCs w:val="24"/>
            <w:u w:val="single"/>
          </w:rPr>
          <w:t>https://www.bbc.com/storyworks/future/a-better-tomorrow/building-resilient-supply-chains-after-disruption</w:t>
        </w:r>
      </w:hyperlink>
      <w:r>
        <w:rPr>
          <w:color w:val="000000"/>
          <w:sz w:val="24"/>
          <w:szCs w:val="24"/>
        </w:rPr>
        <w:t xml:space="preserve"> (Accessed: 08 November 2025).</w:t>
      </w:r>
    </w:p>
    <w:p w14:paraId="35AFC29D"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000000"/>
          <w:sz w:val="24"/>
          <w:szCs w:val="24"/>
        </w:rPr>
        <w:t xml:space="preserve">Bennett, A. (2023) ‘Procurement analytics: leveraging big data for supplier performance evaluation and cost optimisation’, </w:t>
      </w:r>
      <w:r>
        <w:rPr>
          <w:i/>
          <w:iCs/>
          <w:color w:val="000000"/>
          <w:sz w:val="24"/>
          <w:szCs w:val="24"/>
        </w:rPr>
        <w:t xml:space="preserve">International Journal of AI, </w:t>
      </w:r>
      <w:proofErr w:type="spellStart"/>
      <w:r>
        <w:rPr>
          <w:i/>
          <w:iCs/>
          <w:color w:val="000000"/>
          <w:sz w:val="24"/>
          <w:szCs w:val="24"/>
        </w:rPr>
        <w:t>BigData</w:t>
      </w:r>
      <w:proofErr w:type="spellEnd"/>
      <w:r>
        <w:rPr>
          <w:i/>
          <w:iCs/>
          <w:color w:val="000000"/>
          <w:sz w:val="24"/>
          <w:szCs w:val="24"/>
        </w:rPr>
        <w:t>, Computational and Management Studies</w:t>
      </w:r>
      <w:r>
        <w:rPr>
          <w:color w:val="000000"/>
          <w:sz w:val="24"/>
          <w:szCs w:val="24"/>
        </w:rPr>
        <w:t>, 4(4), pp. 20–28. Available at:</w:t>
      </w:r>
      <w:hyperlink r:id="rId33">
        <w:r>
          <w:rPr>
            <w:color w:val="000000"/>
            <w:sz w:val="24"/>
            <w:szCs w:val="24"/>
          </w:rPr>
          <w:t xml:space="preserve"> </w:t>
        </w:r>
      </w:hyperlink>
      <w:hyperlink r:id="rId34">
        <w:r>
          <w:rPr>
            <w:color w:val="1155CC"/>
            <w:sz w:val="24"/>
            <w:szCs w:val="24"/>
            <w:u w:val="single"/>
          </w:rPr>
          <w:t>https://doi.org/10.63282/30509416/IJAIBDCMS-V4I4P103</w:t>
        </w:r>
      </w:hyperlink>
      <w:r>
        <w:rPr>
          <w:color w:val="000000"/>
          <w:sz w:val="24"/>
          <w:szCs w:val="24"/>
        </w:rPr>
        <w:t>.</w:t>
      </w:r>
    </w:p>
    <w:p w14:paraId="32C9C3CC"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000000"/>
          <w:sz w:val="24"/>
          <w:szCs w:val="24"/>
        </w:rPr>
        <w:t xml:space="preserve">Bhangu, S., Provost, F. and </w:t>
      </w:r>
      <w:proofErr w:type="spellStart"/>
      <w:r>
        <w:rPr>
          <w:color w:val="000000"/>
          <w:sz w:val="24"/>
          <w:szCs w:val="24"/>
        </w:rPr>
        <w:t>Caduff</w:t>
      </w:r>
      <w:proofErr w:type="spellEnd"/>
      <w:r>
        <w:rPr>
          <w:color w:val="000000"/>
          <w:sz w:val="24"/>
          <w:szCs w:val="24"/>
        </w:rPr>
        <w:t xml:space="preserve">, C. (2023) ‘Introduction to qualitative research methods – Part I’, </w:t>
      </w:r>
      <w:r>
        <w:rPr>
          <w:i/>
          <w:iCs/>
          <w:color w:val="000000"/>
          <w:sz w:val="24"/>
          <w:szCs w:val="24"/>
        </w:rPr>
        <w:t>Perspectives in Clinical Research</w:t>
      </w:r>
      <w:r>
        <w:rPr>
          <w:color w:val="000000"/>
          <w:sz w:val="24"/>
          <w:szCs w:val="24"/>
        </w:rPr>
        <w:t>, 14(1), pp. 39–42. Available at:</w:t>
      </w:r>
      <w:hyperlink r:id="rId35">
        <w:r>
          <w:rPr>
            <w:color w:val="000000"/>
            <w:sz w:val="24"/>
            <w:szCs w:val="24"/>
          </w:rPr>
          <w:t xml:space="preserve"> </w:t>
        </w:r>
      </w:hyperlink>
      <w:hyperlink r:id="rId36">
        <w:r>
          <w:rPr>
            <w:color w:val="1155CC"/>
            <w:sz w:val="24"/>
            <w:szCs w:val="24"/>
            <w:u w:val="single"/>
          </w:rPr>
          <w:t>https://journals.lww.com/picp/_layouts/15/oaks.journals/downloadpdf.aspx?an=01438547-202314010-00008</w:t>
        </w:r>
      </w:hyperlink>
      <w:r>
        <w:rPr>
          <w:color w:val="000000"/>
          <w:sz w:val="24"/>
          <w:szCs w:val="24"/>
        </w:rPr>
        <w:t xml:space="preserve"> (Accessed: 10 November 2025).</w:t>
      </w:r>
    </w:p>
    <w:p w14:paraId="01693CE2"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000000"/>
          <w:sz w:val="24"/>
          <w:szCs w:val="24"/>
        </w:rPr>
        <w:t xml:space="preserve">Bondin, I. (2022). </w:t>
      </w:r>
      <w:r>
        <w:rPr>
          <w:i/>
          <w:iCs/>
          <w:color w:val="000000"/>
          <w:sz w:val="24"/>
          <w:szCs w:val="24"/>
        </w:rPr>
        <w:t>Inter-organisational relationships in construction projects: an analysis of inter-organisational relationships over time through the theoretical lens of trust and power</w:t>
      </w:r>
      <w:r>
        <w:rPr>
          <w:color w:val="000000"/>
          <w:sz w:val="24"/>
          <w:szCs w:val="24"/>
        </w:rPr>
        <w:t>. Doctoral dissertation. Loughborough University. Available at:</w:t>
      </w:r>
      <w:hyperlink r:id="rId37">
        <w:r>
          <w:rPr>
            <w:color w:val="000000"/>
            <w:sz w:val="24"/>
            <w:szCs w:val="24"/>
          </w:rPr>
          <w:t xml:space="preserve"> </w:t>
        </w:r>
      </w:hyperlink>
      <w:hyperlink r:id="rId38">
        <w:r>
          <w:rPr>
            <w:color w:val="1155CC"/>
            <w:sz w:val="24"/>
            <w:szCs w:val="24"/>
            <w:u w:val="single"/>
          </w:rPr>
          <w:t>https://doi.org/10.26174/thesis.lboro.21680366.v1</w:t>
        </w:r>
      </w:hyperlink>
      <w:r>
        <w:rPr>
          <w:color w:val="000000"/>
          <w:sz w:val="24"/>
          <w:szCs w:val="24"/>
        </w:rPr>
        <w:t>.</w:t>
      </w:r>
    </w:p>
    <w:p w14:paraId="3D51606D" w14:textId="77777777" w:rsidR="00A769CA" w:rsidRDefault="008D3F3B">
      <w:pPr>
        <w:pBdr>
          <w:top w:val="nil"/>
          <w:left w:val="nil"/>
          <w:bottom w:val="nil"/>
          <w:right w:val="nil"/>
          <w:between w:val="nil"/>
        </w:pBdr>
        <w:spacing w:before="240" w:after="240" w:line="360" w:lineRule="auto"/>
        <w:jc w:val="both"/>
        <w:rPr>
          <w:color w:val="000000"/>
          <w:sz w:val="24"/>
          <w:szCs w:val="24"/>
        </w:rPr>
      </w:pPr>
      <w:proofErr w:type="spellStart"/>
      <w:r>
        <w:rPr>
          <w:color w:val="000000"/>
          <w:sz w:val="24"/>
          <w:szCs w:val="24"/>
        </w:rPr>
        <w:t>Chenini</w:t>
      </w:r>
      <w:proofErr w:type="spellEnd"/>
      <w:r>
        <w:rPr>
          <w:color w:val="000000"/>
          <w:sz w:val="24"/>
          <w:szCs w:val="24"/>
        </w:rPr>
        <w:t xml:space="preserve">, A., Iqbal, J., </w:t>
      </w:r>
      <w:proofErr w:type="spellStart"/>
      <w:r>
        <w:rPr>
          <w:color w:val="000000"/>
          <w:sz w:val="24"/>
          <w:szCs w:val="24"/>
        </w:rPr>
        <w:t>Qurrahtulain</w:t>
      </w:r>
      <w:proofErr w:type="spellEnd"/>
      <w:r>
        <w:rPr>
          <w:color w:val="000000"/>
          <w:sz w:val="24"/>
          <w:szCs w:val="24"/>
        </w:rPr>
        <w:t xml:space="preserve">, K., Mahmood, M.A.H. and </w:t>
      </w:r>
      <w:proofErr w:type="spellStart"/>
      <w:r>
        <w:rPr>
          <w:color w:val="000000"/>
          <w:sz w:val="24"/>
          <w:szCs w:val="24"/>
        </w:rPr>
        <w:t>Aldehayyat</w:t>
      </w:r>
      <w:proofErr w:type="spellEnd"/>
      <w:r>
        <w:rPr>
          <w:color w:val="000000"/>
          <w:sz w:val="24"/>
          <w:szCs w:val="24"/>
        </w:rPr>
        <w:t xml:space="preserve">, J.S. (2021) ‘Strategic procurement, supplier integration, and speed-to-market: the mediating role of procurement lead-time performance and manufacturing performance’, </w:t>
      </w:r>
      <w:r>
        <w:rPr>
          <w:i/>
          <w:iCs/>
          <w:color w:val="000000"/>
          <w:sz w:val="24"/>
          <w:szCs w:val="24"/>
        </w:rPr>
        <w:t>Journal of Public Affairs</w:t>
      </w:r>
      <w:r>
        <w:rPr>
          <w:color w:val="000000"/>
          <w:sz w:val="24"/>
          <w:szCs w:val="24"/>
        </w:rPr>
        <w:t>, 21(3), p. e2248. Available at:</w:t>
      </w:r>
      <w:hyperlink r:id="rId39">
        <w:r>
          <w:rPr>
            <w:color w:val="000000"/>
            <w:sz w:val="24"/>
            <w:szCs w:val="24"/>
          </w:rPr>
          <w:t xml:space="preserve"> </w:t>
        </w:r>
      </w:hyperlink>
      <w:hyperlink r:id="rId40">
        <w:r>
          <w:rPr>
            <w:color w:val="1155CC"/>
            <w:sz w:val="24"/>
            <w:szCs w:val="24"/>
            <w:u w:val="single"/>
          </w:rPr>
          <w:t>https://doi.org/10.1002/pa.2248</w:t>
        </w:r>
      </w:hyperlink>
      <w:r>
        <w:rPr>
          <w:color w:val="000000"/>
          <w:sz w:val="24"/>
          <w:szCs w:val="24"/>
        </w:rPr>
        <w:t>.</w:t>
      </w:r>
    </w:p>
    <w:p w14:paraId="75ED0385"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000000"/>
          <w:sz w:val="24"/>
          <w:szCs w:val="24"/>
        </w:rPr>
        <w:t>Corporate Finance Institute (2025) ‘What are transaction costs?’ Available at:</w:t>
      </w:r>
      <w:hyperlink r:id="rId41">
        <w:r>
          <w:rPr>
            <w:color w:val="000000"/>
            <w:sz w:val="24"/>
            <w:szCs w:val="24"/>
          </w:rPr>
          <w:t xml:space="preserve"> </w:t>
        </w:r>
      </w:hyperlink>
      <w:hyperlink r:id="rId42">
        <w:r>
          <w:rPr>
            <w:color w:val="1155CC"/>
            <w:sz w:val="24"/>
            <w:szCs w:val="24"/>
            <w:u w:val="single"/>
          </w:rPr>
          <w:t>https://corporatefinanceinstitute.com/resources/economics/transaction-costs/</w:t>
        </w:r>
      </w:hyperlink>
      <w:r>
        <w:rPr>
          <w:color w:val="000000"/>
          <w:sz w:val="24"/>
          <w:szCs w:val="24"/>
        </w:rPr>
        <w:t xml:space="preserve"> (Accessed: 10 November 2025).</w:t>
      </w:r>
    </w:p>
    <w:p w14:paraId="20AD0D63"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000000"/>
          <w:sz w:val="24"/>
          <w:szCs w:val="24"/>
        </w:rPr>
        <w:t xml:space="preserve">Coşkun, A.E. and </w:t>
      </w:r>
      <w:proofErr w:type="spellStart"/>
      <w:r>
        <w:rPr>
          <w:color w:val="000000"/>
          <w:sz w:val="24"/>
          <w:szCs w:val="24"/>
        </w:rPr>
        <w:t>Erturgut</w:t>
      </w:r>
      <w:proofErr w:type="spellEnd"/>
      <w:r>
        <w:rPr>
          <w:color w:val="000000"/>
          <w:sz w:val="24"/>
          <w:szCs w:val="24"/>
        </w:rPr>
        <w:t xml:space="preserve">, R. (2024) ‘How do uncertainties affect supply-chain resilience? The moderating role of information sharing for sustainable supply-chain management, </w:t>
      </w:r>
      <w:r>
        <w:rPr>
          <w:i/>
          <w:iCs/>
          <w:color w:val="000000"/>
          <w:sz w:val="24"/>
          <w:szCs w:val="24"/>
        </w:rPr>
        <w:t>Sustainability</w:t>
      </w:r>
      <w:r>
        <w:rPr>
          <w:color w:val="000000"/>
          <w:sz w:val="24"/>
          <w:szCs w:val="24"/>
        </w:rPr>
        <w:t>, 16(1), p. 131. Available at:</w:t>
      </w:r>
      <w:hyperlink r:id="rId43">
        <w:r>
          <w:rPr>
            <w:color w:val="000000"/>
            <w:sz w:val="24"/>
            <w:szCs w:val="24"/>
          </w:rPr>
          <w:t xml:space="preserve"> </w:t>
        </w:r>
      </w:hyperlink>
      <w:hyperlink r:id="rId44">
        <w:r>
          <w:rPr>
            <w:color w:val="1155CC"/>
            <w:sz w:val="24"/>
            <w:szCs w:val="24"/>
            <w:u w:val="single"/>
          </w:rPr>
          <w:t>https://doi.org/10.3390/su16010131</w:t>
        </w:r>
      </w:hyperlink>
      <w:r>
        <w:rPr>
          <w:color w:val="000000"/>
          <w:sz w:val="24"/>
          <w:szCs w:val="24"/>
        </w:rPr>
        <w:t>.</w:t>
      </w:r>
    </w:p>
    <w:p w14:paraId="29E76369" w14:textId="77777777" w:rsidR="00A769CA" w:rsidRDefault="008D3F3B">
      <w:pPr>
        <w:pBdr>
          <w:top w:val="nil"/>
          <w:left w:val="nil"/>
          <w:bottom w:val="nil"/>
          <w:right w:val="nil"/>
          <w:between w:val="nil"/>
        </w:pBdr>
        <w:spacing w:before="240" w:after="240" w:line="360" w:lineRule="auto"/>
        <w:jc w:val="both"/>
        <w:rPr>
          <w:color w:val="000000"/>
          <w:sz w:val="24"/>
          <w:szCs w:val="24"/>
        </w:rPr>
      </w:pPr>
      <w:proofErr w:type="spellStart"/>
      <w:r>
        <w:rPr>
          <w:color w:val="000000"/>
          <w:sz w:val="24"/>
          <w:szCs w:val="24"/>
        </w:rPr>
        <w:t>Dahinine</w:t>
      </w:r>
      <w:proofErr w:type="spellEnd"/>
      <w:r>
        <w:rPr>
          <w:color w:val="000000"/>
          <w:sz w:val="24"/>
          <w:szCs w:val="24"/>
        </w:rPr>
        <w:t xml:space="preserve">, B., </w:t>
      </w:r>
      <w:proofErr w:type="spellStart"/>
      <w:r>
        <w:rPr>
          <w:color w:val="000000"/>
          <w:sz w:val="24"/>
          <w:szCs w:val="24"/>
        </w:rPr>
        <w:t>Laghouag</w:t>
      </w:r>
      <w:proofErr w:type="spellEnd"/>
      <w:r>
        <w:rPr>
          <w:color w:val="000000"/>
          <w:sz w:val="24"/>
          <w:szCs w:val="24"/>
        </w:rPr>
        <w:t xml:space="preserve">, A., </w:t>
      </w:r>
      <w:proofErr w:type="spellStart"/>
      <w:r>
        <w:rPr>
          <w:color w:val="000000"/>
          <w:sz w:val="24"/>
          <w:szCs w:val="24"/>
        </w:rPr>
        <w:t>Bensahel</w:t>
      </w:r>
      <w:proofErr w:type="spellEnd"/>
      <w:r>
        <w:rPr>
          <w:color w:val="000000"/>
          <w:sz w:val="24"/>
          <w:szCs w:val="24"/>
        </w:rPr>
        <w:t xml:space="preserve">, W., </w:t>
      </w:r>
      <w:proofErr w:type="spellStart"/>
      <w:r>
        <w:rPr>
          <w:color w:val="000000"/>
          <w:sz w:val="24"/>
          <w:szCs w:val="24"/>
        </w:rPr>
        <w:t>Alsolamy</w:t>
      </w:r>
      <w:proofErr w:type="spellEnd"/>
      <w:r>
        <w:rPr>
          <w:color w:val="000000"/>
          <w:sz w:val="24"/>
          <w:szCs w:val="24"/>
        </w:rPr>
        <w:t xml:space="preserve">, M. and Guendouz, T. (2024) ‘Evaluating performance measurement metrics for lean and agile supply chain </w:t>
      </w:r>
      <w:r>
        <w:rPr>
          <w:color w:val="000000"/>
          <w:sz w:val="24"/>
          <w:szCs w:val="24"/>
        </w:rPr>
        <w:lastRenderedPageBreak/>
        <w:t xml:space="preserve">strategies in large enterprises’, </w:t>
      </w:r>
      <w:r>
        <w:rPr>
          <w:i/>
          <w:iCs/>
          <w:color w:val="000000"/>
          <w:sz w:val="24"/>
          <w:szCs w:val="24"/>
        </w:rPr>
        <w:t>Sustainability</w:t>
      </w:r>
      <w:r>
        <w:rPr>
          <w:color w:val="000000"/>
          <w:sz w:val="24"/>
          <w:szCs w:val="24"/>
        </w:rPr>
        <w:t>, 16(6), p. 2586. Available at:</w:t>
      </w:r>
      <w:hyperlink r:id="rId45">
        <w:r>
          <w:rPr>
            <w:color w:val="000000"/>
            <w:sz w:val="24"/>
            <w:szCs w:val="24"/>
          </w:rPr>
          <w:t xml:space="preserve"> </w:t>
        </w:r>
      </w:hyperlink>
      <w:hyperlink r:id="rId46">
        <w:r>
          <w:rPr>
            <w:color w:val="1155CC"/>
            <w:sz w:val="24"/>
            <w:szCs w:val="24"/>
            <w:u w:val="single"/>
          </w:rPr>
          <w:t>https://doi.org/10.3390/su16062586</w:t>
        </w:r>
      </w:hyperlink>
      <w:r>
        <w:rPr>
          <w:color w:val="000000"/>
          <w:sz w:val="24"/>
          <w:szCs w:val="24"/>
        </w:rPr>
        <w:t>.</w:t>
      </w:r>
    </w:p>
    <w:p w14:paraId="2CDD81D2"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000000"/>
          <w:sz w:val="24"/>
          <w:szCs w:val="24"/>
        </w:rPr>
        <w:t xml:space="preserve">Del Gesso, C. and Lodhi, R.N. (2025) ‘Theories underlying environmental, social and governance (ESG) disclosure: a systematic review of accounting studies’, </w:t>
      </w:r>
      <w:r>
        <w:rPr>
          <w:i/>
          <w:iCs/>
          <w:color w:val="000000"/>
          <w:sz w:val="24"/>
          <w:szCs w:val="24"/>
        </w:rPr>
        <w:t>Journal of Accounting Literature</w:t>
      </w:r>
      <w:r>
        <w:rPr>
          <w:color w:val="000000"/>
          <w:sz w:val="24"/>
          <w:szCs w:val="24"/>
        </w:rPr>
        <w:t>, 47(2), pp. 433–461. Available at:</w:t>
      </w:r>
      <w:hyperlink r:id="rId47">
        <w:r>
          <w:rPr>
            <w:color w:val="000000"/>
            <w:sz w:val="24"/>
            <w:szCs w:val="24"/>
          </w:rPr>
          <w:t xml:space="preserve"> </w:t>
        </w:r>
      </w:hyperlink>
      <w:hyperlink r:id="rId48">
        <w:r>
          <w:rPr>
            <w:color w:val="1155CC"/>
            <w:sz w:val="24"/>
            <w:szCs w:val="24"/>
            <w:u w:val="single"/>
          </w:rPr>
          <w:t>https://doi.org/10.1108/JAL-08-2023-0143</w:t>
        </w:r>
      </w:hyperlink>
      <w:r>
        <w:rPr>
          <w:color w:val="000000"/>
          <w:sz w:val="24"/>
          <w:szCs w:val="24"/>
        </w:rPr>
        <w:t>.</w:t>
      </w:r>
    </w:p>
    <w:p w14:paraId="48CA247D"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000000"/>
          <w:sz w:val="24"/>
          <w:szCs w:val="24"/>
        </w:rPr>
        <w:t xml:space="preserve">Dinu, E., </w:t>
      </w:r>
      <w:proofErr w:type="spellStart"/>
      <w:r>
        <w:rPr>
          <w:color w:val="000000"/>
          <w:sz w:val="24"/>
          <w:szCs w:val="24"/>
        </w:rPr>
        <w:t>Cocoșatu</w:t>
      </w:r>
      <w:proofErr w:type="spellEnd"/>
      <w:r>
        <w:rPr>
          <w:color w:val="000000"/>
          <w:sz w:val="24"/>
          <w:szCs w:val="24"/>
        </w:rPr>
        <w:t xml:space="preserve">, M., </w:t>
      </w:r>
      <w:proofErr w:type="spellStart"/>
      <w:r>
        <w:rPr>
          <w:color w:val="000000"/>
          <w:sz w:val="24"/>
          <w:szCs w:val="24"/>
        </w:rPr>
        <w:t>Palăr</w:t>
      </w:r>
      <w:proofErr w:type="spellEnd"/>
      <w:r>
        <w:rPr>
          <w:color w:val="000000"/>
          <w:sz w:val="24"/>
          <w:szCs w:val="24"/>
        </w:rPr>
        <w:t xml:space="preserve">, V. and </w:t>
      </w:r>
      <w:proofErr w:type="spellStart"/>
      <w:r>
        <w:rPr>
          <w:color w:val="000000"/>
          <w:sz w:val="24"/>
          <w:szCs w:val="24"/>
        </w:rPr>
        <w:t>Neamțu</w:t>
      </w:r>
      <w:proofErr w:type="spellEnd"/>
      <w:r>
        <w:rPr>
          <w:color w:val="000000"/>
          <w:sz w:val="24"/>
          <w:szCs w:val="24"/>
        </w:rPr>
        <w:t xml:space="preserve">, F. (2025) ‘Exploring the role of intercultural communication and cultural intelligence in enhancing stakeholder engagement and ESG practices in international organisations: insights from the UN’, </w:t>
      </w:r>
      <w:r>
        <w:rPr>
          <w:i/>
          <w:iCs/>
          <w:color w:val="000000"/>
          <w:sz w:val="24"/>
          <w:szCs w:val="24"/>
        </w:rPr>
        <w:t>Sustainability</w:t>
      </w:r>
      <w:r>
        <w:rPr>
          <w:color w:val="000000"/>
          <w:sz w:val="24"/>
          <w:szCs w:val="24"/>
        </w:rPr>
        <w:t>, 17(22), p. 10388. Available at:</w:t>
      </w:r>
      <w:hyperlink r:id="rId49">
        <w:r>
          <w:rPr>
            <w:color w:val="000000"/>
            <w:sz w:val="24"/>
            <w:szCs w:val="24"/>
          </w:rPr>
          <w:t xml:space="preserve"> </w:t>
        </w:r>
      </w:hyperlink>
      <w:hyperlink r:id="rId50">
        <w:r>
          <w:rPr>
            <w:color w:val="1155CC"/>
            <w:sz w:val="24"/>
            <w:szCs w:val="24"/>
            <w:u w:val="single"/>
          </w:rPr>
          <w:t>https://doi.org/10.3390/su172210388</w:t>
        </w:r>
      </w:hyperlink>
      <w:r>
        <w:rPr>
          <w:color w:val="000000"/>
          <w:sz w:val="24"/>
          <w:szCs w:val="24"/>
        </w:rPr>
        <w:t>.</w:t>
      </w:r>
    </w:p>
    <w:p w14:paraId="0DE6A907"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000000"/>
          <w:sz w:val="24"/>
          <w:szCs w:val="24"/>
        </w:rPr>
        <w:t xml:space="preserve">Duran, E., Ozturk, C. and O’Sullivan, B. (2025) ‘Planning and scheduling shared manufacturing systems: key characteristics, current developments and future trends’, </w:t>
      </w:r>
      <w:r>
        <w:rPr>
          <w:i/>
          <w:iCs/>
          <w:color w:val="000000"/>
          <w:sz w:val="24"/>
          <w:szCs w:val="24"/>
        </w:rPr>
        <w:t>International Journal of Production Research</w:t>
      </w:r>
      <w:r>
        <w:rPr>
          <w:color w:val="000000"/>
          <w:sz w:val="24"/>
          <w:szCs w:val="24"/>
        </w:rPr>
        <w:t>, 63(13), pp. 4958–4990. Available at:</w:t>
      </w:r>
      <w:hyperlink r:id="rId51">
        <w:r>
          <w:rPr>
            <w:color w:val="000000"/>
            <w:sz w:val="24"/>
            <w:szCs w:val="24"/>
          </w:rPr>
          <w:t xml:space="preserve"> </w:t>
        </w:r>
      </w:hyperlink>
      <w:hyperlink r:id="rId52">
        <w:r>
          <w:rPr>
            <w:color w:val="1155CC"/>
            <w:sz w:val="24"/>
            <w:szCs w:val="24"/>
            <w:u w:val="single"/>
          </w:rPr>
          <w:t>https://doi.org/10.1080/00207543.2024.2442549</w:t>
        </w:r>
      </w:hyperlink>
      <w:r>
        <w:rPr>
          <w:color w:val="000000"/>
          <w:sz w:val="24"/>
          <w:szCs w:val="24"/>
        </w:rPr>
        <w:t>.</w:t>
      </w:r>
    </w:p>
    <w:p w14:paraId="64EF2E4F"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000000"/>
          <w:sz w:val="24"/>
          <w:szCs w:val="24"/>
        </w:rPr>
        <w:t xml:space="preserve">El </w:t>
      </w:r>
      <w:proofErr w:type="spellStart"/>
      <w:r>
        <w:rPr>
          <w:color w:val="000000"/>
          <w:sz w:val="24"/>
          <w:szCs w:val="24"/>
        </w:rPr>
        <w:t>Nemar</w:t>
      </w:r>
      <w:proofErr w:type="spellEnd"/>
      <w:r>
        <w:rPr>
          <w:color w:val="000000"/>
          <w:sz w:val="24"/>
          <w:szCs w:val="24"/>
        </w:rPr>
        <w:t xml:space="preserve">, S., El-Chaarani, H., </w:t>
      </w:r>
      <w:proofErr w:type="spellStart"/>
      <w:r>
        <w:rPr>
          <w:color w:val="000000"/>
          <w:sz w:val="24"/>
          <w:szCs w:val="24"/>
        </w:rPr>
        <w:t>Dandachi</w:t>
      </w:r>
      <w:proofErr w:type="spellEnd"/>
      <w:r>
        <w:rPr>
          <w:color w:val="000000"/>
          <w:sz w:val="24"/>
          <w:szCs w:val="24"/>
        </w:rPr>
        <w:t xml:space="preserve">, I. and Castellano, S. (2025) ‘Resource-based view and sustainable advantage: a framework for SMEs’, </w:t>
      </w:r>
      <w:r>
        <w:rPr>
          <w:i/>
          <w:iCs/>
          <w:color w:val="000000"/>
          <w:sz w:val="24"/>
          <w:szCs w:val="24"/>
        </w:rPr>
        <w:t>Journal of Strategic Marketing</w:t>
      </w:r>
      <w:r>
        <w:rPr>
          <w:color w:val="000000"/>
          <w:sz w:val="24"/>
          <w:szCs w:val="24"/>
        </w:rPr>
        <w:t>, 33(6), pp. 798–821. Available at:</w:t>
      </w:r>
      <w:hyperlink r:id="rId53">
        <w:r>
          <w:rPr>
            <w:color w:val="000000"/>
            <w:sz w:val="24"/>
            <w:szCs w:val="24"/>
          </w:rPr>
          <w:t xml:space="preserve"> </w:t>
        </w:r>
      </w:hyperlink>
      <w:hyperlink r:id="rId54">
        <w:r>
          <w:rPr>
            <w:color w:val="1155CC"/>
            <w:sz w:val="24"/>
            <w:szCs w:val="24"/>
            <w:u w:val="single"/>
          </w:rPr>
          <w:t>https://doi.org/10.1080/0965254X.2022.2160486</w:t>
        </w:r>
      </w:hyperlink>
      <w:r>
        <w:rPr>
          <w:color w:val="000000"/>
          <w:sz w:val="24"/>
          <w:szCs w:val="24"/>
        </w:rPr>
        <w:t>.</w:t>
      </w:r>
    </w:p>
    <w:p w14:paraId="46D07274" w14:textId="77777777" w:rsidR="00A769CA" w:rsidRDefault="008D3F3B">
      <w:pPr>
        <w:pBdr>
          <w:top w:val="nil"/>
          <w:left w:val="nil"/>
          <w:bottom w:val="nil"/>
          <w:right w:val="nil"/>
          <w:between w:val="nil"/>
        </w:pBdr>
        <w:spacing w:before="240" w:after="240" w:line="360" w:lineRule="auto"/>
        <w:jc w:val="both"/>
        <w:rPr>
          <w:color w:val="000000"/>
          <w:sz w:val="24"/>
          <w:szCs w:val="24"/>
        </w:rPr>
      </w:pPr>
      <w:proofErr w:type="spellStart"/>
      <w:r>
        <w:rPr>
          <w:color w:val="000000"/>
          <w:sz w:val="24"/>
          <w:szCs w:val="24"/>
        </w:rPr>
        <w:t>Fatorachian</w:t>
      </w:r>
      <w:proofErr w:type="spellEnd"/>
      <w:r>
        <w:rPr>
          <w:color w:val="000000"/>
          <w:sz w:val="24"/>
          <w:szCs w:val="24"/>
        </w:rPr>
        <w:t xml:space="preserve">, H. and Pawar, K. (2025) ‘Sustainable cold chain management: an evaluation of predictive waste management models’, </w:t>
      </w:r>
      <w:r>
        <w:rPr>
          <w:i/>
          <w:iCs/>
          <w:color w:val="000000"/>
          <w:sz w:val="24"/>
          <w:szCs w:val="24"/>
        </w:rPr>
        <w:t>Applied Sciences</w:t>
      </w:r>
      <w:r>
        <w:rPr>
          <w:color w:val="000000"/>
          <w:sz w:val="24"/>
          <w:szCs w:val="24"/>
        </w:rPr>
        <w:t>, 15(2), p. 770. Available at:</w:t>
      </w:r>
      <w:hyperlink r:id="rId55">
        <w:r>
          <w:rPr>
            <w:color w:val="000000"/>
            <w:sz w:val="24"/>
            <w:szCs w:val="24"/>
          </w:rPr>
          <w:t xml:space="preserve"> </w:t>
        </w:r>
      </w:hyperlink>
      <w:hyperlink r:id="rId56">
        <w:r>
          <w:rPr>
            <w:color w:val="1155CC"/>
            <w:sz w:val="24"/>
            <w:szCs w:val="24"/>
            <w:u w:val="single"/>
          </w:rPr>
          <w:t>https://doi.org/10.3390/app15020770</w:t>
        </w:r>
      </w:hyperlink>
      <w:r>
        <w:rPr>
          <w:color w:val="000000"/>
          <w:sz w:val="24"/>
          <w:szCs w:val="24"/>
        </w:rPr>
        <w:t>.</w:t>
      </w:r>
    </w:p>
    <w:p w14:paraId="45C3993E"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000000"/>
          <w:sz w:val="24"/>
          <w:szCs w:val="24"/>
        </w:rPr>
        <w:t xml:space="preserve">Feng, B. and Jalali, M. (2024) ‘The influence of technological innovation capability on sustainable supply chain management implementation—evidence from patent-intensive industries’, </w:t>
      </w:r>
      <w:r>
        <w:rPr>
          <w:i/>
          <w:iCs/>
          <w:color w:val="000000"/>
          <w:sz w:val="24"/>
          <w:szCs w:val="24"/>
        </w:rPr>
        <w:t>Sustainability</w:t>
      </w:r>
      <w:r>
        <w:rPr>
          <w:color w:val="000000"/>
          <w:sz w:val="24"/>
          <w:szCs w:val="24"/>
        </w:rPr>
        <w:t>, 16(12), p. 5183. Available at:</w:t>
      </w:r>
      <w:hyperlink r:id="rId57">
        <w:r>
          <w:rPr>
            <w:color w:val="000000"/>
            <w:sz w:val="24"/>
            <w:szCs w:val="24"/>
          </w:rPr>
          <w:t xml:space="preserve"> </w:t>
        </w:r>
      </w:hyperlink>
      <w:hyperlink r:id="rId58">
        <w:r>
          <w:rPr>
            <w:color w:val="1155CC"/>
            <w:sz w:val="24"/>
            <w:szCs w:val="24"/>
            <w:u w:val="single"/>
          </w:rPr>
          <w:t>https://doi.org/10.3390/su16125183</w:t>
        </w:r>
      </w:hyperlink>
      <w:r>
        <w:rPr>
          <w:color w:val="000000"/>
          <w:sz w:val="24"/>
          <w:szCs w:val="24"/>
        </w:rPr>
        <w:t>.</w:t>
      </w:r>
    </w:p>
    <w:p w14:paraId="7BDAB5D6" w14:textId="77777777" w:rsidR="00A769CA" w:rsidRDefault="008D3F3B">
      <w:pPr>
        <w:pBdr>
          <w:top w:val="nil"/>
          <w:left w:val="nil"/>
          <w:bottom w:val="nil"/>
          <w:right w:val="nil"/>
          <w:between w:val="nil"/>
        </w:pBdr>
        <w:spacing w:before="240" w:after="240" w:line="360" w:lineRule="auto"/>
        <w:jc w:val="both"/>
        <w:rPr>
          <w:color w:val="000000"/>
          <w:sz w:val="24"/>
          <w:szCs w:val="24"/>
        </w:rPr>
      </w:pPr>
      <w:proofErr w:type="spellStart"/>
      <w:r>
        <w:rPr>
          <w:color w:val="000000"/>
          <w:sz w:val="24"/>
          <w:szCs w:val="24"/>
        </w:rPr>
        <w:t>Fictiv</w:t>
      </w:r>
      <w:proofErr w:type="spellEnd"/>
      <w:r>
        <w:rPr>
          <w:color w:val="000000"/>
          <w:sz w:val="24"/>
          <w:szCs w:val="24"/>
        </w:rPr>
        <w:t xml:space="preserve"> (2024) ‘35 Manufacturing Industry Statistics and Trends’. Available at:</w:t>
      </w:r>
      <w:hyperlink r:id="rId59">
        <w:r>
          <w:rPr>
            <w:color w:val="000000"/>
            <w:sz w:val="24"/>
            <w:szCs w:val="24"/>
          </w:rPr>
          <w:t xml:space="preserve"> </w:t>
        </w:r>
      </w:hyperlink>
      <w:hyperlink r:id="rId60">
        <w:r>
          <w:rPr>
            <w:color w:val="1155CC"/>
            <w:sz w:val="24"/>
            <w:szCs w:val="24"/>
            <w:u w:val="single"/>
          </w:rPr>
          <w:t>https://www.fictiv.com/articles/manufacturing-industry-statistics</w:t>
        </w:r>
      </w:hyperlink>
      <w:r>
        <w:rPr>
          <w:color w:val="000000"/>
          <w:sz w:val="24"/>
          <w:szCs w:val="24"/>
        </w:rPr>
        <w:t xml:space="preserve"> (Accessed: 6 October 2025).</w:t>
      </w:r>
    </w:p>
    <w:p w14:paraId="107EDC8A"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000000"/>
          <w:sz w:val="24"/>
          <w:szCs w:val="24"/>
        </w:rPr>
        <w:lastRenderedPageBreak/>
        <w:t xml:space="preserve">Gazdecki, M. and </w:t>
      </w:r>
      <w:proofErr w:type="spellStart"/>
      <w:r>
        <w:rPr>
          <w:color w:val="000000"/>
          <w:sz w:val="24"/>
          <w:szCs w:val="24"/>
        </w:rPr>
        <w:t>Grześkowiak</w:t>
      </w:r>
      <w:proofErr w:type="spellEnd"/>
      <w:r>
        <w:rPr>
          <w:color w:val="000000"/>
          <w:sz w:val="24"/>
          <w:szCs w:val="24"/>
        </w:rPr>
        <w:t xml:space="preserve">, K. (2025) ‘Does financial power lead farmers to focus more on the behavioural factors of business relationships with input suppliers?’, </w:t>
      </w:r>
      <w:r>
        <w:rPr>
          <w:i/>
          <w:iCs/>
          <w:color w:val="000000"/>
          <w:sz w:val="24"/>
          <w:szCs w:val="24"/>
        </w:rPr>
        <w:t>Sustainability</w:t>
      </w:r>
      <w:r>
        <w:rPr>
          <w:color w:val="000000"/>
          <w:sz w:val="24"/>
          <w:szCs w:val="24"/>
        </w:rPr>
        <w:t>, 17(17), p. 7634. Available at:</w:t>
      </w:r>
      <w:hyperlink r:id="rId61">
        <w:r>
          <w:rPr>
            <w:color w:val="000000"/>
            <w:sz w:val="24"/>
            <w:szCs w:val="24"/>
          </w:rPr>
          <w:t xml:space="preserve"> </w:t>
        </w:r>
      </w:hyperlink>
      <w:hyperlink r:id="rId62">
        <w:r>
          <w:rPr>
            <w:color w:val="1155CC"/>
            <w:sz w:val="24"/>
            <w:szCs w:val="24"/>
            <w:u w:val="single"/>
          </w:rPr>
          <w:t>https://doi.org/10.3390/su17177634</w:t>
        </w:r>
      </w:hyperlink>
      <w:r>
        <w:rPr>
          <w:color w:val="000000"/>
          <w:sz w:val="24"/>
          <w:szCs w:val="24"/>
        </w:rPr>
        <w:t>.</w:t>
      </w:r>
    </w:p>
    <w:p w14:paraId="6DDF4F1B"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000000"/>
          <w:sz w:val="24"/>
          <w:szCs w:val="24"/>
        </w:rPr>
        <w:t xml:space="preserve">George, O.O., </w:t>
      </w:r>
      <w:proofErr w:type="spellStart"/>
      <w:r>
        <w:rPr>
          <w:color w:val="000000"/>
          <w:sz w:val="24"/>
          <w:szCs w:val="24"/>
        </w:rPr>
        <w:t>Dosumu</w:t>
      </w:r>
      <w:proofErr w:type="spellEnd"/>
      <w:r>
        <w:rPr>
          <w:color w:val="000000"/>
          <w:sz w:val="24"/>
          <w:szCs w:val="24"/>
        </w:rPr>
        <w:t xml:space="preserve">, R.E. and Makata, C.O. (2024) ‘Strategic vendor relationship management: a conceptual model for building sustainable partnerships in competitive marketing ecosystems’, </w:t>
      </w:r>
      <w:r>
        <w:rPr>
          <w:i/>
          <w:iCs/>
          <w:color w:val="000000"/>
          <w:sz w:val="24"/>
          <w:szCs w:val="24"/>
        </w:rPr>
        <w:t>Journal of Frontiers in Multidisciplinary Research</w:t>
      </w:r>
      <w:r>
        <w:rPr>
          <w:color w:val="000000"/>
          <w:sz w:val="24"/>
          <w:szCs w:val="24"/>
        </w:rPr>
        <w:t>, 5(1), pp. 112–118. Available at: https://doi.org/10.54660/IJFMR.2024.5.1.112-118 (Accessed: 21 November 2025).</w:t>
      </w:r>
    </w:p>
    <w:p w14:paraId="2AEAA8C2" w14:textId="77777777" w:rsidR="00A769CA" w:rsidRDefault="008D3F3B">
      <w:pPr>
        <w:pBdr>
          <w:top w:val="nil"/>
          <w:left w:val="nil"/>
          <w:bottom w:val="nil"/>
          <w:right w:val="nil"/>
          <w:between w:val="nil"/>
        </w:pBdr>
        <w:spacing w:before="240" w:after="240" w:line="360" w:lineRule="auto"/>
        <w:jc w:val="both"/>
        <w:rPr>
          <w:color w:val="000000"/>
          <w:sz w:val="24"/>
          <w:szCs w:val="24"/>
        </w:rPr>
      </w:pPr>
      <w:proofErr w:type="spellStart"/>
      <w:r>
        <w:rPr>
          <w:color w:val="000000"/>
          <w:sz w:val="24"/>
          <w:szCs w:val="24"/>
        </w:rPr>
        <w:t>Ghanad</w:t>
      </w:r>
      <w:proofErr w:type="spellEnd"/>
      <w:r>
        <w:rPr>
          <w:color w:val="000000"/>
          <w:sz w:val="24"/>
          <w:szCs w:val="24"/>
        </w:rPr>
        <w:t xml:space="preserve">, A. (2023) ‘An overview of quantitative research methods’, </w:t>
      </w:r>
      <w:r>
        <w:rPr>
          <w:i/>
          <w:iCs/>
          <w:color w:val="000000"/>
          <w:sz w:val="24"/>
          <w:szCs w:val="24"/>
        </w:rPr>
        <w:t>International Journal of Multidisciplinary Research and Analysis</w:t>
      </w:r>
      <w:r>
        <w:rPr>
          <w:color w:val="000000"/>
          <w:sz w:val="24"/>
          <w:szCs w:val="24"/>
        </w:rPr>
        <w:t>, 6(08), pp. 3794–3803. Available at:</w:t>
      </w:r>
      <w:hyperlink r:id="rId63">
        <w:r>
          <w:rPr>
            <w:color w:val="000000"/>
            <w:sz w:val="24"/>
            <w:szCs w:val="24"/>
          </w:rPr>
          <w:t xml:space="preserve"> </w:t>
        </w:r>
      </w:hyperlink>
      <w:hyperlink r:id="rId64">
        <w:r>
          <w:rPr>
            <w:color w:val="1155CC"/>
            <w:sz w:val="24"/>
            <w:szCs w:val="24"/>
            <w:u w:val="single"/>
          </w:rPr>
          <w:t>https://doi.org/10.47191/ijmra/v6-i8-52</w:t>
        </w:r>
      </w:hyperlink>
      <w:r>
        <w:rPr>
          <w:color w:val="000000"/>
          <w:sz w:val="24"/>
          <w:szCs w:val="24"/>
        </w:rPr>
        <w:t xml:space="preserve"> (Accessed: 10 November 2025).</w:t>
      </w:r>
    </w:p>
    <w:p w14:paraId="0758EE2D" w14:textId="77777777" w:rsidR="00A769CA" w:rsidRDefault="008D3F3B">
      <w:pPr>
        <w:pBdr>
          <w:top w:val="nil"/>
          <w:left w:val="nil"/>
          <w:bottom w:val="nil"/>
          <w:right w:val="nil"/>
          <w:between w:val="nil"/>
        </w:pBdr>
        <w:spacing w:before="240" w:after="240" w:line="360" w:lineRule="auto"/>
        <w:jc w:val="both"/>
        <w:rPr>
          <w:color w:val="000000"/>
          <w:sz w:val="24"/>
          <w:szCs w:val="24"/>
        </w:rPr>
      </w:pPr>
      <w:proofErr w:type="spellStart"/>
      <w:r>
        <w:rPr>
          <w:color w:val="000000"/>
          <w:sz w:val="24"/>
          <w:szCs w:val="24"/>
        </w:rPr>
        <w:t>Glavee</w:t>
      </w:r>
      <w:proofErr w:type="spellEnd"/>
      <w:r>
        <w:rPr>
          <w:color w:val="000000"/>
          <w:sz w:val="24"/>
          <w:szCs w:val="24"/>
        </w:rPr>
        <w:t xml:space="preserve">-Geo, R., </w:t>
      </w:r>
      <w:proofErr w:type="spellStart"/>
      <w:r>
        <w:rPr>
          <w:color w:val="000000"/>
          <w:sz w:val="24"/>
          <w:szCs w:val="24"/>
        </w:rPr>
        <w:t>Engelseth</w:t>
      </w:r>
      <w:proofErr w:type="spellEnd"/>
      <w:r>
        <w:rPr>
          <w:color w:val="000000"/>
          <w:sz w:val="24"/>
          <w:szCs w:val="24"/>
        </w:rPr>
        <w:t xml:space="preserve">, P. and Buvik, A. (2021) ‘Power imbalance and the dark side of the captive agri-food supplier–buyer relationship’, </w:t>
      </w:r>
      <w:r>
        <w:rPr>
          <w:i/>
          <w:iCs/>
          <w:color w:val="000000"/>
          <w:sz w:val="24"/>
          <w:szCs w:val="24"/>
        </w:rPr>
        <w:t>Journal of Business Ethics</w:t>
      </w:r>
      <w:r>
        <w:rPr>
          <w:color w:val="000000"/>
          <w:sz w:val="24"/>
          <w:szCs w:val="24"/>
        </w:rPr>
        <w:t>, 178(3), p. 609. Available at:</w:t>
      </w:r>
      <w:hyperlink r:id="rId65">
        <w:r>
          <w:rPr>
            <w:color w:val="000000"/>
            <w:sz w:val="24"/>
            <w:szCs w:val="24"/>
          </w:rPr>
          <w:t xml:space="preserve"> </w:t>
        </w:r>
      </w:hyperlink>
      <w:hyperlink r:id="rId66">
        <w:r>
          <w:rPr>
            <w:color w:val="1155CC"/>
            <w:sz w:val="24"/>
            <w:szCs w:val="24"/>
            <w:u w:val="single"/>
          </w:rPr>
          <w:t>https://doi.org/10.1007/s10551-021-04791-7</w:t>
        </w:r>
      </w:hyperlink>
      <w:r>
        <w:rPr>
          <w:color w:val="000000"/>
          <w:sz w:val="24"/>
          <w:szCs w:val="24"/>
        </w:rPr>
        <w:t>.</w:t>
      </w:r>
    </w:p>
    <w:p w14:paraId="79B5E3B3"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000000"/>
          <w:sz w:val="24"/>
          <w:szCs w:val="24"/>
        </w:rPr>
        <w:t xml:space="preserve">Glory, E. (2023) ‘Supplier relationship management in the era of Industry 4.0’, </w:t>
      </w:r>
      <w:r>
        <w:rPr>
          <w:i/>
          <w:iCs/>
          <w:color w:val="000000"/>
          <w:sz w:val="24"/>
          <w:szCs w:val="24"/>
        </w:rPr>
        <w:t>European Journal of Supply Chain Management</w:t>
      </w:r>
      <w:r>
        <w:rPr>
          <w:color w:val="000000"/>
          <w:sz w:val="24"/>
          <w:szCs w:val="24"/>
        </w:rPr>
        <w:t>, 1(1), pp. 41–51. Available at:</w:t>
      </w:r>
      <w:hyperlink r:id="rId67">
        <w:r>
          <w:rPr>
            <w:color w:val="000000"/>
            <w:sz w:val="24"/>
            <w:szCs w:val="24"/>
          </w:rPr>
          <w:t xml:space="preserve"> </w:t>
        </w:r>
      </w:hyperlink>
      <w:hyperlink r:id="rId68">
        <w:r>
          <w:rPr>
            <w:color w:val="1155CC"/>
            <w:sz w:val="24"/>
            <w:szCs w:val="24"/>
            <w:u w:val="single"/>
          </w:rPr>
          <w:t>https://forthworthjournals.org/journals/index.php/EJSCM/article/download/40/37</w:t>
        </w:r>
      </w:hyperlink>
      <w:r>
        <w:rPr>
          <w:color w:val="000000"/>
          <w:sz w:val="24"/>
          <w:szCs w:val="24"/>
        </w:rPr>
        <w:t xml:space="preserve"> (Accessed: 21 November 2025).</w:t>
      </w:r>
    </w:p>
    <w:p w14:paraId="51ED4270"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000000"/>
          <w:sz w:val="24"/>
          <w:szCs w:val="24"/>
        </w:rPr>
        <w:t xml:space="preserve">Grant, O. (2024) ‘Adapting supplier relationship management strategies to evolving e-commerce </w:t>
      </w:r>
      <w:proofErr w:type="gramStart"/>
      <w:r>
        <w:rPr>
          <w:color w:val="000000"/>
          <w:sz w:val="24"/>
          <w:szCs w:val="24"/>
        </w:rPr>
        <w:t>trends’ [preprint]</w:t>
      </w:r>
      <w:proofErr w:type="gramEnd"/>
      <w:r>
        <w:rPr>
          <w:color w:val="000000"/>
          <w:sz w:val="24"/>
          <w:szCs w:val="24"/>
        </w:rPr>
        <w:t>. Available at:</w:t>
      </w:r>
      <w:hyperlink r:id="rId69">
        <w:r>
          <w:rPr>
            <w:color w:val="000000"/>
            <w:sz w:val="24"/>
            <w:szCs w:val="24"/>
          </w:rPr>
          <w:t xml:space="preserve"> </w:t>
        </w:r>
      </w:hyperlink>
      <w:hyperlink r:id="rId70">
        <w:r>
          <w:rPr>
            <w:color w:val="1155CC"/>
            <w:sz w:val="24"/>
            <w:szCs w:val="24"/>
            <w:u w:val="single"/>
          </w:rPr>
          <w:t>https://doi.org/10.20944/preprints202407.0546.v1</w:t>
        </w:r>
      </w:hyperlink>
      <w:r>
        <w:rPr>
          <w:color w:val="000000"/>
          <w:sz w:val="24"/>
          <w:szCs w:val="24"/>
        </w:rPr>
        <w:t>.</w:t>
      </w:r>
    </w:p>
    <w:p w14:paraId="161A98A2"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000000"/>
          <w:sz w:val="24"/>
          <w:szCs w:val="24"/>
        </w:rPr>
        <w:t xml:space="preserve">Grant, O. (2024) ‘Building sustainable supplier relationships in e-commerce: a qualitative study on best practices and </w:t>
      </w:r>
      <w:proofErr w:type="gramStart"/>
      <w:r>
        <w:rPr>
          <w:color w:val="000000"/>
          <w:sz w:val="24"/>
          <w:szCs w:val="24"/>
        </w:rPr>
        <w:t>strategies’ [preprint]</w:t>
      </w:r>
      <w:proofErr w:type="gramEnd"/>
      <w:r>
        <w:rPr>
          <w:color w:val="000000"/>
          <w:sz w:val="24"/>
          <w:szCs w:val="24"/>
        </w:rPr>
        <w:t>. Available at:</w:t>
      </w:r>
      <w:hyperlink r:id="rId71">
        <w:r>
          <w:rPr>
            <w:color w:val="000000"/>
            <w:sz w:val="24"/>
            <w:szCs w:val="24"/>
          </w:rPr>
          <w:t xml:space="preserve"> </w:t>
        </w:r>
      </w:hyperlink>
      <w:hyperlink r:id="rId72">
        <w:r>
          <w:rPr>
            <w:color w:val="1155CC"/>
            <w:sz w:val="24"/>
            <w:szCs w:val="24"/>
            <w:u w:val="single"/>
          </w:rPr>
          <w:t>https://doi.org/10.20944/preprints202407.0634.v1</w:t>
        </w:r>
      </w:hyperlink>
      <w:r>
        <w:rPr>
          <w:color w:val="000000"/>
          <w:sz w:val="24"/>
          <w:szCs w:val="24"/>
        </w:rPr>
        <w:t>.</w:t>
      </w:r>
    </w:p>
    <w:p w14:paraId="155E3F71"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000000"/>
          <w:sz w:val="24"/>
          <w:szCs w:val="24"/>
        </w:rPr>
        <w:t>Grant, O. (2024) ‘Exploring supplier relationship management in the context of e-commerce’ [preprint]. Available at:</w:t>
      </w:r>
      <w:hyperlink r:id="rId73">
        <w:r>
          <w:rPr>
            <w:color w:val="000000"/>
            <w:sz w:val="24"/>
            <w:szCs w:val="24"/>
          </w:rPr>
          <w:t xml:space="preserve"> </w:t>
        </w:r>
      </w:hyperlink>
      <w:hyperlink r:id="rId74">
        <w:r>
          <w:rPr>
            <w:color w:val="1155CC"/>
            <w:sz w:val="24"/>
            <w:szCs w:val="24"/>
            <w:u w:val="single"/>
          </w:rPr>
          <w:t>https://doi.org/10.20944/preprints202407.0471.v1</w:t>
        </w:r>
      </w:hyperlink>
      <w:r>
        <w:rPr>
          <w:color w:val="000000"/>
          <w:sz w:val="24"/>
          <w:szCs w:val="24"/>
        </w:rPr>
        <w:t>.</w:t>
      </w:r>
    </w:p>
    <w:p w14:paraId="5BB49B8E"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000000"/>
          <w:sz w:val="24"/>
          <w:szCs w:val="24"/>
        </w:rPr>
        <w:t>Grant, O. (2024) ‘From conflict to collaboration: resolving supplier disputes in e-commerce through relationship management’ [preprint]. Available at:</w:t>
      </w:r>
      <w:hyperlink r:id="rId75">
        <w:r>
          <w:rPr>
            <w:color w:val="000000"/>
            <w:sz w:val="24"/>
            <w:szCs w:val="24"/>
          </w:rPr>
          <w:t xml:space="preserve"> </w:t>
        </w:r>
      </w:hyperlink>
      <w:hyperlink r:id="rId76">
        <w:r>
          <w:rPr>
            <w:color w:val="1155CC"/>
            <w:sz w:val="24"/>
            <w:szCs w:val="24"/>
            <w:u w:val="single"/>
          </w:rPr>
          <w:t>https://doi.org/10.20944/preprints202407.0819.v1</w:t>
        </w:r>
      </w:hyperlink>
      <w:r>
        <w:rPr>
          <w:color w:val="000000"/>
          <w:sz w:val="24"/>
          <w:szCs w:val="24"/>
        </w:rPr>
        <w:t>.</w:t>
      </w:r>
    </w:p>
    <w:p w14:paraId="3AC077B2"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000000"/>
          <w:sz w:val="24"/>
          <w:szCs w:val="24"/>
        </w:rPr>
        <w:lastRenderedPageBreak/>
        <w:t xml:space="preserve">Grant, O. (2024) ‘Supplier relationship management in the age of digital transformation: insights from e-commerce </w:t>
      </w:r>
      <w:proofErr w:type="gramStart"/>
      <w:r>
        <w:rPr>
          <w:color w:val="000000"/>
          <w:sz w:val="24"/>
          <w:szCs w:val="24"/>
        </w:rPr>
        <w:t>businesses’ [preprint]</w:t>
      </w:r>
      <w:proofErr w:type="gramEnd"/>
      <w:r>
        <w:rPr>
          <w:color w:val="000000"/>
          <w:sz w:val="24"/>
          <w:szCs w:val="24"/>
        </w:rPr>
        <w:t>. Available at:</w:t>
      </w:r>
      <w:hyperlink r:id="rId77">
        <w:r>
          <w:rPr>
            <w:color w:val="000000"/>
            <w:sz w:val="24"/>
            <w:szCs w:val="24"/>
          </w:rPr>
          <w:t xml:space="preserve"> </w:t>
        </w:r>
      </w:hyperlink>
      <w:hyperlink r:id="rId78">
        <w:r>
          <w:rPr>
            <w:color w:val="1155CC"/>
            <w:sz w:val="24"/>
            <w:szCs w:val="24"/>
            <w:u w:val="single"/>
          </w:rPr>
          <w:t>https://doi.org/10.20944/preprints202407.1099.v1</w:t>
        </w:r>
      </w:hyperlink>
      <w:r>
        <w:rPr>
          <w:color w:val="000000"/>
          <w:sz w:val="24"/>
          <w:szCs w:val="24"/>
        </w:rPr>
        <w:t>.</w:t>
      </w:r>
    </w:p>
    <w:p w14:paraId="04BCAABB"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000000"/>
          <w:sz w:val="24"/>
          <w:szCs w:val="24"/>
        </w:rPr>
        <w:t>Grant, O. (2024) ‘The role of supplier relationship management in ensuring e-commerce supply chain resilience’ [preprint]. Available at:</w:t>
      </w:r>
      <w:hyperlink r:id="rId79">
        <w:r>
          <w:rPr>
            <w:color w:val="000000"/>
            <w:sz w:val="24"/>
            <w:szCs w:val="24"/>
          </w:rPr>
          <w:t xml:space="preserve"> </w:t>
        </w:r>
      </w:hyperlink>
      <w:hyperlink r:id="rId80">
        <w:r>
          <w:rPr>
            <w:color w:val="1155CC"/>
            <w:sz w:val="24"/>
            <w:szCs w:val="24"/>
            <w:u w:val="single"/>
          </w:rPr>
          <w:t>https://doi.org/10.20944/preprints202407.1136.v1</w:t>
        </w:r>
      </w:hyperlink>
      <w:r>
        <w:rPr>
          <w:color w:val="000000"/>
          <w:sz w:val="24"/>
          <w:szCs w:val="24"/>
        </w:rPr>
        <w:t>.</w:t>
      </w:r>
    </w:p>
    <w:p w14:paraId="54EE6AD9"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000000"/>
          <w:sz w:val="24"/>
          <w:szCs w:val="24"/>
        </w:rPr>
        <w:t>Grant, O. (2024) ‘Understanding the role of supplier relationship management in e-commerce inventory optimisation’. Available at:</w:t>
      </w:r>
      <w:hyperlink r:id="rId81">
        <w:r>
          <w:rPr>
            <w:color w:val="000000"/>
            <w:sz w:val="24"/>
            <w:szCs w:val="24"/>
          </w:rPr>
          <w:t xml:space="preserve"> </w:t>
        </w:r>
      </w:hyperlink>
      <w:hyperlink r:id="rId82">
        <w:r>
          <w:rPr>
            <w:color w:val="1155CC"/>
            <w:sz w:val="24"/>
            <w:szCs w:val="24"/>
            <w:u w:val="single"/>
          </w:rPr>
          <w:t>https://www.preprints.org/frontend/manuscript/6df651f9ea7d384c5e279f86a229bcf2/download_pub</w:t>
        </w:r>
      </w:hyperlink>
      <w:r>
        <w:rPr>
          <w:color w:val="000000"/>
          <w:sz w:val="24"/>
          <w:szCs w:val="24"/>
        </w:rPr>
        <w:t xml:space="preserve"> (Accessed: 21 November 2025).</w:t>
      </w:r>
    </w:p>
    <w:p w14:paraId="5985F965" w14:textId="77777777" w:rsidR="00A769CA" w:rsidRDefault="008D3F3B">
      <w:pPr>
        <w:pBdr>
          <w:top w:val="nil"/>
          <w:left w:val="nil"/>
          <w:bottom w:val="nil"/>
          <w:right w:val="nil"/>
          <w:between w:val="nil"/>
        </w:pBdr>
        <w:spacing w:after="240" w:line="360" w:lineRule="auto"/>
        <w:jc w:val="both"/>
        <w:rPr>
          <w:sz w:val="24"/>
          <w:szCs w:val="24"/>
        </w:rPr>
      </w:pPr>
      <w:r>
        <w:rPr>
          <w:sz w:val="24"/>
          <w:szCs w:val="24"/>
        </w:rPr>
        <w:t xml:space="preserve">Grant, O., (2024). The Role of Trust and Communication in Supplier Relationship Management Within the E-Commerce Sector. Available at: </w:t>
      </w:r>
      <w:hyperlink r:id="rId83">
        <w:r>
          <w:rPr>
            <w:color w:val="1155CC"/>
            <w:sz w:val="24"/>
            <w:szCs w:val="24"/>
            <w:u w:val="single"/>
          </w:rPr>
          <w:t>https://www.preprints.org/frontend/manuscript/9f31225e5e5320ec10f5d3ed7d7e5b8b/download_pub</w:t>
        </w:r>
      </w:hyperlink>
      <w:r>
        <w:rPr>
          <w:sz w:val="24"/>
          <w:szCs w:val="24"/>
        </w:rPr>
        <w:t xml:space="preserve"> (Accessed: 10 December, 2025)</w:t>
      </w:r>
    </w:p>
    <w:p w14:paraId="03BD8D7C" w14:textId="77777777" w:rsidR="00A769CA" w:rsidRDefault="008D3F3B">
      <w:pPr>
        <w:pBdr>
          <w:top w:val="nil"/>
          <w:left w:val="nil"/>
          <w:bottom w:val="nil"/>
          <w:right w:val="nil"/>
          <w:between w:val="nil"/>
        </w:pBdr>
        <w:spacing w:before="240" w:after="240" w:line="360" w:lineRule="auto"/>
        <w:jc w:val="both"/>
        <w:rPr>
          <w:color w:val="000000"/>
          <w:sz w:val="24"/>
          <w:szCs w:val="24"/>
        </w:rPr>
      </w:pPr>
      <w:proofErr w:type="spellStart"/>
      <w:r>
        <w:rPr>
          <w:color w:val="000000"/>
          <w:sz w:val="24"/>
          <w:szCs w:val="24"/>
        </w:rPr>
        <w:t>Hajarath</w:t>
      </w:r>
      <w:proofErr w:type="spellEnd"/>
      <w:r>
        <w:rPr>
          <w:color w:val="000000"/>
          <w:sz w:val="24"/>
          <w:szCs w:val="24"/>
        </w:rPr>
        <w:t xml:space="preserve">, K. and Vummadi, J. (2024) ‘Enhancing supply chain resilience: proactive strategies for disruptive events’, </w:t>
      </w:r>
      <w:r>
        <w:rPr>
          <w:i/>
          <w:iCs/>
          <w:color w:val="000000"/>
          <w:sz w:val="24"/>
          <w:szCs w:val="24"/>
        </w:rPr>
        <w:t>International Journal of Supply Chain Management</w:t>
      </w:r>
      <w:r>
        <w:rPr>
          <w:color w:val="000000"/>
          <w:sz w:val="24"/>
          <w:szCs w:val="24"/>
        </w:rPr>
        <w:t>, 9(3), pp. 1–11. Available at:</w:t>
      </w:r>
      <w:hyperlink r:id="rId84">
        <w:r>
          <w:rPr>
            <w:color w:val="000000"/>
            <w:sz w:val="24"/>
            <w:szCs w:val="24"/>
          </w:rPr>
          <w:t xml:space="preserve"> </w:t>
        </w:r>
      </w:hyperlink>
      <w:hyperlink r:id="rId85">
        <w:r>
          <w:rPr>
            <w:color w:val="1155CC"/>
            <w:sz w:val="24"/>
            <w:szCs w:val="24"/>
            <w:u w:val="single"/>
          </w:rPr>
          <w:t>https://www.academia.edu/download/120180905/3062.pdf</w:t>
        </w:r>
      </w:hyperlink>
      <w:r>
        <w:rPr>
          <w:color w:val="000000"/>
          <w:sz w:val="24"/>
          <w:szCs w:val="24"/>
        </w:rPr>
        <w:t xml:space="preserve"> (Accessed: 21 November 2025).</w:t>
      </w:r>
    </w:p>
    <w:p w14:paraId="19E96FD8"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000000"/>
          <w:sz w:val="24"/>
          <w:szCs w:val="24"/>
        </w:rPr>
        <w:t xml:space="preserve">Han, N. and Um, J. (2024) ‘Risk management strategy for supply chain sustainability and resilience capability’, </w:t>
      </w:r>
      <w:r>
        <w:rPr>
          <w:i/>
          <w:iCs/>
          <w:color w:val="000000"/>
          <w:sz w:val="24"/>
          <w:szCs w:val="24"/>
        </w:rPr>
        <w:t>Risk Management</w:t>
      </w:r>
      <w:r>
        <w:rPr>
          <w:color w:val="000000"/>
          <w:sz w:val="24"/>
          <w:szCs w:val="24"/>
        </w:rPr>
        <w:t>, 26(2), p. 6. Available at:</w:t>
      </w:r>
      <w:hyperlink r:id="rId86">
        <w:r>
          <w:rPr>
            <w:color w:val="000000"/>
            <w:sz w:val="24"/>
            <w:szCs w:val="24"/>
          </w:rPr>
          <w:t xml:space="preserve"> </w:t>
        </w:r>
      </w:hyperlink>
      <w:hyperlink r:id="rId87">
        <w:r>
          <w:rPr>
            <w:color w:val="1155CC"/>
            <w:sz w:val="24"/>
            <w:szCs w:val="24"/>
            <w:u w:val="single"/>
          </w:rPr>
          <w:t>https://doi.org/10.1057/s41283-023-00138-w</w:t>
        </w:r>
      </w:hyperlink>
      <w:r>
        <w:rPr>
          <w:color w:val="000000"/>
          <w:sz w:val="24"/>
          <w:szCs w:val="24"/>
        </w:rPr>
        <w:t>.</w:t>
      </w:r>
    </w:p>
    <w:p w14:paraId="2B7461E0"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000000"/>
          <w:sz w:val="24"/>
          <w:szCs w:val="24"/>
        </w:rPr>
        <w:t xml:space="preserve">Hasan, N., Rana, R.U., Chowdhury, S., Dola, A.J. and Rony, M.K.K. (2021) ‘Ethical considerations in research’, </w:t>
      </w:r>
      <w:r>
        <w:rPr>
          <w:i/>
          <w:iCs/>
          <w:color w:val="000000"/>
          <w:sz w:val="24"/>
          <w:szCs w:val="24"/>
        </w:rPr>
        <w:t>Journal of Nursing Research, Patient Safety and Practise</w:t>
      </w:r>
      <w:r>
        <w:rPr>
          <w:color w:val="000000"/>
          <w:sz w:val="24"/>
          <w:szCs w:val="24"/>
        </w:rPr>
        <w:t>, 1(01), pp. 1–4. Available at:</w:t>
      </w:r>
      <w:hyperlink r:id="rId88">
        <w:r>
          <w:rPr>
            <w:color w:val="000000"/>
            <w:sz w:val="24"/>
            <w:szCs w:val="24"/>
          </w:rPr>
          <w:t xml:space="preserve"> </w:t>
        </w:r>
      </w:hyperlink>
      <w:hyperlink r:id="rId89">
        <w:r>
          <w:rPr>
            <w:color w:val="1155CC"/>
            <w:sz w:val="24"/>
            <w:szCs w:val="24"/>
            <w:u w:val="single"/>
          </w:rPr>
          <w:t>https://www.researchgate.net/profile/Moustaq-Karim-Khan-Rony/publication/364406105_Ethical_Considerations_In_Research/links/67b6f077645ef274a489bbb6/Ethical-Considerations-In-Research.pdf</w:t>
        </w:r>
      </w:hyperlink>
      <w:r>
        <w:rPr>
          <w:color w:val="000000"/>
          <w:sz w:val="24"/>
          <w:szCs w:val="24"/>
        </w:rPr>
        <w:t xml:space="preserve"> (Accessed: 10 November 2025).</w:t>
      </w:r>
    </w:p>
    <w:p w14:paraId="2ADB8EE4"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000000"/>
          <w:sz w:val="24"/>
          <w:szCs w:val="24"/>
        </w:rPr>
        <w:lastRenderedPageBreak/>
        <w:t>Holloway, S. (2024) ‘Exploring the influence of supply chain disruption management on brand resilience and consumer perception’ [preprint]. Available at:</w:t>
      </w:r>
      <w:hyperlink r:id="rId90">
        <w:r>
          <w:rPr>
            <w:color w:val="000000"/>
            <w:sz w:val="24"/>
            <w:szCs w:val="24"/>
          </w:rPr>
          <w:t xml:space="preserve"> </w:t>
        </w:r>
      </w:hyperlink>
      <w:hyperlink r:id="rId91">
        <w:r>
          <w:rPr>
            <w:color w:val="1155CC"/>
            <w:sz w:val="24"/>
            <w:szCs w:val="24"/>
            <w:u w:val="single"/>
          </w:rPr>
          <w:t>https://doi.org/10.20944/preprints202406.1546.v1</w:t>
        </w:r>
      </w:hyperlink>
      <w:r>
        <w:rPr>
          <w:color w:val="000000"/>
          <w:sz w:val="24"/>
          <w:szCs w:val="24"/>
        </w:rPr>
        <w:t>.</w:t>
      </w:r>
    </w:p>
    <w:p w14:paraId="4405835D"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000000"/>
          <w:sz w:val="24"/>
          <w:szCs w:val="24"/>
        </w:rPr>
        <w:t>Holloway, S. (2025) ‘Enhancing supply chain visibility and resilience through information systems integration’ [preprint]. Available at:</w:t>
      </w:r>
      <w:hyperlink r:id="rId92">
        <w:r>
          <w:rPr>
            <w:color w:val="000000"/>
            <w:sz w:val="24"/>
            <w:szCs w:val="24"/>
          </w:rPr>
          <w:t xml:space="preserve"> </w:t>
        </w:r>
      </w:hyperlink>
      <w:hyperlink r:id="rId93">
        <w:r>
          <w:rPr>
            <w:color w:val="1155CC"/>
            <w:sz w:val="24"/>
            <w:szCs w:val="24"/>
            <w:u w:val="single"/>
          </w:rPr>
          <w:t>https://doi.org/10.20944/preprints202502.1064.v1</w:t>
        </w:r>
      </w:hyperlink>
      <w:r>
        <w:rPr>
          <w:color w:val="000000"/>
          <w:sz w:val="24"/>
          <w:szCs w:val="24"/>
        </w:rPr>
        <w:t>.</w:t>
      </w:r>
    </w:p>
    <w:p w14:paraId="228D6C04"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000000"/>
          <w:sz w:val="24"/>
          <w:szCs w:val="24"/>
        </w:rPr>
        <w:t xml:space="preserve">Huang, J. and Li, S.M. (2024) ‘Adaptive strategies and sustainable innovations of Chinese contractors in the Belt and Road Initiative: a social network and supply chain integration perspective’, </w:t>
      </w:r>
      <w:r>
        <w:rPr>
          <w:i/>
          <w:iCs/>
          <w:color w:val="000000"/>
          <w:sz w:val="24"/>
          <w:szCs w:val="24"/>
        </w:rPr>
        <w:t>Sustainability</w:t>
      </w:r>
      <w:r>
        <w:rPr>
          <w:color w:val="000000"/>
          <w:sz w:val="24"/>
          <w:szCs w:val="24"/>
        </w:rPr>
        <w:t>, 16(20), p. 8927. Available at:</w:t>
      </w:r>
      <w:hyperlink r:id="rId94">
        <w:r>
          <w:rPr>
            <w:color w:val="000000"/>
            <w:sz w:val="24"/>
            <w:szCs w:val="24"/>
          </w:rPr>
          <w:t xml:space="preserve"> </w:t>
        </w:r>
      </w:hyperlink>
      <w:hyperlink r:id="rId95">
        <w:r>
          <w:rPr>
            <w:color w:val="1155CC"/>
            <w:sz w:val="24"/>
            <w:szCs w:val="24"/>
            <w:u w:val="single"/>
          </w:rPr>
          <w:t>https://doi.org/10.3390/su16208927</w:t>
        </w:r>
      </w:hyperlink>
      <w:r>
        <w:rPr>
          <w:color w:val="000000"/>
          <w:sz w:val="24"/>
          <w:szCs w:val="24"/>
        </w:rPr>
        <w:t>.</w:t>
      </w:r>
    </w:p>
    <w:p w14:paraId="26759824"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000000"/>
          <w:sz w:val="24"/>
          <w:szCs w:val="24"/>
        </w:rPr>
        <w:t xml:space="preserve">Ikonen, S. (2025). </w:t>
      </w:r>
      <w:r>
        <w:rPr>
          <w:i/>
          <w:iCs/>
          <w:color w:val="000000"/>
          <w:sz w:val="24"/>
          <w:szCs w:val="24"/>
        </w:rPr>
        <w:t>Data-driven framework for supplier segmentation</w:t>
      </w:r>
      <w:r>
        <w:rPr>
          <w:color w:val="000000"/>
          <w:sz w:val="24"/>
          <w:szCs w:val="24"/>
        </w:rPr>
        <w:t>. Master’s thesis. LUT University. Available at:</w:t>
      </w:r>
      <w:hyperlink r:id="rId96">
        <w:r>
          <w:rPr>
            <w:color w:val="000000"/>
            <w:sz w:val="24"/>
            <w:szCs w:val="24"/>
          </w:rPr>
          <w:t xml:space="preserve"> </w:t>
        </w:r>
      </w:hyperlink>
      <w:hyperlink r:id="rId97">
        <w:r>
          <w:rPr>
            <w:color w:val="1155CC"/>
            <w:sz w:val="24"/>
            <w:szCs w:val="24"/>
            <w:u w:val="single"/>
          </w:rPr>
          <w:t>https://lutpub.lut.fi/bitstream/handle/10024/169667/Mastersthesis_Ikonen_Senja.pdf?sequence=1&amp;isAllowed=y</w:t>
        </w:r>
      </w:hyperlink>
      <w:r>
        <w:rPr>
          <w:color w:val="000000"/>
          <w:sz w:val="24"/>
          <w:szCs w:val="24"/>
        </w:rPr>
        <w:t xml:space="preserve"> (Accessed: 21 November 2025).</w:t>
      </w:r>
    </w:p>
    <w:p w14:paraId="085A69E2" w14:textId="77777777" w:rsidR="00A769CA" w:rsidRDefault="008D3F3B">
      <w:pPr>
        <w:pBdr>
          <w:top w:val="nil"/>
          <w:left w:val="nil"/>
          <w:bottom w:val="nil"/>
          <w:right w:val="nil"/>
          <w:between w:val="nil"/>
        </w:pBdr>
        <w:spacing w:before="240" w:after="240" w:line="360" w:lineRule="auto"/>
        <w:jc w:val="both"/>
        <w:rPr>
          <w:color w:val="000000"/>
          <w:sz w:val="24"/>
          <w:szCs w:val="24"/>
        </w:rPr>
      </w:pPr>
      <w:proofErr w:type="spellStart"/>
      <w:r>
        <w:rPr>
          <w:color w:val="000000"/>
          <w:sz w:val="24"/>
          <w:szCs w:val="24"/>
        </w:rPr>
        <w:t>Iyelolu</w:t>
      </w:r>
      <w:proofErr w:type="spellEnd"/>
      <w:r>
        <w:rPr>
          <w:color w:val="000000"/>
          <w:sz w:val="24"/>
          <w:szCs w:val="24"/>
        </w:rPr>
        <w:t xml:space="preserve">, T.V., Agu, E.E., Idemudia, C. and </w:t>
      </w:r>
      <w:proofErr w:type="spellStart"/>
      <w:r>
        <w:rPr>
          <w:color w:val="000000"/>
          <w:sz w:val="24"/>
          <w:szCs w:val="24"/>
        </w:rPr>
        <w:t>Ijomah</w:t>
      </w:r>
      <w:proofErr w:type="spellEnd"/>
      <w:r>
        <w:rPr>
          <w:color w:val="000000"/>
          <w:sz w:val="24"/>
          <w:szCs w:val="24"/>
        </w:rPr>
        <w:t xml:space="preserve">, T.I. (2024) ‘Driving SME innovation with AI solutions: overcoming adoption barriers and future growth opportunities’, </w:t>
      </w:r>
      <w:r>
        <w:rPr>
          <w:i/>
          <w:iCs/>
          <w:color w:val="000000"/>
          <w:sz w:val="24"/>
          <w:szCs w:val="24"/>
        </w:rPr>
        <w:t>International Journal of Science and Technology Research Archive</w:t>
      </w:r>
      <w:r>
        <w:rPr>
          <w:color w:val="000000"/>
          <w:sz w:val="24"/>
          <w:szCs w:val="24"/>
        </w:rPr>
        <w:t>, 7(1), pp. 036–054. Available at:</w:t>
      </w:r>
      <w:hyperlink r:id="rId98">
        <w:r>
          <w:rPr>
            <w:color w:val="000000"/>
            <w:sz w:val="24"/>
            <w:szCs w:val="24"/>
          </w:rPr>
          <w:t xml:space="preserve"> </w:t>
        </w:r>
      </w:hyperlink>
      <w:hyperlink r:id="rId99">
        <w:r>
          <w:rPr>
            <w:color w:val="1155CC"/>
            <w:sz w:val="24"/>
            <w:szCs w:val="24"/>
            <w:u w:val="single"/>
          </w:rPr>
          <w:t>https://doi.org/10.53771/ijstra.2024.7.1.0055</w:t>
        </w:r>
      </w:hyperlink>
      <w:r>
        <w:rPr>
          <w:color w:val="000000"/>
          <w:sz w:val="24"/>
          <w:szCs w:val="24"/>
        </w:rPr>
        <w:t>.</w:t>
      </w:r>
    </w:p>
    <w:p w14:paraId="0F9CBD8D"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000000"/>
          <w:sz w:val="24"/>
          <w:szCs w:val="24"/>
        </w:rPr>
        <w:t xml:space="preserve">Jawad, Z.N. and Balázs, V. (2024) ‘Machine learning-driven optimisation of enterprise resource planning (ERP) systems: a comprehensive review’, </w:t>
      </w:r>
      <w:r>
        <w:rPr>
          <w:i/>
          <w:iCs/>
          <w:color w:val="000000"/>
          <w:sz w:val="24"/>
          <w:szCs w:val="24"/>
        </w:rPr>
        <w:t>Beni-Suef University Journal of Basic and Applied Sciences</w:t>
      </w:r>
      <w:r>
        <w:rPr>
          <w:color w:val="000000"/>
          <w:sz w:val="24"/>
          <w:szCs w:val="24"/>
        </w:rPr>
        <w:t>, 13(1), p. 4. Available at:</w:t>
      </w:r>
      <w:hyperlink r:id="rId100">
        <w:r>
          <w:rPr>
            <w:color w:val="000000"/>
            <w:sz w:val="24"/>
            <w:szCs w:val="24"/>
          </w:rPr>
          <w:t xml:space="preserve"> </w:t>
        </w:r>
      </w:hyperlink>
      <w:hyperlink r:id="rId101">
        <w:r>
          <w:rPr>
            <w:color w:val="1155CC"/>
            <w:sz w:val="24"/>
            <w:szCs w:val="24"/>
            <w:u w:val="single"/>
          </w:rPr>
          <w:t>https://doi.org/10.1186/s43088-023-00460-y</w:t>
        </w:r>
      </w:hyperlink>
      <w:r>
        <w:rPr>
          <w:color w:val="000000"/>
          <w:sz w:val="24"/>
          <w:szCs w:val="24"/>
        </w:rPr>
        <w:t>.</w:t>
      </w:r>
    </w:p>
    <w:p w14:paraId="0B20716A"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000000"/>
          <w:sz w:val="24"/>
          <w:szCs w:val="24"/>
        </w:rPr>
        <w:t xml:space="preserve">Joel, O.S., Oyewole, A.T., </w:t>
      </w:r>
      <w:proofErr w:type="spellStart"/>
      <w:r>
        <w:rPr>
          <w:color w:val="000000"/>
          <w:sz w:val="24"/>
          <w:szCs w:val="24"/>
        </w:rPr>
        <w:t>Odunaiya</w:t>
      </w:r>
      <w:proofErr w:type="spellEnd"/>
      <w:r>
        <w:rPr>
          <w:color w:val="000000"/>
          <w:sz w:val="24"/>
          <w:szCs w:val="24"/>
        </w:rPr>
        <w:t xml:space="preserve">, O.G. and </w:t>
      </w:r>
      <w:proofErr w:type="spellStart"/>
      <w:r>
        <w:rPr>
          <w:color w:val="000000"/>
          <w:sz w:val="24"/>
          <w:szCs w:val="24"/>
        </w:rPr>
        <w:t>Soyombo</w:t>
      </w:r>
      <w:proofErr w:type="spellEnd"/>
      <w:r>
        <w:rPr>
          <w:color w:val="000000"/>
          <w:sz w:val="24"/>
          <w:szCs w:val="24"/>
        </w:rPr>
        <w:t xml:space="preserve">, O.T. (2024) ‘Leveraging artificial intelligence for enhanced supply chain optimisation: a comprehensive review of current practices and future potentials’, </w:t>
      </w:r>
      <w:r>
        <w:rPr>
          <w:i/>
          <w:iCs/>
          <w:color w:val="000000"/>
          <w:sz w:val="24"/>
          <w:szCs w:val="24"/>
        </w:rPr>
        <w:t>International Journal of Management &amp; Entrepreneurship Research</w:t>
      </w:r>
      <w:r>
        <w:rPr>
          <w:color w:val="000000"/>
          <w:sz w:val="24"/>
          <w:szCs w:val="24"/>
        </w:rPr>
        <w:t>, 6(3), pp. 707–721. Available at:</w:t>
      </w:r>
      <w:hyperlink r:id="rId102">
        <w:r>
          <w:rPr>
            <w:color w:val="000000"/>
            <w:sz w:val="24"/>
            <w:szCs w:val="24"/>
          </w:rPr>
          <w:t xml:space="preserve"> </w:t>
        </w:r>
      </w:hyperlink>
      <w:hyperlink r:id="rId103">
        <w:r>
          <w:rPr>
            <w:color w:val="1155CC"/>
            <w:sz w:val="24"/>
            <w:szCs w:val="24"/>
            <w:u w:val="single"/>
          </w:rPr>
          <w:t>https://www.researchgate.net/profile/Adedoyin-Oyewole-2/publication/379603578_LEVERAGING_ARTIFICIAL_INTELLIGENCE_FOR_ENHANCED_SUPPLY_CHAIN_OPTIMIZATION_A_COMPREHENSIVE_REVIEW_OF_CURRENT_PRACTICES_AND_FUTURE_POTENTIALS/links/6610d247a7c907287a4</w:t>
        </w:r>
        <w:r>
          <w:rPr>
            <w:color w:val="1155CC"/>
            <w:sz w:val="24"/>
            <w:szCs w:val="24"/>
            <w:u w:val="single"/>
          </w:rPr>
          <w:lastRenderedPageBreak/>
          <w:t>7af91/LEVERAGING-ARTIFICIAL-INTELLIGENCE-FOR-ENHANCED-SUPPLY-CHAIN-OPTIMIZATION-A-COMPREHENSIVE-REVIEW-OF-CURRENT-PRACTICES-AND-FUTURE-POTENTIALS.pdf</w:t>
        </w:r>
      </w:hyperlink>
      <w:r>
        <w:rPr>
          <w:color w:val="000000"/>
          <w:sz w:val="24"/>
          <w:szCs w:val="24"/>
        </w:rPr>
        <w:t xml:space="preserve"> (Accessed: 21 November 2025).</w:t>
      </w:r>
    </w:p>
    <w:p w14:paraId="76ABA2E8"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000000"/>
          <w:sz w:val="24"/>
          <w:szCs w:val="24"/>
        </w:rPr>
        <w:t xml:space="preserve">Johnson, H. (2025) ‘Assessing the role of communication and information sharing in strengthening supply chain resilience during </w:t>
      </w:r>
      <w:proofErr w:type="gramStart"/>
      <w:r>
        <w:rPr>
          <w:color w:val="000000"/>
          <w:sz w:val="24"/>
          <w:szCs w:val="24"/>
        </w:rPr>
        <w:t>disruptions’ [preprint]</w:t>
      </w:r>
      <w:proofErr w:type="gramEnd"/>
      <w:r>
        <w:rPr>
          <w:color w:val="000000"/>
          <w:sz w:val="24"/>
          <w:szCs w:val="24"/>
        </w:rPr>
        <w:t>. Available at:</w:t>
      </w:r>
      <w:hyperlink r:id="rId104">
        <w:r>
          <w:rPr>
            <w:color w:val="000000"/>
            <w:sz w:val="24"/>
            <w:szCs w:val="24"/>
          </w:rPr>
          <w:t xml:space="preserve"> </w:t>
        </w:r>
      </w:hyperlink>
      <w:hyperlink r:id="rId105">
        <w:r>
          <w:rPr>
            <w:color w:val="1155CC"/>
            <w:sz w:val="24"/>
            <w:szCs w:val="24"/>
            <w:u w:val="single"/>
          </w:rPr>
          <w:t>https://doi.org/10.20944/preprints202501.1293.v1</w:t>
        </w:r>
      </w:hyperlink>
      <w:r>
        <w:rPr>
          <w:color w:val="000000"/>
          <w:sz w:val="24"/>
          <w:szCs w:val="24"/>
        </w:rPr>
        <w:t>.</w:t>
      </w:r>
    </w:p>
    <w:p w14:paraId="31958F59"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000000"/>
          <w:sz w:val="24"/>
          <w:szCs w:val="24"/>
        </w:rPr>
        <w:t xml:space="preserve">Jones, J. (2025) ‘A systematic literature review on supplier relationship management in the context of global supply </w:t>
      </w:r>
      <w:proofErr w:type="gramStart"/>
      <w:r>
        <w:rPr>
          <w:color w:val="000000"/>
          <w:sz w:val="24"/>
          <w:szCs w:val="24"/>
        </w:rPr>
        <w:t>chains’ [preprint]</w:t>
      </w:r>
      <w:proofErr w:type="gramEnd"/>
      <w:r>
        <w:rPr>
          <w:color w:val="000000"/>
          <w:sz w:val="24"/>
          <w:szCs w:val="24"/>
        </w:rPr>
        <w:t>. Available at:</w:t>
      </w:r>
      <w:hyperlink r:id="rId106">
        <w:r>
          <w:rPr>
            <w:color w:val="000000"/>
            <w:sz w:val="24"/>
            <w:szCs w:val="24"/>
          </w:rPr>
          <w:t xml:space="preserve"> </w:t>
        </w:r>
      </w:hyperlink>
      <w:hyperlink r:id="rId107">
        <w:r>
          <w:rPr>
            <w:color w:val="1155CC"/>
            <w:sz w:val="24"/>
            <w:szCs w:val="24"/>
            <w:u w:val="single"/>
          </w:rPr>
          <w:t>https://doi.org/10.20944/preprints202501.0460.v1</w:t>
        </w:r>
      </w:hyperlink>
      <w:r>
        <w:rPr>
          <w:color w:val="000000"/>
          <w:sz w:val="24"/>
          <w:szCs w:val="24"/>
        </w:rPr>
        <w:t>.</w:t>
      </w:r>
    </w:p>
    <w:p w14:paraId="51A926EB"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000000"/>
          <w:sz w:val="24"/>
          <w:szCs w:val="24"/>
        </w:rPr>
        <w:t xml:space="preserve">Junjie, M. and </w:t>
      </w:r>
      <w:proofErr w:type="spellStart"/>
      <w:r>
        <w:rPr>
          <w:color w:val="000000"/>
          <w:sz w:val="24"/>
          <w:szCs w:val="24"/>
        </w:rPr>
        <w:t>Yingxin</w:t>
      </w:r>
      <w:proofErr w:type="spellEnd"/>
      <w:r>
        <w:rPr>
          <w:color w:val="000000"/>
          <w:sz w:val="24"/>
          <w:szCs w:val="24"/>
        </w:rPr>
        <w:t xml:space="preserve">, M. (2022) ‘The discussions of positivism and interpretivism’, </w:t>
      </w:r>
      <w:r>
        <w:rPr>
          <w:i/>
          <w:iCs/>
          <w:color w:val="000000"/>
          <w:sz w:val="24"/>
          <w:szCs w:val="24"/>
        </w:rPr>
        <w:t>Online Submission</w:t>
      </w:r>
      <w:r>
        <w:rPr>
          <w:color w:val="000000"/>
          <w:sz w:val="24"/>
          <w:szCs w:val="24"/>
        </w:rPr>
        <w:t>, 4(1), pp. 10–14. Available at:</w:t>
      </w:r>
      <w:hyperlink r:id="rId108">
        <w:r>
          <w:rPr>
            <w:color w:val="000000"/>
            <w:sz w:val="24"/>
            <w:szCs w:val="24"/>
          </w:rPr>
          <w:t xml:space="preserve"> </w:t>
        </w:r>
      </w:hyperlink>
      <w:hyperlink r:id="rId109">
        <w:r>
          <w:rPr>
            <w:color w:val="1155CC"/>
            <w:sz w:val="24"/>
            <w:szCs w:val="24"/>
            <w:u w:val="single"/>
          </w:rPr>
          <w:t>https://files.eric.ed.gov/fulltext/ED619359.pdf</w:t>
        </w:r>
      </w:hyperlink>
      <w:r>
        <w:rPr>
          <w:color w:val="000000"/>
          <w:sz w:val="24"/>
          <w:szCs w:val="24"/>
        </w:rPr>
        <w:t xml:space="preserve"> (Accessed: 10 November 2025).</w:t>
      </w:r>
    </w:p>
    <w:p w14:paraId="6146DA30"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000000"/>
          <w:sz w:val="24"/>
          <w:szCs w:val="24"/>
        </w:rPr>
        <w:t xml:space="preserve">Jyoti, S.N. and Akter, M. (2022) ‘Assessment of data-driven vendor performance evaluation in retail supply chains: </w:t>
      </w:r>
      <w:proofErr w:type="spellStart"/>
      <w:r>
        <w:rPr>
          <w:color w:val="000000"/>
          <w:sz w:val="24"/>
          <w:szCs w:val="24"/>
        </w:rPr>
        <w:t>analyzing</w:t>
      </w:r>
      <w:proofErr w:type="spellEnd"/>
      <w:r>
        <w:rPr>
          <w:color w:val="000000"/>
          <w:sz w:val="24"/>
          <w:szCs w:val="24"/>
        </w:rPr>
        <w:t xml:space="preserve"> metrics, scorecards and contract management tools’, </w:t>
      </w:r>
      <w:r>
        <w:rPr>
          <w:i/>
          <w:iCs/>
          <w:color w:val="000000"/>
          <w:sz w:val="24"/>
          <w:szCs w:val="24"/>
        </w:rPr>
        <w:t>American Journal of Interdisciplinary Studies</w:t>
      </w:r>
      <w:r>
        <w:rPr>
          <w:color w:val="000000"/>
          <w:sz w:val="24"/>
          <w:szCs w:val="24"/>
        </w:rPr>
        <w:t>, 3(02), pp. 36–61. Available at:</w:t>
      </w:r>
      <w:hyperlink r:id="rId110">
        <w:r>
          <w:rPr>
            <w:color w:val="000000"/>
            <w:sz w:val="24"/>
            <w:szCs w:val="24"/>
          </w:rPr>
          <w:t xml:space="preserve"> </w:t>
        </w:r>
      </w:hyperlink>
      <w:hyperlink r:id="rId111">
        <w:r>
          <w:rPr>
            <w:color w:val="1155CC"/>
            <w:sz w:val="24"/>
            <w:szCs w:val="24"/>
            <w:u w:val="single"/>
          </w:rPr>
          <w:t>https://doi.org/10.63125/0s7t1y90</w:t>
        </w:r>
      </w:hyperlink>
      <w:r>
        <w:rPr>
          <w:color w:val="000000"/>
          <w:sz w:val="24"/>
          <w:szCs w:val="24"/>
        </w:rPr>
        <w:t>.</w:t>
      </w:r>
    </w:p>
    <w:p w14:paraId="762D54F3" w14:textId="77777777" w:rsidR="00A769CA" w:rsidRDefault="008D3F3B">
      <w:pPr>
        <w:pBdr>
          <w:top w:val="nil"/>
          <w:left w:val="nil"/>
          <w:bottom w:val="nil"/>
          <w:right w:val="nil"/>
          <w:between w:val="nil"/>
        </w:pBdr>
        <w:spacing w:before="240" w:after="240" w:line="360" w:lineRule="auto"/>
        <w:jc w:val="both"/>
        <w:rPr>
          <w:color w:val="000000"/>
          <w:sz w:val="24"/>
          <w:szCs w:val="24"/>
        </w:rPr>
      </w:pPr>
      <w:proofErr w:type="spellStart"/>
      <w:r>
        <w:rPr>
          <w:color w:val="000000"/>
          <w:sz w:val="24"/>
          <w:szCs w:val="24"/>
        </w:rPr>
        <w:t>Kekeya</w:t>
      </w:r>
      <w:proofErr w:type="spellEnd"/>
      <w:r>
        <w:rPr>
          <w:color w:val="000000"/>
          <w:sz w:val="24"/>
          <w:szCs w:val="24"/>
        </w:rPr>
        <w:t xml:space="preserve">, J. (2021) ‘Qualitative case study research design: the commonalities and differences between collective, intrinsic and instrumental case studies’, </w:t>
      </w:r>
      <w:r>
        <w:rPr>
          <w:i/>
          <w:iCs/>
          <w:color w:val="000000"/>
          <w:sz w:val="24"/>
          <w:szCs w:val="24"/>
        </w:rPr>
        <w:t>Contemporary PNG Studies</w:t>
      </w:r>
      <w:r>
        <w:rPr>
          <w:color w:val="000000"/>
          <w:sz w:val="24"/>
          <w:szCs w:val="24"/>
        </w:rPr>
        <w:t>, 36, pp. 28–37. Available at:</w:t>
      </w:r>
      <w:hyperlink r:id="rId112">
        <w:r>
          <w:rPr>
            <w:color w:val="000000"/>
            <w:sz w:val="24"/>
            <w:szCs w:val="24"/>
          </w:rPr>
          <w:t xml:space="preserve"> </w:t>
        </w:r>
      </w:hyperlink>
      <w:hyperlink r:id="rId113">
        <w:r>
          <w:rPr>
            <w:color w:val="1155CC"/>
            <w:sz w:val="24"/>
            <w:szCs w:val="24"/>
            <w:u w:val="single"/>
          </w:rPr>
          <w:t>https://www.dwu.ac.pg/en/images/All_Attachements/Research%20Journals/vol_36/4._J.Lingawa.pdf</w:t>
        </w:r>
      </w:hyperlink>
      <w:r>
        <w:rPr>
          <w:color w:val="000000"/>
          <w:sz w:val="24"/>
          <w:szCs w:val="24"/>
        </w:rPr>
        <w:t xml:space="preserve"> (Accessed: 10 November 2025).</w:t>
      </w:r>
    </w:p>
    <w:p w14:paraId="4420F599" w14:textId="77777777" w:rsidR="00A769CA" w:rsidRDefault="008D3F3B">
      <w:pPr>
        <w:pBdr>
          <w:top w:val="nil"/>
          <w:left w:val="nil"/>
          <w:bottom w:val="nil"/>
          <w:right w:val="nil"/>
          <w:between w:val="nil"/>
        </w:pBdr>
        <w:spacing w:after="240" w:line="360" w:lineRule="auto"/>
        <w:jc w:val="both"/>
        <w:rPr>
          <w:sz w:val="24"/>
          <w:szCs w:val="24"/>
        </w:rPr>
      </w:pPr>
      <w:r>
        <w:rPr>
          <w:sz w:val="24"/>
          <w:szCs w:val="24"/>
        </w:rPr>
        <w:t xml:space="preserve">Khan, S.J., Dhir, A., Parida, V. and Papa, A., (2021). Past, present, and future of green product innovation. </w:t>
      </w:r>
      <w:r>
        <w:rPr>
          <w:i/>
          <w:iCs/>
          <w:sz w:val="24"/>
          <w:szCs w:val="24"/>
        </w:rPr>
        <w:t>Business Strategy and the Environment</w:t>
      </w:r>
      <w:r>
        <w:rPr>
          <w:sz w:val="24"/>
          <w:szCs w:val="24"/>
        </w:rPr>
        <w:t xml:space="preserve">, </w:t>
      </w:r>
      <w:r>
        <w:rPr>
          <w:i/>
          <w:iCs/>
          <w:sz w:val="24"/>
          <w:szCs w:val="24"/>
        </w:rPr>
        <w:t>30</w:t>
      </w:r>
      <w:r>
        <w:rPr>
          <w:sz w:val="24"/>
          <w:szCs w:val="24"/>
        </w:rPr>
        <w:t xml:space="preserve">(8), pp.4081-4106. Available at: </w:t>
      </w:r>
      <w:hyperlink r:id="rId114">
        <w:r>
          <w:rPr>
            <w:color w:val="1155CC"/>
            <w:sz w:val="24"/>
            <w:szCs w:val="24"/>
            <w:u w:val="single"/>
          </w:rPr>
          <w:t>https://doi.org/10.1002/bse.2858</w:t>
        </w:r>
      </w:hyperlink>
    </w:p>
    <w:p w14:paraId="3F7ACA12"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000000"/>
          <w:sz w:val="24"/>
          <w:szCs w:val="24"/>
        </w:rPr>
        <w:t xml:space="preserve">Kumar, S. and </w:t>
      </w:r>
      <w:proofErr w:type="spellStart"/>
      <w:r>
        <w:rPr>
          <w:color w:val="000000"/>
          <w:sz w:val="24"/>
          <w:szCs w:val="24"/>
        </w:rPr>
        <w:t>Ujire</w:t>
      </w:r>
      <w:proofErr w:type="spellEnd"/>
      <w:r>
        <w:rPr>
          <w:color w:val="000000"/>
          <w:sz w:val="24"/>
          <w:szCs w:val="24"/>
        </w:rPr>
        <w:t xml:space="preserve">, D.K. (2024) ‘Inductive and deductive approaches to qualitative research’, </w:t>
      </w:r>
      <w:r>
        <w:rPr>
          <w:i/>
          <w:iCs/>
          <w:color w:val="000000"/>
          <w:sz w:val="24"/>
          <w:szCs w:val="24"/>
        </w:rPr>
        <w:t>International Journal of Multidisciplinary Educational Research</w:t>
      </w:r>
      <w:r>
        <w:rPr>
          <w:color w:val="000000"/>
          <w:sz w:val="24"/>
          <w:szCs w:val="24"/>
        </w:rPr>
        <w:t>, 13(1), pp. 58–63. Available at:</w:t>
      </w:r>
      <w:hyperlink r:id="rId115">
        <w:r>
          <w:rPr>
            <w:color w:val="000000"/>
            <w:sz w:val="24"/>
            <w:szCs w:val="24"/>
          </w:rPr>
          <w:t xml:space="preserve"> </w:t>
        </w:r>
      </w:hyperlink>
      <w:hyperlink r:id="rId116">
        <w:r>
          <w:rPr>
            <w:color w:val="1155CC"/>
            <w:sz w:val="24"/>
            <w:szCs w:val="24"/>
            <w:u w:val="single"/>
          </w:rPr>
          <w:t>http://ijmer.in.doi./2024/13.1.69</w:t>
        </w:r>
      </w:hyperlink>
      <w:r>
        <w:rPr>
          <w:color w:val="000000"/>
          <w:sz w:val="24"/>
          <w:szCs w:val="24"/>
        </w:rPr>
        <w:t xml:space="preserve"> (Accessed: 10 November 2025).</w:t>
      </w:r>
    </w:p>
    <w:p w14:paraId="64A6E60F"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000000"/>
          <w:sz w:val="24"/>
          <w:szCs w:val="24"/>
        </w:rPr>
        <w:t xml:space="preserve">Kusnirova, D., </w:t>
      </w:r>
      <w:proofErr w:type="spellStart"/>
      <w:r>
        <w:rPr>
          <w:color w:val="000000"/>
          <w:sz w:val="24"/>
          <w:szCs w:val="24"/>
        </w:rPr>
        <w:t>Durisova</w:t>
      </w:r>
      <w:proofErr w:type="spellEnd"/>
      <w:r>
        <w:rPr>
          <w:color w:val="000000"/>
          <w:sz w:val="24"/>
          <w:szCs w:val="24"/>
        </w:rPr>
        <w:t xml:space="preserve">, M. and </w:t>
      </w:r>
      <w:proofErr w:type="spellStart"/>
      <w:r>
        <w:rPr>
          <w:color w:val="000000"/>
          <w:sz w:val="24"/>
          <w:szCs w:val="24"/>
        </w:rPr>
        <w:t>Bubeliny</w:t>
      </w:r>
      <w:proofErr w:type="spellEnd"/>
      <w:r>
        <w:rPr>
          <w:color w:val="000000"/>
          <w:sz w:val="24"/>
          <w:szCs w:val="24"/>
        </w:rPr>
        <w:t xml:space="preserve">, O. (2024) ‘Enhancing stakeholder value: managerial activities in the value creation process for suppliers and buyers—evidence </w:t>
      </w:r>
      <w:r>
        <w:rPr>
          <w:color w:val="000000"/>
          <w:sz w:val="24"/>
          <w:szCs w:val="24"/>
        </w:rPr>
        <w:lastRenderedPageBreak/>
        <w:t xml:space="preserve">from Slovak enterprises’, </w:t>
      </w:r>
      <w:r>
        <w:rPr>
          <w:i/>
          <w:iCs/>
          <w:color w:val="000000"/>
          <w:sz w:val="24"/>
          <w:szCs w:val="24"/>
        </w:rPr>
        <w:t>Administrative Sciences</w:t>
      </w:r>
      <w:r>
        <w:rPr>
          <w:color w:val="000000"/>
          <w:sz w:val="24"/>
          <w:szCs w:val="24"/>
        </w:rPr>
        <w:t>, 14(8), p. 186. Available at:</w:t>
      </w:r>
      <w:hyperlink r:id="rId117">
        <w:r>
          <w:rPr>
            <w:color w:val="000000"/>
            <w:sz w:val="24"/>
            <w:szCs w:val="24"/>
          </w:rPr>
          <w:t xml:space="preserve"> </w:t>
        </w:r>
      </w:hyperlink>
      <w:hyperlink r:id="rId118">
        <w:r>
          <w:rPr>
            <w:color w:val="1155CC"/>
            <w:sz w:val="24"/>
            <w:szCs w:val="24"/>
            <w:u w:val="single"/>
          </w:rPr>
          <w:t>https://doi.org/10.3390/admsci14080186</w:t>
        </w:r>
      </w:hyperlink>
      <w:r>
        <w:rPr>
          <w:color w:val="000000"/>
          <w:sz w:val="24"/>
          <w:szCs w:val="24"/>
        </w:rPr>
        <w:t>.</w:t>
      </w:r>
    </w:p>
    <w:p w14:paraId="71D4BF43"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000000"/>
          <w:sz w:val="24"/>
          <w:szCs w:val="24"/>
        </w:rPr>
        <w:t xml:space="preserve">Li, S., Zhou, Q., Huo, B. and Zhao, X. (2024) ‘Environmental uncertainty, relationship commitment, and information sharing: the social exchange theory and transaction cost economics perspectives’, </w:t>
      </w:r>
      <w:r>
        <w:rPr>
          <w:i/>
          <w:iCs/>
          <w:color w:val="000000"/>
          <w:sz w:val="24"/>
          <w:szCs w:val="24"/>
        </w:rPr>
        <w:t>International Journal of Logistics Research and Applications</w:t>
      </w:r>
      <w:r>
        <w:rPr>
          <w:color w:val="000000"/>
          <w:sz w:val="24"/>
          <w:szCs w:val="24"/>
        </w:rPr>
        <w:t>, 27(8), pp. 1363–1387. Available at:</w:t>
      </w:r>
      <w:hyperlink r:id="rId119">
        <w:r>
          <w:rPr>
            <w:color w:val="000000"/>
            <w:sz w:val="24"/>
            <w:szCs w:val="24"/>
          </w:rPr>
          <w:t xml:space="preserve"> </w:t>
        </w:r>
      </w:hyperlink>
      <w:hyperlink r:id="rId120">
        <w:r>
          <w:rPr>
            <w:color w:val="1155CC"/>
            <w:sz w:val="24"/>
            <w:szCs w:val="24"/>
            <w:u w:val="single"/>
          </w:rPr>
          <w:t>https://doi.org/10.1080/13675567.2022.2141699</w:t>
        </w:r>
      </w:hyperlink>
      <w:r>
        <w:rPr>
          <w:color w:val="000000"/>
          <w:sz w:val="24"/>
          <w:szCs w:val="24"/>
        </w:rPr>
        <w:t>.</w:t>
      </w:r>
    </w:p>
    <w:p w14:paraId="09BA6A2D" w14:textId="77777777" w:rsidR="00A769CA" w:rsidRDefault="008D3F3B">
      <w:pPr>
        <w:pBdr>
          <w:top w:val="nil"/>
          <w:left w:val="nil"/>
          <w:bottom w:val="nil"/>
          <w:right w:val="nil"/>
          <w:between w:val="nil"/>
        </w:pBdr>
        <w:spacing w:before="240" w:after="240" w:line="360" w:lineRule="auto"/>
        <w:jc w:val="both"/>
        <w:rPr>
          <w:i/>
          <w:iCs/>
          <w:color w:val="000000"/>
          <w:sz w:val="24"/>
          <w:szCs w:val="24"/>
        </w:rPr>
      </w:pPr>
      <w:proofErr w:type="spellStart"/>
      <w:r>
        <w:rPr>
          <w:color w:val="000000"/>
          <w:sz w:val="24"/>
          <w:szCs w:val="24"/>
        </w:rPr>
        <w:t>Lochmiller</w:t>
      </w:r>
      <w:proofErr w:type="spellEnd"/>
      <w:r>
        <w:rPr>
          <w:color w:val="000000"/>
          <w:sz w:val="24"/>
          <w:szCs w:val="24"/>
        </w:rPr>
        <w:t xml:space="preserve">, C.R. (2021) ‘Conducting thematic analysis with qualitative data’, </w:t>
      </w:r>
      <w:r>
        <w:rPr>
          <w:i/>
          <w:iCs/>
          <w:color w:val="000000"/>
          <w:sz w:val="24"/>
          <w:szCs w:val="24"/>
        </w:rPr>
        <w:t>The Qualitative Report</w:t>
      </w:r>
      <w:r>
        <w:rPr>
          <w:color w:val="000000"/>
          <w:sz w:val="24"/>
          <w:szCs w:val="24"/>
        </w:rPr>
        <w:t>, 26(6), pp. 2029–2044. Available at:</w:t>
      </w:r>
      <w:hyperlink r:id="rId121">
        <w:r>
          <w:rPr>
            <w:color w:val="000000"/>
            <w:sz w:val="24"/>
            <w:szCs w:val="24"/>
          </w:rPr>
          <w:t xml:space="preserve"> </w:t>
        </w:r>
      </w:hyperlink>
      <w:hyperlink r:id="rId122">
        <w:r>
          <w:rPr>
            <w:color w:val="1155CC"/>
            <w:sz w:val="24"/>
            <w:szCs w:val="24"/>
            <w:u w:val="single"/>
          </w:rPr>
          <w:t>https://doi.org/10.46743/2160-3715/2021.5008</w:t>
        </w:r>
      </w:hyperlink>
      <w:r>
        <w:rPr>
          <w:color w:val="000000"/>
          <w:sz w:val="24"/>
          <w:szCs w:val="24"/>
        </w:rPr>
        <w:t xml:space="preserve"> (Accessed: 10 November 2025).</w:t>
      </w:r>
      <w:r>
        <w:rPr>
          <w:color w:val="000000"/>
          <w:sz w:val="24"/>
          <w:szCs w:val="24"/>
        </w:rPr>
        <w:br/>
        <w:t xml:space="preserve"> </w:t>
      </w:r>
      <w:r>
        <w:rPr>
          <w:i/>
          <w:iCs/>
          <w:color w:val="000000"/>
          <w:sz w:val="24"/>
          <w:szCs w:val="24"/>
        </w:rPr>
        <w:t>(Note: DOI present, so access date is optional but allowed under your university’s version of Harvard — retained since you included it.)</w:t>
      </w:r>
    </w:p>
    <w:p w14:paraId="4F87E4FD" w14:textId="77777777" w:rsidR="00A769CA" w:rsidRDefault="008D3F3B">
      <w:pPr>
        <w:pBdr>
          <w:top w:val="nil"/>
          <w:left w:val="nil"/>
          <w:bottom w:val="nil"/>
          <w:right w:val="nil"/>
          <w:between w:val="nil"/>
        </w:pBdr>
        <w:spacing w:before="240" w:after="240" w:line="360" w:lineRule="auto"/>
        <w:jc w:val="both"/>
        <w:rPr>
          <w:color w:val="000000"/>
          <w:sz w:val="24"/>
          <w:szCs w:val="24"/>
        </w:rPr>
      </w:pPr>
      <w:proofErr w:type="spellStart"/>
      <w:r>
        <w:rPr>
          <w:color w:val="000000"/>
          <w:sz w:val="24"/>
          <w:szCs w:val="24"/>
        </w:rPr>
        <w:t>Madzik</w:t>
      </w:r>
      <w:proofErr w:type="spellEnd"/>
      <w:r>
        <w:rPr>
          <w:color w:val="000000"/>
          <w:sz w:val="24"/>
          <w:szCs w:val="24"/>
        </w:rPr>
        <w:t xml:space="preserve">, P. and </w:t>
      </w:r>
      <w:proofErr w:type="spellStart"/>
      <w:r>
        <w:rPr>
          <w:color w:val="000000"/>
          <w:sz w:val="24"/>
          <w:szCs w:val="24"/>
        </w:rPr>
        <w:t>Suwannasap</w:t>
      </w:r>
      <w:proofErr w:type="spellEnd"/>
      <w:r>
        <w:rPr>
          <w:color w:val="000000"/>
          <w:sz w:val="24"/>
          <w:szCs w:val="24"/>
        </w:rPr>
        <w:t xml:space="preserve">, N. (2023) ‘Supplier relationship management and its impacts on purchasing performance in aircraft maintenance, repair, and overhaul in Thailand’, </w:t>
      </w:r>
      <w:r>
        <w:rPr>
          <w:i/>
          <w:iCs/>
          <w:color w:val="000000"/>
          <w:sz w:val="24"/>
          <w:szCs w:val="24"/>
        </w:rPr>
        <w:t>Acta Logistica</w:t>
      </w:r>
      <w:r>
        <w:rPr>
          <w:color w:val="000000"/>
          <w:sz w:val="24"/>
          <w:szCs w:val="24"/>
        </w:rPr>
        <w:t>, 10(4), pp. 577–587. Available at:</w:t>
      </w:r>
      <w:hyperlink r:id="rId123">
        <w:r>
          <w:rPr>
            <w:color w:val="000000"/>
            <w:sz w:val="24"/>
            <w:szCs w:val="24"/>
          </w:rPr>
          <w:t xml:space="preserve"> </w:t>
        </w:r>
      </w:hyperlink>
      <w:hyperlink r:id="rId124">
        <w:r>
          <w:rPr>
            <w:color w:val="1155CC"/>
            <w:sz w:val="24"/>
            <w:szCs w:val="24"/>
            <w:u w:val="single"/>
          </w:rPr>
          <w:t>https://doi.org/10.22306/al.v10i4.436</w:t>
        </w:r>
      </w:hyperlink>
      <w:r>
        <w:rPr>
          <w:color w:val="000000"/>
          <w:sz w:val="24"/>
          <w:szCs w:val="24"/>
        </w:rPr>
        <w:t>.</w:t>
      </w:r>
    </w:p>
    <w:p w14:paraId="2B6890EF" w14:textId="77777777" w:rsidR="00A769CA" w:rsidRDefault="008D3F3B">
      <w:pPr>
        <w:pBdr>
          <w:top w:val="nil"/>
          <w:left w:val="nil"/>
          <w:bottom w:val="nil"/>
          <w:right w:val="nil"/>
          <w:between w:val="nil"/>
        </w:pBdr>
        <w:spacing w:before="240" w:after="240" w:line="360" w:lineRule="auto"/>
        <w:jc w:val="both"/>
        <w:rPr>
          <w:color w:val="000000"/>
          <w:sz w:val="24"/>
          <w:szCs w:val="24"/>
        </w:rPr>
      </w:pPr>
      <w:proofErr w:type="spellStart"/>
      <w:r>
        <w:rPr>
          <w:color w:val="000000"/>
          <w:sz w:val="24"/>
          <w:szCs w:val="24"/>
        </w:rPr>
        <w:t>Mankge</w:t>
      </w:r>
      <w:proofErr w:type="spellEnd"/>
      <w:r>
        <w:rPr>
          <w:color w:val="000000"/>
          <w:sz w:val="24"/>
          <w:szCs w:val="24"/>
        </w:rPr>
        <w:t xml:space="preserve">, F., Pogiso, K., Ndaba, Z. and </w:t>
      </w:r>
      <w:proofErr w:type="spellStart"/>
      <w:r>
        <w:rPr>
          <w:color w:val="000000"/>
          <w:sz w:val="24"/>
          <w:szCs w:val="24"/>
        </w:rPr>
        <w:t>Thango</w:t>
      </w:r>
      <w:proofErr w:type="spellEnd"/>
      <w:r>
        <w:rPr>
          <w:color w:val="000000"/>
          <w:sz w:val="24"/>
          <w:szCs w:val="24"/>
        </w:rPr>
        <w:t>, B. (2024) ‘A systematic review of success factors and failure reasons in enterprise systems for executive, managerial, and operational support’ [preprint]. Available at:</w:t>
      </w:r>
      <w:hyperlink r:id="rId125">
        <w:r>
          <w:rPr>
            <w:color w:val="000000"/>
            <w:sz w:val="24"/>
            <w:szCs w:val="24"/>
          </w:rPr>
          <w:t xml:space="preserve"> </w:t>
        </w:r>
      </w:hyperlink>
      <w:hyperlink r:id="rId126">
        <w:r>
          <w:rPr>
            <w:color w:val="1155CC"/>
            <w:sz w:val="24"/>
            <w:szCs w:val="24"/>
            <w:u w:val="single"/>
          </w:rPr>
          <w:t>https://doi.org/10.20944/preprints202410.1670.v1</w:t>
        </w:r>
      </w:hyperlink>
      <w:r>
        <w:rPr>
          <w:color w:val="000000"/>
          <w:sz w:val="24"/>
          <w:szCs w:val="24"/>
        </w:rPr>
        <w:t>.</w:t>
      </w:r>
    </w:p>
    <w:p w14:paraId="658CDE30"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000000"/>
          <w:sz w:val="24"/>
          <w:szCs w:val="24"/>
        </w:rPr>
        <w:t xml:space="preserve">Maretha, C. (2023) ‘Positivism in philosophical studies’, </w:t>
      </w:r>
      <w:r>
        <w:rPr>
          <w:i/>
          <w:iCs/>
          <w:color w:val="000000"/>
          <w:sz w:val="24"/>
          <w:szCs w:val="24"/>
        </w:rPr>
        <w:t>Journal of Innovation in Teaching and Instructional Media</w:t>
      </w:r>
      <w:r>
        <w:rPr>
          <w:color w:val="000000"/>
          <w:sz w:val="24"/>
          <w:szCs w:val="24"/>
        </w:rPr>
        <w:t>, 3(3), pp. 124–138. Available at:</w:t>
      </w:r>
      <w:hyperlink r:id="rId127">
        <w:r>
          <w:rPr>
            <w:color w:val="000000"/>
            <w:sz w:val="24"/>
            <w:szCs w:val="24"/>
          </w:rPr>
          <w:t xml:space="preserve"> </w:t>
        </w:r>
      </w:hyperlink>
      <w:hyperlink r:id="rId128">
        <w:r>
          <w:rPr>
            <w:color w:val="1155CC"/>
            <w:sz w:val="24"/>
            <w:szCs w:val="24"/>
            <w:u w:val="single"/>
          </w:rPr>
          <w:t>https://pdfs.semanticscholar.org/9e89/639ea6052cf6fe7714717090868f0f2542c9.pdf</w:t>
        </w:r>
      </w:hyperlink>
      <w:r>
        <w:rPr>
          <w:color w:val="000000"/>
          <w:sz w:val="24"/>
          <w:szCs w:val="24"/>
        </w:rPr>
        <w:t xml:space="preserve"> (Accessed: 10 November 2025).</w:t>
      </w:r>
    </w:p>
    <w:p w14:paraId="6834CE92"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000000"/>
          <w:sz w:val="24"/>
          <w:szCs w:val="24"/>
        </w:rPr>
        <w:t xml:space="preserve">Masood, A., Zhang, Q., Ali, M., Cappiello, G. and Dhir, A. (2023) ‘Linking enterprise social media use, trust and knowledge sharing: paradoxical roles of communication transparency and personal blogging’, </w:t>
      </w:r>
      <w:r>
        <w:rPr>
          <w:i/>
          <w:iCs/>
          <w:color w:val="000000"/>
          <w:sz w:val="24"/>
          <w:szCs w:val="24"/>
        </w:rPr>
        <w:t>Journal of Knowledge Management</w:t>
      </w:r>
      <w:r>
        <w:rPr>
          <w:color w:val="000000"/>
          <w:sz w:val="24"/>
          <w:szCs w:val="24"/>
        </w:rPr>
        <w:t>, 27(4), pp. 1056–1085. Available at:</w:t>
      </w:r>
      <w:hyperlink r:id="rId129">
        <w:r>
          <w:rPr>
            <w:color w:val="000000"/>
            <w:sz w:val="24"/>
            <w:szCs w:val="24"/>
          </w:rPr>
          <w:t xml:space="preserve"> </w:t>
        </w:r>
      </w:hyperlink>
      <w:hyperlink r:id="rId130">
        <w:r>
          <w:rPr>
            <w:color w:val="1155CC"/>
            <w:sz w:val="24"/>
            <w:szCs w:val="24"/>
            <w:u w:val="single"/>
          </w:rPr>
          <w:t>https://doi.org/10.1108/JKM-11-2021-0880</w:t>
        </w:r>
      </w:hyperlink>
      <w:r>
        <w:rPr>
          <w:color w:val="000000"/>
          <w:sz w:val="24"/>
          <w:szCs w:val="24"/>
        </w:rPr>
        <w:t>.</w:t>
      </w:r>
    </w:p>
    <w:p w14:paraId="4CE5AFE6"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000000"/>
          <w:sz w:val="24"/>
          <w:szCs w:val="24"/>
        </w:rPr>
        <w:lastRenderedPageBreak/>
        <w:t xml:space="preserve">Matos, A.D.N.P.D. (2024) ‘Mitigation of the bullwhip effect using distributed ledger and confidential computing </w:t>
      </w:r>
      <w:proofErr w:type="gramStart"/>
      <w:r>
        <w:rPr>
          <w:color w:val="000000"/>
          <w:sz w:val="24"/>
          <w:szCs w:val="24"/>
        </w:rPr>
        <w:t>technologies’</w:t>
      </w:r>
      <w:proofErr w:type="gramEnd"/>
      <w:r>
        <w:rPr>
          <w:color w:val="000000"/>
          <w:sz w:val="24"/>
          <w:szCs w:val="24"/>
        </w:rPr>
        <w:t>. Available at:</w:t>
      </w:r>
      <w:hyperlink r:id="rId131">
        <w:r>
          <w:rPr>
            <w:color w:val="000000"/>
            <w:sz w:val="24"/>
            <w:szCs w:val="24"/>
          </w:rPr>
          <w:t xml:space="preserve"> </w:t>
        </w:r>
      </w:hyperlink>
      <w:hyperlink r:id="rId132">
        <w:r>
          <w:rPr>
            <w:color w:val="1155CC"/>
            <w:sz w:val="24"/>
            <w:szCs w:val="24"/>
            <w:u w:val="single"/>
          </w:rPr>
          <w:t>https://repositorio.ipl.pt/bitstreams/3d981b8f-322b-4d97-b045-f033fb5a1a1e/download</w:t>
        </w:r>
      </w:hyperlink>
      <w:r>
        <w:rPr>
          <w:color w:val="000000"/>
          <w:sz w:val="24"/>
          <w:szCs w:val="24"/>
        </w:rPr>
        <w:t xml:space="preserve"> (Accessed: 10 November 2025).</w:t>
      </w:r>
    </w:p>
    <w:p w14:paraId="2299E3DF"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000000"/>
          <w:sz w:val="24"/>
          <w:szCs w:val="24"/>
        </w:rPr>
        <w:t xml:space="preserve">Mazhar, S.A., Anjum, R., Anwar, A.I. and Khan, A.A. (2021) ‘Methods of data collection: a fundamental tool of research’, </w:t>
      </w:r>
      <w:r>
        <w:rPr>
          <w:i/>
          <w:iCs/>
          <w:color w:val="000000"/>
          <w:sz w:val="24"/>
          <w:szCs w:val="24"/>
        </w:rPr>
        <w:t>Journal of Integrated Community Health</w:t>
      </w:r>
      <w:r>
        <w:rPr>
          <w:color w:val="000000"/>
          <w:sz w:val="24"/>
          <w:szCs w:val="24"/>
        </w:rPr>
        <w:t>, 10(1), pp. 6–10. Available at:</w:t>
      </w:r>
      <w:hyperlink r:id="rId133">
        <w:r>
          <w:rPr>
            <w:color w:val="000000"/>
            <w:sz w:val="24"/>
            <w:szCs w:val="24"/>
          </w:rPr>
          <w:t xml:space="preserve"> </w:t>
        </w:r>
      </w:hyperlink>
      <w:hyperlink r:id="rId134">
        <w:r>
          <w:rPr>
            <w:color w:val="1155CC"/>
            <w:sz w:val="24"/>
            <w:szCs w:val="24"/>
            <w:u w:val="single"/>
          </w:rPr>
          <w:t>https://doi.org/10.24321/2319.9113.202101</w:t>
        </w:r>
      </w:hyperlink>
      <w:r>
        <w:rPr>
          <w:color w:val="000000"/>
          <w:sz w:val="24"/>
          <w:szCs w:val="24"/>
        </w:rPr>
        <w:t xml:space="preserve"> (Accessed: 10 November 2025).</w:t>
      </w:r>
    </w:p>
    <w:p w14:paraId="04C7A946" w14:textId="77777777" w:rsidR="00A769CA" w:rsidRDefault="008D3F3B">
      <w:pPr>
        <w:pBdr>
          <w:top w:val="nil"/>
          <w:left w:val="nil"/>
          <w:bottom w:val="nil"/>
          <w:right w:val="nil"/>
          <w:between w:val="nil"/>
        </w:pBdr>
        <w:spacing w:before="240" w:after="240" w:line="360" w:lineRule="auto"/>
        <w:jc w:val="both"/>
        <w:rPr>
          <w:color w:val="000000"/>
          <w:sz w:val="24"/>
          <w:szCs w:val="24"/>
        </w:rPr>
      </w:pPr>
      <w:proofErr w:type="spellStart"/>
      <w:r>
        <w:rPr>
          <w:color w:val="000000"/>
          <w:sz w:val="24"/>
          <w:szCs w:val="24"/>
        </w:rPr>
        <w:t>Muzari</w:t>
      </w:r>
      <w:proofErr w:type="spellEnd"/>
      <w:r>
        <w:rPr>
          <w:color w:val="000000"/>
          <w:sz w:val="24"/>
          <w:szCs w:val="24"/>
        </w:rPr>
        <w:t xml:space="preserve">, T., Shava, G.N. and Shonhiwa, S. (2022) ‘Qualitative research paradigm: a key research design for educational researchers, processes and procedures – a theoretical overview’, </w:t>
      </w:r>
      <w:r>
        <w:rPr>
          <w:i/>
          <w:iCs/>
          <w:color w:val="000000"/>
          <w:sz w:val="24"/>
          <w:szCs w:val="24"/>
        </w:rPr>
        <w:t>Indiana Journal of Humanities and Social Sciences</w:t>
      </w:r>
      <w:r>
        <w:rPr>
          <w:color w:val="000000"/>
          <w:sz w:val="24"/>
          <w:szCs w:val="24"/>
        </w:rPr>
        <w:t>, 3(1), pp. 14–20. Available at:</w:t>
      </w:r>
      <w:hyperlink r:id="rId135">
        <w:r>
          <w:rPr>
            <w:color w:val="000000"/>
            <w:sz w:val="24"/>
            <w:szCs w:val="24"/>
          </w:rPr>
          <w:t xml:space="preserve"> </w:t>
        </w:r>
      </w:hyperlink>
      <w:hyperlink r:id="rId136">
        <w:r>
          <w:rPr>
            <w:color w:val="1155CC"/>
            <w:sz w:val="24"/>
            <w:szCs w:val="24"/>
            <w:u w:val="single"/>
          </w:rPr>
          <w:t>https://indianapublications.com/articles/IJHSS_3(1)_14-20_61f38990115064.95135470.pdf</w:t>
        </w:r>
      </w:hyperlink>
      <w:r>
        <w:rPr>
          <w:color w:val="000000"/>
          <w:sz w:val="24"/>
          <w:szCs w:val="24"/>
        </w:rPr>
        <w:t xml:space="preserve"> (Accessed: 10 November 2025).</w:t>
      </w:r>
    </w:p>
    <w:p w14:paraId="7AB58BF0" w14:textId="77777777" w:rsidR="00A769CA" w:rsidRDefault="008D3F3B">
      <w:pPr>
        <w:pBdr>
          <w:top w:val="nil"/>
          <w:left w:val="nil"/>
          <w:bottom w:val="nil"/>
          <w:right w:val="nil"/>
          <w:between w:val="nil"/>
        </w:pBdr>
        <w:spacing w:before="240" w:after="240" w:line="360" w:lineRule="auto"/>
        <w:jc w:val="both"/>
        <w:rPr>
          <w:color w:val="1155CC"/>
          <w:sz w:val="24"/>
          <w:szCs w:val="24"/>
          <w:u w:val="single"/>
        </w:rPr>
      </w:pPr>
      <w:r>
        <w:rPr>
          <w:color w:val="000000"/>
          <w:sz w:val="24"/>
          <w:szCs w:val="24"/>
        </w:rPr>
        <w:t xml:space="preserve">Naeem, M., </w:t>
      </w:r>
      <w:proofErr w:type="spellStart"/>
      <w:r>
        <w:rPr>
          <w:color w:val="000000"/>
          <w:sz w:val="24"/>
          <w:szCs w:val="24"/>
        </w:rPr>
        <w:t>Ozuem</w:t>
      </w:r>
      <w:proofErr w:type="spellEnd"/>
      <w:r>
        <w:rPr>
          <w:color w:val="000000"/>
          <w:sz w:val="24"/>
          <w:szCs w:val="24"/>
        </w:rPr>
        <w:t xml:space="preserve">, W., Howell, K. and Ranfagni, S. (2023) ‘A step-by-step process of thematic analysis to develop a conceptual model in qualitative research’, </w:t>
      </w:r>
      <w:r>
        <w:rPr>
          <w:i/>
          <w:iCs/>
          <w:color w:val="000000"/>
          <w:sz w:val="24"/>
          <w:szCs w:val="24"/>
        </w:rPr>
        <w:t>International Journal of Qualitative Methods</w:t>
      </w:r>
      <w:r>
        <w:rPr>
          <w:color w:val="000000"/>
          <w:sz w:val="24"/>
          <w:szCs w:val="24"/>
        </w:rPr>
        <w:t>, 22, p. 16094069231205789. Available at:</w:t>
      </w:r>
      <w:hyperlink r:id="rId137">
        <w:r>
          <w:rPr>
            <w:color w:val="000000"/>
            <w:sz w:val="24"/>
            <w:szCs w:val="24"/>
          </w:rPr>
          <w:t xml:space="preserve"> </w:t>
        </w:r>
      </w:hyperlink>
      <w:hyperlink r:id="rId138">
        <w:r>
          <w:rPr>
            <w:color w:val="1155CC"/>
            <w:sz w:val="24"/>
            <w:szCs w:val="24"/>
            <w:u w:val="single"/>
          </w:rPr>
          <w:t>https://doi.org/10.1177/16094069231205789</w:t>
        </w:r>
      </w:hyperlink>
    </w:p>
    <w:p w14:paraId="21C66828"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000000"/>
          <w:sz w:val="24"/>
          <w:szCs w:val="24"/>
        </w:rPr>
        <w:t xml:space="preserve">Nakash, M. and </w:t>
      </w:r>
      <w:proofErr w:type="spellStart"/>
      <w:r>
        <w:rPr>
          <w:color w:val="000000"/>
          <w:sz w:val="24"/>
          <w:szCs w:val="24"/>
        </w:rPr>
        <w:t>Bolisani</w:t>
      </w:r>
      <w:proofErr w:type="spellEnd"/>
      <w:r>
        <w:rPr>
          <w:color w:val="000000"/>
          <w:sz w:val="24"/>
          <w:szCs w:val="24"/>
        </w:rPr>
        <w:t xml:space="preserve">, E. (2025) ‘Making knowledge management transparent: a new perspective on KM processes integration in the organizational framework’, </w:t>
      </w:r>
      <w:r>
        <w:rPr>
          <w:i/>
          <w:iCs/>
          <w:color w:val="000000"/>
          <w:sz w:val="24"/>
          <w:szCs w:val="24"/>
        </w:rPr>
        <w:t>Business Process Management Journal</w:t>
      </w:r>
      <w:r>
        <w:rPr>
          <w:color w:val="000000"/>
          <w:sz w:val="24"/>
          <w:szCs w:val="24"/>
        </w:rPr>
        <w:t>, 31(8), pp. 49–66. Available at:</w:t>
      </w:r>
      <w:hyperlink r:id="rId139">
        <w:r>
          <w:rPr>
            <w:color w:val="000000"/>
            <w:sz w:val="24"/>
            <w:szCs w:val="24"/>
          </w:rPr>
          <w:t xml:space="preserve"> </w:t>
        </w:r>
      </w:hyperlink>
      <w:hyperlink r:id="rId140">
        <w:r>
          <w:rPr>
            <w:color w:val="1155CC"/>
            <w:sz w:val="24"/>
            <w:szCs w:val="24"/>
            <w:u w:val="single"/>
          </w:rPr>
          <w:t>https://doi.org/10.1108/BPMJ-07-2024-0566</w:t>
        </w:r>
      </w:hyperlink>
      <w:r>
        <w:rPr>
          <w:color w:val="000000"/>
          <w:sz w:val="24"/>
          <w:szCs w:val="24"/>
        </w:rPr>
        <w:t>.</w:t>
      </w:r>
    </w:p>
    <w:p w14:paraId="539684A5"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000000"/>
          <w:sz w:val="24"/>
          <w:szCs w:val="24"/>
        </w:rPr>
        <w:t xml:space="preserve">Olaleye, I.A., </w:t>
      </w:r>
      <w:proofErr w:type="spellStart"/>
      <w:r>
        <w:rPr>
          <w:color w:val="000000"/>
          <w:sz w:val="24"/>
          <w:szCs w:val="24"/>
        </w:rPr>
        <w:t>Mokogwu</w:t>
      </w:r>
      <w:proofErr w:type="spellEnd"/>
      <w:r>
        <w:rPr>
          <w:color w:val="000000"/>
          <w:sz w:val="24"/>
          <w:szCs w:val="24"/>
        </w:rPr>
        <w:t xml:space="preserve">, C., Olufemi-Phillips, A.Q. and Adewale, T.T. (2024) ‘Optimizing procurement efficiency: frameworks for data-driven cost reduction and strategic vendor management’, </w:t>
      </w:r>
      <w:r>
        <w:rPr>
          <w:i/>
          <w:iCs/>
          <w:color w:val="000000"/>
          <w:sz w:val="24"/>
          <w:szCs w:val="24"/>
        </w:rPr>
        <w:t>International Journal of Management Studies</w:t>
      </w:r>
      <w:r>
        <w:rPr>
          <w:color w:val="000000"/>
          <w:sz w:val="24"/>
          <w:szCs w:val="24"/>
        </w:rPr>
        <w:t>, 6(4), pp. 121–130. Available at:</w:t>
      </w:r>
      <w:hyperlink r:id="rId141">
        <w:r>
          <w:rPr>
            <w:color w:val="000000"/>
            <w:sz w:val="24"/>
            <w:szCs w:val="24"/>
          </w:rPr>
          <w:t xml:space="preserve"> </w:t>
        </w:r>
      </w:hyperlink>
      <w:hyperlink r:id="rId142">
        <w:r>
          <w:rPr>
            <w:color w:val="1155CC"/>
            <w:sz w:val="24"/>
            <w:szCs w:val="24"/>
            <w:u w:val="single"/>
          </w:rPr>
          <w:t>https://doi.org/10.30574/msarr.2024.12.2.0192</w:t>
        </w:r>
      </w:hyperlink>
      <w:r>
        <w:rPr>
          <w:color w:val="000000"/>
          <w:sz w:val="24"/>
          <w:szCs w:val="24"/>
        </w:rPr>
        <w:t>.</w:t>
      </w:r>
    </w:p>
    <w:p w14:paraId="506B9E09" w14:textId="77777777" w:rsidR="00A769CA" w:rsidRDefault="008D3F3B">
      <w:pPr>
        <w:pBdr>
          <w:top w:val="nil"/>
          <w:left w:val="nil"/>
          <w:bottom w:val="nil"/>
          <w:right w:val="nil"/>
          <w:between w:val="nil"/>
        </w:pBdr>
        <w:spacing w:before="240" w:after="240" w:line="360" w:lineRule="auto"/>
        <w:jc w:val="both"/>
        <w:rPr>
          <w:color w:val="000000"/>
          <w:sz w:val="24"/>
          <w:szCs w:val="24"/>
        </w:rPr>
      </w:pPr>
      <w:proofErr w:type="spellStart"/>
      <w:r>
        <w:rPr>
          <w:color w:val="000000"/>
          <w:sz w:val="24"/>
          <w:szCs w:val="24"/>
        </w:rPr>
        <w:t>Onukwulu</w:t>
      </w:r>
      <w:proofErr w:type="spellEnd"/>
      <w:r>
        <w:rPr>
          <w:color w:val="000000"/>
          <w:sz w:val="24"/>
          <w:szCs w:val="24"/>
        </w:rPr>
        <w:t xml:space="preserve">, E.C., Odochi-Agho, M. and Eyo-Udo, N.L. (2025) ‘Innovations in supplier evaluation: frameworks and techniques for supply chain resilience’, </w:t>
      </w:r>
      <w:r>
        <w:rPr>
          <w:i/>
          <w:iCs/>
          <w:color w:val="000000"/>
          <w:sz w:val="24"/>
          <w:szCs w:val="24"/>
        </w:rPr>
        <w:t>International Journal of Research in Science &amp; Innovation (IJRSI)</w:t>
      </w:r>
      <w:r>
        <w:rPr>
          <w:color w:val="000000"/>
          <w:sz w:val="24"/>
          <w:szCs w:val="24"/>
        </w:rPr>
        <w:t>, 11, pp. 610–623. Available at:</w:t>
      </w:r>
      <w:hyperlink r:id="rId143">
        <w:r>
          <w:rPr>
            <w:color w:val="000000"/>
            <w:sz w:val="24"/>
            <w:szCs w:val="24"/>
          </w:rPr>
          <w:t xml:space="preserve"> </w:t>
        </w:r>
      </w:hyperlink>
      <w:hyperlink r:id="rId144">
        <w:r>
          <w:rPr>
            <w:color w:val="1155CC"/>
            <w:sz w:val="24"/>
            <w:szCs w:val="24"/>
            <w:u w:val="single"/>
          </w:rPr>
          <w:t>https://doi.org/10.51244/IJRSI.2024.11120056</w:t>
        </w:r>
      </w:hyperlink>
      <w:r>
        <w:rPr>
          <w:color w:val="000000"/>
          <w:sz w:val="24"/>
          <w:szCs w:val="24"/>
        </w:rPr>
        <w:t>.</w:t>
      </w:r>
    </w:p>
    <w:p w14:paraId="4B9A8EEB" w14:textId="77777777" w:rsidR="00A769CA" w:rsidRDefault="008D3F3B">
      <w:pPr>
        <w:pBdr>
          <w:top w:val="nil"/>
          <w:left w:val="nil"/>
          <w:bottom w:val="nil"/>
          <w:right w:val="nil"/>
          <w:between w:val="nil"/>
        </w:pBdr>
        <w:spacing w:before="240" w:after="240" w:line="360" w:lineRule="auto"/>
        <w:jc w:val="both"/>
        <w:rPr>
          <w:color w:val="000000"/>
          <w:sz w:val="24"/>
          <w:szCs w:val="24"/>
        </w:rPr>
      </w:pPr>
      <w:proofErr w:type="spellStart"/>
      <w:r>
        <w:rPr>
          <w:color w:val="000000"/>
          <w:sz w:val="24"/>
          <w:szCs w:val="24"/>
        </w:rPr>
        <w:lastRenderedPageBreak/>
        <w:t>Owot</w:t>
      </w:r>
      <w:proofErr w:type="spellEnd"/>
      <w:r>
        <w:rPr>
          <w:color w:val="000000"/>
          <w:sz w:val="24"/>
          <w:szCs w:val="24"/>
        </w:rPr>
        <w:t xml:space="preserve">, G.M., Okello, D.M., </w:t>
      </w:r>
      <w:proofErr w:type="spellStart"/>
      <w:r>
        <w:rPr>
          <w:color w:val="000000"/>
          <w:sz w:val="24"/>
          <w:szCs w:val="24"/>
        </w:rPr>
        <w:t>Olido</w:t>
      </w:r>
      <w:proofErr w:type="spellEnd"/>
      <w:r>
        <w:rPr>
          <w:color w:val="000000"/>
          <w:sz w:val="24"/>
          <w:szCs w:val="24"/>
        </w:rPr>
        <w:t xml:space="preserve">, K. and Odongo, W. (2023) ‘Trust–supply chain performance relationships: </w:t>
      </w:r>
      <w:proofErr w:type="spellStart"/>
      <w:r>
        <w:rPr>
          <w:color w:val="000000"/>
          <w:sz w:val="24"/>
          <w:szCs w:val="24"/>
        </w:rPr>
        <w:t>unraveling</w:t>
      </w:r>
      <w:proofErr w:type="spellEnd"/>
      <w:r>
        <w:rPr>
          <w:color w:val="000000"/>
          <w:sz w:val="24"/>
          <w:szCs w:val="24"/>
        </w:rPr>
        <w:t xml:space="preserve"> the mediating role of transaction cost attributes in agribusiness SMEs’, </w:t>
      </w:r>
      <w:r>
        <w:rPr>
          <w:i/>
          <w:iCs/>
          <w:color w:val="000000"/>
          <w:sz w:val="24"/>
          <w:szCs w:val="24"/>
        </w:rPr>
        <w:t>Frontiers in Sustainable Food Systems</w:t>
      </w:r>
      <w:r>
        <w:rPr>
          <w:color w:val="000000"/>
          <w:sz w:val="24"/>
          <w:szCs w:val="24"/>
        </w:rPr>
        <w:t>, 7, p. 1113819. Available at:</w:t>
      </w:r>
      <w:hyperlink r:id="rId145">
        <w:r>
          <w:rPr>
            <w:color w:val="000000"/>
            <w:sz w:val="24"/>
            <w:szCs w:val="24"/>
          </w:rPr>
          <w:t xml:space="preserve"> </w:t>
        </w:r>
      </w:hyperlink>
      <w:hyperlink r:id="rId146">
        <w:r>
          <w:rPr>
            <w:color w:val="1155CC"/>
            <w:sz w:val="24"/>
            <w:szCs w:val="24"/>
            <w:u w:val="single"/>
          </w:rPr>
          <w:t>https://doi.org/10.3389/fsufs.2023.1113819</w:t>
        </w:r>
      </w:hyperlink>
      <w:r>
        <w:rPr>
          <w:color w:val="000000"/>
          <w:sz w:val="24"/>
          <w:szCs w:val="24"/>
        </w:rPr>
        <w:t>.</w:t>
      </w:r>
    </w:p>
    <w:p w14:paraId="0369AA70" w14:textId="77777777" w:rsidR="00A769CA" w:rsidRDefault="008D3F3B">
      <w:pPr>
        <w:pBdr>
          <w:top w:val="nil"/>
          <w:left w:val="nil"/>
          <w:bottom w:val="nil"/>
          <w:right w:val="nil"/>
          <w:between w:val="nil"/>
        </w:pBdr>
        <w:spacing w:after="240" w:line="360" w:lineRule="auto"/>
        <w:jc w:val="both"/>
        <w:rPr>
          <w:sz w:val="24"/>
          <w:szCs w:val="24"/>
        </w:rPr>
      </w:pPr>
      <w:r>
        <w:rPr>
          <w:sz w:val="24"/>
          <w:szCs w:val="24"/>
        </w:rPr>
        <w:t xml:space="preserve">Owusu-Berko, L., (2025). Advanced supply chain analytics: Leveraging digital twins, IoT and blockchain for resilient, data-driven business operations. Available at: </w:t>
      </w:r>
      <w:hyperlink r:id="rId147">
        <w:r>
          <w:rPr>
            <w:color w:val="1155CC"/>
            <w:sz w:val="24"/>
            <w:szCs w:val="24"/>
            <w:u w:val="single"/>
          </w:rPr>
          <w:t>https://doi.org/10.30574/wjarr.2025.25.2.0572</w:t>
        </w:r>
      </w:hyperlink>
    </w:p>
    <w:p w14:paraId="07BC2EBB"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000000"/>
          <w:sz w:val="24"/>
          <w:szCs w:val="24"/>
        </w:rPr>
        <w:t xml:space="preserve">Partington, R. (2022) ‘UK manufacturers face higher costs as Ukraine crisis hits supply chains’, </w:t>
      </w:r>
      <w:r>
        <w:rPr>
          <w:i/>
          <w:iCs/>
          <w:color w:val="000000"/>
          <w:sz w:val="24"/>
          <w:szCs w:val="24"/>
        </w:rPr>
        <w:t>The Guardian</w:t>
      </w:r>
      <w:r>
        <w:rPr>
          <w:color w:val="000000"/>
          <w:sz w:val="24"/>
          <w:szCs w:val="24"/>
        </w:rPr>
        <w:t>. Available at:</w:t>
      </w:r>
      <w:hyperlink r:id="rId148">
        <w:r>
          <w:rPr>
            <w:color w:val="000000"/>
            <w:sz w:val="24"/>
            <w:szCs w:val="24"/>
          </w:rPr>
          <w:t xml:space="preserve"> </w:t>
        </w:r>
      </w:hyperlink>
      <w:hyperlink r:id="rId149">
        <w:r>
          <w:rPr>
            <w:color w:val="1155CC"/>
            <w:sz w:val="24"/>
            <w:szCs w:val="24"/>
            <w:u w:val="single"/>
          </w:rPr>
          <w:t>https://www.theguardian.com/business/2022/mar/01/uk-manufacturers-face-higher-costs-as-ukraine-crisis-hits-supply-chains</w:t>
        </w:r>
      </w:hyperlink>
      <w:r>
        <w:rPr>
          <w:color w:val="000000"/>
          <w:sz w:val="24"/>
          <w:szCs w:val="24"/>
        </w:rPr>
        <w:t xml:space="preserve"> (Accessed: 21 November 2025).</w:t>
      </w:r>
    </w:p>
    <w:p w14:paraId="59597D92" w14:textId="77777777" w:rsidR="00A769CA" w:rsidRDefault="008D3F3B">
      <w:pPr>
        <w:pBdr>
          <w:top w:val="nil"/>
          <w:left w:val="nil"/>
          <w:bottom w:val="nil"/>
          <w:right w:val="nil"/>
          <w:between w:val="nil"/>
        </w:pBdr>
        <w:spacing w:before="240" w:after="240" w:line="360" w:lineRule="auto"/>
        <w:jc w:val="both"/>
        <w:rPr>
          <w:color w:val="000000"/>
          <w:sz w:val="24"/>
          <w:szCs w:val="24"/>
        </w:rPr>
      </w:pPr>
      <w:proofErr w:type="spellStart"/>
      <w:r>
        <w:rPr>
          <w:color w:val="000000"/>
          <w:sz w:val="24"/>
          <w:szCs w:val="24"/>
        </w:rPr>
        <w:t>Patrucco</w:t>
      </w:r>
      <w:proofErr w:type="spellEnd"/>
      <w:r>
        <w:rPr>
          <w:color w:val="000000"/>
          <w:sz w:val="24"/>
          <w:szCs w:val="24"/>
        </w:rPr>
        <w:t xml:space="preserve">, A., Frattini, F. and Di Benedetto, A. (2022) ‘Characteristics of supplier performance measurement systems in collaborative innovation projects: the role of the purchasing department’, </w:t>
      </w:r>
      <w:r>
        <w:rPr>
          <w:i/>
          <w:iCs/>
          <w:color w:val="000000"/>
          <w:sz w:val="24"/>
          <w:szCs w:val="24"/>
        </w:rPr>
        <w:t>Supply Chain Management: An International Journal</w:t>
      </w:r>
      <w:r>
        <w:rPr>
          <w:color w:val="000000"/>
          <w:sz w:val="24"/>
          <w:szCs w:val="24"/>
        </w:rPr>
        <w:t>, 27(2), pp. 207–231. Available at:</w:t>
      </w:r>
      <w:hyperlink r:id="rId150">
        <w:r>
          <w:rPr>
            <w:color w:val="000000"/>
            <w:sz w:val="24"/>
            <w:szCs w:val="24"/>
          </w:rPr>
          <w:t xml:space="preserve"> </w:t>
        </w:r>
      </w:hyperlink>
      <w:hyperlink r:id="rId151">
        <w:r>
          <w:rPr>
            <w:color w:val="1155CC"/>
            <w:sz w:val="24"/>
            <w:szCs w:val="24"/>
            <w:u w:val="single"/>
          </w:rPr>
          <w:t>https://doi.org/10.1108/SCM-11-2020-0551</w:t>
        </w:r>
      </w:hyperlink>
      <w:r>
        <w:rPr>
          <w:color w:val="000000"/>
          <w:sz w:val="24"/>
          <w:szCs w:val="24"/>
        </w:rPr>
        <w:t>.</w:t>
      </w:r>
    </w:p>
    <w:p w14:paraId="5933285F"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000000"/>
          <w:sz w:val="24"/>
          <w:szCs w:val="24"/>
        </w:rPr>
        <w:t xml:space="preserve">Pillai, R. and Srivastava, K.B. (2024) ‘Smart HRM 4.0 for achieving organizational performance: a dynamic capability view perspective’, </w:t>
      </w:r>
      <w:r>
        <w:rPr>
          <w:i/>
          <w:iCs/>
          <w:color w:val="000000"/>
          <w:sz w:val="24"/>
          <w:szCs w:val="24"/>
        </w:rPr>
        <w:t>International Journal of Productivity and Performance Management</w:t>
      </w:r>
      <w:r>
        <w:rPr>
          <w:color w:val="000000"/>
          <w:sz w:val="24"/>
          <w:szCs w:val="24"/>
        </w:rPr>
        <w:t>, 73(2), pp. 476–496. Available at:</w:t>
      </w:r>
      <w:hyperlink r:id="rId152">
        <w:r>
          <w:rPr>
            <w:color w:val="000000"/>
            <w:sz w:val="24"/>
            <w:szCs w:val="24"/>
          </w:rPr>
          <w:t xml:space="preserve"> </w:t>
        </w:r>
      </w:hyperlink>
      <w:hyperlink r:id="rId153">
        <w:r>
          <w:rPr>
            <w:color w:val="1155CC"/>
            <w:sz w:val="24"/>
            <w:szCs w:val="24"/>
            <w:u w:val="single"/>
          </w:rPr>
          <w:t>https://doi.org/10.1108/IJPPM-04-2022-0174</w:t>
        </w:r>
      </w:hyperlink>
      <w:r>
        <w:rPr>
          <w:color w:val="000000"/>
          <w:sz w:val="24"/>
          <w:szCs w:val="24"/>
        </w:rPr>
        <w:t>.</w:t>
      </w:r>
    </w:p>
    <w:p w14:paraId="1AA0B8A7"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000000"/>
          <w:sz w:val="24"/>
          <w:szCs w:val="24"/>
        </w:rPr>
        <w:t xml:space="preserve">Placek, M. (2022) ‘What are your top priorities with regards to business and supply chain operation in 2021?’ </w:t>
      </w:r>
      <w:r>
        <w:rPr>
          <w:i/>
          <w:iCs/>
          <w:color w:val="000000"/>
          <w:sz w:val="24"/>
          <w:szCs w:val="24"/>
        </w:rPr>
        <w:t>Statista</w:t>
      </w:r>
      <w:r>
        <w:rPr>
          <w:color w:val="000000"/>
          <w:sz w:val="24"/>
          <w:szCs w:val="24"/>
        </w:rPr>
        <w:t>. Available at:</w:t>
      </w:r>
      <w:hyperlink r:id="rId154">
        <w:r>
          <w:rPr>
            <w:color w:val="000000"/>
            <w:sz w:val="24"/>
            <w:szCs w:val="24"/>
          </w:rPr>
          <w:t xml:space="preserve"> </w:t>
        </w:r>
      </w:hyperlink>
      <w:hyperlink r:id="rId155">
        <w:r>
          <w:rPr>
            <w:color w:val="1155CC"/>
            <w:sz w:val="24"/>
            <w:szCs w:val="24"/>
            <w:u w:val="single"/>
          </w:rPr>
          <w:t>https://www.statista.com/statistics/1225563/projected-business-and-supply-chain-operation-priorities/</w:t>
        </w:r>
      </w:hyperlink>
      <w:r>
        <w:rPr>
          <w:color w:val="000000"/>
          <w:sz w:val="24"/>
          <w:szCs w:val="24"/>
        </w:rPr>
        <w:t xml:space="preserve"> (Accessed: 8 November 2025).</w:t>
      </w:r>
    </w:p>
    <w:p w14:paraId="22D8A6FA"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000000"/>
          <w:sz w:val="24"/>
          <w:szCs w:val="24"/>
        </w:rPr>
        <w:t xml:space="preserve">Placek, M. (2022b) ‘Have your plans to implement environmentally sustainable practices changed over the last 12 months?’ </w:t>
      </w:r>
      <w:r>
        <w:rPr>
          <w:i/>
          <w:iCs/>
          <w:color w:val="000000"/>
          <w:sz w:val="24"/>
          <w:szCs w:val="24"/>
        </w:rPr>
        <w:t>Statista</w:t>
      </w:r>
      <w:r>
        <w:rPr>
          <w:color w:val="000000"/>
          <w:sz w:val="24"/>
          <w:szCs w:val="24"/>
        </w:rPr>
        <w:t>. Available at:</w:t>
      </w:r>
      <w:hyperlink r:id="rId156">
        <w:r>
          <w:rPr>
            <w:color w:val="000000"/>
            <w:sz w:val="24"/>
            <w:szCs w:val="24"/>
          </w:rPr>
          <w:t xml:space="preserve"> </w:t>
        </w:r>
      </w:hyperlink>
      <w:hyperlink r:id="rId157">
        <w:r>
          <w:rPr>
            <w:color w:val="1155CC"/>
            <w:sz w:val="24"/>
            <w:szCs w:val="24"/>
            <w:u w:val="single"/>
          </w:rPr>
          <w:t>https://www.statista.com/statistics/1225574/changes-in-plans-to-implement-environmentally-sustainable-practices/</w:t>
        </w:r>
      </w:hyperlink>
      <w:r>
        <w:rPr>
          <w:color w:val="000000"/>
          <w:sz w:val="24"/>
          <w:szCs w:val="24"/>
        </w:rPr>
        <w:t xml:space="preserve"> (Accessed: 10 November 2025).</w:t>
      </w:r>
    </w:p>
    <w:p w14:paraId="6C8A8329" w14:textId="77777777" w:rsidR="00A769CA" w:rsidRDefault="008D3F3B">
      <w:pPr>
        <w:pBdr>
          <w:top w:val="nil"/>
          <w:left w:val="nil"/>
          <w:bottom w:val="nil"/>
          <w:right w:val="nil"/>
          <w:between w:val="nil"/>
        </w:pBdr>
        <w:spacing w:before="240" w:after="240" w:line="360" w:lineRule="auto"/>
        <w:jc w:val="both"/>
        <w:rPr>
          <w:color w:val="000000"/>
          <w:sz w:val="24"/>
          <w:szCs w:val="24"/>
        </w:rPr>
      </w:pPr>
      <w:proofErr w:type="spellStart"/>
      <w:r>
        <w:rPr>
          <w:color w:val="000000"/>
          <w:sz w:val="24"/>
          <w:szCs w:val="24"/>
        </w:rPr>
        <w:t>Riofiandi</w:t>
      </w:r>
      <w:proofErr w:type="spellEnd"/>
      <w:r>
        <w:rPr>
          <w:color w:val="000000"/>
          <w:sz w:val="24"/>
          <w:szCs w:val="24"/>
        </w:rPr>
        <w:t xml:space="preserve">, D. and </w:t>
      </w:r>
      <w:proofErr w:type="spellStart"/>
      <w:r>
        <w:rPr>
          <w:color w:val="000000"/>
          <w:sz w:val="24"/>
          <w:szCs w:val="24"/>
        </w:rPr>
        <w:t>Tarigan</w:t>
      </w:r>
      <w:proofErr w:type="spellEnd"/>
      <w:r>
        <w:rPr>
          <w:color w:val="000000"/>
          <w:sz w:val="24"/>
          <w:szCs w:val="24"/>
        </w:rPr>
        <w:t xml:space="preserve">, Z.J.H. (2022). </w:t>
      </w:r>
      <w:r>
        <w:rPr>
          <w:i/>
          <w:iCs/>
          <w:color w:val="000000"/>
          <w:sz w:val="24"/>
          <w:szCs w:val="24"/>
        </w:rPr>
        <w:t>The effect of supplier collaboration on company performance through lean manufacture and inventory control</w:t>
      </w:r>
      <w:r>
        <w:rPr>
          <w:color w:val="000000"/>
          <w:sz w:val="24"/>
          <w:szCs w:val="24"/>
        </w:rPr>
        <w:t xml:space="preserve">. Doctoral </w:t>
      </w:r>
      <w:r>
        <w:rPr>
          <w:color w:val="000000"/>
          <w:sz w:val="24"/>
          <w:szCs w:val="24"/>
        </w:rPr>
        <w:lastRenderedPageBreak/>
        <w:t>dissertation, Petra Christian University. Available at:</w:t>
      </w:r>
      <w:hyperlink r:id="rId158">
        <w:r>
          <w:rPr>
            <w:color w:val="000000"/>
            <w:sz w:val="24"/>
            <w:szCs w:val="24"/>
          </w:rPr>
          <w:t xml:space="preserve"> </w:t>
        </w:r>
      </w:hyperlink>
      <w:hyperlink r:id="rId159">
        <w:r>
          <w:rPr>
            <w:color w:val="1155CC"/>
            <w:sz w:val="24"/>
            <w:szCs w:val="24"/>
            <w:u w:val="single"/>
          </w:rPr>
          <w:t>https://doi.org/10.9744/ijbs.5.1.74–86</w:t>
        </w:r>
      </w:hyperlink>
      <w:r>
        <w:rPr>
          <w:color w:val="000000"/>
          <w:sz w:val="24"/>
          <w:szCs w:val="24"/>
        </w:rPr>
        <w:t>.</w:t>
      </w:r>
    </w:p>
    <w:p w14:paraId="18D69A88"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000000"/>
          <w:sz w:val="24"/>
          <w:szCs w:val="24"/>
        </w:rPr>
        <w:t xml:space="preserve">Rishi, M., Dwivedi, P. and Ghosal, A. (2022) ‘Application of RBV theory in business management – a bibliometric analysis’, </w:t>
      </w:r>
      <w:r>
        <w:rPr>
          <w:i/>
          <w:iCs/>
          <w:color w:val="000000"/>
          <w:sz w:val="24"/>
          <w:szCs w:val="24"/>
        </w:rPr>
        <w:t xml:space="preserve">Acta Universitatis </w:t>
      </w:r>
      <w:proofErr w:type="spellStart"/>
      <w:r>
        <w:rPr>
          <w:i/>
          <w:iCs/>
          <w:color w:val="000000"/>
          <w:sz w:val="24"/>
          <w:szCs w:val="24"/>
        </w:rPr>
        <w:t>Bohemiae</w:t>
      </w:r>
      <w:proofErr w:type="spellEnd"/>
      <w:r>
        <w:rPr>
          <w:i/>
          <w:iCs/>
          <w:color w:val="000000"/>
          <w:sz w:val="24"/>
          <w:szCs w:val="24"/>
        </w:rPr>
        <w:t xml:space="preserve"> </w:t>
      </w:r>
      <w:proofErr w:type="spellStart"/>
      <w:r>
        <w:rPr>
          <w:i/>
          <w:iCs/>
          <w:color w:val="000000"/>
          <w:sz w:val="24"/>
          <w:szCs w:val="24"/>
        </w:rPr>
        <w:t>Meridionales</w:t>
      </w:r>
      <w:proofErr w:type="spellEnd"/>
      <w:r>
        <w:rPr>
          <w:color w:val="000000"/>
          <w:sz w:val="24"/>
          <w:szCs w:val="24"/>
        </w:rPr>
        <w:t>, 25(2). Available at:</w:t>
      </w:r>
      <w:hyperlink r:id="rId160">
        <w:r>
          <w:rPr>
            <w:color w:val="000000"/>
            <w:sz w:val="24"/>
            <w:szCs w:val="24"/>
          </w:rPr>
          <w:t xml:space="preserve"> </w:t>
        </w:r>
      </w:hyperlink>
      <w:hyperlink r:id="rId161">
        <w:r>
          <w:rPr>
            <w:color w:val="1155CC"/>
            <w:sz w:val="24"/>
            <w:szCs w:val="24"/>
            <w:u w:val="single"/>
          </w:rPr>
          <w:t>https://doi.org/10.32725/acta.2022.015</w:t>
        </w:r>
      </w:hyperlink>
      <w:r>
        <w:rPr>
          <w:color w:val="000000"/>
          <w:sz w:val="24"/>
          <w:szCs w:val="24"/>
        </w:rPr>
        <w:t>.</w:t>
      </w:r>
    </w:p>
    <w:p w14:paraId="7BF316C3" w14:textId="77777777" w:rsidR="00A769CA" w:rsidRDefault="008D3F3B">
      <w:pPr>
        <w:pBdr>
          <w:top w:val="nil"/>
          <w:left w:val="nil"/>
          <w:bottom w:val="nil"/>
          <w:right w:val="nil"/>
          <w:between w:val="nil"/>
        </w:pBdr>
        <w:spacing w:before="240" w:after="240" w:line="360" w:lineRule="auto"/>
        <w:jc w:val="both"/>
        <w:rPr>
          <w:color w:val="000000"/>
          <w:sz w:val="24"/>
          <w:szCs w:val="24"/>
        </w:rPr>
      </w:pPr>
      <w:proofErr w:type="spellStart"/>
      <w:r>
        <w:rPr>
          <w:color w:val="000000"/>
          <w:sz w:val="24"/>
          <w:szCs w:val="24"/>
        </w:rPr>
        <w:t>Rounaghi</w:t>
      </w:r>
      <w:proofErr w:type="spellEnd"/>
      <w:r>
        <w:rPr>
          <w:color w:val="000000"/>
          <w:sz w:val="24"/>
          <w:szCs w:val="24"/>
        </w:rPr>
        <w:t xml:space="preserve">, M.M., Jarrar, H. and Dana, L.P. (2021) ‘Implementation of strategic cost management in manufacturing companies: overcoming cost stickiness and increasing corporate sustainability’, </w:t>
      </w:r>
      <w:r>
        <w:rPr>
          <w:i/>
          <w:iCs/>
          <w:color w:val="000000"/>
          <w:sz w:val="24"/>
          <w:szCs w:val="24"/>
        </w:rPr>
        <w:t>Future Business Journal</w:t>
      </w:r>
      <w:r>
        <w:rPr>
          <w:color w:val="000000"/>
          <w:sz w:val="24"/>
          <w:szCs w:val="24"/>
        </w:rPr>
        <w:t>, 7(1), p. 31. Available at:</w:t>
      </w:r>
      <w:hyperlink r:id="rId162">
        <w:r>
          <w:rPr>
            <w:color w:val="000000"/>
            <w:sz w:val="24"/>
            <w:szCs w:val="24"/>
          </w:rPr>
          <w:t xml:space="preserve"> </w:t>
        </w:r>
      </w:hyperlink>
      <w:hyperlink r:id="rId163">
        <w:r>
          <w:rPr>
            <w:color w:val="1155CC"/>
            <w:sz w:val="24"/>
            <w:szCs w:val="24"/>
            <w:u w:val="single"/>
          </w:rPr>
          <w:t>https://doi.org/10.1186/s43093-021-00079-4</w:t>
        </w:r>
      </w:hyperlink>
      <w:r>
        <w:rPr>
          <w:color w:val="000000"/>
          <w:sz w:val="24"/>
          <w:szCs w:val="24"/>
        </w:rPr>
        <w:t xml:space="preserve"> (Accessed: 21 November 2025).</w:t>
      </w:r>
    </w:p>
    <w:p w14:paraId="37BD425B" w14:textId="77777777" w:rsidR="00A769CA" w:rsidRDefault="008D3F3B">
      <w:pPr>
        <w:pBdr>
          <w:top w:val="nil"/>
          <w:left w:val="nil"/>
          <w:bottom w:val="nil"/>
          <w:right w:val="nil"/>
          <w:between w:val="nil"/>
        </w:pBdr>
        <w:spacing w:before="240" w:after="240" w:line="360" w:lineRule="auto"/>
        <w:jc w:val="both"/>
        <w:rPr>
          <w:color w:val="000000"/>
          <w:sz w:val="24"/>
          <w:szCs w:val="24"/>
        </w:rPr>
      </w:pPr>
      <w:proofErr w:type="spellStart"/>
      <w:r>
        <w:rPr>
          <w:color w:val="000000"/>
          <w:sz w:val="24"/>
          <w:szCs w:val="24"/>
        </w:rPr>
        <w:t>Sadalia</w:t>
      </w:r>
      <w:proofErr w:type="spellEnd"/>
      <w:r>
        <w:rPr>
          <w:color w:val="000000"/>
          <w:sz w:val="24"/>
          <w:szCs w:val="24"/>
        </w:rPr>
        <w:t xml:space="preserve">, I., </w:t>
      </w:r>
      <w:proofErr w:type="spellStart"/>
      <w:r>
        <w:rPr>
          <w:color w:val="000000"/>
          <w:sz w:val="24"/>
          <w:szCs w:val="24"/>
        </w:rPr>
        <w:t>Muharam</w:t>
      </w:r>
      <w:proofErr w:type="spellEnd"/>
      <w:r>
        <w:rPr>
          <w:color w:val="000000"/>
          <w:sz w:val="24"/>
          <w:szCs w:val="24"/>
        </w:rPr>
        <w:t xml:space="preserve">, H. and Mulyana, A. (2021) ‘Change of business environment: competitive advantage of the international market’, </w:t>
      </w:r>
      <w:proofErr w:type="spellStart"/>
      <w:r>
        <w:rPr>
          <w:i/>
          <w:iCs/>
          <w:color w:val="000000"/>
          <w:sz w:val="24"/>
          <w:szCs w:val="24"/>
        </w:rPr>
        <w:t>Utopía</w:t>
      </w:r>
      <w:proofErr w:type="spellEnd"/>
      <w:r>
        <w:rPr>
          <w:i/>
          <w:iCs/>
          <w:color w:val="000000"/>
          <w:sz w:val="24"/>
          <w:szCs w:val="24"/>
        </w:rPr>
        <w:t xml:space="preserve"> y Praxis Latinoamericana</w:t>
      </w:r>
      <w:r>
        <w:rPr>
          <w:color w:val="000000"/>
          <w:sz w:val="24"/>
          <w:szCs w:val="24"/>
        </w:rPr>
        <w:t>, 26(3), pp. 10–17. Available at:</w:t>
      </w:r>
      <w:hyperlink r:id="rId164">
        <w:r>
          <w:rPr>
            <w:color w:val="000000"/>
            <w:sz w:val="24"/>
            <w:szCs w:val="24"/>
          </w:rPr>
          <w:t xml:space="preserve"> </w:t>
        </w:r>
      </w:hyperlink>
      <w:hyperlink r:id="rId165">
        <w:r>
          <w:rPr>
            <w:color w:val="1155CC"/>
            <w:sz w:val="24"/>
            <w:szCs w:val="24"/>
            <w:u w:val="single"/>
          </w:rPr>
          <w:t>https://doi.org/10.5281/zenodo.4969590</w:t>
        </w:r>
      </w:hyperlink>
      <w:r>
        <w:rPr>
          <w:color w:val="000000"/>
          <w:sz w:val="24"/>
          <w:szCs w:val="24"/>
        </w:rPr>
        <w:t xml:space="preserve"> (Accessed: 21 November 2025).</w:t>
      </w:r>
    </w:p>
    <w:p w14:paraId="72A77F23"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000000"/>
          <w:sz w:val="24"/>
          <w:szCs w:val="24"/>
        </w:rPr>
        <w:t xml:space="preserve">Saliya, C.A. (2023) ‘Research philosophy: paradigms, world views, perspectives, and theories’, in </w:t>
      </w:r>
      <w:proofErr w:type="gramStart"/>
      <w:r>
        <w:rPr>
          <w:i/>
          <w:iCs/>
          <w:color w:val="000000"/>
          <w:sz w:val="24"/>
          <w:szCs w:val="24"/>
        </w:rPr>
        <w:t>Social</w:t>
      </w:r>
      <w:proofErr w:type="gramEnd"/>
      <w:r>
        <w:rPr>
          <w:i/>
          <w:iCs/>
          <w:color w:val="000000"/>
          <w:sz w:val="24"/>
          <w:szCs w:val="24"/>
        </w:rPr>
        <w:t xml:space="preserve"> research methodology and publishing results: A guide to non-native English speakers</w:t>
      </w:r>
      <w:r>
        <w:rPr>
          <w:color w:val="000000"/>
          <w:sz w:val="24"/>
          <w:szCs w:val="24"/>
        </w:rPr>
        <w:t>. IGI Global, pp. 35–51. Available at:</w:t>
      </w:r>
      <w:hyperlink r:id="rId166">
        <w:r>
          <w:rPr>
            <w:color w:val="000000"/>
            <w:sz w:val="24"/>
            <w:szCs w:val="24"/>
          </w:rPr>
          <w:t xml:space="preserve"> </w:t>
        </w:r>
      </w:hyperlink>
      <w:hyperlink r:id="rId167">
        <w:r>
          <w:rPr>
            <w:color w:val="1155CC"/>
            <w:sz w:val="24"/>
            <w:szCs w:val="24"/>
            <w:u w:val="single"/>
          </w:rPr>
          <w:t>https://www.researchgate.net/profile/Candauada-Arachchige-Saliya/publication/369152900_Research_Philosophy_Paradigms_World_Views_Perspectives_and_Theories/links/678e1b3b75d4ab477e51068f/Research-Philosophy-Paradigms-World-Views-Perspectives-and-Theories.pdf</w:t>
        </w:r>
      </w:hyperlink>
      <w:r>
        <w:rPr>
          <w:color w:val="000000"/>
          <w:sz w:val="24"/>
          <w:szCs w:val="24"/>
        </w:rPr>
        <w:t xml:space="preserve"> (Accessed: 10 November 2025).</w:t>
      </w:r>
    </w:p>
    <w:p w14:paraId="1EC55901" w14:textId="77777777" w:rsidR="00A769CA" w:rsidRDefault="008D3F3B">
      <w:pPr>
        <w:pBdr>
          <w:top w:val="nil"/>
          <w:left w:val="nil"/>
          <w:bottom w:val="nil"/>
          <w:right w:val="nil"/>
          <w:between w:val="nil"/>
        </w:pBdr>
        <w:spacing w:before="240" w:after="240" w:line="360" w:lineRule="auto"/>
        <w:jc w:val="both"/>
        <w:rPr>
          <w:color w:val="000000"/>
          <w:sz w:val="24"/>
          <w:szCs w:val="24"/>
        </w:rPr>
      </w:pPr>
      <w:proofErr w:type="spellStart"/>
      <w:r>
        <w:rPr>
          <w:color w:val="000000"/>
          <w:sz w:val="24"/>
          <w:szCs w:val="24"/>
        </w:rPr>
        <w:t>Sankala</w:t>
      </w:r>
      <w:proofErr w:type="spellEnd"/>
      <w:r>
        <w:rPr>
          <w:color w:val="000000"/>
          <w:sz w:val="24"/>
          <w:szCs w:val="24"/>
        </w:rPr>
        <w:t xml:space="preserve">, A. (2024). </w:t>
      </w:r>
      <w:r>
        <w:rPr>
          <w:i/>
          <w:iCs/>
          <w:color w:val="000000"/>
          <w:sz w:val="24"/>
          <w:szCs w:val="24"/>
        </w:rPr>
        <w:t>Strategic alignment: evaluating organizational processes through the lens of global standardization</w:t>
      </w:r>
      <w:r>
        <w:rPr>
          <w:color w:val="000000"/>
          <w:sz w:val="24"/>
          <w:szCs w:val="24"/>
        </w:rPr>
        <w:t>. Available at:</w:t>
      </w:r>
      <w:hyperlink r:id="rId168">
        <w:r>
          <w:rPr>
            <w:color w:val="000000"/>
            <w:sz w:val="24"/>
            <w:szCs w:val="24"/>
          </w:rPr>
          <w:t xml:space="preserve"> </w:t>
        </w:r>
      </w:hyperlink>
      <w:hyperlink r:id="rId169">
        <w:r>
          <w:rPr>
            <w:color w:val="1155CC"/>
            <w:sz w:val="24"/>
            <w:szCs w:val="24"/>
            <w:u w:val="single"/>
          </w:rPr>
          <w:t>https://www.theseus.fi/bitstream/handle/10024/866516/Sankala_Agata.pdf?sequence=2</w:t>
        </w:r>
      </w:hyperlink>
      <w:r>
        <w:rPr>
          <w:color w:val="000000"/>
          <w:sz w:val="24"/>
          <w:szCs w:val="24"/>
        </w:rPr>
        <w:t xml:space="preserve"> (Accessed: 10 November 2025).</w:t>
      </w:r>
    </w:p>
    <w:p w14:paraId="13F43570"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000000"/>
          <w:sz w:val="24"/>
          <w:szCs w:val="24"/>
        </w:rPr>
        <w:t xml:space="preserve">Schmidt, M.C., Veile, J.W., Müller, J.M. and Voigt, K.I. (2023) ‘Industry 4.0 implementation in the supply chain: a review on the evolution of buyer–supplier relationships’, </w:t>
      </w:r>
      <w:r>
        <w:rPr>
          <w:i/>
          <w:iCs/>
          <w:color w:val="000000"/>
          <w:sz w:val="24"/>
          <w:szCs w:val="24"/>
        </w:rPr>
        <w:t>International Journal of Production Research</w:t>
      </w:r>
      <w:r>
        <w:rPr>
          <w:color w:val="000000"/>
          <w:sz w:val="24"/>
          <w:szCs w:val="24"/>
        </w:rPr>
        <w:t>, 61(17), pp. 6063–6080. Available at:</w:t>
      </w:r>
      <w:hyperlink r:id="rId170">
        <w:r>
          <w:rPr>
            <w:color w:val="000000"/>
            <w:sz w:val="24"/>
            <w:szCs w:val="24"/>
          </w:rPr>
          <w:t xml:space="preserve"> </w:t>
        </w:r>
      </w:hyperlink>
      <w:hyperlink r:id="rId171">
        <w:r>
          <w:rPr>
            <w:color w:val="1155CC"/>
            <w:sz w:val="24"/>
            <w:szCs w:val="24"/>
            <w:u w:val="single"/>
          </w:rPr>
          <w:t>https://doi.org/10.1080/00207543.2022.2120923</w:t>
        </w:r>
      </w:hyperlink>
      <w:r>
        <w:rPr>
          <w:color w:val="000000"/>
          <w:sz w:val="24"/>
          <w:szCs w:val="24"/>
        </w:rPr>
        <w:t>.</w:t>
      </w:r>
    </w:p>
    <w:p w14:paraId="1AB2B466" w14:textId="77777777" w:rsidR="00A769CA" w:rsidRDefault="008D3F3B">
      <w:pPr>
        <w:pBdr>
          <w:top w:val="nil"/>
          <w:left w:val="nil"/>
          <w:bottom w:val="nil"/>
          <w:right w:val="nil"/>
          <w:between w:val="nil"/>
        </w:pBdr>
        <w:spacing w:before="240" w:after="240" w:line="360" w:lineRule="auto"/>
        <w:jc w:val="both"/>
        <w:rPr>
          <w:color w:val="000000"/>
          <w:sz w:val="24"/>
          <w:szCs w:val="24"/>
        </w:rPr>
      </w:pPr>
      <w:proofErr w:type="spellStart"/>
      <w:r>
        <w:rPr>
          <w:color w:val="000000"/>
          <w:sz w:val="24"/>
          <w:szCs w:val="24"/>
        </w:rPr>
        <w:lastRenderedPageBreak/>
        <w:t>Setyadi</w:t>
      </w:r>
      <w:proofErr w:type="spellEnd"/>
      <w:r>
        <w:rPr>
          <w:color w:val="000000"/>
          <w:sz w:val="24"/>
          <w:szCs w:val="24"/>
        </w:rPr>
        <w:t xml:space="preserve">, A., </w:t>
      </w:r>
      <w:proofErr w:type="spellStart"/>
      <w:r>
        <w:rPr>
          <w:color w:val="000000"/>
          <w:sz w:val="24"/>
          <w:szCs w:val="24"/>
        </w:rPr>
        <w:t>Soekotjo</w:t>
      </w:r>
      <w:proofErr w:type="spellEnd"/>
      <w:r>
        <w:rPr>
          <w:color w:val="000000"/>
          <w:sz w:val="24"/>
          <w:szCs w:val="24"/>
        </w:rPr>
        <w:t xml:space="preserve">, S., Lestari, S.D., </w:t>
      </w:r>
      <w:proofErr w:type="spellStart"/>
      <w:r>
        <w:rPr>
          <w:color w:val="000000"/>
          <w:sz w:val="24"/>
          <w:szCs w:val="24"/>
        </w:rPr>
        <w:t>Pawirosumarto</w:t>
      </w:r>
      <w:proofErr w:type="spellEnd"/>
      <w:r>
        <w:rPr>
          <w:color w:val="000000"/>
          <w:sz w:val="24"/>
          <w:szCs w:val="24"/>
        </w:rPr>
        <w:t xml:space="preserve">, S. and Damaris, A. (2025) ‘Trends and opportunities in sustainable manufacturing: a systematic review of key dimensions from 2019 to 2024’, </w:t>
      </w:r>
      <w:r>
        <w:rPr>
          <w:i/>
          <w:iCs/>
          <w:color w:val="000000"/>
          <w:sz w:val="24"/>
          <w:szCs w:val="24"/>
        </w:rPr>
        <w:t>Sustainability</w:t>
      </w:r>
      <w:r>
        <w:rPr>
          <w:color w:val="000000"/>
          <w:sz w:val="24"/>
          <w:szCs w:val="24"/>
        </w:rPr>
        <w:t>, 17(2), p. 789. Available at:</w:t>
      </w:r>
      <w:hyperlink r:id="rId172">
        <w:r>
          <w:rPr>
            <w:color w:val="000000"/>
            <w:sz w:val="24"/>
            <w:szCs w:val="24"/>
          </w:rPr>
          <w:t xml:space="preserve"> </w:t>
        </w:r>
      </w:hyperlink>
      <w:hyperlink r:id="rId173">
        <w:r>
          <w:rPr>
            <w:color w:val="1155CC"/>
            <w:sz w:val="24"/>
            <w:szCs w:val="24"/>
            <w:u w:val="single"/>
          </w:rPr>
          <w:t>https://doi.org/10.3390/su17020789</w:t>
        </w:r>
      </w:hyperlink>
      <w:r>
        <w:rPr>
          <w:color w:val="000000"/>
          <w:sz w:val="24"/>
          <w:szCs w:val="24"/>
        </w:rPr>
        <w:t>.</w:t>
      </w:r>
    </w:p>
    <w:p w14:paraId="54BF750F"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000000"/>
          <w:sz w:val="24"/>
          <w:szCs w:val="24"/>
        </w:rPr>
        <w:t xml:space="preserve">Shish, Z.H. (2025) ‘Securing ERP systems: the role of information security analysts in US textile and manufacturing enterprises’, </w:t>
      </w:r>
      <w:r>
        <w:rPr>
          <w:i/>
          <w:iCs/>
          <w:color w:val="000000"/>
          <w:sz w:val="24"/>
          <w:szCs w:val="24"/>
        </w:rPr>
        <w:t>International Journal of Business and Economics Insights</w:t>
      </w:r>
      <w:r>
        <w:rPr>
          <w:color w:val="000000"/>
          <w:sz w:val="24"/>
          <w:szCs w:val="24"/>
        </w:rPr>
        <w:t>, 5(3), pp. 459–493. Available at:</w:t>
      </w:r>
      <w:hyperlink r:id="rId174">
        <w:r>
          <w:rPr>
            <w:color w:val="000000"/>
            <w:sz w:val="24"/>
            <w:szCs w:val="24"/>
          </w:rPr>
          <w:t xml:space="preserve"> </w:t>
        </w:r>
      </w:hyperlink>
      <w:hyperlink r:id="rId175">
        <w:r>
          <w:rPr>
            <w:color w:val="1155CC"/>
            <w:sz w:val="24"/>
            <w:szCs w:val="24"/>
            <w:u w:val="single"/>
          </w:rPr>
          <w:t>https://ijbei-journal.org/index.php/ijbei/article/download/28/28</w:t>
        </w:r>
      </w:hyperlink>
      <w:r>
        <w:rPr>
          <w:color w:val="000000"/>
          <w:sz w:val="24"/>
          <w:szCs w:val="24"/>
        </w:rPr>
        <w:t xml:space="preserve"> (Accessed: 21 November 2025).</w:t>
      </w:r>
    </w:p>
    <w:p w14:paraId="4FFAAFA4" w14:textId="77777777" w:rsidR="00A769CA" w:rsidRDefault="008D3F3B">
      <w:pPr>
        <w:pBdr>
          <w:top w:val="nil"/>
          <w:left w:val="nil"/>
          <w:bottom w:val="nil"/>
          <w:right w:val="nil"/>
          <w:between w:val="nil"/>
        </w:pBdr>
        <w:spacing w:after="240" w:line="360" w:lineRule="auto"/>
        <w:jc w:val="both"/>
        <w:rPr>
          <w:sz w:val="24"/>
          <w:szCs w:val="24"/>
        </w:rPr>
      </w:pPr>
      <w:r>
        <w:rPr>
          <w:sz w:val="24"/>
          <w:szCs w:val="24"/>
        </w:rPr>
        <w:t xml:space="preserve">Singh, J., Singh, S., Kumari, M. and Vyas, S.K., (2022). Impact Assessment of SRM Practices on SCM Performance in Indian Automobile Industry. </w:t>
      </w:r>
      <w:r>
        <w:rPr>
          <w:i/>
          <w:iCs/>
          <w:sz w:val="24"/>
          <w:szCs w:val="24"/>
        </w:rPr>
        <w:t>Pacific Business Review International, 14</w:t>
      </w:r>
      <w:r>
        <w:rPr>
          <w:sz w:val="24"/>
          <w:szCs w:val="24"/>
        </w:rPr>
        <w:t xml:space="preserve">(8). Available at: </w:t>
      </w:r>
      <w:hyperlink r:id="rId176">
        <w:r>
          <w:rPr>
            <w:color w:val="1155CC"/>
            <w:sz w:val="24"/>
            <w:szCs w:val="24"/>
            <w:u w:val="single"/>
          </w:rPr>
          <w:t>https://www.kristujayanti.edu.in/AQAR24/3.4.3-Research-Papers/2023-24/WoS-indexed-articles/WoS_020.pdf</w:t>
        </w:r>
      </w:hyperlink>
      <w:r>
        <w:rPr>
          <w:sz w:val="24"/>
          <w:szCs w:val="24"/>
        </w:rPr>
        <w:t xml:space="preserve"> (Accessed: 10 December, 2025)</w:t>
      </w:r>
    </w:p>
    <w:p w14:paraId="5F3115B2"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000000"/>
          <w:sz w:val="24"/>
          <w:szCs w:val="24"/>
        </w:rPr>
        <w:t>Smith, H.K. (2024) ‘Digital supplier relationship management systems: impacts on e-supply chain coordination and long-term performance’. Available at:</w:t>
      </w:r>
      <w:hyperlink r:id="rId177">
        <w:r>
          <w:rPr>
            <w:color w:val="000000"/>
            <w:sz w:val="24"/>
            <w:szCs w:val="24"/>
          </w:rPr>
          <w:t xml:space="preserve"> </w:t>
        </w:r>
      </w:hyperlink>
      <w:hyperlink r:id="rId178">
        <w:r>
          <w:rPr>
            <w:color w:val="1155CC"/>
            <w:sz w:val="24"/>
            <w:szCs w:val="24"/>
            <w:u w:val="single"/>
          </w:rPr>
          <w:t>https://www.researchgate.net/profile/Hussein-Smith/publication/384808378_Digital_Supplier_Relationship_Management_Systems_Impacts_on_E-_supply_Chain_Coordination_and_Long-Term_Performance/links/67081d87a12152019166bf19/Digital-Supplier-Relationship-Management-Systems-Impacts-on-E-supply-Chain-Coordination-and-Long-Term-Performance.pdf</w:t>
        </w:r>
      </w:hyperlink>
      <w:r>
        <w:rPr>
          <w:color w:val="000000"/>
          <w:sz w:val="24"/>
          <w:szCs w:val="24"/>
        </w:rPr>
        <w:t xml:space="preserve"> (Accessed: 10 November 2025).</w:t>
      </w:r>
    </w:p>
    <w:p w14:paraId="791A35D0"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000000"/>
          <w:sz w:val="24"/>
          <w:szCs w:val="24"/>
        </w:rPr>
        <w:t>Statista (2020) ‘India – opinion about COVID-19 impact on supply chain delay by duration 2020’. Available at:</w:t>
      </w:r>
      <w:hyperlink r:id="rId179">
        <w:r>
          <w:rPr>
            <w:color w:val="000000"/>
            <w:sz w:val="24"/>
            <w:szCs w:val="24"/>
          </w:rPr>
          <w:t xml:space="preserve"> </w:t>
        </w:r>
      </w:hyperlink>
      <w:hyperlink r:id="rId180">
        <w:r>
          <w:rPr>
            <w:color w:val="1155CC"/>
            <w:sz w:val="24"/>
            <w:szCs w:val="24"/>
            <w:u w:val="single"/>
          </w:rPr>
          <w:t>https://www.statista.com/statistics/1106237/india-impact-of-novel-coronavirus-on-supply-chain-delay-by-duration/</w:t>
        </w:r>
      </w:hyperlink>
      <w:r>
        <w:rPr>
          <w:color w:val="000000"/>
          <w:sz w:val="24"/>
          <w:szCs w:val="24"/>
        </w:rPr>
        <w:t xml:space="preserve"> (Accessed: 21 November 2025).</w:t>
      </w:r>
    </w:p>
    <w:p w14:paraId="7D8F58D5"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000000"/>
          <w:sz w:val="24"/>
          <w:szCs w:val="24"/>
        </w:rPr>
        <w:t xml:space="preserve">Steiner, S., Cropley, M., Simonds, L. and Heron, R. (2020) ‘Reasons for staying with your employer: identifying the key organizational predictors of employee retention within a global energy business’, </w:t>
      </w:r>
      <w:r>
        <w:rPr>
          <w:i/>
          <w:iCs/>
          <w:color w:val="000000"/>
          <w:sz w:val="24"/>
          <w:szCs w:val="24"/>
        </w:rPr>
        <w:t>Journal of Occupational and Environmental Medicine</w:t>
      </w:r>
      <w:r>
        <w:rPr>
          <w:color w:val="000000"/>
          <w:sz w:val="24"/>
          <w:szCs w:val="24"/>
        </w:rPr>
        <w:t>, 62(4), pp. 289–295. Available at:</w:t>
      </w:r>
      <w:hyperlink r:id="rId181">
        <w:r>
          <w:rPr>
            <w:color w:val="000000"/>
            <w:sz w:val="24"/>
            <w:szCs w:val="24"/>
          </w:rPr>
          <w:t xml:space="preserve"> </w:t>
        </w:r>
      </w:hyperlink>
      <w:hyperlink r:id="rId182">
        <w:r>
          <w:rPr>
            <w:color w:val="1155CC"/>
            <w:sz w:val="24"/>
            <w:szCs w:val="24"/>
            <w:u w:val="single"/>
          </w:rPr>
          <w:t>https://doi.org/10.1097/JOM.0000000000001820</w:t>
        </w:r>
      </w:hyperlink>
      <w:r>
        <w:rPr>
          <w:color w:val="000000"/>
          <w:sz w:val="24"/>
          <w:szCs w:val="24"/>
        </w:rPr>
        <w:t>.</w:t>
      </w:r>
    </w:p>
    <w:p w14:paraId="7F4FCF59"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000000"/>
          <w:sz w:val="24"/>
          <w:szCs w:val="24"/>
        </w:rPr>
        <w:lastRenderedPageBreak/>
        <w:t xml:space="preserve">Taghipour, A., </w:t>
      </w:r>
      <w:proofErr w:type="spellStart"/>
      <w:r>
        <w:rPr>
          <w:color w:val="000000"/>
          <w:sz w:val="24"/>
          <w:szCs w:val="24"/>
        </w:rPr>
        <w:t>Fooladvand</w:t>
      </w:r>
      <w:proofErr w:type="spellEnd"/>
      <w:r>
        <w:rPr>
          <w:color w:val="000000"/>
          <w:sz w:val="24"/>
          <w:szCs w:val="24"/>
        </w:rPr>
        <w:t xml:space="preserve">, A., Khazaei, M. and Ramezani, M. (2023) ‘Criteria clustering and supplier segmentation based on sustainable shared value using BWM and PROMETHEE’, </w:t>
      </w:r>
      <w:r>
        <w:rPr>
          <w:i/>
          <w:iCs/>
          <w:color w:val="000000"/>
          <w:sz w:val="24"/>
          <w:szCs w:val="24"/>
        </w:rPr>
        <w:t>Sustainability</w:t>
      </w:r>
      <w:r>
        <w:rPr>
          <w:color w:val="000000"/>
          <w:sz w:val="24"/>
          <w:szCs w:val="24"/>
        </w:rPr>
        <w:t>, 15(11), p. 8670. Available at:</w:t>
      </w:r>
      <w:hyperlink r:id="rId183">
        <w:r>
          <w:rPr>
            <w:color w:val="000000"/>
            <w:sz w:val="24"/>
            <w:szCs w:val="24"/>
          </w:rPr>
          <w:t xml:space="preserve"> </w:t>
        </w:r>
      </w:hyperlink>
      <w:hyperlink r:id="rId184">
        <w:r>
          <w:rPr>
            <w:color w:val="1155CC"/>
            <w:sz w:val="24"/>
            <w:szCs w:val="24"/>
            <w:u w:val="single"/>
          </w:rPr>
          <w:t>https://doi.org/10.3390/su15118670</w:t>
        </w:r>
      </w:hyperlink>
      <w:r>
        <w:rPr>
          <w:color w:val="000000"/>
          <w:sz w:val="24"/>
          <w:szCs w:val="24"/>
        </w:rPr>
        <w:t>.</w:t>
      </w:r>
    </w:p>
    <w:p w14:paraId="33D27FCB" w14:textId="77777777" w:rsidR="00A769CA" w:rsidRDefault="008D3F3B">
      <w:pPr>
        <w:pBdr>
          <w:top w:val="nil"/>
          <w:left w:val="nil"/>
          <w:bottom w:val="nil"/>
          <w:right w:val="nil"/>
          <w:between w:val="nil"/>
        </w:pBdr>
        <w:spacing w:before="240" w:after="240" w:line="360" w:lineRule="auto"/>
        <w:jc w:val="both"/>
        <w:rPr>
          <w:color w:val="1155CC"/>
          <w:sz w:val="24"/>
          <w:szCs w:val="24"/>
          <w:u w:val="single"/>
        </w:rPr>
      </w:pPr>
      <w:r>
        <w:rPr>
          <w:color w:val="000000"/>
          <w:sz w:val="24"/>
          <w:szCs w:val="24"/>
        </w:rPr>
        <w:t xml:space="preserve">Tanveer, M., Ahmad, A.R., Mahmood, H. and Haq, I.U. (2021) ‘Role of ethical marketing in driving consumer brand relationships and brand loyalty: a sustainable marketing approach’, </w:t>
      </w:r>
      <w:r>
        <w:rPr>
          <w:i/>
          <w:iCs/>
          <w:color w:val="000000"/>
          <w:sz w:val="24"/>
          <w:szCs w:val="24"/>
        </w:rPr>
        <w:t>Sustainability</w:t>
      </w:r>
      <w:r>
        <w:rPr>
          <w:color w:val="000000"/>
          <w:sz w:val="24"/>
          <w:szCs w:val="24"/>
        </w:rPr>
        <w:t>, 13(12), p. 6839. Available at:</w:t>
      </w:r>
      <w:hyperlink r:id="rId185">
        <w:r>
          <w:rPr>
            <w:color w:val="000000"/>
            <w:sz w:val="24"/>
            <w:szCs w:val="24"/>
          </w:rPr>
          <w:t xml:space="preserve"> </w:t>
        </w:r>
      </w:hyperlink>
      <w:hyperlink r:id="rId186">
        <w:r>
          <w:rPr>
            <w:color w:val="1155CC"/>
            <w:sz w:val="24"/>
            <w:szCs w:val="24"/>
            <w:u w:val="single"/>
          </w:rPr>
          <w:t>https://doi.org/10.3390/su13126839</w:t>
        </w:r>
      </w:hyperlink>
    </w:p>
    <w:p w14:paraId="2D7D6F55"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000000"/>
          <w:sz w:val="24"/>
          <w:szCs w:val="24"/>
        </w:rPr>
        <w:t xml:space="preserve">The Guardian (2021) ‘UK factories struggle to meet record demand as supply issues continue’. </w:t>
      </w:r>
      <w:r>
        <w:rPr>
          <w:i/>
          <w:iCs/>
          <w:color w:val="000000"/>
          <w:sz w:val="24"/>
          <w:szCs w:val="24"/>
        </w:rPr>
        <w:t>The Guardian</w:t>
      </w:r>
      <w:r>
        <w:rPr>
          <w:color w:val="000000"/>
          <w:sz w:val="24"/>
          <w:szCs w:val="24"/>
        </w:rPr>
        <w:t>. Available at:</w:t>
      </w:r>
      <w:hyperlink r:id="rId187">
        <w:r>
          <w:rPr>
            <w:color w:val="000000"/>
            <w:sz w:val="24"/>
            <w:szCs w:val="24"/>
          </w:rPr>
          <w:t xml:space="preserve"> </w:t>
        </w:r>
      </w:hyperlink>
      <w:hyperlink r:id="rId188">
        <w:r>
          <w:rPr>
            <w:color w:val="1155CC"/>
            <w:sz w:val="24"/>
            <w:szCs w:val="24"/>
            <w:u w:val="single"/>
          </w:rPr>
          <w:t>https://www.theguardian.com/business/2021/nov/24/uk-factories-struggle-to-meet-record-demand-as-supply-issues-continue-cbi-inflation</w:t>
        </w:r>
      </w:hyperlink>
      <w:r>
        <w:rPr>
          <w:color w:val="000000"/>
          <w:sz w:val="24"/>
          <w:szCs w:val="24"/>
        </w:rPr>
        <w:t xml:space="preserve"> (Accessed: 21 November 2025).</w:t>
      </w:r>
    </w:p>
    <w:p w14:paraId="4024C886"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000000"/>
          <w:sz w:val="24"/>
          <w:szCs w:val="24"/>
        </w:rPr>
        <w:t xml:space="preserve">Trabucco, M. and De Giovanni, P. (2021) ‘Achieving resilience and business sustainability during COVID-19: the role of lean supply chain practices and digitalization’, </w:t>
      </w:r>
      <w:r>
        <w:rPr>
          <w:i/>
          <w:iCs/>
          <w:color w:val="000000"/>
          <w:sz w:val="24"/>
          <w:szCs w:val="24"/>
        </w:rPr>
        <w:t>Sustainability</w:t>
      </w:r>
      <w:r>
        <w:rPr>
          <w:color w:val="000000"/>
          <w:sz w:val="24"/>
          <w:szCs w:val="24"/>
        </w:rPr>
        <w:t>, 13(22), p. 12369. Available at:</w:t>
      </w:r>
      <w:hyperlink r:id="rId189">
        <w:r>
          <w:rPr>
            <w:color w:val="000000"/>
            <w:sz w:val="24"/>
            <w:szCs w:val="24"/>
          </w:rPr>
          <w:t xml:space="preserve"> </w:t>
        </w:r>
      </w:hyperlink>
      <w:hyperlink r:id="rId190">
        <w:r>
          <w:rPr>
            <w:color w:val="1155CC"/>
            <w:sz w:val="24"/>
            <w:szCs w:val="24"/>
            <w:u w:val="single"/>
          </w:rPr>
          <w:t>https://doi.org/10.3390/su132212369</w:t>
        </w:r>
      </w:hyperlink>
      <w:r>
        <w:rPr>
          <w:color w:val="000000"/>
          <w:sz w:val="24"/>
          <w:szCs w:val="24"/>
        </w:rPr>
        <w:t>.</w:t>
      </w:r>
    </w:p>
    <w:p w14:paraId="5E2DA2CE"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000000"/>
          <w:sz w:val="24"/>
          <w:szCs w:val="24"/>
        </w:rPr>
        <w:t xml:space="preserve">Vaandrager, C. (2024) ‘Optimising risk mitigation in maritime supply chains through strategic supplier relationship management’, </w:t>
      </w:r>
      <w:r>
        <w:rPr>
          <w:i/>
          <w:iCs/>
          <w:color w:val="000000"/>
          <w:sz w:val="24"/>
          <w:szCs w:val="24"/>
        </w:rPr>
        <w:t>Journal of Supply Chain Management Science</w:t>
      </w:r>
      <w:r>
        <w:rPr>
          <w:color w:val="000000"/>
          <w:sz w:val="24"/>
          <w:szCs w:val="24"/>
        </w:rPr>
        <w:t>, 5(1–2), pp. 48–65. Available at:</w:t>
      </w:r>
      <w:hyperlink r:id="rId191">
        <w:r>
          <w:rPr>
            <w:color w:val="000000"/>
            <w:sz w:val="24"/>
            <w:szCs w:val="24"/>
          </w:rPr>
          <w:t xml:space="preserve"> </w:t>
        </w:r>
      </w:hyperlink>
      <w:hyperlink r:id="rId192">
        <w:r>
          <w:rPr>
            <w:color w:val="1155CC"/>
            <w:sz w:val="24"/>
            <w:szCs w:val="24"/>
            <w:u w:val="single"/>
          </w:rPr>
          <w:t>http://dx.doi.org/10.18757/jscms.2024.7478</w:t>
        </w:r>
      </w:hyperlink>
      <w:r>
        <w:rPr>
          <w:color w:val="000000"/>
          <w:sz w:val="24"/>
          <w:szCs w:val="24"/>
        </w:rPr>
        <w:t xml:space="preserve"> (Accessed: 21 November 2025).</w:t>
      </w:r>
    </w:p>
    <w:p w14:paraId="17CBA8C8"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000000"/>
          <w:sz w:val="24"/>
          <w:szCs w:val="24"/>
        </w:rPr>
        <w:t xml:space="preserve">Vaghani, B.M. (2024) ‘Integrating quality at source into supplier management: a pathway to cost efficiency and regulatory compliance’, </w:t>
      </w:r>
      <w:r>
        <w:rPr>
          <w:i/>
          <w:iCs/>
          <w:color w:val="000000"/>
          <w:sz w:val="24"/>
          <w:szCs w:val="24"/>
        </w:rPr>
        <w:t>Journal of Current Science and Research Review</w:t>
      </w:r>
      <w:r>
        <w:rPr>
          <w:color w:val="000000"/>
          <w:sz w:val="24"/>
          <w:szCs w:val="24"/>
        </w:rPr>
        <w:t>, 2(2), pp. 56–68. Available at:</w:t>
      </w:r>
      <w:hyperlink r:id="rId193">
        <w:r>
          <w:rPr>
            <w:color w:val="000000"/>
            <w:sz w:val="24"/>
            <w:szCs w:val="24"/>
          </w:rPr>
          <w:t xml:space="preserve"> </w:t>
        </w:r>
      </w:hyperlink>
      <w:hyperlink r:id="rId194">
        <w:r>
          <w:rPr>
            <w:color w:val="1155CC"/>
            <w:sz w:val="24"/>
            <w:szCs w:val="24"/>
            <w:u w:val="single"/>
          </w:rPr>
          <w:t>https://www.researchgate.net/profile/Binitkumar-Vaghani/publication/387025247_Integrating_Quality_at_Source_into_Supplier_Management_A_Pathway_to_Cost_Efficiency_and_Regulatory_Compliance/links/675c9412da24c8537c6c4b50/Integrating-Quality-at-Source-into-Supplier-Management-A-Pathway-to-Cost-Efficiency-and-Regulatory-Compliance.pdf</w:t>
        </w:r>
      </w:hyperlink>
      <w:r>
        <w:rPr>
          <w:color w:val="000000"/>
          <w:sz w:val="24"/>
          <w:szCs w:val="24"/>
        </w:rPr>
        <w:t xml:space="preserve"> (Accessed: 10 November 2025).</w:t>
      </w:r>
    </w:p>
    <w:p w14:paraId="7B16C25D"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000000"/>
          <w:sz w:val="24"/>
          <w:szCs w:val="24"/>
        </w:rPr>
        <w:lastRenderedPageBreak/>
        <w:t xml:space="preserve">Vaka, D.K. (2024) ‘Enhancing supplier relationships: critical factors in procurement supplier selection’, </w:t>
      </w:r>
      <w:r>
        <w:rPr>
          <w:i/>
          <w:iCs/>
          <w:color w:val="000000"/>
          <w:sz w:val="24"/>
          <w:szCs w:val="24"/>
        </w:rPr>
        <w:t>Journal of Artificial Intelligence, Machine Learning and Data Science</w:t>
      </w:r>
      <w:r>
        <w:rPr>
          <w:color w:val="000000"/>
          <w:sz w:val="24"/>
          <w:szCs w:val="24"/>
        </w:rPr>
        <w:t>, 2(1), pp. 229–233. Available at:</w:t>
      </w:r>
      <w:hyperlink r:id="rId195">
        <w:r>
          <w:rPr>
            <w:color w:val="000000"/>
            <w:sz w:val="24"/>
            <w:szCs w:val="24"/>
          </w:rPr>
          <w:t xml:space="preserve"> </w:t>
        </w:r>
      </w:hyperlink>
      <w:hyperlink r:id="rId196">
        <w:r>
          <w:rPr>
            <w:color w:val="1155CC"/>
            <w:sz w:val="24"/>
            <w:szCs w:val="24"/>
            <w:u w:val="single"/>
          </w:rPr>
          <w:t>https://doi.org/10.51219/JAIMLD/dilip-kumar-vaka/74</w:t>
        </w:r>
      </w:hyperlink>
      <w:r>
        <w:rPr>
          <w:color w:val="000000"/>
          <w:sz w:val="24"/>
          <w:szCs w:val="24"/>
        </w:rPr>
        <w:t>.</w:t>
      </w:r>
    </w:p>
    <w:p w14:paraId="332B7574" w14:textId="77777777" w:rsidR="00A769CA" w:rsidRDefault="008D3F3B">
      <w:pPr>
        <w:pBdr>
          <w:top w:val="nil"/>
          <w:left w:val="nil"/>
          <w:bottom w:val="nil"/>
          <w:right w:val="nil"/>
          <w:between w:val="nil"/>
        </w:pBdr>
        <w:spacing w:before="240" w:after="240" w:line="360" w:lineRule="auto"/>
        <w:jc w:val="both"/>
        <w:rPr>
          <w:color w:val="000000"/>
          <w:sz w:val="24"/>
          <w:szCs w:val="24"/>
        </w:rPr>
      </w:pPr>
      <w:r>
        <w:rPr>
          <w:color w:val="000000"/>
          <w:sz w:val="24"/>
          <w:szCs w:val="24"/>
        </w:rPr>
        <w:t xml:space="preserve">Xu, X., Wang, J., He, C., Jiang, X. and An, Q. (2024) ‘Sewage treatment equipment supply chain collaboration and resilience improvement path analysis: collaborative decision-making, information sharing, risk management’, </w:t>
      </w:r>
      <w:r>
        <w:rPr>
          <w:i/>
          <w:iCs/>
          <w:color w:val="000000"/>
          <w:sz w:val="24"/>
          <w:szCs w:val="24"/>
        </w:rPr>
        <w:t>Sustainability</w:t>
      </w:r>
      <w:r>
        <w:rPr>
          <w:color w:val="000000"/>
          <w:sz w:val="24"/>
          <w:szCs w:val="24"/>
        </w:rPr>
        <w:t>, 16(20), p. 9031. Available at:</w:t>
      </w:r>
      <w:hyperlink r:id="rId197">
        <w:r>
          <w:rPr>
            <w:color w:val="000000"/>
            <w:sz w:val="24"/>
            <w:szCs w:val="24"/>
          </w:rPr>
          <w:t xml:space="preserve"> </w:t>
        </w:r>
      </w:hyperlink>
      <w:hyperlink r:id="rId198">
        <w:r>
          <w:rPr>
            <w:color w:val="1155CC"/>
            <w:sz w:val="24"/>
            <w:szCs w:val="24"/>
            <w:u w:val="single"/>
          </w:rPr>
          <w:t>https://doi.org/10.3390/su16209031</w:t>
        </w:r>
      </w:hyperlink>
      <w:r>
        <w:rPr>
          <w:color w:val="000000"/>
          <w:sz w:val="24"/>
          <w:szCs w:val="24"/>
        </w:rPr>
        <w:t>.</w:t>
      </w:r>
    </w:p>
    <w:p w14:paraId="2545ACCC" w14:textId="77777777" w:rsidR="00A769CA" w:rsidRDefault="008D3F3B">
      <w:pPr>
        <w:pBdr>
          <w:top w:val="nil"/>
          <w:left w:val="nil"/>
          <w:bottom w:val="nil"/>
          <w:right w:val="nil"/>
          <w:between w:val="nil"/>
        </w:pBdr>
        <w:spacing w:after="240" w:line="360" w:lineRule="auto"/>
        <w:jc w:val="both"/>
        <w:rPr>
          <w:sz w:val="24"/>
          <w:szCs w:val="24"/>
        </w:rPr>
      </w:pPr>
      <w:r>
        <w:br w:type="page"/>
      </w:r>
    </w:p>
    <w:p w14:paraId="7D02D6C9" w14:textId="77777777" w:rsidR="00A769CA" w:rsidRDefault="008D3F3B">
      <w:pPr>
        <w:pStyle w:val="Heading1"/>
      </w:pPr>
      <w:bookmarkStart w:id="71" w:name="_heading=h.2oz2rmdduhaf" w:colFirst="0" w:colLast="0"/>
      <w:bookmarkEnd w:id="71"/>
      <w:r>
        <w:lastRenderedPageBreak/>
        <w:t>Appendix</w:t>
      </w:r>
    </w:p>
    <w:p w14:paraId="70F6E490" w14:textId="77777777" w:rsidR="00A769CA" w:rsidRDefault="008D3F3B">
      <w:pPr>
        <w:tabs>
          <w:tab w:val="left" w:pos="5103"/>
        </w:tabs>
        <w:spacing w:line="360" w:lineRule="auto"/>
        <w:jc w:val="center"/>
        <w:rPr>
          <w:b/>
          <w:bCs/>
          <w:sz w:val="24"/>
          <w:szCs w:val="24"/>
        </w:rPr>
      </w:pPr>
      <w:r>
        <w:rPr>
          <w:b/>
          <w:bCs/>
          <w:sz w:val="24"/>
          <w:szCs w:val="24"/>
        </w:rPr>
        <w:t>APPLICATION FOR ETHICAL APPROVAL</w:t>
      </w:r>
    </w:p>
    <w:p w14:paraId="4AAB58C8" w14:textId="77777777" w:rsidR="00A769CA" w:rsidRDefault="00A769CA">
      <w:pPr>
        <w:tabs>
          <w:tab w:val="left" w:pos="5103"/>
        </w:tabs>
        <w:spacing w:line="360" w:lineRule="auto"/>
        <w:jc w:val="center"/>
        <w:rPr>
          <w:b/>
          <w:bCs/>
          <w:sz w:val="20"/>
          <w:szCs w:val="20"/>
        </w:rPr>
      </w:pPr>
    </w:p>
    <w:p w14:paraId="2A79BCDC" w14:textId="77777777" w:rsidR="00A769CA" w:rsidRDefault="008D3F3B">
      <w:pPr>
        <w:tabs>
          <w:tab w:val="left" w:pos="5103"/>
        </w:tabs>
        <w:spacing w:line="360" w:lineRule="auto"/>
        <w:jc w:val="both"/>
        <w:rPr>
          <w:b/>
          <w:bCs/>
        </w:rPr>
      </w:pPr>
      <w:proofErr w:type="gramStart"/>
      <w:r>
        <w:rPr>
          <w:b/>
          <w:bCs/>
        </w:rPr>
        <w:t>In order for</w:t>
      </w:r>
      <w:proofErr w:type="gramEnd"/>
      <w:r>
        <w:rPr>
          <w:b/>
          <w:bCs/>
        </w:rPr>
        <w:t xml:space="preserve"> research to result in benefit and minimise risk of harm, it must be conducted ethically. A researcher may not be covered by the University’s insurance if ethical approval has not been obtained prior to commencement.</w:t>
      </w:r>
    </w:p>
    <w:p w14:paraId="1B4F1359" w14:textId="77777777" w:rsidR="00A769CA" w:rsidRDefault="00A769CA">
      <w:pPr>
        <w:tabs>
          <w:tab w:val="left" w:pos="5103"/>
        </w:tabs>
        <w:spacing w:line="360" w:lineRule="auto"/>
        <w:jc w:val="center"/>
        <w:rPr>
          <w:b/>
          <w:bCs/>
          <w:sz w:val="16"/>
          <w:szCs w:val="16"/>
        </w:rPr>
      </w:pPr>
    </w:p>
    <w:p w14:paraId="43A6057D" w14:textId="77777777" w:rsidR="00A769CA" w:rsidRDefault="008D3F3B">
      <w:pPr>
        <w:tabs>
          <w:tab w:val="left" w:pos="5103"/>
        </w:tabs>
        <w:spacing w:line="360" w:lineRule="auto"/>
        <w:jc w:val="both"/>
      </w:pPr>
      <w:r>
        <w:t xml:space="preserve">The University follows the OECD Frascati manual definition of </w:t>
      </w:r>
      <w:r>
        <w:rPr>
          <w:b/>
          <w:bCs/>
        </w:rPr>
        <w:t>research activity</w:t>
      </w:r>
      <w: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32D632D" w14:textId="77777777" w:rsidR="00A769CA" w:rsidRDefault="00A769CA">
      <w:pPr>
        <w:tabs>
          <w:tab w:val="left" w:pos="5103"/>
        </w:tabs>
        <w:spacing w:line="360" w:lineRule="auto"/>
        <w:jc w:val="both"/>
      </w:pPr>
    </w:p>
    <w:p w14:paraId="0F429C3A" w14:textId="77777777" w:rsidR="00A769CA" w:rsidRDefault="008D3F3B">
      <w:pPr>
        <w:tabs>
          <w:tab w:val="left" w:pos="5103"/>
        </w:tabs>
        <w:spacing w:line="360" w:lineRule="auto"/>
        <w:jc w:val="both"/>
      </w:pPr>
      <w:r>
        <w:t>The individual undertaking the research activity is known as the “principal researcher”.</w:t>
      </w:r>
    </w:p>
    <w:p w14:paraId="09701F9C" w14:textId="77777777" w:rsidR="00A769CA" w:rsidRDefault="00A769CA">
      <w:pPr>
        <w:tabs>
          <w:tab w:val="left" w:pos="5103"/>
        </w:tabs>
        <w:spacing w:line="360" w:lineRule="auto"/>
        <w:jc w:val="both"/>
      </w:pPr>
    </w:p>
    <w:p w14:paraId="2D79628A" w14:textId="77777777" w:rsidR="00A769CA" w:rsidRDefault="008D3F3B">
      <w:pPr>
        <w:tabs>
          <w:tab w:val="left" w:pos="5103"/>
        </w:tabs>
        <w:spacing w:line="360" w:lineRule="auto"/>
        <w:jc w:val="both"/>
      </w:pPr>
      <w:r>
        <w:t>Ethical approval is not required for routine audits, performance reviews, quality assurance studies, testing within normal educational requirements, and literary or artistic criticism.</w:t>
      </w:r>
    </w:p>
    <w:p w14:paraId="24C60AD2" w14:textId="77777777" w:rsidR="00A769CA" w:rsidRDefault="00A769CA">
      <w:pPr>
        <w:tabs>
          <w:tab w:val="left" w:pos="5103"/>
        </w:tabs>
        <w:spacing w:line="360" w:lineRule="auto"/>
        <w:jc w:val="both"/>
      </w:pPr>
    </w:p>
    <w:p w14:paraId="5C99E717" w14:textId="77777777" w:rsidR="00A769CA" w:rsidRDefault="008D3F3B">
      <w:pPr>
        <w:tabs>
          <w:tab w:val="left" w:pos="5103"/>
        </w:tabs>
        <w:spacing w:line="360" w:lineRule="auto"/>
        <w:jc w:val="both"/>
        <w:rPr>
          <w:b/>
          <w:bCs/>
        </w:rPr>
      </w:pPr>
      <w:r>
        <w:rPr>
          <w:b/>
          <w:bCs/>
        </w:rPr>
        <w:t>Please read the notes for guidance before completing ALL sections of the form.</w:t>
      </w:r>
    </w:p>
    <w:p w14:paraId="17433E2A" w14:textId="77777777" w:rsidR="00A769CA" w:rsidRDefault="00A769CA">
      <w:pPr>
        <w:spacing w:line="360" w:lineRule="auto"/>
        <w:jc w:val="both"/>
      </w:pPr>
    </w:p>
    <w:p w14:paraId="09B49ED0" w14:textId="77777777" w:rsidR="00A769CA" w:rsidRDefault="008D3F3B">
      <w:pPr>
        <w:spacing w:line="360" w:lineRule="auto"/>
        <w:jc w:val="both"/>
      </w:pPr>
      <w:r>
        <w:rPr>
          <w:b/>
          <w:bCs/>
        </w:rPr>
        <w:t>This form</w:t>
      </w:r>
      <w:r>
        <w:t xml:space="preserve"> </w:t>
      </w:r>
      <w:r>
        <w:rPr>
          <w:b/>
          <w:bCs/>
        </w:rPr>
        <w:t>must be completed and approved prior to undertaking any research activity.</w:t>
      </w:r>
      <w:r>
        <w:t xml:space="preserve"> Please see Checklist for details of process for different categories of application.  </w:t>
      </w:r>
    </w:p>
    <w:p w14:paraId="713D44F6" w14:textId="77777777" w:rsidR="00A769CA" w:rsidRDefault="00A769CA">
      <w:pPr>
        <w:spacing w:line="360" w:lineRule="auto"/>
        <w:jc w:val="both"/>
      </w:pPr>
    </w:p>
    <w:p w14:paraId="568B826F" w14:textId="77777777" w:rsidR="00A769CA" w:rsidRDefault="008D3F3B">
      <w:pPr>
        <w:spacing w:after="240" w:line="360" w:lineRule="auto"/>
        <w:jc w:val="both"/>
        <w:rPr>
          <w:b/>
          <w:bCs/>
        </w:rPr>
      </w:pPr>
      <w:r>
        <w:rPr>
          <w:b/>
          <w:bCs/>
        </w:rPr>
        <w:t>SECTION A: About You (Principal Researcher)</w:t>
      </w:r>
    </w:p>
    <w:tbl>
      <w:tblPr>
        <w:tblStyle w:val="af8"/>
        <w:tblW w:w="9005"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481"/>
        <w:gridCol w:w="2193"/>
        <w:gridCol w:w="611"/>
        <w:gridCol w:w="2199"/>
        <w:gridCol w:w="611"/>
        <w:gridCol w:w="2177"/>
        <w:gridCol w:w="733"/>
      </w:tblGrid>
      <w:tr w:rsidR="00A769CA" w14:paraId="637A448F" w14:textId="77777777">
        <w:trPr>
          <w:trHeight w:val="582"/>
        </w:trPr>
        <w:tc>
          <w:tcPr>
            <w:tcW w:w="481" w:type="dxa"/>
            <w:shd w:val="clear" w:color="auto" w:fill="F2F2F2"/>
            <w:vAlign w:val="center"/>
          </w:tcPr>
          <w:p w14:paraId="4117B9E9" w14:textId="77777777" w:rsidR="00A769CA" w:rsidRDefault="008D3F3B">
            <w:pPr>
              <w:spacing w:line="360" w:lineRule="auto"/>
            </w:pPr>
            <w:r>
              <w:t>1</w:t>
            </w:r>
          </w:p>
        </w:tc>
        <w:tc>
          <w:tcPr>
            <w:tcW w:w="2804" w:type="dxa"/>
            <w:gridSpan w:val="2"/>
            <w:shd w:val="clear" w:color="auto" w:fill="F2F2F2"/>
            <w:vAlign w:val="center"/>
          </w:tcPr>
          <w:p w14:paraId="4643F477" w14:textId="77777777" w:rsidR="00A769CA" w:rsidRDefault="008D3F3B">
            <w:pPr>
              <w:spacing w:line="360" w:lineRule="auto"/>
            </w:pPr>
            <w:r>
              <w:t>Full Name:</w:t>
            </w:r>
          </w:p>
        </w:tc>
        <w:tc>
          <w:tcPr>
            <w:tcW w:w="5720" w:type="dxa"/>
            <w:gridSpan w:val="4"/>
            <w:vAlign w:val="center"/>
          </w:tcPr>
          <w:p w14:paraId="38064462" w14:textId="77777777" w:rsidR="00A769CA" w:rsidRDefault="00A769CA">
            <w:pPr>
              <w:spacing w:line="360" w:lineRule="auto"/>
            </w:pPr>
          </w:p>
        </w:tc>
      </w:tr>
      <w:tr w:rsidR="00A769CA" w14:paraId="6841223D" w14:textId="77777777">
        <w:trPr>
          <w:trHeight w:val="626"/>
        </w:trPr>
        <w:tc>
          <w:tcPr>
            <w:tcW w:w="481" w:type="dxa"/>
            <w:shd w:val="clear" w:color="auto" w:fill="BFBFBF"/>
            <w:vAlign w:val="center"/>
          </w:tcPr>
          <w:p w14:paraId="64A4FD6F" w14:textId="77777777" w:rsidR="00A769CA" w:rsidRDefault="008D3F3B">
            <w:pPr>
              <w:spacing w:line="360" w:lineRule="auto"/>
            </w:pPr>
            <w:r>
              <w:t>2</w:t>
            </w:r>
          </w:p>
        </w:tc>
        <w:tc>
          <w:tcPr>
            <w:tcW w:w="2804" w:type="dxa"/>
            <w:gridSpan w:val="2"/>
            <w:shd w:val="clear" w:color="auto" w:fill="BFBFBF"/>
            <w:vAlign w:val="center"/>
          </w:tcPr>
          <w:p w14:paraId="289B8336" w14:textId="77777777" w:rsidR="00A769CA" w:rsidRDefault="008D3F3B">
            <w:pPr>
              <w:spacing w:line="360" w:lineRule="auto"/>
            </w:pPr>
            <w:r>
              <w:t>Tick all boxes that apply:</w:t>
            </w:r>
          </w:p>
        </w:tc>
        <w:tc>
          <w:tcPr>
            <w:tcW w:w="2199" w:type="dxa"/>
            <w:shd w:val="clear" w:color="auto" w:fill="F2F2F2"/>
            <w:vAlign w:val="center"/>
          </w:tcPr>
          <w:p w14:paraId="71057A11" w14:textId="77777777" w:rsidR="00A769CA" w:rsidRDefault="008D3F3B">
            <w:pPr>
              <w:spacing w:line="360" w:lineRule="auto"/>
            </w:pPr>
            <w:r>
              <w:t>Member of staff:</w:t>
            </w:r>
          </w:p>
        </w:tc>
        <w:tc>
          <w:tcPr>
            <w:tcW w:w="611" w:type="dxa"/>
            <w:shd w:val="clear" w:color="auto" w:fill="BFBFBF"/>
            <w:vAlign w:val="center"/>
          </w:tcPr>
          <w:p w14:paraId="7A28DB01" w14:textId="77777777" w:rsidR="00A769CA" w:rsidRDefault="008D3F3B">
            <w:pPr>
              <w:spacing w:line="360" w:lineRule="auto"/>
              <w:jc w:val="center"/>
            </w:pPr>
            <w:r>
              <w:rPr>
                <w:rFonts w:ascii="MS Gothic" w:eastAsia="MS Gothic" w:hAnsi="MS Gothic" w:cs="MS Gothic"/>
              </w:rPr>
              <w:t>☐</w:t>
            </w:r>
          </w:p>
        </w:tc>
        <w:tc>
          <w:tcPr>
            <w:tcW w:w="2177" w:type="dxa"/>
            <w:shd w:val="clear" w:color="auto" w:fill="F2F2F2"/>
            <w:vAlign w:val="center"/>
          </w:tcPr>
          <w:p w14:paraId="0C66A6BC" w14:textId="77777777" w:rsidR="00A769CA" w:rsidRDefault="008D3F3B">
            <w:pPr>
              <w:spacing w:line="360" w:lineRule="auto"/>
            </w:pPr>
            <w:r>
              <w:t>Honorary research fellow:</w:t>
            </w:r>
          </w:p>
        </w:tc>
        <w:tc>
          <w:tcPr>
            <w:tcW w:w="733" w:type="dxa"/>
            <w:shd w:val="clear" w:color="auto" w:fill="BFBFBF"/>
            <w:vAlign w:val="center"/>
          </w:tcPr>
          <w:p w14:paraId="59172707" w14:textId="77777777" w:rsidR="00A769CA" w:rsidRDefault="008D3F3B">
            <w:pPr>
              <w:spacing w:line="360" w:lineRule="auto"/>
              <w:jc w:val="center"/>
            </w:pPr>
            <w:r>
              <w:rPr>
                <w:rFonts w:ascii="MS Gothic" w:eastAsia="MS Gothic" w:hAnsi="MS Gothic" w:cs="MS Gothic"/>
              </w:rPr>
              <w:t>☐</w:t>
            </w:r>
          </w:p>
        </w:tc>
      </w:tr>
      <w:tr w:rsidR="00A769CA" w14:paraId="38595B92" w14:textId="77777777">
        <w:trPr>
          <w:trHeight w:val="626"/>
        </w:trPr>
        <w:tc>
          <w:tcPr>
            <w:tcW w:w="481" w:type="dxa"/>
            <w:shd w:val="clear" w:color="auto" w:fill="F2F2F2"/>
            <w:vAlign w:val="center"/>
          </w:tcPr>
          <w:p w14:paraId="25CB712D" w14:textId="77777777" w:rsidR="00A769CA" w:rsidRDefault="00A769CA">
            <w:pPr>
              <w:spacing w:line="360" w:lineRule="auto"/>
            </w:pPr>
          </w:p>
        </w:tc>
        <w:tc>
          <w:tcPr>
            <w:tcW w:w="2193" w:type="dxa"/>
            <w:shd w:val="clear" w:color="auto" w:fill="F2F2F2"/>
            <w:vAlign w:val="center"/>
          </w:tcPr>
          <w:p w14:paraId="08C19E39" w14:textId="77777777" w:rsidR="00A769CA" w:rsidRDefault="008D3F3B">
            <w:pPr>
              <w:spacing w:line="360" w:lineRule="auto"/>
            </w:pPr>
            <w:r>
              <w:t>Undergraduate Student</w:t>
            </w:r>
          </w:p>
        </w:tc>
        <w:tc>
          <w:tcPr>
            <w:tcW w:w="611" w:type="dxa"/>
            <w:shd w:val="clear" w:color="auto" w:fill="BFBFBF"/>
            <w:vAlign w:val="center"/>
          </w:tcPr>
          <w:p w14:paraId="06DFA024" w14:textId="77777777" w:rsidR="00A769CA" w:rsidRDefault="008D3F3B">
            <w:pPr>
              <w:spacing w:line="360" w:lineRule="auto"/>
              <w:jc w:val="center"/>
            </w:pPr>
            <w:r>
              <w:rPr>
                <w:rFonts w:ascii="MS Gothic" w:eastAsia="MS Gothic" w:hAnsi="MS Gothic" w:cs="MS Gothic"/>
              </w:rPr>
              <w:t>☐</w:t>
            </w:r>
          </w:p>
        </w:tc>
        <w:tc>
          <w:tcPr>
            <w:tcW w:w="2199" w:type="dxa"/>
            <w:shd w:val="clear" w:color="auto" w:fill="F2F2F2"/>
            <w:vAlign w:val="center"/>
          </w:tcPr>
          <w:p w14:paraId="4C0F37BB" w14:textId="77777777" w:rsidR="00A769CA" w:rsidRDefault="008D3F3B">
            <w:pPr>
              <w:spacing w:line="360" w:lineRule="auto"/>
            </w:pPr>
            <w:r>
              <w:t>Taught Postgraduate Student</w:t>
            </w:r>
          </w:p>
        </w:tc>
        <w:tc>
          <w:tcPr>
            <w:tcW w:w="611" w:type="dxa"/>
            <w:shd w:val="clear" w:color="auto" w:fill="BFBFBF"/>
            <w:vAlign w:val="center"/>
          </w:tcPr>
          <w:p w14:paraId="7ED9D2AD" w14:textId="77777777" w:rsidR="00A769CA" w:rsidRDefault="008D3F3B">
            <w:pPr>
              <w:spacing w:line="360" w:lineRule="auto"/>
              <w:jc w:val="center"/>
            </w:pPr>
            <w:r>
              <w:rPr>
                <w:rFonts w:ascii="MS Gothic" w:eastAsia="MS Gothic" w:hAnsi="MS Gothic" w:cs="MS Gothic"/>
              </w:rPr>
              <w:t>☐</w:t>
            </w:r>
          </w:p>
        </w:tc>
        <w:tc>
          <w:tcPr>
            <w:tcW w:w="2177" w:type="dxa"/>
            <w:shd w:val="clear" w:color="auto" w:fill="F2F2F2"/>
            <w:vAlign w:val="center"/>
          </w:tcPr>
          <w:p w14:paraId="05743D93" w14:textId="77777777" w:rsidR="00A769CA" w:rsidRDefault="008D3F3B">
            <w:pPr>
              <w:spacing w:line="360" w:lineRule="auto"/>
            </w:pPr>
            <w:r>
              <w:t>Postgraduate Research Student</w:t>
            </w:r>
          </w:p>
        </w:tc>
        <w:tc>
          <w:tcPr>
            <w:tcW w:w="733" w:type="dxa"/>
            <w:shd w:val="clear" w:color="auto" w:fill="BFBFBF"/>
            <w:vAlign w:val="center"/>
          </w:tcPr>
          <w:p w14:paraId="576AD424" w14:textId="77777777" w:rsidR="00A769CA" w:rsidRDefault="008D3F3B">
            <w:pPr>
              <w:spacing w:line="360" w:lineRule="auto"/>
              <w:jc w:val="center"/>
            </w:pPr>
            <w:r>
              <w:rPr>
                <w:rFonts w:ascii="MS Gothic" w:eastAsia="MS Gothic" w:hAnsi="MS Gothic" w:cs="MS Gothic"/>
              </w:rPr>
              <w:t>☐</w:t>
            </w:r>
          </w:p>
        </w:tc>
      </w:tr>
    </w:tbl>
    <w:p w14:paraId="571AB87E" w14:textId="77777777" w:rsidR="00A769CA" w:rsidRDefault="00A769CA">
      <w:pPr>
        <w:spacing w:line="360" w:lineRule="auto"/>
        <w:rPr>
          <w:sz w:val="16"/>
          <w:szCs w:val="16"/>
        </w:rPr>
      </w:pPr>
    </w:p>
    <w:tbl>
      <w:tblPr>
        <w:tblStyle w:val="af9"/>
        <w:tblW w:w="8454"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452"/>
        <w:gridCol w:w="2632"/>
        <w:gridCol w:w="5370"/>
      </w:tblGrid>
      <w:tr w:rsidR="00A769CA" w14:paraId="68AB7402" w14:textId="77777777">
        <w:trPr>
          <w:cantSplit/>
          <w:trHeight w:val="334"/>
        </w:trPr>
        <w:tc>
          <w:tcPr>
            <w:tcW w:w="452" w:type="dxa"/>
            <w:shd w:val="clear" w:color="auto" w:fill="F2F2F2"/>
            <w:vAlign w:val="center"/>
          </w:tcPr>
          <w:p w14:paraId="3724AC6A" w14:textId="77777777" w:rsidR="00A769CA" w:rsidRDefault="008D3F3B">
            <w:pPr>
              <w:spacing w:line="360" w:lineRule="auto"/>
            </w:pPr>
            <w:r>
              <w:t>3</w:t>
            </w:r>
          </w:p>
        </w:tc>
        <w:tc>
          <w:tcPr>
            <w:tcW w:w="2632" w:type="dxa"/>
            <w:shd w:val="clear" w:color="auto" w:fill="F2F2F2"/>
            <w:vAlign w:val="center"/>
          </w:tcPr>
          <w:p w14:paraId="14F734E7" w14:textId="77777777" w:rsidR="00A769CA" w:rsidRDefault="008D3F3B">
            <w:pPr>
              <w:spacing w:line="360" w:lineRule="auto"/>
            </w:pPr>
            <w:r>
              <w:t>Institute/Academic Discipline/Centre:</w:t>
            </w:r>
          </w:p>
        </w:tc>
        <w:tc>
          <w:tcPr>
            <w:tcW w:w="5370" w:type="dxa"/>
            <w:vAlign w:val="center"/>
          </w:tcPr>
          <w:p w14:paraId="6AB545F3" w14:textId="77777777" w:rsidR="00A769CA" w:rsidRDefault="00A769CA">
            <w:pPr>
              <w:spacing w:line="360" w:lineRule="auto"/>
            </w:pPr>
          </w:p>
          <w:p w14:paraId="474978C8" w14:textId="77777777" w:rsidR="00A769CA" w:rsidRDefault="00A769CA">
            <w:pPr>
              <w:spacing w:line="360" w:lineRule="auto"/>
            </w:pPr>
          </w:p>
        </w:tc>
      </w:tr>
      <w:tr w:rsidR="00A769CA" w14:paraId="325001B3" w14:textId="77777777">
        <w:trPr>
          <w:cantSplit/>
          <w:trHeight w:val="340"/>
        </w:trPr>
        <w:tc>
          <w:tcPr>
            <w:tcW w:w="452" w:type="dxa"/>
            <w:shd w:val="clear" w:color="auto" w:fill="F2F2F2"/>
            <w:vAlign w:val="center"/>
          </w:tcPr>
          <w:p w14:paraId="148E6B63" w14:textId="77777777" w:rsidR="00A769CA" w:rsidRDefault="008D3F3B">
            <w:pPr>
              <w:spacing w:line="360" w:lineRule="auto"/>
            </w:pPr>
            <w:r>
              <w:lastRenderedPageBreak/>
              <w:t>4</w:t>
            </w:r>
          </w:p>
        </w:tc>
        <w:tc>
          <w:tcPr>
            <w:tcW w:w="2632" w:type="dxa"/>
            <w:shd w:val="clear" w:color="auto" w:fill="F2F2F2"/>
            <w:vAlign w:val="center"/>
          </w:tcPr>
          <w:p w14:paraId="36BA75B4" w14:textId="77777777" w:rsidR="00A769CA" w:rsidRDefault="008D3F3B">
            <w:pPr>
              <w:spacing w:line="360" w:lineRule="auto"/>
            </w:pPr>
            <w:r>
              <w:t>Campus:</w:t>
            </w:r>
          </w:p>
        </w:tc>
        <w:tc>
          <w:tcPr>
            <w:tcW w:w="5370" w:type="dxa"/>
            <w:vAlign w:val="center"/>
          </w:tcPr>
          <w:p w14:paraId="2A4251D5" w14:textId="77777777" w:rsidR="00A769CA" w:rsidRDefault="00A769CA">
            <w:pPr>
              <w:spacing w:line="360" w:lineRule="auto"/>
            </w:pPr>
          </w:p>
          <w:p w14:paraId="4D4A313E" w14:textId="77777777" w:rsidR="00A769CA" w:rsidRDefault="00A769CA">
            <w:pPr>
              <w:spacing w:line="360" w:lineRule="auto"/>
            </w:pPr>
          </w:p>
        </w:tc>
      </w:tr>
      <w:tr w:rsidR="00A769CA" w14:paraId="77E9ADB4" w14:textId="77777777">
        <w:trPr>
          <w:cantSplit/>
          <w:trHeight w:val="340"/>
        </w:trPr>
        <w:tc>
          <w:tcPr>
            <w:tcW w:w="452" w:type="dxa"/>
            <w:shd w:val="clear" w:color="auto" w:fill="F2F2F2"/>
            <w:vAlign w:val="center"/>
          </w:tcPr>
          <w:p w14:paraId="425DF244" w14:textId="77777777" w:rsidR="00A769CA" w:rsidRDefault="008D3F3B">
            <w:pPr>
              <w:spacing w:line="360" w:lineRule="auto"/>
            </w:pPr>
            <w:r>
              <w:t>5</w:t>
            </w:r>
          </w:p>
        </w:tc>
        <w:tc>
          <w:tcPr>
            <w:tcW w:w="2632" w:type="dxa"/>
            <w:shd w:val="clear" w:color="auto" w:fill="F2F2F2"/>
            <w:vAlign w:val="center"/>
          </w:tcPr>
          <w:p w14:paraId="2923E40F" w14:textId="77777777" w:rsidR="00A769CA" w:rsidRDefault="008D3F3B">
            <w:pPr>
              <w:spacing w:line="360" w:lineRule="auto"/>
            </w:pPr>
            <w:r>
              <w:t>E-mail address:</w:t>
            </w:r>
          </w:p>
        </w:tc>
        <w:tc>
          <w:tcPr>
            <w:tcW w:w="5370" w:type="dxa"/>
            <w:vAlign w:val="center"/>
          </w:tcPr>
          <w:p w14:paraId="60F0E69E" w14:textId="77777777" w:rsidR="00A769CA" w:rsidRDefault="00A769CA">
            <w:pPr>
              <w:spacing w:line="360" w:lineRule="auto"/>
            </w:pPr>
          </w:p>
          <w:p w14:paraId="14CC2D11" w14:textId="77777777" w:rsidR="00A769CA" w:rsidRDefault="00A769CA">
            <w:pPr>
              <w:spacing w:line="360" w:lineRule="auto"/>
            </w:pPr>
          </w:p>
        </w:tc>
      </w:tr>
      <w:tr w:rsidR="00A769CA" w14:paraId="10C6AC9A" w14:textId="77777777">
        <w:trPr>
          <w:cantSplit/>
          <w:trHeight w:val="340"/>
        </w:trPr>
        <w:tc>
          <w:tcPr>
            <w:tcW w:w="452" w:type="dxa"/>
            <w:shd w:val="clear" w:color="auto" w:fill="F2F2F2"/>
            <w:vAlign w:val="center"/>
          </w:tcPr>
          <w:p w14:paraId="5AB9CBFF" w14:textId="77777777" w:rsidR="00A769CA" w:rsidRDefault="008D3F3B">
            <w:pPr>
              <w:spacing w:line="360" w:lineRule="auto"/>
            </w:pPr>
            <w:r>
              <w:t>6</w:t>
            </w:r>
          </w:p>
        </w:tc>
        <w:tc>
          <w:tcPr>
            <w:tcW w:w="2632" w:type="dxa"/>
            <w:shd w:val="clear" w:color="auto" w:fill="F2F2F2"/>
            <w:vAlign w:val="center"/>
          </w:tcPr>
          <w:p w14:paraId="24D3EE59" w14:textId="77777777" w:rsidR="00A769CA" w:rsidRDefault="008D3F3B">
            <w:pPr>
              <w:spacing w:line="360" w:lineRule="auto"/>
            </w:pPr>
            <w:r>
              <w:t>Contact Telephone Number:</w:t>
            </w:r>
          </w:p>
        </w:tc>
        <w:tc>
          <w:tcPr>
            <w:tcW w:w="5370" w:type="dxa"/>
            <w:vAlign w:val="center"/>
          </w:tcPr>
          <w:p w14:paraId="716B97B5" w14:textId="77777777" w:rsidR="00A769CA" w:rsidRDefault="00A769CA">
            <w:pPr>
              <w:spacing w:line="360" w:lineRule="auto"/>
            </w:pPr>
          </w:p>
          <w:p w14:paraId="47A7F09E" w14:textId="77777777" w:rsidR="00A769CA" w:rsidRDefault="00A769CA">
            <w:pPr>
              <w:spacing w:line="360" w:lineRule="auto"/>
            </w:pPr>
          </w:p>
        </w:tc>
      </w:tr>
      <w:tr w:rsidR="00A769CA" w14:paraId="7828FAFF" w14:textId="77777777">
        <w:trPr>
          <w:trHeight w:val="252"/>
        </w:trPr>
        <w:tc>
          <w:tcPr>
            <w:tcW w:w="452" w:type="dxa"/>
            <w:shd w:val="clear" w:color="auto" w:fill="BFBFBF"/>
            <w:vAlign w:val="center"/>
          </w:tcPr>
          <w:p w14:paraId="30D84333" w14:textId="77777777" w:rsidR="00A769CA" w:rsidRDefault="00A769CA">
            <w:pPr>
              <w:spacing w:line="360" w:lineRule="auto"/>
              <w:rPr>
                <w:b/>
                <w:bCs/>
                <w:i/>
                <w:iCs/>
              </w:rPr>
            </w:pPr>
          </w:p>
        </w:tc>
        <w:tc>
          <w:tcPr>
            <w:tcW w:w="8002" w:type="dxa"/>
            <w:gridSpan w:val="2"/>
            <w:shd w:val="clear" w:color="auto" w:fill="BFBFBF"/>
            <w:vAlign w:val="center"/>
          </w:tcPr>
          <w:p w14:paraId="7396B84B" w14:textId="77777777" w:rsidR="00A769CA" w:rsidRDefault="008D3F3B">
            <w:pPr>
              <w:spacing w:line="360" w:lineRule="auto"/>
            </w:pPr>
            <w:r>
              <w:rPr>
                <w:b/>
                <w:bCs/>
                <w:i/>
                <w:iCs/>
              </w:rPr>
              <w:t>For students:</w:t>
            </w:r>
          </w:p>
        </w:tc>
      </w:tr>
      <w:tr w:rsidR="00A769CA" w14:paraId="3BDD8738" w14:textId="77777777">
        <w:trPr>
          <w:trHeight w:val="513"/>
        </w:trPr>
        <w:tc>
          <w:tcPr>
            <w:tcW w:w="452" w:type="dxa"/>
            <w:shd w:val="clear" w:color="auto" w:fill="F2F2F2"/>
            <w:vAlign w:val="center"/>
          </w:tcPr>
          <w:p w14:paraId="5731FC1A" w14:textId="77777777" w:rsidR="00A769CA" w:rsidRDefault="008D3F3B">
            <w:pPr>
              <w:spacing w:line="360" w:lineRule="auto"/>
            </w:pPr>
            <w:r>
              <w:t>7</w:t>
            </w:r>
          </w:p>
        </w:tc>
        <w:tc>
          <w:tcPr>
            <w:tcW w:w="2632" w:type="dxa"/>
            <w:shd w:val="clear" w:color="auto" w:fill="F2F2F2"/>
            <w:vAlign w:val="center"/>
          </w:tcPr>
          <w:p w14:paraId="33A147D7" w14:textId="77777777" w:rsidR="00A769CA" w:rsidRDefault="008D3F3B">
            <w:pPr>
              <w:spacing w:line="360" w:lineRule="auto"/>
            </w:pPr>
            <w:r>
              <w:t>Student Number:</w:t>
            </w:r>
          </w:p>
        </w:tc>
        <w:tc>
          <w:tcPr>
            <w:tcW w:w="5370" w:type="dxa"/>
            <w:vAlign w:val="center"/>
          </w:tcPr>
          <w:p w14:paraId="4D4DC724" w14:textId="77777777" w:rsidR="00A769CA" w:rsidRDefault="00A769CA">
            <w:pPr>
              <w:spacing w:line="360" w:lineRule="auto"/>
            </w:pPr>
          </w:p>
        </w:tc>
      </w:tr>
      <w:tr w:rsidR="00A769CA" w14:paraId="6EF12B44" w14:textId="77777777">
        <w:trPr>
          <w:trHeight w:val="549"/>
        </w:trPr>
        <w:tc>
          <w:tcPr>
            <w:tcW w:w="452" w:type="dxa"/>
            <w:shd w:val="clear" w:color="auto" w:fill="F2F2F2"/>
            <w:vAlign w:val="center"/>
          </w:tcPr>
          <w:p w14:paraId="3C9952B3" w14:textId="77777777" w:rsidR="00A769CA" w:rsidRDefault="008D3F3B">
            <w:pPr>
              <w:spacing w:line="360" w:lineRule="auto"/>
            </w:pPr>
            <w:r>
              <w:t>8</w:t>
            </w:r>
          </w:p>
        </w:tc>
        <w:tc>
          <w:tcPr>
            <w:tcW w:w="2632" w:type="dxa"/>
            <w:shd w:val="clear" w:color="auto" w:fill="F2F2F2"/>
            <w:vAlign w:val="center"/>
          </w:tcPr>
          <w:p w14:paraId="61067152" w14:textId="77777777" w:rsidR="00A769CA" w:rsidRDefault="008D3F3B">
            <w:pPr>
              <w:spacing w:line="360" w:lineRule="auto"/>
            </w:pPr>
            <w:r>
              <w:t>Programme of Study:</w:t>
            </w:r>
          </w:p>
        </w:tc>
        <w:tc>
          <w:tcPr>
            <w:tcW w:w="5370" w:type="dxa"/>
            <w:vAlign w:val="center"/>
          </w:tcPr>
          <w:p w14:paraId="4F363DE4" w14:textId="77777777" w:rsidR="00A769CA" w:rsidRDefault="008D3F3B">
            <w:pPr>
              <w:spacing w:line="360" w:lineRule="auto"/>
            </w:pPr>
            <w:r>
              <w:t>Master of Business Administration (MBA)</w:t>
            </w:r>
          </w:p>
        </w:tc>
      </w:tr>
      <w:tr w:rsidR="00A769CA" w14:paraId="7B5F787E" w14:textId="77777777">
        <w:trPr>
          <w:trHeight w:val="557"/>
        </w:trPr>
        <w:tc>
          <w:tcPr>
            <w:tcW w:w="452" w:type="dxa"/>
            <w:shd w:val="clear" w:color="auto" w:fill="F2F2F2"/>
            <w:vAlign w:val="center"/>
          </w:tcPr>
          <w:p w14:paraId="3515CEEF" w14:textId="77777777" w:rsidR="00A769CA" w:rsidRDefault="008D3F3B">
            <w:pPr>
              <w:spacing w:line="360" w:lineRule="auto"/>
            </w:pPr>
            <w:r>
              <w:t>9</w:t>
            </w:r>
          </w:p>
        </w:tc>
        <w:tc>
          <w:tcPr>
            <w:tcW w:w="2632" w:type="dxa"/>
            <w:shd w:val="clear" w:color="auto" w:fill="F2F2F2"/>
            <w:vAlign w:val="center"/>
          </w:tcPr>
          <w:p w14:paraId="20B06AA3" w14:textId="77777777" w:rsidR="00A769CA" w:rsidRDefault="008D3F3B">
            <w:pPr>
              <w:spacing w:line="360" w:lineRule="auto"/>
            </w:pPr>
            <w:r>
              <w:t>Director of Studies/Supervisor:</w:t>
            </w:r>
          </w:p>
        </w:tc>
        <w:tc>
          <w:tcPr>
            <w:tcW w:w="5370" w:type="dxa"/>
            <w:vAlign w:val="center"/>
          </w:tcPr>
          <w:p w14:paraId="2AF7B174" w14:textId="77777777" w:rsidR="00A769CA" w:rsidRDefault="00A769CA">
            <w:pPr>
              <w:spacing w:line="360" w:lineRule="auto"/>
            </w:pPr>
          </w:p>
        </w:tc>
      </w:tr>
    </w:tbl>
    <w:p w14:paraId="189E734F" w14:textId="77777777" w:rsidR="00A769CA" w:rsidRDefault="00A769CA">
      <w:pPr>
        <w:spacing w:line="360" w:lineRule="auto"/>
        <w:rPr>
          <w:sz w:val="20"/>
          <w:szCs w:val="20"/>
        </w:rPr>
      </w:pPr>
    </w:p>
    <w:p w14:paraId="11BA6901" w14:textId="77777777" w:rsidR="00A769CA" w:rsidRDefault="00A769CA">
      <w:pPr>
        <w:spacing w:line="360" w:lineRule="auto"/>
        <w:jc w:val="both"/>
        <w:rPr>
          <w:b/>
          <w:bCs/>
        </w:rPr>
      </w:pPr>
    </w:p>
    <w:p w14:paraId="375B13E5" w14:textId="77777777" w:rsidR="00A769CA" w:rsidRDefault="008D3F3B">
      <w:pPr>
        <w:spacing w:line="360" w:lineRule="auto"/>
        <w:rPr>
          <w:b/>
          <w:bCs/>
        </w:rPr>
      </w:pPr>
      <w:r>
        <w:br w:type="page"/>
      </w:r>
    </w:p>
    <w:p w14:paraId="3C170B70" w14:textId="77777777" w:rsidR="00A769CA" w:rsidRDefault="008D3F3B">
      <w:pPr>
        <w:spacing w:after="240" w:line="360" w:lineRule="auto"/>
        <w:jc w:val="both"/>
        <w:rPr>
          <w:b/>
          <w:bCs/>
        </w:rPr>
      </w:pPr>
      <w:r>
        <w:rPr>
          <w:b/>
          <w:bCs/>
        </w:rPr>
        <w:lastRenderedPageBreak/>
        <w:t>SECTION B: Approval for Research Activity</w:t>
      </w:r>
    </w:p>
    <w:tbl>
      <w:tblPr>
        <w:tblStyle w:val="afa"/>
        <w:tblW w:w="875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8"/>
        <w:gridCol w:w="3080"/>
        <w:gridCol w:w="2127"/>
        <w:gridCol w:w="837"/>
        <w:gridCol w:w="703"/>
        <w:gridCol w:w="837"/>
        <w:gridCol w:w="703"/>
      </w:tblGrid>
      <w:tr w:rsidR="00A769CA" w14:paraId="0C9CDD40" w14:textId="77777777">
        <w:trPr>
          <w:trHeight w:val="867"/>
        </w:trPr>
        <w:tc>
          <w:tcPr>
            <w:tcW w:w="468" w:type="dxa"/>
            <w:shd w:val="clear" w:color="auto" w:fill="F2F2F2"/>
          </w:tcPr>
          <w:p w14:paraId="5B1E99F5" w14:textId="77777777" w:rsidR="00A769CA" w:rsidRDefault="008D3F3B">
            <w:pPr>
              <w:spacing w:line="360" w:lineRule="auto"/>
            </w:pPr>
            <w:r>
              <w:t>1</w:t>
            </w:r>
          </w:p>
        </w:tc>
        <w:tc>
          <w:tcPr>
            <w:tcW w:w="5207" w:type="dxa"/>
            <w:gridSpan w:val="2"/>
            <w:shd w:val="clear" w:color="auto" w:fill="F2F2F2"/>
            <w:vAlign w:val="center"/>
          </w:tcPr>
          <w:p w14:paraId="400536C7" w14:textId="77777777" w:rsidR="00A769CA" w:rsidRDefault="008D3F3B">
            <w:pPr>
              <w:spacing w:line="360" w:lineRule="auto"/>
            </w:pPr>
            <w:r>
              <w:t>Has the research activity received approval in principle?</w:t>
            </w:r>
          </w:p>
          <w:p w14:paraId="231343EA" w14:textId="77777777" w:rsidR="00A769CA" w:rsidRDefault="008D3F3B">
            <w:pPr>
              <w:spacing w:line="360" w:lineRule="auto"/>
            </w:pPr>
            <w:r>
              <w:t>(please check the Guidance Notes as to the appropriate approval process for different levels of research by different categories of individual)</w:t>
            </w:r>
          </w:p>
        </w:tc>
        <w:tc>
          <w:tcPr>
            <w:tcW w:w="837" w:type="dxa"/>
            <w:shd w:val="clear" w:color="auto" w:fill="F2F2F2"/>
            <w:vAlign w:val="center"/>
          </w:tcPr>
          <w:p w14:paraId="352136C2" w14:textId="77777777" w:rsidR="00A769CA" w:rsidRDefault="008D3F3B">
            <w:pPr>
              <w:spacing w:line="360" w:lineRule="auto"/>
              <w:jc w:val="center"/>
              <w:rPr>
                <w:b/>
                <w:bCs/>
              </w:rPr>
            </w:pPr>
            <w:r>
              <w:rPr>
                <w:b/>
                <w:bCs/>
              </w:rPr>
              <w:t>YES</w:t>
            </w:r>
          </w:p>
        </w:tc>
        <w:tc>
          <w:tcPr>
            <w:tcW w:w="703" w:type="dxa"/>
            <w:shd w:val="clear" w:color="auto" w:fill="BFBFBF"/>
            <w:vAlign w:val="center"/>
          </w:tcPr>
          <w:p w14:paraId="563E86A5" w14:textId="77777777" w:rsidR="00A769CA" w:rsidRDefault="008D3F3B">
            <w:pPr>
              <w:spacing w:line="360" w:lineRule="auto"/>
              <w:jc w:val="center"/>
              <w:rPr>
                <w:b/>
                <w:bCs/>
              </w:rPr>
            </w:pPr>
            <w:sdt>
              <w:sdtPr>
                <w:tag w:val="goog_rdk_0"/>
                <w:id w:val="-412376467"/>
              </w:sdtPr>
              <w:sdtEndPr/>
              <w:sdtContent>
                <w:r>
                  <w:rPr>
                    <w:rFonts w:ascii="Arial Unicode MS" w:eastAsia="Arial Unicode MS" w:hAnsi="Arial Unicode MS" w:cs="Arial Unicode MS"/>
                  </w:rPr>
                  <w:t>☑</w:t>
                </w:r>
              </w:sdtContent>
            </w:sdt>
          </w:p>
        </w:tc>
        <w:tc>
          <w:tcPr>
            <w:tcW w:w="837" w:type="dxa"/>
            <w:shd w:val="clear" w:color="auto" w:fill="F2F2F2"/>
            <w:vAlign w:val="center"/>
          </w:tcPr>
          <w:p w14:paraId="37C03D6F" w14:textId="77777777" w:rsidR="00A769CA" w:rsidRDefault="008D3F3B">
            <w:pPr>
              <w:spacing w:line="360" w:lineRule="auto"/>
              <w:jc w:val="center"/>
              <w:rPr>
                <w:b/>
                <w:bCs/>
              </w:rPr>
            </w:pPr>
            <w:r>
              <w:rPr>
                <w:b/>
                <w:bCs/>
              </w:rPr>
              <w:t>NO</w:t>
            </w:r>
          </w:p>
        </w:tc>
        <w:tc>
          <w:tcPr>
            <w:tcW w:w="703" w:type="dxa"/>
            <w:shd w:val="clear" w:color="auto" w:fill="BFBFBF"/>
            <w:vAlign w:val="center"/>
          </w:tcPr>
          <w:p w14:paraId="6501AED4" w14:textId="77777777" w:rsidR="00A769CA" w:rsidRDefault="008D3F3B">
            <w:pPr>
              <w:spacing w:line="360" w:lineRule="auto"/>
              <w:jc w:val="center"/>
              <w:rPr>
                <w:b/>
                <w:bCs/>
              </w:rPr>
            </w:pPr>
            <w:sdt>
              <w:sdtPr>
                <w:tag w:val="goog_rdk_1"/>
                <w:id w:val="997537757"/>
              </w:sdtPr>
              <w:sdtEndPr/>
              <w:sdtContent>
                <w:r>
                  <w:rPr>
                    <w:rFonts w:ascii="Arial Unicode MS" w:eastAsia="Arial Unicode MS" w:hAnsi="Arial Unicode MS" w:cs="Arial Unicode MS"/>
                  </w:rPr>
                  <w:t>☐</w:t>
                </w:r>
              </w:sdtContent>
            </w:sdt>
          </w:p>
        </w:tc>
      </w:tr>
      <w:tr w:rsidR="00A769CA" w14:paraId="7D434BB0" w14:textId="77777777">
        <w:trPr>
          <w:trHeight w:val="216"/>
        </w:trPr>
        <w:tc>
          <w:tcPr>
            <w:tcW w:w="468" w:type="dxa"/>
            <w:shd w:val="clear" w:color="auto" w:fill="F2F2F2"/>
          </w:tcPr>
          <w:p w14:paraId="78E098BE" w14:textId="77777777" w:rsidR="00A769CA" w:rsidRDefault="00A769CA">
            <w:pPr>
              <w:spacing w:line="360" w:lineRule="auto"/>
              <w:rPr>
                <w:b/>
                <w:bCs/>
              </w:rPr>
            </w:pPr>
          </w:p>
        </w:tc>
        <w:tc>
          <w:tcPr>
            <w:tcW w:w="6747" w:type="dxa"/>
            <w:gridSpan w:val="4"/>
            <w:shd w:val="clear" w:color="auto" w:fill="F2F2F2"/>
          </w:tcPr>
          <w:p w14:paraId="5B50AF93" w14:textId="77777777" w:rsidR="00A769CA" w:rsidRDefault="00A769CA">
            <w:pPr>
              <w:spacing w:line="360" w:lineRule="auto"/>
              <w:rPr>
                <w:b/>
                <w:bCs/>
              </w:rPr>
            </w:pPr>
          </w:p>
        </w:tc>
        <w:tc>
          <w:tcPr>
            <w:tcW w:w="1540" w:type="dxa"/>
            <w:gridSpan w:val="2"/>
            <w:shd w:val="clear" w:color="auto" w:fill="F2F2F2"/>
          </w:tcPr>
          <w:p w14:paraId="416C92AA" w14:textId="77777777" w:rsidR="00A769CA" w:rsidRDefault="008D3F3B">
            <w:pPr>
              <w:spacing w:line="360" w:lineRule="auto"/>
              <w:jc w:val="center"/>
              <w:rPr>
                <w:b/>
                <w:bCs/>
                <w:i/>
                <w:iCs/>
              </w:rPr>
            </w:pPr>
            <w:r>
              <w:rPr>
                <w:b/>
                <w:bCs/>
                <w:i/>
                <w:iCs/>
              </w:rPr>
              <w:t>Date</w:t>
            </w:r>
          </w:p>
        </w:tc>
      </w:tr>
      <w:tr w:rsidR="00A769CA" w14:paraId="4E31EEA4" w14:textId="77777777">
        <w:trPr>
          <w:trHeight w:val="376"/>
        </w:trPr>
        <w:tc>
          <w:tcPr>
            <w:tcW w:w="468" w:type="dxa"/>
            <w:vMerge w:val="restart"/>
            <w:shd w:val="clear" w:color="auto" w:fill="F2F2F2"/>
          </w:tcPr>
          <w:p w14:paraId="19BB872A" w14:textId="77777777" w:rsidR="00A769CA" w:rsidRDefault="008D3F3B">
            <w:pPr>
              <w:spacing w:line="360" w:lineRule="auto"/>
              <w:jc w:val="both"/>
            </w:pPr>
            <w:r>
              <w:t>2</w:t>
            </w:r>
          </w:p>
        </w:tc>
        <w:tc>
          <w:tcPr>
            <w:tcW w:w="3080" w:type="dxa"/>
            <w:vMerge w:val="restart"/>
            <w:shd w:val="clear" w:color="auto" w:fill="F2F2F2"/>
          </w:tcPr>
          <w:p w14:paraId="4A3D2335" w14:textId="77777777" w:rsidR="00A769CA" w:rsidRDefault="008D3F3B">
            <w:pPr>
              <w:spacing w:line="360" w:lineRule="auto"/>
              <w:jc w:val="both"/>
            </w:pPr>
            <w:r>
              <w:t xml:space="preserve">If </w:t>
            </w:r>
            <w:proofErr w:type="gramStart"/>
            <w:r>
              <w:t>Yes</w:t>
            </w:r>
            <w:proofErr w:type="gramEnd"/>
            <w:r>
              <w:t>, please indicate source of approval (and date where known):</w:t>
            </w:r>
            <w:r>
              <w:rPr>
                <w:i/>
                <w:iCs/>
                <w:color w:val="FF0000"/>
                <w:sz w:val="20"/>
                <w:szCs w:val="20"/>
              </w:rPr>
              <w:t xml:space="preserve"> </w:t>
            </w:r>
            <w:r>
              <w:rPr>
                <w:b/>
                <w:bCs/>
                <w:i/>
                <w:iCs/>
                <w:sz w:val="20"/>
                <w:szCs w:val="20"/>
              </w:rPr>
              <w:t>Approval in principle must be obtained from the relevant source prior to seeking ethical approval</w:t>
            </w:r>
          </w:p>
        </w:tc>
        <w:tc>
          <w:tcPr>
            <w:tcW w:w="2964" w:type="dxa"/>
            <w:gridSpan w:val="2"/>
            <w:shd w:val="clear" w:color="auto" w:fill="F2F2F2"/>
            <w:vAlign w:val="center"/>
          </w:tcPr>
          <w:p w14:paraId="267C9700" w14:textId="77777777" w:rsidR="00A769CA" w:rsidRDefault="008D3F3B">
            <w:pPr>
              <w:spacing w:line="360" w:lineRule="auto"/>
            </w:pPr>
            <w:r>
              <w:t>Research Degrees Committee</w:t>
            </w:r>
          </w:p>
        </w:tc>
        <w:tc>
          <w:tcPr>
            <w:tcW w:w="703" w:type="dxa"/>
            <w:shd w:val="clear" w:color="auto" w:fill="BFBFBF"/>
            <w:vAlign w:val="center"/>
          </w:tcPr>
          <w:p w14:paraId="14B9A050" w14:textId="77777777" w:rsidR="00A769CA" w:rsidRDefault="008D3F3B">
            <w:pPr>
              <w:spacing w:line="360" w:lineRule="auto"/>
              <w:jc w:val="center"/>
            </w:pPr>
            <w:r>
              <w:rPr>
                <w:rFonts w:ascii="MS Gothic" w:eastAsia="MS Gothic" w:hAnsi="MS Gothic" w:cs="MS Gothic"/>
              </w:rPr>
              <w:t>☐</w:t>
            </w:r>
          </w:p>
        </w:tc>
        <w:tc>
          <w:tcPr>
            <w:tcW w:w="1540" w:type="dxa"/>
            <w:gridSpan w:val="2"/>
            <w:vAlign w:val="center"/>
          </w:tcPr>
          <w:p w14:paraId="3047D137" w14:textId="77777777" w:rsidR="00A769CA" w:rsidRDefault="00A769CA">
            <w:pPr>
              <w:spacing w:line="360" w:lineRule="auto"/>
              <w:jc w:val="center"/>
              <w:rPr>
                <w:b/>
                <w:bCs/>
              </w:rPr>
            </w:pPr>
          </w:p>
        </w:tc>
      </w:tr>
      <w:tr w:rsidR="00A769CA" w14:paraId="7F08433C" w14:textId="77777777">
        <w:trPr>
          <w:trHeight w:val="357"/>
        </w:trPr>
        <w:tc>
          <w:tcPr>
            <w:tcW w:w="468" w:type="dxa"/>
            <w:vMerge/>
            <w:shd w:val="clear" w:color="auto" w:fill="F2F2F2"/>
          </w:tcPr>
          <w:p w14:paraId="6C9CE43D" w14:textId="77777777" w:rsidR="00A769CA" w:rsidRDefault="00A769CA">
            <w:pPr>
              <w:widowControl w:val="0"/>
              <w:pBdr>
                <w:top w:val="nil"/>
                <w:left w:val="nil"/>
                <w:bottom w:val="nil"/>
                <w:right w:val="nil"/>
                <w:between w:val="nil"/>
              </w:pBdr>
              <w:spacing w:line="360" w:lineRule="auto"/>
              <w:rPr>
                <w:b/>
                <w:bCs/>
              </w:rPr>
            </w:pPr>
          </w:p>
        </w:tc>
        <w:tc>
          <w:tcPr>
            <w:tcW w:w="3080" w:type="dxa"/>
            <w:vMerge/>
            <w:shd w:val="clear" w:color="auto" w:fill="F2F2F2"/>
          </w:tcPr>
          <w:p w14:paraId="59ECF01E" w14:textId="77777777" w:rsidR="00A769CA" w:rsidRDefault="00A769CA">
            <w:pPr>
              <w:widowControl w:val="0"/>
              <w:pBdr>
                <w:top w:val="nil"/>
                <w:left w:val="nil"/>
                <w:bottom w:val="nil"/>
                <w:right w:val="nil"/>
                <w:between w:val="nil"/>
              </w:pBdr>
              <w:spacing w:line="360" w:lineRule="auto"/>
              <w:rPr>
                <w:b/>
                <w:bCs/>
              </w:rPr>
            </w:pPr>
          </w:p>
        </w:tc>
        <w:tc>
          <w:tcPr>
            <w:tcW w:w="2964" w:type="dxa"/>
            <w:gridSpan w:val="2"/>
            <w:shd w:val="clear" w:color="auto" w:fill="F2F2F2"/>
            <w:vAlign w:val="center"/>
          </w:tcPr>
          <w:p w14:paraId="71C4A7C1" w14:textId="77777777" w:rsidR="00A769CA" w:rsidRDefault="008D3F3B">
            <w:pPr>
              <w:spacing w:line="360" w:lineRule="auto"/>
            </w:pPr>
            <w:r>
              <w:t>Institute Research Committee</w:t>
            </w:r>
          </w:p>
        </w:tc>
        <w:tc>
          <w:tcPr>
            <w:tcW w:w="703" w:type="dxa"/>
            <w:shd w:val="clear" w:color="auto" w:fill="BFBFBF"/>
            <w:vAlign w:val="center"/>
          </w:tcPr>
          <w:p w14:paraId="206496CB" w14:textId="77777777" w:rsidR="00A769CA" w:rsidRDefault="008D3F3B">
            <w:pPr>
              <w:spacing w:line="360" w:lineRule="auto"/>
              <w:jc w:val="center"/>
            </w:pPr>
            <w:r>
              <w:rPr>
                <w:rFonts w:ascii="MS Gothic" w:eastAsia="MS Gothic" w:hAnsi="MS Gothic" w:cs="MS Gothic"/>
              </w:rPr>
              <w:t>☐</w:t>
            </w:r>
          </w:p>
        </w:tc>
        <w:tc>
          <w:tcPr>
            <w:tcW w:w="1540" w:type="dxa"/>
            <w:gridSpan w:val="2"/>
            <w:vAlign w:val="center"/>
          </w:tcPr>
          <w:p w14:paraId="4DF9B101" w14:textId="77777777" w:rsidR="00A769CA" w:rsidRDefault="00A769CA">
            <w:pPr>
              <w:spacing w:line="360" w:lineRule="auto"/>
              <w:jc w:val="center"/>
              <w:rPr>
                <w:b/>
                <w:bCs/>
              </w:rPr>
            </w:pPr>
          </w:p>
        </w:tc>
      </w:tr>
      <w:tr w:rsidR="00A769CA" w14:paraId="1353D22D" w14:textId="77777777">
        <w:trPr>
          <w:trHeight w:val="123"/>
        </w:trPr>
        <w:tc>
          <w:tcPr>
            <w:tcW w:w="468" w:type="dxa"/>
            <w:vMerge/>
            <w:shd w:val="clear" w:color="auto" w:fill="F2F2F2"/>
          </w:tcPr>
          <w:p w14:paraId="7B0846C2" w14:textId="77777777" w:rsidR="00A769CA" w:rsidRDefault="00A769CA">
            <w:pPr>
              <w:widowControl w:val="0"/>
              <w:pBdr>
                <w:top w:val="nil"/>
                <w:left w:val="nil"/>
                <w:bottom w:val="nil"/>
                <w:right w:val="nil"/>
                <w:between w:val="nil"/>
              </w:pBdr>
              <w:spacing w:line="360" w:lineRule="auto"/>
              <w:rPr>
                <w:b/>
                <w:bCs/>
              </w:rPr>
            </w:pPr>
          </w:p>
        </w:tc>
        <w:tc>
          <w:tcPr>
            <w:tcW w:w="3080" w:type="dxa"/>
            <w:vMerge/>
            <w:shd w:val="clear" w:color="auto" w:fill="F2F2F2"/>
          </w:tcPr>
          <w:p w14:paraId="078F8B53" w14:textId="77777777" w:rsidR="00A769CA" w:rsidRDefault="00A769CA">
            <w:pPr>
              <w:widowControl w:val="0"/>
              <w:pBdr>
                <w:top w:val="nil"/>
                <w:left w:val="nil"/>
                <w:bottom w:val="nil"/>
                <w:right w:val="nil"/>
                <w:between w:val="nil"/>
              </w:pBdr>
              <w:spacing w:line="360" w:lineRule="auto"/>
              <w:rPr>
                <w:b/>
                <w:bCs/>
              </w:rPr>
            </w:pPr>
          </w:p>
        </w:tc>
        <w:tc>
          <w:tcPr>
            <w:tcW w:w="2964" w:type="dxa"/>
            <w:gridSpan w:val="2"/>
            <w:shd w:val="clear" w:color="auto" w:fill="F2F2F2"/>
            <w:vAlign w:val="center"/>
          </w:tcPr>
          <w:p w14:paraId="28E09298" w14:textId="77777777" w:rsidR="00A769CA" w:rsidRDefault="008D3F3B">
            <w:pPr>
              <w:spacing w:line="360" w:lineRule="auto"/>
            </w:pPr>
            <w:r>
              <w:t xml:space="preserve">Programme Supervisor / Module </w:t>
            </w:r>
            <w:proofErr w:type="spellStart"/>
            <w:r>
              <w:t>TutorT</w:t>
            </w:r>
            <w:proofErr w:type="spellEnd"/>
          </w:p>
          <w:p w14:paraId="4A64A7D6" w14:textId="77777777" w:rsidR="00A769CA" w:rsidRDefault="00A769CA">
            <w:pPr>
              <w:spacing w:line="360" w:lineRule="auto"/>
            </w:pPr>
          </w:p>
        </w:tc>
        <w:tc>
          <w:tcPr>
            <w:tcW w:w="703" w:type="dxa"/>
            <w:shd w:val="clear" w:color="auto" w:fill="BFBFBF"/>
            <w:vAlign w:val="center"/>
          </w:tcPr>
          <w:p w14:paraId="128795AF" w14:textId="77777777" w:rsidR="00A769CA" w:rsidRDefault="008D3F3B">
            <w:pPr>
              <w:spacing w:line="360" w:lineRule="auto"/>
              <w:jc w:val="center"/>
            </w:pPr>
            <w:r>
              <w:rPr>
                <w:rFonts w:ascii="MS Gothic" w:eastAsia="MS Gothic" w:hAnsi="MS Gothic" w:cs="MS Gothic"/>
              </w:rPr>
              <w:t>☑</w:t>
            </w:r>
          </w:p>
        </w:tc>
        <w:tc>
          <w:tcPr>
            <w:tcW w:w="1540" w:type="dxa"/>
            <w:gridSpan w:val="2"/>
            <w:vAlign w:val="center"/>
          </w:tcPr>
          <w:p w14:paraId="7686255A" w14:textId="77777777" w:rsidR="00A769CA" w:rsidRDefault="00A769CA">
            <w:pPr>
              <w:spacing w:line="360" w:lineRule="auto"/>
              <w:jc w:val="center"/>
              <w:rPr>
                <w:b/>
                <w:bCs/>
              </w:rPr>
            </w:pPr>
          </w:p>
        </w:tc>
      </w:tr>
    </w:tbl>
    <w:p w14:paraId="11B2D228" w14:textId="77777777" w:rsidR="00A769CA" w:rsidRDefault="00A769CA">
      <w:pPr>
        <w:spacing w:after="240" w:line="360" w:lineRule="auto"/>
        <w:jc w:val="both"/>
        <w:rPr>
          <w:sz w:val="20"/>
          <w:szCs w:val="20"/>
        </w:rPr>
      </w:pPr>
    </w:p>
    <w:p w14:paraId="1434F8CA" w14:textId="77777777" w:rsidR="00A769CA" w:rsidRDefault="008D3F3B">
      <w:pPr>
        <w:spacing w:after="240" w:line="360" w:lineRule="auto"/>
        <w:jc w:val="both"/>
        <w:rPr>
          <w:b/>
          <w:bCs/>
        </w:rPr>
      </w:pPr>
      <w:r>
        <w:rPr>
          <w:b/>
          <w:bCs/>
        </w:rPr>
        <w:t>SECTION C:  Internal and External Ethical Guidance Materials</w:t>
      </w:r>
    </w:p>
    <w:tbl>
      <w:tblPr>
        <w:tblStyle w:val="afb"/>
        <w:tblW w:w="926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95"/>
        <w:gridCol w:w="7765"/>
        <w:gridCol w:w="1008"/>
      </w:tblGrid>
      <w:tr w:rsidR="00A769CA" w14:paraId="5FEC3EEB" w14:textId="77777777">
        <w:trPr>
          <w:trHeight w:val="1193"/>
        </w:trPr>
        <w:tc>
          <w:tcPr>
            <w:tcW w:w="495" w:type="dxa"/>
            <w:shd w:val="clear" w:color="auto" w:fill="F2F2F2"/>
          </w:tcPr>
          <w:p w14:paraId="4F390FF5" w14:textId="77777777" w:rsidR="00A769CA" w:rsidRDefault="00A769CA">
            <w:pPr>
              <w:spacing w:line="360" w:lineRule="auto"/>
            </w:pPr>
          </w:p>
        </w:tc>
        <w:tc>
          <w:tcPr>
            <w:tcW w:w="8773" w:type="dxa"/>
            <w:gridSpan w:val="2"/>
            <w:shd w:val="clear" w:color="auto" w:fill="F2F2F2"/>
          </w:tcPr>
          <w:p w14:paraId="5B261B25" w14:textId="77777777" w:rsidR="00A769CA" w:rsidRDefault="008D3F3B">
            <w:pPr>
              <w:spacing w:line="360" w:lineRule="auto"/>
            </w:pPr>
            <w:r>
              <w:t xml:space="preserve">Please list the core ethical guidance documents that have been referred to during the completion of this form (including any discipline-specific codes of research ethics, location-specific codes of research ethics, </w:t>
            </w:r>
            <w:proofErr w:type="gramStart"/>
            <w:r>
              <w:t>and also</w:t>
            </w:r>
            <w:proofErr w:type="gramEnd"/>
            <w:r>
              <w:t xml:space="preserve"> any specific ethical guidance relating to the proposed methodology).  Please tick to confirm that your research proposal adheres to these codes and guidelines. You may add rows to this table if needed.</w:t>
            </w:r>
          </w:p>
        </w:tc>
      </w:tr>
      <w:tr w:rsidR="00A769CA" w14:paraId="136B6BE1" w14:textId="77777777">
        <w:trPr>
          <w:trHeight w:val="336"/>
        </w:trPr>
        <w:tc>
          <w:tcPr>
            <w:tcW w:w="495" w:type="dxa"/>
            <w:vAlign w:val="center"/>
          </w:tcPr>
          <w:p w14:paraId="0536AD78" w14:textId="77777777" w:rsidR="00A769CA" w:rsidRDefault="008D3F3B">
            <w:pPr>
              <w:spacing w:line="360" w:lineRule="auto"/>
            </w:pPr>
            <w:r>
              <w:t>1</w:t>
            </w:r>
          </w:p>
        </w:tc>
        <w:tc>
          <w:tcPr>
            <w:tcW w:w="7765" w:type="dxa"/>
            <w:vAlign w:val="center"/>
          </w:tcPr>
          <w:p w14:paraId="1DA97DE2" w14:textId="77777777" w:rsidR="00A769CA" w:rsidRDefault="008D3F3B">
            <w:pPr>
              <w:spacing w:line="360" w:lineRule="auto"/>
              <w:rPr>
                <w:b/>
                <w:bCs/>
              </w:rPr>
            </w:pPr>
            <w:hyperlink r:id="rId199">
              <w:r>
                <w:rPr>
                  <w:b/>
                  <w:bCs/>
                </w:rPr>
                <w:t>UWTSD Research Ethics &amp; Integrity Code of Practice</w:t>
              </w:r>
            </w:hyperlink>
          </w:p>
        </w:tc>
        <w:tc>
          <w:tcPr>
            <w:tcW w:w="1008" w:type="dxa"/>
            <w:shd w:val="clear" w:color="auto" w:fill="BFBFBF"/>
            <w:vAlign w:val="center"/>
          </w:tcPr>
          <w:p w14:paraId="0A4EFDCE" w14:textId="77777777" w:rsidR="00A769CA" w:rsidRDefault="008D3F3B">
            <w:pPr>
              <w:spacing w:line="360" w:lineRule="auto"/>
              <w:jc w:val="center"/>
            </w:pPr>
            <w:r>
              <w:rPr>
                <w:rFonts w:ascii="MS Gothic" w:eastAsia="MS Gothic" w:hAnsi="MS Gothic" w:cs="MS Gothic"/>
              </w:rPr>
              <w:t>☑</w:t>
            </w:r>
          </w:p>
        </w:tc>
      </w:tr>
      <w:tr w:rsidR="00A769CA" w14:paraId="7643DCFF" w14:textId="77777777">
        <w:trPr>
          <w:trHeight w:val="394"/>
        </w:trPr>
        <w:tc>
          <w:tcPr>
            <w:tcW w:w="495" w:type="dxa"/>
            <w:vAlign w:val="center"/>
          </w:tcPr>
          <w:p w14:paraId="1B165861" w14:textId="77777777" w:rsidR="00A769CA" w:rsidRDefault="008D3F3B">
            <w:pPr>
              <w:spacing w:line="360" w:lineRule="auto"/>
            </w:pPr>
            <w:r>
              <w:t>2</w:t>
            </w:r>
          </w:p>
        </w:tc>
        <w:tc>
          <w:tcPr>
            <w:tcW w:w="7765" w:type="dxa"/>
            <w:vAlign w:val="center"/>
          </w:tcPr>
          <w:p w14:paraId="43493936" w14:textId="77777777" w:rsidR="00A769CA" w:rsidRDefault="008D3F3B">
            <w:pPr>
              <w:spacing w:line="360" w:lineRule="auto"/>
              <w:rPr>
                <w:b/>
                <w:bCs/>
                <w:color w:val="FF0000"/>
              </w:rPr>
            </w:pPr>
            <w:r>
              <w:rPr>
                <w:b/>
                <w:bCs/>
              </w:rPr>
              <w:t>UWTSD Research Data Management Policy</w:t>
            </w:r>
          </w:p>
        </w:tc>
        <w:tc>
          <w:tcPr>
            <w:tcW w:w="1008" w:type="dxa"/>
            <w:shd w:val="clear" w:color="auto" w:fill="BFBFBF"/>
            <w:vAlign w:val="center"/>
          </w:tcPr>
          <w:p w14:paraId="6B249A64" w14:textId="77777777" w:rsidR="00A769CA" w:rsidRDefault="008D3F3B">
            <w:pPr>
              <w:spacing w:line="360" w:lineRule="auto"/>
              <w:jc w:val="center"/>
              <w:rPr>
                <w:i/>
                <w:iCs/>
              </w:rPr>
            </w:pPr>
            <w:r>
              <w:rPr>
                <w:rFonts w:ascii="MS Gothic" w:eastAsia="MS Gothic" w:hAnsi="MS Gothic" w:cs="MS Gothic"/>
              </w:rPr>
              <w:t>☑</w:t>
            </w:r>
          </w:p>
        </w:tc>
      </w:tr>
      <w:tr w:rsidR="00A769CA" w14:paraId="3A50A17A" w14:textId="77777777">
        <w:trPr>
          <w:trHeight w:val="387"/>
        </w:trPr>
        <w:tc>
          <w:tcPr>
            <w:tcW w:w="495" w:type="dxa"/>
            <w:vAlign w:val="center"/>
          </w:tcPr>
          <w:p w14:paraId="2482076B" w14:textId="77777777" w:rsidR="00A769CA" w:rsidRDefault="008D3F3B">
            <w:pPr>
              <w:spacing w:line="360" w:lineRule="auto"/>
            </w:pPr>
            <w:r>
              <w:t>3</w:t>
            </w:r>
          </w:p>
        </w:tc>
        <w:tc>
          <w:tcPr>
            <w:tcW w:w="7765" w:type="dxa"/>
            <w:vAlign w:val="center"/>
          </w:tcPr>
          <w:p w14:paraId="2B635330" w14:textId="77777777" w:rsidR="00A769CA" w:rsidRDefault="008D3F3B">
            <w:pPr>
              <w:spacing w:line="360" w:lineRule="auto"/>
              <w:rPr>
                <w:i/>
                <w:iCs/>
              </w:rPr>
            </w:pPr>
            <w:r>
              <w:rPr>
                <w:i/>
                <w:iCs/>
              </w:rPr>
              <w:t>[List any other relevant documents here]</w:t>
            </w:r>
          </w:p>
        </w:tc>
        <w:tc>
          <w:tcPr>
            <w:tcW w:w="1008" w:type="dxa"/>
            <w:shd w:val="clear" w:color="auto" w:fill="BFBFBF"/>
            <w:vAlign w:val="center"/>
          </w:tcPr>
          <w:p w14:paraId="1C7B1E93" w14:textId="77777777" w:rsidR="00A769CA" w:rsidRDefault="008D3F3B">
            <w:pPr>
              <w:spacing w:line="360" w:lineRule="auto"/>
              <w:jc w:val="center"/>
              <w:rPr>
                <w:i/>
                <w:iCs/>
              </w:rPr>
            </w:pPr>
            <w:r>
              <w:rPr>
                <w:rFonts w:ascii="MS Gothic" w:eastAsia="MS Gothic" w:hAnsi="MS Gothic" w:cs="MS Gothic"/>
              </w:rPr>
              <w:t>☐</w:t>
            </w:r>
          </w:p>
        </w:tc>
      </w:tr>
    </w:tbl>
    <w:p w14:paraId="424FA860" w14:textId="77777777" w:rsidR="00A769CA" w:rsidRDefault="00A769CA">
      <w:pPr>
        <w:spacing w:after="240" w:line="360" w:lineRule="auto"/>
        <w:jc w:val="both"/>
        <w:rPr>
          <w:b/>
          <w:bCs/>
        </w:rPr>
      </w:pPr>
    </w:p>
    <w:p w14:paraId="04FB49AA" w14:textId="77777777" w:rsidR="00A769CA" w:rsidRDefault="008D3F3B">
      <w:pPr>
        <w:spacing w:line="360" w:lineRule="auto"/>
        <w:jc w:val="both"/>
        <w:rPr>
          <w:b/>
          <w:bCs/>
        </w:rPr>
      </w:pPr>
      <w:r>
        <w:rPr>
          <w:b/>
          <w:bCs/>
        </w:rPr>
        <w:t>SECTION D: External Collaborative Research Activity (Not Applicable)</w:t>
      </w:r>
    </w:p>
    <w:p w14:paraId="3745A99E" w14:textId="77777777" w:rsidR="00A769CA" w:rsidRDefault="008D3F3B">
      <w:pPr>
        <w:spacing w:after="240" w:line="360" w:lineRule="auto"/>
        <w:jc w:val="both"/>
      </w:pPr>
      <w:r>
        <w:t xml:space="preserve">If there are external </w:t>
      </w:r>
      <w:proofErr w:type="gramStart"/>
      <w:r>
        <w:t>collaborators</w:t>
      </w:r>
      <w:proofErr w:type="gramEnd"/>
      <w:r>
        <w:t xml:space="preserve"> then you should gain consent from the contact persons to share their personal data with the university. If there are no external </w:t>
      </w:r>
      <w:proofErr w:type="gramStart"/>
      <w:r>
        <w:t>collaborators</w:t>
      </w:r>
      <w:proofErr w:type="gramEnd"/>
      <w:r>
        <w:t xml:space="preserve"> then leave this section blank and continue to section E.</w:t>
      </w:r>
    </w:p>
    <w:tbl>
      <w:tblPr>
        <w:tblStyle w:val="afc"/>
        <w:tblW w:w="724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87"/>
        <w:gridCol w:w="2651"/>
        <w:gridCol w:w="1666"/>
        <w:gridCol w:w="694"/>
        <w:gridCol w:w="583"/>
        <w:gridCol w:w="681"/>
        <w:gridCol w:w="584"/>
      </w:tblGrid>
      <w:tr w:rsidR="00A769CA" w14:paraId="129DF850" w14:textId="77777777">
        <w:trPr>
          <w:trHeight w:val="211"/>
        </w:trPr>
        <w:tc>
          <w:tcPr>
            <w:tcW w:w="388" w:type="dxa"/>
            <w:shd w:val="clear" w:color="auto" w:fill="F2F2F2"/>
          </w:tcPr>
          <w:p w14:paraId="0688E858" w14:textId="77777777" w:rsidR="00A769CA" w:rsidRDefault="008D3F3B">
            <w:pPr>
              <w:spacing w:line="360" w:lineRule="auto"/>
            </w:pPr>
            <w:r>
              <w:t>1</w:t>
            </w:r>
          </w:p>
        </w:tc>
        <w:tc>
          <w:tcPr>
            <w:tcW w:w="2651" w:type="dxa"/>
            <w:shd w:val="clear" w:color="auto" w:fill="F2F2F2"/>
          </w:tcPr>
          <w:p w14:paraId="4D46388E" w14:textId="77777777" w:rsidR="00A769CA" w:rsidRDefault="008D3F3B">
            <w:pPr>
              <w:spacing w:line="360" w:lineRule="auto"/>
              <w:jc w:val="both"/>
            </w:pPr>
            <w:r>
              <w:t>Institution</w:t>
            </w:r>
          </w:p>
        </w:tc>
        <w:tc>
          <w:tcPr>
            <w:tcW w:w="4208" w:type="dxa"/>
            <w:gridSpan w:val="5"/>
          </w:tcPr>
          <w:p w14:paraId="19F48F75" w14:textId="77777777" w:rsidR="00A769CA" w:rsidRDefault="00A769CA">
            <w:pPr>
              <w:spacing w:line="360" w:lineRule="auto"/>
            </w:pPr>
          </w:p>
          <w:p w14:paraId="5630363F" w14:textId="77777777" w:rsidR="00A769CA" w:rsidRDefault="00A769CA">
            <w:pPr>
              <w:spacing w:line="360" w:lineRule="auto"/>
            </w:pPr>
          </w:p>
        </w:tc>
      </w:tr>
      <w:tr w:rsidR="00A769CA" w14:paraId="4BF75DBD" w14:textId="77777777">
        <w:trPr>
          <w:trHeight w:val="211"/>
        </w:trPr>
        <w:tc>
          <w:tcPr>
            <w:tcW w:w="388" w:type="dxa"/>
            <w:shd w:val="clear" w:color="auto" w:fill="F2F2F2"/>
          </w:tcPr>
          <w:p w14:paraId="514BDE57" w14:textId="77777777" w:rsidR="00A769CA" w:rsidRDefault="008D3F3B">
            <w:pPr>
              <w:spacing w:line="360" w:lineRule="auto"/>
            </w:pPr>
            <w:r>
              <w:lastRenderedPageBreak/>
              <w:t>2</w:t>
            </w:r>
          </w:p>
        </w:tc>
        <w:tc>
          <w:tcPr>
            <w:tcW w:w="2651" w:type="dxa"/>
            <w:shd w:val="clear" w:color="auto" w:fill="F2F2F2"/>
          </w:tcPr>
          <w:p w14:paraId="669DA22B" w14:textId="77777777" w:rsidR="00A769CA" w:rsidRDefault="008D3F3B">
            <w:pPr>
              <w:spacing w:line="360" w:lineRule="auto"/>
              <w:jc w:val="both"/>
            </w:pPr>
            <w:r>
              <w:t>Contact person name</w:t>
            </w:r>
          </w:p>
        </w:tc>
        <w:tc>
          <w:tcPr>
            <w:tcW w:w="4208" w:type="dxa"/>
            <w:gridSpan w:val="5"/>
          </w:tcPr>
          <w:p w14:paraId="48634168" w14:textId="77777777" w:rsidR="00A769CA" w:rsidRDefault="00A769CA">
            <w:pPr>
              <w:spacing w:line="360" w:lineRule="auto"/>
            </w:pPr>
          </w:p>
          <w:p w14:paraId="22D1214D" w14:textId="77777777" w:rsidR="00A769CA" w:rsidRDefault="00A769CA">
            <w:pPr>
              <w:spacing w:line="360" w:lineRule="auto"/>
            </w:pPr>
          </w:p>
        </w:tc>
      </w:tr>
      <w:tr w:rsidR="00A769CA" w14:paraId="61789E67" w14:textId="77777777">
        <w:trPr>
          <w:trHeight w:val="211"/>
        </w:trPr>
        <w:tc>
          <w:tcPr>
            <w:tcW w:w="388" w:type="dxa"/>
            <w:shd w:val="clear" w:color="auto" w:fill="F2F2F2"/>
          </w:tcPr>
          <w:p w14:paraId="6BD40289" w14:textId="77777777" w:rsidR="00A769CA" w:rsidRDefault="008D3F3B">
            <w:pPr>
              <w:spacing w:line="360" w:lineRule="auto"/>
            </w:pPr>
            <w:r>
              <w:t>3</w:t>
            </w:r>
          </w:p>
        </w:tc>
        <w:tc>
          <w:tcPr>
            <w:tcW w:w="2651" w:type="dxa"/>
            <w:shd w:val="clear" w:color="auto" w:fill="F2F2F2"/>
          </w:tcPr>
          <w:p w14:paraId="3F722AAB" w14:textId="77777777" w:rsidR="00A769CA" w:rsidRDefault="008D3F3B">
            <w:pPr>
              <w:spacing w:line="360" w:lineRule="auto"/>
              <w:jc w:val="both"/>
            </w:pPr>
            <w:r>
              <w:t>Contact person e-mail address</w:t>
            </w:r>
          </w:p>
          <w:p w14:paraId="19DBC75A" w14:textId="77777777" w:rsidR="00A769CA" w:rsidRDefault="00A769CA">
            <w:pPr>
              <w:spacing w:line="360" w:lineRule="auto"/>
              <w:jc w:val="both"/>
            </w:pPr>
          </w:p>
        </w:tc>
        <w:tc>
          <w:tcPr>
            <w:tcW w:w="4208" w:type="dxa"/>
            <w:gridSpan w:val="5"/>
          </w:tcPr>
          <w:p w14:paraId="1F7B8A62" w14:textId="77777777" w:rsidR="00A769CA" w:rsidRDefault="00A769CA">
            <w:pPr>
              <w:spacing w:line="360" w:lineRule="auto"/>
            </w:pPr>
          </w:p>
        </w:tc>
      </w:tr>
      <w:tr w:rsidR="00A769CA" w14:paraId="693A4B4B" w14:textId="77777777">
        <w:trPr>
          <w:trHeight w:val="268"/>
        </w:trPr>
        <w:tc>
          <w:tcPr>
            <w:tcW w:w="388" w:type="dxa"/>
            <w:shd w:val="clear" w:color="auto" w:fill="F2F2F2"/>
          </w:tcPr>
          <w:p w14:paraId="6B61B639" w14:textId="77777777" w:rsidR="00A769CA" w:rsidRDefault="008D3F3B">
            <w:pPr>
              <w:spacing w:line="360" w:lineRule="auto"/>
            </w:pPr>
            <w:r>
              <w:t>4</w:t>
            </w:r>
          </w:p>
        </w:tc>
        <w:tc>
          <w:tcPr>
            <w:tcW w:w="4317" w:type="dxa"/>
            <w:gridSpan w:val="2"/>
            <w:shd w:val="clear" w:color="auto" w:fill="F2F2F2"/>
          </w:tcPr>
          <w:p w14:paraId="1E989CA0" w14:textId="77777777" w:rsidR="00A769CA" w:rsidRDefault="008D3F3B">
            <w:pPr>
              <w:spacing w:line="360" w:lineRule="auto"/>
            </w:pPr>
            <w:r>
              <w:t>Is your research externally funded?</w:t>
            </w:r>
          </w:p>
        </w:tc>
        <w:tc>
          <w:tcPr>
            <w:tcW w:w="694" w:type="dxa"/>
            <w:shd w:val="clear" w:color="auto" w:fill="F2F2F2"/>
            <w:vAlign w:val="center"/>
          </w:tcPr>
          <w:p w14:paraId="5FBD5999" w14:textId="77777777" w:rsidR="00A769CA" w:rsidRDefault="008D3F3B">
            <w:pPr>
              <w:spacing w:line="360" w:lineRule="auto"/>
              <w:jc w:val="center"/>
            </w:pPr>
            <w:r>
              <w:rPr>
                <w:b/>
                <w:bCs/>
              </w:rPr>
              <w:t>YES</w:t>
            </w:r>
          </w:p>
        </w:tc>
        <w:tc>
          <w:tcPr>
            <w:tcW w:w="583" w:type="dxa"/>
            <w:shd w:val="clear" w:color="auto" w:fill="D9D9D9"/>
            <w:vAlign w:val="center"/>
          </w:tcPr>
          <w:p w14:paraId="7E233A9D" w14:textId="77777777" w:rsidR="00A769CA" w:rsidRDefault="008D3F3B">
            <w:pPr>
              <w:spacing w:line="360" w:lineRule="auto"/>
              <w:jc w:val="center"/>
            </w:pPr>
            <w:r>
              <w:rPr>
                <w:rFonts w:ascii="MS Gothic" w:eastAsia="MS Gothic" w:hAnsi="MS Gothic" w:cs="MS Gothic"/>
              </w:rPr>
              <w:t>☐</w:t>
            </w:r>
          </w:p>
        </w:tc>
        <w:tc>
          <w:tcPr>
            <w:tcW w:w="681" w:type="dxa"/>
            <w:shd w:val="clear" w:color="auto" w:fill="F2F2F2"/>
            <w:vAlign w:val="center"/>
          </w:tcPr>
          <w:p w14:paraId="288C98CA" w14:textId="77777777" w:rsidR="00A769CA" w:rsidRDefault="008D3F3B">
            <w:pPr>
              <w:spacing w:line="360" w:lineRule="auto"/>
              <w:jc w:val="center"/>
            </w:pPr>
            <w:r>
              <w:rPr>
                <w:b/>
                <w:bCs/>
              </w:rPr>
              <w:t>NO</w:t>
            </w:r>
          </w:p>
        </w:tc>
        <w:tc>
          <w:tcPr>
            <w:tcW w:w="584" w:type="dxa"/>
            <w:shd w:val="clear" w:color="auto" w:fill="D9D9D9"/>
            <w:vAlign w:val="center"/>
          </w:tcPr>
          <w:p w14:paraId="34CE4BAF" w14:textId="77777777" w:rsidR="00A769CA" w:rsidRDefault="008D3F3B">
            <w:pPr>
              <w:spacing w:line="360" w:lineRule="auto"/>
              <w:jc w:val="center"/>
            </w:pPr>
            <w:r>
              <w:rPr>
                <w:rFonts w:ascii="MS Gothic" w:eastAsia="MS Gothic" w:hAnsi="MS Gothic" w:cs="MS Gothic"/>
              </w:rPr>
              <w:t>☐</w:t>
            </w:r>
          </w:p>
        </w:tc>
      </w:tr>
      <w:tr w:rsidR="00A769CA" w14:paraId="4F595A47" w14:textId="77777777">
        <w:trPr>
          <w:trHeight w:val="257"/>
        </w:trPr>
        <w:tc>
          <w:tcPr>
            <w:tcW w:w="388" w:type="dxa"/>
            <w:shd w:val="clear" w:color="auto" w:fill="F2F2F2"/>
          </w:tcPr>
          <w:p w14:paraId="7C676A76" w14:textId="77777777" w:rsidR="00A769CA" w:rsidRDefault="008D3F3B">
            <w:pPr>
              <w:spacing w:line="360" w:lineRule="auto"/>
            </w:pPr>
            <w:r>
              <w:t>5</w:t>
            </w:r>
          </w:p>
        </w:tc>
        <w:tc>
          <w:tcPr>
            <w:tcW w:w="4317" w:type="dxa"/>
            <w:gridSpan w:val="2"/>
            <w:shd w:val="clear" w:color="auto" w:fill="F2F2F2"/>
          </w:tcPr>
          <w:p w14:paraId="266C387D" w14:textId="77777777" w:rsidR="00A769CA" w:rsidRDefault="008D3F3B">
            <w:pPr>
              <w:spacing w:line="360" w:lineRule="auto"/>
            </w:pPr>
            <w:r>
              <w:t>Are you in receipt of a KESS scholarship?</w:t>
            </w:r>
          </w:p>
        </w:tc>
        <w:tc>
          <w:tcPr>
            <w:tcW w:w="694" w:type="dxa"/>
            <w:shd w:val="clear" w:color="auto" w:fill="F2F2F2"/>
            <w:vAlign w:val="center"/>
          </w:tcPr>
          <w:p w14:paraId="20BFE469" w14:textId="77777777" w:rsidR="00A769CA" w:rsidRDefault="008D3F3B">
            <w:pPr>
              <w:spacing w:line="360" w:lineRule="auto"/>
              <w:jc w:val="center"/>
            </w:pPr>
            <w:r>
              <w:rPr>
                <w:b/>
                <w:bCs/>
              </w:rPr>
              <w:t>YES</w:t>
            </w:r>
          </w:p>
        </w:tc>
        <w:tc>
          <w:tcPr>
            <w:tcW w:w="583" w:type="dxa"/>
            <w:shd w:val="clear" w:color="auto" w:fill="D9D9D9"/>
            <w:vAlign w:val="center"/>
          </w:tcPr>
          <w:p w14:paraId="7CAA512E" w14:textId="77777777" w:rsidR="00A769CA" w:rsidRDefault="008D3F3B">
            <w:pPr>
              <w:spacing w:line="360" w:lineRule="auto"/>
              <w:jc w:val="center"/>
            </w:pPr>
            <w:r>
              <w:rPr>
                <w:rFonts w:ascii="MS Gothic" w:eastAsia="MS Gothic" w:hAnsi="MS Gothic" w:cs="MS Gothic"/>
              </w:rPr>
              <w:t>☐</w:t>
            </w:r>
          </w:p>
        </w:tc>
        <w:tc>
          <w:tcPr>
            <w:tcW w:w="681" w:type="dxa"/>
            <w:shd w:val="clear" w:color="auto" w:fill="F2F2F2"/>
            <w:vAlign w:val="center"/>
          </w:tcPr>
          <w:p w14:paraId="2CF94507" w14:textId="77777777" w:rsidR="00A769CA" w:rsidRDefault="008D3F3B">
            <w:pPr>
              <w:spacing w:line="360" w:lineRule="auto"/>
              <w:jc w:val="center"/>
            </w:pPr>
            <w:r>
              <w:rPr>
                <w:b/>
                <w:bCs/>
              </w:rPr>
              <w:t>NO</w:t>
            </w:r>
          </w:p>
        </w:tc>
        <w:tc>
          <w:tcPr>
            <w:tcW w:w="584" w:type="dxa"/>
            <w:shd w:val="clear" w:color="auto" w:fill="D9D9D9"/>
            <w:vAlign w:val="center"/>
          </w:tcPr>
          <w:p w14:paraId="71D9E5FF" w14:textId="77777777" w:rsidR="00A769CA" w:rsidRDefault="008D3F3B">
            <w:pPr>
              <w:spacing w:line="360" w:lineRule="auto"/>
              <w:jc w:val="center"/>
            </w:pPr>
            <w:r>
              <w:rPr>
                <w:rFonts w:ascii="MS Gothic" w:eastAsia="MS Gothic" w:hAnsi="MS Gothic" w:cs="MS Gothic"/>
              </w:rPr>
              <w:t>☐</w:t>
            </w:r>
          </w:p>
        </w:tc>
      </w:tr>
      <w:tr w:rsidR="00A769CA" w14:paraId="2DF3013C" w14:textId="77777777">
        <w:trPr>
          <w:trHeight w:val="360"/>
        </w:trPr>
        <w:tc>
          <w:tcPr>
            <w:tcW w:w="388" w:type="dxa"/>
            <w:shd w:val="clear" w:color="auto" w:fill="F2F2F2"/>
          </w:tcPr>
          <w:p w14:paraId="31E92C30" w14:textId="77777777" w:rsidR="00A769CA" w:rsidRDefault="008D3F3B">
            <w:pPr>
              <w:spacing w:line="360" w:lineRule="auto"/>
            </w:pPr>
            <w:r>
              <w:t>6</w:t>
            </w:r>
          </w:p>
        </w:tc>
        <w:tc>
          <w:tcPr>
            <w:tcW w:w="2651" w:type="dxa"/>
            <w:vMerge w:val="restart"/>
            <w:shd w:val="clear" w:color="auto" w:fill="F2F2F2"/>
          </w:tcPr>
          <w:p w14:paraId="5950F179" w14:textId="77777777" w:rsidR="00A769CA" w:rsidRDefault="008D3F3B">
            <w:pPr>
              <w:spacing w:line="360" w:lineRule="auto"/>
            </w:pPr>
            <w:r>
              <w:t>Are you specifically employed to undertake this research in either a paid or voluntary capacity?</w:t>
            </w:r>
          </w:p>
        </w:tc>
        <w:tc>
          <w:tcPr>
            <w:tcW w:w="1666" w:type="dxa"/>
          </w:tcPr>
          <w:p w14:paraId="114C861A" w14:textId="77777777" w:rsidR="00A769CA" w:rsidRDefault="008D3F3B">
            <w:pPr>
              <w:spacing w:line="360" w:lineRule="auto"/>
            </w:pPr>
            <w:r>
              <w:t>Voluntary</w:t>
            </w:r>
          </w:p>
        </w:tc>
        <w:tc>
          <w:tcPr>
            <w:tcW w:w="694" w:type="dxa"/>
            <w:shd w:val="clear" w:color="auto" w:fill="F2F2F2"/>
            <w:vAlign w:val="center"/>
          </w:tcPr>
          <w:p w14:paraId="3FC15070" w14:textId="77777777" w:rsidR="00A769CA" w:rsidRDefault="008D3F3B">
            <w:pPr>
              <w:spacing w:line="360" w:lineRule="auto"/>
              <w:jc w:val="center"/>
              <w:rPr>
                <w:b/>
                <w:bCs/>
              </w:rPr>
            </w:pPr>
            <w:r>
              <w:rPr>
                <w:b/>
                <w:bCs/>
              </w:rPr>
              <w:t>YES</w:t>
            </w:r>
          </w:p>
        </w:tc>
        <w:tc>
          <w:tcPr>
            <w:tcW w:w="583" w:type="dxa"/>
            <w:shd w:val="clear" w:color="auto" w:fill="D9D9D9"/>
            <w:vAlign w:val="center"/>
          </w:tcPr>
          <w:p w14:paraId="7637ACFB" w14:textId="77777777" w:rsidR="00A769CA" w:rsidRDefault="008D3F3B">
            <w:pPr>
              <w:spacing w:line="360" w:lineRule="auto"/>
              <w:jc w:val="center"/>
            </w:pPr>
            <w:r>
              <w:rPr>
                <w:rFonts w:ascii="MS Gothic" w:eastAsia="MS Gothic" w:hAnsi="MS Gothic" w:cs="MS Gothic"/>
              </w:rPr>
              <w:t>☐</w:t>
            </w:r>
          </w:p>
        </w:tc>
        <w:tc>
          <w:tcPr>
            <w:tcW w:w="681" w:type="dxa"/>
            <w:shd w:val="clear" w:color="auto" w:fill="F2F2F2"/>
            <w:vAlign w:val="center"/>
          </w:tcPr>
          <w:p w14:paraId="50F40049" w14:textId="77777777" w:rsidR="00A769CA" w:rsidRDefault="008D3F3B">
            <w:pPr>
              <w:spacing w:line="360" w:lineRule="auto"/>
              <w:jc w:val="center"/>
              <w:rPr>
                <w:b/>
                <w:bCs/>
              </w:rPr>
            </w:pPr>
            <w:r>
              <w:rPr>
                <w:b/>
                <w:bCs/>
              </w:rPr>
              <w:t>NO</w:t>
            </w:r>
          </w:p>
        </w:tc>
        <w:tc>
          <w:tcPr>
            <w:tcW w:w="584" w:type="dxa"/>
            <w:shd w:val="clear" w:color="auto" w:fill="D9D9D9"/>
            <w:vAlign w:val="center"/>
          </w:tcPr>
          <w:p w14:paraId="3BBBC7F6" w14:textId="77777777" w:rsidR="00A769CA" w:rsidRDefault="008D3F3B">
            <w:pPr>
              <w:spacing w:line="360" w:lineRule="auto"/>
              <w:jc w:val="center"/>
            </w:pPr>
            <w:r>
              <w:rPr>
                <w:rFonts w:ascii="MS Gothic" w:eastAsia="MS Gothic" w:hAnsi="MS Gothic" w:cs="MS Gothic"/>
              </w:rPr>
              <w:t>☐</w:t>
            </w:r>
          </w:p>
        </w:tc>
      </w:tr>
      <w:tr w:rsidR="00A769CA" w14:paraId="3EB79E47" w14:textId="77777777">
        <w:trPr>
          <w:trHeight w:val="360"/>
        </w:trPr>
        <w:tc>
          <w:tcPr>
            <w:tcW w:w="388" w:type="dxa"/>
            <w:shd w:val="clear" w:color="auto" w:fill="F2F2F2"/>
          </w:tcPr>
          <w:p w14:paraId="5E831E9B" w14:textId="77777777" w:rsidR="00A769CA" w:rsidRDefault="008D3F3B">
            <w:pPr>
              <w:spacing w:line="360" w:lineRule="auto"/>
            </w:pPr>
            <w:r>
              <w:t>7</w:t>
            </w:r>
          </w:p>
        </w:tc>
        <w:tc>
          <w:tcPr>
            <w:tcW w:w="2651" w:type="dxa"/>
            <w:vMerge/>
            <w:shd w:val="clear" w:color="auto" w:fill="F2F2F2"/>
          </w:tcPr>
          <w:p w14:paraId="673A08E8" w14:textId="77777777" w:rsidR="00A769CA" w:rsidRDefault="00A769CA">
            <w:pPr>
              <w:widowControl w:val="0"/>
              <w:pBdr>
                <w:top w:val="nil"/>
                <w:left w:val="nil"/>
                <w:bottom w:val="nil"/>
                <w:right w:val="nil"/>
                <w:between w:val="nil"/>
              </w:pBdr>
              <w:spacing w:line="360" w:lineRule="auto"/>
            </w:pPr>
          </w:p>
        </w:tc>
        <w:tc>
          <w:tcPr>
            <w:tcW w:w="1666" w:type="dxa"/>
          </w:tcPr>
          <w:p w14:paraId="38749C00" w14:textId="77777777" w:rsidR="00A769CA" w:rsidRDefault="008D3F3B">
            <w:pPr>
              <w:spacing w:line="360" w:lineRule="auto"/>
            </w:pPr>
            <w:r>
              <w:t>Employed</w:t>
            </w:r>
          </w:p>
        </w:tc>
        <w:tc>
          <w:tcPr>
            <w:tcW w:w="694" w:type="dxa"/>
            <w:shd w:val="clear" w:color="auto" w:fill="F2F2F2"/>
            <w:vAlign w:val="center"/>
          </w:tcPr>
          <w:p w14:paraId="6C917F2B" w14:textId="77777777" w:rsidR="00A769CA" w:rsidRDefault="008D3F3B">
            <w:pPr>
              <w:spacing w:line="360" w:lineRule="auto"/>
              <w:jc w:val="center"/>
              <w:rPr>
                <w:b/>
                <w:bCs/>
              </w:rPr>
            </w:pPr>
            <w:r>
              <w:rPr>
                <w:b/>
                <w:bCs/>
              </w:rPr>
              <w:t>YES</w:t>
            </w:r>
          </w:p>
        </w:tc>
        <w:tc>
          <w:tcPr>
            <w:tcW w:w="583" w:type="dxa"/>
            <w:shd w:val="clear" w:color="auto" w:fill="D9D9D9"/>
            <w:vAlign w:val="center"/>
          </w:tcPr>
          <w:p w14:paraId="24C8864A" w14:textId="77777777" w:rsidR="00A769CA" w:rsidRDefault="008D3F3B">
            <w:pPr>
              <w:spacing w:line="360" w:lineRule="auto"/>
              <w:jc w:val="center"/>
            </w:pPr>
            <w:r>
              <w:rPr>
                <w:rFonts w:ascii="MS Gothic" w:eastAsia="MS Gothic" w:hAnsi="MS Gothic" w:cs="MS Gothic"/>
              </w:rPr>
              <w:t>☐</w:t>
            </w:r>
          </w:p>
        </w:tc>
        <w:tc>
          <w:tcPr>
            <w:tcW w:w="681" w:type="dxa"/>
            <w:shd w:val="clear" w:color="auto" w:fill="F2F2F2"/>
            <w:vAlign w:val="center"/>
          </w:tcPr>
          <w:p w14:paraId="3BD48D7D" w14:textId="77777777" w:rsidR="00A769CA" w:rsidRDefault="008D3F3B">
            <w:pPr>
              <w:spacing w:line="360" w:lineRule="auto"/>
              <w:jc w:val="center"/>
              <w:rPr>
                <w:b/>
                <w:bCs/>
              </w:rPr>
            </w:pPr>
            <w:r>
              <w:rPr>
                <w:b/>
                <w:bCs/>
              </w:rPr>
              <w:t>NO</w:t>
            </w:r>
          </w:p>
        </w:tc>
        <w:tc>
          <w:tcPr>
            <w:tcW w:w="584" w:type="dxa"/>
            <w:shd w:val="clear" w:color="auto" w:fill="D9D9D9"/>
            <w:vAlign w:val="center"/>
          </w:tcPr>
          <w:p w14:paraId="6444CE9F" w14:textId="77777777" w:rsidR="00A769CA" w:rsidRDefault="008D3F3B">
            <w:pPr>
              <w:spacing w:line="360" w:lineRule="auto"/>
              <w:jc w:val="center"/>
            </w:pPr>
            <w:r>
              <w:rPr>
                <w:rFonts w:ascii="MS Gothic" w:eastAsia="MS Gothic" w:hAnsi="MS Gothic" w:cs="MS Gothic"/>
              </w:rPr>
              <w:t>☐</w:t>
            </w:r>
          </w:p>
        </w:tc>
      </w:tr>
      <w:tr w:rsidR="00A769CA" w14:paraId="7E3AE82C" w14:textId="77777777">
        <w:trPr>
          <w:trHeight w:val="941"/>
        </w:trPr>
        <w:tc>
          <w:tcPr>
            <w:tcW w:w="388" w:type="dxa"/>
            <w:shd w:val="clear" w:color="auto" w:fill="F2F2F2"/>
          </w:tcPr>
          <w:p w14:paraId="253FCE94" w14:textId="77777777" w:rsidR="00A769CA" w:rsidRDefault="008D3F3B">
            <w:pPr>
              <w:spacing w:line="360" w:lineRule="auto"/>
            </w:pPr>
            <w:r>
              <w:t>8</w:t>
            </w:r>
          </w:p>
        </w:tc>
        <w:tc>
          <w:tcPr>
            <w:tcW w:w="2651" w:type="dxa"/>
            <w:shd w:val="clear" w:color="auto" w:fill="F2F2F2"/>
          </w:tcPr>
          <w:p w14:paraId="1BE4D3DE" w14:textId="77777777" w:rsidR="00A769CA" w:rsidRDefault="008D3F3B">
            <w:pPr>
              <w:spacing w:line="360" w:lineRule="auto"/>
            </w:pPr>
            <w:r>
              <w:t xml:space="preserve">Is the research being undertaken within an existing UWTSD </w:t>
            </w:r>
            <w:proofErr w:type="spellStart"/>
            <w:r>
              <w:t>Athrofa</w:t>
            </w:r>
            <w:proofErr w:type="spellEnd"/>
            <w:r>
              <w:t xml:space="preserve"> Professional Learning Partnership (APLP)?</w:t>
            </w:r>
          </w:p>
        </w:tc>
        <w:tc>
          <w:tcPr>
            <w:tcW w:w="1666" w:type="dxa"/>
          </w:tcPr>
          <w:p w14:paraId="34A0A5CB" w14:textId="77777777" w:rsidR="00A769CA" w:rsidRDefault="008D3F3B">
            <w:pPr>
              <w:spacing w:line="360" w:lineRule="auto"/>
            </w:pPr>
            <w:r>
              <w:t xml:space="preserve">If </w:t>
            </w:r>
            <w:proofErr w:type="gramStart"/>
            <w:r>
              <w:t>YES</w:t>
            </w:r>
            <w:proofErr w:type="gramEnd"/>
            <w:r>
              <w:t xml:space="preserve"> then the permission question below does not need to be answered.</w:t>
            </w:r>
          </w:p>
        </w:tc>
        <w:tc>
          <w:tcPr>
            <w:tcW w:w="694" w:type="dxa"/>
            <w:shd w:val="clear" w:color="auto" w:fill="F2F2F2"/>
            <w:vAlign w:val="center"/>
          </w:tcPr>
          <w:p w14:paraId="120534CA" w14:textId="77777777" w:rsidR="00A769CA" w:rsidRDefault="008D3F3B">
            <w:pPr>
              <w:spacing w:line="360" w:lineRule="auto"/>
              <w:jc w:val="center"/>
              <w:rPr>
                <w:b/>
                <w:bCs/>
              </w:rPr>
            </w:pPr>
            <w:r>
              <w:rPr>
                <w:b/>
                <w:bCs/>
              </w:rPr>
              <w:t>YES</w:t>
            </w:r>
          </w:p>
        </w:tc>
        <w:tc>
          <w:tcPr>
            <w:tcW w:w="583" w:type="dxa"/>
            <w:shd w:val="clear" w:color="auto" w:fill="D9D9D9"/>
            <w:vAlign w:val="center"/>
          </w:tcPr>
          <w:p w14:paraId="6CC6ED44" w14:textId="77777777" w:rsidR="00A769CA" w:rsidRDefault="008D3F3B">
            <w:pPr>
              <w:spacing w:line="360" w:lineRule="auto"/>
              <w:jc w:val="center"/>
            </w:pPr>
            <w:r>
              <w:rPr>
                <w:rFonts w:ascii="MS Gothic" w:eastAsia="MS Gothic" w:hAnsi="MS Gothic" w:cs="MS Gothic"/>
              </w:rPr>
              <w:t>☐</w:t>
            </w:r>
          </w:p>
        </w:tc>
        <w:tc>
          <w:tcPr>
            <w:tcW w:w="681" w:type="dxa"/>
            <w:shd w:val="clear" w:color="auto" w:fill="F2F2F2"/>
            <w:vAlign w:val="center"/>
          </w:tcPr>
          <w:p w14:paraId="26893946" w14:textId="77777777" w:rsidR="00A769CA" w:rsidRDefault="008D3F3B">
            <w:pPr>
              <w:spacing w:line="360" w:lineRule="auto"/>
              <w:jc w:val="center"/>
              <w:rPr>
                <w:b/>
                <w:bCs/>
              </w:rPr>
            </w:pPr>
            <w:r>
              <w:rPr>
                <w:b/>
                <w:bCs/>
              </w:rPr>
              <w:t>NO</w:t>
            </w:r>
          </w:p>
        </w:tc>
        <w:tc>
          <w:tcPr>
            <w:tcW w:w="584" w:type="dxa"/>
            <w:shd w:val="clear" w:color="auto" w:fill="D9D9D9"/>
            <w:vAlign w:val="center"/>
          </w:tcPr>
          <w:p w14:paraId="7966F7BC" w14:textId="77777777" w:rsidR="00A769CA" w:rsidRDefault="008D3F3B">
            <w:pPr>
              <w:spacing w:line="360" w:lineRule="auto"/>
              <w:jc w:val="center"/>
            </w:pPr>
            <w:r>
              <w:rPr>
                <w:rFonts w:ascii="MS Gothic" w:eastAsia="MS Gothic" w:hAnsi="MS Gothic" w:cs="MS Gothic"/>
              </w:rPr>
              <w:t>☐</w:t>
            </w:r>
          </w:p>
        </w:tc>
      </w:tr>
      <w:tr w:rsidR="00A769CA" w14:paraId="6A9F3B60" w14:textId="77777777">
        <w:trPr>
          <w:trHeight w:val="705"/>
        </w:trPr>
        <w:tc>
          <w:tcPr>
            <w:tcW w:w="388" w:type="dxa"/>
            <w:shd w:val="clear" w:color="auto" w:fill="F2F2F2"/>
          </w:tcPr>
          <w:p w14:paraId="34E9CA02" w14:textId="77777777" w:rsidR="00A769CA" w:rsidRDefault="008D3F3B">
            <w:pPr>
              <w:spacing w:line="360" w:lineRule="auto"/>
            </w:pPr>
            <w:r>
              <w:t>9</w:t>
            </w:r>
          </w:p>
        </w:tc>
        <w:tc>
          <w:tcPr>
            <w:tcW w:w="2651" w:type="dxa"/>
            <w:shd w:val="clear" w:color="auto" w:fill="F2F2F2"/>
          </w:tcPr>
          <w:p w14:paraId="07F78978" w14:textId="77777777" w:rsidR="00A769CA" w:rsidRDefault="008D3F3B">
            <w:pPr>
              <w:spacing w:line="360" w:lineRule="auto"/>
            </w:pPr>
            <w:r>
              <w:t>Has permission to undertake the research has been provided by the partner organisation?</w:t>
            </w:r>
          </w:p>
        </w:tc>
        <w:tc>
          <w:tcPr>
            <w:tcW w:w="1666" w:type="dxa"/>
          </w:tcPr>
          <w:p w14:paraId="3E6172CC" w14:textId="77777777" w:rsidR="00A769CA" w:rsidRDefault="008D3F3B">
            <w:pPr>
              <w:spacing w:line="360" w:lineRule="auto"/>
            </w:pPr>
            <w:r>
              <w:t>(If YES attach copy)</w:t>
            </w:r>
          </w:p>
          <w:p w14:paraId="3B7DCA69" w14:textId="77777777" w:rsidR="00A769CA" w:rsidRDefault="008D3F3B">
            <w:pPr>
              <w:spacing w:line="360" w:lineRule="auto"/>
            </w:pPr>
            <w:r>
              <w:t>If NO the application cannot continue</w:t>
            </w:r>
          </w:p>
        </w:tc>
        <w:tc>
          <w:tcPr>
            <w:tcW w:w="694" w:type="dxa"/>
            <w:shd w:val="clear" w:color="auto" w:fill="F2F2F2"/>
            <w:vAlign w:val="center"/>
          </w:tcPr>
          <w:p w14:paraId="63CAF0DD" w14:textId="77777777" w:rsidR="00A769CA" w:rsidRDefault="008D3F3B">
            <w:pPr>
              <w:spacing w:line="360" w:lineRule="auto"/>
              <w:jc w:val="center"/>
              <w:rPr>
                <w:b/>
                <w:bCs/>
              </w:rPr>
            </w:pPr>
            <w:r>
              <w:rPr>
                <w:b/>
                <w:bCs/>
              </w:rPr>
              <w:t>YES</w:t>
            </w:r>
          </w:p>
        </w:tc>
        <w:tc>
          <w:tcPr>
            <w:tcW w:w="583" w:type="dxa"/>
            <w:shd w:val="clear" w:color="auto" w:fill="D9D9D9"/>
            <w:vAlign w:val="center"/>
          </w:tcPr>
          <w:p w14:paraId="7B873C80" w14:textId="77777777" w:rsidR="00A769CA" w:rsidRDefault="008D3F3B">
            <w:pPr>
              <w:spacing w:line="360" w:lineRule="auto"/>
              <w:jc w:val="center"/>
            </w:pPr>
            <w:r>
              <w:rPr>
                <w:rFonts w:ascii="MS Gothic" w:eastAsia="MS Gothic" w:hAnsi="MS Gothic" w:cs="MS Gothic"/>
              </w:rPr>
              <w:t>☐</w:t>
            </w:r>
          </w:p>
        </w:tc>
        <w:tc>
          <w:tcPr>
            <w:tcW w:w="681" w:type="dxa"/>
            <w:shd w:val="clear" w:color="auto" w:fill="F2F2F2"/>
            <w:vAlign w:val="center"/>
          </w:tcPr>
          <w:p w14:paraId="0E290220" w14:textId="77777777" w:rsidR="00A769CA" w:rsidRDefault="008D3F3B">
            <w:pPr>
              <w:spacing w:line="360" w:lineRule="auto"/>
              <w:jc w:val="center"/>
              <w:rPr>
                <w:b/>
                <w:bCs/>
              </w:rPr>
            </w:pPr>
            <w:r>
              <w:rPr>
                <w:b/>
                <w:bCs/>
              </w:rPr>
              <w:t>NO</w:t>
            </w:r>
          </w:p>
        </w:tc>
        <w:tc>
          <w:tcPr>
            <w:tcW w:w="584" w:type="dxa"/>
            <w:shd w:val="clear" w:color="auto" w:fill="D9D9D9"/>
            <w:vAlign w:val="center"/>
          </w:tcPr>
          <w:p w14:paraId="56433042" w14:textId="77777777" w:rsidR="00A769CA" w:rsidRDefault="008D3F3B">
            <w:pPr>
              <w:spacing w:line="360" w:lineRule="auto"/>
              <w:jc w:val="center"/>
            </w:pPr>
            <w:r>
              <w:rPr>
                <w:rFonts w:ascii="MS Gothic" w:eastAsia="MS Gothic" w:hAnsi="MS Gothic" w:cs="MS Gothic"/>
              </w:rPr>
              <w:t>☐</w:t>
            </w:r>
          </w:p>
        </w:tc>
      </w:tr>
    </w:tbl>
    <w:p w14:paraId="79B5C530" w14:textId="77777777" w:rsidR="00A769CA" w:rsidRDefault="00A769CA">
      <w:pPr>
        <w:spacing w:line="360" w:lineRule="auto"/>
        <w:rPr>
          <w:sz w:val="16"/>
          <w:szCs w:val="16"/>
        </w:rPr>
      </w:pPr>
    </w:p>
    <w:p w14:paraId="4D5AB12E" w14:textId="77777777" w:rsidR="00A769CA" w:rsidRDefault="00A769CA">
      <w:pPr>
        <w:spacing w:line="360" w:lineRule="auto"/>
        <w:rPr>
          <w:b/>
          <w:bCs/>
        </w:rPr>
      </w:pPr>
    </w:p>
    <w:p w14:paraId="2B4C1D62" w14:textId="77777777" w:rsidR="00A769CA" w:rsidRDefault="008D3F3B">
      <w:pPr>
        <w:spacing w:after="240" w:line="360" w:lineRule="auto"/>
        <w:jc w:val="both"/>
        <w:rPr>
          <w:b/>
          <w:bCs/>
        </w:rPr>
      </w:pPr>
      <w:r>
        <w:rPr>
          <w:b/>
          <w:bCs/>
        </w:rPr>
        <w:t>Where research activity is carried out in collaboration with an external organisation</w:t>
      </w:r>
    </w:p>
    <w:tbl>
      <w:tblPr>
        <w:tblStyle w:val="afd"/>
        <w:tblW w:w="8996"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81"/>
        <w:gridCol w:w="5349"/>
        <w:gridCol w:w="860"/>
        <w:gridCol w:w="774"/>
        <w:gridCol w:w="808"/>
        <w:gridCol w:w="724"/>
      </w:tblGrid>
      <w:tr w:rsidR="00A769CA" w14:paraId="02D066AD" w14:textId="77777777">
        <w:trPr>
          <w:trHeight w:val="566"/>
        </w:trPr>
        <w:tc>
          <w:tcPr>
            <w:tcW w:w="481" w:type="dxa"/>
            <w:shd w:val="clear" w:color="auto" w:fill="F2F2F2"/>
            <w:vAlign w:val="center"/>
          </w:tcPr>
          <w:p w14:paraId="2210131E" w14:textId="77777777" w:rsidR="00A769CA" w:rsidRDefault="008D3F3B">
            <w:pPr>
              <w:spacing w:line="360" w:lineRule="auto"/>
            </w:pPr>
            <w:r>
              <w:t>10</w:t>
            </w:r>
          </w:p>
        </w:tc>
        <w:tc>
          <w:tcPr>
            <w:tcW w:w="5349" w:type="dxa"/>
            <w:shd w:val="clear" w:color="auto" w:fill="F2F2F2"/>
            <w:vAlign w:val="center"/>
          </w:tcPr>
          <w:p w14:paraId="5DBA298F" w14:textId="77777777" w:rsidR="00A769CA" w:rsidRDefault="008D3F3B">
            <w:pPr>
              <w:spacing w:line="360" w:lineRule="auto"/>
            </w:pPr>
            <w:r>
              <w:t>Does this organisation have its own ethics approval system?</w:t>
            </w:r>
          </w:p>
        </w:tc>
        <w:tc>
          <w:tcPr>
            <w:tcW w:w="860" w:type="dxa"/>
            <w:shd w:val="clear" w:color="auto" w:fill="F2F2F2"/>
            <w:vAlign w:val="center"/>
          </w:tcPr>
          <w:p w14:paraId="49D92D9D" w14:textId="77777777" w:rsidR="00A769CA" w:rsidRDefault="008D3F3B">
            <w:pPr>
              <w:spacing w:line="360" w:lineRule="auto"/>
              <w:jc w:val="center"/>
              <w:rPr>
                <w:b/>
                <w:bCs/>
              </w:rPr>
            </w:pPr>
            <w:r>
              <w:rPr>
                <w:b/>
                <w:bCs/>
              </w:rPr>
              <w:t>YES</w:t>
            </w:r>
          </w:p>
        </w:tc>
        <w:tc>
          <w:tcPr>
            <w:tcW w:w="774" w:type="dxa"/>
            <w:shd w:val="clear" w:color="auto" w:fill="BFBFBF"/>
            <w:vAlign w:val="center"/>
          </w:tcPr>
          <w:p w14:paraId="2BB7B1A2" w14:textId="77777777" w:rsidR="00A769CA" w:rsidRDefault="008D3F3B">
            <w:pPr>
              <w:spacing w:line="360" w:lineRule="auto"/>
              <w:jc w:val="center"/>
            </w:pPr>
            <w:r>
              <w:rPr>
                <w:rFonts w:ascii="MS Gothic" w:eastAsia="MS Gothic" w:hAnsi="MS Gothic" w:cs="MS Gothic"/>
              </w:rPr>
              <w:t>☐</w:t>
            </w:r>
          </w:p>
        </w:tc>
        <w:tc>
          <w:tcPr>
            <w:tcW w:w="808" w:type="dxa"/>
            <w:shd w:val="clear" w:color="auto" w:fill="F2F2F2"/>
            <w:vAlign w:val="center"/>
          </w:tcPr>
          <w:p w14:paraId="41266646" w14:textId="77777777" w:rsidR="00A769CA" w:rsidRDefault="008D3F3B">
            <w:pPr>
              <w:spacing w:line="360" w:lineRule="auto"/>
              <w:jc w:val="center"/>
              <w:rPr>
                <w:b/>
                <w:bCs/>
              </w:rPr>
            </w:pPr>
            <w:r>
              <w:rPr>
                <w:b/>
                <w:bCs/>
              </w:rPr>
              <w:t>NO</w:t>
            </w:r>
          </w:p>
        </w:tc>
        <w:tc>
          <w:tcPr>
            <w:tcW w:w="724" w:type="dxa"/>
            <w:shd w:val="clear" w:color="auto" w:fill="BFBFBF"/>
            <w:vAlign w:val="center"/>
          </w:tcPr>
          <w:p w14:paraId="792E5DC6" w14:textId="77777777" w:rsidR="00A769CA" w:rsidRDefault="008D3F3B">
            <w:pPr>
              <w:spacing w:line="360" w:lineRule="auto"/>
              <w:jc w:val="center"/>
            </w:pPr>
            <w:r>
              <w:rPr>
                <w:rFonts w:ascii="MS Gothic" w:eastAsia="MS Gothic" w:hAnsi="MS Gothic" w:cs="MS Gothic"/>
              </w:rPr>
              <w:t>☐</w:t>
            </w:r>
          </w:p>
        </w:tc>
      </w:tr>
      <w:tr w:rsidR="00A769CA" w14:paraId="76D1E8F8" w14:textId="77777777">
        <w:trPr>
          <w:trHeight w:val="1126"/>
        </w:trPr>
        <w:tc>
          <w:tcPr>
            <w:tcW w:w="481" w:type="dxa"/>
          </w:tcPr>
          <w:p w14:paraId="0FFFA3FD" w14:textId="77777777" w:rsidR="00A769CA" w:rsidRDefault="00A769CA">
            <w:pPr>
              <w:spacing w:line="360" w:lineRule="auto"/>
            </w:pPr>
          </w:p>
        </w:tc>
        <w:tc>
          <w:tcPr>
            <w:tcW w:w="8515" w:type="dxa"/>
            <w:gridSpan w:val="5"/>
          </w:tcPr>
          <w:p w14:paraId="5D42C9AC" w14:textId="77777777" w:rsidR="00A769CA" w:rsidRDefault="00A769CA">
            <w:pPr>
              <w:spacing w:line="360" w:lineRule="auto"/>
            </w:pPr>
          </w:p>
          <w:p w14:paraId="663FB522" w14:textId="77777777" w:rsidR="00A769CA" w:rsidRDefault="008D3F3B">
            <w:pPr>
              <w:spacing w:line="360" w:lineRule="auto"/>
            </w:pPr>
            <w:r>
              <w:t xml:space="preserve">If </w:t>
            </w:r>
            <w:proofErr w:type="gramStart"/>
            <w:r>
              <w:t>Yes</w:t>
            </w:r>
            <w:proofErr w:type="gramEnd"/>
            <w:r>
              <w:t>, please attach a copy of any final approval (or interim approval) from the organisation (this may be a copy of an email if appropriate).</w:t>
            </w:r>
          </w:p>
          <w:p w14:paraId="3514B78A" w14:textId="77777777" w:rsidR="00A769CA" w:rsidRDefault="00A769CA">
            <w:pPr>
              <w:spacing w:line="360" w:lineRule="auto"/>
              <w:rPr>
                <w:b/>
                <w:bCs/>
              </w:rPr>
            </w:pPr>
          </w:p>
        </w:tc>
      </w:tr>
    </w:tbl>
    <w:p w14:paraId="6DE36901" w14:textId="77777777" w:rsidR="00A769CA" w:rsidRDefault="00A769CA">
      <w:pPr>
        <w:spacing w:after="240" w:line="360" w:lineRule="auto"/>
        <w:jc w:val="both"/>
        <w:rPr>
          <w:b/>
          <w:bCs/>
        </w:rPr>
      </w:pPr>
    </w:p>
    <w:p w14:paraId="48402F64" w14:textId="77777777" w:rsidR="00A769CA" w:rsidRDefault="008D3F3B">
      <w:pPr>
        <w:spacing w:after="240" w:line="360" w:lineRule="auto"/>
        <w:jc w:val="both"/>
        <w:rPr>
          <w:b/>
          <w:bCs/>
        </w:rPr>
      </w:pPr>
      <w:r>
        <w:rPr>
          <w:b/>
          <w:bCs/>
        </w:rPr>
        <w:t>SECTION E: Details of Research Activity</w:t>
      </w:r>
    </w:p>
    <w:tbl>
      <w:tblPr>
        <w:tblStyle w:val="afe"/>
        <w:tblW w:w="8763"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518"/>
        <w:gridCol w:w="2224"/>
        <w:gridCol w:w="2257"/>
        <w:gridCol w:w="2257"/>
        <w:gridCol w:w="1507"/>
      </w:tblGrid>
      <w:tr w:rsidR="00A769CA" w14:paraId="14E9548A" w14:textId="77777777">
        <w:trPr>
          <w:trHeight w:val="450"/>
        </w:trPr>
        <w:tc>
          <w:tcPr>
            <w:tcW w:w="51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166FC0C" w14:textId="77777777" w:rsidR="00A769CA" w:rsidRDefault="008D3F3B">
            <w:pPr>
              <w:spacing w:line="360" w:lineRule="auto"/>
            </w:pPr>
            <w:r>
              <w:lastRenderedPageBreak/>
              <w:t>1</w:t>
            </w:r>
          </w:p>
        </w:tc>
        <w:tc>
          <w:tcPr>
            <w:tcW w:w="222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6E047B4" w14:textId="77777777" w:rsidR="00A769CA" w:rsidRDefault="008D3F3B">
            <w:pPr>
              <w:spacing w:line="360" w:lineRule="auto"/>
            </w:pPr>
            <w:r>
              <w:t>Indicative title:</w:t>
            </w:r>
          </w:p>
        </w:tc>
        <w:tc>
          <w:tcPr>
            <w:tcW w:w="6021" w:type="dxa"/>
            <w:gridSpan w:val="3"/>
            <w:tcBorders>
              <w:top w:val="single" w:sz="4" w:space="0" w:color="000000"/>
              <w:left w:val="single" w:sz="4" w:space="0" w:color="000000"/>
              <w:bottom w:val="single" w:sz="4" w:space="0" w:color="000000"/>
              <w:right w:val="single" w:sz="4" w:space="0" w:color="000000"/>
            </w:tcBorders>
            <w:vAlign w:val="center"/>
          </w:tcPr>
          <w:p w14:paraId="252B9B16" w14:textId="77777777" w:rsidR="00A769CA" w:rsidRDefault="008D3F3B">
            <w:pPr>
              <w:spacing w:line="360" w:lineRule="auto"/>
            </w:pPr>
            <w:r>
              <w:t>The Impact of Strategic Supplier Relationship Management on Supply Chain Performance in the Manufacturing Sector</w:t>
            </w:r>
          </w:p>
        </w:tc>
      </w:tr>
      <w:tr w:rsidR="00A769CA" w14:paraId="1C45FE8E" w14:textId="77777777">
        <w:trPr>
          <w:trHeight w:val="450"/>
        </w:trPr>
        <w:tc>
          <w:tcPr>
            <w:tcW w:w="51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65CF8CA" w14:textId="77777777" w:rsidR="00A769CA" w:rsidRDefault="008D3F3B">
            <w:pPr>
              <w:spacing w:line="360" w:lineRule="auto"/>
            </w:pPr>
            <w:r>
              <w:t>2</w:t>
            </w:r>
          </w:p>
        </w:tc>
        <w:tc>
          <w:tcPr>
            <w:tcW w:w="222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7C1423C" w14:textId="77777777" w:rsidR="00A769CA" w:rsidRDefault="008D3F3B">
            <w:pPr>
              <w:spacing w:line="360" w:lineRule="auto"/>
            </w:pPr>
            <w:r>
              <w:t>Proposed start date:</w:t>
            </w:r>
          </w:p>
        </w:tc>
        <w:tc>
          <w:tcPr>
            <w:tcW w:w="2257" w:type="dxa"/>
            <w:tcBorders>
              <w:top w:val="single" w:sz="4" w:space="0" w:color="000000"/>
              <w:left w:val="single" w:sz="4" w:space="0" w:color="000000"/>
              <w:bottom w:val="single" w:sz="4" w:space="0" w:color="000000"/>
              <w:right w:val="single" w:sz="4" w:space="0" w:color="000000"/>
            </w:tcBorders>
            <w:vAlign w:val="center"/>
          </w:tcPr>
          <w:p w14:paraId="5C16E45E" w14:textId="77777777" w:rsidR="00A769CA" w:rsidRDefault="008D3F3B">
            <w:pPr>
              <w:spacing w:line="360" w:lineRule="auto"/>
            </w:pPr>
            <w:r>
              <w:t>15 October 2025</w:t>
            </w:r>
          </w:p>
        </w:tc>
        <w:tc>
          <w:tcPr>
            <w:tcW w:w="225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543CB8D" w14:textId="77777777" w:rsidR="00A769CA" w:rsidRDefault="008D3F3B">
            <w:pPr>
              <w:spacing w:line="360" w:lineRule="auto"/>
            </w:pPr>
            <w:r>
              <w:t>Proposed end date:</w:t>
            </w:r>
          </w:p>
        </w:tc>
        <w:tc>
          <w:tcPr>
            <w:tcW w:w="1507" w:type="dxa"/>
            <w:tcBorders>
              <w:top w:val="single" w:sz="4" w:space="0" w:color="000000"/>
              <w:left w:val="single" w:sz="4" w:space="0" w:color="000000"/>
              <w:bottom w:val="single" w:sz="4" w:space="0" w:color="000000"/>
              <w:right w:val="single" w:sz="4" w:space="0" w:color="000000"/>
            </w:tcBorders>
            <w:vAlign w:val="center"/>
          </w:tcPr>
          <w:p w14:paraId="44E4E585" w14:textId="77777777" w:rsidR="00A769CA" w:rsidRDefault="008D3F3B">
            <w:pPr>
              <w:spacing w:line="360" w:lineRule="auto"/>
            </w:pPr>
            <w:r>
              <w:t>7 January 2026</w:t>
            </w:r>
          </w:p>
        </w:tc>
      </w:tr>
      <w:tr w:rsidR="00A769CA" w14:paraId="33A42CFA" w14:textId="77777777">
        <w:trPr>
          <w:trHeight w:val="450"/>
        </w:trPr>
        <w:tc>
          <w:tcPr>
            <w:tcW w:w="518" w:type="dxa"/>
            <w:tcBorders>
              <w:top w:val="single" w:sz="4" w:space="0" w:color="000000"/>
            </w:tcBorders>
            <w:shd w:val="clear" w:color="auto" w:fill="F2F2F2"/>
            <w:vAlign w:val="center"/>
          </w:tcPr>
          <w:p w14:paraId="44433BE4" w14:textId="77777777" w:rsidR="00A769CA" w:rsidRDefault="00A769CA">
            <w:pPr>
              <w:spacing w:before="120" w:after="120" w:line="360" w:lineRule="auto"/>
            </w:pPr>
          </w:p>
        </w:tc>
        <w:tc>
          <w:tcPr>
            <w:tcW w:w="8245" w:type="dxa"/>
            <w:gridSpan w:val="4"/>
            <w:tcBorders>
              <w:top w:val="single" w:sz="4" w:space="0" w:color="000000"/>
            </w:tcBorders>
            <w:shd w:val="clear" w:color="auto" w:fill="F2F2F2"/>
            <w:vAlign w:val="center"/>
          </w:tcPr>
          <w:p w14:paraId="625D7D68" w14:textId="77777777" w:rsidR="00A769CA" w:rsidRDefault="008D3F3B">
            <w:pPr>
              <w:spacing w:before="120" w:after="120" w:line="360" w:lineRule="auto"/>
              <w:rPr>
                <w:b/>
                <w:bCs/>
              </w:rPr>
            </w:pPr>
            <w:r>
              <w:rPr>
                <w:b/>
                <w:bCs/>
              </w:rPr>
              <w:t>Introduction to the Research (maximum 300 words per section)</w:t>
            </w:r>
          </w:p>
          <w:p w14:paraId="37A0E7FB" w14:textId="77777777" w:rsidR="00A769CA" w:rsidRDefault="008D3F3B">
            <w:pPr>
              <w:spacing w:before="120" w:after="120" w:line="360" w:lineRule="auto"/>
              <w:rPr>
                <w:b/>
                <w:bCs/>
              </w:rPr>
            </w:pPr>
            <w:r>
              <w:rPr>
                <w:b/>
                <w:bCs/>
              </w:rPr>
              <w:t xml:space="preserve">Ensure that you write for a </w:t>
            </w:r>
            <w:r>
              <w:rPr>
                <w:b/>
                <w:bCs/>
                <w:u w:val="single"/>
              </w:rPr>
              <w:t>Non-Specialist Audience</w:t>
            </w:r>
            <w:r>
              <w:rPr>
                <w:b/>
                <w:bCs/>
              </w:rPr>
              <w:t xml:space="preserve"> when outlining your response to the points below:</w:t>
            </w:r>
          </w:p>
          <w:p w14:paraId="32F062EC" w14:textId="77777777" w:rsidR="00A769CA" w:rsidRDefault="008D3F3B">
            <w:pPr>
              <w:numPr>
                <w:ilvl w:val="0"/>
                <w:numId w:val="2"/>
              </w:numPr>
              <w:spacing w:line="360" w:lineRule="auto"/>
              <w:rPr>
                <w:i/>
                <w:iCs/>
              </w:rPr>
            </w:pPr>
            <w:r>
              <w:rPr>
                <w:i/>
                <w:iCs/>
              </w:rPr>
              <w:t>Purpose of Research Activity</w:t>
            </w:r>
          </w:p>
          <w:p w14:paraId="4B0FD04D" w14:textId="77777777" w:rsidR="00A769CA" w:rsidRDefault="008D3F3B">
            <w:pPr>
              <w:numPr>
                <w:ilvl w:val="0"/>
                <w:numId w:val="2"/>
              </w:numPr>
              <w:spacing w:line="360" w:lineRule="auto"/>
              <w:rPr>
                <w:i/>
                <w:iCs/>
              </w:rPr>
            </w:pPr>
            <w:r>
              <w:rPr>
                <w:i/>
                <w:iCs/>
              </w:rPr>
              <w:t>Proposed Research Question</w:t>
            </w:r>
          </w:p>
          <w:p w14:paraId="38B6E846" w14:textId="77777777" w:rsidR="00A769CA" w:rsidRDefault="008D3F3B">
            <w:pPr>
              <w:numPr>
                <w:ilvl w:val="0"/>
                <w:numId w:val="2"/>
              </w:numPr>
              <w:spacing w:line="360" w:lineRule="auto"/>
              <w:rPr>
                <w:i/>
                <w:iCs/>
              </w:rPr>
            </w:pPr>
            <w:r>
              <w:rPr>
                <w:i/>
                <w:iCs/>
              </w:rPr>
              <w:t>Aims of Research Activity</w:t>
            </w:r>
          </w:p>
          <w:p w14:paraId="5BF99826" w14:textId="77777777" w:rsidR="00A769CA" w:rsidRDefault="008D3F3B">
            <w:pPr>
              <w:numPr>
                <w:ilvl w:val="0"/>
                <w:numId w:val="2"/>
              </w:numPr>
              <w:spacing w:after="240" w:line="360" w:lineRule="auto"/>
              <w:ind w:hanging="357"/>
              <w:rPr>
                <w:i/>
                <w:iCs/>
              </w:rPr>
            </w:pPr>
            <w:r>
              <w:rPr>
                <w:i/>
                <w:iCs/>
              </w:rPr>
              <w:t>Objectives of Research Activity</w:t>
            </w:r>
          </w:p>
          <w:p w14:paraId="114ED807" w14:textId="77777777" w:rsidR="00A769CA" w:rsidRDefault="008D3F3B">
            <w:pPr>
              <w:spacing w:after="120" w:line="360" w:lineRule="auto"/>
            </w:pPr>
            <w:r>
              <w:t xml:space="preserve">Demonstrate, briefly, how </w:t>
            </w:r>
            <w:r>
              <w:rPr>
                <w:b/>
                <w:bCs/>
                <w:u w:val="single"/>
              </w:rPr>
              <w:t>Existing Research</w:t>
            </w:r>
            <w:r>
              <w:t xml:space="preserve"> has informed the proposed activity and explain</w:t>
            </w:r>
          </w:p>
          <w:p w14:paraId="18C23F70" w14:textId="77777777" w:rsidR="00A769CA" w:rsidRDefault="008D3F3B">
            <w:pPr>
              <w:numPr>
                <w:ilvl w:val="0"/>
                <w:numId w:val="2"/>
              </w:numPr>
              <w:spacing w:line="360" w:lineRule="auto"/>
              <w:rPr>
                <w:i/>
                <w:iCs/>
              </w:rPr>
            </w:pPr>
            <w:r>
              <w:rPr>
                <w:i/>
                <w:iCs/>
              </w:rPr>
              <w:t xml:space="preserve">What the research activity will add to the body of knowledge </w:t>
            </w:r>
          </w:p>
          <w:p w14:paraId="6F087CAF" w14:textId="77777777" w:rsidR="00A769CA" w:rsidRDefault="008D3F3B">
            <w:pPr>
              <w:numPr>
                <w:ilvl w:val="0"/>
                <w:numId w:val="2"/>
              </w:numPr>
              <w:spacing w:line="360" w:lineRule="auto"/>
            </w:pPr>
            <w:r>
              <w:rPr>
                <w:i/>
                <w:iCs/>
              </w:rPr>
              <w:t xml:space="preserve">How it addresses an area of importance. </w:t>
            </w:r>
          </w:p>
        </w:tc>
      </w:tr>
      <w:tr w:rsidR="00A769CA" w14:paraId="27B83034" w14:textId="77777777">
        <w:trPr>
          <w:trHeight w:val="450"/>
        </w:trPr>
        <w:tc>
          <w:tcPr>
            <w:tcW w:w="518" w:type="dxa"/>
            <w:vAlign w:val="center"/>
          </w:tcPr>
          <w:p w14:paraId="3C5E3FC6" w14:textId="77777777" w:rsidR="00A769CA" w:rsidRDefault="008D3F3B">
            <w:pPr>
              <w:spacing w:line="360" w:lineRule="auto"/>
            </w:pPr>
            <w:r>
              <w:t>3</w:t>
            </w:r>
          </w:p>
        </w:tc>
        <w:tc>
          <w:tcPr>
            <w:tcW w:w="8245" w:type="dxa"/>
            <w:gridSpan w:val="4"/>
            <w:vAlign w:val="center"/>
          </w:tcPr>
          <w:p w14:paraId="06C15750" w14:textId="77777777" w:rsidR="00A769CA" w:rsidRDefault="008D3F3B">
            <w:pPr>
              <w:spacing w:line="360" w:lineRule="auto"/>
              <w:rPr>
                <w:b/>
                <w:bCs/>
              </w:rPr>
            </w:pPr>
            <w:r>
              <w:rPr>
                <w:b/>
                <w:bCs/>
              </w:rPr>
              <w:t>Purpose of Research Activity</w:t>
            </w:r>
          </w:p>
          <w:p w14:paraId="423F5D5F" w14:textId="77777777" w:rsidR="00A769CA" w:rsidRDefault="00A769CA">
            <w:pPr>
              <w:spacing w:line="360" w:lineRule="auto"/>
              <w:rPr>
                <w:sz w:val="20"/>
                <w:szCs w:val="20"/>
              </w:rPr>
            </w:pPr>
          </w:p>
          <w:p w14:paraId="13EDE007" w14:textId="77777777" w:rsidR="00A769CA" w:rsidRDefault="008D3F3B">
            <w:pPr>
              <w:spacing w:line="360" w:lineRule="auto"/>
              <w:jc w:val="both"/>
            </w:pPr>
            <w:r>
              <w:t>The research will explore how Strategic Supplier Relationship Management (SRM) influences key supply chain performance indicators such as efficiency, flexibility, and customer satisfaction. It aims to examine SRM components, assess their impact, identify barriers to effective implementation, and suggest improvements for supplier collaboration. The study will use secondary qualitative evidence to enhance understanding of strategic supplier partnerships within manufacturing, contributing to improved manageria</w:t>
            </w:r>
            <w:r>
              <w:t>l practices and sustainable competitive advantage.</w:t>
            </w:r>
          </w:p>
        </w:tc>
      </w:tr>
      <w:tr w:rsidR="00A769CA" w14:paraId="0EFCE3C6" w14:textId="77777777">
        <w:trPr>
          <w:trHeight w:val="450"/>
        </w:trPr>
        <w:tc>
          <w:tcPr>
            <w:tcW w:w="518" w:type="dxa"/>
            <w:vAlign w:val="center"/>
          </w:tcPr>
          <w:p w14:paraId="601E158D" w14:textId="77777777" w:rsidR="00A769CA" w:rsidRDefault="008D3F3B">
            <w:pPr>
              <w:spacing w:line="360" w:lineRule="auto"/>
            </w:pPr>
            <w:r>
              <w:t>4</w:t>
            </w:r>
          </w:p>
        </w:tc>
        <w:tc>
          <w:tcPr>
            <w:tcW w:w="8245" w:type="dxa"/>
            <w:gridSpan w:val="4"/>
            <w:vAlign w:val="center"/>
          </w:tcPr>
          <w:p w14:paraId="7D2DBA2E" w14:textId="77777777" w:rsidR="00A769CA" w:rsidRDefault="008D3F3B">
            <w:pPr>
              <w:spacing w:line="360" w:lineRule="auto"/>
              <w:rPr>
                <w:b/>
                <w:bCs/>
              </w:rPr>
            </w:pPr>
            <w:r>
              <w:rPr>
                <w:b/>
                <w:bCs/>
              </w:rPr>
              <w:t>Research Question</w:t>
            </w:r>
          </w:p>
          <w:p w14:paraId="5E4C6F7E" w14:textId="77777777" w:rsidR="00A769CA" w:rsidRDefault="00A769CA">
            <w:pPr>
              <w:spacing w:line="360" w:lineRule="auto"/>
              <w:rPr>
                <w:b/>
                <w:bCs/>
              </w:rPr>
            </w:pPr>
          </w:p>
          <w:p w14:paraId="355E2D7C" w14:textId="77777777" w:rsidR="00A769CA" w:rsidRDefault="008D3F3B">
            <w:pPr>
              <w:numPr>
                <w:ilvl w:val="0"/>
                <w:numId w:val="3"/>
              </w:numPr>
              <w:spacing w:line="360" w:lineRule="auto"/>
              <w:jc w:val="both"/>
            </w:pPr>
            <w:r>
              <w:t>What are the core components of strategic SRM in the manufacturing sector?</w:t>
            </w:r>
          </w:p>
          <w:p w14:paraId="7903B96C" w14:textId="77777777" w:rsidR="00A769CA" w:rsidRDefault="008D3F3B">
            <w:pPr>
              <w:numPr>
                <w:ilvl w:val="0"/>
                <w:numId w:val="3"/>
              </w:numPr>
              <w:spacing w:line="360" w:lineRule="auto"/>
              <w:jc w:val="both"/>
            </w:pPr>
            <w:r>
              <w:t>How does SRM influence supply chain performance indicators such as efficiency, flexibility, and customer satisfaction?</w:t>
            </w:r>
          </w:p>
          <w:p w14:paraId="1EED5A19" w14:textId="77777777" w:rsidR="00A769CA" w:rsidRDefault="008D3F3B">
            <w:pPr>
              <w:numPr>
                <w:ilvl w:val="0"/>
                <w:numId w:val="3"/>
              </w:numPr>
              <w:spacing w:line="360" w:lineRule="auto"/>
              <w:jc w:val="both"/>
            </w:pPr>
            <w:r>
              <w:t>What are the challenges and barriers that affect the effective implementation of SRM?</w:t>
            </w:r>
          </w:p>
          <w:p w14:paraId="12A64049" w14:textId="77777777" w:rsidR="00A769CA" w:rsidRDefault="008D3F3B">
            <w:pPr>
              <w:numPr>
                <w:ilvl w:val="0"/>
                <w:numId w:val="3"/>
              </w:numPr>
              <w:spacing w:line="360" w:lineRule="auto"/>
              <w:jc w:val="both"/>
            </w:pPr>
            <w:r>
              <w:t>What are managerial recommendations to strengthen supplier relationships for improved supply chain outcomes?</w:t>
            </w:r>
          </w:p>
        </w:tc>
      </w:tr>
      <w:tr w:rsidR="00A769CA" w14:paraId="52013BC2" w14:textId="77777777">
        <w:trPr>
          <w:trHeight w:val="450"/>
        </w:trPr>
        <w:tc>
          <w:tcPr>
            <w:tcW w:w="518" w:type="dxa"/>
            <w:vAlign w:val="center"/>
          </w:tcPr>
          <w:p w14:paraId="16BADFB3" w14:textId="77777777" w:rsidR="00A769CA" w:rsidRDefault="008D3F3B">
            <w:pPr>
              <w:spacing w:line="360" w:lineRule="auto"/>
            </w:pPr>
            <w:r>
              <w:lastRenderedPageBreak/>
              <w:t>5</w:t>
            </w:r>
          </w:p>
        </w:tc>
        <w:tc>
          <w:tcPr>
            <w:tcW w:w="8245" w:type="dxa"/>
            <w:gridSpan w:val="4"/>
            <w:vAlign w:val="center"/>
          </w:tcPr>
          <w:p w14:paraId="1A24956B" w14:textId="77777777" w:rsidR="00A769CA" w:rsidRDefault="008D3F3B">
            <w:pPr>
              <w:spacing w:line="360" w:lineRule="auto"/>
              <w:rPr>
                <w:b/>
                <w:bCs/>
              </w:rPr>
            </w:pPr>
            <w:r>
              <w:rPr>
                <w:b/>
                <w:bCs/>
              </w:rPr>
              <w:t>Aims of Research Activity</w:t>
            </w:r>
          </w:p>
          <w:p w14:paraId="0884F6FA" w14:textId="77777777" w:rsidR="00A769CA" w:rsidRDefault="00A769CA">
            <w:pPr>
              <w:spacing w:line="360" w:lineRule="auto"/>
              <w:rPr>
                <w:sz w:val="20"/>
                <w:szCs w:val="20"/>
              </w:rPr>
            </w:pPr>
          </w:p>
          <w:p w14:paraId="700384C6" w14:textId="77777777" w:rsidR="00A769CA" w:rsidRDefault="008D3F3B">
            <w:pPr>
              <w:spacing w:line="360" w:lineRule="auto"/>
              <w:jc w:val="both"/>
            </w:pPr>
            <w:r>
              <w:t>To evaluate the impact of strategic supplier relationship management on supply chain performance within the manufacturing sector.</w:t>
            </w:r>
          </w:p>
          <w:p w14:paraId="5209835C" w14:textId="77777777" w:rsidR="00A769CA" w:rsidRDefault="00A769CA">
            <w:pPr>
              <w:spacing w:line="360" w:lineRule="auto"/>
              <w:rPr>
                <w:sz w:val="20"/>
                <w:szCs w:val="20"/>
              </w:rPr>
            </w:pPr>
          </w:p>
        </w:tc>
      </w:tr>
      <w:tr w:rsidR="00A769CA" w14:paraId="4CE5D2A9" w14:textId="77777777">
        <w:trPr>
          <w:trHeight w:val="450"/>
        </w:trPr>
        <w:tc>
          <w:tcPr>
            <w:tcW w:w="518" w:type="dxa"/>
            <w:vAlign w:val="center"/>
          </w:tcPr>
          <w:p w14:paraId="145E6B6E" w14:textId="77777777" w:rsidR="00A769CA" w:rsidRDefault="008D3F3B">
            <w:pPr>
              <w:spacing w:line="360" w:lineRule="auto"/>
            </w:pPr>
            <w:r>
              <w:t>6</w:t>
            </w:r>
          </w:p>
        </w:tc>
        <w:tc>
          <w:tcPr>
            <w:tcW w:w="8245" w:type="dxa"/>
            <w:gridSpan w:val="4"/>
            <w:vAlign w:val="center"/>
          </w:tcPr>
          <w:p w14:paraId="054C084C" w14:textId="77777777" w:rsidR="00A769CA" w:rsidRDefault="008D3F3B">
            <w:pPr>
              <w:spacing w:line="360" w:lineRule="auto"/>
              <w:rPr>
                <w:b/>
                <w:bCs/>
              </w:rPr>
            </w:pPr>
            <w:r>
              <w:rPr>
                <w:b/>
                <w:bCs/>
              </w:rPr>
              <w:t>Objectives of Research Activity</w:t>
            </w:r>
          </w:p>
          <w:p w14:paraId="50E6FAF7" w14:textId="77777777" w:rsidR="00A769CA" w:rsidRDefault="00A769CA">
            <w:pPr>
              <w:spacing w:line="360" w:lineRule="auto"/>
              <w:rPr>
                <w:sz w:val="18"/>
                <w:szCs w:val="18"/>
              </w:rPr>
            </w:pPr>
          </w:p>
          <w:p w14:paraId="4836A7C7" w14:textId="77777777" w:rsidR="00A769CA" w:rsidRDefault="00A769CA">
            <w:pPr>
              <w:spacing w:line="360" w:lineRule="auto"/>
              <w:rPr>
                <w:sz w:val="20"/>
                <w:szCs w:val="20"/>
              </w:rPr>
            </w:pPr>
          </w:p>
          <w:p w14:paraId="73CF5328" w14:textId="77777777" w:rsidR="00A769CA" w:rsidRDefault="008D3F3B">
            <w:pPr>
              <w:numPr>
                <w:ilvl w:val="0"/>
                <w:numId w:val="1"/>
              </w:numPr>
              <w:spacing w:line="360" w:lineRule="auto"/>
              <w:jc w:val="both"/>
            </w:pPr>
            <w:r>
              <w:t>To examine the core components of strategic SRM in the manufacturing sector.</w:t>
            </w:r>
          </w:p>
          <w:p w14:paraId="73B62BE0" w14:textId="77777777" w:rsidR="00A769CA" w:rsidRDefault="008D3F3B">
            <w:pPr>
              <w:numPr>
                <w:ilvl w:val="0"/>
                <w:numId w:val="1"/>
              </w:numPr>
              <w:spacing w:line="360" w:lineRule="auto"/>
              <w:jc w:val="both"/>
            </w:pPr>
            <w:r>
              <w:t>To analyse SRM influence on supply chain performance indicators such as efficiency, flexibility, and customer satisfaction.</w:t>
            </w:r>
          </w:p>
          <w:p w14:paraId="2EBE2471" w14:textId="77777777" w:rsidR="00A769CA" w:rsidRDefault="008D3F3B">
            <w:pPr>
              <w:numPr>
                <w:ilvl w:val="0"/>
                <w:numId w:val="1"/>
              </w:numPr>
              <w:spacing w:line="360" w:lineRule="auto"/>
              <w:jc w:val="both"/>
            </w:pPr>
            <w:r>
              <w:t>To identify the challenges and barriers that affect the effective implementation of SRM.</w:t>
            </w:r>
          </w:p>
          <w:p w14:paraId="4F88C476" w14:textId="77777777" w:rsidR="00A769CA" w:rsidRDefault="008D3F3B">
            <w:pPr>
              <w:numPr>
                <w:ilvl w:val="0"/>
                <w:numId w:val="1"/>
              </w:numPr>
              <w:spacing w:line="360" w:lineRule="auto"/>
              <w:jc w:val="both"/>
            </w:pPr>
            <w:r>
              <w:t>To provide managerial recommendations to strengthen supplier relationships for improved supply chain outcomes.</w:t>
            </w:r>
          </w:p>
        </w:tc>
      </w:tr>
      <w:tr w:rsidR="00A769CA" w14:paraId="5606B095" w14:textId="77777777">
        <w:trPr>
          <w:trHeight w:val="450"/>
        </w:trPr>
        <w:tc>
          <w:tcPr>
            <w:tcW w:w="518" w:type="dxa"/>
            <w:shd w:val="clear" w:color="auto" w:fill="F2F2F2"/>
            <w:vAlign w:val="center"/>
          </w:tcPr>
          <w:p w14:paraId="27CF7789" w14:textId="77777777" w:rsidR="00A769CA" w:rsidRDefault="00A769CA">
            <w:pPr>
              <w:spacing w:before="120" w:after="120" w:line="360" w:lineRule="auto"/>
            </w:pPr>
          </w:p>
        </w:tc>
        <w:tc>
          <w:tcPr>
            <w:tcW w:w="8245" w:type="dxa"/>
            <w:gridSpan w:val="4"/>
            <w:shd w:val="clear" w:color="auto" w:fill="F2F2F2"/>
            <w:vAlign w:val="center"/>
          </w:tcPr>
          <w:p w14:paraId="5D2989F3" w14:textId="77777777" w:rsidR="00A769CA" w:rsidRDefault="008D3F3B">
            <w:pPr>
              <w:spacing w:before="120" w:after="120" w:line="360" w:lineRule="auto"/>
              <w:rPr>
                <w:b/>
                <w:bCs/>
              </w:rPr>
            </w:pPr>
            <w:r>
              <w:rPr>
                <w:b/>
                <w:bCs/>
              </w:rPr>
              <w:t>Proposed methods (maximum 600 words)</w:t>
            </w:r>
          </w:p>
          <w:p w14:paraId="1D9E1E8C" w14:textId="77777777" w:rsidR="00A769CA" w:rsidRDefault="008D3F3B">
            <w:pPr>
              <w:spacing w:line="360" w:lineRule="auto"/>
            </w:pPr>
            <w:r>
              <w:t xml:space="preserve">Provide </w:t>
            </w:r>
            <w:proofErr w:type="gramStart"/>
            <w:r>
              <w:t>a brief summary</w:t>
            </w:r>
            <w:proofErr w:type="gramEnd"/>
            <w:r>
              <w:t xml:space="preserve"> of all the methods that </w:t>
            </w:r>
            <w:r>
              <w:rPr>
                <w:b/>
                <w:bCs/>
              </w:rPr>
              <w:t>may</w:t>
            </w:r>
            <w: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t>here, but</w:t>
            </w:r>
            <w:proofErr w:type="gramEnd"/>
            <w:r>
              <w:t xml:space="preserve"> should instead describe how you intend to collect the data necessary for you to complete your project.</w:t>
            </w:r>
          </w:p>
        </w:tc>
      </w:tr>
      <w:tr w:rsidR="00A769CA" w14:paraId="4E756DB9" w14:textId="77777777">
        <w:trPr>
          <w:trHeight w:val="450"/>
        </w:trPr>
        <w:tc>
          <w:tcPr>
            <w:tcW w:w="518" w:type="dxa"/>
            <w:vAlign w:val="center"/>
          </w:tcPr>
          <w:p w14:paraId="59B12828" w14:textId="77777777" w:rsidR="00A769CA" w:rsidRDefault="008D3F3B">
            <w:pPr>
              <w:spacing w:line="360" w:lineRule="auto"/>
            </w:pPr>
            <w:r>
              <w:t>7</w:t>
            </w:r>
          </w:p>
        </w:tc>
        <w:tc>
          <w:tcPr>
            <w:tcW w:w="8245" w:type="dxa"/>
            <w:gridSpan w:val="4"/>
            <w:vAlign w:val="center"/>
          </w:tcPr>
          <w:p w14:paraId="7C5E732D" w14:textId="77777777" w:rsidR="00A769CA" w:rsidRDefault="008D3F3B">
            <w:pPr>
              <w:spacing w:line="360" w:lineRule="auto"/>
              <w:jc w:val="both"/>
            </w:pPr>
            <w:r>
              <w:t>The study will adopt an interpretivist philosophy to explore managerial meanings behind SRM practices. An inductive approach will guide conceptual understanding from secondary data, while a descriptive design will structure findings clearly. A qualitative method will be used, analysing secondary sources such as peer-reviewed journals, industry reports, and case studies from databases like Scopus and ScienceDirect. Data will be analysed through thematic analysis, identifying patterns across SRM components, p</w:t>
            </w:r>
            <w:r>
              <w:t>erformance impacts, and challenges.</w:t>
            </w:r>
          </w:p>
        </w:tc>
      </w:tr>
      <w:tr w:rsidR="00A769CA" w14:paraId="6EA2DAAC" w14:textId="77777777">
        <w:trPr>
          <w:trHeight w:val="450"/>
        </w:trPr>
        <w:tc>
          <w:tcPr>
            <w:tcW w:w="518" w:type="dxa"/>
            <w:shd w:val="clear" w:color="auto" w:fill="F2F2F2"/>
            <w:vAlign w:val="center"/>
          </w:tcPr>
          <w:p w14:paraId="09FF2D19" w14:textId="77777777" w:rsidR="00A769CA" w:rsidRDefault="00A769CA">
            <w:pPr>
              <w:spacing w:before="120" w:line="360" w:lineRule="auto"/>
            </w:pPr>
          </w:p>
        </w:tc>
        <w:tc>
          <w:tcPr>
            <w:tcW w:w="8245" w:type="dxa"/>
            <w:gridSpan w:val="4"/>
            <w:shd w:val="clear" w:color="auto" w:fill="F2F2F2"/>
            <w:vAlign w:val="center"/>
          </w:tcPr>
          <w:p w14:paraId="1D71D839" w14:textId="77777777" w:rsidR="00A769CA" w:rsidRDefault="008D3F3B">
            <w:pPr>
              <w:spacing w:before="120" w:line="360" w:lineRule="auto"/>
              <w:rPr>
                <w:b/>
                <w:bCs/>
              </w:rPr>
            </w:pPr>
            <w:r>
              <w:rPr>
                <w:b/>
                <w:bCs/>
              </w:rPr>
              <w:t>Location of research activity</w:t>
            </w:r>
          </w:p>
          <w:p w14:paraId="3380C8C4" w14:textId="77777777" w:rsidR="00A769CA" w:rsidRDefault="008D3F3B">
            <w:pPr>
              <w:spacing w:line="360" w:lineRule="auto"/>
            </w:pPr>
            <w:r>
              <w:t>Identify all locations where research activity will take place.</w:t>
            </w:r>
          </w:p>
        </w:tc>
      </w:tr>
      <w:tr w:rsidR="00A769CA" w14:paraId="659B3D26" w14:textId="77777777">
        <w:trPr>
          <w:trHeight w:val="450"/>
        </w:trPr>
        <w:tc>
          <w:tcPr>
            <w:tcW w:w="518" w:type="dxa"/>
            <w:vAlign w:val="center"/>
          </w:tcPr>
          <w:p w14:paraId="78ABDFA8" w14:textId="77777777" w:rsidR="00A769CA" w:rsidRDefault="008D3F3B">
            <w:pPr>
              <w:spacing w:line="360" w:lineRule="auto"/>
            </w:pPr>
            <w:r>
              <w:t>8</w:t>
            </w:r>
          </w:p>
        </w:tc>
        <w:tc>
          <w:tcPr>
            <w:tcW w:w="8245" w:type="dxa"/>
            <w:gridSpan w:val="4"/>
            <w:vAlign w:val="center"/>
          </w:tcPr>
          <w:p w14:paraId="74B034E0" w14:textId="77777777" w:rsidR="00A769CA" w:rsidRDefault="00A769CA">
            <w:pPr>
              <w:spacing w:line="360" w:lineRule="auto"/>
            </w:pPr>
          </w:p>
          <w:p w14:paraId="26E97787" w14:textId="77777777" w:rsidR="00A769CA" w:rsidRDefault="008D3F3B">
            <w:pPr>
              <w:spacing w:line="360" w:lineRule="auto"/>
              <w:rPr>
                <w:b/>
                <w:bCs/>
              </w:rPr>
            </w:pPr>
            <w:r>
              <w:t>Online – University library databases.</w:t>
            </w:r>
          </w:p>
        </w:tc>
      </w:tr>
      <w:tr w:rsidR="00A769CA" w14:paraId="357221F5" w14:textId="77777777">
        <w:trPr>
          <w:trHeight w:val="450"/>
        </w:trPr>
        <w:tc>
          <w:tcPr>
            <w:tcW w:w="518" w:type="dxa"/>
            <w:shd w:val="clear" w:color="auto" w:fill="F2F2F2"/>
            <w:vAlign w:val="center"/>
          </w:tcPr>
          <w:p w14:paraId="0F85C31C" w14:textId="77777777" w:rsidR="00A769CA" w:rsidRDefault="00A769CA">
            <w:pPr>
              <w:spacing w:before="120" w:line="360" w:lineRule="auto"/>
            </w:pPr>
          </w:p>
        </w:tc>
        <w:tc>
          <w:tcPr>
            <w:tcW w:w="8245" w:type="dxa"/>
            <w:gridSpan w:val="4"/>
            <w:shd w:val="clear" w:color="auto" w:fill="F2F2F2"/>
            <w:vAlign w:val="center"/>
          </w:tcPr>
          <w:p w14:paraId="199AB6A8" w14:textId="77777777" w:rsidR="00A769CA" w:rsidRDefault="008D3F3B">
            <w:pPr>
              <w:spacing w:before="120" w:line="360" w:lineRule="auto"/>
              <w:rPr>
                <w:b/>
                <w:bCs/>
              </w:rPr>
            </w:pPr>
            <w:r>
              <w:rPr>
                <w:b/>
                <w:bCs/>
              </w:rPr>
              <w:t>Research activity outside of the UK</w:t>
            </w:r>
          </w:p>
          <w:p w14:paraId="5F5E0852" w14:textId="77777777" w:rsidR="00A769CA" w:rsidRDefault="008D3F3B">
            <w:pPr>
              <w:spacing w:line="360" w:lineRule="auto"/>
            </w:pPr>
            <w: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w:t>
            </w:r>
            <w:r>
              <w:t xml:space="preserve">ontext in which the research activity is taking place, for example, </w:t>
            </w:r>
            <w:proofErr w:type="gramStart"/>
            <w:r>
              <w:t>particular cultural</w:t>
            </w:r>
            <w:proofErr w:type="gramEnd"/>
            <w:r>
              <w:t xml:space="preserve"> and/or legal sensitivities or vulnerabilities of participants. If you live in the country where you will do the </w:t>
            </w:r>
            <w:proofErr w:type="gramStart"/>
            <w:r>
              <w:t>research</w:t>
            </w:r>
            <w:proofErr w:type="gramEnd"/>
            <w:r>
              <w:t xml:space="preserve"> then please state this.</w:t>
            </w:r>
          </w:p>
        </w:tc>
      </w:tr>
      <w:tr w:rsidR="00A769CA" w14:paraId="73059A3E" w14:textId="77777777">
        <w:trPr>
          <w:trHeight w:val="450"/>
        </w:trPr>
        <w:tc>
          <w:tcPr>
            <w:tcW w:w="518" w:type="dxa"/>
            <w:vAlign w:val="center"/>
          </w:tcPr>
          <w:p w14:paraId="768D8A9E" w14:textId="77777777" w:rsidR="00A769CA" w:rsidRDefault="008D3F3B">
            <w:pPr>
              <w:spacing w:line="360" w:lineRule="auto"/>
            </w:pPr>
            <w:r>
              <w:t>9</w:t>
            </w:r>
          </w:p>
        </w:tc>
        <w:tc>
          <w:tcPr>
            <w:tcW w:w="8245" w:type="dxa"/>
            <w:gridSpan w:val="4"/>
            <w:vAlign w:val="center"/>
          </w:tcPr>
          <w:p w14:paraId="2F0BCEB4" w14:textId="77777777" w:rsidR="00A769CA" w:rsidRDefault="008D3F3B">
            <w:pPr>
              <w:spacing w:line="360" w:lineRule="auto"/>
              <w:rPr>
                <w:b/>
                <w:bCs/>
                <w:i/>
                <w:iCs/>
              </w:rPr>
            </w:pPr>
            <w:r>
              <w:t>NO</w:t>
            </w:r>
          </w:p>
        </w:tc>
      </w:tr>
    </w:tbl>
    <w:p w14:paraId="38FB27F9" w14:textId="77777777" w:rsidR="00A769CA" w:rsidRDefault="00A769CA">
      <w:pPr>
        <w:spacing w:line="360" w:lineRule="auto"/>
        <w:rPr>
          <w:rFonts w:ascii="Times New Roman" w:eastAsia="Times New Roman" w:hAnsi="Times New Roman" w:cs="Times New Roman"/>
          <w:sz w:val="20"/>
          <w:szCs w:val="20"/>
        </w:rPr>
      </w:pPr>
    </w:p>
    <w:tbl>
      <w:tblPr>
        <w:tblStyle w:val="aff"/>
        <w:tblW w:w="9291"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96"/>
        <w:gridCol w:w="6525"/>
        <w:gridCol w:w="1134"/>
        <w:gridCol w:w="1136"/>
      </w:tblGrid>
      <w:tr w:rsidR="00A769CA" w14:paraId="74E12BB2" w14:textId="77777777">
        <w:trPr>
          <w:trHeight w:val="348"/>
        </w:trPr>
        <w:tc>
          <w:tcPr>
            <w:tcW w:w="496" w:type="dxa"/>
            <w:vMerge w:val="restart"/>
            <w:shd w:val="clear" w:color="auto" w:fill="F2F2F2"/>
            <w:vAlign w:val="center"/>
          </w:tcPr>
          <w:p w14:paraId="16394111" w14:textId="77777777" w:rsidR="00A769CA" w:rsidRDefault="008D3F3B">
            <w:pPr>
              <w:spacing w:line="360" w:lineRule="auto"/>
            </w:pPr>
            <w:r>
              <w:t>10</w:t>
            </w:r>
          </w:p>
        </w:tc>
        <w:tc>
          <w:tcPr>
            <w:tcW w:w="6525" w:type="dxa"/>
            <w:vMerge w:val="restart"/>
            <w:shd w:val="clear" w:color="auto" w:fill="F2F2F2"/>
            <w:vAlign w:val="center"/>
          </w:tcPr>
          <w:p w14:paraId="2D81F933" w14:textId="77777777" w:rsidR="00A769CA" w:rsidRDefault="008D3F3B">
            <w:pPr>
              <w:spacing w:line="360" w:lineRule="auto"/>
            </w:pPr>
            <w:r>
              <w:t xml:space="preserve">Use of documentation not in the public domain: Are any documents </w:t>
            </w:r>
            <w:r>
              <w:rPr>
                <w:b/>
                <w:bCs/>
                <w:u w:val="single"/>
              </w:rPr>
              <w:t>NOT</w:t>
            </w:r>
            <w:r>
              <w:t xml:space="preserve"> publicly available? </w:t>
            </w:r>
          </w:p>
          <w:p w14:paraId="6E41F310" w14:textId="77777777" w:rsidR="00A769CA" w:rsidRDefault="00A769CA">
            <w:pPr>
              <w:spacing w:line="360" w:lineRule="auto"/>
            </w:pPr>
          </w:p>
        </w:tc>
        <w:tc>
          <w:tcPr>
            <w:tcW w:w="1134" w:type="dxa"/>
            <w:shd w:val="clear" w:color="auto" w:fill="F2F2F2"/>
            <w:vAlign w:val="center"/>
          </w:tcPr>
          <w:p w14:paraId="7316AF56" w14:textId="77777777" w:rsidR="00A769CA" w:rsidRDefault="008D3F3B">
            <w:pPr>
              <w:spacing w:line="360" w:lineRule="auto"/>
              <w:jc w:val="center"/>
              <w:rPr>
                <w:b/>
                <w:bCs/>
              </w:rPr>
            </w:pPr>
            <w:r>
              <w:rPr>
                <w:b/>
                <w:bCs/>
              </w:rPr>
              <w:t>NO</w:t>
            </w:r>
          </w:p>
        </w:tc>
        <w:tc>
          <w:tcPr>
            <w:tcW w:w="1136" w:type="dxa"/>
            <w:shd w:val="clear" w:color="auto" w:fill="D9D9D9"/>
            <w:vAlign w:val="center"/>
          </w:tcPr>
          <w:p w14:paraId="4851601E" w14:textId="77777777" w:rsidR="00A769CA" w:rsidRDefault="008D3F3B">
            <w:pPr>
              <w:spacing w:line="360" w:lineRule="auto"/>
              <w:jc w:val="center"/>
            </w:pPr>
            <w:r>
              <w:rPr>
                <w:rFonts w:ascii="MS Gothic" w:eastAsia="MS Gothic" w:hAnsi="MS Gothic" w:cs="MS Gothic"/>
              </w:rPr>
              <w:t>☑</w:t>
            </w:r>
          </w:p>
        </w:tc>
      </w:tr>
      <w:tr w:rsidR="00A769CA" w14:paraId="3DC61818" w14:textId="77777777">
        <w:trPr>
          <w:trHeight w:val="198"/>
        </w:trPr>
        <w:tc>
          <w:tcPr>
            <w:tcW w:w="496" w:type="dxa"/>
            <w:vMerge/>
            <w:shd w:val="clear" w:color="auto" w:fill="F2F2F2"/>
            <w:vAlign w:val="center"/>
          </w:tcPr>
          <w:p w14:paraId="7D5652D5" w14:textId="77777777" w:rsidR="00A769CA" w:rsidRDefault="00A769CA">
            <w:pPr>
              <w:widowControl w:val="0"/>
              <w:pBdr>
                <w:top w:val="nil"/>
                <w:left w:val="nil"/>
                <w:bottom w:val="nil"/>
                <w:right w:val="nil"/>
                <w:between w:val="nil"/>
              </w:pBdr>
              <w:spacing w:line="360" w:lineRule="auto"/>
            </w:pPr>
          </w:p>
        </w:tc>
        <w:tc>
          <w:tcPr>
            <w:tcW w:w="6525" w:type="dxa"/>
            <w:vMerge/>
            <w:shd w:val="clear" w:color="auto" w:fill="F2F2F2"/>
            <w:vAlign w:val="center"/>
          </w:tcPr>
          <w:p w14:paraId="73B4A94A" w14:textId="77777777" w:rsidR="00A769CA" w:rsidRDefault="00A769CA">
            <w:pPr>
              <w:widowControl w:val="0"/>
              <w:pBdr>
                <w:top w:val="nil"/>
                <w:left w:val="nil"/>
                <w:bottom w:val="nil"/>
                <w:right w:val="nil"/>
                <w:between w:val="nil"/>
              </w:pBdr>
              <w:spacing w:line="360" w:lineRule="auto"/>
            </w:pPr>
          </w:p>
        </w:tc>
        <w:tc>
          <w:tcPr>
            <w:tcW w:w="1134" w:type="dxa"/>
            <w:shd w:val="clear" w:color="auto" w:fill="F2F2F2"/>
            <w:vAlign w:val="center"/>
          </w:tcPr>
          <w:p w14:paraId="74CF7C15" w14:textId="77777777" w:rsidR="00A769CA" w:rsidRDefault="008D3F3B">
            <w:pPr>
              <w:spacing w:line="360" w:lineRule="auto"/>
              <w:jc w:val="center"/>
              <w:rPr>
                <w:b/>
                <w:bCs/>
              </w:rPr>
            </w:pPr>
            <w:r>
              <w:rPr>
                <w:b/>
                <w:bCs/>
              </w:rPr>
              <w:t>YES</w:t>
            </w:r>
          </w:p>
        </w:tc>
        <w:tc>
          <w:tcPr>
            <w:tcW w:w="1136" w:type="dxa"/>
            <w:shd w:val="clear" w:color="auto" w:fill="D9D9D9"/>
            <w:vAlign w:val="center"/>
          </w:tcPr>
          <w:p w14:paraId="56D829BD" w14:textId="77777777" w:rsidR="00A769CA" w:rsidRDefault="008D3F3B">
            <w:pPr>
              <w:spacing w:line="360" w:lineRule="auto"/>
              <w:jc w:val="center"/>
            </w:pPr>
            <w:r>
              <w:rPr>
                <w:rFonts w:ascii="MS Gothic" w:eastAsia="MS Gothic" w:hAnsi="MS Gothic" w:cs="MS Gothic"/>
              </w:rPr>
              <w:t>☐</w:t>
            </w:r>
          </w:p>
        </w:tc>
      </w:tr>
      <w:tr w:rsidR="00A769CA" w14:paraId="0C511B9E" w14:textId="77777777">
        <w:trPr>
          <w:trHeight w:val="1377"/>
        </w:trPr>
        <w:tc>
          <w:tcPr>
            <w:tcW w:w="496" w:type="dxa"/>
            <w:shd w:val="clear" w:color="auto" w:fill="FFFFFF"/>
            <w:vAlign w:val="center"/>
          </w:tcPr>
          <w:p w14:paraId="739721CA" w14:textId="77777777" w:rsidR="00A769CA" w:rsidRDefault="008D3F3B">
            <w:pPr>
              <w:spacing w:line="360" w:lineRule="auto"/>
            </w:pPr>
            <w:r>
              <w:t>11</w:t>
            </w:r>
          </w:p>
        </w:tc>
        <w:tc>
          <w:tcPr>
            <w:tcW w:w="8795" w:type="dxa"/>
            <w:gridSpan w:val="3"/>
            <w:shd w:val="clear" w:color="auto" w:fill="FFFFFF"/>
          </w:tcPr>
          <w:p w14:paraId="07F830C2" w14:textId="77777777" w:rsidR="00A769CA" w:rsidRDefault="008D3F3B">
            <w:pPr>
              <w:spacing w:line="360" w:lineRule="auto"/>
            </w:pPr>
            <w:r>
              <w:t xml:space="preserve">If </w:t>
            </w:r>
            <w:proofErr w:type="gramStart"/>
            <w:r>
              <w:t>Yes</w:t>
            </w:r>
            <w:proofErr w:type="gramEnd"/>
            <w:r>
              <w:t>, please provide details here of how you will gain access to specific documentation that is not in the public domain and that this is in accordance with the current data protection law of the country in question and that of England and Wales.</w:t>
            </w:r>
          </w:p>
          <w:p w14:paraId="57732504" w14:textId="77777777" w:rsidR="00A769CA" w:rsidRDefault="00A769CA">
            <w:pPr>
              <w:spacing w:line="360" w:lineRule="auto"/>
            </w:pPr>
          </w:p>
          <w:p w14:paraId="77600089" w14:textId="77777777" w:rsidR="00A769CA" w:rsidRDefault="00A769CA">
            <w:pPr>
              <w:spacing w:line="360" w:lineRule="auto"/>
            </w:pPr>
          </w:p>
          <w:p w14:paraId="3901922A" w14:textId="77777777" w:rsidR="00A769CA" w:rsidRDefault="00A769CA">
            <w:pPr>
              <w:spacing w:line="360" w:lineRule="auto"/>
            </w:pPr>
          </w:p>
        </w:tc>
      </w:tr>
    </w:tbl>
    <w:p w14:paraId="1E9D4562" w14:textId="77777777" w:rsidR="00A769CA" w:rsidRDefault="00A769CA">
      <w:pPr>
        <w:spacing w:after="240" w:line="360" w:lineRule="auto"/>
        <w:jc w:val="both"/>
        <w:rPr>
          <w:b/>
          <w:bCs/>
        </w:rPr>
      </w:pPr>
    </w:p>
    <w:tbl>
      <w:tblPr>
        <w:tblStyle w:val="aff0"/>
        <w:tblW w:w="87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9"/>
        <w:gridCol w:w="6868"/>
        <w:gridCol w:w="710"/>
        <w:gridCol w:w="687"/>
      </w:tblGrid>
      <w:tr w:rsidR="00A769CA" w14:paraId="552E17B6" w14:textId="77777777">
        <w:trPr>
          <w:trHeight w:val="461"/>
        </w:trPr>
        <w:tc>
          <w:tcPr>
            <w:tcW w:w="469" w:type="dxa"/>
            <w:shd w:val="clear" w:color="auto" w:fill="F2F2F2"/>
            <w:vAlign w:val="center"/>
          </w:tcPr>
          <w:p w14:paraId="127B70EF" w14:textId="77777777" w:rsidR="00A769CA" w:rsidRDefault="00A769CA">
            <w:pPr>
              <w:spacing w:line="360" w:lineRule="auto"/>
              <w:jc w:val="center"/>
              <w:rPr>
                <w:b/>
                <w:bCs/>
              </w:rPr>
            </w:pPr>
          </w:p>
        </w:tc>
        <w:tc>
          <w:tcPr>
            <w:tcW w:w="6868" w:type="dxa"/>
            <w:shd w:val="clear" w:color="auto" w:fill="F2F2F2"/>
          </w:tcPr>
          <w:p w14:paraId="24A83A5F" w14:textId="77777777" w:rsidR="00A769CA" w:rsidRDefault="008D3F3B">
            <w:pPr>
              <w:spacing w:line="360" w:lineRule="auto"/>
              <w:jc w:val="both"/>
              <w:rPr>
                <w:b/>
                <w:bCs/>
              </w:rPr>
            </w:pPr>
            <w:r>
              <w:rPr>
                <w:b/>
                <w:bCs/>
              </w:rPr>
              <w:t>Does your research relate to one or more of the seven aims of the Well-being of Future Generations (Wales) Act 2015?</w:t>
            </w:r>
          </w:p>
        </w:tc>
        <w:tc>
          <w:tcPr>
            <w:tcW w:w="710" w:type="dxa"/>
            <w:shd w:val="clear" w:color="auto" w:fill="F2F2F2"/>
          </w:tcPr>
          <w:p w14:paraId="64D4152B" w14:textId="77777777" w:rsidR="00A769CA" w:rsidRDefault="00A769CA">
            <w:pPr>
              <w:spacing w:line="360" w:lineRule="auto"/>
              <w:jc w:val="center"/>
              <w:rPr>
                <w:b/>
                <w:bCs/>
              </w:rPr>
            </w:pPr>
          </w:p>
          <w:p w14:paraId="373CF77A" w14:textId="77777777" w:rsidR="00A769CA" w:rsidRDefault="008D3F3B">
            <w:pPr>
              <w:spacing w:line="360" w:lineRule="auto"/>
              <w:jc w:val="center"/>
              <w:rPr>
                <w:b/>
                <w:bCs/>
              </w:rPr>
            </w:pPr>
            <w:r>
              <w:rPr>
                <w:b/>
                <w:bCs/>
              </w:rPr>
              <w:t>YES</w:t>
            </w:r>
          </w:p>
        </w:tc>
        <w:tc>
          <w:tcPr>
            <w:tcW w:w="687" w:type="dxa"/>
            <w:shd w:val="clear" w:color="auto" w:fill="F2F2F2"/>
          </w:tcPr>
          <w:p w14:paraId="38EEC987" w14:textId="77777777" w:rsidR="00A769CA" w:rsidRDefault="00A769CA">
            <w:pPr>
              <w:spacing w:line="360" w:lineRule="auto"/>
              <w:jc w:val="center"/>
              <w:rPr>
                <w:b/>
                <w:bCs/>
              </w:rPr>
            </w:pPr>
          </w:p>
          <w:p w14:paraId="3BB62173" w14:textId="77777777" w:rsidR="00A769CA" w:rsidRDefault="008D3F3B">
            <w:pPr>
              <w:spacing w:line="360" w:lineRule="auto"/>
              <w:jc w:val="center"/>
              <w:rPr>
                <w:b/>
                <w:bCs/>
              </w:rPr>
            </w:pPr>
            <w:r>
              <w:rPr>
                <w:b/>
                <w:bCs/>
              </w:rPr>
              <w:t>NO</w:t>
            </w:r>
          </w:p>
        </w:tc>
      </w:tr>
      <w:tr w:rsidR="00A769CA" w14:paraId="0F3CFEEB" w14:textId="77777777">
        <w:trPr>
          <w:trHeight w:val="401"/>
        </w:trPr>
        <w:tc>
          <w:tcPr>
            <w:tcW w:w="469" w:type="dxa"/>
            <w:shd w:val="clear" w:color="auto" w:fill="F2F2F2"/>
            <w:vAlign w:val="center"/>
          </w:tcPr>
          <w:p w14:paraId="64508046" w14:textId="77777777" w:rsidR="00A769CA" w:rsidRDefault="008D3F3B">
            <w:pPr>
              <w:spacing w:line="360" w:lineRule="auto"/>
              <w:jc w:val="center"/>
            </w:pPr>
            <w:r>
              <w:t>12</w:t>
            </w:r>
          </w:p>
        </w:tc>
        <w:tc>
          <w:tcPr>
            <w:tcW w:w="6868" w:type="dxa"/>
            <w:shd w:val="clear" w:color="auto" w:fill="F2F2F2"/>
            <w:vAlign w:val="center"/>
          </w:tcPr>
          <w:p w14:paraId="7F55F17D" w14:textId="77777777" w:rsidR="00A769CA" w:rsidRDefault="008D3F3B">
            <w:pPr>
              <w:spacing w:line="360" w:lineRule="auto"/>
            </w:pPr>
            <w:r>
              <w:t>A prosperous Wales</w:t>
            </w:r>
          </w:p>
        </w:tc>
        <w:tc>
          <w:tcPr>
            <w:tcW w:w="710" w:type="dxa"/>
            <w:shd w:val="clear" w:color="auto" w:fill="BFBFBF"/>
            <w:vAlign w:val="center"/>
          </w:tcPr>
          <w:p w14:paraId="1F1E567A" w14:textId="77777777" w:rsidR="00A769CA" w:rsidRDefault="008D3F3B">
            <w:pPr>
              <w:spacing w:line="360" w:lineRule="auto"/>
              <w:jc w:val="center"/>
            </w:pPr>
            <w:r>
              <w:rPr>
                <w:rFonts w:ascii="MS Gothic" w:eastAsia="MS Gothic" w:hAnsi="MS Gothic" w:cs="MS Gothic"/>
              </w:rPr>
              <w:t>☑</w:t>
            </w:r>
          </w:p>
        </w:tc>
        <w:tc>
          <w:tcPr>
            <w:tcW w:w="687" w:type="dxa"/>
            <w:shd w:val="clear" w:color="auto" w:fill="BFBFBF"/>
            <w:vAlign w:val="center"/>
          </w:tcPr>
          <w:p w14:paraId="69E848C8" w14:textId="77777777" w:rsidR="00A769CA" w:rsidRDefault="008D3F3B">
            <w:pPr>
              <w:spacing w:line="360" w:lineRule="auto"/>
              <w:jc w:val="center"/>
            </w:pPr>
            <w:r>
              <w:rPr>
                <w:rFonts w:ascii="MS Gothic" w:eastAsia="MS Gothic" w:hAnsi="MS Gothic" w:cs="MS Gothic"/>
              </w:rPr>
              <w:t>☐</w:t>
            </w:r>
          </w:p>
        </w:tc>
      </w:tr>
      <w:tr w:rsidR="00A769CA" w14:paraId="71A88C0E" w14:textId="77777777">
        <w:trPr>
          <w:trHeight w:val="368"/>
        </w:trPr>
        <w:tc>
          <w:tcPr>
            <w:tcW w:w="469" w:type="dxa"/>
            <w:shd w:val="clear" w:color="auto" w:fill="F2F2F2"/>
            <w:vAlign w:val="center"/>
          </w:tcPr>
          <w:p w14:paraId="320C442E" w14:textId="77777777" w:rsidR="00A769CA" w:rsidRDefault="008D3F3B">
            <w:pPr>
              <w:spacing w:line="360" w:lineRule="auto"/>
              <w:jc w:val="center"/>
            </w:pPr>
            <w:r>
              <w:t>13</w:t>
            </w:r>
          </w:p>
        </w:tc>
        <w:tc>
          <w:tcPr>
            <w:tcW w:w="6868" w:type="dxa"/>
            <w:shd w:val="clear" w:color="auto" w:fill="F2F2F2"/>
            <w:vAlign w:val="center"/>
          </w:tcPr>
          <w:p w14:paraId="1BA06524" w14:textId="77777777" w:rsidR="00A769CA" w:rsidRDefault="008D3F3B">
            <w:pPr>
              <w:spacing w:line="360" w:lineRule="auto"/>
            </w:pPr>
            <w:r>
              <w:t>A resilient Wales</w:t>
            </w:r>
          </w:p>
        </w:tc>
        <w:tc>
          <w:tcPr>
            <w:tcW w:w="710" w:type="dxa"/>
            <w:shd w:val="clear" w:color="auto" w:fill="BFBFBF"/>
            <w:vAlign w:val="center"/>
          </w:tcPr>
          <w:p w14:paraId="7354D40B" w14:textId="77777777" w:rsidR="00A769CA" w:rsidRDefault="008D3F3B">
            <w:pPr>
              <w:spacing w:line="360" w:lineRule="auto"/>
              <w:jc w:val="center"/>
            </w:pPr>
            <w:r>
              <w:rPr>
                <w:rFonts w:ascii="MS Gothic" w:eastAsia="MS Gothic" w:hAnsi="MS Gothic" w:cs="MS Gothic"/>
              </w:rPr>
              <w:t>☑</w:t>
            </w:r>
          </w:p>
        </w:tc>
        <w:tc>
          <w:tcPr>
            <w:tcW w:w="687" w:type="dxa"/>
            <w:shd w:val="clear" w:color="auto" w:fill="BFBFBF"/>
            <w:vAlign w:val="center"/>
          </w:tcPr>
          <w:p w14:paraId="18578C28" w14:textId="77777777" w:rsidR="00A769CA" w:rsidRDefault="008D3F3B">
            <w:pPr>
              <w:spacing w:line="360" w:lineRule="auto"/>
              <w:jc w:val="center"/>
            </w:pPr>
            <w:r>
              <w:rPr>
                <w:rFonts w:ascii="MS Gothic" w:eastAsia="MS Gothic" w:hAnsi="MS Gothic" w:cs="MS Gothic"/>
              </w:rPr>
              <w:t>☐</w:t>
            </w:r>
          </w:p>
        </w:tc>
      </w:tr>
      <w:tr w:rsidR="00A769CA" w14:paraId="0BAA194B" w14:textId="77777777">
        <w:trPr>
          <w:trHeight w:val="401"/>
        </w:trPr>
        <w:tc>
          <w:tcPr>
            <w:tcW w:w="469" w:type="dxa"/>
            <w:shd w:val="clear" w:color="auto" w:fill="F2F2F2"/>
            <w:vAlign w:val="center"/>
          </w:tcPr>
          <w:p w14:paraId="6A11F7C2" w14:textId="77777777" w:rsidR="00A769CA" w:rsidRDefault="008D3F3B">
            <w:pPr>
              <w:spacing w:line="360" w:lineRule="auto"/>
              <w:jc w:val="center"/>
            </w:pPr>
            <w:r>
              <w:t>14</w:t>
            </w:r>
          </w:p>
        </w:tc>
        <w:tc>
          <w:tcPr>
            <w:tcW w:w="6868" w:type="dxa"/>
            <w:shd w:val="clear" w:color="auto" w:fill="F2F2F2"/>
            <w:vAlign w:val="center"/>
          </w:tcPr>
          <w:p w14:paraId="4E5AC549" w14:textId="77777777" w:rsidR="00A769CA" w:rsidRDefault="008D3F3B">
            <w:pPr>
              <w:spacing w:line="360" w:lineRule="auto"/>
            </w:pPr>
            <w:r>
              <w:t>A healthier Wales</w:t>
            </w:r>
          </w:p>
        </w:tc>
        <w:tc>
          <w:tcPr>
            <w:tcW w:w="710" w:type="dxa"/>
            <w:shd w:val="clear" w:color="auto" w:fill="BFBFBF"/>
            <w:vAlign w:val="center"/>
          </w:tcPr>
          <w:p w14:paraId="0B4F6C5F" w14:textId="77777777" w:rsidR="00A769CA" w:rsidRDefault="008D3F3B">
            <w:pPr>
              <w:spacing w:line="360" w:lineRule="auto"/>
              <w:jc w:val="center"/>
            </w:pPr>
            <w:r>
              <w:rPr>
                <w:rFonts w:ascii="MS Gothic" w:eastAsia="MS Gothic" w:hAnsi="MS Gothic" w:cs="MS Gothic"/>
              </w:rPr>
              <w:t>☐</w:t>
            </w:r>
          </w:p>
        </w:tc>
        <w:tc>
          <w:tcPr>
            <w:tcW w:w="687" w:type="dxa"/>
            <w:shd w:val="clear" w:color="auto" w:fill="BFBFBF"/>
            <w:vAlign w:val="center"/>
          </w:tcPr>
          <w:p w14:paraId="00FD2CBE" w14:textId="77777777" w:rsidR="00A769CA" w:rsidRDefault="008D3F3B">
            <w:pPr>
              <w:spacing w:line="360" w:lineRule="auto"/>
              <w:jc w:val="center"/>
            </w:pPr>
            <w:r>
              <w:rPr>
                <w:rFonts w:ascii="MS Gothic" w:eastAsia="MS Gothic" w:hAnsi="MS Gothic" w:cs="MS Gothic"/>
              </w:rPr>
              <w:t>☑</w:t>
            </w:r>
          </w:p>
        </w:tc>
      </w:tr>
      <w:tr w:rsidR="00A769CA" w14:paraId="77CDEC8E" w14:textId="77777777">
        <w:trPr>
          <w:trHeight w:val="368"/>
        </w:trPr>
        <w:tc>
          <w:tcPr>
            <w:tcW w:w="469" w:type="dxa"/>
            <w:shd w:val="clear" w:color="auto" w:fill="F2F2F2"/>
            <w:vAlign w:val="center"/>
          </w:tcPr>
          <w:p w14:paraId="1799026E" w14:textId="77777777" w:rsidR="00A769CA" w:rsidRDefault="008D3F3B">
            <w:pPr>
              <w:spacing w:line="360" w:lineRule="auto"/>
              <w:jc w:val="center"/>
            </w:pPr>
            <w:r>
              <w:t>15</w:t>
            </w:r>
          </w:p>
        </w:tc>
        <w:tc>
          <w:tcPr>
            <w:tcW w:w="6868" w:type="dxa"/>
            <w:shd w:val="clear" w:color="auto" w:fill="F2F2F2"/>
            <w:vAlign w:val="center"/>
          </w:tcPr>
          <w:p w14:paraId="63FEED12" w14:textId="77777777" w:rsidR="00A769CA" w:rsidRDefault="008D3F3B">
            <w:pPr>
              <w:spacing w:line="360" w:lineRule="auto"/>
            </w:pPr>
            <w:r>
              <w:t>A more equal Wales</w:t>
            </w:r>
          </w:p>
        </w:tc>
        <w:tc>
          <w:tcPr>
            <w:tcW w:w="710" w:type="dxa"/>
            <w:shd w:val="clear" w:color="auto" w:fill="BFBFBF"/>
            <w:vAlign w:val="center"/>
          </w:tcPr>
          <w:p w14:paraId="45D9A916" w14:textId="77777777" w:rsidR="00A769CA" w:rsidRDefault="008D3F3B">
            <w:pPr>
              <w:spacing w:line="360" w:lineRule="auto"/>
              <w:jc w:val="center"/>
            </w:pPr>
            <w:r>
              <w:rPr>
                <w:rFonts w:ascii="MS Gothic" w:eastAsia="MS Gothic" w:hAnsi="MS Gothic" w:cs="MS Gothic"/>
              </w:rPr>
              <w:t>☐</w:t>
            </w:r>
          </w:p>
        </w:tc>
        <w:tc>
          <w:tcPr>
            <w:tcW w:w="687" w:type="dxa"/>
            <w:shd w:val="clear" w:color="auto" w:fill="BFBFBF"/>
            <w:vAlign w:val="center"/>
          </w:tcPr>
          <w:p w14:paraId="4A38958C" w14:textId="77777777" w:rsidR="00A769CA" w:rsidRDefault="008D3F3B">
            <w:pPr>
              <w:spacing w:line="360" w:lineRule="auto"/>
              <w:jc w:val="center"/>
            </w:pPr>
            <w:r>
              <w:rPr>
                <w:rFonts w:ascii="MS Gothic" w:eastAsia="MS Gothic" w:hAnsi="MS Gothic" w:cs="MS Gothic"/>
              </w:rPr>
              <w:t>☑</w:t>
            </w:r>
          </w:p>
        </w:tc>
      </w:tr>
      <w:tr w:rsidR="00A769CA" w14:paraId="7965FD21" w14:textId="77777777">
        <w:trPr>
          <w:trHeight w:val="368"/>
        </w:trPr>
        <w:tc>
          <w:tcPr>
            <w:tcW w:w="469" w:type="dxa"/>
            <w:shd w:val="clear" w:color="auto" w:fill="F2F2F2"/>
            <w:vAlign w:val="center"/>
          </w:tcPr>
          <w:p w14:paraId="31F8F57A" w14:textId="77777777" w:rsidR="00A769CA" w:rsidRDefault="008D3F3B">
            <w:pPr>
              <w:spacing w:line="360" w:lineRule="auto"/>
              <w:jc w:val="center"/>
            </w:pPr>
            <w:r>
              <w:t>16</w:t>
            </w:r>
          </w:p>
        </w:tc>
        <w:tc>
          <w:tcPr>
            <w:tcW w:w="6868" w:type="dxa"/>
            <w:shd w:val="clear" w:color="auto" w:fill="F2F2F2"/>
            <w:vAlign w:val="center"/>
          </w:tcPr>
          <w:p w14:paraId="36EE26C2" w14:textId="77777777" w:rsidR="00A769CA" w:rsidRDefault="008D3F3B">
            <w:pPr>
              <w:spacing w:line="360" w:lineRule="auto"/>
            </w:pPr>
            <w:r>
              <w:t>A Wales of cohesive communities</w:t>
            </w:r>
          </w:p>
        </w:tc>
        <w:tc>
          <w:tcPr>
            <w:tcW w:w="710" w:type="dxa"/>
            <w:shd w:val="clear" w:color="auto" w:fill="BFBFBF"/>
            <w:vAlign w:val="center"/>
          </w:tcPr>
          <w:p w14:paraId="6951A75B" w14:textId="77777777" w:rsidR="00A769CA" w:rsidRDefault="008D3F3B">
            <w:pPr>
              <w:spacing w:line="360" w:lineRule="auto"/>
              <w:jc w:val="center"/>
            </w:pPr>
            <w:r>
              <w:rPr>
                <w:rFonts w:ascii="MS Gothic" w:eastAsia="MS Gothic" w:hAnsi="MS Gothic" w:cs="MS Gothic"/>
              </w:rPr>
              <w:t>☐</w:t>
            </w:r>
          </w:p>
        </w:tc>
        <w:tc>
          <w:tcPr>
            <w:tcW w:w="687" w:type="dxa"/>
            <w:shd w:val="clear" w:color="auto" w:fill="BFBFBF"/>
            <w:vAlign w:val="center"/>
          </w:tcPr>
          <w:p w14:paraId="7C8E47D0" w14:textId="77777777" w:rsidR="00A769CA" w:rsidRDefault="008D3F3B">
            <w:pPr>
              <w:spacing w:line="360" w:lineRule="auto"/>
              <w:jc w:val="center"/>
            </w:pPr>
            <w:r>
              <w:rPr>
                <w:rFonts w:ascii="MS Gothic" w:eastAsia="MS Gothic" w:hAnsi="MS Gothic" w:cs="MS Gothic"/>
              </w:rPr>
              <w:t>☑</w:t>
            </w:r>
          </w:p>
        </w:tc>
      </w:tr>
      <w:tr w:rsidR="00A769CA" w14:paraId="2C71DFB6" w14:textId="77777777">
        <w:trPr>
          <w:trHeight w:val="401"/>
        </w:trPr>
        <w:tc>
          <w:tcPr>
            <w:tcW w:w="469" w:type="dxa"/>
            <w:shd w:val="clear" w:color="auto" w:fill="F2F2F2"/>
            <w:vAlign w:val="center"/>
          </w:tcPr>
          <w:p w14:paraId="58ACE3E2" w14:textId="77777777" w:rsidR="00A769CA" w:rsidRDefault="008D3F3B">
            <w:pPr>
              <w:spacing w:line="360" w:lineRule="auto"/>
              <w:jc w:val="center"/>
            </w:pPr>
            <w:r>
              <w:t>17</w:t>
            </w:r>
          </w:p>
        </w:tc>
        <w:tc>
          <w:tcPr>
            <w:tcW w:w="6868" w:type="dxa"/>
            <w:shd w:val="clear" w:color="auto" w:fill="F2F2F2"/>
            <w:vAlign w:val="center"/>
          </w:tcPr>
          <w:p w14:paraId="7BAF298B" w14:textId="77777777" w:rsidR="00A769CA" w:rsidRDefault="008D3F3B">
            <w:pPr>
              <w:spacing w:line="360" w:lineRule="auto"/>
            </w:pPr>
            <w:r>
              <w:t>A Wales of vibrant culture and thriving Welsh language</w:t>
            </w:r>
          </w:p>
        </w:tc>
        <w:tc>
          <w:tcPr>
            <w:tcW w:w="710" w:type="dxa"/>
            <w:shd w:val="clear" w:color="auto" w:fill="BFBFBF"/>
            <w:vAlign w:val="center"/>
          </w:tcPr>
          <w:p w14:paraId="09D9AE8A" w14:textId="77777777" w:rsidR="00A769CA" w:rsidRDefault="008D3F3B">
            <w:pPr>
              <w:spacing w:line="360" w:lineRule="auto"/>
              <w:jc w:val="center"/>
            </w:pPr>
            <w:r>
              <w:rPr>
                <w:rFonts w:ascii="MS Gothic" w:eastAsia="MS Gothic" w:hAnsi="MS Gothic" w:cs="MS Gothic"/>
              </w:rPr>
              <w:t>☐</w:t>
            </w:r>
          </w:p>
        </w:tc>
        <w:tc>
          <w:tcPr>
            <w:tcW w:w="687" w:type="dxa"/>
            <w:shd w:val="clear" w:color="auto" w:fill="BFBFBF"/>
            <w:vAlign w:val="center"/>
          </w:tcPr>
          <w:p w14:paraId="7F098CF7" w14:textId="77777777" w:rsidR="00A769CA" w:rsidRDefault="008D3F3B">
            <w:pPr>
              <w:spacing w:line="360" w:lineRule="auto"/>
              <w:jc w:val="center"/>
            </w:pPr>
            <w:r>
              <w:rPr>
                <w:rFonts w:ascii="MS Gothic" w:eastAsia="MS Gothic" w:hAnsi="MS Gothic" w:cs="MS Gothic"/>
              </w:rPr>
              <w:t>☑</w:t>
            </w:r>
          </w:p>
        </w:tc>
      </w:tr>
      <w:tr w:rsidR="00A769CA" w14:paraId="2D7B008C" w14:textId="77777777">
        <w:trPr>
          <w:trHeight w:val="368"/>
        </w:trPr>
        <w:tc>
          <w:tcPr>
            <w:tcW w:w="469" w:type="dxa"/>
            <w:shd w:val="clear" w:color="auto" w:fill="F2F2F2"/>
            <w:vAlign w:val="center"/>
          </w:tcPr>
          <w:p w14:paraId="27A005E3" w14:textId="77777777" w:rsidR="00A769CA" w:rsidRDefault="008D3F3B">
            <w:pPr>
              <w:spacing w:line="360" w:lineRule="auto"/>
              <w:jc w:val="center"/>
            </w:pPr>
            <w:r>
              <w:t>18</w:t>
            </w:r>
          </w:p>
        </w:tc>
        <w:tc>
          <w:tcPr>
            <w:tcW w:w="6868" w:type="dxa"/>
            <w:shd w:val="clear" w:color="auto" w:fill="F2F2F2"/>
            <w:vAlign w:val="center"/>
          </w:tcPr>
          <w:p w14:paraId="410E94DB" w14:textId="77777777" w:rsidR="00A769CA" w:rsidRDefault="008D3F3B">
            <w:pPr>
              <w:spacing w:line="360" w:lineRule="auto"/>
            </w:pPr>
            <w:r>
              <w:t>A globally responsible Wales</w:t>
            </w:r>
          </w:p>
        </w:tc>
        <w:tc>
          <w:tcPr>
            <w:tcW w:w="710" w:type="dxa"/>
            <w:shd w:val="clear" w:color="auto" w:fill="BFBFBF"/>
            <w:vAlign w:val="center"/>
          </w:tcPr>
          <w:p w14:paraId="677162A8" w14:textId="77777777" w:rsidR="00A769CA" w:rsidRDefault="008D3F3B">
            <w:pPr>
              <w:spacing w:line="360" w:lineRule="auto"/>
              <w:jc w:val="center"/>
            </w:pPr>
            <w:r>
              <w:rPr>
                <w:rFonts w:ascii="MS Gothic" w:eastAsia="MS Gothic" w:hAnsi="MS Gothic" w:cs="MS Gothic"/>
              </w:rPr>
              <w:t>☑</w:t>
            </w:r>
          </w:p>
        </w:tc>
        <w:tc>
          <w:tcPr>
            <w:tcW w:w="687" w:type="dxa"/>
            <w:shd w:val="clear" w:color="auto" w:fill="BFBFBF"/>
            <w:vAlign w:val="center"/>
          </w:tcPr>
          <w:p w14:paraId="03E2C3B7" w14:textId="77777777" w:rsidR="00A769CA" w:rsidRDefault="008D3F3B">
            <w:pPr>
              <w:spacing w:line="360" w:lineRule="auto"/>
              <w:jc w:val="center"/>
            </w:pPr>
            <w:r>
              <w:rPr>
                <w:rFonts w:ascii="MS Gothic" w:eastAsia="MS Gothic" w:hAnsi="MS Gothic" w:cs="MS Gothic"/>
              </w:rPr>
              <w:t>☐</w:t>
            </w:r>
          </w:p>
        </w:tc>
      </w:tr>
      <w:tr w:rsidR="00A769CA" w14:paraId="789A9056" w14:textId="77777777">
        <w:trPr>
          <w:trHeight w:val="368"/>
        </w:trPr>
        <w:tc>
          <w:tcPr>
            <w:tcW w:w="469" w:type="dxa"/>
            <w:shd w:val="clear" w:color="auto" w:fill="F2F2F2"/>
            <w:vAlign w:val="center"/>
          </w:tcPr>
          <w:p w14:paraId="62D0D61F" w14:textId="77777777" w:rsidR="00A769CA" w:rsidRDefault="008D3F3B">
            <w:pPr>
              <w:spacing w:line="360" w:lineRule="auto"/>
              <w:jc w:val="center"/>
            </w:pPr>
            <w:r>
              <w:t>19</w:t>
            </w:r>
          </w:p>
        </w:tc>
        <w:tc>
          <w:tcPr>
            <w:tcW w:w="8265" w:type="dxa"/>
            <w:gridSpan w:val="3"/>
            <w:shd w:val="clear" w:color="auto" w:fill="F2F2F2"/>
            <w:vAlign w:val="center"/>
          </w:tcPr>
          <w:p w14:paraId="00B3463F" w14:textId="77777777" w:rsidR="00A769CA" w:rsidRDefault="008D3F3B">
            <w:pPr>
              <w:spacing w:line="360" w:lineRule="auto"/>
            </w:pPr>
            <w:r>
              <w:t>If YES to any of the above, please give details:</w:t>
            </w:r>
          </w:p>
        </w:tc>
      </w:tr>
      <w:tr w:rsidR="00A769CA" w14:paraId="1ADD1628" w14:textId="77777777">
        <w:trPr>
          <w:trHeight w:val="368"/>
        </w:trPr>
        <w:tc>
          <w:tcPr>
            <w:tcW w:w="469" w:type="dxa"/>
            <w:vAlign w:val="center"/>
          </w:tcPr>
          <w:p w14:paraId="5CA02EF3" w14:textId="77777777" w:rsidR="00A769CA" w:rsidRDefault="00A769CA">
            <w:pPr>
              <w:spacing w:line="360" w:lineRule="auto"/>
              <w:jc w:val="center"/>
            </w:pPr>
          </w:p>
        </w:tc>
        <w:tc>
          <w:tcPr>
            <w:tcW w:w="8265" w:type="dxa"/>
            <w:gridSpan w:val="3"/>
            <w:vAlign w:val="center"/>
          </w:tcPr>
          <w:p w14:paraId="08360150" w14:textId="77777777" w:rsidR="00A769CA" w:rsidRDefault="008D3F3B">
            <w:pPr>
              <w:spacing w:before="240" w:after="240" w:line="360" w:lineRule="auto"/>
              <w:jc w:val="both"/>
            </w:pPr>
            <w:r>
              <w:t>This research contributes to “A Prosperous Wales” by promoting efficient and sustainable supply chain management practices that enhance productivity and long-term economic growth in the manufacturing sector. It supports “A Resilient Wales” by highlighting strategic supplier relationships that improve supply chain flexibility, innovation, and risk management, ensuring operational stability during market disruptions. It also aligns with “A Globally Responsible Wales” by encouraging ethical sourcing, sustainab</w:t>
            </w:r>
            <w:r>
              <w:t>le partnerships, and responsible international business practices, which strengthen Wales’s global reputation for corporate responsibility and sustainability.</w:t>
            </w:r>
          </w:p>
        </w:tc>
      </w:tr>
    </w:tbl>
    <w:p w14:paraId="2EA7C9EF" w14:textId="77777777" w:rsidR="00A769CA" w:rsidRDefault="00A769CA">
      <w:pPr>
        <w:spacing w:after="240" w:line="360" w:lineRule="auto"/>
        <w:jc w:val="both"/>
        <w:rPr>
          <w:b/>
          <w:bCs/>
        </w:rPr>
      </w:pPr>
    </w:p>
    <w:p w14:paraId="75FAA1A6" w14:textId="77777777" w:rsidR="00A769CA" w:rsidRDefault="008D3F3B">
      <w:pPr>
        <w:spacing w:after="240" w:line="360" w:lineRule="auto"/>
        <w:rPr>
          <w:b/>
          <w:bCs/>
        </w:rPr>
      </w:pPr>
      <w:r>
        <w:rPr>
          <w:b/>
          <w:bCs/>
        </w:rPr>
        <w:t>SECTION F: Scope of Research Activity (Not applicable)</w:t>
      </w:r>
    </w:p>
    <w:tbl>
      <w:tblPr>
        <w:tblStyle w:val="aff1"/>
        <w:tblW w:w="866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5"/>
        <w:gridCol w:w="6819"/>
        <w:gridCol w:w="701"/>
        <w:gridCol w:w="676"/>
      </w:tblGrid>
      <w:tr w:rsidR="00A769CA" w14:paraId="5F96DE16" w14:textId="77777777">
        <w:trPr>
          <w:trHeight w:val="543"/>
        </w:trPr>
        <w:tc>
          <w:tcPr>
            <w:tcW w:w="465" w:type="dxa"/>
            <w:shd w:val="clear" w:color="auto" w:fill="F2F2F2"/>
            <w:vAlign w:val="center"/>
          </w:tcPr>
          <w:p w14:paraId="2B18569D" w14:textId="77777777" w:rsidR="00A769CA" w:rsidRDefault="00A769CA">
            <w:pPr>
              <w:spacing w:line="360" w:lineRule="auto"/>
              <w:rPr>
                <w:b/>
                <w:bCs/>
              </w:rPr>
            </w:pPr>
          </w:p>
        </w:tc>
        <w:tc>
          <w:tcPr>
            <w:tcW w:w="6819" w:type="dxa"/>
            <w:shd w:val="clear" w:color="auto" w:fill="F2F2F2"/>
            <w:vAlign w:val="center"/>
          </w:tcPr>
          <w:p w14:paraId="5FBFA1DF" w14:textId="77777777" w:rsidR="00A769CA" w:rsidRDefault="008D3F3B">
            <w:pPr>
              <w:spacing w:line="360" w:lineRule="auto"/>
              <w:rPr>
                <w:b/>
                <w:bCs/>
              </w:rPr>
            </w:pPr>
            <w:r>
              <w:rPr>
                <w:b/>
                <w:bCs/>
              </w:rPr>
              <w:t>Will the research activity include:</w:t>
            </w:r>
          </w:p>
        </w:tc>
        <w:tc>
          <w:tcPr>
            <w:tcW w:w="701" w:type="dxa"/>
            <w:shd w:val="clear" w:color="auto" w:fill="F2F2F2"/>
            <w:vAlign w:val="center"/>
          </w:tcPr>
          <w:p w14:paraId="55B1C3DF" w14:textId="77777777" w:rsidR="00A769CA" w:rsidRDefault="008D3F3B">
            <w:pPr>
              <w:spacing w:line="360" w:lineRule="auto"/>
              <w:jc w:val="center"/>
              <w:rPr>
                <w:b/>
                <w:bCs/>
              </w:rPr>
            </w:pPr>
            <w:r>
              <w:rPr>
                <w:b/>
                <w:bCs/>
              </w:rPr>
              <w:t>YES</w:t>
            </w:r>
          </w:p>
        </w:tc>
        <w:tc>
          <w:tcPr>
            <w:tcW w:w="676" w:type="dxa"/>
            <w:shd w:val="clear" w:color="auto" w:fill="F2F2F2"/>
            <w:vAlign w:val="center"/>
          </w:tcPr>
          <w:p w14:paraId="1FB43661" w14:textId="77777777" w:rsidR="00A769CA" w:rsidRDefault="008D3F3B">
            <w:pPr>
              <w:spacing w:line="360" w:lineRule="auto"/>
              <w:jc w:val="center"/>
              <w:rPr>
                <w:b/>
                <w:bCs/>
              </w:rPr>
            </w:pPr>
            <w:r>
              <w:rPr>
                <w:b/>
                <w:bCs/>
              </w:rPr>
              <w:t>NO</w:t>
            </w:r>
          </w:p>
        </w:tc>
      </w:tr>
      <w:tr w:rsidR="00A769CA" w14:paraId="7DFE9735" w14:textId="77777777">
        <w:trPr>
          <w:trHeight w:val="427"/>
        </w:trPr>
        <w:tc>
          <w:tcPr>
            <w:tcW w:w="465" w:type="dxa"/>
            <w:shd w:val="clear" w:color="auto" w:fill="F2F2F2"/>
            <w:vAlign w:val="center"/>
          </w:tcPr>
          <w:p w14:paraId="39D2CA55" w14:textId="77777777" w:rsidR="00A769CA" w:rsidRDefault="008D3F3B">
            <w:pPr>
              <w:spacing w:line="360" w:lineRule="auto"/>
            </w:pPr>
            <w:r>
              <w:t>1</w:t>
            </w:r>
          </w:p>
        </w:tc>
        <w:tc>
          <w:tcPr>
            <w:tcW w:w="6819" w:type="dxa"/>
            <w:shd w:val="clear" w:color="auto" w:fill="F2F2F2"/>
            <w:vAlign w:val="center"/>
          </w:tcPr>
          <w:p w14:paraId="66A8FEA3" w14:textId="77777777" w:rsidR="00A769CA" w:rsidRDefault="008D3F3B">
            <w:pPr>
              <w:spacing w:line="360" w:lineRule="auto"/>
            </w:pPr>
            <w:r>
              <w:t>Use of a questionnaire or similar research instrument?</w:t>
            </w:r>
          </w:p>
        </w:tc>
        <w:tc>
          <w:tcPr>
            <w:tcW w:w="701" w:type="dxa"/>
            <w:shd w:val="clear" w:color="auto" w:fill="BFBFBF"/>
            <w:vAlign w:val="center"/>
          </w:tcPr>
          <w:p w14:paraId="7C3D924C" w14:textId="77777777" w:rsidR="00A769CA" w:rsidRDefault="008D3F3B">
            <w:pPr>
              <w:spacing w:line="360" w:lineRule="auto"/>
              <w:jc w:val="center"/>
            </w:pPr>
            <w:r>
              <w:rPr>
                <w:rFonts w:ascii="MS Gothic" w:eastAsia="MS Gothic" w:hAnsi="MS Gothic" w:cs="MS Gothic"/>
              </w:rPr>
              <w:t>☐</w:t>
            </w:r>
          </w:p>
        </w:tc>
        <w:tc>
          <w:tcPr>
            <w:tcW w:w="676" w:type="dxa"/>
            <w:shd w:val="clear" w:color="auto" w:fill="BFBFBF"/>
            <w:vAlign w:val="center"/>
          </w:tcPr>
          <w:p w14:paraId="61225AB4" w14:textId="77777777" w:rsidR="00A769CA" w:rsidRDefault="008D3F3B">
            <w:pPr>
              <w:spacing w:line="360" w:lineRule="auto"/>
              <w:jc w:val="center"/>
            </w:pPr>
            <w:r>
              <w:rPr>
                <w:rFonts w:ascii="MS Gothic" w:eastAsia="MS Gothic" w:hAnsi="MS Gothic" w:cs="MS Gothic"/>
              </w:rPr>
              <w:t>☐</w:t>
            </w:r>
          </w:p>
        </w:tc>
      </w:tr>
      <w:tr w:rsidR="00A769CA" w14:paraId="54CD5A2C" w14:textId="77777777">
        <w:trPr>
          <w:trHeight w:val="427"/>
        </w:trPr>
        <w:tc>
          <w:tcPr>
            <w:tcW w:w="465" w:type="dxa"/>
            <w:shd w:val="clear" w:color="auto" w:fill="F2F2F2"/>
            <w:vAlign w:val="center"/>
          </w:tcPr>
          <w:p w14:paraId="2AFBDB12" w14:textId="77777777" w:rsidR="00A769CA" w:rsidRDefault="008D3F3B">
            <w:pPr>
              <w:spacing w:line="360" w:lineRule="auto"/>
            </w:pPr>
            <w:r>
              <w:t>2</w:t>
            </w:r>
          </w:p>
        </w:tc>
        <w:tc>
          <w:tcPr>
            <w:tcW w:w="6819" w:type="dxa"/>
            <w:shd w:val="clear" w:color="auto" w:fill="F2F2F2"/>
            <w:vAlign w:val="center"/>
          </w:tcPr>
          <w:p w14:paraId="1B0FFCF6" w14:textId="77777777" w:rsidR="00A769CA" w:rsidRDefault="008D3F3B">
            <w:pPr>
              <w:spacing w:line="360" w:lineRule="auto"/>
            </w:pPr>
            <w:r>
              <w:t>Use of interviews?</w:t>
            </w:r>
          </w:p>
        </w:tc>
        <w:tc>
          <w:tcPr>
            <w:tcW w:w="701" w:type="dxa"/>
            <w:shd w:val="clear" w:color="auto" w:fill="BFBFBF"/>
            <w:vAlign w:val="center"/>
          </w:tcPr>
          <w:p w14:paraId="4F681E6A" w14:textId="77777777" w:rsidR="00A769CA" w:rsidRDefault="008D3F3B">
            <w:pPr>
              <w:spacing w:line="360" w:lineRule="auto"/>
              <w:jc w:val="center"/>
            </w:pPr>
            <w:r>
              <w:rPr>
                <w:rFonts w:ascii="MS Gothic" w:eastAsia="MS Gothic" w:hAnsi="MS Gothic" w:cs="MS Gothic"/>
              </w:rPr>
              <w:t>☐</w:t>
            </w:r>
          </w:p>
        </w:tc>
        <w:tc>
          <w:tcPr>
            <w:tcW w:w="676" w:type="dxa"/>
            <w:shd w:val="clear" w:color="auto" w:fill="BFBFBF"/>
            <w:vAlign w:val="center"/>
          </w:tcPr>
          <w:p w14:paraId="6863B96C" w14:textId="77777777" w:rsidR="00A769CA" w:rsidRDefault="008D3F3B">
            <w:pPr>
              <w:spacing w:line="360" w:lineRule="auto"/>
              <w:jc w:val="center"/>
            </w:pPr>
            <w:r>
              <w:rPr>
                <w:rFonts w:ascii="MS Gothic" w:eastAsia="MS Gothic" w:hAnsi="MS Gothic" w:cs="MS Gothic"/>
              </w:rPr>
              <w:t>☐</w:t>
            </w:r>
          </w:p>
        </w:tc>
      </w:tr>
      <w:tr w:rsidR="00A769CA" w14:paraId="2AAA6283" w14:textId="77777777">
        <w:trPr>
          <w:trHeight w:val="427"/>
        </w:trPr>
        <w:tc>
          <w:tcPr>
            <w:tcW w:w="465" w:type="dxa"/>
            <w:shd w:val="clear" w:color="auto" w:fill="F2F2F2"/>
            <w:vAlign w:val="center"/>
          </w:tcPr>
          <w:p w14:paraId="65092013" w14:textId="77777777" w:rsidR="00A769CA" w:rsidRDefault="008D3F3B">
            <w:pPr>
              <w:spacing w:line="360" w:lineRule="auto"/>
            </w:pPr>
            <w:r>
              <w:t>3</w:t>
            </w:r>
          </w:p>
        </w:tc>
        <w:tc>
          <w:tcPr>
            <w:tcW w:w="6819" w:type="dxa"/>
            <w:shd w:val="clear" w:color="auto" w:fill="F2F2F2"/>
            <w:vAlign w:val="center"/>
          </w:tcPr>
          <w:p w14:paraId="2A206DCB" w14:textId="77777777" w:rsidR="00A769CA" w:rsidRDefault="008D3F3B">
            <w:pPr>
              <w:spacing w:line="360" w:lineRule="auto"/>
            </w:pPr>
            <w:r>
              <w:t>Use of focus groups?</w:t>
            </w:r>
          </w:p>
        </w:tc>
        <w:tc>
          <w:tcPr>
            <w:tcW w:w="701" w:type="dxa"/>
            <w:shd w:val="clear" w:color="auto" w:fill="BFBFBF"/>
            <w:vAlign w:val="center"/>
          </w:tcPr>
          <w:p w14:paraId="3920C602" w14:textId="77777777" w:rsidR="00A769CA" w:rsidRDefault="008D3F3B">
            <w:pPr>
              <w:spacing w:line="360" w:lineRule="auto"/>
              <w:jc w:val="center"/>
            </w:pPr>
            <w:r>
              <w:rPr>
                <w:rFonts w:ascii="MS Gothic" w:eastAsia="MS Gothic" w:hAnsi="MS Gothic" w:cs="MS Gothic"/>
              </w:rPr>
              <w:t>☐</w:t>
            </w:r>
          </w:p>
        </w:tc>
        <w:tc>
          <w:tcPr>
            <w:tcW w:w="676" w:type="dxa"/>
            <w:shd w:val="clear" w:color="auto" w:fill="BFBFBF"/>
            <w:vAlign w:val="center"/>
          </w:tcPr>
          <w:p w14:paraId="39591C95" w14:textId="77777777" w:rsidR="00A769CA" w:rsidRDefault="008D3F3B">
            <w:pPr>
              <w:spacing w:line="360" w:lineRule="auto"/>
              <w:jc w:val="center"/>
            </w:pPr>
            <w:r>
              <w:rPr>
                <w:rFonts w:ascii="MS Gothic" w:eastAsia="MS Gothic" w:hAnsi="MS Gothic" w:cs="MS Gothic"/>
              </w:rPr>
              <w:t>☐</w:t>
            </w:r>
          </w:p>
        </w:tc>
      </w:tr>
      <w:tr w:rsidR="00A769CA" w14:paraId="533D2AEF" w14:textId="77777777">
        <w:trPr>
          <w:trHeight w:val="392"/>
        </w:trPr>
        <w:tc>
          <w:tcPr>
            <w:tcW w:w="465" w:type="dxa"/>
            <w:shd w:val="clear" w:color="auto" w:fill="F2F2F2"/>
            <w:vAlign w:val="center"/>
          </w:tcPr>
          <w:p w14:paraId="65920205" w14:textId="77777777" w:rsidR="00A769CA" w:rsidRDefault="008D3F3B">
            <w:pPr>
              <w:spacing w:line="360" w:lineRule="auto"/>
            </w:pPr>
            <w:r>
              <w:t>4</w:t>
            </w:r>
          </w:p>
        </w:tc>
        <w:tc>
          <w:tcPr>
            <w:tcW w:w="6819" w:type="dxa"/>
            <w:shd w:val="clear" w:color="auto" w:fill="F2F2F2"/>
            <w:vAlign w:val="center"/>
          </w:tcPr>
          <w:p w14:paraId="2D647021" w14:textId="77777777" w:rsidR="00A769CA" w:rsidRDefault="008D3F3B">
            <w:pPr>
              <w:spacing w:line="360" w:lineRule="auto"/>
            </w:pPr>
            <w:r>
              <w:t xml:space="preserve">Use of participant diaries? </w:t>
            </w:r>
          </w:p>
        </w:tc>
        <w:tc>
          <w:tcPr>
            <w:tcW w:w="701" w:type="dxa"/>
            <w:shd w:val="clear" w:color="auto" w:fill="BFBFBF"/>
            <w:vAlign w:val="center"/>
          </w:tcPr>
          <w:p w14:paraId="012E7490" w14:textId="77777777" w:rsidR="00A769CA" w:rsidRDefault="008D3F3B">
            <w:pPr>
              <w:spacing w:line="360" w:lineRule="auto"/>
              <w:jc w:val="center"/>
            </w:pPr>
            <w:r>
              <w:rPr>
                <w:rFonts w:ascii="MS Gothic" w:eastAsia="MS Gothic" w:hAnsi="MS Gothic" w:cs="MS Gothic"/>
              </w:rPr>
              <w:t>☐</w:t>
            </w:r>
          </w:p>
        </w:tc>
        <w:tc>
          <w:tcPr>
            <w:tcW w:w="676" w:type="dxa"/>
            <w:shd w:val="clear" w:color="auto" w:fill="BFBFBF"/>
            <w:vAlign w:val="center"/>
          </w:tcPr>
          <w:p w14:paraId="6E3A723B" w14:textId="77777777" w:rsidR="00A769CA" w:rsidRDefault="008D3F3B">
            <w:pPr>
              <w:spacing w:line="360" w:lineRule="auto"/>
              <w:jc w:val="center"/>
            </w:pPr>
            <w:r>
              <w:rPr>
                <w:rFonts w:ascii="MS Gothic" w:eastAsia="MS Gothic" w:hAnsi="MS Gothic" w:cs="MS Gothic"/>
              </w:rPr>
              <w:t>☐</w:t>
            </w:r>
          </w:p>
        </w:tc>
      </w:tr>
      <w:tr w:rsidR="00A769CA" w14:paraId="34C7CB15" w14:textId="77777777">
        <w:trPr>
          <w:trHeight w:val="392"/>
        </w:trPr>
        <w:tc>
          <w:tcPr>
            <w:tcW w:w="465" w:type="dxa"/>
            <w:shd w:val="clear" w:color="auto" w:fill="F2F2F2"/>
            <w:vAlign w:val="center"/>
          </w:tcPr>
          <w:p w14:paraId="6CA4EE9C" w14:textId="77777777" w:rsidR="00A769CA" w:rsidRDefault="008D3F3B">
            <w:pPr>
              <w:spacing w:line="360" w:lineRule="auto"/>
            </w:pPr>
            <w:r>
              <w:t>5</w:t>
            </w:r>
          </w:p>
        </w:tc>
        <w:tc>
          <w:tcPr>
            <w:tcW w:w="6819" w:type="dxa"/>
            <w:shd w:val="clear" w:color="auto" w:fill="F2F2F2"/>
            <w:vAlign w:val="center"/>
          </w:tcPr>
          <w:p w14:paraId="0E62C412" w14:textId="77777777" w:rsidR="00A769CA" w:rsidRDefault="008D3F3B">
            <w:pPr>
              <w:spacing w:line="360" w:lineRule="auto"/>
            </w:pPr>
            <w:r>
              <w:t>Use of video or audio recording?</w:t>
            </w:r>
          </w:p>
        </w:tc>
        <w:tc>
          <w:tcPr>
            <w:tcW w:w="701" w:type="dxa"/>
            <w:shd w:val="clear" w:color="auto" w:fill="BFBFBF"/>
            <w:vAlign w:val="center"/>
          </w:tcPr>
          <w:p w14:paraId="7E08A181" w14:textId="77777777" w:rsidR="00A769CA" w:rsidRDefault="008D3F3B">
            <w:pPr>
              <w:spacing w:line="360" w:lineRule="auto"/>
              <w:jc w:val="center"/>
            </w:pPr>
            <w:r>
              <w:rPr>
                <w:rFonts w:ascii="MS Gothic" w:eastAsia="MS Gothic" w:hAnsi="MS Gothic" w:cs="MS Gothic"/>
              </w:rPr>
              <w:t>☐</w:t>
            </w:r>
          </w:p>
        </w:tc>
        <w:tc>
          <w:tcPr>
            <w:tcW w:w="676" w:type="dxa"/>
            <w:shd w:val="clear" w:color="auto" w:fill="BFBFBF"/>
            <w:vAlign w:val="center"/>
          </w:tcPr>
          <w:p w14:paraId="2C28D032" w14:textId="77777777" w:rsidR="00A769CA" w:rsidRDefault="008D3F3B">
            <w:pPr>
              <w:spacing w:line="360" w:lineRule="auto"/>
              <w:jc w:val="center"/>
            </w:pPr>
            <w:r>
              <w:rPr>
                <w:rFonts w:ascii="MS Gothic" w:eastAsia="MS Gothic" w:hAnsi="MS Gothic" w:cs="MS Gothic"/>
              </w:rPr>
              <w:t>☐</w:t>
            </w:r>
          </w:p>
        </w:tc>
      </w:tr>
      <w:tr w:rsidR="00A769CA" w14:paraId="3E9201EF" w14:textId="77777777">
        <w:trPr>
          <w:trHeight w:val="392"/>
        </w:trPr>
        <w:tc>
          <w:tcPr>
            <w:tcW w:w="465" w:type="dxa"/>
            <w:shd w:val="clear" w:color="auto" w:fill="F2F2F2"/>
            <w:vAlign w:val="center"/>
          </w:tcPr>
          <w:p w14:paraId="6FC6B1F4" w14:textId="77777777" w:rsidR="00A769CA" w:rsidRDefault="008D3F3B">
            <w:pPr>
              <w:spacing w:line="360" w:lineRule="auto"/>
            </w:pPr>
            <w:r>
              <w:t>6</w:t>
            </w:r>
          </w:p>
        </w:tc>
        <w:tc>
          <w:tcPr>
            <w:tcW w:w="6819" w:type="dxa"/>
            <w:shd w:val="clear" w:color="auto" w:fill="F2F2F2"/>
            <w:vAlign w:val="center"/>
          </w:tcPr>
          <w:p w14:paraId="34A5C8DD" w14:textId="77777777" w:rsidR="00A769CA" w:rsidRDefault="008D3F3B">
            <w:pPr>
              <w:spacing w:line="360" w:lineRule="auto"/>
            </w:pPr>
            <w:r>
              <w:t>Use of computer-generated log files?</w:t>
            </w:r>
          </w:p>
        </w:tc>
        <w:tc>
          <w:tcPr>
            <w:tcW w:w="701" w:type="dxa"/>
            <w:shd w:val="clear" w:color="auto" w:fill="BFBFBF"/>
            <w:vAlign w:val="center"/>
          </w:tcPr>
          <w:p w14:paraId="57179D6D" w14:textId="77777777" w:rsidR="00A769CA" w:rsidRDefault="008D3F3B">
            <w:pPr>
              <w:spacing w:line="360" w:lineRule="auto"/>
              <w:jc w:val="center"/>
            </w:pPr>
            <w:r>
              <w:rPr>
                <w:rFonts w:ascii="MS Gothic" w:eastAsia="MS Gothic" w:hAnsi="MS Gothic" w:cs="MS Gothic"/>
              </w:rPr>
              <w:t>☐</w:t>
            </w:r>
          </w:p>
        </w:tc>
        <w:tc>
          <w:tcPr>
            <w:tcW w:w="676" w:type="dxa"/>
            <w:shd w:val="clear" w:color="auto" w:fill="BFBFBF"/>
            <w:vAlign w:val="center"/>
          </w:tcPr>
          <w:p w14:paraId="3FFF41F4" w14:textId="77777777" w:rsidR="00A769CA" w:rsidRDefault="008D3F3B">
            <w:pPr>
              <w:spacing w:line="360" w:lineRule="auto"/>
              <w:jc w:val="center"/>
            </w:pPr>
            <w:r>
              <w:rPr>
                <w:rFonts w:ascii="MS Gothic" w:eastAsia="MS Gothic" w:hAnsi="MS Gothic" w:cs="MS Gothic"/>
              </w:rPr>
              <w:t>☐</w:t>
            </w:r>
          </w:p>
        </w:tc>
      </w:tr>
      <w:tr w:rsidR="00A769CA" w14:paraId="6E885718" w14:textId="77777777">
        <w:trPr>
          <w:trHeight w:val="427"/>
        </w:trPr>
        <w:tc>
          <w:tcPr>
            <w:tcW w:w="465" w:type="dxa"/>
            <w:shd w:val="clear" w:color="auto" w:fill="F2F2F2"/>
            <w:vAlign w:val="center"/>
          </w:tcPr>
          <w:p w14:paraId="026114EE" w14:textId="77777777" w:rsidR="00A769CA" w:rsidRDefault="008D3F3B">
            <w:pPr>
              <w:spacing w:line="360" w:lineRule="auto"/>
            </w:pPr>
            <w:r>
              <w:t>7</w:t>
            </w:r>
          </w:p>
        </w:tc>
        <w:tc>
          <w:tcPr>
            <w:tcW w:w="6819" w:type="dxa"/>
            <w:shd w:val="clear" w:color="auto" w:fill="F2F2F2"/>
            <w:vAlign w:val="center"/>
          </w:tcPr>
          <w:p w14:paraId="616C9F8A" w14:textId="77777777" w:rsidR="00A769CA" w:rsidRDefault="008D3F3B">
            <w:pPr>
              <w:spacing w:line="360" w:lineRule="auto"/>
            </w:pPr>
            <w:r>
              <w:t>Participant observation with their knowledge?</w:t>
            </w:r>
          </w:p>
        </w:tc>
        <w:tc>
          <w:tcPr>
            <w:tcW w:w="701" w:type="dxa"/>
            <w:shd w:val="clear" w:color="auto" w:fill="BFBFBF"/>
            <w:vAlign w:val="center"/>
          </w:tcPr>
          <w:p w14:paraId="1F314A01" w14:textId="77777777" w:rsidR="00A769CA" w:rsidRDefault="008D3F3B">
            <w:pPr>
              <w:spacing w:line="360" w:lineRule="auto"/>
              <w:jc w:val="center"/>
            </w:pPr>
            <w:r>
              <w:rPr>
                <w:rFonts w:ascii="MS Gothic" w:eastAsia="MS Gothic" w:hAnsi="MS Gothic" w:cs="MS Gothic"/>
              </w:rPr>
              <w:t>☐</w:t>
            </w:r>
          </w:p>
        </w:tc>
        <w:tc>
          <w:tcPr>
            <w:tcW w:w="676" w:type="dxa"/>
            <w:shd w:val="clear" w:color="auto" w:fill="BFBFBF"/>
            <w:vAlign w:val="center"/>
          </w:tcPr>
          <w:p w14:paraId="40F0BCD0" w14:textId="77777777" w:rsidR="00A769CA" w:rsidRDefault="008D3F3B">
            <w:pPr>
              <w:spacing w:line="360" w:lineRule="auto"/>
              <w:jc w:val="center"/>
            </w:pPr>
            <w:r>
              <w:rPr>
                <w:rFonts w:ascii="MS Gothic" w:eastAsia="MS Gothic" w:hAnsi="MS Gothic" w:cs="MS Gothic"/>
              </w:rPr>
              <w:t>☐</w:t>
            </w:r>
          </w:p>
        </w:tc>
      </w:tr>
      <w:tr w:rsidR="00A769CA" w14:paraId="34FB3C24" w14:textId="77777777">
        <w:trPr>
          <w:trHeight w:val="392"/>
        </w:trPr>
        <w:tc>
          <w:tcPr>
            <w:tcW w:w="465" w:type="dxa"/>
            <w:shd w:val="clear" w:color="auto" w:fill="F2F2F2"/>
            <w:vAlign w:val="center"/>
          </w:tcPr>
          <w:p w14:paraId="7F822442" w14:textId="77777777" w:rsidR="00A769CA" w:rsidRDefault="008D3F3B">
            <w:pPr>
              <w:spacing w:line="360" w:lineRule="auto"/>
            </w:pPr>
            <w:r>
              <w:t>8</w:t>
            </w:r>
          </w:p>
        </w:tc>
        <w:tc>
          <w:tcPr>
            <w:tcW w:w="6819" w:type="dxa"/>
            <w:shd w:val="clear" w:color="auto" w:fill="F2F2F2"/>
            <w:vAlign w:val="center"/>
          </w:tcPr>
          <w:p w14:paraId="3EB5F170" w14:textId="77777777" w:rsidR="00A769CA" w:rsidRDefault="008D3F3B">
            <w:pPr>
              <w:spacing w:line="360" w:lineRule="auto"/>
            </w:pPr>
            <w:r>
              <w:t>Participant observation without their knowledge?</w:t>
            </w:r>
          </w:p>
        </w:tc>
        <w:tc>
          <w:tcPr>
            <w:tcW w:w="701" w:type="dxa"/>
            <w:shd w:val="clear" w:color="auto" w:fill="BFBFBF"/>
            <w:vAlign w:val="center"/>
          </w:tcPr>
          <w:p w14:paraId="64FC1A18" w14:textId="77777777" w:rsidR="00A769CA" w:rsidRDefault="008D3F3B">
            <w:pPr>
              <w:spacing w:line="360" w:lineRule="auto"/>
              <w:jc w:val="center"/>
            </w:pPr>
            <w:r>
              <w:rPr>
                <w:rFonts w:ascii="MS Gothic" w:eastAsia="MS Gothic" w:hAnsi="MS Gothic" w:cs="MS Gothic"/>
              </w:rPr>
              <w:t>☐</w:t>
            </w:r>
          </w:p>
        </w:tc>
        <w:tc>
          <w:tcPr>
            <w:tcW w:w="676" w:type="dxa"/>
            <w:shd w:val="clear" w:color="auto" w:fill="BFBFBF"/>
            <w:vAlign w:val="center"/>
          </w:tcPr>
          <w:p w14:paraId="368204B4" w14:textId="77777777" w:rsidR="00A769CA" w:rsidRDefault="008D3F3B">
            <w:pPr>
              <w:spacing w:line="360" w:lineRule="auto"/>
              <w:jc w:val="center"/>
            </w:pPr>
            <w:r>
              <w:rPr>
                <w:rFonts w:ascii="MS Gothic" w:eastAsia="MS Gothic" w:hAnsi="MS Gothic" w:cs="MS Gothic"/>
              </w:rPr>
              <w:t>☐</w:t>
            </w:r>
          </w:p>
        </w:tc>
      </w:tr>
      <w:tr w:rsidR="00A769CA" w14:paraId="7C478C78" w14:textId="77777777">
        <w:trPr>
          <w:trHeight w:val="427"/>
        </w:trPr>
        <w:tc>
          <w:tcPr>
            <w:tcW w:w="465" w:type="dxa"/>
            <w:shd w:val="clear" w:color="auto" w:fill="F2F2F2"/>
            <w:vAlign w:val="center"/>
          </w:tcPr>
          <w:p w14:paraId="253F073F" w14:textId="77777777" w:rsidR="00A769CA" w:rsidRDefault="008D3F3B">
            <w:pPr>
              <w:spacing w:line="360" w:lineRule="auto"/>
            </w:pPr>
            <w:r>
              <w:t>9</w:t>
            </w:r>
          </w:p>
        </w:tc>
        <w:tc>
          <w:tcPr>
            <w:tcW w:w="6819" w:type="dxa"/>
            <w:shd w:val="clear" w:color="auto" w:fill="F2F2F2"/>
            <w:vAlign w:val="center"/>
          </w:tcPr>
          <w:p w14:paraId="7E05D160" w14:textId="77777777" w:rsidR="00A769CA" w:rsidRDefault="008D3F3B">
            <w:pPr>
              <w:spacing w:line="360" w:lineRule="auto"/>
            </w:pPr>
            <w:r>
              <w:t>Access to personal or confidential information without the participants’ specific consent?</w:t>
            </w:r>
          </w:p>
        </w:tc>
        <w:tc>
          <w:tcPr>
            <w:tcW w:w="701" w:type="dxa"/>
            <w:shd w:val="clear" w:color="auto" w:fill="BFBFBF"/>
            <w:vAlign w:val="center"/>
          </w:tcPr>
          <w:p w14:paraId="403E59BE" w14:textId="77777777" w:rsidR="00A769CA" w:rsidRDefault="008D3F3B">
            <w:pPr>
              <w:spacing w:line="360" w:lineRule="auto"/>
              <w:jc w:val="center"/>
            </w:pPr>
            <w:r>
              <w:rPr>
                <w:rFonts w:ascii="MS Gothic" w:eastAsia="MS Gothic" w:hAnsi="MS Gothic" w:cs="MS Gothic"/>
              </w:rPr>
              <w:t>☐</w:t>
            </w:r>
          </w:p>
        </w:tc>
        <w:tc>
          <w:tcPr>
            <w:tcW w:w="676" w:type="dxa"/>
            <w:shd w:val="clear" w:color="auto" w:fill="BFBFBF"/>
            <w:vAlign w:val="center"/>
          </w:tcPr>
          <w:p w14:paraId="3305B041" w14:textId="77777777" w:rsidR="00A769CA" w:rsidRDefault="008D3F3B">
            <w:pPr>
              <w:spacing w:line="360" w:lineRule="auto"/>
              <w:jc w:val="center"/>
            </w:pPr>
            <w:r>
              <w:rPr>
                <w:rFonts w:ascii="MS Gothic" w:eastAsia="MS Gothic" w:hAnsi="MS Gothic" w:cs="MS Gothic"/>
              </w:rPr>
              <w:t>☐</w:t>
            </w:r>
          </w:p>
        </w:tc>
      </w:tr>
      <w:tr w:rsidR="00A769CA" w14:paraId="6DF55E54" w14:textId="77777777">
        <w:trPr>
          <w:trHeight w:val="392"/>
        </w:trPr>
        <w:tc>
          <w:tcPr>
            <w:tcW w:w="465" w:type="dxa"/>
            <w:shd w:val="clear" w:color="auto" w:fill="F2F2F2"/>
            <w:vAlign w:val="center"/>
          </w:tcPr>
          <w:p w14:paraId="5FE4D625" w14:textId="77777777" w:rsidR="00A769CA" w:rsidRDefault="008D3F3B">
            <w:pPr>
              <w:spacing w:line="360" w:lineRule="auto"/>
            </w:pPr>
            <w:r>
              <w:t>10</w:t>
            </w:r>
          </w:p>
        </w:tc>
        <w:tc>
          <w:tcPr>
            <w:tcW w:w="6819" w:type="dxa"/>
            <w:shd w:val="clear" w:color="auto" w:fill="F2F2F2"/>
            <w:vAlign w:val="center"/>
          </w:tcPr>
          <w:p w14:paraId="68F841B3" w14:textId="77777777" w:rsidR="00A769CA" w:rsidRDefault="008D3F3B">
            <w:pPr>
              <w:spacing w:line="360" w:lineRule="auto"/>
            </w:pPr>
            <w:r>
              <w:t>Administration of any questions, test stimuli, presentation that may be experienced as physically, mentally or emotionally harmful / offensive?</w:t>
            </w:r>
          </w:p>
        </w:tc>
        <w:tc>
          <w:tcPr>
            <w:tcW w:w="701" w:type="dxa"/>
            <w:shd w:val="clear" w:color="auto" w:fill="BFBFBF"/>
            <w:vAlign w:val="center"/>
          </w:tcPr>
          <w:p w14:paraId="16FD5E53" w14:textId="77777777" w:rsidR="00A769CA" w:rsidRDefault="008D3F3B">
            <w:pPr>
              <w:spacing w:line="360" w:lineRule="auto"/>
              <w:jc w:val="center"/>
            </w:pPr>
            <w:r>
              <w:rPr>
                <w:rFonts w:ascii="MS Gothic" w:eastAsia="MS Gothic" w:hAnsi="MS Gothic" w:cs="MS Gothic"/>
              </w:rPr>
              <w:t>☐</w:t>
            </w:r>
          </w:p>
        </w:tc>
        <w:tc>
          <w:tcPr>
            <w:tcW w:w="676" w:type="dxa"/>
            <w:shd w:val="clear" w:color="auto" w:fill="BFBFBF"/>
            <w:vAlign w:val="center"/>
          </w:tcPr>
          <w:p w14:paraId="11185804" w14:textId="77777777" w:rsidR="00A769CA" w:rsidRDefault="008D3F3B">
            <w:pPr>
              <w:spacing w:line="360" w:lineRule="auto"/>
              <w:jc w:val="center"/>
            </w:pPr>
            <w:r>
              <w:rPr>
                <w:rFonts w:ascii="MS Gothic" w:eastAsia="MS Gothic" w:hAnsi="MS Gothic" w:cs="MS Gothic"/>
              </w:rPr>
              <w:t>☐</w:t>
            </w:r>
          </w:p>
        </w:tc>
      </w:tr>
      <w:tr w:rsidR="00A769CA" w14:paraId="60CCE0B7" w14:textId="77777777">
        <w:trPr>
          <w:trHeight w:val="392"/>
        </w:trPr>
        <w:tc>
          <w:tcPr>
            <w:tcW w:w="465" w:type="dxa"/>
            <w:shd w:val="clear" w:color="auto" w:fill="F2F2F2"/>
            <w:vAlign w:val="center"/>
          </w:tcPr>
          <w:p w14:paraId="7930A44A" w14:textId="77777777" w:rsidR="00A769CA" w:rsidRDefault="008D3F3B">
            <w:pPr>
              <w:spacing w:line="360" w:lineRule="auto"/>
            </w:pPr>
            <w:r>
              <w:t>11</w:t>
            </w:r>
          </w:p>
        </w:tc>
        <w:tc>
          <w:tcPr>
            <w:tcW w:w="6819" w:type="dxa"/>
            <w:shd w:val="clear" w:color="auto" w:fill="F2F2F2"/>
            <w:vAlign w:val="center"/>
          </w:tcPr>
          <w:p w14:paraId="5A1B9AC0" w14:textId="77777777" w:rsidR="00A769CA" w:rsidRDefault="008D3F3B">
            <w:pPr>
              <w:spacing w:line="360" w:lineRule="auto"/>
            </w:pPr>
            <w:r>
              <w:t>Performance of any acts which may cause embarrassment or affect self-esteem?</w:t>
            </w:r>
          </w:p>
        </w:tc>
        <w:tc>
          <w:tcPr>
            <w:tcW w:w="701" w:type="dxa"/>
            <w:shd w:val="clear" w:color="auto" w:fill="BFBFBF"/>
            <w:vAlign w:val="center"/>
          </w:tcPr>
          <w:p w14:paraId="700C98EE" w14:textId="77777777" w:rsidR="00A769CA" w:rsidRDefault="008D3F3B">
            <w:pPr>
              <w:spacing w:line="360" w:lineRule="auto"/>
              <w:jc w:val="center"/>
            </w:pPr>
            <w:r>
              <w:rPr>
                <w:rFonts w:ascii="MS Gothic" w:eastAsia="MS Gothic" w:hAnsi="MS Gothic" w:cs="MS Gothic"/>
              </w:rPr>
              <w:t>☐</w:t>
            </w:r>
          </w:p>
        </w:tc>
        <w:tc>
          <w:tcPr>
            <w:tcW w:w="676" w:type="dxa"/>
            <w:shd w:val="clear" w:color="auto" w:fill="BFBFBF"/>
            <w:vAlign w:val="center"/>
          </w:tcPr>
          <w:p w14:paraId="2E53D2DB" w14:textId="77777777" w:rsidR="00A769CA" w:rsidRDefault="008D3F3B">
            <w:pPr>
              <w:spacing w:line="360" w:lineRule="auto"/>
              <w:jc w:val="center"/>
            </w:pPr>
            <w:r>
              <w:rPr>
                <w:rFonts w:ascii="MS Gothic" w:eastAsia="MS Gothic" w:hAnsi="MS Gothic" w:cs="MS Gothic"/>
              </w:rPr>
              <w:t>☐</w:t>
            </w:r>
          </w:p>
        </w:tc>
      </w:tr>
      <w:tr w:rsidR="00A769CA" w14:paraId="2265EA42" w14:textId="77777777">
        <w:trPr>
          <w:trHeight w:val="392"/>
        </w:trPr>
        <w:tc>
          <w:tcPr>
            <w:tcW w:w="465" w:type="dxa"/>
            <w:shd w:val="clear" w:color="auto" w:fill="F2F2F2"/>
            <w:vAlign w:val="center"/>
          </w:tcPr>
          <w:p w14:paraId="2ED5BF6C" w14:textId="77777777" w:rsidR="00A769CA" w:rsidRDefault="008D3F3B">
            <w:pPr>
              <w:spacing w:line="360" w:lineRule="auto"/>
            </w:pPr>
            <w:r>
              <w:t>12</w:t>
            </w:r>
          </w:p>
        </w:tc>
        <w:tc>
          <w:tcPr>
            <w:tcW w:w="6819" w:type="dxa"/>
            <w:shd w:val="clear" w:color="auto" w:fill="F2F2F2"/>
            <w:vAlign w:val="center"/>
          </w:tcPr>
          <w:p w14:paraId="591D5E23" w14:textId="77777777" w:rsidR="00A769CA" w:rsidRDefault="008D3F3B">
            <w:pPr>
              <w:spacing w:line="360" w:lineRule="auto"/>
            </w:pPr>
            <w:r>
              <w:t>Investigation of participants involved in illegal activities?</w:t>
            </w:r>
          </w:p>
        </w:tc>
        <w:tc>
          <w:tcPr>
            <w:tcW w:w="701" w:type="dxa"/>
            <w:shd w:val="clear" w:color="auto" w:fill="BFBFBF"/>
            <w:vAlign w:val="center"/>
          </w:tcPr>
          <w:p w14:paraId="56B13EA1" w14:textId="77777777" w:rsidR="00A769CA" w:rsidRDefault="008D3F3B">
            <w:pPr>
              <w:spacing w:line="360" w:lineRule="auto"/>
              <w:jc w:val="center"/>
            </w:pPr>
            <w:r>
              <w:rPr>
                <w:rFonts w:ascii="MS Gothic" w:eastAsia="MS Gothic" w:hAnsi="MS Gothic" w:cs="MS Gothic"/>
              </w:rPr>
              <w:t>☐</w:t>
            </w:r>
          </w:p>
        </w:tc>
        <w:tc>
          <w:tcPr>
            <w:tcW w:w="676" w:type="dxa"/>
            <w:shd w:val="clear" w:color="auto" w:fill="BFBFBF"/>
            <w:vAlign w:val="center"/>
          </w:tcPr>
          <w:p w14:paraId="68BC7F20" w14:textId="77777777" w:rsidR="00A769CA" w:rsidRDefault="008D3F3B">
            <w:pPr>
              <w:spacing w:line="360" w:lineRule="auto"/>
              <w:jc w:val="center"/>
            </w:pPr>
            <w:r>
              <w:rPr>
                <w:rFonts w:ascii="MS Gothic" w:eastAsia="MS Gothic" w:hAnsi="MS Gothic" w:cs="MS Gothic"/>
              </w:rPr>
              <w:t>☐</w:t>
            </w:r>
          </w:p>
        </w:tc>
      </w:tr>
      <w:tr w:rsidR="00A769CA" w14:paraId="78D7CDF9" w14:textId="77777777">
        <w:trPr>
          <w:trHeight w:val="392"/>
        </w:trPr>
        <w:tc>
          <w:tcPr>
            <w:tcW w:w="465" w:type="dxa"/>
            <w:shd w:val="clear" w:color="auto" w:fill="F2F2F2"/>
            <w:vAlign w:val="center"/>
          </w:tcPr>
          <w:p w14:paraId="3AD8B494" w14:textId="77777777" w:rsidR="00A769CA" w:rsidRDefault="008D3F3B">
            <w:pPr>
              <w:spacing w:line="360" w:lineRule="auto"/>
            </w:pPr>
            <w:r>
              <w:t>13</w:t>
            </w:r>
          </w:p>
        </w:tc>
        <w:tc>
          <w:tcPr>
            <w:tcW w:w="6819" w:type="dxa"/>
            <w:shd w:val="clear" w:color="auto" w:fill="F2F2F2"/>
            <w:vAlign w:val="center"/>
          </w:tcPr>
          <w:p w14:paraId="26945A00" w14:textId="77777777" w:rsidR="00A769CA" w:rsidRDefault="008D3F3B">
            <w:pPr>
              <w:spacing w:line="360" w:lineRule="auto"/>
            </w:pPr>
            <w:r>
              <w:t>Use of procedures that involve deception?</w:t>
            </w:r>
          </w:p>
        </w:tc>
        <w:tc>
          <w:tcPr>
            <w:tcW w:w="701" w:type="dxa"/>
            <w:shd w:val="clear" w:color="auto" w:fill="BFBFBF"/>
            <w:vAlign w:val="center"/>
          </w:tcPr>
          <w:p w14:paraId="244D6960" w14:textId="77777777" w:rsidR="00A769CA" w:rsidRDefault="008D3F3B">
            <w:pPr>
              <w:spacing w:line="360" w:lineRule="auto"/>
              <w:jc w:val="center"/>
            </w:pPr>
            <w:r>
              <w:rPr>
                <w:rFonts w:ascii="MS Gothic" w:eastAsia="MS Gothic" w:hAnsi="MS Gothic" w:cs="MS Gothic"/>
              </w:rPr>
              <w:t>☐</w:t>
            </w:r>
          </w:p>
        </w:tc>
        <w:tc>
          <w:tcPr>
            <w:tcW w:w="676" w:type="dxa"/>
            <w:shd w:val="clear" w:color="auto" w:fill="BFBFBF"/>
            <w:vAlign w:val="center"/>
          </w:tcPr>
          <w:p w14:paraId="48D04444" w14:textId="77777777" w:rsidR="00A769CA" w:rsidRDefault="008D3F3B">
            <w:pPr>
              <w:spacing w:line="360" w:lineRule="auto"/>
              <w:jc w:val="center"/>
            </w:pPr>
            <w:r>
              <w:rPr>
                <w:rFonts w:ascii="MS Gothic" w:eastAsia="MS Gothic" w:hAnsi="MS Gothic" w:cs="MS Gothic"/>
              </w:rPr>
              <w:t>☐</w:t>
            </w:r>
          </w:p>
        </w:tc>
      </w:tr>
      <w:tr w:rsidR="00A769CA" w14:paraId="3CC9467E" w14:textId="77777777">
        <w:trPr>
          <w:trHeight w:val="392"/>
        </w:trPr>
        <w:tc>
          <w:tcPr>
            <w:tcW w:w="465" w:type="dxa"/>
            <w:shd w:val="clear" w:color="auto" w:fill="F2F2F2"/>
            <w:vAlign w:val="center"/>
          </w:tcPr>
          <w:p w14:paraId="0A05D188" w14:textId="77777777" w:rsidR="00A769CA" w:rsidRDefault="008D3F3B">
            <w:pPr>
              <w:spacing w:line="360" w:lineRule="auto"/>
            </w:pPr>
            <w:r>
              <w:t>14</w:t>
            </w:r>
          </w:p>
        </w:tc>
        <w:tc>
          <w:tcPr>
            <w:tcW w:w="6819" w:type="dxa"/>
            <w:shd w:val="clear" w:color="auto" w:fill="F2F2F2"/>
            <w:vAlign w:val="center"/>
          </w:tcPr>
          <w:p w14:paraId="1C43FC7D" w14:textId="77777777" w:rsidR="00A769CA" w:rsidRDefault="008D3F3B">
            <w:pPr>
              <w:spacing w:line="360" w:lineRule="auto"/>
            </w:pPr>
            <w:r>
              <w:t>Administration of any substance, agent or placebo?</w:t>
            </w:r>
          </w:p>
        </w:tc>
        <w:tc>
          <w:tcPr>
            <w:tcW w:w="701" w:type="dxa"/>
            <w:shd w:val="clear" w:color="auto" w:fill="BFBFBF"/>
            <w:vAlign w:val="center"/>
          </w:tcPr>
          <w:p w14:paraId="773A1615" w14:textId="77777777" w:rsidR="00A769CA" w:rsidRDefault="008D3F3B">
            <w:pPr>
              <w:spacing w:line="360" w:lineRule="auto"/>
              <w:jc w:val="center"/>
            </w:pPr>
            <w:r>
              <w:rPr>
                <w:rFonts w:ascii="MS Gothic" w:eastAsia="MS Gothic" w:hAnsi="MS Gothic" w:cs="MS Gothic"/>
              </w:rPr>
              <w:t>☐</w:t>
            </w:r>
          </w:p>
        </w:tc>
        <w:tc>
          <w:tcPr>
            <w:tcW w:w="676" w:type="dxa"/>
            <w:shd w:val="clear" w:color="auto" w:fill="BFBFBF"/>
            <w:vAlign w:val="center"/>
          </w:tcPr>
          <w:p w14:paraId="0A6E1932" w14:textId="77777777" w:rsidR="00A769CA" w:rsidRDefault="008D3F3B">
            <w:pPr>
              <w:spacing w:line="360" w:lineRule="auto"/>
              <w:jc w:val="center"/>
            </w:pPr>
            <w:r>
              <w:rPr>
                <w:rFonts w:ascii="MS Gothic" w:eastAsia="MS Gothic" w:hAnsi="MS Gothic" w:cs="MS Gothic"/>
              </w:rPr>
              <w:t>☐</w:t>
            </w:r>
          </w:p>
        </w:tc>
      </w:tr>
      <w:tr w:rsidR="00A769CA" w14:paraId="0A3E4506" w14:textId="77777777">
        <w:trPr>
          <w:trHeight w:val="392"/>
        </w:trPr>
        <w:tc>
          <w:tcPr>
            <w:tcW w:w="465" w:type="dxa"/>
            <w:shd w:val="clear" w:color="auto" w:fill="F2F2F2"/>
            <w:vAlign w:val="center"/>
          </w:tcPr>
          <w:p w14:paraId="10A21383" w14:textId="77777777" w:rsidR="00A769CA" w:rsidRDefault="008D3F3B">
            <w:pPr>
              <w:spacing w:line="360" w:lineRule="auto"/>
            </w:pPr>
            <w:r>
              <w:t>15</w:t>
            </w:r>
          </w:p>
        </w:tc>
        <w:tc>
          <w:tcPr>
            <w:tcW w:w="6819" w:type="dxa"/>
            <w:shd w:val="clear" w:color="auto" w:fill="F2F2F2"/>
            <w:vAlign w:val="center"/>
          </w:tcPr>
          <w:p w14:paraId="34D343DC" w14:textId="77777777" w:rsidR="00A769CA" w:rsidRDefault="008D3F3B">
            <w:pPr>
              <w:spacing w:line="360" w:lineRule="auto"/>
            </w:pPr>
            <w:r>
              <w:t>Working with live vertebrate animals?</w:t>
            </w:r>
          </w:p>
        </w:tc>
        <w:tc>
          <w:tcPr>
            <w:tcW w:w="701" w:type="dxa"/>
            <w:shd w:val="clear" w:color="auto" w:fill="BFBFBF"/>
            <w:vAlign w:val="center"/>
          </w:tcPr>
          <w:p w14:paraId="27DF1C66" w14:textId="77777777" w:rsidR="00A769CA" w:rsidRDefault="008D3F3B">
            <w:pPr>
              <w:spacing w:line="360" w:lineRule="auto"/>
              <w:jc w:val="center"/>
            </w:pPr>
            <w:r>
              <w:rPr>
                <w:rFonts w:ascii="MS Gothic" w:eastAsia="MS Gothic" w:hAnsi="MS Gothic" w:cs="MS Gothic"/>
              </w:rPr>
              <w:t>☐</w:t>
            </w:r>
          </w:p>
        </w:tc>
        <w:tc>
          <w:tcPr>
            <w:tcW w:w="676" w:type="dxa"/>
            <w:shd w:val="clear" w:color="auto" w:fill="BFBFBF"/>
            <w:vAlign w:val="center"/>
          </w:tcPr>
          <w:p w14:paraId="355147DA" w14:textId="77777777" w:rsidR="00A769CA" w:rsidRDefault="008D3F3B">
            <w:pPr>
              <w:spacing w:line="360" w:lineRule="auto"/>
              <w:jc w:val="center"/>
            </w:pPr>
            <w:r>
              <w:rPr>
                <w:rFonts w:ascii="MS Gothic" w:eastAsia="MS Gothic" w:hAnsi="MS Gothic" w:cs="MS Gothic"/>
              </w:rPr>
              <w:t>☐</w:t>
            </w:r>
          </w:p>
        </w:tc>
      </w:tr>
      <w:tr w:rsidR="00A769CA" w14:paraId="383B1DF6" w14:textId="77777777">
        <w:trPr>
          <w:trHeight w:val="392"/>
        </w:trPr>
        <w:tc>
          <w:tcPr>
            <w:tcW w:w="465" w:type="dxa"/>
            <w:shd w:val="clear" w:color="auto" w:fill="F2F2F2"/>
            <w:vAlign w:val="center"/>
          </w:tcPr>
          <w:p w14:paraId="11EAADF5" w14:textId="77777777" w:rsidR="00A769CA" w:rsidRDefault="008D3F3B">
            <w:pPr>
              <w:spacing w:line="360" w:lineRule="auto"/>
            </w:pPr>
            <w:r>
              <w:lastRenderedPageBreak/>
              <w:t>16</w:t>
            </w:r>
          </w:p>
        </w:tc>
        <w:tc>
          <w:tcPr>
            <w:tcW w:w="6819" w:type="dxa"/>
            <w:shd w:val="clear" w:color="auto" w:fill="F2F2F2"/>
            <w:vAlign w:val="center"/>
          </w:tcPr>
          <w:p w14:paraId="73203B03" w14:textId="77777777" w:rsidR="00A769CA" w:rsidRDefault="008D3F3B">
            <w:pPr>
              <w:spacing w:line="360" w:lineRule="auto"/>
            </w:pPr>
            <w:r>
              <w:t>Procedures that may have a negative impact on the environment?</w:t>
            </w:r>
          </w:p>
        </w:tc>
        <w:tc>
          <w:tcPr>
            <w:tcW w:w="701" w:type="dxa"/>
            <w:shd w:val="clear" w:color="auto" w:fill="BFBFBF"/>
            <w:vAlign w:val="center"/>
          </w:tcPr>
          <w:p w14:paraId="3684C5F8" w14:textId="77777777" w:rsidR="00A769CA" w:rsidRDefault="008D3F3B">
            <w:pPr>
              <w:spacing w:line="360" w:lineRule="auto"/>
              <w:jc w:val="center"/>
            </w:pPr>
            <w:r>
              <w:rPr>
                <w:rFonts w:ascii="MS Gothic" w:eastAsia="MS Gothic" w:hAnsi="MS Gothic" w:cs="MS Gothic"/>
              </w:rPr>
              <w:t>☐</w:t>
            </w:r>
          </w:p>
        </w:tc>
        <w:tc>
          <w:tcPr>
            <w:tcW w:w="676" w:type="dxa"/>
            <w:shd w:val="clear" w:color="auto" w:fill="BFBFBF"/>
            <w:vAlign w:val="center"/>
          </w:tcPr>
          <w:p w14:paraId="1EAB99E1" w14:textId="77777777" w:rsidR="00A769CA" w:rsidRDefault="008D3F3B">
            <w:pPr>
              <w:spacing w:line="360" w:lineRule="auto"/>
              <w:jc w:val="center"/>
            </w:pPr>
            <w:r>
              <w:rPr>
                <w:rFonts w:ascii="MS Gothic" w:eastAsia="MS Gothic" w:hAnsi="MS Gothic" w:cs="MS Gothic"/>
              </w:rPr>
              <w:t>☐</w:t>
            </w:r>
          </w:p>
        </w:tc>
      </w:tr>
      <w:tr w:rsidR="00A769CA" w14:paraId="231B4DC8" w14:textId="77777777">
        <w:trPr>
          <w:trHeight w:val="392"/>
        </w:trPr>
        <w:tc>
          <w:tcPr>
            <w:tcW w:w="465" w:type="dxa"/>
            <w:shd w:val="clear" w:color="auto" w:fill="F2F2F2"/>
            <w:vAlign w:val="center"/>
          </w:tcPr>
          <w:p w14:paraId="4EF93C4F" w14:textId="77777777" w:rsidR="00A769CA" w:rsidRDefault="008D3F3B">
            <w:pPr>
              <w:spacing w:line="360" w:lineRule="auto"/>
            </w:pPr>
            <w:r>
              <w:t>17</w:t>
            </w:r>
          </w:p>
        </w:tc>
        <w:tc>
          <w:tcPr>
            <w:tcW w:w="6819" w:type="dxa"/>
            <w:shd w:val="clear" w:color="auto" w:fill="F2F2F2"/>
            <w:vAlign w:val="center"/>
          </w:tcPr>
          <w:p w14:paraId="4A8B89A6" w14:textId="77777777" w:rsidR="00A769CA" w:rsidRDefault="008D3F3B">
            <w:pPr>
              <w:spacing w:line="360" w:lineRule="auto"/>
            </w:pPr>
            <w:r>
              <w:t>Other primary data collection methods. Please indicate the type of data collection method(s) below.</w:t>
            </w:r>
          </w:p>
        </w:tc>
        <w:tc>
          <w:tcPr>
            <w:tcW w:w="701" w:type="dxa"/>
            <w:vMerge w:val="restart"/>
            <w:shd w:val="clear" w:color="auto" w:fill="BFBFBF"/>
            <w:vAlign w:val="center"/>
          </w:tcPr>
          <w:p w14:paraId="662C952C" w14:textId="77777777" w:rsidR="00A769CA" w:rsidRDefault="008D3F3B">
            <w:pPr>
              <w:spacing w:line="360" w:lineRule="auto"/>
              <w:jc w:val="center"/>
            </w:pPr>
            <w:r>
              <w:rPr>
                <w:rFonts w:ascii="MS Gothic" w:eastAsia="MS Gothic" w:hAnsi="MS Gothic" w:cs="MS Gothic"/>
              </w:rPr>
              <w:t>☐</w:t>
            </w:r>
          </w:p>
        </w:tc>
        <w:tc>
          <w:tcPr>
            <w:tcW w:w="676" w:type="dxa"/>
            <w:vMerge w:val="restart"/>
            <w:shd w:val="clear" w:color="auto" w:fill="BFBFBF"/>
            <w:vAlign w:val="center"/>
          </w:tcPr>
          <w:p w14:paraId="57639A17" w14:textId="77777777" w:rsidR="00A769CA" w:rsidRDefault="008D3F3B">
            <w:pPr>
              <w:spacing w:line="360" w:lineRule="auto"/>
              <w:jc w:val="center"/>
            </w:pPr>
            <w:r>
              <w:rPr>
                <w:rFonts w:ascii="MS Gothic" w:eastAsia="MS Gothic" w:hAnsi="MS Gothic" w:cs="MS Gothic"/>
              </w:rPr>
              <w:t>☐</w:t>
            </w:r>
          </w:p>
        </w:tc>
      </w:tr>
      <w:tr w:rsidR="00A769CA" w14:paraId="159585FA" w14:textId="77777777">
        <w:trPr>
          <w:trHeight w:val="392"/>
        </w:trPr>
        <w:tc>
          <w:tcPr>
            <w:tcW w:w="465" w:type="dxa"/>
            <w:vAlign w:val="center"/>
          </w:tcPr>
          <w:p w14:paraId="6983BAEF" w14:textId="77777777" w:rsidR="00A769CA" w:rsidRDefault="00A769CA">
            <w:pPr>
              <w:spacing w:line="360" w:lineRule="auto"/>
            </w:pPr>
          </w:p>
        </w:tc>
        <w:tc>
          <w:tcPr>
            <w:tcW w:w="6819" w:type="dxa"/>
            <w:vAlign w:val="center"/>
          </w:tcPr>
          <w:p w14:paraId="7DA75563" w14:textId="77777777" w:rsidR="00A769CA" w:rsidRDefault="008D3F3B">
            <w:pPr>
              <w:spacing w:line="360" w:lineRule="auto"/>
            </w:pPr>
            <w:r>
              <w:t>Details of any other primary data collection method:</w:t>
            </w:r>
          </w:p>
          <w:p w14:paraId="1783ACC1" w14:textId="77777777" w:rsidR="00A769CA" w:rsidRDefault="00A769CA">
            <w:pPr>
              <w:spacing w:line="360" w:lineRule="auto"/>
              <w:rPr>
                <w:sz w:val="20"/>
                <w:szCs w:val="20"/>
              </w:rPr>
            </w:pPr>
          </w:p>
          <w:p w14:paraId="31873045" w14:textId="77777777" w:rsidR="00A769CA" w:rsidRDefault="00A769CA">
            <w:pPr>
              <w:spacing w:line="360" w:lineRule="auto"/>
              <w:rPr>
                <w:sz w:val="20"/>
                <w:szCs w:val="20"/>
              </w:rPr>
            </w:pPr>
          </w:p>
          <w:p w14:paraId="2A539DD6" w14:textId="77777777" w:rsidR="00A769CA" w:rsidRDefault="00A769CA">
            <w:pPr>
              <w:spacing w:line="360" w:lineRule="auto"/>
            </w:pPr>
          </w:p>
          <w:p w14:paraId="64DADB41" w14:textId="77777777" w:rsidR="00A769CA" w:rsidRDefault="008D3F3B">
            <w:pPr>
              <w:spacing w:line="360" w:lineRule="auto"/>
            </w:pPr>
            <w:r>
              <w:rPr>
                <w:sz w:val="18"/>
                <w:szCs w:val="18"/>
              </w:rPr>
              <w:t>(this box should expand as you type)</w:t>
            </w:r>
          </w:p>
        </w:tc>
        <w:tc>
          <w:tcPr>
            <w:tcW w:w="701" w:type="dxa"/>
            <w:vMerge/>
            <w:shd w:val="clear" w:color="auto" w:fill="BFBFBF"/>
            <w:vAlign w:val="center"/>
          </w:tcPr>
          <w:p w14:paraId="3B1A3583" w14:textId="77777777" w:rsidR="00A769CA" w:rsidRDefault="00A769CA">
            <w:pPr>
              <w:widowControl w:val="0"/>
              <w:pBdr>
                <w:top w:val="nil"/>
                <w:left w:val="nil"/>
                <w:bottom w:val="nil"/>
                <w:right w:val="nil"/>
                <w:between w:val="nil"/>
              </w:pBdr>
              <w:spacing w:line="360" w:lineRule="auto"/>
            </w:pPr>
          </w:p>
        </w:tc>
        <w:tc>
          <w:tcPr>
            <w:tcW w:w="676" w:type="dxa"/>
            <w:vMerge/>
            <w:shd w:val="clear" w:color="auto" w:fill="BFBFBF"/>
            <w:vAlign w:val="center"/>
          </w:tcPr>
          <w:p w14:paraId="7783C7D1" w14:textId="77777777" w:rsidR="00A769CA" w:rsidRDefault="00A769CA">
            <w:pPr>
              <w:widowControl w:val="0"/>
              <w:pBdr>
                <w:top w:val="nil"/>
                <w:left w:val="nil"/>
                <w:bottom w:val="nil"/>
                <w:right w:val="nil"/>
                <w:between w:val="nil"/>
              </w:pBdr>
              <w:spacing w:line="360" w:lineRule="auto"/>
            </w:pPr>
          </w:p>
        </w:tc>
      </w:tr>
    </w:tbl>
    <w:p w14:paraId="244194A0" w14:textId="77777777" w:rsidR="00A769CA" w:rsidRDefault="008D3F3B">
      <w:pPr>
        <w:spacing w:line="360" w:lineRule="auto"/>
        <w:jc w:val="both"/>
      </w:pPr>
      <w:r>
        <w:t xml:space="preserve">If NO to every question, then the research activity is (ethically) low risk and </w:t>
      </w:r>
      <w:r>
        <w:rPr>
          <w:b/>
          <w:bCs/>
        </w:rPr>
        <w:t>may</w:t>
      </w:r>
      <w:r>
        <w:t xml:space="preserve"> be exempt from </w:t>
      </w:r>
      <w:r>
        <w:rPr>
          <w:b/>
          <w:bCs/>
        </w:rPr>
        <w:t>some</w:t>
      </w:r>
      <w:r>
        <w:t xml:space="preserve"> of the following sections (please refer to Guidance Notes).</w:t>
      </w:r>
    </w:p>
    <w:p w14:paraId="02EF7893" w14:textId="77777777" w:rsidR="00A769CA" w:rsidRDefault="00A769CA">
      <w:pPr>
        <w:spacing w:line="360" w:lineRule="auto"/>
      </w:pPr>
    </w:p>
    <w:p w14:paraId="37F14697" w14:textId="77777777" w:rsidR="00A769CA" w:rsidRDefault="008D3F3B">
      <w:pPr>
        <w:spacing w:line="360" w:lineRule="auto"/>
      </w:pPr>
      <w:r>
        <w:t xml:space="preserve">If YES to any question, then no research activity should be undertaken until full ethical approval has been obtained. </w:t>
      </w:r>
    </w:p>
    <w:p w14:paraId="3E2DE89F" w14:textId="77777777" w:rsidR="00A769CA" w:rsidRDefault="00A769CA">
      <w:pPr>
        <w:spacing w:line="360" w:lineRule="auto"/>
      </w:pPr>
    </w:p>
    <w:p w14:paraId="0241FD79" w14:textId="77777777" w:rsidR="00A769CA" w:rsidRDefault="008D3F3B">
      <w:pPr>
        <w:spacing w:after="240" w:line="360" w:lineRule="auto"/>
        <w:jc w:val="both"/>
        <w:rPr>
          <w:b/>
          <w:bCs/>
        </w:rPr>
      </w:pPr>
      <w:r>
        <w:rPr>
          <w:b/>
          <w:bCs/>
        </w:rPr>
        <w:t>SECTION G: Intended Participants (Not applicable)</w:t>
      </w:r>
    </w:p>
    <w:p w14:paraId="38A5B90A" w14:textId="77777777" w:rsidR="00A769CA" w:rsidRDefault="008D3F3B">
      <w:pPr>
        <w:spacing w:line="360" w:lineRule="auto"/>
        <w:rPr>
          <w:sz w:val="24"/>
          <w:szCs w:val="24"/>
        </w:rPr>
      </w:pPr>
      <w:r>
        <w:rPr>
          <w:sz w:val="24"/>
          <w:szCs w:val="24"/>
        </w:rPr>
        <w:t>If there are no participants then do not complete this section, but go directly to section H.</w:t>
      </w:r>
    </w:p>
    <w:p w14:paraId="48B8834F" w14:textId="77777777" w:rsidR="00A769CA" w:rsidRDefault="00A769CA">
      <w:pPr>
        <w:spacing w:line="360" w:lineRule="auto"/>
        <w:rPr>
          <w:sz w:val="24"/>
          <w:szCs w:val="24"/>
        </w:rPr>
      </w:pPr>
    </w:p>
    <w:tbl>
      <w:tblPr>
        <w:tblStyle w:val="aff2"/>
        <w:tblW w:w="829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45"/>
        <w:gridCol w:w="6519"/>
        <w:gridCol w:w="674"/>
        <w:gridCol w:w="652"/>
      </w:tblGrid>
      <w:tr w:rsidR="00A769CA" w14:paraId="4C4DFE35" w14:textId="77777777">
        <w:trPr>
          <w:trHeight w:val="483"/>
        </w:trPr>
        <w:tc>
          <w:tcPr>
            <w:tcW w:w="445" w:type="dxa"/>
            <w:shd w:val="clear" w:color="auto" w:fill="F2F2F2"/>
            <w:vAlign w:val="center"/>
          </w:tcPr>
          <w:p w14:paraId="699253E6" w14:textId="77777777" w:rsidR="00A769CA" w:rsidRDefault="00A769CA">
            <w:pPr>
              <w:spacing w:line="360" w:lineRule="auto"/>
              <w:jc w:val="center"/>
              <w:rPr>
                <w:b/>
                <w:bCs/>
              </w:rPr>
            </w:pPr>
          </w:p>
        </w:tc>
        <w:tc>
          <w:tcPr>
            <w:tcW w:w="6519" w:type="dxa"/>
            <w:shd w:val="clear" w:color="auto" w:fill="F2F2F2"/>
          </w:tcPr>
          <w:p w14:paraId="2DA99578" w14:textId="77777777" w:rsidR="00A769CA" w:rsidRDefault="008D3F3B">
            <w:pPr>
              <w:spacing w:line="360" w:lineRule="auto"/>
              <w:jc w:val="both"/>
              <w:rPr>
                <w:b/>
                <w:bCs/>
              </w:rPr>
            </w:pPr>
            <w:r>
              <w:rPr>
                <w:b/>
                <w:bCs/>
              </w:rPr>
              <w:t>Who are the intended participants:</w:t>
            </w:r>
          </w:p>
        </w:tc>
        <w:tc>
          <w:tcPr>
            <w:tcW w:w="674" w:type="dxa"/>
            <w:shd w:val="clear" w:color="auto" w:fill="F2F2F2"/>
          </w:tcPr>
          <w:p w14:paraId="5DD7DA2F" w14:textId="77777777" w:rsidR="00A769CA" w:rsidRDefault="00A769CA">
            <w:pPr>
              <w:spacing w:line="360" w:lineRule="auto"/>
              <w:jc w:val="center"/>
              <w:rPr>
                <w:b/>
                <w:bCs/>
              </w:rPr>
            </w:pPr>
          </w:p>
          <w:p w14:paraId="3CDA22C1" w14:textId="77777777" w:rsidR="00A769CA" w:rsidRDefault="008D3F3B">
            <w:pPr>
              <w:spacing w:line="360" w:lineRule="auto"/>
              <w:jc w:val="center"/>
              <w:rPr>
                <w:b/>
                <w:bCs/>
              </w:rPr>
            </w:pPr>
            <w:r>
              <w:rPr>
                <w:b/>
                <w:bCs/>
              </w:rPr>
              <w:t>YES</w:t>
            </w:r>
          </w:p>
        </w:tc>
        <w:tc>
          <w:tcPr>
            <w:tcW w:w="652" w:type="dxa"/>
            <w:shd w:val="clear" w:color="auto" w:fill="F2F2F2"/>
          </w:tcPr>
          <w:p w14:paraId="17740C40" w14:textId="77777777" w:rsidR="00A769CA" w:rsidRDefault="00A769CA">
            <w:pPr>
              <w:spacing w:line="360" w:lineRule="auto"/>
              <w:jc w:val="center"/>
              <w:rPr>
                <w:b/>
                <w:bCs/>
              </w:rPr>
            </w:pPr>
          </w:p>
          <w:p w14:paraId="5A06A753" w14:textId="77777777" w:rsidR="00A769CA" w:rsidRDefault="008D3F3B">
            <w:pPr>
              <w:spacing w:line="360" w:lineRule="auto"/>
              <w:jc w:val="center"/>
              <w:rPr>
                <w:b/>
                <w:bCs/>
              </w:rPr>
            </w:pPr>
            <w:r>
              <w:rPr>
                <w:b/>
                <w:bCs/>
              </w:rPr>
              <w:t>NO</w:t>
            </w:r>
          </w:p>
        </w:tc>
      </w:tr>
      <w:tr w:rsidR="00A769CA" w14:paraId="0D3871A6" w14:textId="77777777">
        <w:trPr>
          <w:trHeight w:val="420"/>
        </w:trPr>
        <w:tc>
          <w:tcPr>
            <w:tcW w:w="445" w:type="dxa"/>
            <w:shd w:val="clear" w:color="auto" w:fill="F2F2F2"/>
            <w:vAlign w:val="center"/>
          </w:tcPr>
          <w:p w14:paraId="671E1609" w14:textId="77777777" w:rsidR="00A769CA" w:rsidRDefault="008D3F3B">
            <w:pPr>
              <w:spacing w:line="360" w:lineRule="auto"/>
              <w:jc w:val="center"/>
            </w:pPr>
            <w:r>
              <w:t>1</w:t>
            </w:r>
          </w:p>
        </w:tc>
        <w:tc>
          <w:tcPr>
            <w:tcW w:w="6519" w:type="dxa"/>
            <w:shd w:val="clear" w:color="auto" w:fill="F2F2F2"/>
            <w:vAlign w:val="center"/>
          </w:tcPr>
          <w:p w14:paraId="08404EDC" w14:textId="77777777" w:rsidR="00A769CA" w:rsidRDefault="008D3F3B">
            <w:pPr>
              <w:spacing w:line="360" w:lineRule="auto"/>
            </w:pPr>
            <w:r>
              <w:t>Students or staff at the University?</w:t>
            </w:r>
          </w:p>
        </w:tc>
        <w:tc>
          <w:tcPr>
            <w:tcW w:w="674" w:type="dxa"/>
            <w:shd w:val="clear" w:color="auto" w:fill="BFBFBF"/>
            <w:vAlign w:val="center"/>
          </w:tcPr>
          <w:p w14:paraId="261DFD81" w14:textId="77777777" w:rsidR="00A769CA" w:rsidRDefault="008D3F3B">
            <w:pPr>
              <w:spacing w:line="360" w:lineRule="auto"/>
              <w:jc w:val="center"/>
            </w:pPr>
            <w:r>
              <w:rPr>
                <w:rFonts w:ascii="MS Gothic" w:eastAsia="MS Gothic" w:hAnsi="MS Gothic" w:cs="MS Gothic"/>
              </w:rPr>
              <w:t>☐</w:t>
            </w:r>
          </w:p>
        </w:tc>
        <w:tc>
          <w:tcPr>
            <w:tcW w:w="652" w:type="dxa"/>
            <w:shd w:val="clear" w:color="auto" w:fill="BFBFBF"/>
            <w:vAlign w:val="center"/>
          </w:tcPr>
          <w:p w14:paraId="6792FE73" w14:textId="77777777" w:rsidR="00A769CA" w:rsidRDefault="008D3F3B">
            <w:pPr>
              <w:spacing w:line="360" w:lineRule="auto"/>
              <w:jc w:val="center"/>
            </w:pPr>
            <w:r>
              <w:rPr>
                <w:rFonts w:ascii="MS Gothic" w:eastAsia="MS Gothic" w:hAnsi="MS Gothic" w:cs="MS Gothic"/>
              </w:rPr>
              <w:t>☐</w:t>
            </w:r>
          </w:p>
        </w:tc>
      </w:tr>
      <w:tr w:rsidR="00A769CA" w14:paraId="06A5A4C7" w14:textId="77777777">
        <w:trPr>
          <w:trHeight w:val="386"/>
        </w:trPr>
        <w:tc>
          <w:tcPr>
            <w:tcW w:w="445" w:type="dxa"/>
            <w:shd w:val="clear" w:color="auto" w:fill="F2F2F2"/>
            <w:vAlign w:val="center"/>
          </w:tcPr>
          <w:p w14:paraId="496CA80C" w14:textId="77777777" w:rsidR="00A769CA" w:rsidRDefault="008D3F3B">
            <w:pPr>
              <w:spacing w:line="360" w:lineRule="auto"/>
              <w:jc w:val="center"/>
            </w:pPr>
            <w:r>
              <w:t>2</w:t>
            </w:r>
          </w:p>
        </w:tc>
        <w:tc>
          <w:tcPr>
            <w:tcW w:w="6519" w:type="dxa"/>
            <w:shd w:val="clear" w:color="auto" w:fill="F2F2F2"/>
            <w:vAlign w:val="center"/>
          </w:tcPr>
          <w:p w14:paraId="6877BDC8" w14:textId="77777777" w:rsidR="00A769CA" w:rsidRDefault="008D3F3B">
            <w:pPr>
              <w:spacing w:line="360" w:lineRule="auto"/>
            </w:pPr>
            <w:r>
              <w:t>Adults (over the age of 18 and competent to give consent)?</w:t>
            </w:r>
          </w:p>
        </w:tc>
        <w:tc>
          <w:tcPr>
            <w:tcW w:w="674" w:type="dxa"/>
            <w:shd w:val="clear" w:color="auto" w:fill="BFBFBF"/>
            <w:vAlign w:val="center"/>
          </w:tcPr>
          <w:p w14:paraId="54B8914C" w14:textId="77777777" w:rsidR="00A769CA" w:rsidRDefault="008D3F3B">
            <w:pPr>
              <w:spacing w:line="360" w:lineRule="auto"/>
              <w:jc w:val="center"/>
            </w:pPr>
            <w:r>
              <w:rPr>
                <w:rFonts w:ascii="MS Gothic" w:eastAsia="MS Gothic" w:hAnsi="MS Gothic" w:cs="MS Gothic"/>
              </w:rPr>
              <w:t>☐</w:t>
            </w:r>
          </w:p>
        </w:tc>
        <w:tc>
          <w:tcPr>
            <w:tcW w:w="652" w:type="dxa"/>
            <w:shd w:val="clear" w:color="auto" w:fill="BFBFBF"/>
            <w:vAlign w:val="center"/>
          </w:tcPr>
          <w:p w14:paraId="47AB032D" w14:textId="77777777" w:rsidR="00A769CA" w:rsidRDefault="008D3F3B">
            <w:pPr>
              <w:spacing w:line="360" w:lineRule="auto"/>
              <w:jc w:val="center"/>
            </w:pPr>
            <w:r>
              <w:rPr>
                <w:rFonts w:ascii="MS Gothic" w:eastAsia="MS Gothic" w:hAnsi="MS Gothic" w:cs="MS Gothic"/>
              </w:rPr>
              <w:t>☐</w:t>
            </w:r>
          </w:p>
        </w:tc>
      </w:tr>
      <w:tr w:rsidR="00A769CA" w14:paraId="24801073" w14:textId="77777777">
        <w:trPr>
          <w:trHeight w:val="420"/>
        </w:trPr>
        <w:tc>
          <w:tcPr>
            <w:tcW w:w="445" w:type="dxa"/>
            <w:shd w:val="clear" w:color="auto" w:fill="F2F2F2"/>
            <w:vAlign w:val="center"/>
          </w:tcPr>
          <w:p w14:paraId="1BAF0817" w14:textId="77777777" w:rsidR="00A769CA" w:rsidRDefault="008D3F3B">
            <w:pPr>
              <w:spacing w:line="360" w:lineRule="auto"/>
              <w:jc w:val="center"/>
            </w:pPr>
            <w:r>
              <w:t>3</w:t>
            </w:r>
          </w:p>
        </w:tc>
        <w:tc>
          <w:tcPr>
            <w:tcW w:w="6519" w:type="dxa"/>
            <w:shd w:val="clear" w:color="auto" w:fill="F2F2F2"/>
            <w:vAlign w:val="center"/>
          </w:tcPr>
          <w:p w14:paraId="24D60AC3" w14:textId="77777777" w:rsidR="00A769CA" w:rsidRDefault="008D3F3B">
            <w:pPr>
              <w:spacing w:line="360" w:lineRule="auto"/>
            </w:pPr>
            <w:r>
              <w:t>Vulnerable adults?</w:t>
            </w:r>
          </w:p>
        </w:tc>
        <w:tc>
          <w:tcPr>
            <w:tcW w:w="674" w:type="dxa"/>
            <w:shd w:val="clear" w:color="auto" w:fill="BFBFBF"/>
            <w:vAlign w:val="center"/>
          </w:tcPr>
          <w:p w14:paraId="42679B5A" w14:textId="77777777" w:rsidR="00A769CA" w:rsidRDefault="008D3F3B">
            <w:pPr>
              <w:spacing w:line="360" w:lineRule="auto"/>
              <w:jc w:val="center"/>
            </w:pPr>
            <w:r>
              <w:rPr>
                <w:rFonts w:ascii="MS Gothic" w:eastAsia="MS Gothic" w:hAnsi="MS Gothic" w:cs="MS Gothic"/>
              </w:rPr>
              <w:t>☐</w:t>
            </w:r>
          </w:p>
        </w:tc>
        <w:tc>
          <w:tcPr>
            <w:tcW w:w="652" w:type="dxa"/>
            <w:shd w:val="clear" w:color="auto" w:fill="BFBFBF"/>
            <w:vAlign w:val="center"/>
          </w:tcPr>
          <w:p w14:paraId="1BBFB499" w14:textId="77777777" w:rsidR="00A769CA" w:rsidRDefault="008D3F3B">
            <w:pPr>
              <w:spacing w:line="360" w:lineRule="auto"/>
              <w:jc w:val="center"/>
            </w:pPr>
            <w:r>
              <w:rPr>
                <w:rFonts w:ascii="MS Gothic" w:eastAsia="MS Gothic" w:hAnsi="MS Gothic" w:cs="MS Gothic"/>
              </w:rPr>
              <w:t>☐</w:t>
            </w:r>
          </w:p>
        </w:tc>
      </w:tr>
      <w:tr w:rsidR="00A769CA" w14:paraId="678161AB" w14:textId="77777777">
        <w:trPr>
          <w:trHeight w:val="386"/>
        </w:trPr>
        <w:tc>
          <w:tcPr>
            <w:tcW w:w="445" w:type="dxa"/>
            <w:shd w:val="clear" w:color="auto" w:fill="F2F2F2"/>
            <w:vAlign w:val="center"/>
          </w:tcPr>
          <w:p w14:paraId="6003CE76" w14:textId="77777777" w:rsidR="00A769CA" w:rsidRDefault="008D3F3B">
            <w:pPr>
              <w:spacing w:line="360" w:lineRule="auto"/>
              <w:jc w:val="center"/>
            </w:pPr>
            <w:r>
              <w:t>4</w:t>
            </w:r>
          </w:p>
        </w:tc>
        <w:tc>
          <w:tcPr>
            <w:tcW w:w="6519" w:type="dxa"/>
            <w:shd w:val="clear" w:color="auto" w:fill="F2F2F2"/>
            <w:vAlign w:val="center"/>
          </w:tcPr>
          <w:p w14:paraId="0D147809" w14:textId="77777777" w:rsidR="00A769CA" w:rsidRDefault="008D3F3B">
            <w:pPr>
              <w:spacing w:line="360" w:lineRule="auto"/>
            </w:pPr>
            <w:r>
              <w:t>Children and Young People under the age of 18? (Consent from Parent, Carer or Guardian will be required)</w:t>
            </w:r>
          </w:p>
        </w:tc>
        <w:tc>
          <w:tcPr>
            <w:tcW w:w="674" w:type="dxa"/>
            <w:shd w:val="clear" w:color="auto" w:fill="BFBFBF"/>
            <w:vAlign w:val="center"/>
          </w:tcPr>
          <w:p w14:paraId="654DABB6" w14:textId="77777777" w:rsidR="00A769CA" w:rsidRDefault="008D3F3B">
            <w:pPr>
              <w:spacing w:line="360" w:lineRule="auto"/>
              <w:jc w:val="center"/>
            </w:pPr>
            <w:r>
              <w:rPr>
                <w:rFonts w:ascii="MS Gothic" w:eastAsia="MS Gothic" w:hAnsi="MS Gothic" w:cs="MS Gothic"/>
              </w:rPr>
              <w:t>☐</w:t>
            </w:r>
          </w:p>
        </w:tc>
        <w:tc>
          <w:tcPr>
            <w:tcW w:w="652" w:type="dxa"/>
            <w:shd w:val="clear" w:color="auto" w:fill="BFBFBF"/>
            <w:vAlign w:val="center"/>
          </w:tcPr>
          <w:p w14:paraId="6FC15907" w14:textId="77777777" w:rsidR="00A769CA" w:rsidRDefault="008D3F3B">
            <w:pPr>
              <w:spacing w:line="360" w:lineRule="auto"/>
              <w:jc w:val="center"/>
            </w:pPr>
            <w:r>
              <w:rPr>
                <w:rFonts w:ascii="MS Gothic" w:eastAsia="MS Gothic" w:hAnsi="MS Gothic" w:cs="MS Gothic"/>
              </w:rPr>
              <w:t>☐</w:t>
            </w:r>
          </w:p>
        </w:tc>
      </w:tr>
      <w:tr w:rsidR="00A769CA" w14:paraId="5A5773EC" w14:textId="77777777">
        <w:trPr>
          <w:trHeight w:val="386"/>
        </w:trPr>
        <w:tc>
          <w:tcPr>
            <w:tcW w:w="445" w:type="dxa"/>
            <w:shd w:val="clear" w:color="auto" w:fill="F2F2F2"/>
            <w:vAlign w:val="center"/>
          </w:tcPr>
          <w:p w14:paraId="698CCE30" w14:textId="77777777" w:rsidR="00A769CA" w:rsidRDefault="008D3F3B">
            <w:pPr>
              <w:spacing w:line="360" w:lineRule="auto"/>
              <w:jc w:val="center"/>
            </w:pPr>
            <w:r>
              <w:t>5</w:t>
            </w:r>
          </w:p>
        </w:tc>
        <w:tc>
          <w:tcPr>
            <w:tcW w:w="6519" w:type="dxa"/>
            <w:shd w:val="clear" w:color="auto" w:fill="F2F2F2"/>
            <w:vAlign w:val="center"/>
          </w:tcPr>
          <w:p w14:paraId="59CEE4F2" w14:textId="77777777" w:rsidR="00A769CA" w:rsidRDefault="008D3F3B">
            <w:pPr>
              <w:spacing w:line="360" w:lineRule="auto"/>
            </w:pPr>
            <w:r>
              <w:t>Prisoners?</w:t>
            </w:r>
          </w:p>
        </w:tc>
        <w:tc>
          <w:tcPr>
            <w:tcW w:w="674" w:type="dxa"/>
            <w:shd w:val="clear" w:color="auto" w:fill="BFBFBF"/>
            <w:vAlign w:val="center"/>
          </w:tcPr>
          <w:p w14:paraId="71320C20" w14:textId="77777777" w:rsidR="00A769CA" w:rsidRDefault="008D3F3B">
            <w:pPr>
              <w:spacing w:line="360" w:lineRule="auto"/>
              <w:jc w:val="center"/>
            </w:pPr>
            <w:r>
              <w:rPr>
                <w:rFonts w:ascii="MS Gothic" w:eastAsia="MS Gothic" w:hAnsi="MS Gothic" w:cs="MS Gothic"/>
              </w:rPr>
              <w:t>☐</w:t>
            </w:r>
          </w:p>
        </w:tc>
        <w:tc>
          <w:tcPr>
            <w:tcW w:w="652" w:type="dxa"/>
            <w:shd w:val="clear" w:color="auto" w:fill="BFBFBF"/>
            <w:vAlign w:val="center"/>
          </w:tcPr>
          <w:p w14:paraId="28081D44" w14:textId="77777777" w:rsidR="00A769CA" w:rsidRDefault="008D3F3B">
            <w:pPr>
              <w:spacing w:line="360" w:lineRule="auto"/>
              <w:jc w:val="center"/>
            </w:pPr>
            <w:r>
              <w:rPr>
                <w:rFonts w:ascii="MS Gothic" w:eastAsia="MS Gothic" w:hAnsi="MS Gothic" w:cs="MS Gothic"/>
              </w:rPr>
              <w:t>☐</w:t>
            </w:r>
          </w:p>
        </w:tc>
      </w:tr>
      <w:tr w:rsidR="00A769CA" w14:paraId="0BB1562C" w14:textId="77777777">
        <w:trPr>
          <w:trHeight w:val="420"/>
        </w:trPr>
        <w:tc>
          <w:tcPr>
            <w:tcW w:w="445" w:type="dxa"/>
            <w:shd w:val="clear" w:color="auto" w:fill="F2F2F2"/>
            <w:vAlign w:val="center"/>
          </w:tcPr>
          <w:p w14:paraId="680703BE" w14:textId="77777777" w:rsidR="00A769CA" w:rsidRDefault="008D3F3B">
            <w:pPr>
              <w:spacing w:line="360" w:lineRule="auto"/>
              <w:jc w:val="center"/>
            </w:pPr>
            <w:r>
              <w:t>6</w:t>
            </w:r>
          </w:p>
        </w:tc>
        <w:tc>
          <w:tcPr>
            <w:tcW w:w="6519" w:type="dxa"/>
            <w:shd w:val="clear" w:color="auto" w:fill="F2F2F2"/>
            <w:vAlign w:val="center"/>
          </w:tcPr>
          <w:p w14:paraId="70277626" w14:textId="77777777" w:rsidR="00A769CA" w:rsidRDefault="008D3F3B">
            <w:pPr>
              <w:spacing w:line="360" w:lineRule="auto"/>
            </w:pPr>
            <w:r>
              <w:t>Young offenders?</w:t>
            </w:r>
          </w:p>
        </w:tc>
        <w:tc>
          <w:tcPr>
            <w:tcW w:w="674" w:type="dxa"/>
            <w:shd w:val="clear" w:color="auto" w:fill="BFBFBF"/>
            <w:vAlign w:val="center"/>
          </w:tcPr>
          <w:p w14:paraId="34EC7FC0" w14:textId="77777777" w:rsidR="00A769CA" w:rsidRDefault="008D3F3B">
            <w:pPr>
              <w:spacing w:line="360" w:lineRule="auto"/>
              <w:jc w:val="center"/>
            </w:pPr>
            <w:r>
              <w:rPr>
                <w:rFonts w:ascii="MS Gothic" w:eastAsia="MS Gothic" w:hAnsi="MS Gothic" w:cs="MS Gothic"/>
              </w:rPr>
              <w:t>☐</w:t>
            </w:r>
          </w:p>
        </w:tc>
        <w:tc>
          <w:tcPr>
            <w:tcW w:w="652" w:type="dxa"/>
            <w:shd w:val="clear" w:color="auto" w:fill="BFBFBF"/>
            <w:vAlign w:val="center"/>
          </w:tcPr>
          <w:p w14:paraId="6FEDAA76" w14:textId="77777777" w:rsidR="00A769CA" w:rsidRDefault="008D3F3B">
            <w:pPr>
              <w:spacing w:line="360" w:lineRule="auto"/>
              <w:jc w:val="center"/>
            </w:pPr>
            <w:r>
              <w:rPr>
                <w:rFonts w:ascii="MS Gothic" w:eastAsia="MS Gothic" w:hAnsi="MS Gothic" w:cs="MS Gothic"/>
              </w:rPr>
              <w:t>☐</w:t>
            </w:r>
          </w:p>
        </w:tc>
      </w:tr>
      <w:tr w:rsidR="00A769CA" w14:paraId="647F0741" w14:textId="77777777">
        <w:trPr>
          <w:trHeight w:val="386"/>
        </w:trPr>
        <w:tc>
          <w:tcPr>
            <w:tcW w:w="445" w:type="dxa"/>
            <w:shd w:val="clear" w:color="auto" w:fill="F2F2F2"/>
            <w:vAlign w:val="center"/>
          </w:tcPr>
          <w:p w14:paraId="2D439FA4" w14:textId="77777777" w:rsidR="00A769CA" w:rsidRDefault="008D3F3B">
            <w:pPr>
              <w:spacing w:line="360" w:lineRule="auto"/>
              <w:jc w:val="center"/>
            </w:pPr>
            <w:r>
              <w:t>7</w:t>
            </w:r>
          </w:p>
        </w:tc>
        <w:tc>
          <w:tcPr>
            <w:tcW w:w="6519" w:type="dxa"/>
            <w:shd w:val="clear" w:color="auto" w:fill="F2F2F2"/>
            <w:vAlign w:val="center"/>
          </w:tcPr>
          <w:p w14:paraId="16501F43" w14:textId="77777777" w:rsidR="00A769CA" w:rsidRDefault="008D3F3B">
            <w:pPr>
              <w:spacing w:line="360" w:lineRule="auto"/>
            </w:pPr>
            <w:r>
              <w:t>Those who could be considered to have a particularly dependent relationship with the investigator or a gatekeeper?</w:t>
            </w:r>
          </w:p>
        </w:tc>
        <w:tc>
          <w:tcPr>
            <w:tcW w:w="674" w:type="dxa"/>
            <w:shd w:val="clear" w:color="auto" w:fill="BFBFBF"/>
            <w:vAlign w:val="center"/>
          </w:tcPr>
          <w:p w14:paraId="1ACC0829" w14:textId="77777777" w:rsidR="00A769CA" w:rsidRDefault="008D3F3B">
            <w:pPr>
              <w:spacing w:line="360" w:lineRule="auto"/>
              <w:jc w:val="center"/>
            </w:pPr>
            <w:r>
              <w:rPr>
                <w:rFonts w:ascii="MS Gothic" w:eastAsia="MS Gothic" w:hAnsi="MS Gothic" w:cs="MS Gothic"/>
              </w:rPr>
              <w:t>☐</w:t>
            </w:r>
          </w:p>
        </w:tc>
        <w:tc>
          <w:tcPr>
            <w:tcW w:w="652" w:type="dxa"/>
            <w:shd w:val="clear" w:color="auto" w:fill="BFBFBF"/>
            <w:vAlign w:val="center"/>
          </w:tcPr>
          <w:p w14:paraId="2061D6ED" w14:textId="77777777" w:rsidR="00A769CA" w:rsidRDefault="008D3F3B">
            <w:pPr>
              <w:spacing w:line="360" w:lineRule="auto"/>
              <w:jc w:val="center"/>
            </w:pPr>
            <w:r>
              <w:rPr>
                <w:rFonts w:ascii="MS Gothic" w:eastAsia="MS Gothic" w:hAnsi="MS Gothic" w:cs="MS Gothic"/>
              </w:rPr>
              <w:t>☐</w:t>
            </w:r>
          </w:p>
        </w:tc>
      </w:tr>
      <w:tr w:rsidR="00A769CA" w14:paraId="0CB359E9" w14:textId="77777777">
        <w:trPr>
          <w:trHeight w:val="386"/>
        </w:trPr>
        <w:tc>
          <w:tcPr>
            <w:tcW w:w="445" w:type="dxa"/>
            <w:shd w:val="clear" w:color="auto" w:fill="F2F2F2"/>
            <w:vAlign w:val="center"/>
          </w:tcPr>
          <w:p w14:paraId="78463B8D" w14:textId="77777777" w:rsidR="00A769CA" w:rsidRDefault="008D3F3B">
            <w:pPr>
              <w:spacing w:line="360" w:lineRule="auto"/>
              <w:jc w:val="center"/>
            </w:pPr>
            <w:r>
              <w:t>8</w:t>
            </w:r>
          </w:p>
        </w:tc>
        <w:tc>
          <w:tcPr>
            <w:tcW w:w="6519" w:type="dxa"/>
            <w:shd w:val="clear" w:color="auto" w:fill="F2F2F2"/>
            <w:vAlign w:val="center"/>
          </w:tcPr>
          <w:p w14:paraId="3967827D" w14:textId="77777777" w:rsidR="00A769CA" w:rsidRDefault="008D3F3B">
            <w:pPr>
              <w:spacing w:line="360" w:lineRule="auto"/>
            </w:pPr>
            <w:r>
              <w:t>People engaged in illegal activities?</w:t>
            </w:r>
          </w:p>
        </w:tc>
        <w:tc>
          <w:tcPr>
            <w:tcW w:w="674" w:type="dxa"/>
            <w:shd w:val="clear" w:color="auto" w:fill="BFBFBF"/>
            <w:vAlign w:val="center"/>
          </w:tcPr>
          <w:p w14:paraId="5305CF66" w14:textId="77777777" w:rsidR="00A769CA" w:rsidRDefault="008D3F3B">
            <w:pPr>
              <w:spacing w:line="360" w:lineRule="auto"/>
              <w:jc w:val="center"/>
            </w:pPr>
            <w:r>
              <w:rPr>
                <w:rFonts w:ascii="MS Gothic" w:eastAsia="MS Gothic" w:hAnsi="MS Gothic" w:cs="MS Gothic"/>
              </w:rPr>
              <w:t>☐</w:t>
            </w:r>
          </w:p>
        </w:tc>
        <w:tc>
          <w:tcPr>
            <w:tcW w:w="652" w:type="dxa"/>
            <w:shd w:val="clear" w:color="auto" w:fill="BFBFBF"/>
            <w:vAlign w:val="center"/>
          </w:tcPr>
          <w:p w14:paraId="20F25BAA" w14:textId="77777777" w:rsidR="00A769CA" w:rsidRDefault="008D3F3B">
            <w:pPr>
              <w:spacing w:line="360" w:lineRule="auto"/>
              <w:jc w:val="center"/>
            </w:pPr>
            <w:r>
              <w:rPr>
                <w:rFonts w:ascii="MS Gothic" w:eastAsia="MS Gothic" w:hAnsi="MS Gothic" w:cs="MS Gothic"/>
              </w:rPr>
              <w:t>☐</w:t>
            </w:r>
          </w:p>
        </w:tc>
      </w:tr>
      <w:tr w:rsidR="00A769CA" w14:paraId="0989E746" w14:textId="77777777">
        <w:trPr>
          <w:trHeight w:val="386"/>
        </w:trPr>
        <w:tc>
          <w:tcPr>
            <w:tcW w:w="445" w:type="dxa"/>
            <w:shd w:val="clear" w:color="auto" w:fill="F2F2F2"/>
            <w:vAlign w:val="center"/>
          </w:tcPr>
          <w:p w14:paraId="578CE841" w14:textId="77777777" w:rsidR="00A769CA" w:rsidRDefault="008D3F3B">
            <w:pPr>
              <w:spacing w:line="360" w:lineRule="auto"/>
              <w:jc w:val="center"/>
            </w:pPr>
            <w:r>
              <w:t>9</w:t>
            </w:r>
          </w:p>
        </w:tc>
        <w:tc>
          <w:tcPr>
            <w:tcW w:w="6519" w:type="dxa"/>
            <w:shd w:val="clear" w:color="auto" w:fill="F2F2F2"/>
            <w:vAlign w:val="center"/>
          </w:tcPr>
          <w:p w14:paraId="53B6F0AF" w14:textId="77777777" w:rsidR="00A769CA" w:rsidRDefault="008D3F3B">
            <w:pPr>
              <w:spacing w:line="360" w:lineRule="auto"/>
            </w:pPr>
            <w:r>
              <w:t>Others. Please indicate the participants below, and specifically any group who may be unable to give consent.</w:t>
            </w:r>
          </w:p>
          <w:p w14:paraId="2C3C5912" w14:textId="77777777" w:rsidR="00A769CA" w:rsidRDefault="00A769CA">
            <w:pPr>
              <w:spacing w:line="360" w:lineRule="auto"/>
            </w:pPr>
          </w:p>
        </w:tc>
        <w:tc>
          <w:tcPr>
            <w:tcW w:w="674" w:type="dxa"/>
            <w:vMerge w:val="restart"/>
            <w:shd w:val="clear" w:color="auto" w:fill="BFBFBF"/>
            <w:vAlign w:val="center"/>
          </w:tcPr>
          <w:p w14:paraId="2231C5CE" w14:textId="77777777" w:rsidR="00A769CA" w:rsidRDefault="008D3F3B">
            <w:pPr>
              <w:spacing w:line="360" w:lineRule="auto"/>
              <w:jc w:val="center"/>
            </w:pPr>
            <w:r>
              <w:rPr>
                <w:rFonts w:ascii="MS Gothic" w:eastAsia="MS Gothic" w:hAnsi="MS Gothic" w:cs="MS Gothic"/>
              </w:rPr>
              <w:t>☐</w:t>
            </w:r>
          </w:p>
        </w:tc>
        <w:tc>
          <w:tcPr>
            <w:tcW w:w="652" w:type="dxa"/>
            <w:vMerge w:val="restart"/>
            <w:shd w:val="clear" w:color="auto" w:fill="BFBFBF"/>
            <w:vAlign w:val="center"/>
          </w:tcPr>
          <w:p w14:paraId="6A7E4780" w14:textId="77777777" w:rsidR="00A769CA" w:rsidRDefault="008D3F3B">
            <w:pPr>
              <w:spacing w:line="360" w:lineRule="auto"/>
              <w:jc w:val="center"/>
            </w:pPr>
            <w:r>
              <w:rPr>
                <w:rFonts w:ascii="MS Gothic" w:eastAsia="MS Gothic" w:hAnsi="MS Gothic" w:cs="MS Gothic"/>
              </w:rPr>
              <w:t>☐</w:t>
            </w:r>
          </w:p>
        </w:tc>
      </w:tr>
      <w:tr w:rsidR="00A769CA" w14:paraId="6345A49D" w14:textId="77777777">
        <w:trPr>
          <w:trHeight w:val="386"/>
        </w:trPr>
        <w:tc>
          <w:tcPr>
            <w:tcW w:w="445" w:type="dxa"/>
            <w:vAlign w:val="center"/>
          </w:tcPr>
          <w:p w14:paraId="0A7A1FE1" w14:textId="77777777" w:rsidR="00A769CA" w:rsidRDefault="00A769CA">
            <w:pPr>
              <w:spacing w:line="360" w:lineRule="auto"/>
              <w:jc w:val="center"/>
            </w:pPr>
          </w:p>
        </w:tc>
        <w:tc>
          <w:tcPr>
            <w:tcW w:w="6519" w:type="dxa"/>
            <w:vAlign w:val="center"/>
          </w:tcPr>
          <w:p w14:paraId="0A25BE1A" w14:textId="77777777" w:rsidR="00A769CA" w:rsidRDefault="008D3F3B">
            <w:pPr>
              <w:spacing w:line="360" w:lineRule="auto"/>
            </w:pPr>
            <w:r>
              <w:t>Details of any other participant groups:</w:t>
            </w:r>
          </w:p>
          <w:p w14:paraId="64FAAA3C" w14:textId="77777777" w:rsidR="00A769CA" w:rsidRDefault="00A769CA">
            <w:pPr>
              <w:spacing w:line="360" w:lineRule="auto"/>
              <w:rPr>
                <w:sz w:val="20"/>
                <w:szCs w:val="20"/>
              </w:rPr>
            </w:pPr>
          </w:p>
          <w:p w14:paraId="7F61A1E0" w14:textId="77777777" w:rsidR="00A769CA" w:rsidRDefault="00A769CA">
            <w:pPr>
              <w:spacing w:line="360" w:lineRule="auto"/>
              <w:rPr>
                <w:sz w:val="20"/>
                <w:szCs w:val="20"/>
              </w:rPr>
            </w:pPr>
          </w:p>
          <w:p w14:paraId="5F8C05A9" w14:textId="77777777" w:rsidR="00A769CA" w:rsidRDefault="00A769CA">
            <w:pPr>
              <w:spacing w:line="360" w:lineRule="auto"/>
            </w:pPr>
          </w:p>
          <w:p w14:paraId="19C204D4" w14:textId="77777777" w:rsidR="00A769CA" w:rsidRDefault="008D3F3B">
            <w:pPr>
              <w:spacing w:line="360" w:lineRule="auto"/>
            </w:pPr>
            <w:r>
              <w:rPr>
                <w:color w:val="808080"/>
                <w:sz w:val="18"/>
                <w:szCs w:val="18"/>
              </w:rPr>
              <w:t>(this box should expand as you type)</w:t>
            </w:r>
          </w:p>
        </w:tc>
        <w:tc>
          <w:tcPr>
            <w:tcW w:w="674" w:type="dxa"/>
            <w:vMerge/>
            <w:shd w:val="clear" w:color="auto" w:fill="BFBFBF"/>
            <w:vAlign w:val="center"/>
          </w:tcPr>
          <w:p w14:paraId="43400A17" w14:textId="77777777" w:rsidR="00A769CA" w:rsidRDefault="00A769CA">
            <w:pPr>
              <w:widowControl w:val="0"/>
              <w:pBdr>
                <w:top w:val="nil"/>
                <w:left w:val="nil"/>
                <w:bottom w:val="nil"/>
                <w:right w:val="nil"/>
                <w:between w:val="nil"/>
              </w:pBdr>
              <w:spacing w:line="360" w:lineRule="auto"/>
            </w:pPr>
          </w:p>
        </w:tc>
        <w:tc>
          <w:tcPr>
            <w:tcW w:w="652" w:type="dxa"/>
            <w:vMerge/>
            <w:shd w:val="clear" w:color="auto" w:fill="BFBFBF"/>
            <w:vAlign w:val="center"/>
          </w:tcPr>
          <w:p w14:paraId="0ACFDC5D" w14:textId="77777777" w:rsidR="00A769CA" w:rsidRDefault="00A769CA">
            <w:pPr>
              <w:widowControl w:val="0"/>
              <w:pBdr>
                <w:top w:val="nil"/>
                <w:left w:val="nil"/>
                <w:bottom w:val="nil"/>
                <w:right w:val="nil"/>
                <w:between w:val="nil"/>
              </w:pBdr>
              <w:spacing w:line="360" w:lineRule="auto"/>
            </w:pPr>
          </w:p>
        </w:tc>
      </w:tr>
    </w:tbl>
    <w:p w14:paraId="01C90A28" w14:textId="77777777" w:rsidR="00A769CA" w:rsidRDefault="00A769CA">
      <w:pPr>
        <w:spacing w:line="360" w:lineRule="auto"/>
        <w:rPr>
          <w:sz w:val="24"/>
          <w:szCs w:val="24"/>
        </w:rPr>
      </w:pPr>
    </w:p>
    <w:tbl>
      <w:tblPr>
        <w:tblStyle w:val="aff3"/>
        <w:tblW w:w="940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05"/>
        <w:gridCol w:w="2930"/>
        <w:gridCol w:w="5971"/>
      </w:tblGrid>
      <w:tr w:rsidR="00A769CA" w14:paraId="59CBBEAA" w14:textId="77777777">
        <w:trPr>
          <w:trHeight w:val="349"/>
        </w:trPr>
        <w:tc>
          <w:tcPr>
            <w:tcW w:w="505" w:type="dxa"/>
            <w:tcBorders>
              <w:bottom w:val="single" w:sz="4" w:space="0" w:color="000000"/>
            </w:tcBorders>
            <w:shd w:val="clear" w:color="auto" w:fill="F2F2F2"/>
          </w:tcPr>
          <w:p w14:paraId="18976252" w14:textId="77777777" w:rsidR="00A769CA" w:rsidRDefault="00A769CA">
            <w:pPr>
              <w:spacing w:line="360" w:lineRule="auto"/>
            </w:pPr>
          </w:p>
        </w:tc>
        <w:tc>
          <w:tcPr>
            <w:tcW w:w="8901" w:type="dxa"/>
            <w:gridSpan w:val="2"/>
            <w:tcBorders>
              <w:bottom w:val="single" w:sz="4" w:space="0" w:color="000000"/>
            </w:tcBorders>
            <w:shd w:val="clear" w:color="auto" w:fill="F2F2F2"/>
            <w:vAlign w:val="center"/>
          </w:tcPr>
          <w:p w14:paraId="02A3A9B4" w14:textId="77777777" w:rsidR="00A769CA" w:rsidRDefault="008D3F3B">
            <w:pPr>
              <w:spacing w:line="360" w:lineRule="auto"/>
              <w:rPr>
                <w:b/>
                <w:bCs/>
              </w:rPr>
            </w:pPr>
            <w:r>
              <w:rPr>
                <w:b/>
                <w:bCs/>
              </w:rPr>
              <w:t>Participant numbers and source</w:t>
            </w:r>
          </w:p>
          <w:p w14:paraId="5BB21490" w14:textId="77777777" w:rsidR="00A769CA" w:rsidRDefault="008D3F3B">
            <w:pPr>
              <w:spacing w:line="360" w:lineRule="auto"/>
            </w:pPr>
            <w:r>
              <w:t xml:space="preserve">Provide an estimate of the expected number of participants. How will you identify participants and how will they be recruited? </w:t>
            </w:r>
          </w:p>
        </w:tc>
      </w:tr>
      <w:tr w:rsidR="00A769CA" w14:paraId="1ED2417E" w14:textId="77777777">
        <w:trPr>
          <w:trHeight w:val="349"/>
        </w:trPr>
        <w:tc>
          <w:tcPr>
            <w:tcW w:w="50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85E753E" w14:textId="77777777" w:rsidR="00A769CA" w:rsidRDefault="008D3F3B">
            <w:pPr>
              <w:spacing w:line="360" w:lineRule="auto"/>
              <w:jc w:val="center"/>
            </w:pPr>
            <w:r>
              <w:t>10</w:t>
            </w:r>
          </w:p>
        </w:tc>
        <w:tc>
          <w:tcPr>
            <w:tcW w:w="293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AC4C488" w14:textId="77777777" w:rsidR="00A769CA" w:rsidRDefault="008D3F3B">
            <w:pPr>
              <w:spacing w:line="360" w:lineRule="auto"/>
            </w:pPr>
            <w:r>
              <w:t>How many participants are expected?</w:t>
            </w:r>
          </w:p>
          <w:p w14:paraId="49B47CBB" w14:textId="77777777" w:rsidR="00A769CA" w:rsidRDefault="00A769CA">
            <w:pPr>
              <w:spacing w:line="360" w:lineRule="auto"/>
            </w:pPr>
          </w:p>
        </w:tc>
        <w:tc>
          <w:tcPr>
            <w:tcW w:w="5971" w:type="dxa"/>
            <w:tcBorders>
              <w:top w:val="single" w:sz="4" w:space="0" w:color="000000"/>
              <w:left w:val="single" w:sz="4" w:space="0" w:color="000000"/>
              <w:bottom w:val="single" w:sz="4" w:space="0" w:color="000000"/>
              <w:right w:val="single" w:sz="4" w:space="0" w:color="000000"/>
            </w:tcBorders>
            <w:vAlign w:val="center"/>
          </w:tcPr>
          <w:p w14:paraId="2C21FE48" w14:textId="77777777" w:rsidR="00A769CA" w:rsidRDefault="00A769CA">
            <w:pPr>
              <w:spacing w:line="360" w:lineRule="auto"/>
            </w:pPr>
          </w:p>
          <w:p w14:paraId="2F24DCA9" w14:textId="77777777" w:rsidR="00A769CA" w:rsidRDefault="00A769CA">
            <w:pPr>
              <w:spacing w:line="360" w:lineRule="auto"/>
            </w:pPr>
          </w:p>
          <w:p w14:paraId="34320454" w14:textId="77777777" w:rsidR="00A769CA" w:rsidRDefault="00A769CA">
            <w:pPr>
              <w:spacing w:line="360" w:lineRule="auto"/>
            </w:pPr>
          </w:p>
          <w:p w14:paraId="7DDCE88C" w14:textId="77777777" w:rsidR="00A769CA" w:rsidRDefault="008D3F3B">
            <w:pPr>
              <w:spacing w:line="360" w:lineRule="auto"/>
              <w:rPr>
                <w:b/>
                <w:bCs/>
              </w:rPr>
            </w:pPr>
            <w:r>
              <w:rPr>
                <w:i/>
                <w:iCs/>
                <w:color w:val="808080"/>
                <w:sz w:val="18"/>
                <w:szCs w:val="18"/>
              </w:rPr>
              <w:t>(this box should expand as you type)</w:t>
            </w:r>
          </w:p>
        </w:tc>
      </w:tr>
      <w:tr w:rsidR="00A769CA" w14:paraId="6FFC2E37" w14:textId="77777777">
        <w:trPr>
          <w:trHeight w:val="349"/>
        </w:trPr>
        <w:tc>
          <w:tcPr>
            <w:tcW w:w="50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3273134" w14:textId="77777777" w:rsidR="00A769CA" w:rsidRDefault="008D3F3B">
            <w:pPr>
              <w:spacing w:line="360" w:lineRule="auto"/>
              <w:jc w:val="center"/>
            </w:pPr>
            <w:r>
              <w:t>11</w:t>
            </w:r>
          </w:p>
        </w:tc>
        <w:tc>
          <w:tcPr>
            <w:tcW w:w="293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19754BC" w14:textId="77777777" w:rsidR="00A769CA" w:rsidRDefault="008D3F3B">
            <w:pPr>
              <w:spacing w:line="360" w:lineRule="auto"/>
            </w:pPr>
            <w:r>
              <w:t>Who will the participants be?</w:t>
            </w:r>
          </w:p>
          <w:p w14:paraId="759A76A7" w14:textId="77777777" w:rsidR="00A769CA" w:rsidRDefault="00A769CA">
            <w:pPr>
              <w:spacing w:line="360" w:lineRule="auto"/>
            </w:pPr>
          </w:p>
        </w:tc>
        <w:tc>
          <w:tcPr>
            <w:tcW w:w="5971" w:type="dxa"/>
            <w:tcBorders>
              <w:top w:val="single" w:sz="4" w:space="0" w:color="000000"/>
              <w:left w:val="single" w:sz="4" w:space="0" w:color="000000"/>
              <w:bottom w:val="single" w:sz="4" w:space="0" w:color="000000"/>
              <w:right w:val="single" w:sz="4" w:space="0" w:color="000000"/>
            </w:tcBorders>
            <w:vAlign w:val="center"/>
          </w:tcPr>
          <w:p w14:paraId="41C6EB04" w14:textId="77777777" w:rsidR="00A769CA" w:rsidRDefault="00A769CA">
            <w:pPr>
              <w:spacing w:line="360" w:lineRule="auto"/>
            </w:pPr>
          </w:p>
          <w:p w14:paraId="0732C628" w14:textId="77777777" w:rsidR="00A769CA" w:rsidRDefault="00A769CA">
            <w:pPr>
              <w:spacing w:line="360" w:lineRule="auto"/>
            </w:pPr>
          </w:p>
          <w:p w14:paraId="41E8ADDE" w14:textId="77777777" w:rsidR="00A769CA" w:rsidRDefault="00A769CA">
            <w:pPr>
              <w:spacing w:line="360" w:lineRule="auto"/>
            </w:pPr>
          </w:p>
          <w:p w14:paraId="1663067A" w14:textId="77777777" w:rsidR="00A769CA" w:rsidRDefault="008D3F3B">
            <w:pPr>
              <w:spacing w:line="360" w:lineRule="auto"/>
              <w:rPr>
                <w:i/>
                <w:iCs/>
                <w:color w:val="808080"/>
                <w:sz w:val="18"/>
                <w:szCs w:val="18"/>
              </w:rPr>
            </w:pPr>
            <w:r>
              <w:rPr>
                <w:i/>
                <w:iCs/>
                <w:color w:val="808080"/>
                <w:sz w:val="18"/>
                <w:szCs w:val="18"/>
              </w:rPr>
              <w:t>(this box should expand as you type)</w:t>
            </w:r>
          </w:p>
        </w:tc>
      </w:tr>
      <w:tr w:rsidR="00A769CA" w14:paraId="3FF9A8F2" w14:textId="77777777">
        <w:trPr>
          <w:trHeight w:val="349"/>
        </w:trPr>
        <w:tc>
          <w:tcPr>
            <w:tcW w:w="505" w:type="dxa"/>
            <w:tcBorders>
              <w:top w:val="single" w:sz="4" w:space="0" w:color="000000"/>
            </w:tcBorders>
            <w:shd w:val="clear" w:color="auto" w:fill="F2F2F2"/>
            <w:vAlign w:val="center"/>
          </w:tcPr>
          <w:p w14:paraId="3885E127" w14:textId="77777777" w:rsidR="00A769CA" w:rsidRDefault="008D3F3B">
            <w:pPr>
              <w:spacing w:line="360" w:lineRule="auto"/>
              <w:jc w:val="center"/>
            </w:pPr>
            <w:r>
              <w:t>12</w:t>
            </w:r>
          </w:p>
        </w:tc>
        <w:tc>
          <w:tcPr>
            <w:tcW w:w="2930" w:type="dxa"/>
            <w:tcBorders>
              <w:top w:val="single" w:sz="4" w:space="0" w:color="000000"/>
            </w:tcBorders>
            <w:shd w:val="clear" w:color="auto" w:fill="F2F2F2"/>
            <w:vAlign w:val="center"/>
          </w:tcPr>
          <w:p w14:paraId="031B61AC" w14:textId="77777777" w:rsidR="00A769CA" w:rsidRDefault="008D3F3B">
            <w:pPr>
              <w:spacing w:line="360" w:lineRule="auto"/>
            </w:pPr>
            <w:r>
              <w:t>How will you identify the participants?</w:t>
            </w:r>
          </w:p>
        </w:tc>
        <w:tc>
          <w:tcPr>
            <w:tcW w:w="5971" w:type="dxa"/>
            <w:tcBorders>
              <w:top w:val="single" w:sz="4" w:space="0" w:color="000000"/>
            </w:tcBorders>
            <w:vAlign w:val="center"/>
          </w:tcPr>
          <w:p w14:paraId="4C7EC86B" w14:textId="77777777" w:rsidR="00A769CA" w:rsidRDefault="00A769CA">
            <w:pPr>
              <w:spacing w:line="360" w:lineRule="auto"/>
            </w:pPr>
          </w:p>
          <w:p w14:paraId="36DB8EE9" w14:textId="77777777" w:rsidR="00A769CA" w:rsidRDefault="00A769CA">
            <w:pPr>
              <w:spacing w:line="360" w:lineRule="auto"/>
            </w:pPr>
          </w:p>
          <w:p w14:paraId="2006498D" w14:textId="77777777" w:rsidR="00A769CA" w:rsidRDefault="00A769CA">
            <w:pPr>
              <w:spacing w:line="360" w:lineRule="auto"/>
            </w:pPr>
          </w:p>
          <w:p w14:paraId="2C4075F3" w14:textId="77777777" w:rsidR="00A769CA" w:rsidRDefault="008D3F3B">
            <w:pPr>
              <w:spacing w:line="360" w:lineRule="auto"/>
              <w:rPr>
                <w:color w:val="808080"/>
                <w:sz w:val="18"/>
                <w:szCs w:val="18"/>
              </w:rPr>
            </w:pPr>
            <w:r>
              <w:rPr>
                <w:i/>
                <w:iCs/>
                <w:color w:val="808080"/>
                <w:sz w:val="18"/>
                <w:szCs w:val="18"/>
              </w:rPr>
              <w:t>(this box should expand as you type)</w:t>
            </w:r>
          </w:p>
        </w:tc>
      </w:tr>
    </w:tbl>
    <w:p w14:paraId="67D31232" w14:textId="77777777" w:rsidR="00A769CA" w:rsidRDefault="00A769CA">
      <w:pPr>
        <w:spacing w:line="360" w:lineRule="auto"/>
        <w:rPr>
          <w:sz w:val="24"/>
          <w:szCs w:val="24"/>
        </w:rPr>
      </w:pPr>
    </w:p>
    <w:p w14:paraId="276DF08A" w14:textId="77777777" w:rsidR="00A769CA" w:rsidRDefault="00A769CA">
      <w:pPr>
        <w:spacing w:line="360" w:lineRule="auto"/>
        <w:rPr>
          <w:rFonts w:ascii="Times New Roman" w:eastAsia="Times New Roman" w:hAnsi="Times New Roman" w:cs="Times New Roman"/>
          <w:sz w:val="20"/>
          <w:szCs w:val="20"/>
        </w:rPr>
      </w:pPr>
    </w:p>
    <w:tbl>
      <w:tblPr>
        <w:tblStyle w:val="aff4"/>
        <w:tblW w:w="93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97"/>
        <w:gridCol w:w="6294"/>
        <w:gridCol w:w="889"/>
        <w:gridCol w:w="746"/>
        <w:gridCol w:w="890"/>
      </w:tblGrid>
      <w:tr w:rsidR="00A769CA" w14:paraId="1895E3D6" w14:textId="77777777">
        <w:trPr>
          <w:trHeight w:val="394"/>
        </w:trPr>
        <w:tc>
          <w:tcPr>
            <w:tcW w:w="497" w:type="dxa"/>
            <w:shd w:val="clear" w:color="auto" w:fill="F2F2F2"/>
            <w:vAlign w:val="center"/>
          </w:tcPr>
          <w:p w14:paraId="3FB1B8F2" w14:textId="77777777" w:rsidR="00A769CA" w:rsidRDefault="00A769CA">
            <w:pPr>
              <w:spacing w:line="360" w:lineRule="auto"/>
              <w:jc w:val="center"/>
            </w:pPr>
          </w:p>
        </w:tc>
        <w:tc>
          <w:tcPr>
            <w:tcW w:w="6294" w:type="dxa"/>
            <w:shd w:val="clear" w:color="auto" w:fill="F2F2F2"/>
          </w:tcPr>
          <w:p w14:paraId="2010FB73" w14:textId="77777777" w:rsidR="00A769CA" w:rsidRDefault="008D3F3B">
            <w:pPr>
              <w:spacing w:line="360" w:lineRule="auto"/>
              <w:jc w:val="both"/>
              <w:rPr>
                <w:b/>
                <w:bCs/>
              </w:rPr>
            </w:pPr>
            <w:r>
              <w:rPr>
                <w:b/>
                <w:bCs/>
              </w:rPr>
              <w:t>Information for participants:</w:t>
            </w:r>
          </w:p>
        </w:tc>
        <w:tc>
          <w:tcPr>
            <w:tcW w:w="889" w:type="dxa"/>
            <w:shd w:val="clear" w:color="auto" w:fill="F2F2F2"/>
            <w:vAlign w:val="bottom"/>
          </w:tcPr>
          <w:p w14:paraId="468B34F5" w14:textId="77777777" w:rsidR="00A769CA" w:rsidRDefault="00A769CA">
            <w:pPr>
              <w:spacing w:line="360" w:lineRule="auto"/>
              <w:jc w:val="center"/>
              <w:rPr>
                <w:b/>
                <w:bCs/>
                <w:sz w:val="16"/>
                <w:szCs w:val="16"/>
              </w:rPr>
            </w:pPr>
          </w:p>
          <w:p w14:paraId="657B6E19" w14:textId="77777777" w:rsidR="00A769CA" w:rsidRDefault="008D3F3B">
            <w:pPr>
              <w:spacing w:line="360" w:lineRule="auto"/>
              <w:jc w:val="center"/>
              <w:rPr>
                <w:b/>
                <w:bCs/>
              </w:rPr>
            </w:pPr>
            <w:r>
              <w:rPr>
                <w:b/>
                <w:bCs/>
              </w:rPr>
              <w:t>YES</w:t>
            </w:r>
          </w:p>
        </w:tc>
        <w:tc>
          <w:tcPr>
            <w:tcW w:w="746" w:type="dxa"/>
            <w:shd w:val="clear" w:color="auto" w:fill="F2F2F2"/>
            <w:vAlign w:val="bottom"/>
          </w:tcPr>
          <w:p w14:paraId="4B3B9FC8" w14:textId="77777777" w:rsidR="00A769CA" w:rsidRDefault="008D3F3B">
            <w:pPr>
              <w:spacing w:line="360" w:lineRule="auto"/>
              <w:jc w:val="center"/>
              <w:rPr>
                <w:b/>
                <w:bCs/>
              </w:rPr>
            </w:pPr>
            <w:r>
              <w:rPr>
                <w:b/>
                <w:bCs/>
              </w:rPr>
              <w:t>NO</w:t>
            </w:r>
          </w:p>
        </w:tc>
        <w:tc>
          <w:tcPr>
            <w:tcW w:w="890" w:type="dxa"/>
            <w:shd w:val="clear" w:color="auto" w:fill="F2F2F2"/>
          </w:tcPr>
          <w:p w14:paraId="496D884F" w14:textId="77777777" w:rsidR="00A769CA" w:rsidRDefault="00A769CA">
            <w:pPr>
              <w:spacing w:line="360" w:lineRule="auto"/>
              <w:jc w:val="center"/>
              <w:rPr>
                <w:b/>
                <w:bCs/>
                <w:sz w:val="16"/>
                <w:szCs w:val="16"/>
              </w:rPr>
            </w:pPr>
          </w:p>
          <w:p w14:paraId="0A131193" w14:textId="77777777" w:rsidR="00A769CA" w:rsidRDefault="008D3F3B">
            <w:pPr>
              <w:spacing w:line="360" w:lineRule="auto"/>
              <w:jc w:val="center"/>
              <w:rPr>
                <w:b/>
                <w:bCs/>
              </w:rPr>
            </w:pPr>
            <w:r>
              <w:rPr>
                <w:b/>
                <w:bCs/>
              </w:rPr>
              <w:t>N/A</w:t>
            </w:r>
          </w:p>
        </w:tc>
      </w:tr>
      <w:tr w:rsidR="00A769CA" w14:paraId="2C61F4E1" w14:textId="77777777">
        <w:trPr>
          <w:trHeight w:val="400"/>
        </w:trPr>
        <w:tc>
          <w:tcPr>
            <w:tcW w:w="497" w:type="dxa"/>
            <w:shd w:val="clear" w:color="auto" w:fill="F2F2F2"/>
            <w:vAlign w:val="center"/>
          </w:tcPr>
          <w:p w14:paraId="49523B65" w14:textId="77777777" w:rsidR="00A769CA" w:rsidRDefault="008D3F3B">
            <w:pPr>
              <w:spacing w:line="360" w:lineRule="auto"/>
              <w:jc w:val="center"/>
            </w:pPr>
            <w:r>
              <w:t>13</w:t>
            </w:r>
          </w:p>
        </w:tc>
        <w:tc>
          <w:tcPr>
            <w:tcW w:w="6294" w:type="dxa"/>
            <w:shd w:val="clear" w:color="auto" w:fill="F2F2F2"/>
            <w:vAlign w:val="center"/>
          </w:tcPr>
          <w:p w14:paraId="72BD636F" w14:textId="77777777" w:rsidR="00A769CA" w:rsidRDefault="008D3F3B">
            <w:pPr>
              <w:spacing w:line="360" w:lineRule="auto"/>
            </w:pPr>
            <w:r>
              <w:t>Will you describe the main research procedures to participants in advance, so that they are informed about what to expect?</w:t>
            </w:r>
          </w:p>
        </w:tc>
        <w:tc>
          <w:tcPr>
            <w:tcW w:w="889" w:type="dxa"/>
            <w:shd w:val="clear" w:color="auto" w:fill="BFBFBF"/>
            <w:vAlign w:val="center"/>
          </w:tcPr>
          <w:p w14:paraId="669CA00B" w14:textId="77777777" w:rsidR="00A769CA" w:rsidRDefault="008D3F3B">
            <w:pPr>
              <w:spacing w:line="360" w:lineRule="auto"/>
              <w:jc w:val="center"/>
            </w:pPr>
            <w:r>
              <w:rPr>
                <w:rFonts w:ascii="MS Gothic" w:eastAsia="MS Gothic" w:hAnsi="MS Gothic" w:cs="MS Gothic"/>
              </w:rPr>
              <w:t>☐</w:t>
            </w:r>
          </w:p>
        </w:tc>
        <w:tc>
          <w:tcPr>
            <w:tcW w:w="746" w:type="dxa"/>
            <w:shd w:val="clear" w:color="auto" w:fill="BFBFBF"/>
            <w:vAlign w:val="center"/>
          </w:tcPr>
          <w:p w14:paraId="21B4B677" w14:textId="77777777" w:rsidR="00A769CA" w:rsidRDefault="008D3F3B">
            <w:pPr>
              <w:spacing w:line="360" w:lineRule="auto"/>
              <w:jc w:val="center"/>
            </w:pPr>
            <w:r>
              <w:rPr>
                <w:rFonts w:ascii="MS Gothic" w:eastAsia="MS Gothic" w:hAnsi="MS Gothic" w:cs="MS Gothic"/>
              </w:rPr>
              <w:t>☐</w:t>
            </w:r>
          </w:p>
        </w:tc>
        <w:tc>
          <w:tcPr>
            <w:tcW w:w="890" w:type="dxa"/>
            <w:shd w:val="clear" w:color="auto" w:fill="BFBFBF"/>
            <w:vAlign w:val="center"/>
          </w:tcPr>
          <w:p w14:paraId="2CC8BF5C" w14:textId="77777777" w:rsidR="00A769CA" w:rsidRDefault="008D3F3B">
            <w:pPr>
              <w:spacing w:line="360" w:lineRule="auto"/>
              <w:jc w:val="center"/>
            </w:pPr>
            <w:r>
              <w:rPr>
                <w:rFonts w:ascii="MS Gothic" w:eastAsia="MS Gothic" w:hAnsi="MS Gothic" w:cs="MS Gothic"/>
              </w:rPr>
              <w:t>☐</w:t>
            </w:r>
          </w:p>
        </w:tc>
      </w:tr>
      <w:tr w:rsidR="00A769CA" w14:paraId="407CF0F4" w14:textId="77777777">
        <w:trPr>
          <w:trHeight w:val="367"/>
        </w:trPr>
        <w:tc>
          <w:tcPr>
            <w:tcW w:w="497" w:type="dxa"/>
            <w:shd w:val="clear" w:color="auto" w:fill="F2F2F2"/>
            <w:vAlign w:val="center"/>
          </w:tcPr>
          <w:p w14:paraId="44FC2804" w14:textId="77777777" w:rsidR="00A769CA" w:rsidRDefault="008D3F3B">
            <w:pPr>
              <w:spacing w:line="360" w:lineRule="auto"/>
              <w:jc w:val="center"/>
            </w:pPr>
            <w:r>
              <w:t>14</w:t>
            </w:r>
          </w:p>
        </w:tc>
        <w:tc>
          <w:tcPr>
            <w:tcW w:w="6294" w:type="dxa"/>
            <w:shd w:val="clear" w:color="auto" w:fill="F2F2F2"/>
            <w:vAlign w:val="center"/>
          </w:tcPr>
          <w:p w14:paraId="1897F7D9" w14:textId="77777777" w:rsidR="00A769CA" w:rsidRDefault="008D3F3B">
            <w:pPr>
              <w:spacing w:line="360" w:lineRule="auto"/>
            </w:pPr>
            <w:r>
              <w:t>Will you tell participants that their participation is voluntary?</w:t>
            </w:r>
          </w:p>
        </w:tc>
        <w:tc>
          <w:tcPr>
            <w:tcW w:w="889" w:type="dxa"/>
            <w:shd w:val="clear" w:color="auto" w:fill="BFBFBF"/>
            <w:vAlign w:val="center"/>
          </w:tcPr>
          <w:p w14:paraId="190C03DF" w14:textId="77777777" w:rsidR="00A769CA" w:rsidRDefault="008D3F3B">
            <w:pPr>
              <w:spacing w:line="360" w:lineRule="auto"/>
              <w:jc w:val="center"/>
            </w:pPr>
            <w:r>
              <w:rPr>
                <w:rFonts w:ascii="MS Gothic" w:eastAsia="MS Gothic" w:hAnsi="MS Gothic" w:cs="MS Gothic"/>
              </w:rPr>
              <w:t>☐</w:t>
            </w:r>
          </w:p>
        </w:tc>
        <w:tc>
          <w:tcPr>
            <w:tcW w:w="746" w:type="dxa"/>
            <w:shd w:val="clear" w:color="auto" w:fill="BFBFBF"/>
            <w:vAlign w:val="center"/>
          </w:tcPr>
          <w:p w14:paraId="7CFD32C9" w14:textId="77777777" w:rsidR="00A769CA" w:rsidRDefault="008D3F3B">
            <w:pPr>
              <w:spacing w:line="360" w:lineRule="auto"/>
              <w:jc w:val="center"/>
            </w:pPr>
            <w:r>
              <w:rPr>
                <w:rFonts w:ascii="MS Gothic" w:eastAsia="MS Gothic" w:hAnsi="MS Gothic" w:cs="MS Gothic"/>
              </w:rPr>
              <w:t>☐</w:t>
            </w:r>
          </w:p>
        </w:tc>
        <w:tc>
          <w:tcPr>
            <w:tcW w:w="890" w:type="dxa"/>
            <w:shd w:val="clear" w:color="auto" w:fill="BFBFBF"/>
            <w:vAlign w:val="center"/>
          </w:tcPr>
          <w:p w14:paraId="189252BE" w14:textId="77777777" w:rsidR="00A769CA" w:rsidRDefault="008D3F3B">
            <w:pPr>
              <w:spacing w:line="360" w:lineRule="auto"/>
              <w:jc w:val="center"/>
            </w:pPr>
            <w:r>
              <w:rPr>
                <w:rFonts w:ascii="MS Gothic" w:eastAsia="MS Gothic" w:hAnsi="MS Gothic" w:cs="MS Gothic"/>
              </w:rPr>
              <w:t>☐</w:t>
            </w:r>
          </w:p>
        </w:tc>
      </w:tr>
      <w:tr w:rsidR="00A769CA" w14:paraId="7CD26F2F" w14:textId="77777777">
        <w:trPr>
          <w:trHeight w:val="400"/>
        </w:trPr>
        <w:tc>
          <w:tcPr>
            <w:tcW w:w="497" w:type="dxa"/>
            <w:shd w:val="clear" w:color="auto" w:fill="F2F2F2"/>
            <w:vAlign w:val="center"/>
          </w:tcPr>
          <w:p w14:paraId="1434A7BF" w14:textId="77777777" w:rsidR="00A769CA" w:rsidRDefault="008D3F3B">
            <w:pPr>
              <w:spacing w:line="360" w:lineRule="auto"/>
              <w:jc w:val="center"/>
            </w:pPr>
            <w:r>
              <w:t>15</w:t>
            </w:r>
          </w:p>
        </w:tc>
        <w:tc>
          <w:tcPr>
            <w:tcW w:w="6294" w:type="dxa"/>
            <w:shd w:val="clear" w:color="auto" w:fill="F2F2F2"/>
            <w:vAlign w:val="center"/>
          </w:tcPr>
          <w:p w14:paraId="4313FB77" w14:textId="77777777" w:rsidR="00A769CA" w:rsidRDefault="008D3F3B">
            <w:pPr>
              <w:spacing w:line="360" w:lineRule="auto"/>
            </w:pPr>
            <w:r>
              <w:t>Will you obtain written consent for participation?</w:t>
            </w:r>
          </w:p>
        </w:tc>
        <w:tc>
          <w:tcPr>
            <w:tcW w:w="889" w:type="dxa"/>
            <w:shd w:val="clear" w:color="auto" w:fill="BFBFBF"/>
            <w:vAlign w:val="center"/>
          </w:tcPr>
          <w:p w14:paraId="70A2DD18" w14:textId="77777777" w:rsidR="00A769CA" w:rsidRDefault="008D3F3B">
            <w:pPr>
              <w:spacing w:line="360" w:lineRule="auto"/>
              <w:jc w:val="center"/>
            </w:pPr>
            <w:r>
              <w:rPr>
                <w:rFonts w:ascii="MS Gothic" w:eastAsia="MS Gothic" w:hAnsi="MS Gothic" w:cs="MS Gothic"/>
              </w:rPr>
              <w:t>☐</w:t>
            </w:r>
          </w:p>
        </w:tc>
        <w:tc>
          <w:tcPr>
            <w:tcW w:w="746" w:type="dxa"/>
            <w:shd w:val="clear" w:color="auto" w:fill="BFBFBF"/>
            <w:vAlign w:val="center"/>
          </w:tcPr>
          <w:p w14:paraId="3308CBE5" w14:textId="77777777" w:rsidR="00A769CA" w:rsidRDefault="008D3F3B">
            <w:pPr>
              <w:spacing w:line="360" w:lineRule="auto"/>
              <w:jc w:val="center"/>
            </w:pPr>
            <w:r>
              <w:rPr>
                <w:rFonts w:ascii="MS Gothic" w:eastAsia="MS Gothic" w:hAnsi="MS Gothic" w:cs="MS Gothic"/>
              </w:rPr>
              <w:t>☐</w:t>
            </w:r>
          </w:p>
        </w:tc>
        <w:tc>
          <w:tcPr>
            <w:tcW w:w="890" w:type="dxa"/>
            <w:shd w:val="clear" w:color="auto" w:fill="BFBFBF"/>
            <w:vAlign w:val="center"/>
          </w:tcPr>
          <w:p w14:paraId="7382D280" w14:textId="77777777" w:rsidR="00A769CA" w:rsidRDefault="008D3F3B">
            <w:pPr>
              <w:spacing w:line="360" w:lineRule="auto"/>
              <w:jc w:val="center"/>
            </w:pPr>
            <w:r>
              <w:rPr>
                <w:rFonts w:ascii="MS Gothic" w:eastAsia="MS Gothic" w:hAnsi="MS Gothic" w:cs="MS Gothic"/>
              </w:rPr>
              <w:t>☐</w:t>
            </w:r>
          </w:p>
        </w:tc>
      </w:tr>
      <w:tr w:rsidR="00A769CA" w14:paraId="7B4F7572" w14:textId="77777777">
        <w:trPr>
          <w:trHeight w:val="367"/>
        </w:trPr>
        <w:tc>
          <w:tcPr>
            <w:tcW w:w="497" w:type="dxa"/>
            <w:shd w:val="clear" w:color="auto" w:fill="F2F2F2"/>
            <w:vAlign w:val="center"/>
          </w:tcPr>
          <w:p w14:paraId="3000537D" w14:textId="77777777" w:rsidR="00A769CA" w:rsidRDefault="008D3F3B">
            <w:pPr>
              <w:spacing w:line="360" w:lineRule="auto"/>
              <w:jc w:val="center"/>
            </w:pPr>
            <w:r>
              <w:t>16</w:t>
            </w:r>
          </w:p>
        </w:tc>
        <w:tc>
          <w:tcPr>
            <w:tcW w:w="6294" w:type="dxa"/>
            <w:shd w:val="clear" w:color="auto" w:fill="F2F2F2"/>
            <w:vAlign w:val="center"/>
          </w:tcPr>
          <w:p w14:paraId="178FAE2A" w14:textId="77777777" w:rsidR="00A769CA" w:rsidRDefault="008D3F3B">
            <w:pPr>
              <w:spacing w:line="360" w:lineRule="auto"/>
            </w:pPr>
            <w:r>
              <w:t>Will you explain to participants that refusal to participate in the research will not affect their treatment or education (if relevant)?</w:t>
            </w:r>
          </w:p>
        </w:tc>
        <w:tc>
          <w:tcPr>
            <w:tcW w:w="889" w:type="dxa"/>
            <w:shd w:val="clear" w:color="auto" w:fill="BFBFBF"/>
            <w:vAlign w:val="center"/>
          </w:tcPr>
          <w:p w14:paraId="7E194D3B" w14:textId="77777777" w:rsidR="00A769CA" w:rsidRDefault="008D3F3B">
            <w:pPr>
              <w:spacing w:line="360" w:lineRule="auto"/>
              <w:jc w:val="center"/>
            </w:pPr>
            <w:r>
              <w:rPr>
                <w:rFonts w:ascii="MS Gothic" w:eastAsia="MS Gothic" w:hAnsi="MS Gothic" w:cs="MS Gothic"/>
              </w:rPr>
              <w:t>☐</w:t>
            </w:r>
          </w:p>
        </w:tc>
        <w:tc>
          <w:tcPr>
            <w:tcW w:w="746" w:type="dxa"/>
            <w:shd w:val="clear" w:color="auto" w:fill="BFBFBF"/>
            <w:vAlign w:val="center"/>
          </w:tcPr>
          <w:p w14:paraId="2BB4D7AE" w14:textId="77777777" w:rsidR="00A769CA" w:rsidRDefault="008D3F3B">
            <w:pPr>
              <w:spacing w:line="360" w:lineRule="auto"/>
              <w:jc w:val="center"/>
            </w:pPr>
            <w:r>
              <w:rPr>
                <w:rFonts w:ascii="MS Gothic" w:eastAsia="MS Gothic" w:hAnsi="MS Gothic" w:cs="MS Gothic"/>
              </w:rPr>
              <w:t>☐</w:t>
            </w:r>
          </w:p>
        </w:tc>
        <w:tc>
          <w:tcPr>
            <w:tcW w:w="890" w:type="dxa"/>
            <w:shd w:val="clear" w:color="auto" w:fill="BFBFBF"/>
            <w:vAlign w:val="center"/>
          </w:tcPr>
          <w:p w14:paraId="53C302CE" w14:textId="77777777" w:rsidR="00A769CA" w:rsidRDefault="008D3F3B">
            <w:pPr>
              <w:spacing w:line="360" w:lineRule="auto"/>
              <w:jc w:val="center"/>
            </w:pPr>
            <w:r>
              <w:rPr>
                <w:rFonts w:ascii="MS Gothic" w:eastAsia="MS Gothic" w:hAnsi="MS Gothic" w:cs="MS Gothic"/>
              </w:rPr>
              <w:t>☐</w:t>
            </w:r>
          </w:p>
        </w:tc>
      </w:tr>
      <w:tr w:rsidR="00A769CA" w14:paraId="04464819" w14:textId="77777777">
        <w:trPr>
          <w:trHeight w:val="400"/>
        </w:trPr>
        <w:tc>
          <w:tcPr>
            <w:tcW w:w="497" w:type="dxa"/>
            <w:shd w:val="clear" w:color="auto" w:fill="F2F2F2"/>
            <w:vAlign w:val="center"/>
          </w:tcPr>
          <w:p w14:paraId="325983BC" w14:textId="77777777" w:rsidR="00A769CA" w:rsidRDefault="008D3F3B">
            <w:pPr>
              <w:spacing w:line="360" w:lineRule="auto"/>
              <w:jc w:val="center"/>
            </w:pPr>
            <w:r>
              <w:t>17</w:t>
            </w:r>
          </w:p>
        </w:tc>
        <w:tc>
          <w:tcPr>
            <w:tcW w:w="6294" w:type="dxa"/>
            <w:shd w:val="clear" w:color="auto" w:fill="F2F2F2"/>
            <w:vAlign w:val="center"/>
          </w:tcPr>
          <w:p w14:paraId="2F1F9DBD" w14:textId="77777777" w:rsidR="00A769CA" w:rsidRDefault="008D3F3B">
            <w:pPr>
              <w:spacing w:line="360" w:lineRule="auto"/>
            </w:pPr>
            <w:r>
              <w:t>If the research is observational, will you ask participants for their consent to being observed?</w:t>
            </w:r>
          </w:p>
        </w:tc>
        <w:tc>
          <w:tcPr>
            <w:tcW w:w="889" w:type="dxa"/>
            <w:shd w:val="clear" w:color="auto" w:fill="BFBFBF"/>
            <w:vAlign w:val="center"/>
          </w:tcPr>
          <w:p w14:paraId="6AF3185A" w14:textId="77777777" w:rsidR="00A769CA" w:rsidRDefault="008D3F3B">
            <w:pPr>
              <w:spacing w:line="360" w:lineRule="auto"/>
              <w:jc w:val="center"/>
            </w:pPr>
            <w:r>
              <w:rPr>
                <w:rFonts w:ascii="MS Gothic" w:eastAsia="MS Gothic" w:hAnsi="MS Gothic" w:cs="MS Gothic"/>
              </w:rPr>
              <w:t>☐</w:t>
            </w:r>
          </w:p>
        </w:tc>
        <w:tc>
          <w:tcPr>
            <w:tcW w:w="746" w:type="dxa"/>
            <w:shd w:val="clear" w:color="auto" w:fill="BFBFBF"/>
            <w:vAlign w:val="center"/>
          </w:tcPr>
          <w:p w14:paraId="0AFA137C" w14:textId="77777777" w:rsidR="00A769CA" w:rsidRDefault="008D3F3B">
            <w:pPr>
              <w:spacing w:line="360" w:lineRule="auto"/>
              <w:jc w:val="center"/>
            </w:pPr>
            <w:r>
              <w:rPr>
                <w:rFonts w:ascii="MS Gothic" w:eastAsia="MS Gothic" w:hAnsi="MS Gothic" w:cs="MS Gothic"/>
              </w:rPr>
              <w:t>☐</w:t>
            </w:r>
          </w:p>
        </w:tc>
        <w:tc>
          <w:tcPr>
            <w:tcW w:w="890" w:type="dxa"/>
            <w:shd w:val="clear" w:color="auto" w:fill="BFBFBF"/>
            <w:vAlign w:val="center"/>
          </w:tcPr>
          <w:p w14:paraId="36CA26FB" w14:textId="77777777" w:rsidR="00A769CA" w:rsidRDefault="008D3F3B">
            <w:pPr>
              <w:spacing w:line="360" w:lineRule="auto"/>
              <w:jc w:val="center"/>
            </w:pPr>
            <w:r>
              <w:rPr>
                <w:rFonts w:ascii="MS Gothic" w:eastAsia="MS Gothic" w:hAnsi="MS Gothic" w:cs="MS Gothic"/>
              </w:rPr>
              <w:t>☐</w:t>
            </w:r>
          </w:p>
        </w:tc>
      </w:tr>
      <w:tr w:rsidR="00A769CA" w14:paraId="09356C2B" w14:textId="77777777">
        <w:trPr>
          <w:trHeight w:val="367"/>
        </w:trPr>
        <w:tc>
          <w:tcPr>
            <w:tcW w:w="497" w:type="dxa"/>
            <w:shd w:val="clear" w:color="auto" w:fill="F2F2F2"/>
            <w:vAlign w:val="center"/>
          </w:tcPr>
          <w:p w14:paraId="1748A38D" w14:textId="77777777" w:rsidR="00A769CA" w:rsidRDefault="008D3F3B">
            <w:pPr>
              <w:spacing w:line="360" w:lineRule="auto"/>
              <w:jc w:val="center"/>
            </w:pPr>
            <w:r>
              <w:t>18</w:t>
            </w:r>
          </w:p>
        </w:tc>
        <w:tc>
          <w:tcPr>
            <w:tcW w:w="6294" w:type="dxa"/>
            <w:shd w:val="clear" w:color="auto" w:fill="F2F2F2"/>
            <w:vAlign w:val="center"/>
          </w:tcPr>
          <w:p w14:paraId="58B7221A" w14:textId="77777777" w:rsidR="00A769CA" w:rsidRDefault="008D3F3B">
            <w:pPr>
              <w:spacing w:line="360" w:lineRule="auto"/>
            </w:pPr>
            <w:r>
              <w:t>Will you tell participants that they may withdraw from the research at any time and for any reason?</w:t>
            </w:r>
          </w:p>
        </w:tc>
        <w:tc>
          <w:tcPr>
            <w:tcW w:w="889" w:type="dxa"/>
            <w:shd w:val="clear" w:color="auto" w:fill="BFBFBF"/>
            <w:vAlign w:val="center"/>
          </w:tcPr>
          <w:p w14:paraId="04A41D09" w14:textId="77777777" w:rsidR="00A769CA" w:rsidRDefault="008D3F3B">
            <w:pPr>
              <w:spacing w:line="360" w:lineRule="auto"/>
              <w:jc w:val="center"/>
            </w:pPr>
            <w:r>
              <w:rPr>
                <w:rFonts w:ascii="MS Gothic" w:eastAsia="MS Gothic" w:hAnsi="MS Gothic" w:cs="MS Gothic"/>
              </w:rPr>
              <w:t>☐</w:t>
            </w:r>
          </w:p>
        </w:tc>
        <w:tc>
          <w:tcPr>
            <w:tcW w:w="746" w:type="dxa"/>
            <w:shd w:val="clear" w:color="auto" w:fill="BFBFBF"/>
            <w:vAlign w:val="center"/>
          </w:tcPr>
          <w:p w14:paraId="26FA90BA" w14:textId="77777777" w:rsidR="00A769CA" w:rsidRDefault="008D3F3B">
            <w:pPr>
              <w:spacing w:line="360" w:lineRule="auto"/>
              <w:jc w:val="center"/>
            </w:pPr>
            <w:r>
              <w:rPr>
                <w:rFonts w:ascii="MS Gothic" w:eastAsia="MS Gothic" w:hAnsi="MS Gothic" w:cs="MS Gothic"/>
              </w:rPr>
              <w:t>☐</w:t>
            </w:r>
          </w:p>
        </w:tc>
        <w:tc>
          <w:tcPr>
            <w:tcW w:w="890" w:type="dxa"/>
            <w:shd w:val="clear" w:color="auto" w:fill="BFBFBF"/>
            <w:vAlign w:val="center"/>
          </w:tcPr>
          <w:p w14:paraId="758EFAB8" w14:textId="77777777" w:rsidR="00A769CA" w:rsidRDefault="008D3F3B">
            <w:pPr>
              <w:spacing w:line="360" w:lineRule="auto"/>
              <w:jc w:val="center"/>
            </w:pPr>
            <w:r>
              <w:rPr>
                <w:rFonts w:ascii="MS Gothic" w:eastAsia="MS Gothic" w:hAnsi="MS Gothic" w:cs="MS Gothic"/>
              </w:rPr>
              <w:t>☐</w:t>
            </w:r>
          </w:p>
        </w:tc>
      </w:tr>
      <w:tr w:rsidR="00A769CA" w14:paraId="3012F518" w14:textId="77777777">
        <w:trPr>
          <w:trHeight w:val="400"/>
        </w:trPr>
        <w:tc>
          <w:tcPr>
            <w:tcW w:w="497" w:type="dxa"/>
            <w:shd w:val="clear" w:color="auto" w:fill="F2F2F2"/>
            <w:vAlign w:val="center"/>
          </w:tcPr>
          <w:p w14:paraId="618362BE" w14:textId="77777777" w:rsidR="00A769CA" w:rsidRDefault="008D3F3B">
            <w:pPr>
              <w:spacing w:line="360" w:lineRule="auto"/>
              <w:jc w:val="center"/>
            </w:pPr>
            <w:r>
              <w:t>19</w:t>
            </w:r>
          </w:p>
        </w:tc>
        <w:tc>
          <w:tcPr>
            <w:tcW w:w="6294" w:type="dxa"/>
            <w:shd w:val="clear" w:color="auto" w:fill="F2F2F2"/>
            <w:vAlign w:val="center"/>
          </w:tcPr>
          <w:p w14:paraId="08700AEA" w14:textId="77777777" w:rsidR="00A769CA" w:rsidRDefault="008D3F3B">
            <w:pPr>
              <w:spacing w:line="360" w:lineRule="auto"/>
            </w:pPr>
            <w:r>
              <w:t>With questionnaires, will you give participants the option of omitting questions they do not want to answer?</w:t>
            </w:r>
          </w:p>
        </w:tc>
        <w:tc>
          <w:tcPr>
            <w:tcW w:w="889" w:type="dxa"/>
            <w:shd w:val="clear" w:color="auto" w:fill="BFBFBF"/>
            <w:vAlign w:val="center"/>
          </w:tcPr>
          <w:p w14:paraId="4D5F5819" w14:textId="77777777" w:rsidR="00A769CA" w:rsidRDefault="008D3F3B">
            <w:pPr>
              <w:spacing w:line="360" w:lineRule="auto"/>
              <w:jc w:val="center"/>
            </w:pPr>
            <w:r>
              <w:rPr>
                <w:rFonts w:ascii="MS Gothic" w:eastAsia="MS Gothic" w:hAnsi="MS Gothic" w:cs="MS Gothic"/>
              </w:rPr>
              <w:t>☐</w:t>
            </w:r>
          </w:p>
        </w:tc>
        <w:tc>
          <w:tcPr>
            <w:tcW w:w="746" w:type="dxa"/>
            <w:shd w:val="clear" w:color="auto" w:fill="BFBFBF"/>
            <w:vAlign w:val="center"/>
          </w:tcPr>
          <w:p w14:paraId="5DC38D8C" w14:textId="77777777" w:rsidR="00A769CA" w:rsidRDefault="008D3F3B">
            <w:pPr>
              <w:spacing w:line="360" w:lineRule="auto"/>
              <w:jc w:val="center"/>
            </w:pPr>
            <w:r>
              <w:rPr>
                <w:rFonts w:ascii="MS Gothic" w:eastAsia="MS Gothic" w:hAnsi="MS Gothic" w:cs="MS Gothic"/>
              </w:rPr>
              <w:t>☐</w:t>
            </w:r>
          </w:p>
        </w:tc>
        <w:tc>
          <w:tcPr>
            <w:tcW w:w="890" w:type="dxa"/>
            <w:shd w:val="clear" w:color="auto" w:fill="BFBFBF"/>
            <w:vAlign w:val="center"/>
          </w:tcPr>
          <w:p w14:paraId="321A253A" w14:textId="77777777" w:rsidR="00A769CA" w:rsidRDefault="008D3F3B">
            <w:pPr>
              <w:spacing w:line="360" w:lineRule="auto"/>
              <w:jc w:val="center"/>
            </w:pPr>
            <w:r>
              <w:rPr>
                <w:rFonts w:ascii="MS Gothic" w:eastAsia="MS Gothic" w:hAnsi="MS Gothic" w:cs="MS Gothic"/>
              </w:rPr>
              <w:t>☐</w:t>
            </w:r>
          </w:p>
        </w:tc>
      </w:tr>
      <w:tr w:rsidR="00A769CA" w14:paraId="1607A406" w14:textId="77777777">
        <w:trPr>
          <w:trHeight w:val="367"/>
        </w:trPr>
        <w:tc>
          <w:tcPr>
            <w:tcW w:w="497" w:type="dxa"/>
            <w:shd w:val="clear" w:color="auto" w:fill="F2F2F2"/>
            <w:vAlign w:val="center"/>
          </w:tcPr>
          <w:p w14:paraId="62515715" w14:textId="77777777" w:rsidR="00A769CA" w:rsidRDefault="008D3F3B">
            <w:pPr>
              <w:spacing w:line="360" w:lineRule="auto"/>
              <w:jc w:val="center"/>
            </w:pPr>
            <w:r>
              <w:lastRenderedPageBreak/>
              <w:t>20</w:t>
            </w:r>
          </w:p>
        </w:tc>
        <w:tc>
          <w:tcPr>
            <w:tcW w:w="6294" w:type="dxa"/>
            <w:shd w:val="clear" w:color="auto" w:fill="F2F2F2"/>
            <w:vAlign w:val="center"/>
          </w:tcPr>
          <w:p w14:paraId="6586B7C3" w14:textId="77777777" w:rsidR="00A769CA" w:rsidRDefault="008D3F3B">
            <w:pPr>
              <w:spacing w:line="360" w:lineRule="auto"/>
            </w:pPr>
            <w:r>
              <w:t>Will you tell participants that their data will be treated with full confidentiality and that, if published, it will not be identifiable as theirs?</w:t>
            </w:r>
          </w:p>
        </w:tc>
        <w:tc>
          <w:tcPr>
            <w:tcW w:w="889" w:type="dxa"/>
            <w:shd w:val="clear" w:color="auto" w:fill="BFBFBF"/>
            <w:vAlign w:val="center"/>
          </w:tcPr>
          <w:p w14:paraId="7C44ACB2" w14:textId="77777777" w:rsidR="00A769CA" w:rsidRDefault="008D3F3B">
            <w:pPr>
              <w:spacing w:line="360" w:lineRule="auto"/>
              <w:jc w:val="center"/>
            </w:pPr>
            <w:r>
              <w:rPr>
                <w:rFonts w:ascii="MS Gothic" w:eastAsia="MS Gothic" w:hAnsi="MS Gothic" w:cs="MS Gothic"/>
              </w:rPr>
              <w:t>☐</w:t>
            </w:r>
          </w:p>
        </w:tc>
        <w:tc>
          <w:tcPr>
            <w:tcW w:w="746" w:type="dxa"/>
            <w:shd w:val="clear" w:color="auto" w:fill="BFBFBF"/>
            <w:vAlign w:val="center"/>
          </w:tcPr>
          <w:p w14:paraId="71A22857" w14:textId="77777777" w:rsidR="00A769CA" w:rsidRDefault="008D3F3B">
            <w:pPr>
              <w:spacing w:line="360" w:lineRule="auto"/>
              <w:jc w:val="center"/>
            </w:pPr>
            <w:r>
              <w:rPr>
                <w:rFonts w:ascii="MS Gothic" w:eastAsia="MS Gothic" w:hAnsi="MS Gothic" w:cs="MS Gothic"/>
              </w:rPr>
              <w:t>☐</w:t>
            </w:r>
          </w:p>
        </w:tc>
        <w:tc>
          <w:tcPr>
            <w:tcW w:w="890" w:type="dxa"/>
            <w:shd w:val="clear" w:color="auto" w:fill="BFBFBF"/>
            <w:vAlign w:val="center"/>
          </w:tcPr>
          <w:p w14:paraId="74F27F39" w14:textId="77777777" w:rsidR="00A769CA" w:rsidRDefault="008D3F3B">
            <w:pPr>
              <w:spacing w:line="360" w:lineRule="auto"/>
              <w:jc w:val="center"/>
            </w:pPr>
            <w:r>
              <w:rPr>
                <w:rFonts w:ascii="MS Gothic" w:eastAsia="MS Gothic" w:hAnsi="MS Gothic" w:cs="MS Gothic"/>
              </w:rPr>
              <w:t>☐</w:t>
            </w:r>
          </w:p>
        </w:tc>
      </w:tr>
      <w:tr w:rsidR="00A769CA" w14:paraId="67A08284" w14:textId="77777777">
        <w:trPr>
          <w:trHeight w:val="400"/>
        </w:trPr>
        <w:tc>
          <w:tcPr>
            <w:tcW w:w="497" w:type="dxa"/>
            <w:shd w:val="clear" w:color="auto" w:fill="F2F2F2"/>
            <w:vAlign w:val="center"/>
          </w:tcPr>
          <w:p w14:paraId="3E2C2676" w14:textId="77777777" w:rsidR="00A769CA" w:rsidRDefault="008D3F3B">
            <w:pPr>
              <w:spacing w:line="360" w:lineRule="auto"/>
              <w:jc w:val="center"/>
            </w:pPr>
            <w:r>
              <w:t>21</w:t>
            </w:r>
          </w:p>
        </w:tc>
        <w:tc>
          <w:tcPr>
            <w:tcW w:w="6294" w:type="dxa"/>
            <w:shd w:val="clear" w:color="auto" w:fill="F2F2F2"/>
            <w:vAlign w:val="center"/>
          </w:tcPr>
          <w:p w14:paraId="3ECC641E" w14:textId="77777777" w:rsidR="00A769CA" w:rsidRDefault="008D3F3B">
            <w:pPr>
              <w:spacing w:line="360" w:lineRule="auto"/>
            </w:pPr>
            <w:r>
              <w:t>Will you debrief participants at the end of their participation, in a way appropriate to the type of research undertaken?</w:t>
            </w:r>
          </w:p>
        </w:tc>
        <w:tc>
          <w:tcPr>
            <w:tcW w:w="889" w:type="dxa"/>
            <w:shd w:val="clear" w:color="auto" w:fill="BFBFBF"/>
            <w:vAlign w:val="center"/>
          </w:tcPr>
          <w:p w14:paraId="4229B847" w14:textId="77777777" w:rsidR="00A769CA" w:rsidRDefault="008D3F3B">
            <w:pPr>
              <w:spacing w:line="360" w:lineRule="auto"/>
              <w:jc w:val="center"/>
            </w:pPr>
            <w:r>
              <w:rPr>
                <w:rFonts w:ascii="MS Gothic" w:eastAsia="MS Gothic" w:hAnsi="MS Gothic" w:cs="MS Gothic"/>
              </w:rPr>
              <w:t>☐</w:t>
            </w:r>
          </w:p>
        </w:tc>
        <w:tc>
          <w:tcPr>
            <w:tcW w:w="746" w:type="dxa"/>
            <w:shd w:val="clear" w:color="auto" w:fill="BFBFBF"/>
            <w:vAlign w:val="center"/>
          </w:tcPr>
          <w:p w14:paraId="558F4C6A" w14:textId="77777777" w:rsidR="00A769CA" w:rsidRDefault="008D3F3B">
            <w:pPr>
              <w:spacing w:line="360" w:lineRule="auto"/>
              <w:jc w:val="center"/>
            </w:pPr>
            <w:r>
              <w:rPr>
                <w:rFonts w:ascii="MS Gothic" w:eastAsia="MS Gothic" w:hAnsi="MS Gothic" w:cs="MS Gothic"/>
              </w:rPr>
              <w:t>☐</w:t>
            </w:r>
          </w:p>
        </w:tc>
        <w:tc>
          <w:tcPr>
            <w:tcW w:w="890" w:type="dxa"/>
            <w:shd w:val="clear" w:color="auto" w:fill="BFBFBF"/>
            <w:vAlign w:val="center"/>
          </w:tcPr>
          <w:p w14:paraId="7573696D" w14:textId="77777777" w:rsidR="00A769CA" w:rsidRDefault="008D3F3B">
            <w:pPr>
              <w:spacing w:line="360" w:lineRule="auto"/>
              <w:jc w:val="center"/>
            </w:pPr>
            <w:r>
              <w:rPr>
                <w:rFonts w:ascii="MS Gothic" w:eastAsia="MS Gothic" w:hAnsi="MS Gothic" w:cs="MS Gothic"/>
              </w:rPr>
              <w:t>☐</w:t>
            </w:r>
          </w:p>
        </w:tc>
      </w:tr>
      <w:tr w:rsidR="00A769CA" w14:paraId="62EB0E7D" w14:textId="77777777">
        <w:trPr>
          <w:trHeight w:val="367"/>
        </w:trPr>
        <w:tc>
          <w:tcPr>
            <w:tcW w:w="497" w:type="dxa"/>
            <w:tcBorders>
              <w:bottom w:val="single" w:sz="4" w:space="0" w:color="000000"/>
            </w:tcBorders>
            <w:shd w:val="clear" w:color="auto" w:fill="F2F2F2"/>
            <w:vAlign w:val="center"/>
          </w:tcPr>
          <w:p w14:paraId="13BBEED4" w14:textId="77777777" w:rsidR="00A769CA" w:rsidRDefault="008D3F3B">
            <w:pPr>
              <w:spacing w:line="360" w:lineRule="auto"/>
              <w:jc w:val="center"/>
            </w:pPr>
            <w:r>
              <w:t>22</w:t>
            </w:r>
          </w:p>
        </w:tc>
        <w:tc>
          <w:tcPr>
            <w:tcW w:w="8819" w:type="dxa"/>
            <w:gridSpan w:val="4"/>
            <w:tcBorders>
              <w:bottom w:val="single" w:sz="4" w:space="0" w:color="000000"/>
            </w:tcBorders>
            <w:shd w:val="clear" w:color="auto" w:fill="F2F2F2"/>
            <w:vAlign w:val="center"/>
          </w:tcPr>
          <w:p w14:paraId="2BC5EB92" w14:textId="77777777" w:rsidR="00A769CA" w:rsidRDefault="008D3F3B">
            <w:pPr>
              <w:spacing w:line="360" w:lineRule="auto"/>
            </w:pPr>
            <w:r>
              <w:t>If NO</w:t>
            </w:r>
            <w:r>
              <w:rPr>
                <w:b/>
                <w:bCs/>
              </w:rPr>
              <w:t xml:space="preserve"> </w:t>
            </w:r>
            <w:r>
              <w:t xml:space="preserve">to any of above questions, please give an explanation </w:t>
            </w:r>
          </w:p>
        </w:tc>
      </w:tr>
      <w:tr w:rsidR="00A769CA" w14:paraId="06AE97F3" w14:textId="77777777">
        <w:trPr>
          <w:trHeight w:val="367"/>
        </w:trPr>
        <w:tc>
          <w:tcPr>
            <w:tcW w:w="497" w:type="dxa"/>
            <w:vAlign w:val="center"/>
          </w:tcPr>
          <w:p w14:paraId="6E97B211" w14:textId="77777777" w:rsidR="00A769CA" w:rsidRDefault="00A769CA">
            <w:pPr>
              <w:spacing w:line="360" w:lineRule="auto"/>
              <w:jc w:val="center"/>
            </w:pPr>
          </w:p>
        </w:tc>
        <w:tc>
          <w:tcPr>
            <w:tcW w:w="8819" w:type="dxa"/>
            <w:gridSpan w:val="4"/>
            <w:vAlign w:val="center"/>
          </w:tcPr>
          <w:p w14:paraId="4C971C27" w14:textId="77777777" w:rsidR="00A769CA" w:rsidRDefault="00A769CA">
            <w:pPr>
              <w:spacing w:line="360" w:lineRule="auto"/>
            </w:pPr>
          </w:p>
          <w:p w14:paraId="5C1FE63F" w14:textId="77777777" w:rsidR="00A769CA" w:rsidRDefault="00A769CA">
            <w:pPr>
              <w:spacing w:line="360" w:lineRule="auto"/>
            </w:pPr>
          </w:p>
          <w:p w14:paraId="4ED0F62C" w14:textId="77777777" w:rsidR="00A769CA" w:rsidRDefault="00A769CA">
            <w:pPr>
              <w:spacing w:line="360" w:lineRule="auto"/>
            </w:pPr>
          </w:p>
          <w:p w14:paraId="4180D66B" w14:textId="77777777" w:rsidR="00A769CA" w:rsidRDefault="008D3F3B">
            <w:pPr>
              <w:spacing w:line="360" w:lineRule="auto"/>
              <w:rPr>
                <w:rFonts w:ascii="Times New Roman" w:eastAsia="Times New Roman" w:hAnsi="Times New Roman" w:cs="Times New Roman"/>
                <w:sz w:val="20"/>
                <w:szCs w:val="20"/>
              </w:rPr>
            </w:pPr>
            <w:r>
              <w:rPr>
                <w:i/>
                <w:iCs/>
                <w:color w:val="808080"/>
                <w:sz w:val="18"/>
                <w:szCs w:val="18"/>
              </w:rPr>
              <w:t>(this box should expand as you type)</w:t>
            </w:r>
          </w:p>
        </w:tc>
      </w:tr>
    </w:tbl>
    <w:p w14:paraId="7307E6EB" w14:textId="77777777" w:rsidR="00A769CA" w:rsidRDefault="00A769CA">
      <w:pPr>
        <w:spacing w:line="360" w:lineRule="auto"/>
        <w:rPr>
          <w:rFonts w:ascii="Times New Roman" w:eastAsia="Times New Roman" w:hAnsi="Times New Roman" w:cs="Times New Roman"/>
          <w:sz w:val="20"/>
          <w:szCs w:val="20"/>
        </w:rPr>
      </w:pPr>
    </w:p>
    <w:tbl>
      <w:tblPr>
        <w:tblStyle w:val="aff5"/>
        <w:tblW w:w="88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73"/>
        <w:gridCol w:w="5986"/>
        <w:gridCol w:w="845"/>
        <w:gridCol w:w="710"/>
        <w:gridCol w:w="846"/>
      </w:tblGrid>
      <w:tr w:rsidR="00A769CA" w14:paraId="33AF49DE" w14:textId="77777777">
        <w:trPr>
          <w:trHeight w:val="383"/>
        </w:trPr>
        <w:tc>
          <w:tcPr>
            <w:tcW w:w="473" w:type="dxa"/>
            <w:shd w:val="clear" w:color="auto" w:fill="F2F2F2"/>
          </w:tcPr>
          <w:p w14:paraId="1132B491" w14:textId="77777777" w:rsidR="00A769CA" w:rsidRDefault="00A769CA">
            <w:pPr>
              <w:spacing w:line="360" w:lineRule="auto"/>
              <w:jc w:val="both"/>
            </w:pPr>
          </w:p>
        </w:tc>
        <w:tc>
          <w:tcPr>
            <w:tcW w:w="5986" w:type="dxa"/>
            <w:shd w:val="clear" w:color="auto" w:fill="F2F2F2"/>
            <w:vAlign w:val="center"/>
          </w:tcPr>
          <w:p w14:paraId="6145E76E" w14:textId="77777777" w:rsidR="00A769CA" w:rsidRDefault="008D3F3B">
            <w:pPr>
              <w:spacing w:line="360" w:lineRule="auto"/>
              <w:rPr>
                <w:b/>
                <w:bCs/>
              </w:rPr>
            </w:pPr>
            <w:r>
              <w:rPr>
                <w:b/>
                <w:bCs/>
              </w:rPr>
              <w:t>Information for participants:</w:t>
            </w:r>
          </w:p>
        </w:tc>
        <w:tc>
          <w:tcPr>
            <w:tcW w:w="845" w:type="dxa"/>
            <w:shd w:val="clear" w:color="auto" w:fill="F2F2F2"/>
            <w:vAlign w:val="bottom"/>
          </w:tcPr>
          <w:p w14:paraId="51CC4F1C" w14:textId="77777777" w:rsidR="00A769CA" w:rsidRDefault="00A769CA">
            <w:pPr>
              <w:spacing w:line="360" w:lineRule="auto"/>
              <w:jc w:val="center"/>
              <w:rPr>
                <w:b/>
                <w:bCs/>
                <w:sz w:val="16"/>
                <w:szCs w:val="16"/>
              </w:rPr>
            </w:pPr>
          </w:p>
          <w:p w14:paraId="2603D172" w14:textId="77777777" w:rsidR="00A769CA" w:rsidRDefault="008D3F3B">
            <w:pPr>
              <w:spacing w:line="360" w:lineRule="auto"/>
              <w:jc w:val="center"/>
              <w:rPr>
                <w:b/>
                <w:bCs/>
              </w:rPr>
            </w:pPr>
            <w:r>
              <w:rPr>
                <w:b/>
                <w:bCs/>
              </w:rPr>
              <w:t>YES</w:t>
            </w:r>
          </w:p>
        </w:tc>
        <w:tc>
          <w:tcPr>
            <w:tcW w:w="710" w:type="dxa"/>
            <w:shd w:val="clear" w:color="auto" w:fill="F2F2F2"/>
            <w:vAlign w:val="bottom"/>
          </w:tcPr>
          <w:p w14:paraId="7B86C7F2" w14:textId="77777777" w:rsidR="00A769CA" w:rsidRDefault="008D3F3B">
            <w:pPr>
              <w:spacing w:line="360" w:lineRule="auto"/>
              <w:jc w:val="center"/>
              <w:rPr>
                <w:b/>
                <w:bCs/>
              </w:rPr>
            </w:pPr>
            <w:r>
              <w:rPr>
                <w:b/>
                <w:bCs/>
              </w:rPr>
              <w:t>NO</w:t>
            </w:r>
          </w:p>
        </w:tc>
        <w:tc>
          <w:tcPr>
            <w:tcW w:w="846" w:type="dxa"/>
            <w:shd w:val="clear" w:color="auto" w:fill="F2F2F2"/>
            <w:vAlign w:val="bottom"/>
          </w:tcPr>
          <w:p w14:paraId="7CB17E54" w14:textId="77777777" w:rsidR="00A769CA" w:rsidRDefault="00A769CA">
            <w:pPr>
              <w:spacing w:line="360" w:lineRule="auto"/>
              <w:jc w:val="center"/>
              <w:rPr>
                <w:b/>
                <w:bCs/>
                <w:sz w:val="16"/>
                <w:szCs w:val="16"/>
              </w:rPr>
            </w:pPr>
          </w:p>
          <w:p w14:paraId="4048609D" w14:textId="77777777" w:rsidR="00A769CA" w:rsidRDefault="008D3F3B">
            <w:pPr>
              <w:spacing w:line="360" w:lineRule="auto"/>
              <w:jc w:val="center"/>
              <w:rPr>
                <w:b/>
                <w:bCs/>
              </w:rPr>
            </w:pPr>
            <w:r>
              <w:rPr>
                <w:b/>
                <w:bCs/>
              </w:rPr>
              <w:t>N/A</w:t>
            </w:r>
          </w:p>
        </w:tc>
      </w:tr>
      <w:tr w:rsidR="00A769CA" w14:paraId="02C070A9" w14:textId="77777777">
        <w:trPr>
          <w:trHeight w:val="389"/>
        </w:trPr>
        <w:tc>
          <w:tcPr>
            <w:tcW w:w="473" w:type="dxa"/>
            <w:shd w:val="clear" w:color="auto" w:fill="F2F2F2"/>
            <w:vAlign w:val="center"/>
          </w:tcPr>
          <w:p w14:paraId="66B19387" w14:textId="77777777" w:rsidR="00A769CA" w:rsidRDefault="008D3F3B">
            <w:pPr>
              <w:spacing w:line="360" w:lineRule="auto"/>
              <w:jc w:val="center"/>
            </w:pPr>
            <w:r>
              <w:t>24</w:t>
            </w:r>
          </w:p>
        </w:tc>
        <w:tc>
          <w:tcPr>
            <w:tcW w:w="5986" w:type="dxa"/>
            <w:shd w:val="clear" w:color="auto" w:fill="F2F2F2"/>
            <w:vAlign w:val="center"/>
          </w:tcPr>
          <w:p w14:paraId="45757FA1" w14:textId="77777777" w:rsidR="00A769CA" w:rsidRDefault="008D3F3B">
            <w:pPr>
              <w:spacing w:line="360" w:lineRule="auto"/>
            </w:pPr>
            <w:r>
              <w:t>Will participants be paid?</w:t>
            </w:r>
          </w:p>
        </w:tc>
        <w:tc>
          <w:tcPr>
            <w:tcW w:w="845" w:type="dxa"/>
            <w:shd w:val="clear" w:color="auto" w:fill="BFBFBF"/>
            <w:vAlign w:val="center"/>
          </w:tcPr>
          <w:p w14:paraId="47AE184F" w14:textId="77777777" w:rsidR="00A769CA" w:rsidRDefault="008D3F3B">
            <w:pPr>
              <w:spacing w:line="360" w:lineRule="auto"/>
              <w:jc w:val="center"/>
            </w:pPr>
            <w:r>
              <w:rPr>
                <w:rFonts w:ascii="MS Gothic" w:eastAsia="MS Gothic" w:hAnsi="MS Gothic" w:cs="MS Gothic"/>
              </w:rPr>
              <w:t>☐</w:t>
            </w:r>
          </w:p>
        </w:tc>
        <w:tc>
          <w:tcPr>
            <w:tcW w:w="710" w:type="dxa"/>
            <w:shd w:val="clear" w:color="auto" w:fill="BFBFBF"/>
            <w:vAlign w:val="center"/>
          </w:tcPr>
          <w:p w14:paraId="7CE759D9" w14:textId="77777777" w:rsidR="00A769CA" w:rsidRDefault="008D3F3B">
            <w:pPr>
              <w:spacing w:line="360" w:lineRule="auto"/>
              <w:jc w:val="center"/>
            </w:pPr>
            <w:r>
              <w:rPr>
                <w:rFonts w:ascii="MS Gothic" w:eastAsia="MS Gothic" w:hAnsi="MS Gothic" w:cs="MS Gothic"/>
              </w:rPr>
              <w:t>☐</w:t>
            </w:r>
          </w:p>
        </w:tc>
        <w:tc>
          <w:tcPr>
            <w:tcW w:w="846" w:type="dxa"/>
            <w:shd w:val="clear" w:color="auto" w:fill="BFBFBF"/>
            <w:vAlign w:val="center"/>
          </w:tcPr>
          <w:p w14:paraId="526EE127" w14:textId="77777777" w:rsidR="00A769CA" w:rsidRDefault="008D3F3B">
            <w:pPr>
              <w:spacing w:line="360" w:lineRule="auto"/>
              <w:jc w:val="center"/>
            </w:pPr>
            <w:r>
              <w:rPr>
                <w:rFonts w:ascii="MS Gothic" w:eastAsia="MS Gothic" w:hAnsi="MS Gothic" w:cs="MS Gothic"/>
              </w:rPr>
              <w:t>☐</w:t>
            </w:r>
          </w:p>
        </w:tc>
      </w:tr>
      <w:tr w:rsidR="00A769CA" w14:paraId="1726312A" w14:textId="77777777">
        <w:trPr>
          <w:trHeight w:val="358"/>
        </w:trPr>
        <w:tc>
          <w:tcPr>
            <w:tcW w:w="473" w:type="dxa"/>
            <w:shd w:val="clear" w:color="auto" w:fill="F2F2F2"/>
            <w:vAlign w:val="center"/>
          </w:tcPr>
          <w:p w14:paraId="2BAEAE8E" w14:textId="77777777" w:rsidR="00A769CA" w:rsidRDefault="008D3F3B">
            <w:pPr>
              <w:spacing w:line="360" w:lineRule="auto"/>
              <w:jc w:val="center"/>
            </w:pPr>
            <w:r>
              <w:t>25</w:t>
            </w:r>
          </w:p>
        </w:tc>
        <w:tc>
          <w:tcPr>
            <w:tcW w:w="5986" w:type="dxa"/>
            <w:shd w:val="clear" w:color="auto" w:fill="F2F2F2"/>
            <w:vAlign w:val="center"/>
          </w:tcPr>
          <w:p w14:paraId="676B490A" w14:textId="77777777" w:rsidR="00A769CA" w:rsidRDefault="008D3F3B">
            <w:pPr>
              <w:spacing w:line="360" w:lineRule="auto"/>
            </w:pPr>
            <w:r>
              <w:t>Is specialist electrical or other equipment to be used with participants?</w:t>
            </w:r>
          </w:p>
        </w:tc>
        <w:tc>
          <w:tcPr>
            <w:tcW w:w="845" w:type="dxa"/>
            <w:shd w:val="clear" w:color="auto" w:fill="BFBFBF"/>
            <w:vAlign w:val="center"/>
          </w:tcPr>
          <w:p w14:paraId="19DDF21B" w14:textId="77777777" w:rsidR="00A769CA" w:rsidRDefault="008D3F3B">
            <w:pPr>
              <w:spacing w:line="360" w:lineRule="auto"/>
              <w:jc w:val="center"/>
            </w:pPr>
            <w:r>
              <w:rPr>
                <w:rFonts w:ascii="MS Gothic" w:eastAsia="MS Gothic" w:hAnsi="MS Gothic" w:cs="MS Gothic"/>
              </w:rPr>
              <w:t>☐</w:t>
            </w:r>
          </w:p>
        </w:tc>
        <w:tc>
          <w:tcPr>
            <w:tcW w:w="710" w:type="dxa"/>
            <w:shd w:val="clear" w:color="auto" w:fill="BFBFBF"/>
            <w:vAlign w:val="center"/>
          </w:tcPr>
          <w:p w14:paraId="729DB7BE" w14:textId="77777777" w:rsidR="00A769CA" w:rsidRDefault="008D3F3B">
            <w:pPr>
              <w:spacing w:line="360" w:lineRule="auto"/>
              <w:jc w:val="center"/>
            </w:pPr>
            <w:r>
              <w:rPr>
                <w:rFonts w:ascii="MS Gothic" w:eastAsia="MS Gothic" w:hAnsi="MS Gothic" w:cs="MS Gothic"/>
              </w:rPr>
              <w:t>☐</w:t>
            </w:r>
          </w:p>
        </w:tc>
        <w:tc>
          <w:tcPr>
            <w:tcW w:w="846" w:type="dxa"/>
            <w:shd w:val="clear" w:color="auto" w:fill="BFBFBF"/>
            <w:vAlign w:val="center"/>
          </w:tcPr>
          <w:p w14:paraId="279EEE3C" w14:textId="77777777" w:rsidR="00A769CA" w:rsidRDefault="008D3F3B">
            <w:pPr>
              <w:spacing w:line="360" w:lineRule="auto"/>
              <w:jc w:val="center"/>
            </w:pPr>
            <w:r>
              <w:rPr>
                <w:rFonts w:ascii="MS Gothic" w:eastAsia="MS Gothic" w:hAnsi="MS Gothic" w:cs="MS Gothic"/>
              </w:rPr>
              <w:t>☐</w:t>
            </w:r>
          </w:p>
        </w:tc>
      </w:tr>
      <w:tr w:rsidR="00A769CA" w14:paraId="1489B258" w14:textId="77777777">
        <w:trPr>
          <w:trHeight w:val="389"/>
        </w:trPr>
        <w:tc>
          <w:tcPr>
            <w:tcW w:w="473" w:type="dxa"/>
            <w:shd w:val="clear" w:color="auto" w:fill="F2F2F2"/>
            <w:vAlign w:val="center"/>
          </w:tcPr>
          <w:p w14:paraId="2F38E908" w14:textId="77777777" w:rsidR="00A769CA" w:rsidRDefault="008D3F3B">
            <w:pPr>
              <w:spacing w:line="360" w:lineRule="auto"/>
              <w:jc w:val="center"/>
            </w:pPr>
            <w:r>
              <w:t>26</w:t>
            </w:r>
          </w:p>
        </w:tc>
        <w:tc>
          <w:tcPr>
            <w:tcW w:w="5986" w:type="dxa"/>
            <w:shd w:val="clear" w:color="auto" w:fill="F2F2F2"/>
            <w:vAlign w:val="center"/>
          </w:tcPr>
          <w:p w14:paraId="3550AA67" w14:textId="77777777" w:rsidR="00A769CA" w:rsidRDefault="008D3F3B">
            <w:pPr>
              <w:spacing w:line="360" w:lineRule="auto"/>
            </w:pPr>
            <w:r>
              <w:t>Are there any financial or other interests to the investigator or University arising from this study?</w:t>
            </w:r>
          </w:p>
        </w:tc>
        <w:tc>
          <w:tcPr>
            <w:tcW w:w="845" w:type="dxa"/>
            <w:shd w:val="clear" w:color="auto" w:fill="BFBFBF"/>
            <w:vAlign w:val="center"/>
          </w:tcPr>
          <w:p w14:paraId="72A60ABB" w14:textId="77777777" w:rsidR="00A769CA" w:rsidRDefault="008D3F3B">
            <w:pPr>
              <w:spacing w:line="360" w:lineRule="auto"/>
              <w:jc w:val="center"/>
            </w:pPr>
            <w:r>
              <w:rPr>
                <w:rFonts w:ascii="MS Gothic" w:eastAsia="MS Gothic" w:hAnsi="MS Gothic" w:cs="MS Gothic"/>
              </w:rPr>
              <w:t>☐</w:t>
            </w:r>
          </w:p>
        </w:tc>
        <w:tc>
          <w:tcPr>
            <w:tcW w:w="710" w:type="dxa"/>
            <w:shd w:val="clear" w:color="auto" w:fill="BFBFBF"/>
            <w:vAlign w:val="center"/>
          </w:tcPr>
          <w:p w14:paraId="66F6958D" w14:textId="77777777" w:rsidR="00A769CA" w:rsidRDefault="008D3F3B">
            <w:pPr>
              <w:spacing w:line="360" w:lineRule="auto"/>
              <w:jc w:val="center"/>
            </w:pPr>
            <w:r>
              <w:rPr>
                <w:rFonts w:ascii="MS Gothic" w:eastAsia="MS Gothic" w:hAnsi="MS Gothic" w:cs="MS Gothic"/>
              </w:rPr>
              <w:t>☐</w:t>
            </w:r>
          </w:p>
        </w:tc>
        <w:tc>
          <w:tcPr>
            <w:tcW w:w="846" w:type="dxa"/>
            <w:shd w:val="clear" w:color="auto" w:fill="BFBFBF"/>
            <w:vAlign w:val="center"/>
          </w:tcPr>
          <w:p w14:paraId="1CD43889" w14:textId="77777777" w:rsidR="00A769CA" w:rsidRDefault="008D3F3B">
            <w:pPr>
              <w:spacing w:line="360" w:lineRule="auto"/>
              <w:jc w:val="center"/>
            </w:pPr>
            <w:r>
              <w:rPr>
                <w:rFonts w:ascii="MS Gothic" w:eastAsia="MS Gothic" w:hAnsi="MS Gothic" w:cs="MS Gothic"/>
              </w:rPr>
              <w:t>☐</w:t>
            </w:r>
          </w:p>
        </w:tc>
      </w:tr>
      <w:tr w:rsidR="00A769CA" w14:paraId="175962C6" w14:textId="77777777">
        <w:trPr>
          <w:trHeight w:val="358"/>
        </w:trPr>
        <w:tc>
          <w:tcPr>
            <w:tcW w:w="473" w:type="dxa"/>
            <w:shd w:val="clear" w:color="auto" w:fill="F2F2F2"/>
            <w:vAlign w:val="center"/>
          </w:tcPr>
          <w:p w14:paraId="018B93E4" w14:textId="77777777" w:rsidR="00A769CA" w:rsidRDefault="008D3F3B">
            <w:pPr>
              <w:spacing w:line="360" w:lineRule="auto"/>
              <w:jc w:val="center"/>
            </w:pPr>
            <w:r>
              <w:t>27</w:t>
            </w:r>
          </w:p>
        </w:tc>
        <w:tc>
          <w:tcPr>
            <w:tcW w:w="5986" w:type="dxa"/>
            <w:shd w:val="clear" w:color="auto" w:fill="F2F2F2"/>
            <w:vAlign w:val="center"/>
          </w:tcPr>
          <w:p w14:paraId="62B554F6" w14:textId="77777777" w:rsidR="00A769CA" w:rsidRDefault="008D3F3B">
            <w:pPr>
              <w:spacing w:line="360" w:lineRule="auto"/>
            </w:pPr>
            <w:r>
              <w:t>Will the research activity involve deliberately misleading participants in any way, or the partial or full concealment of the specific study aims?</w:t>
            </w:r>
          </w:p>
        </w:tc>
        <w:tc>
          <w:tcPr>
            <w:tcW w:w="845" w:type="dxa"/>
            <w:shd w:val="clear" w:color="auto" w:fill="BFBFBF"/>
            <w:vAlign w:val="center"/>
          </w:tcPr>
          <w:p w14:paraId="618957FA" w14:textId="77777777" w:rsidR="00A769CA" w:rsidRDefault="008D3F3B">
            <w:pPr>
              <w:spacing w:line="360" w:lineRule="auto"/>
              <w:jc w:val="center"/>
            </w:pPr>
            <w:r>
              <w:rPr>
                <w:rFonts w:ascii="MS Gothic" w:eastAsia="MS Gothic" w:hAnsi="MS Gothic" w:cs="MS Gothic"/>
              </w:rPr>
              <w:t>☐</w:t>
            </w:r>
          </w:p>
        </w:tc>
        <w:tc>
          <w:tcPr>
            <w:tcW w:w="710" w:type="dxa"/>
            <w:shd w:val="clear" w:color="auto" w:fill="BFBFBF"/>
            <w:vAlign w:val="center"/>
          </w:tcPr>
          <w:p w14:paraId="6D010BBA" w14:textId="77777777" w:rsidR="00A769CA" w:rsidRDefault="008D3F3B">
            <w:pPr>
              <w:spacing w:line="360" w:lineRule="auto"/>
              <w:jc w:val="center"/>
            </w:pPr>
            <w:r>
              <w:rPr>
                <w:rFonts w:ascii="MS Gothic" w:eastAsia="MS Gothic" w:hAnsi="MS Gothic" w:cs="MS Gothic"/>
              </w:rPr>
              <w:t>☐</w:t>
            </w:r>
          </w:p>
        </w:tc>
        <w:tc>
          <w:tcPr>
            <w:tcW w:w="846" w:type="dxa"/>
            <w:shd w:val="clear" w:color="auto" w:fill="BFBFBF"/>
            <w:vAlign w:val="center"/>
          </w:tcPr>
          <w:p w14:paraId="5C2BCCB7" w14:textId="77777777" w:rsidR="00A769CA" w:rsidRDefault="008D3F3B">
            <w:pPr>
              <w:spacing w:line="360" w:lineRule="auto"/>
              <w:jc w:val="center"/>
            </w:pPr>
            <w:r>
              <w:rPr>
                <w:rFonts w:ascii="MS Gothic" w:eastAsia="MS Gothic" w:hAnsi="MS Gothic" w:cs="MS Gothic"/>
              </w:rPr>
              <w:t>☐</w:t>
            </w:r>
          </w:p>
        </w:tc>
      </w:tr>
      <w:tr w:rsidR="00A769CA" w14:paraId="151C186C" w14:textId="77777777">
        <w:trPr>
          <w:trHeight w:val="358"/>
        </w:trPr>
        <w:tc>
          <w:tcPr>
            <w:tcW w:w="473" w:type="dxa"/>
            <w:shd w:val="clear" w:color="auto" w:fill="F2F2F2"/>
            <w:vAlign w:val="center"/>
          </w:tcPr>
          <w:p w14:paraId="5B2EF4AF" w14:textId="77777777" w:rsidR="00A769CA" w:rsidRDefault="008D3F3B">
            <w:pPr>
              <w:spacing w:line="360" w:lineRule="auto"/>
              <w:jc w:val="center"/>
            </w:pPr>
            <w:r>
              <w:t>28</w:t>
            </w:r>
          </w:p>
        </w:tc>
        <w:tc>
          <w:tcPr>
            <w:tcW w:w="8387" w:type="dxa"/>
            <w:gridSpan w:val="4"/>
            <w:shd w:val="clear" w:color="auto" w:fill="F2F2F2"/>
            <w:vAlign w:val="center"/>
          </w:tcPr>
          <w:p w14:paraId="336DC49A" w14:textId="77777777" w:rsidR="00A769CA" w:rsidRDefault="008D3F3B">
            <w:pPr>
              <w:spacing w:line="360" w:lineRule="auto"/>
            </w:pPr>
            <w:r>
              <w:t>If YES</w:t>
            </w:r>
            <w:r>
              <w:rPr>
                <w:b/>
                <w:bCs/>
              </w:rPr>
              <w:t xml:space="preserve"> </w:t>
            </w:r>
            <w:r>
              <w:t xml:space="preserve">to any question, please provide full details </w:t>
            </w:r>
          </w:p>
        </w:tc>
      </w:tr>
      <w:tr w:rsidR="00A769CA" w14:paraId="25973B76" w14:textId="77777777">
        <w:trPr>
          <w:trHeight w:val="358"/>
        </w:trPr>
        <w:tc>
          <w:tcPr>
            <w:tcW w:w="473" w:type="dxa"/>
            <w:vAlign w:val="center"/>
          </w:tcPr>
          <w:p w14:paraId="71E19DDB" w14:textId="77777777" w:rsidR="00A769CA" w:rsidRDefault="00A769CA">
            <w:pPr>
              <w:spacing w:line="360" w:lineRule="auto"/>
              <w:jc w:val="center"/>
            </w:pPr>
          </w:p>
        </w:tc>
        <w:tc>
          <w:tcPr>
            <w:tcW w:w="8387" w:type="dxa"/>
            <w:gridSpan w:val="4"/>
            <w:vAlign w:val="center"/>
          </w:tcPr>
          <w:p w14:paraId="7771C45B" w14:textId="77777777" w:rsidR="00A769CA" w:rsidRDefault="00A769CA">
            <w:pPr>
              <w:spacing w:line="360" w:lineRule="auto"/>
            </w:pPr>
          </w:p>
          <w:p w14:paraId="6286C32E" w14:textId="77777777" w:rsidR="00A769CA" w:rsidRDefault="00A769CA">
            <w:pPr>
              <w:spacing w:line="360" w:lineRule="auto"/>
            </w:pPr>
          </w:p>
          <w:p w14:paraId="66FA99BE" w14:textId="77777777" w:rsidR="00A769CA" w:rsidRDefault="00A769CA">
            <w:pPr>
              <w:spacing w:line="360" w:lineRule="auto"/>
            </w:pPr>
          </w:p>
          <w:p w14:paraId="36E90CA7" w14:textId="77777777" w:rsidR="00A769CA" w:rsidRDefault="008D3F3B">
            <w:pPr>
              <w:spacing w:line="360" w:lineRule="auto"/>
              <w:rPr>
                <w:rFonts w:ascii="Times New Roman" w:eastAsia="Times New Roman" w:hAnsi="Times New Roman" w:cs="Times New Roman"/>
                <w:sz w:val="20"/>
                <w:szCs w:val="20"/>
              </w:rPr>
            </w:pPr>
            <w:r>
              <w:rPr>
                <w:i/>
                <w:iCs/>
                <w:color w:val="808080"/>
                <w:sz w:val="18"/>
                <w:szCs w:val="18"/>
              </w:rPr>
              <w:t>(this box should expand as you type)</w:t>
            </w:r>
          </w:p>
        </w:tc>
      </w:tr>
    </w:tbl>
    <w:p w14:paraId="35D0DAB6" w14:textId="77777777" w:rsidR="00A769CA" w:rsidRDefault="00A769CA">
      <w:pPr>
        <w:spacing w:after="240" w:line="360" w:lineRule="auto"/>
        <w:jc w:val="both"/>
        <w:rPr>
          <w:b/>
          <w:bCs/>
        </w:rPr>
      </w:pPr>
    </w:p>
    <w:p w14:paraId="28633E7A" w14:textId="77777777" w:rsidR="00A769CA" w:rsidRDefault="008D3F3B">
      <w:pPr>
        <w:spacing w:line="360" w:lineRule="auto"/>
        <w:rPr>
          <w:b/>
          <w:bCs/>
        </w:rPr>
      </w:pPr>
      <w:r>
        <w:rPr>
          <w:b/>
          <w:bCs/>
        </w:rPr>
        <w:t>SECTION H: Anticipated Risks</w:t>
      </w:r>
    </w:p>
    <w:p w14:paraId="0260974E" w14:textId="77777777" w:rsidR="00A769CA" w:rsidRDefault="00A769CA">
      <w:pPr>
        <w:spacing w:line="360" w:lineRule="auto"/>
        <w:rPr>
          <w:b/>
          <w:bCs/>
        </w:rPr>
      </w:pPr>
    </w:p>
    <w:tbl>
      <w:tblPr>
        <w:tblStyle w:val="aff6"/>
        <w:tblW w:w="9551"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45"/>
        <w:gridCol w:w="4530"/>
        <w:gridCol w:w="3093"/>
        <w:gridCol w:w="764"/>
        <w:gridCol w:w="619"/>
      </w:tblGrid>
      <w:tr w:rsidR="00A769CA" w14:paraId="5DC3ED72" w14:textId="77777777">
        <w:trPr>
          <w:trHeight w:val="1287"/>
        </w:trPr>
        <w:tc>
          <w:tcPr>
            <w:tcW w:w="545" w:type="dxa"/>
            <w:tcBorders>
              <w:bottom w:val="single" w:sz="4" w:space="0" w:color="000000"/>
            </w:tcBorders>
            <w:shd w:val="clear" w:color="auto" w:fill="F2F2F2"/>
          </w:tcPr>
          <w:p w14:paraId="4E993BAA" w14:textId="77777777" w:rsidR="00A769CA" w:rsidRDefault="00A769CA">
            <w:pPr>
              <w:pStyle w:val="Heading1"/>
              <w:keepNext/>
              <w:tabs>
                <w:tab w:val="left" w:pos="5103"/>
                <w:tab w:val="left" w:pos="5103"/>
              </w:tabs>
              <w:spacing w:after="0"/>
              <w:jc w:val="left"/>
              <w:rPr>
                <w:b w:val="0"/>
                <w:bCs w:val="0"/>
                <w:sz w:val="22"/>
                <w:szCs w:val="22"/>
              </w:rPr>
            </w:pPr>
          </w:p>
        </w:tc>
        <w:tc>
          <w:tcPr>
            <w:tcW w:w="9006" w:type="dxa"/>
            <w:gridSpan w:val="4"/>
            <w:tcBorders>
              <w:bottom w:val="single" w:sz="4" w:space="0" w:color="000000"/>
            </w:tcBorders>
            <w:shd w:val="clear" w:color="auto" w:fill="F2F2F2"/>
          </w:tcPr>
          <w:p w14:paraId="6792C8AB" w14:textId="77777777" w:rsidR="00A769CA" w:rsidRDefault="008D3F3B">
            <w:pPr>
              <w:spacing w:line="360" w:lineRule="auto"/>
              <w:rPr>
                <w:b/>
                <w:bCs/>
              </w:rPr>
            </w:pPr>
            <w:r>
              <w:rPr>
                <w:b/>
                <w:bCs/>
              </w:rPr>
              <w:t xml:space="preserve">Outline any anticipated risks that may adversely affect any of the participants, the researchers and/or the University, and the steps that will be taken to address them. </w:t>
            </w:r>
          </w:p>
          <w:p w14:paraId="052925C9" w14:textId="77777777" w:rsidR="00A769CA" w:rsidRDefault="00A769CA">
            <w:pPr>
              <w:spacing w:line="360" w:lineRule="auto"/>
              <w:rPr>
                <w:rFonts w:ascii="Times New Roman" w:eastAsia="Times New Roman" w:hAnsi="Times New Roman" w:cs="Times New Roman"/>
                <w:sz w:val="20"/>
                <w:szCs w:val="20"/>
              </w:rPr>
            </w:pPr>
          </w:p>
          <w:p w14:paraId="169B4572" w14:textId="77777777" w:rsidR="00A769CA" w:rsidRDefault="008D3F3B">
            <w:pPr>
              <w:spacing w:line="360" w:lineRule="auto"/>
              <w:rPr>
                <w:sz w:val="20"/>
                <w:szCs w:val="20"/>
              </w:rPr>
            </w:pPr>
            <w:r>
              <w:t>If you have completed a full risk assessment (for example as required by a laboratory, or external research collaborator) you may append that to this form.</w:t>
            </w:r>
            <w:r>
              <w:rPr>
                <w:sz w:val="20"/>
                <w:szCs w:val="20"/>
              </w:rPr>
              <w:t xml:space="preserve">  </w:t>
            </w:r>
          </w:p>
        </w:tc>
      </w:tr>
      <w:tr w:rsidR="00A769CA" w14:paraId="4CED3389" w14:textId="77777777">
        <w:trPr>
          <w:trHeight w:val="327"/>
        </w:trPr>
        <w:tc>
          <w:tcPr>
            <w:tcW w:w="545" w:type="dxa"/>
            <w:vMerge w:val="restart"/>
            <w:shd w:val="clear" w:color="auto" w:fill="F2F2F2"/>
            <w:vAlign w:val="center"/>
          </w:tcPr>
          <w:p w14:paraId="40790FBF" w14:textId="77777777" w:rsidR="00A769CA" w:rsidRDefault="008D3F3B">
            <w:pPr>
              <w:spacing w:line="360" w:lineRule="auto"/>
              <w:rPr>
                <w:b/>
                <w:bCs/>
              </w:rPr>
            </w:pPr>
            <w:r>
              <w:rPr>
                <w:b/>
                <w:bCs/>
              </w:rPr>
              <w:t>1</w:t>
            </w:r>
          </w:p>
        </w:tc>
        <w:tc>
          <w:tcPr>
            <w:tcW w:w="7623" w:type="dxa"/>
            <w:gridSpan w:val="2"/>
            <w:vMerge w:val="restart"/>
            <w:shd w:val="clear" w:color="auto" w:fill="F2F2F2"/>
            <w:vAlign w:val="center"/>
          </w:tcPr>
          <w:p w14:paraId="7F5DEA59" w14:textId="77777777" w:rsidR="00A769CA" w:rsidRDefault="008D3F3B">
            <w:pPr>
              <w:spacing w:line="360" w:lineRule="auto"/>
              <w:rPr>
                <w:b/>
                <w:bCs/>
              </w:rPr>
            </w:pPr>
            <w:r>
              <w:rPr>
                <w:b/>
                <w:bCs/>
              </w:rPr>
              <w:t xml:space="preserve">Full risk assessment completed and appended? </w:t>
            </w:r>
          </w:p>
        </w:tc>
        <w:tc>
          <w:tcPr>
            <w:tcW w:w="764" w:type="dxa"/>
            <w:tcBorders>
              <w:bottom w:val="single" w:sz="4" w:space="0" w:color="000000"/>
            </w:tcBorders>
            <w:shd w:val="clear" w:color="auto" w:fill="F2F2F2"/>
          </w:tcPr>
          <w:p w14:paraId="50F461F9" w14:textId="77777777" w:rsidR="00A769CA" w:rsidRDefault="008D3F3B">
            <w:pPr>
              <w:spacing w:line="360" w:lineRule="auto"/>
            </w:pPr>
            <w:r>
              <w:t xml:space="preserve">Yes </w:t>
            </w:r>
          </w:p>
        </w:tc>
        <w:tc>
          <w:tcPr>
            <w:tcW w:w="619" w:type="dxa"/>
            <w:tcBorders>
              <w:bottom w:val="single" w:sz="4" w:space="0" w:color="000000"/>
            </w:tcBorders>
            <w:shd w:val="clear" w:color="auto" w:fill="BFBFBF"/>
          </w:tcPr>
          <w:p w14:paraId="4A5F8139" w14:textId="77777777" w:rsidR="00A769CA" w:rsidRDefault="008D3F3B">
            <w:pPr>
              <w:spacing w:line="360" w:lineRule="auto"/>
              <w:rPr>
                <w:sz w:val="20"/>
                <w:szCs w:val="20"/>
              </w:rPr>
            </w:pPr>
            <w:sdt>
              <w:sdtPr>
                <w:tag w:val="goog_rdk_2"/>
                <w:id w:val="-258054457"/>
              </w:sdtPr>
              <w:sdtEndPr/>
              <w:sdtContent>
                <w:r>
                  <w:rPr>
                    <w:rFonts w:ascii="Arial Unicode MS" w:eastAsia="Arial Unicode MS" w:hAnsi="Arial Unicode MS" w:cs="Arial Unicode MS"/>
                  </w:rPr>
                  <w:t>☐</w:t>
                </w:r>
              </w:sdtContent>
            </w:sdt>
          </w:p>
        </w:tc>
      </w:tr>
      <w:tr w:rsidR="00A769CA" w14:paraId="079C73FC" w14:textId="77777777">
        <w:trPr>
          <w:trHeight w:val="140"/>
        </w:trPr>
        <w:tc>
          <w:tcPr>
            <w:tcW w:w="545" w:type="dxa"/>
            <w:vMerge/>
            <w:shd w:val="clear" w:color="auto" w:fill="F2F2F2"/>
            <w:vAlign w:val="center"/>
          </w:tcPr>
          <w:p w14:paraId="42DEE1B7" w14:textId="77777777" w:rsidR="00A769CA" w:rsidRDefault="00A769CA">
            <w:pPr>
              <w:widowControl w:val="0"/>
              <w:pBdr>
                <w:top w:val="nil"/>
                <w:left w:val="nil"/>
                <w:bottom w:val="nil"/>
                <w:right w:val="nil"/>
                <w:between w:val="nil"/>
              </w:pBdr>
              <w:spacing w:line="360" w:lineRule="auto"/>
              <w:rPr>
                <w:sz w:val="20"/>
                <w:szCs w:val="20"/>
              </w:rPr>
            </w:pPr>
          </w:p>
        </w:tc>
        <w:tc>
          <w:tcPr>
            <w:tcW w:w="7623" w:type="dxa"/>
            <w:gridSpan w:val="2"/>
            <w:vMerge/>
            <w:shd w:val="clear" w:color="auto" w:fill="F2F2F2"/>
            <w:vAlign w:val="center"/>
          </w:tcPr>
          <w:p w14:paraId="7B86063D" w14:textId="77777777" w:rsidR="00A769CA" w:rsidRDefault="00A769CA">
            <w:pPr>
              <w:widowControl w:val="0"/>
              <w:pBdr>
                <w:top w:val="nil"/>
                <w:left w:val="nil"/>
                <w:bottom w:val="nil"/>
                <w:right w:val="nil"/>
                <w:between w:val="nil"/>
              </w:pBdr>
              <w:spacing w:line="360" w:lineRule="auto"/>
              <w:rPr>
                <w:sz w:val="20"/>
                <w:szCs w:val="20"/>
              </w:rPr>
            </w:pPr>
          </w:p>
        </w:tc>
        <w:tc>
          <w:tcPr>
            <w:tcW w:w="764" w:type="dxa"/>
            <w:tcBorders>
              <w:bottom w:val="single" w:sz="4" w:space="0" w:color="000000"/>
            </w:tcBorders>
            <w:shd w:val="clear" w:color="auto" w:fill="F2F2F2"/>
          </w:tcPr>
          <w:p w14:paraId="5FAA4D6A" w14:textId="77777777" w:rsidR="00A769CA" w:rsidRDefault="008D3F3B">
            <w:pPr>
              <w:spacing w:line="360" w:lineRule="auto"/>
              <w:rPr>
                <w:b/>
                <w:bCs/>
              </w:rPr>
            </w:pPr>
            <w:r>
              <w:rPr>
                <w:b/>
                <w:bCs/>
              </w:rPr>
              <w:t>No</w:t>
            </w:r>
          </w:p>
        </w:tc>
        <w:tc>
          <w:tcPr>
            <w:tcW w:w="619" w:type="dxa"/>
            <w:tcBorders>
              <w:bottom w:val="single" w:sz="4" w:space="0" w:color="000000"/>
            </w:tcBorders>
            <w:shd w:val="clear" w:color="auto" w:fill="BFBFBF"/>
          </w:tcPr>
          <w:p w14:paraId="2368D412" w14:textId="77777777" w:rsidR="00A769CA" w:rsidRDefault="008D3F3B">
            <w:pPr>
              <w:spacing w:line="360" w:lineRule="auto"/>
            </w:pPr>
            <w:sdt>
              <w:sdtPr>
                <w:tag w:val="goog_rdk_3"/>
                <w:id w:val="1882808416"/>
              </w:sdtPr>
              <w:sdtEndPr/>
              <w:sdtContent>
                <w:r>
                  <w:rPr>
                    <w:rFonts w:ascii="Arial Unicode MS" w:eastAsia="Arial Unicode MS" w:hAnsi="Arial Unicode MS" w:cs="Arial Unicode MS"/>
                  </w:rPr>
                  <w:t>☑</w:t>
                </w:r>
              </w:sdtContent>
            </w:sdt>
          </w:p>
        </w:tc>
      </w:tr>
      <w:tr w:rsidR="00A769CA" w14:paraId="59BE5C0A" w14:textId="77777777">
        <w:trPr>
          <w:trHeight w:val="737"/>
        </w:trPr>
        <w:tc>
          <w:tcPr>
            <w:tcW w:w="545" w:type="dxa"/>
            <w:tcBorders>
              <w:bottom w:val="single" w:sz="4" w:space="0" w:color="000000"/>
            </w:tcBorders>
            <w:shd w:val="clear" w:color="auto" w:fill="F2F2F2"/>
            <w:vAlign w:val="center"/>
          </w:tcPr>
          <w:p w14:paraId="181A3BED" w14:textId="77777777" w:rsidR="00A769CA" w:rsidRDefault="008D3F3B">
            <w:pPr>
              <w:spacing w:line="360" w:lineRule="auto"/>
              <w:jc w:val="center"/>
            </w:pPr>
            <w:r>
              <w:t>2</w:t>
            </w:r>
          </w:p>
        </w:tc>
        <w:tc>
          <w:tcPr>
            <w:tcW w:w="9006" w:type="dxa"/>
            <w:gridSpan w:val="4"/>
            <w:tcBorders>
              <w:bottom w:val="single" w:sz="4" w:space="0" w:color="000000"/>
            </w:tcBorders>
            <w:shd w:val="clear" w:color="auto" w:fill="F2F2F2"/>
          </w:tcPr>
          <w:p w14:paraId="4179C179" w14:textId="77777777" w:rsidR="00A769CA" w:rsidRDefault="008D3F3B">
            <w:pPr>
              <w:spacing w:line="360" w:lineRule="auto"/>
            </w:pPr>
            <w:r>
              <w:rPr>
                <w:b/>
                <w:bCs/>
              </w:rPr>
              <w:t>Risks to participants</w:t>
            </w:r>
          </w:p>
          <w:p w14:paraId="770018A5" w14:textId="77777777" w:rsidR="00A769CA" w:rsidRDefault="008D3F3B">
            <w:pPr>
              <w:spacing w:line="360" w:lineRule="auto"/>
              <w:rPr>
                <w:b/>
                <w:bCs/>
              </w:rPr>
            </w:pPr>
            <w:r>
              <w:t>For example: sector-specific health &amp; safety, emotional distress, financial disclosure, physical harm, transfer of personal data, sensitive organisational information</w:t>
            </w:r>
          </w:p>
        </w:tc>
      </w:tr>
      <w:tr w:rsidR="00A769CA" w14:paraId="01F06880" w14:textId="77777777">
        <w:trPr>
          <w:trHeight w:val="2224"/>
        </w:trPr>
        <w:tc>
          <w:tcPr>
            <w:tcW w:w="545" w:type="dxa"/>
            <w:tcBorders>
              <w:top w:val="single" w:sz="4" w:space="0" w:color="000000"/>
              <w:bottom w:val="single" w:sz="4" w:space="0" w:color="000000"/>
            </w:tcBorders>
            <w:vAlign w:val="center"/>
          </w:tcPr>
          <w:p w14:paraId="76DDCD43" w14:textId="77777777" w:rsidR="00A769CA" w:rsidRDefault="00A769CA">
            <w:pPr>
              <w:spacing w:line="360" w:lineRule="auto"/>
              <w:jc w:val="center"/>
            </w:pPr>
          </w:p>
        </w:tc>
        <w:tc>
          <w:tcPr>
            <w:tcW w:w="4530" w:type="dxa"/>
            <w:tcBorders>
              <w:top w:val="single" w:sz="4" w:space="0" w:color="000000"/>
              <w:bottom w:val="single" w:sz="4" w:space="0" w:color="000000"/>
            </w:tcBorders>
          </w:tcPr>
          <w:p w14:paraId="3618772E" w14:textId="77777777" w:rsidR="00A769CA" w:rsidRDefault="008D3F3B">
            <w:pPr>
              <w:spacing w:line="360" w:lineRule="auto"/>
            </w:pPr>
            <w:r>
              <w:t>Risk to participants:</w:t>
            </w:r>
          </w:p>
          <w:p w14:paraId="63A0F281" w14:textId="77777777" w:rsidR="00A769CA" w:rsidRDefault="00A769CA">
            <w:pPr>
              <w:spacing w:line="360" w:lineRule="auto"/>
            </w:pPr>
          </w:p>
          <w:p w14:paraId="3084340D" w14:textId="77777777" w:rsidR="00A769CA" w:rsidRDefault="008D3F3B">
            <w:pPr>
              <w:spacing w:line="360" w:lineRule="auto"/>
            </w:pPr>
            <w:r>
              <w:t>There are no participants involved in this research. All information will be drawn from publicly available secondary data sources such as academic journals, industry reports, and company publications. Therefore, there is no risk of physical, emotional, or psychological harm to individuals.</w:t>
            </w:r>
          </w:p>
        </w:tc>
        <w:tc>
          <w:tcPr>
            <w:tcW w:w="4476" w:type="dxa"/>
            <w:gridSpan w:val="3"/>
            <w:tcBorders>
              <w:top w:val="single" w:sz="4" w:space="0" w:color="000000"/>
              <w:bottom w:val="single" w:sz="4" w:space="0" w:color="000000"/>
            </w:tcBorders>
          </w:tcPr>
          <w:p w14:paraId="5ACDB3DB" w14:textId="77777777" w:rsidR="00A769CA" w:rsidRDefault="008D3F3B">
            <w:pPr>
              <w:spacing w:line="360" w:lineRule="auto"/>
              <w:rPr>
                <w:i/>
                <w:iCs/>
                <w:sz w:val="18"/>
                <w:szCs w:val="18"/>
              </w:rPr>
            </w:pPr>
            <w:r>
              <w:rPr>
                <w:i/>
                <w:iCs/>
                <w:sz w:val="18"/>
                <w:szCs w:val="18"/>
              </w:rPr>
              <w:t>How you will mitigate the risk to participants:</w:t>
            </w:r>
          </w:p>
          <w:p w14:paraId="2079D04C" w14:textId="77777777" w:rsidR="00A769CA" w:rsidRDefault="00A769CA">
            <w:pPr>
              <w:spacing w:line="360" w:lineRule="auto"/>
            </w:pPr>
          </w:p>
          <w:p w14:paraId="7C38B11F" w14:textId="77777777" w:rsidR="00A769CA" w:rsidRDefault="00A769CA">
            <w:pPr>
              <w:spacing w:line="360" w:lineRule="auto"/>
            </w:pPr>
          </w:p>
          <w:p w14:paraId="25EFF756" w14:textId="77777777" w:rsidR="00A769CA" w:rsidRDefault="008D3F3B">
            <w:pPr>
              <w:spacing w:line="360" w:lineRule="auto"/>
              <w:rPr>
                <w:rFonts w:ascii="Times New Roman" w:eastAsia="Times New Roman" w:hAnsi="Times New Roman" w:cs="Times New Roman"/>
                <w:i/>
                <w:iCs/>
                <w:sz w:val="20"/>
                <w:szCs w:val="20"/>
              </w:rPr>
            </w:pPr>
            <w:r>
              <w:t>Not applicable.</w:t>
            </w:r>
          </w:p>
        </w:tc>
      </w:tr>
      <w:tr w:rsidR="00A769CA" w14:paraId="04FDE8D7" w14:textId="77777777">
        <w:trPr>
          <w:trHeight w:val="1475"/>
        </w:trPr>
        <w:tc>
          <w:tcPr>
            <w:tcW w:w="545" w:type="dxa"/>
            <w:tcBorders>
              <w:bottom w:val="single" w:sz="4" w:space="0" w:color="000000"/>
            </w:tcBorders>
            <w:shd w:val="clear" w:color="auto" w:fill="F2F2F2"/>
            <w:vAlign w:val="center"/>
          </w:tcPr>
          <w:p w14:paraId="7EE5AA32" w14:textId="77777777" w:rsidR="00A769CA" w:rsidRDefault="008D3F3B">
            <w:pPr>
              <w:spacing w:line="360" w:lineRule="auto"/>
              <w:jc w:val="center"/>
            </w:pPr>
            <w:r>
              <w:t>3</w:t>
            </w:r>
          </w:p>
        </w:tc>
        <w:tc>
          <w:tcPr>
            <w:tcW w:w="9006" w:type="dxa"/>
            <w:gridSpan w:val="4"/>
            <w:tcBorders>
              <w:bottom w:val="single" w:sz="4" w:space="0" w:color="000000"/>
            </w:tcBorders>
            <w:shd w:val="clear" w:color="auto" w:fill="F2F2F2"/>
          </w:tcPr>
          <w:p w14:paraId="4BBF4D1B" w14:textId="77777777" w:rsidR="00A769CA" w:rsidRDefault="008D3F3B">
            <w:pPr>
              <w:spacing w:line="360" w:lineRule="auto"/>
            </w:pPr>
            <w: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color w:val="161616"/>
              </w:rPr>
              <w:t xml:space="preserve">where applicable, consent procedures should make it clear that if something potentially or </w:t>
            </w:r>
            <w:proofErr w:type="gramStart"/>
            <w:r>
              <w:rPr>
                <w:color w:val="161616"/>
              </w:rPr>
              <w:t>actually illegal</w:t>
            </w:r>
            <w:proofErr w:type="gramEnd"/>
            <w:r>
              <w:rPr>
                <w:color w:val="161616"/>
              </w:rPr>
              <w:t xml:space="preserve"> is discovered </w:t>
            </w:r>
            <w:proofErr w:type="gramStart"/>
            <w:r>
              <w:rPr>
                <w:color w:val="161616"/>
              </w:rPr>
              <w:t>in the course of</w:t>
            </w:r>
            <w:proofErr w:type="gramEnd"/>
            <w:r>
              <w:rPr>
                <w:color w:val="161616"/>
              </w:rPr>
              <w:t xml:space="preserve"> a project, it may need to be disclosed to the proper authorities</w:t>
            </w:r>
          </w:p>
        </w:tc>
      </w:tr>
      <w:tr w:rsidR="00A769CA" w14:paraId="44C8BB76" w14:textId="77777777">
        <w:trPr>
          <w:trHeight w:val="1486"/>
        </w:trPr>
        <w:tc>
          <w:tcPr>
            <w:tcW w:w="545" w:type="dxa"/>
            <w:tcBorders>
              <w:top w:val="single" w:sz="4" w:space="0" w:color="000000"/>
              <w:bottom w:val="single" w:sz="4" w:space="0" w:color="000000"/>
            </w:tcBorders>
            <w:vAlign w:val="center"/>
          </w:tcPr>
          <w:p w14:paraId="1BDA4664" w14:textId="77777777" w:rsidR="00A769CA" w:rsidRDefault="00A769CA">
            <w:pPr>
              <w:spacing w:line="360" w:lineRule="auto"/>
              <w:jc w:val="center"/>
            </w:pPr>
          </w:p>
        </w:tc>
        <w:tc>
          <w:tcPr>
            <w:tcW w:w="9006" w:type="dxa"/>
            <w:gridSpan w:val="4"/>
            <w:tcBorders>
              <w:top w:val="single" w:sz="4" w:space="0" w:color="000000"/>
              <w:bottom w:val="single" w:sz="4" w:space="0" w:color="000000"/>
            </w:tcBorders>
          </w:tcPr>
          <w:p w14:paraId="1FCB2C58" w14:textId="77777777" w:rsidR="00A769CA" w:rsidRDefault="00A769CA">
            <w:pPr>
              <w:spacing w:line="360" w:lineRule="auto"/>
            </w:pPr>
          </w:p>
          <w:p w14:paraId="5070E06B" w14:textId="77777777" w:rsidR="00A769CA" w:rsidRDefault="00A769CA">
            <w:pPr>
              <w:spacing w:line="360" w:lineRule="auto"/>
            </w:pPr>
          </w:p>
          <w:p w14:paraId="155E4868" w14:textId="77777777" w:rsidR="00A769CA" w:rsidRDefault="008D3F3B">
            <w:pPr>
              <w:spacing w:line="360" w:lineRule="auto"/>
            </w:pPr>
            <w:r>
              <w:t>The research will not involve any sensitive, illegal, or distressing topics. It focuses solely on supplier relationship management and organisational performance within the manufacturing sector. No participant support or disclosure procedures are required.</w:t>
            </w:r>
          </w:p>
          <w:p w14:paraId="5D0C87F5" w14:textId="77777777" w:rsidR="00A769CA" w:rsidRDefault="00A769CA">
            <w:pPr>
              <w:spacing w:line="360" w:lineRule="auto"/>
            </w:pPr>
          </w:p>
        </w:tc>
      </w:tr>
      <w:tr w:rsidR="00A769CA" w14:paraId="12F277C3" w14:textId="77777777">
        <w:trPr>
          <w:trHeight w:val="737"/>
        </w:trPr>
        <w:tc>
          <w:tcPr>
            <w:tcW w:w="545" w:type="dxa"/>
            <w:tcBorders>
              <w:top w:val="single" w:sz="4" w:space="0" w:color="000000"/>
              <w:bottom w:val="single" w:sz="4" w:space="0" w:color="000000"/>
            </w:tcBorders>
            <w:shd w:val="clear" w:color="auto" w:fill="F2F2F2"/>
            <w:vAlign w:val="center"/>
          </w:tcPr>
          <w:p w14:paraId="63CC8890" w14:textId="77777777" w:rsidR="00A769CA" w:rsidRDefault="008D3F3B">
            <w:pPr>
              <w:spacing w:line="360" w:lineRule="auto"/>
              <w:jc w:val="center"/>
            </w:pPr>
            <w:r>
              <w:t>4</w:t>
            </w:r>
          </w:p>
        </w:tc>
        <w:tc>
          <w:tcPr>
            <w:tcW w:w="9006" w:type="dxa"/>
            <w:gridSpan w:val="4"/>
            <w:tcBorders>
              <w:top w:val="single" w:sz="4" w:space="0" w:color="000000"/>
              <w:bottom w:val="single" w:sz="4" w:space="0" w:color="000000"/>
            </w:tcBorders>
            <w:shd w:val="clear" w:color="auto" w:fill="F2F2F2"/>
          </w:tcPr>
          <w:p w14:paraId="389FEF54" w14:textId="77777777" w:rsidR="00A769CA" w:rsidRDefault="008D3F3B">
            <w:pPr>
              <w:spacing w:line="360" w:lineRule="auto"/>
            </w:pPr>
            <w:r>
              <w:rPr>
                <w:b/>
                <w:bCs/>
              </w:rPr>
              <w:t>Risks to the investigator</w:t>
            </w:r>
          </w:p>
          <w:p w14:paraId="6AAD3C62" w14:textId="77777777" w:rsidR="00A769CA" w:rsidRDefault="008D3F3B">
            <w:pPr>
              <w:spacing w:line="360" w:lineRule="auto"/>
            </w:pPr>
            <w:r>
              <w:t>For example: personal health &amp; safety, physical harm, emotional distress, risk of accusation of harm/impropriety, conflict of interest</w:t>
            </w:r>
          </w:p>
        </w:tc>
      </w:tr>
      <w:tr w:rsidR="00A769CA" w14:paraId="073CAF2A" w14:textId="77777777">
        <w:trPr>
          <w:trHeight w:val="1919"/>
        </w:trPr>
        <w:tc>
          <w:tcPr>
            <w:tcW w:w="545" w:type="dxa"/>
            <w:tcBorders>
              <w:top w:val="single" w:sz="4" w:space="0" w:color="000000"/>
              <w:bottom w:val="single" w:sz="4" w:space="0" w:color="000000"/>
            </w:tcBorders>
            <w:vAlign w:val="center"/>
          </w:tcPr>
          <w:p w14:paraId="7AE9267D" w14:textId="77777777" w:rsidR="00A769CA" w:rsidRDefault="00A769CA">
            <w:pPr>
              <w:spacing w:line="360" w:lineRule="auto"/>
              <w:jc w:val="center"/>
            </w:pPr>
          </w:p>
        </w:tc>
        <w:tc>
          <w:tcPr>
            <w:tcW w:w="4530" w:type="dxa"/>
            <w:tcBorders>
              <w:top w:val="single" w:sz="4" w:space="0" w:color="000000"/>
              <w:bottom w:val="single" w:sz="4" w:space="0" w:color="000000"/>
            </w:tcBorders>
          </w:tcPr>
          <w:p w14:paraId="5D768185" w14:textId="77777777" w:rsidR="00A769CA" w:rsidRDefault="008D3F3B">
            <w:pPr>
              <w:spacing w:line="360" w:lineRule="auto"/>
            </w:pPr>
            <w:r>
              <w:t>Risk to the investigator:</w:t>
            </w:r>
          </w:p>
          <w:p w14:paraId="2653ABC0" w14:textId="77777777" w:rsidR="00A769CA" w:rsidRDefault="00A769CA">
            <w:pPr>
              <w:spacing w:line="360" w:lineRule="auto"/>
            </w:pPr>
          </w:p>
          <w:p w14:paraId="72F0B5D2" w14:textId="77777777" w:rsidR="00A769CA" w:rsidRDefault="00A769CA">
            <w:pPr>
              <w:spacing w:line="360" w:lineRule="auto"/>
            </w:pPr>
          </w:p>
          <w:p w14:paraId="177C27A9" w14:textId="77777777" w:rsidR="00A769CA" w:rsidRDefault="008D3F3B">
            <w:pPr>
              <w:spacing w:line="360" w:lineRule="auto"/>
            </w:pPr>
            <w:r>
              <w:t>Minimal risk is anticipated. As the study involves desk-based research, the main potential risks relate to screen fatigue and time management during data review.</w:t>
            </w:r>
          </w:p>
        </w:tc>
        <w:tc>
          <w:tcPr>
            <w:tcW w:w="4476" w:type="dxa"/>
            <w:gridSpan w:val="3"/>
            <w:tcBorders>
              <w:top w:val="single" w:sz="4" w:space="0" w:color="000000"/>
              <w:bottom w:val="single" w:sz="4" w:space="0" w:color="000000"/>
            </w:tcBorders>
          </w:tcPr>
          <w:p w14:paraId="110A474E" w14:textId="77777777" w:rsidR="00A769CA" w:rsidRDefault="008D3F3B">
            <w:pPr>
              <w:spacing w:line="360" w:lineRule="auto"/>
              <w:rPr>
                <w:i/>
                <w:iCs/>
                <w:sz w:val="18"/>
                <w:szCs w:val="18"/>
              </w:rPr>
            </w:pPr>
            <w:r>
              <w:rPr>
                <w:i/>
                <w:iCs/>
                <w:sz w:val="18"/>
                <w:szCs w:val="18"/>
              </w:rPr>
              <w:t>How you will mitigate the risk to the investigator:</w:t>
            </w:r>
          </w:p>
          <w:p w14:paraId="525E24B2" w14:textId="77777777" w:rsidR="00A769CA" w:rsidRDefault="00A769CA">
            <w:pPr>
              <w:spacing w:line="360" w:lineRule="auto"/>
            </w:pPr>
          </w:p>
          <w:p w14:paraId="00B2A4B3" w14:textId="77777777" w:rsidR="00A769CA" w:rsidRDefault="00A769CA">
            <w:pPr>
              <w:spacing w:line="360" w:lineRule="auto"/>
            </w:pPr>
          </w:p>
          <w:p w14:paraId="606506F2" w14:textId="77777777" w:rsidR="00A769CA" w:rsidRDefault="008D3F3B">
            <w:pPr>
              <w:spacing w:line="360" w:lineRule="auto"/>
            </w:pPr>
            <w:r>
              <w:t>The researcher will manage workload effectively, take regular breaks, and maintain clear communication with the supervisor for academic support.</w:t>
            </w:r>
          </w:p>
          <w:p w14:paraId="1EC85A4B" w14:textId="77777777" w:rsidR="00A769CA" w:rsidRDefault="00A769CA">
            <w:pPr>
              <w:spacing w:line="360" w:lineRule="auto"/>
            </w:pPr>
          </w:p>
        </w:tc>
      </w:tr>
      <w:tr w:rsidR="00A769CA" w14:paraId="46393DFC" w14:textId="77777777">
        <w:trPr>
          <w:trHeight w:val="491"/>
        </w:trPr>
        <w:tc>
          <w:tcPr>
            <w:tcW w:w="545" w:type="dxa"/>
            <w:tcBorders>
              <w:top w:val="single" w:sz="4" w:space="0" w:color="000000"/>
              <w:bottom w:val="single" w:sz="4" w:space="0" w:color="000000"/>
            </w:tcBorders>
            <w:shd w:val="clear" w:color="auto" w:fill="F2F2F2"/>
            <w:vAlign w:val="center"/>
          </w:tcPr>
          <w:p w14:paraId="3E188F69" w14:textId="77777777" w:rsidR="00A769CA" w:rsidRDefault="008D3F3B">
            <w:pPr>
              <w:spacing w:line="360" w:lineRule="auto"/>
              <w:jc w:val="center"/>
            </w:pPr>
            <w:r>
              <w:lastRenderedPageBreak/>
              <w:t>5</w:t>
            </w:r>
          </w:p>
        </w:tc>
        <w:tc>
          <w:tcPr>
            <w:tcW w:w="9006" w:type="dxa"/>
            <w:gridSpan w:val="4"/>
            <w:tcBorders>
              <w:top w:val="single" w:sz="4" w:space="0" w:color="000000"/>
              <w:bottom w:val="single" w:sz="4" w:space="0" w:color="000000"/>
            </w:tcBorders>
            <w:shd w:val="clear" w:color="auto" w:fill="F2F2F2"/>
          </w:tcPr>
          <w:p w14:paraId="4F428EFA" w14:textId="77777777" w:rsidR="00A769CA" w:rsidRDefault="008D3F3B">
            <w:pPr>
              <w:spacing w:line="360" w:lineRule="auto"/>
            </w:pPr>
            <w:r>
              <w:rPr>
                <w:b/>
                <w:bCs/>
              </w:rPr>
              <w:t>University/institutional risks</w:t>
            </w:r>
          </w:p>
          <w:p w14:paraId="4773F2DF" w14:textId="77777777" w:rsidR="00A769CA" w:rsidRDefault="008D3F3B">
            <w:pPr>
              <w:spacing w:line="360" w:lineRule="auto"/>
            </w:pPr>
            <w:r>
              <w:t>For example: adverse publicity, financial loss, data protection</w:t>
            </w:r>
          </w:p>
        </w:tc>
      </w:tr>
      <w:tr w:rsidR="00A769CA" w14:paraId="0784AB7F" w14:textId="77777777">
        <w:trPr>
          <w:trHeight w:val="2177"/>
        </w:trPr>
        <w:tc>
          <w:tcPr>
            <w:tcW w:w="545" w:type="dxa"/>
            <w:tcBorders>
              <w:top w:val="single" w:sz="4" w:space="0" w:color="000000"/>
              <w:bottom w:val="single" w:sz="4" w:space="0" w:color="000000"/>
            </w:tcBorders>
            <w:vAlign w:val="center"/>
          </w:tcPr>
          <w:p w14:paraId="1D0BD8BF" w14:textId="77777777" w:rsidR="00A769CA" w:rsidRDefault="00A769CA">
            <w:pPr>
              <w:spacing w:line="360" w:lineRule="auto"/>
              <w:jc w:val="center"/>
            </w:pPr>
          </w:p>
        </w:tc>
        <w:tc>
          <w:tcPr>
            <w:tcW w:w="4530" w:type="dxa"/>
            <w:tcBorders>
              <w:top w:val="single" w:sz="4" w:space="0" w:color="000000"/>
              <w:bottom w:val="single" w:sz="4" w:space="0" w:color="000000"/>
            </w:tcBorders>
          </w:tcPr>
          <w:p w14:paraId="6A86D5F3" w14:textId="77777777" w:rsidR="00A769CA" w:rsidRDefault="008D3F3B">
            <w:pPr>
              <w:spacing w:line="360" w:lineRule="auto"/>
            </w:pPr>
            <w:r>
              <w:t>Risk to the University:</w:t>
            </w:r>
          </w:p>
          <w:p w14:paraId="51CABED1" w14:textId="77777777" w:rsidR="00A769CA" w:rsidRDefault="00A769CA">
            <w:pPr>
              <w:spacing w:line="360" w:lineRule="auto"/>
            </w:pPr>
          </w:p>
          <w:p w14:paraId="6A073536" w14:textId="77777777" w:rsidR="00A769CA" w:rsidRDefault="008D3F3B">
            <w:pPr>
              <w:spacing w:line="360" w:lineRule="auto"/>
            </w:pPr>
            <w:r>
              <w:t>No direct risk to the University is expected. Possible risks include accidental data misuse or incomplete citation.</w:t>
            </w:r>
          </w:p>
          <w:p w14:paraId="319137ED" w14:textId="77777777" w:rsidR="00A769CA" w:rsidRDefault="00A769CA">
            <w:pPr>
              <w:spacing w:line="360" w:lineRule="auto"/>
            </w:pPr>
          </w:p>
        </w:tc>
        <w:tc>
          <w:tcPr>
            <w:tcW w:w="4476" w:type="dxa"/>
            <w:gridSpan w:val="3"/>
            <w:tcBorders>
              <w:top w:val="single" w:sz="4" w:space="0" w:color="000000"/>
              <w:bottom w:val="single" w:sz="4" w:space="0" w:color="000000"/>
            </w:tcBorders>
          </w:tcPr>
          <w:p w14:paraId="2B1B5ABD" w14:textId="77777777" w:rsidR="00A769CA" w:rsidRDefault="008D3F3B">
            <w:pPr>
              <w:spacing w:line="360" w:lineRule="auto"/>
              <w:rPr>
                <w:i/>
                <w:iCs/>
                <w:sz w:val="18"/>
                <w:szCs w:val="18"/>
              </w:rPr>
            </w:pPr>
            <w:r>
              <w:rPr>
                <w:i/>
                <w:iCs/>
                <w:sz w:val="18"/>
                <w:szCs w:val="18"/>
              </w:rPr>
              <w:t>How you will mitigate the risk to the University:</w:t>
            </w:r>
          </w:p>
          <w:p w14:paraId="5374BDC1" w14:textId="77777777" w:rsidR="00A769CA" w:rsidRDefault="00A769CA">
            <w:pPr>
              <w:spacing w:line="360" w:lineRule="auto"/>
            </w:pPr>
          </w:p>
          <w:p w14:paraId="40A07EB0" w14:textId="77777777" w:rsidR="00A769CA" w:rsidRDefault="008D3F3B">
            <w:pPr>
              <w:spacing w:line="360" w:lineRule="auto"/>
            </w:pPr>
            <w:r>
              <w:t>All secondary data will be sourced from credible, open-access platforms, properly referenced, and stored securely on password-protected University systems, ensuring compliance with data protection and academic integrity policies.</w:t>
            </w:r>
          </w:p>
          <w:p w14:paraId="6828FD27" w14:textId="77777777" w:rsidR="00A769CA" w:rsidRDefault="00A769CA">
            <w:pPr>
              <w:spacing w:line="360" w:lineRule="auto"/>
            </w:pPr>
          </w:p>
        </w:tc>
      </w:tr>
      <w:tr w:rsidR="00A769CA" w14:paraId="616DBE82" w14:textId="77777777">
        <w:trPr>
          <w:trHeight w:val="491"/>
        </w:trPr>
        <w:tc>
          <w:tcPr>
            <w:tcW w:w="545" w:type="dxa"/>
            <w:tcBorders>
              <w:top w:val="single" w:sz="4" w:space="0" w:color="000000"/>
              <w:bottom w:val="single" w:sz="4" w:space="0" w:color="000000"/>
            </w:tcBorders>
            <w:shd w:val="clear" w:color="auto" w:fill="F2F2F2"/>
            <w:vAlign w:val="center"/>
          </w:tcPr>
          <w:p w14:paraId="07B3D0F3" w14:textId="77777777" w:rsidR="00A769CA" w:rsidRDefault="008D3F3B">
            <w:pPr>
              <w:spacing w:line="360" w:lineRule="auto"/>
              <w:jc w:val="center"/>
            </w:pPr>
            <w:r>
              <w:t>6</w:t>
            </w:r>
          </w:p>
        </w:tc>
        <w:tc>
          <w:tcPr>
            <w:tcW w:w="9006" w:type="dxa"/>
            <w:gridSpan w:val="4"/>
            <w:tcBorders>
              <w:top w:val="single" w:sz="4" w:space="0" w:color="000000"/>
              <w:bottom w:val="single" w:sz="4" w:space="0" w:color="000000"/>
            </w:tcBorders>
            <w:shd w:val="clear" w:color="auto" w:fill="F2F2F2"/>
          </w:tcPr>
          <w:p w14:paraId="1863BB65" w14:textId="77777777" w:rsidR="00A769CA" w:rsidRDefault="008D3F3B">
            <w:pPr>
              <w:spacing w:line="360" w:lineRule="auto"/>
            </w:pPr>
            <w:r>
              <w:rPr>
                <w:b/>
                <w:bCs/>
              </w:rPr>
              <w:t>Environmental risks</w:t>
            </w:r>
          </w:p>
          <w:p w14:paraId="4518BF3F" w14:textId="77777777" w:rsidR="00A769CA" w:rsidRDefault="008D3F3B">
            <w:pPr>
              <w:spacing w:line="360" w:lineRule="auto"/>
            </w:pPr>
            <w:r>
              <w:t>For example: accidental spillage of pollutants, damage to local ecosystems</w:t>
            </w:r>
          </w:p>
        </w:tc>
      </w:tr>
      <w:tr w:rsidR="00A769CA" w14:paraId="7B8D091C" w14:textId="77777777">
        <w:trPr>
          <w:trHeight w:val="737"/>
        </w:trPr>
        <w:tc>
          <w:tcPr>
            <w:tcW w:w="545" w:type="dxa"/>
            <w:tcBorders>
              <w:top w:val="single" w:sz="4" w:space="0" w:color="000000"/>
              <w:bottom w:val="single" w:sz="4" w:space="0" w:color="000000"/>
            </w:tcBorders>
            <w:vAlign w:val="center"/>
          </w:tcPr>
          <w:p w14:paraId="4A326D46" w14:textId="77777777" w:rsidR="00A769CA" w:rsidRDefault="00A769CA">
            <w:pPr>
              <w:spacing w:line="360" w:lineRule="auto"/>
              <w:jc w:val="center"/>
            </w:pPr>
          </w:p>
        </w:tc>
        <w:tc>
          <w:tcPr>
            <w:tcW w:w="4530" w:type="dxa"/>
            <w:tcBorders>
              <w:top w:val="single" w:sz="4" w:space="0" w:color="000000"/>
              <w:bottom w:val="single" w:sz="4" w:space="0" w:color="000000"/>
            </w:tcBorders>
          </w:tcPr>
          <w:p w14:paraId="0B96ED6D" w14:textId="77777777" w:rsidR="00A769CA" w:rsidRDefault="008D3F3B">
            <w:pPr>
              <w:spacing w:line="360" w:lineRule="auto"/>
            </w:pPr>
            <w:r>
              <w:t>Risk to the environment:</w:t>
            </w:r>
          </w:p>
          <w:p w14:paraId="381F1DA7" w14:textId="77777777" w:rsidR="00A769CA" w:rsidRDefault="00A769CA">
            <w:pPr>
              <w:spacing w:line="360" w:lineRule="auto"/>
            </w:pPr>
          </w:p>
          <w:p w14:paraId="1CC16C35" w14:textId="77777777" w:rsidR="00A769CA" w:rsidRDefault="008D3F3B">
            <w:pPr>
              <w:spacing w:line="360" w:lineRule="auto"/>
            </w:pPr>
            <w:r>
              <w:t>None.</w:t>
            </w:r>
          </w:p>
        </w:tc>
        <w:tc>
          <w:tcPr>
            <w:tcW w:w="4476" w:type="dxa"/>
            <w:gridSpan w:val="3"/>
            <w:tcBorders>
              <w:top w:val="single" w:sz="4" w:space="0" w:color="000000"/>
              <w:bottom w:val="single" w:sz="4" w:space="0" w:color="000000"/>
            </w:tcBorders>
          </w:tcPr>
          <w:p w14:paraId="4360ED3E" w14:textId="77777777" w:rsidR="00A769CA" w:rsidRDefault="008D3F3B">
            <w:pPr>
              <w:spacing w:line="360" w:lineRule="auto"/>
              <w:rPr>
                <w:i/>
                <w:iCs/>
                <w:sz w:val="18"/>
                <w:szCs w:val="18"/>
              </w:rPr>
            </w:pPr>
            <w:r>
              <w:rPr>
                <w:i/>
                <w:iCs/>
                <w:sz w:val="18"/>
                <w:szCs w:val="18"/>
              </w:rPr>
              <w:t>How you will mitigate the risk to environment:</w:t>
            </w:r>
          </w:p>
          <w:p w14:paraId="787A4201" w14:textId="77777777" w:rsidR="00A769CA" w:rsidRDefault="00A769CA">
            <w:pPr>
              <w:spacing w:line="360" w:lineRule="auto"/>
            </w:pPr>
          </w:p>
          <w:p w14:paraId="05432271" w14:textId="77777777" w:rsidR="00A769CA" w:rsidRDefault="008D3F3B">
            <w:pPr>
              <w:spacing w:line="360" w:lineRule="auto"/>
              <w:rPr>
                <w:rFonts w:ascii="Times New Roman" w:eastAsia="Times New Roman" w:hAnsi="Times New Roman" w:cs="Times New Roman"/>
                <w:sz w:val="20"/>
                <w:szCs w:val="20"/>
              </w:rPr>
            </w:pPr>
            <w:r>
              <w:t>No mitigation is required.</w:t>
            </w:r>
          </w:p>
        </w:tc>
      </w:tr>
    </w:tbl>
    <w:p w14:paraId="6CA382FC" w14:textId="77777777" w:rsidR="00A769CA" w:rsidRDefault="00A769CA">
      <w:pPr>
        <w:spacing w:line="360" w:lineRule="auto"/>
        <w:rPr>
          <w:rFonts w:ascii="Times New Roman" w:eastAsia="Times New Roman" w:hAnsi="Times New Roman" w:cs="Times New Roman"/>
          <w:sz w:val="20"/>
          <w:szCs w:val="20"/>
        </w:rPr>
      </w:pPr>
    </w:p>
    <w:tbl>
      <w:tblPr>
        <w:tblStyle w:val="aff7"/>
        <w:tblW w:w="9303"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32"/>
        <w:gridCol w:w="6551"/>
        <w:gridCol w:w="727"/>
        <w:gridCol w:w="745"/>
        <w:gridCol w:w="748"/>
      </w:tblGrid>
      <w:tr w:rsidR="00A769CA" w14:paraId="0DF8FFC7" w14:textId="77777777">
        <w:trPr>
          <w:trHeight w:val="455"/>
        </w:trPr>
        <w:tc>
          <w:tcPr>
            <w:tcW w:w="532" w:type="dxa"/>
            <w:tcBorders>
              <w:top w:val="single" w:sz="4" w:space="0" w:color="000000"/>
              <w:bottom w:val="single" w:sz="4" w:space="0" w:color="000000"/>
            </w:tcBorders>
            <w:shd w:val="clear" w:color="auto" w:fill="F2F2F2"/>
            <w:vAlign w:val="center"/>
          </w:tcPr>
          <w:p w14:paraId="57E4FB80" w14:textId="77777777" w:rsidR="00A769CA" w:rsidRDefault="00A769CA">
            <w:pPr>
              <w:spacing w:line="360" w:lineRule="auto"/>
              <w:jc w:val="center"/>
            </w:pPr>
          </w:p>
        </w:tc>
        <w:tc>
          <w:tcPr>
            <w:tcW w:w="8771" w:type="dxa"/>
            <w:gridSpan w:val="4"/>
            <w:tcBorders>
              <w:top w:val="single" w:sz="4" w:space="0" w:color="000000"/>
              <w:bottom w:val="single" w:sz="4" w:space="0" w:color="000000"/>
            </w:tcBorders>
            <w:shd w:val="clear" w:color="auto" w:fill="F2F2F2"/>
            <w:vAlign w:val="center"/>
          </w:tcPr>
          <w:p w14:paraId="06914461" w14:textId="77777777" w:rsidR="00A769CA" w:rsidRDefault="008D3F3B">
            <w:pPr>
              <w:spacing w:line="360" w:lineRule="auto"/>
              <w:rPr>
                <w:b/>
                <w:bCs/>
              </w:rPr>
            </w:pPr>
            <w:r>
              <w:rPr>
                <w:b/>
                <w:bCs/>
              </w:rPr>
              <w:t>Disclosure and Barring Service</w:t>
            </w:r>
          </w:p>
        </w:tc>
      </w:tr>
      <w:tr w:rsidR="00A769CA" w14:paraId="18E93C46" w14:textId="77777777">
        <w:trPr>
          <w:trHeight w:val="713"/>
        </w:trPr>
        <w:tc>
          <w:tcPr>
            <w:tcW w:w="532" w:type="dxa"/>
            <w:tcBorders>
              <w:top w:val="single" w:sz="4" w:space="0" w:color="000000"/>
              <w:bottom w:val="single" w:sz="4" w:space="0" w:color="000000"/>
            </w:tcBorders>
            <w:shd w:val="clear" w:color="auto" w:fill="F2F2F2"/>
            <w:vAlign w:val="center"/>
          </w:tcPr>
          <w:p w14:paraId="24793429" w14:textId="77777777" w:rsidR="00A769CA" w:rsidRDefault="00A769CA">
            <w:pPr>
              <w:spacing w:line="360" w:lineRule="auto"/>
              <w:jc w:val="center"/>
            </w:pPr>
          </w:p>
        </w:tc>
        <w:tc>
          <w:tcPr>
            <w:tcW w:w="6551" w:type="dxa"/>
            <w:tcBorders>
              <w:top w:val="single" w:sz="4" w:space="0" w:color="000000"/>
              <w:bottom w:val="single" w:sz="4" w:space="0" w:color="000000"/>
            </w:tcBorders>
            <w:shd w:val="clear" w:color="auto" w:fill="F2F2F2"/>
          </w:tcPr>
          <w:p w14:paraId="58D2CB94" w14:textId="77777777" w:rsidR="00A769CA" w:rsidRDefault="008D3F3B">
            <w:pPr>
              <w:spacing w:line="360" w:lineRule="auto"/>
              <w:rPr>
                <w:sz w:val="16"/>
                <w:szCs w:val="16"/>
              </w:rPr>
            </w:pPr>
            <w:r>
              <w:t>If the research activity involves children or vulnerable adults, a Disclosure and Barring Service (DBS) certificate must be obtained before any contact with such participants.</w:t>
            </w:r>
          </w:p>
        </w:tc>
        <w:tc>
          <w:tcPr>
            <w:tcW w:w="727" w:type="dxa"/>
            <w:tcBorders>
              <w:top w:val="single" w:sz="4" w:space="0" w:color="000000"/>
              <w:bottom w:val="single" w:sz="4" w:space="0" w:color="000000"/>
            </w:tcBorders>
            <w:shd w:val="clear" w:color="auto" w:fill="F2F2F2"/>
            <w:vAlign w:val="bottom"/>
          </w:tcPr>
          <w:p w14:paraId="29D8DFEF" w14:textId="77777777" w:rsidR="00A769CA" w:rsidRDefault="008D3F3B">
            <w:pPr>
              <w:spacing w:line="360" w:lineRule="auto"/>
              <w:jc w:val="center"/>
              <w:rPr>
                <w:b/>
                <w:bCs/>
              </w:rPr>
            </w:pPr>
            <w:r>
              <w:rPr>
                <w:b/>
                <w:bCs/>
              </w:rPr>
              <w:t>YES</w:t>
            </w:r>
          </w:p>
          <w:p w14:paraId="00138E46" w14:textId="77777777" w:rsidR="00A769CA" w:rsidRDefault="00A769CA">
            <w:pPr>
              <w:spacing w:line="360" w:lineRule="auto"/>
              <w:jc w:val="center"/>
              <w:rPr>
                <w:b/>
                <w:bCs/>
              </w:rPr>
            </w:pPr>
          </w:p>
        </w:tc>
        <w:tc>
          <w:tcPr>
            <w:tcW w:w="745" w:type="dxa"/>
            <w:tcBorders>
              <w:top w:val="single" w:sz="4" w:space="0" w:color="000000"/>
              <w:bottom w:val="single" w:sz="4" w:space="0" w:color="000000"/>
            </w:tcBorders>
            <w:shd w:val="clear" w:color="auto" w:fill="F2F2F2"/>
            <w:vAlign w:val="bottom"/>
          </w:tcPr>
          <w:p w14:paraId="0945BA9F" w14:textId="77777777" w:rsidR="00A769CA" w:rsidRDefault="008D3F3B">
            <w:pPr>
              <w:spacing w:line="360" w:lineRule="auto"/>
              <w:jc w:val="center"/>
              <w:rPr>
                <w:b/>
                <w:bCs/>
              </w:rPr>
            </w:pPr>
            <w:r>
              <w:rPr>
                <w:b/>
                <w:bCs/>
              </w:rPr>
              <w:t>NO</w:t>
            </w:r>
          </w:p>
          <w:p w14:paraId="5315192A" w14:textId="77777777" w:rsidR="00A769CA" w:rsidRDefault="00A769CA">
            <w:pPr>
              <w:spacing w:line="360" w:lineRule="auto"/>
              <w:jc w:val="center"/>
              <w:rPr>
                <w:b/>
                <w:bCs/>
              </w:rPr>
            </w:pPr>
          </w:p>
        </w:tc>
        <w:tc>
          <w:tcPr>
            <w:tcW w:w="748" w:type="dxa"/>
            <w:tcBorders>
              <w:top w:val="single" w:sz="4" w:space="0" w:color="000000"/>
              <w:bottom w:val="single" w:sz="4" w:space="0" w:color="000000"/>
            </w:tcBorders>
            <w:shd w:val="clear" w:color="auto" w:fill="F2F2F2"/>
            <w:vAlign w:val="bottom"/>
          </w:tcPr>
          <w:p w14:paraId="6B73389D" w14:textId="77777777" w:rsidR="00A769CA" w:rsidRDefault="008D3F3B">
            <w:pPr>
              <w:spacing w:line="360" w:lineRule="auto"/>
              <w:jc w:val="center"/>
              <w:rPr>
                <w:b/>
                <w:bCs/>
              </w:rPr>
            </w:pPr>
            <w:r>
              <w:rPr>
                <w:b/>
                <w:bCs/>
              </w:rPr>
              <w:t>N/A</w:t>
            </w:r>
          </w:p>
          <w:p w14:paraId="3E4FDD4A" w14:textId="77777777" w:rsidR="00A769CA" w:rsidRDefault="00A769CA">
            <w:pPr>
              <w:spacing w:line="360" w:lineRule="auto"/>
              <w:jc w:val="center"/>
              <w:rPr>
                <w:b/>
                <w:bCs/>
              </w:rPr>
            </w:pPr>
          </w:p>
        </w:tc>
      </w:tr>
      <w:tr w:rsidR="00A769CA" w14:paraId="5B5E8090" w14:textId="77777777">
        <w:trPr>
          <w:trHeight w:val="464"/>
        </w:trPr>
        <w:tc>
          <w:tcPr>
            <w:tcW w:w="532" w:type="dxa"/>
            <w:tcBorders>
              <w:top w:val="single" w:sz="4" w:space="0" w:color="000000"/>
              <w:bottom w:val="single" w:sz="4" w:space="0" w:color="000000"/>
            </w:tcBorders>
            <w:shd w:val="clear" w:color="auto" w:fill="F2F2F2"/>
            <w:vAlign w:val="center"/>
          </w:tcPr>
          <w:p w14:paraId="46B9FB7B" w14:textId="77777777" w:rsidR="00A769CA" w:rsidRDefault="008D3F3B">
            <w:pPr>
              <w:spacing w:line="360" w:lineRule="auto"/>
              <w:jc w:val="center"/>
            </w:pPr>
            <w:r>
              <w:t>7</w:t>
            </w:r>
          </w:p>
        </w:tc>
        <w:tc>
          <w:tcPr>
            <w:tcW w:w="6551" w:type="dxa"/>
            <w:tcBorders>
              <w:top w:val="single" w:sz="4" w:space="0" w:color="000000"/>
              <w:bottom w:val="single" w:sz="4" w:space="0" w:color="000000"/>
            </w:tcBorders>
            <w:shd w:val="clear" w:color="auto" w:fill="F2F2F2"/>
            <w:vAlign w:val="center"/>
          </w:tcPr>
          <w:p w14:paraId="67F18468" w14:textId="77777777" w:rsidR="00A769CA" w:rsidRDefault="008D3F3B">
            <w:pPr>
              <w:spacing w:line="360" w:lineRule="auto"/>
            </w:pPr>
            <w:r>
              <w:t>Does your research require you to hold a current DBS Certificate?</w:t>
            </w:r>
          </w:p>
        </w:tc>
        <w:tc>
          <w:tcPr>
            <w:tcW w:w="727" w:type="dxa"/>
            <w:tcBorders>
              <w:top w:val="single" w:sz="4" w:space="0" w:color="000000"/>
              <w:bottom w:val="single" w:sz="4" w:space="0" w:color="000000"/>
            </w:tcBorders>
            <w:shd w:val="clear" w:color="auto" w:fill="BFBFBF"/>
            <w:vAlign w:val="center"/>
          </w:tcPr>
          <w:p w14:paraId="37718B1C" w14:textId="77777777" w:rsidR="00A769CA" w:rsidRDefault="008D3F3B">
            <w:pPr>
              <w:spacing w:line="360" w:lineRule="auto"/>
              <w:jc w:val="center"/>
              <w:rPr>
                <w:sz w:val="16"/>
                <w:szCs w:val="16"/>
              </w:rPr>
            </w:pPr>
            <w:r>
              <w:rPr>
                <w:rFonts w:ascii="MS Gothic" w:eastAsia="MS Gothic" w:hAnsi="MS Gothic" w:cs="MS Gothic"/>
              </w:rPr>
              <w:t>☐</w:t>
            </w:r>
          </w:p>
        </w:tc>
        <w:tc>
          <w:tcPr>
            <w:tcW w:w="745" w:type="dxa"/>
            <w:tcBorders>
              <w:top w:val="single" w:sz="4" w:space="0" w:color="000000"/>
              <w:bottom w:val="single" w:sz="4" w:space="0" w:color="000000"/>
            </w:tcBorders>
            <w:shd w:val="clear" w:color="auto" w:fill="BFBFBF"/>
            <w:vAlign w:val="center"/>
          </w:tcPr>
          <w:p w14:paraId="19F27848" w14:textId="77777777" w:rsidR="00A769CA" w:rsidRDefault="008D3F3B">
            <w:pPr>
              <w:spacing w:line="360" w:lineRule="auto"/>
              <w:jc w:val="center"/>
              <w:rPr>
                <w:sz w:val="16"/>
                <w:szCs w:val="16"/>
              </w:rPr>
            </w:pPr>
            <w:r>
              <w:rPr>
                <w:rFonts w:ascii="MS Gothic" w:eastAsia="MS Gothic" w:hAnsi="MS Gothic" w:cs="MS Gothic"/>
              </w:rPr>
              <w:t>☑</w:t>
            </w:r>
          </w:p>
        </w:tc>
        <w:tc>
          <w:tcPr>
            <w:tcW w:w="748" w:type="dxa"/>
            <w:tcBorders>
              <w:top w:val="single" w:sz="4" w:space="0" w:color="000000"/>
              <w:bottom w:val="single" w:sz="4" w:space="0" w:color="000000"/>
            </w:tcBorders>
            <w:shd w:val="clear" w:color="auto" w:fill="BFBFBF"/>
            <w:vAlign w:val="center"/>
          </w:tcPr>
          <w:p w14:paraId="05FD2419" w14:textId="77777777" w:rsidR="00A769CA" w:rsidRDefault="008D3F3B">
            <w:pPr>
              <w:spacing w:line="360" w:lineRule="auto"/>
              <w:jc w:val="center"/>
              <w:rPr>
                <w:sz w:val="16"/>
                <w:szCs w:val="16"/>
              </w:rPr>
            </w:pPr>
            <w:r>
              <w:rPr>
                <w:rFonts w:ascii="MS Gothic" w:eastAsia="MS Gothic" w:hAnsi="MS Gothic" w:cs="MS Gothic"/>
              </w:rPr>
              <w:t>☐</w:t>
            </w:r>
          </w:p>
        </w:tc>
      </w:tr>
      <w:tr w:rsidR="00A769CA" w14:paraId="2FC064ED" w14:textId="77777777">
        <w:trPr>
          <w:trHeight w:val="464"/>
        </w:trPr>
        <w:tc>
          <w:tcPr>
            <w:tcW w:w="532" w:type="dxa"/>
            <w:tcBorders>
              <w:top w:val="single" w:sz="4" w:space="0" w:color="000000"/>
              <w:bottom w:val="single" w:sz="4" w:space="0" w:color="000000"/>
            </w:tcBorders>
            <w:shd w:val="clear" w:color="auto" w:fill="F2F2F2"/>
            <w:vAlign w:val="center"/>
          </w:tcPr>
          <w:p w14:paraId="5376F7F7" w14:textId="77777777" w:rsidR="00A769CA" w:rsidRDefault="008D3F3B">
            <w:pPr>
              <w:spacing w:line="360" w:lineRule="auto"/>
              <w:jc w:val="center"/>
            </w:pPr>
            <w:r>
              <w:t>8</w:t>
            </w:r>
          </w:p>
        </w:tc>
        <w:tc>
          <w:tcPr>
            <w:tcW w:w="6551" w:type="dxa"/>
            <w:tcBorders>
              <w:top w:val="single" w:sz="4" w:space="0" w:color="000000"/>
              <w:bottom w:val="single" w:sz="4" w:space="0" w:color="000000"/>
            </w:tcBorders>
            <w:shd w:val="clear" w:color="auto" w:fill="F2F2F2"/>
            <w:vAlign w:val="center"/>
          </w:tcPr>
          <w:p w14:paraId="1613AEE7" w14:textId="77777777" w:rsidR="00A769CA" w:rsidRDefault="008D3F3B">
            <w:pPr>
              <w:spacing w:line="360" w:lineRule="auto"/>
            </w:pPr>
            <w:r>
              <w:t xml:space="preserve">If YES, please give the certificate number. If the certificate number is not </w:t>
            </w:r>
            <w:proofErr w:type="gramStart"/>
            <w:r>
              <w:t>available</w:t>
            </w:r>
            <w:proofErr w:type="gramEnd"/>
            <w:r>
              <w:t xml:space="preserve"> please write “Pending”; in this case any ethical approval will be subject to providing the appropriate certificate number.</w:t>
            </w:r>
          </w:p>
        </w:tc>
        <w:tc>
          <w:tcPr>
            <w:tcW w:w="2220" w:type="dxa"/>
            <w:gridSpan w:val="3"/>
            <w:tcBorders>
              <w:top w:val="single" w:sz="4" w:space="0" w:color="000000"/>
              <w:bottom w:val="single" w:sz="4" w:space="0" w:color="000000"/>
            </w:tcBorders>
            <w:vAlign w:val="center"/>
          </w:tcPr>
          <w:p w14:paraId="0C29842D" w14:textId="77777777" w:rsidR="00A769CA" w:rsidRDefault="00A769CA">
            <w:pPr>
              <w:spacing w:line="360" w:lineRule="auto"/>
              <w:jc w:val="center"/>
              <w:rPr>
                <w:b/>
                <w:bCs/>
              </w:rPr>
            </w:pPr>
          </w:p>
        </w:tc>
      </w:tr>
    </w:tbl>
    <w:p w14:paraId="02ECA2E1" w14:textId="77777777" w:rsidR="00A769CA" w:rsidRDefault="00A769CA">
      <w:pPr>
        <w:spacing w:after="240" w:line="360" w:lineRule="auto"/>
        <w:jc w:val="both"/>
        <w:rPr>
          <w:b/>
          <w:bCs/>
        </w:rPr>
      </w:pPr>
    </w:p>
    <w:p w14:paraId="4B314FDA" w14:textId="77777777" w:rsidR="00A769CA" w:rsidRDefault="008D3F3B">
      <w:pPr>
        <w:spacing w:line="360" w:lineRule="auto"/>
        <w:rPr>
          <w:b/>
          <w:bCs/>
        </w:rPr>
      </w:pPr>
      <w:r>
        <w:rPr>
          <w:b/>
          <w:bCs/>
        </w:rPr>
        <w:t>SECTION I: Feedback, Consent and Confidentiality</w:t>
      </w:r>
    </w:p>
    <w:p w14:paraId="3DD14E4A" w14:textId="77777777" w:rsidR="00A769CA" w:rsidRDefault="00A769CA">
      <w:pPr>
        <w:spacing w:line="360" w:lineRule="auto"/>
        <w:rPr>
          <w:b/>
          <w:bCs/>
        </w:rPr>
      </w:pPr>
    </w:p>
    <w:tbl>
      <w:tblPr>
        <w:tblStyle w:val="aff8"/>
        <w:tblW w:w="8892"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08"/>
        <w:gridCol w:w="8384"/>
      </w:tblGrid>
      <w:tr w:rsidR="00A769CA" w14:paraId="486CB7E3" w14:textId="77777777">
        <w:trPr>
          <w:trHeight w:val="463"/>
        </w:trPr>
        <w:tc>
          <w:tcPr>
            <w:tcW w:w="508" w:type="dxa"/>
            <w:tcBorders>
              <w:top w:val="single" w:sz="4" w:space="0" w:color="000000"/>
              <w:bottom w:val="single" w:sz="4" w:space="0" w:color="000000"/>
            </w:tcBorders>
            <w:shd w:val="clear" w:color="auto" w:fill="F2F2F2"/>
          </w:tcPr>
          <w:p w14:paraId="21B55389" w14:textId="77777777" w:rsidR="00A769CA" w:rsidRDefault="008D3F3B">
            <w:pPr>
              <w:spacing w:line="360" w:lineRule="auto"/>
            </w:pPr>
            <w:r>
              <w:lastRenderedPageBreak/>
              <w:t>1</w:t>
            </w:r>
          </w:p>
        </w:tc>
        <w:tc>
          <w:tcPr>
            <w:tcW w:w="8384" w:type="dxa"/>
            <w:tcBorders>
              <w:top w:val="single" w:sz="4" w:space="0" w:color="000000"/>
              <w:bottom w:val="single" w:sz="4" w:space="0" w:color="000000"/>
            </w:tcBorders>
            <w:shd w:val="clear" w:color="auto" w:fill="F2F2F2"/>
          </w:tcPr>
          <w:p w14:paraId="445282C4" w14:textId="77777777" w:rsidR="00A769CA" w:rsidRDefault="008D3F3B">
            <w:pPr>
              <w:spacing w:line="360" w:lineRule="auto"/>
            </w:pPr>
            <w:r>
              <w:rPr>
                <w:b/>
                <w:bCs/>
              </w:rPr>
              <w:t>Feedback</w:t>
            </w:r>
          </w:p>
          <w:p w14:paraId="2C6F646F" w14:textId="77777777" w:rsidR="00A769CA" w:rsidRDefault="008D3F3B">
            <w:pPr>
              <w:spacing w:line="360" w:lineRule="auto"/>
            </w:pPr>
            <w:r>
              <w:t xml:space="preserve">What de-briefing and feedback will be provided to participants, how will this be done and when? </w:t>
            </w:r>
          </w:p>
        </w:tc>
      </w:tr>
      <w:tr w:rsidR="00A769CA" w14:paraId="2F9A936F" w14:textId="77777777">
        <w:trPr>
          <w:trHeight w:val="927"/>
        </w:trPr>
        <w:tc>
          <w:tcPr>
            <w:tcW w:w="508" w:type="dxa"/>
            <w:tcBorders>
              <w:top w:val="single" w:sz="4" w:space="0" w:color="000000"/>
              <w:bottom w:val="single" w:sz="4" w:space="0" w:color="000000"/>
            </w:tcBorders>
          </w:tcPr>
          <w:p w14:paraId="0DD756D6" w14:textId="77777777" w:rsidR="00A769CA" w:rsidRDefault="00A769CA">
            <w:pPr>
              <w:spacing w:line="360" w:lineRule="auto"/>
            </w:pPr>
          </w:p>
        </w:tc>
        <w:tc>
          <w:tcPr>
            <w:tcW w:w="8384" w:type="dxa"/>
            <w:tcBorders>
              <w:top w:val="single" w:sz="4" w:space="0" w:color="000000"/>
              <w:bottom w:val="single" w:sz="4" w:space="0" w:color="000000"/>
            </w:tcBorders>
          </w:tcPr>
          <w:p w14:paraId="192AFB47" w14:textId="77777777" w:rsidR="00A769CA" w:rsidRDefault="008D3F3B">
            <w:pPr>
              <w:spacing w:line="360" w:lineRule="auto"/>
            </w:pPr>
            <w:r>
              <w:t xml:space="preserve">There will be no direct participants in this study since all information will be obtained from secondary data sources such as peer-reviewed journals, industry reports, and company publications. </w:t>
            </w:r>
          </w:p>
          <w:p w14:paraId="20F69ABA" w14:textId="77777777" w:rsidR="00A769CA" w:rsidRDefault="00A769CA">
            <w:pPr>
              <w:spacing w:line="360" w:lineRule="auto"/>
            </w:pPr>
          </w:p>
        </w:tc>
      </w:tr>
      <w:tr w:rsidR="00A769CA" w14:paraId="69244857" w14:textId="77777777">
        <w:trPr>
          <w:trHeight w:val="1159"/>
        </w:trPr>
        <w:tc>
          <w:tcPr>
            <w:tcW w:w="508" w:type="dxa"/>
            <w:tcBorders>
              <w:top w:val="single" w:sz="4" w:space="0" w:color="000000"/>
              <w:bottom w:val="single" w:sz="4" w:space="0" w:color="000000"/>
            </w:tcBorders>
            <w:shd w:val="clear" w:color="auto" w:fill="F2F2F2"/>
          </w:tcPr>
          <w:p w14:paraId="5816D633" w14:textId="77777777" w:rsidR="00A769CA" w:rsidRDefault="008D3F3B">
            <w:pPr>
              <w:spacing w:line="360" w:lineRule="auto"/>
            </w:pPr>
            <w:r>
              <w:t>2</w:t>
            </w:r>
          </w:p>
        </w:tc>
        <w:tc>
          <w:tcPr>
            <w:tcW w:w="8384" w:type="dxa"/>
            <w:tcBorders>
              <w:top w:val="single" w:sz="4" w:space="0" w:color="000000"/>
              <w:bottom w:val="single" w:sz="4" w:space="0" w:color="000000"/>
            </w:tcBorders>
            <w:shd w:val="clear" w:color="auto" w:fill="F2F2F2"/>
          </w:tcPr>
          <w:p w14:paraId="7F244A4D" w14:textId="77777777" w:rsidR="00A769CA" w:rsidRDefault="008D3F3B">
            <w:pPr>
              <w:spacing w:line="360" w:lineRule="auto"/>
            </w:pPr>
            <w:r>
              <w:rPr>
                <w:b/>
                <w:bCs/>
              </w:rPr>
              <w:t>Informed consent</w:t>
            </w:r>
          </w:p>
          <w:p w14:paraId="2E435BC4" w14:textId="77777777" w:rsidR="00A769CA" w:rsidRDefault="008D3F3B">
            <w:pPr>
              <w:spacing w:line="360" w:lineRule="auto"/>
            </w:pPr>
            <w: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A769CA" w14:paraId="3952EA28" w14:textId="77777777">
        <w:trPr>
          <w:trHeight w:val="463"/>
        </w:trPr>
        <w:tc>
          <w:tcPr>
            <w:tcW w:w="508" w:type="dxa"/>
            <w:tcBorders>
              <w:top w:val="single" w:sz="4" w:space="0" w:color="000000"/>
              <w:bottom w:val="single" w:sz="4" w:space="0" w:color="000000"/>
            </w:tcBorders>
          </w:tcPr>
          <w:p w14:paraId="2FF81F27" w14:textId="77777777" w:rsidR="00A769CA" w:rsidRDefault="00A769CA">
            <w:pPr>
              <w:spacing w:line="360" w:lineRule="auto"/>
            </w:pPr>
          </w:p>
        </w:tc>
        <w:tc>
          <w:tcPr>
            <w:tcW w:w="8384" w:type="dxa"/>
            <w:tcBorders>
              <w:top w:val="single" w:sz="4" w:space="0" w:color="000000"/>
              <w:bottom w:val="single" w:sz="4" w:space="0" w:color="000000"/>
            </w:tcBorders>
          </w:tcPr>
          <w:p w14:paraId="5CCFE412" w14:textId="77777777" w:rsidR="00A769CA" w:rsidRDefault="008D3F3B">
            <w:pPr>
              <w:spacing w:line="360" w:lineRule="auto"/>
            </w:pPr>
            <w:r>
              <w:t>Informed consent is not applicable to this research.</w:t>
            </w:r>
          </w:p>
          <w:p w14:paraId="2E6D7CA1" w14:textId="77777777" w:rsidR="00A769CA" w:rsidRDefault="00A769CA">
            <w:pPr>
              <w:spacing w:line="360" w:lineRule="auto"/>
            </w:pPr>
          </w:p>
        </w:tc>
      </w:tr>
      <w:tr w:rsidR="00A769CA" w14:paraId="6CEBF288" w14:textId="77777777">
        <w:trPr>
          <w:trHeight w:val="695"/>
        </w:trPr>
        <w:tc>
          <w:tcPr>
            <w:tcW w:w="508" w:type="dxa"/>
            <w:tcBorders>
              <w:top w:val="single" w:sz="4" w:space="0" w:color="000000"/>
              <w:bottom w:val="single" w:sz="4" w:space="0" w:color="000000"/>
            </w:tcBorders>
            <w:shd w:val="clear" w:color="auto" w:fill="F2F2F2"/>
          </w:tcPr>
          <w:p w14:paraId="3CEDC6D1" w14:textId="77777777" w:rsidR="00A769CA" w:rsidRDefault="008D3F3B">
            <w:pPr>
              <w:spacing w:line="360" w:lineRule="auto"/>
            </w:pPr>
            <w:r>
              <w:t>3</w:t>
            </w:r>
          </w:p>
        </w:tc>
        <w:tc>
          <w:tcPr>
            <w:tcW w:w="8384" w:type="dxa"/>
            <w:tcBorders>
              <w:top w:val="single" w:sz="4" w:space="0" w:color="000000"/>
              <w:bottom w:val="single" w:sz="4" w:space="0" w:color="000000"/>
            </w:tcBorders>
            <w:shd w:val="clear" w:color="auto" w:fill="F2F2F2"/>
          </w:tcPr>
          <w:p w14:paraId="08F101F1" w14:textId="77777777" w:rsidR="00A769CA" w:rsidRDefault="008D3F3B">
            <w:pPr>
              <w:spacing w:line="360" w:lineRule="auto"/>
              <w:rPr>
                <w:b/>
                <w:bCs/>
              </w:rPr>
            </w:pPr>
            <w:r>
              <w:rPr>
                <w:b/>
                <w:bCs/>
              </w:rPr>
              <w:t>Confidentiality / Anonymity</w:t>
            </w:r>
          </w:p>
          <w:p w14:paraId="20E42F01" w14:textId="77777777" w:rsidR="00A769CA" w:rsidRDefault="008D3F3B">
            <w:pPr>
              <w:spacing w:line="360" w:lineRule="auto"/>
            </w:pPr>
            <w:r>
              <w:t xml:space="preserve">Set out how anonymity of participants and confidentiality will be ensured in any outputs. If anonymity is not being offered, explain why this is the case. </w:t>
            </w:r>
          </w:p>
        </w:tc>
      </w:tr>
      <w:tr w:rsidR="00A769CA" w14:paraId="0BADA337" w14:textId="77777777">
        <w:trPr>
          <w:trHeight w:val="231"/>
        </w:trPr>
        <w:tc>
          <w:tcPr>
            <w:tcW w:w="508" w:type="dxa"/>
            <w:tcBorders>
              <w:top w:val="single" w:sz="4" w:space="0" w:color="000000"/>
              <w:bottom w:val="single" w:sz="4" w:space="0" w:color="000000"/>
            </w:tcBorders>
          </w:tcPr>
          <w:p w14:paraId="32C43BF3" w14:textId="77777777" w:rsidR="00A769CA" w:rsidRDefault="00A769CA">
            <w:pPr>
              <w:spacing w:line="360" w:lineRule="auto"/>
            </w:pPr>
          </w:p>
        </w:tc>
        <w:tc>
          <w:tcPr>
            <w:tcW w:w="8384" w:type="dxa"/>
            <w:tcBorders>
              <w:top w:val="single" w:sz="4" w:space="0" w:color="000000"/>
              <w:bottom w:val="single" w:sz="4" w:space="0" w:color="000000"/>
            </w:tcBorders>
          </w:tcPr>
          <w:p w14:paraId="2D3CAC60" w14:textId="77777777" w:rsidR="00A769CA" w:rsidRDefault="008D3F3B">
            <w:pPr>
              <w:spacing w:line="360" w:lineRule="auto"/>
              <w:rPr>
                <w:rFonts w:ascii="Times New Roman" w:eastAsia="Times New Roman" w:hAnsi="Times New Roman" w:cs="Times New Roman"/>
                <w:sz w:val="20"/>
                <w:szCs w:val="20"/>
              </w:rPr>
            </w:pPr>
            <w:r>
              <w:t xml:space="preserve">Not applicable. </w:t>
            </w:r>
          </w:p>
        </w:tc>
      </w:tr>
    </w:tbl>
    <w:p w14:paraId="1F5B1B45" w14:textId="77777777" w:rsidR="00A769CA" w:rsidRDefault="00A769CA">
      <w:pPr>
        <w:spacing w:line="360" w:lineRule="auto"/>
      </w:pPr>
    </w:p>
    <w:p w14:paraId="0531F8F1" w14:textId="77777777" w:rsidR="00A769CA" w:rsidRDefault="008D3F3B">
      <w:pPr>
        <w:spacing w:line="360" w:lineRule="auto"/>
        <w:rPr>
          <w:b/>
          <w:bCs/>
        </w:rPr>
      </w:pPr>
      <w:r>
        <w:rPr>
          <w:b/>
          <w:bCs/>
        </w:rPr>
        <w:t>SECTION J: Data Protection and Storage</w:t>
      </w:r>
    </w:p>
    <w:p w14:paraId="6927E4FA" w14:textId="77777777" w:rsidR="00A769CA" w:rsidRDefault="00A769CA">
      <w:pPr>
        <w:spacing w:line="360" w:lineRule="auto"/>
        <w:rPr>
          <w:b/>
          <w:bCs/>
        </w:rPr>
      </w:pPr>
    </w:p>
    <w:tbl>
      <w:tblPr>
        <w:tblStyle w:val="aff9"/>
        <w:tblW w:w="8391" w:type="dxa"/>
        <w:tblInd w:w="-5"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448"/>
        <w:gridCol w:w="6325"/>
        <w:gridCol w:w="800"/>
        <w:gridCol w:w="818"/>
      </w:tblGrid>
      <w:tr w:rsidR="00A769CA" w14:paraId="6A9FB789" w14:textId="77777777">
        <w:trPr>
          <w:trHeight w:val="389"/>
        </w:trPr>
        <w:tc>
          <w:tcPr>
            <w:tcW w:w="448" w:type="dxa"/>
            <w:tcBorders>
              <w:left w:val="single" w:sz="4" w:space="0" w:color="000000"/>
              <w:bottom w:val="single" w:sz="4" w:space="0" w:color="000000"/>
              <w:right w:val="single" w:sz="4" w:space="0" w:color="000000"/>
            </w:tcBorders>
            <w:shd w:val="clear" w:color="auto" w:fill="F2F2F2"/>
            <w:vAlign w:val="center"/>
          </w:tcPr>
          <w:p w14:paraId="3A884A33" w14:textId="77777777" w:rsidR="00A769CA" w:rsidRDefault="00A769CA">
            <w:pPr>
              <w:spacing w:line="360" w:lineRule="auto"/>
              <w:jc w:val="center"/>
            </w:pPr>
          </w:p>
        </w:tc>
        <w:tc>
          <w:tcPr>
            <w:tcW w:w="6325" w:type="dxa"/>
            <w:tcBorders>
              <w:left w:val="single" w:sz="4" w:space="0" w:color="000000"/>
              <w:bottom w:val="single" w:sz="4" w:space="0" w:color="000000"/>
              <w:right w:val="single" w:sz="4" w:space="0" w:color="000000"/>
            </w:tcBorders>
            <w:shd w:val="clear" w:color="auto" w:fill="F2F2F2"/>
            <w:vAlign w:val="center"/>
          </w:tcPr>
          <w:p w14:paraId="19935847" w14:textId="77777777" w:rsidR="00A769CA" w:rsidRDefault="008D3F3B">
            <w:pPr>
              <w:spacing w:line="360" w:lineRule="auto"/>
            </w:pPr>
            <w:r>
              <w:t>Does the research activity involve personal data (as defined by the General Data Protection Regulation 2016 “GDPR” and the Data Protection Act 2018 “DPA”)?</w:t>
            </w:r>
          </w:p>
        </w:tc>
        <w:tc>
          <w:tcPr>
            <w:tcW w:w="80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4AE55CA" w14:textId="77777777" w:rsidR="00A769CA" w:rsidRDefault="008D3F3B">
            <w:pPr>
              <w:spacing w:line="360" w:lineRule="auto"/>
              <w:jc w:val="center"/>
              <w:rPr>
                <w:rFonts w:ascii="MS Gothic" w:eastAsia="MS Gothic" w:hAnsi="MS Gothic" w:cs="MS Gothic"/>
                <w:b/>
                <w:bCs/>
              </w:rPr>
            </w:pPr>
            <w:r>
              <w:rPr>
                <w:b/>
                <w:bCs/>
              </w:rPr>
              <w:t>YES</w:t>
            </w:r>
          </w:p>
        </w:tc>
        <w:tc>
          <w:tcPr>
            <w:tcW w:w="81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F1DF07C" w14:textId="77777777" w:rsidR="00A769CA" w:rsidRDefault="008D3F3B">
            <w:pPr>
              <w:spacing w:line="360" w:lineRule="auto"/>
              <w:jc w:val="center"/>
              <w:rPr>
                <w:rFonts w:ascii="MS Gothic" w:eastAsia="MS Gothic" w:hAnsi="MS Gothic" w:cs="MS Gothic"/>
                <w:b/>
                <w:bCs/>
              </w:rPr>
            </w:pPr>
            <w:r>
              <w:rPr>
                <w:b/>
                <w:bCs/>
              </w:rPr>
              <w:t>NO</w:t>
            </w:r>
          </w:p>
        </w:tc>
      </w:tr>
      <w:tr w:rsidR="00A769CA" w14:paraId="7886BD5F" w14:textId="77777777">
        <w:trPr>
          <w:trHeight w:val="389"/>
        </w:trPr>
        <w:tc>
          <w:tcPr>
            <w:tcW w:w="448" w:type="dxa"/>
            <w:tcBorders>
              <w:left w:val="single" w:sz="4" w:space="0" w:color="000000"/>
              <w:bottom w:val="single" w:sz="4" w:space="0" w:color="000000"/>
              <w:right w:val="single" w:sz="4" w:space="0" w:color="000000"/>
            </w:tcBorders>
            <w:shd w:val="clear" w:color="auto" w:fill="F2F2F2"/>
            <w:vAlign w:val="center"/>
          </w:tcPr>
          <w:p w14:paraId="0C50F198" w14:textId="77777777" w:rsidR="00A769CA" w:rsidRDefault="008D3F3B">
            <w:pPr>
              <w:spacing w:line="360" w:lineRule="auto"/>
              <w:jc w:val="center"/>
            </w:pPr>
            <w:r>
              <w:t>1</w:t>
            </w:r>
          </w:p>
        </w:tc>
        <w:tc>
          <w:tcPr>
            <w:tcW w:w="6325" w:type="dxa"/>
            <w:tcBorders>
              <w:left w:val="single" w:sz="4" w:space="0" w:color="000000"/>
              <w:bottom w:val="single" w:sz="4" w:space="0" w:color="000000"/>
              <w:right w:val="single" w:sz="4" w:space="0" w:color="000000"/>
            </w:tcBorders>
            <w:shd w:val="clear" w:color="auto" w:fill="F2F2F2"/>
            <w:vAlign w:val="center"/>
          </w:tcPr>
          <w:p w14:paraId="1850FA23" w14:textId="77777777" w:rsidR="00A769CA" w:rsidRDefault="008D3F3B">
            <w:pPr>
              <w:spacing w:line="360" w:lineRule="auto"/>
            </w:pPr>
            <w:r>
              <w:rPr>
                <w:b/>
                <w:bCs/>
                <w:i/>
                <w:iCs/>
              </w:rPr>
              <w:t>“Personal data”</w:t>
            </w:r>
            <w:r>
              <w:rPr>
                <w:i/>
                <w:iCs/>
              </w:rPr>
              <w:t xml:space="preserve"> </w:t>
            </w:r>
            <w:r>
              <w:rPr>
                <w:i/>
                <w:iCs/>
                <w:color w:val="333333"/>
              </w:rPr>
              <w:t xml:space="preserve">means any information relating to an identified or identifiable natural person (‘data subject’). An identifiable natural person is one who can be identified, directly or indirectly, </w:t>
            </w:r>
            <w:proofErr w:type="gramStart"/>
            <w:r>
              <w:rPr>
                <w:i/>
                <w:iCs/>
                <w:color w:val="333333"/>
              </w:rPr>
              <w:t>in particular by</w:t>
            </w:r>
            <w:proofErr w:type="gramEnd"/>
            <w:r>
              <w:rPr>
                <w:i/>
                <w:iCs/>
                <w:color w:val="333333"/>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Pr>
                <w:i/>
                <w:iCs/>
                <w:color w:val="333333"/>
              </w:rPr>
              <w:t>is considered t</w:t>
            </w:r>
            <w:r>
              <w:rPr>
                <w:i/>
                <w:iCs/>
                <w:color w:val="333333"/>
              </w:rPr>
              <w:t>o be</w:t>
            </w:r>
            <w:proofErr w:type="gramEnd"/>
            <w:r>
              <w:rPr>
                <w:i/>
                <w:iCs/>
                <w:color w:val="333333"/>
              </w:rPr>
              <w:t xml:space="preserve"> personal data.</w:t>
            </w:r>
          </w:p>
        </w:tc>
        <w:tc>
          <w:tcPr>
            <w:tcW w:w="80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598C0BE" w14:textId="77777777" w:rsidR="00A769CA" w:rsidRDefault="008D3F3B">
            <w:pPr>
              <w:spacing w:line="360" w:lineRule="auto"/>
              <w:jc w:val="center"/>
              <w:rPr>
                <w:rFonts w:ascii="MS Gothic" w:eastAsia="MS Gothic" w:hAnsi="MS Gothic" w:cs="MS Gothic"/>
              </w:rPr>
            </w:pPr>
            <w:r>
              <w:rPr>
                <w:rFonts w:ascii="MS Gothic" w:eastAsia="MS Gothic" w:hAnsi="MS Gothic" w:cs="MS Gothic"/>
              </w:rPr>
              <w:t>☐</w:t>
            </w:r>
          </w:p>
        </w:tc>
        <w:tc>
          <w:tcPr>
            <w:tcW w:w="81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027236D" w14:textId="77777777" w:rsidR="00A769CA" w:rsidRDefault="008D3F3B">
            <w:pPr>
              <w:spacing w:line="360" w:lineRule="auto"/>
              <w:jc w:val="center"/>
              <w:rPr>
                <w:rFonts w:ascii="MS Gothic" w:eastAsia="MS Gothic" w:hAnsi="MS Gothic" w:cs="MS Gothic"/>
              </w:rPr>
            </w:pPr>
            <w:r>
              <w:rPr>
                <w:rFonts w:ascii="MS Gothic" w:eastAsia="MS Gothic" w:hAnsi="MS Gothic" w:cs="MS Gothic"/>
              </w:rPr>
              <w:t>☑</w:t>
            </w:r>
          </w:p>
        </w:tc>
      </w:tr>
      <w:tr w:rsidR="00A769CA" w14:paraId="35F373D8" w14:textId="77777777">
        <w:trPr>
          <w:trHeight w:val="389"/>
        </w:trPr>
        <w:tc>
          <w:tcPr>
            <w:tcW w:w="44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41BEF3B" w14:textId="77777777" w:rsidR="00A769CA" w:rsidRDefault="00A769CA">
            <w:pPr>
              <w:spacing w:line="360" w:lineRule="auto"/>
              <w:jc w:val="center"/>
            </w:pPr>
          </w:p>
        </w:tc>
        <w:tc>
          <w:tcPr>
            <w:tcW w:w="794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1EB58D1E" w14:textId="77777777" w:rsidR="00A769CA" w:rsidRDefault="008D3F3B">
            <w:pPr>
              <w:spacing w:line="360" w:lineRule="auto"/>
              <w:rPr>
                <w:rFonts w:ascii="Times New Roman" w:eastAsia="Times New Roman" w:hAnsi="Times New Roman" w:cs="Times New Roman"/>
                <w:sz w:val="24"/>
                <w:szCs w:val="24"/>
              </w:rPr>
            </w:pPr>
            <w:r>
              <w:t>If YES, provide a</w:t>
            </w:r>
            <w:r>
              <w:rPr>
                <w:b/>
                <w:bCs/>
              </w:rPr>
              <w:t xml:space="preserve"> </w:t>
            </w:r>
            <w:r>
              <w:t>description of the data and explain why this data needs to be collected:</w:t>
            </w:r>
          </w:p>
        </w:tc>
      </w:tr>
      <w:tr w:rsidR="00A769CA" w14:paraId="62F4654E" w14:textId="77777777">
        <w:trPr>
          <w:trHeight w:val="389"/>
        </w:trPr>
        <w:tc>
          <w:tcPr>
            <w:tcW w:w="448" w:type="dxa"/>
            <w:tcBorders>
              <w:top w:val="single" w:sz="4" w:space="0" w:color="000000"/>
              <w:left w:val="single" w:sz="4" w:space="0" w:color="000000"/>
              <w:bottom w:val="single" w:sz="4" w:space="0" w:color="000000"/>
              <w:right w:val="single" w:sz="4" w:space="0" w:color="000000"/>
            </w:tcBorders>
            <w:vAlign w:val="center"/>
          </w:tcPr>
          <w:p w14:paraId="57AFE4EF" w14:textId="77777777" w:rsidR="00A769CA" w:rsidRDefault="008D3F3B">
            <w:pPr>
              <w:spacing w:line="360" w:lineRule="auto"/>
              <w:jc w:val="center"/>
            </w:pPr>
            <w:r>
              <w:lastRenderedPageBreak/>
              <w:t>2</w:t>
            </w:r>
          </w:p>
        </w:tc>
        <w:tc>
          <w:tcPr>
            <w:tcW w:w="7943" w:type="dxa"/>
            <w:gridSpan w:val="3"/>
            <w:tcBorders>
              <w:top w:val="single" w:sz="4" w:space="0" w:color="000000"/>
              <w:left w:val="single" w:sz="4" w:space="0" w:color="000000"/>
              <w:bottom w:val="single" w:sz="4" w:space="0" w:color="000000"/>
              <w:right w:val="single" w:sz="4" w:space="0" w:color="000000"/>
            </w:tcBorders>
            <w:vAlign w:val="center"/>
          </w:tcPr>
          <w:p w14:paraId="11EE78E6" w14:textId="77777777" w:rsidR="00A769CA" w:rsidRDefault="00A769CA">
            <w:pPr>
              <w:spacing w:line="360" w:lineRule="auto"/>
            </w:pPr>
          </w:p>
          <w:p w14:paraId="04A0BB64" w14:textId="77777777" w:rsidR="00A769CA" w:rsidRDefault="00A769CA">
            <w:pPr>
              <w:spacing w:line="360" w:lineRule="auto"/>
            </w:pPr>
          </w:p>
          <w:p w14:paraId="2541A8C5" w14:textId="77777777" w:rsidR="00A769CA" w:rsidRDefault="00A769CA">
            <w:pPr>
              <w:spacing w:line="360" w:lineRule="auto"/>
              <w:rPr>
                <w:rFonts w:ascii="Times New Roman" w:eastAsia="Times New Roman" w:hAnsi="Times New Roman" w:cs="Times New Roman"/>
                <w:i/>
                <w:iCs/>
                <w:sz w:val="20"/>
                <w:szCs w:val="20"/>
              </w:rPr>
            </w:pPr>
          </w:p>
        </w:tc>
      </w:tr>
      <w:tr w:rsidR="00A769CA" w14:paraId="3B10BEFB" w14:textId="77777777">
        <w:trPr>
          <w:trHeight w:val="389"/>
        </w:trPr>
        <w:tc>
          <w:tcPr>
            <w:tcW w:w="448" w:type="dxa"/>
            <w:tcBorders>
              <w:left w:val="single" w:sz="4" w:space="0" w:color="000000"/>
              <w:bottom w:val="single" w:sz="4" w:space="0" w:color="000000"/>
              <w:right w:val="single" w:sz="4" w:space="0" w:color="000000"/>
            </w:tcBorders>
            <w:shd w:val="clear" w:color="auto" w:fill="F2F2F2"/>
            <w:vAlign w:val="center"/>
          </w:tcPr>
          <w:p w14:paraId="54DF5613" w14:textId="77777777" w:rsidR="00A769CA" w:rsidRDefault="00A769CA">
            <w:pPr>
              <w:spacing w:line="360" w:lineRule="auto"/>
              <w:jc w:val="center"/>
            </w:pPr>
          </w:p>
        </w:tc>
        <w:tc>
          <w:tcPr>
            <w:tcW w:w="6325" w:type="dxa"/>
            <w:tcBorders>
              <w:left w:val="single" w:sz="4" w:space="0" w:color="000000"/>
              <w:bottom w:val="single" w:sz="4" w:space="0" w:color="000000"/>
              <w:right w:val="single" w:sz="4" w:space="0" w:color="000000"/>
            </w:tcBorders>
            <w:shd w:val="clear" w:color="auto" w:fill="F2F2F2"/>
            <w:vAlign w:val="center"/>
          </w:tcPr>
          <w:p w14:paraId="16F5F098" w14:textId="77777777" w:rsidR="00A769CA" w:rsidRDefault="008D3F3B">
            <w:pPr>
              <w:spacing w:line="360" w:lineRule="auto"/>
              <w:rPr>
                <w:rFonts w:ascii="Times New Roman" w:eastAsia="Times New Roman" w:hAnsi="Times New Roman" w:cs="Times New Roman"/>
                <w:sz w:val="24"/>
                <w:szCs w:val="24"/>
              </w:rPr>
            </w:pPr>
            <w:r>
              <w:t>Does it involve special category data (as defined by the GDPR)?</w:t>
            </w:r>
          </w:p>
        </w:tc>
        <w:tc>
          <w:tcPr>
            <w:tcW w:w="80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41BBAF3" w14:textId="77777777" w:rsidR="00A769CA" w:rsidRDefault="008D3F3B">
            <w:pPr>
              <w:spacing w:line="360" w:lineRule="auto"/>
              <w:jc w:val="center"/>
              <w:rPr>
                <w:rFonts w:ascii="MS Gothic" w:eastAsia="MS Gothic" w:hAnsi="MS Gothic" w:cs="MS Gothic"/>
                <w:b/>
                <w:bCs/>
              </w:rPr>
            </w:pPr>
            <w:r>
              <w:rPr>
                <w:b/>
                <w:bCs/>
              </w:rPr>
              <w:t>YES</w:t>
            </w:r>
          </w:p>
        </w:tc>
        <w:tc>
          <w:tcPr>
            <w:tcW w:w="81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6E00445" w14:textId="77777777" w:rsidR="00A769CA" w:rsidRDefault="008D3F3B">
            <w:pPr>
              <w:spacing w:line="360" w:lineRule="auto"/>
              <w:jc w:val="center"/>
              <w:rPr>
                <w:rFonts w:ascii="MS Gothic" w:eastAsia="MS Gothic" w:hAnsi="MS Gothic" w:cs="MS Gothic"/>
                <w:b/>
                <w:bCs/>
              </w:rPr>
            </w:pPr>
            <w:r>
              <w:rPr>
                <w:b/>
                <w:bCs/>
              </w:rPr>
              <w:t>NO</w:t>
            </w:r>
          </w:p>
        </w:tc>
      </w:tr>
      <w:tr w:rsidR="00A769CA" w14:paraId="310ACEEA" w14:textId="77777777">
        <w:trPr>
          <w:trHeight w:val="389"/>
        </w:trPr>
        <w:tc>
          <w:tcPr>
            <w:tcW w:w="44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C7B7CF3" w14:textId="77777777" w:rsidR="00A769CA" w:rsidRDefault="008D3F3B">
            <w:pPr>
              <w:spacing w:line="360" w:lineRule="auto"/>
              <w:jc w:val="center"/>
              <w:rPr>
                <w:sz w:val="20"/>
                <w:szCs w:val="20"/>
              </w:rPr>
            </w:pPr>
            <w:r>
              <w:rPr>
                <w:sz w:val="20"/>
                <w:szCs w:val="20"/>
              </w:rPr>
              <w:t>3</w:t>
            </w:r>
          </w:p>
        </w:tc>
        <w:tc>
          <w:tcPr>
            <w:tcW w:w="632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87540FA" w14:textId="77777777" w:rsidR="00A769CA" w:rsidRDefault="008D3F3B">
            <w:pPr>
              <w:spacing w:line="360" w:lineRule="auto"/>
              <w:rPr>
                <w:rFonts w:ascii="Times New Roman" w:eastAsia="Times New Roman" w:hAnsi="Times New Roman" w:cs="Times New Roman"/>
                <w:sz w:val="24"/>
                <w:szCs w:val="24"/>
              </w:rPr>
            </w:pPr>
            <w:r>
              <w:rPr>
                <w:b/>
                <w:bCs/>
                <w:i/>
                <w:iCs/>
                <w:sz w:val="20"/>
                <w:szCs w:val="20"/>
              </w:rPr>
              <w:t>“Special category data”</w:t>
            </w:r>
            <w:r>
              <w:rPr>
                <w:i/>
                <w:iCs/>
                <w:sz w:val="20"/>
                <w:szCs w:val="20"/>
              </w:rPr>
              <w:t xml:space="preserve"> means sensitive personal data consisting of information as to the data </w:t>
            </w:r>
            <w:proofErr w:type="gramStart"/>
            <w:r>
              <w:rPr>
                <w:i/>
                <w:iCs/>
                <w:sz w:val="20"/>
                <w:szCs w:val="20"/>
              </w:rPr>
              <w:t>subjects’</w:t>
            </w:r>
            <w:proofErr w:type="gramEnd"/>
            <w:r>
              <w:rPr>
                <w:i/>
                <w:iCs/>
                <w:sz w:val="20"/>
                <w:szCs w:val="20"/>
              </w:rPr>
              <w:t xml:space="preserve"> –</w:t>
            </w:r>
          </w:p>
          <w:p w14:paraId="454ABAB2" w14:textId="77777777" w:rsidR="00A769CA" w:rsidRDefault="008D3F3B">
            <w:pPr>
              <w:spacing w:line="360" w:lineRule="auto"/>
              <w:rPr>
                <w:rFonts w:ascii="Times New Roman" w:eastAsia="Times New Roman" w:hAnsi="Times New Roman" w:cs="Times New Roman"/>
                <w:sz w:val="24"/>
                <w:szCs w:val="24"/>
              </w:rPr>
            </w:pPr>
            <w:r>
              <w:rPr>
                <w:i/>
                <w:iCs/>
                <w:sz w:val="20"/>
                <w:szCs w:val="20"/>
              </w:rPr>
              <w:t>(a) racial or ethnic origin,</w:t>
            </w:r>
          </w:p>
          <w:p w14:paraId="5EE90C83" w14:textId="77777777" w:rsidR="00A769CA" w:rsidRDefault="008D3F3B">
            <w:pPr>
              <w:spacing w:line="360" w:lineRule="auto"/>
              <w:rPr>
                <w:rFonts w:ascii="Times New Roman" w:eastAsia="Times New Roman" w:hAnsi="Times New Roman" w:cs="Times New Roman"/>
                <w:sz w:val="24"/>
                <w:szCs w:val="24"/>
              </w:rPr>
            </w:pPr>
            <w:r>
              <w:rPr>
                <w:i/>
                <w:iCs/>
                <w:sz w:val="20"/>
                <w:szCs w:val="20"/>
              </w:rPr>
              <w:t>(b) political opinions,</w:t>
            </w:r>
          </w:p>
          <w:p w14:paraId="2D91F33B" w14:textId="77777777" w:rsidR="00A769CA" w:rsidRDefault="008D3F3B">
            <w:pPr>
              <w:spacing w:line="360" w:lineRule="auto"/>
              <w:rPr>
                <w:rFonts w:ascii="Times New Roman" w:eastAsia="Times New Roman" w:hAnsi="Times New Roman" w:cs="Times New Roman"/>
                <w:sz w:val="24"/>
                <w:szCs w:val="24"/>
              </w:rPr>
            </w:pPr>
            <w:r>
              <w:rPr>
                <w:i/>
                <w:iCs/>
                <w:sz w:val="20"/>
                <w:szCs w:val="20"/>
              </w:rPr>
              <w:t>(</w:t>
            </w:r>
            <w:proofErr w:type="gramStart"/>
            <w:r>
              <w:rPr>
                <w:i/>
                <w:iCs/>
                <w:sz w:val="20"/>
                <w:szCs w:val="20"/>
              </w:rPr>
              <w:t>c )</w:t>
            </w:r>
            <w:proofErr w:type="gramEnd"/>
            <w:r>
              <w:rPr>
                <w:i/>
                <w:iCs/>
                <w:sz w:val="20"/>
                <w:szCs w:val="20"/>
              </w:rPr>
              <w:t xml:space="preserve"> religious beliefs or other beliefs of a similar nature,</w:t>
            </w:r>
          </w:p>
          <w:p w14:paraId="532CD8A7" w14:textId="77777777" w:rsidR="00A769CA" w:rsidRDefault="008D3F3B">
            <w:pPr>
              <w:spacing w:line="360" w:lineRule="auto"/>
              <w:rPr>
                <w:rFonts w:ascii="Times New Roman" w:eastAsia="Times New Roman" w:hAnsi="Times New Roman" w:cs="Times New Roman"/>
                <w:sz w:val="24"/>
                <w:szCs w:val="24"/>
              </w:rPr>
            </w:pPr>
            <w:r>
              <w:rPr>
                <w:i/>
                <w:iCs/>
                <w:sz w:val="20"/>
                <w:szCs w:val="20"/>
              </w:rPr>
              <w:t>(d) membership of a trade union (within the meaning of the Trade Union and Labour Relations (Consolidation) Act 1992),</w:t>
            </w:r>
          </w:p>
          <w:p w14:paraId="7A805DAC" w14:textId="77777777" w:rsidR="00A769CA" w:rsidRDefault="008D3F3B">
            <w:pPr>
              <w:spacing w:line="360" w:lineRule="auto"/>
              <w:rPr>
                <w:rFonts w:ascii="Times New Roman" w:eastAsia="Times New Roman" w:hAnsi="Times New Roman" w:cs="Times New Roman"/>
                <w:sz w:val="24"/>
                <w:szCs w:val="24"/>
              </w:rPr>
            </w:pPr>
            <w:r>
              <w:rPr>
                <w:i/>
                <w:iCs/>
                <w:sz w:val="20"/>
                <w:szCs w:val="20"/>
              </w:rPr>
              <w:t>(e) physical or mental health or condition,</w:t>
            </w:r>
          </w:p>
          <w:p w14:paraId="29969BFA" w14:textId="77777777" w:rsidR="00A769CA" w:rsidRDefault="008D3F3B">
            <w:pPr>
              <w:spacing w:line="360" w:lineRule="auto"/>
              <w:rPr>
                <w:rFonts w:ascii="Times New Roman" w:eastAsia="Times New Roman" w:hAnsi="Times New Roman" w:cs="Times New Roman"/>
                <w:sz w:val="24"/>
                <w:szCs w:val="24"/>
              </w:rPr>
            </w:pPr>
            <w:r>
              <w:rPr>
                <w:i/>
                <w:iCs/>
                <w:sz w:val="20"/>
                <w:szCs w:val="20"/>
              </w:rPr>
              <w:t>(f) sexual life,</w:t>
            </w:r>
          </w:p>
          <w:p w14:paraId="11EA8F7A" w14:textId="77777777" w:rsidR="00A769CA" w:rsidRDefault="008D3F3B">
            <w:pPr>
              <w:spacing w:line="360" w:lineRule="auto"/>
              <w:rPr>
                <w:rFonts w:ascii="Times New Roman" w:eastAsia="Times New Roman" w:hAnsi="Times New Roman" w:cs="Times New Roman"/>
                <w:sz w:val="24"/>
                <w:szCs w:val="24"/>
              </w:rPr>
            </w:pPr>
            <w:r>
              <w:rPr>
                <w:i/>
                <w:iCs/>
                <w:sz w:val="20"/>
                <w:szCs w:val="20"/>
              </w:rPr>
              <w:t>(g) genetics,</w:t>
            </w:r>
          </w:p>
          <w:p w14:paraId="6E8F0400" w14:textId="77777777" w:rsidR="00A769CA" w:rsidRDefault="008D3F3B">
            <w:pPr>
              <w:spacing w:line="360" w:lineRule="auto"/>
              <w:rPr>
                <w:i/>
                <w:iCs/>
                <w:sz w:val="20"/>
                <w:szCs w:val="20"/>
              </w:rPr>
            </w:pPr>
            <w:r>
              <w:rPr>
                <w:i/>
                <w:iCs/>
                <w:sz w:val="20"/>
                <w:szCs w:val="20"/>
              </w:rPr>
              <w:t>(h) biometric data (as used for ID purposes),</w:t>
            </w:r>
          </w:p>
        </w:tc>
        <w:tc>
          <w:tcPr>
            <w:tcW w:w="80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F99552E" w14:textId="77777777" w:rsidR="00A769CA" w:rsidRDefault="008D3F3B">
            <w:pPr>
              <w:spacing w:line="360" w:lineRule="auto"/>
              <w:jc w:val="center"/>
              <w:rPr>
                <w:rFonts w:ascii="Times New Roman" w:eastAsia="Times New Roman" w:hAnsi="Times New Roman" w:cs="Times New Roman"/>
                <w:sz w:val="24"/>
                <w:szCs w:val="24"/>
              </w:rPr>
            </w:pPr>
            <w:r>
              <w:rPr>
                <w:rFonts w:ascii="MS Gothic" w:eastAsia="MS Gothic" w:hAnsi="MS Gothic" w:cs="MS Gothic"/>
              </w:rPr>
              <w:t>☐</w:t>
            </w:r>
          </w:p>
        </w:tc>
        <w:tc>
          <w:tcPr>
            <w:tcW w:w="81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865B62E" w14:textId="77777777" w:rsidR="00A769CA" w:rsidRDefault="008D3F3B">
            <w:pPr>
              <w:spacing w:line="360" w:lineRule="auto"/>
              <w:jc w:val="center"/>
              <w:rPr>
                <w:rFonts w:ascii="Times New Roman" w:eastAsia="Times New Roman" w:hAnsi="Times New Roman" w:cs="Times New Roman"/>
                <w:sz w:val="24"/>
                <w:szCs w:val="24"/>
              </w:rPr>
            </w:pPr>
            <w:r>
              <w:rPr>
                <w:rFonts w:ascii="MS Gothic" w:eastAsia="MS Gothic" w:hAnsi="MS Gothic" w:cs="MS Gothic"/>
              </w:rPr>
              <w:t>☑</w:t>
            </w:r>
          </w:p>
        </w:tc>
      </w:tr>
      <w:tr w:rsidR="00A769CA" w14:paraId="53A7AD73" w14:textId="77777777">
        <w:trPr>
          <w:trHeight w:val="389"/>
        </w:trPr>
        <w:tc>
          <w:tcPr>
            <w:tcW w:w="44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6B0B670" w14:textId="77777777" w:rsidR="00A769CA" w:rsidRDefault="00A769CA">
            <w:pPr>
              <w:spacing w:line="360" w:lineRule="auto"/>
              <w:jc w:val="center"/>
            </w:pPr>
          </w:p>
        </w:tc>
        <w:tc>
          <w:tcPr>
            <w:tcW w:w="794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4453887B" w14:textId="77777777" w:rsidR="00A769CA" w:rsidRDefault="008D3F3B">
            <w:pPr>
              <w:spacing w:line="360" w:lineRule="auto"/>
              <w:rPr>
                <w:rFonts w:ascii="Times New Roman" w:eastAsia="Times New Roman" w:hAnsi="Times New Roman" w:cs="Times New Roman"/>
                <w:sz w:val="24"/>
                <w:szCs w:val="24"/>
              </w:rPr>
            </w:pPr>
            <w:r>
              <w:t>If YES, provide a</w:t>
            </w:r>
            <w:r>
              <w:rPr>
                <w:b/>
                <w:bCs/>
              </w:rPr>
              <w:t xml:space="preserve"> </w:t>
            </w:r>
            <w:r>
              <w:t>description of the special category data and explain why this data needs to be collected:</w:t>
            </w:r>
          </w:p>
        </w:tc>
      </w:tr>
      <w:tr w:rsidR="00A769CA" w14:paraId="399585E8" w14:textId="77777777">
        <w:trPr>
          <w:trHeight w:val="389"/>
        </w:trPr>
        <w:tc>
          <w:tcPr>
            <w:tcW w:w="448" w:type="dxa"/>
            <w:tcBorders>
              <w:top w:val="single" w:sz="4" w:space="0" w:color="000000"/>
              <w:left w:val="single" w:sz="4" w:space="0" w:color="000000"/>
              <w:bottom w:val="single" w:sz="4" w:space="0" w:color="000000"/>
              <w:right w:val="single" w:sz="4" w:space="0" w:color="000000"/>
            </w:tcBorders>
            <w:vAlign w:val="center"/>
          </w:tcPr>
          <w:p w14:paraId="62B5FBA7" w14:textId="77777777" w:rsidR="00A769CA" w:rsidRDefault="008D3F3B">
            <w:pPr>
              <w:spacing w:line="360" w:lineRule="auto"/>
              <w:jc w:val="center"/>
            </w:pPr>
            <w:r>
              <w:t>4</w:t>
            </w:r>
          </w:p>
        </w:tc>
        <w:tc>
          <w:tcPr>
            <w:tcW w:w="7943" w:type="dxa"/>
            <w:gridSpan w:val="3"/>
            <w:tcBorders>
              <w:top w:val="single" w:sz="4" w:space="0" w:color="000000"/>
              <w:left w:val="single" w:sz="4" w:space="0" w:color="000000"/>
              <w:bottom w:val="single" w:sz="4" w:space="0" w:color="000000"/>
              <w:right w:val="single" w:sz="4" w:space="0" w:color="000000"/>
            </w:tcBorders>
            <w:vAlign w:val="center"/>
          </w:tcPr>
          <w:p w14:paraId="7A841E90" w14:textId="77777777" w:rsidR="00A769CA" w:rsidRDefault="00A769CA">
            <w:pPr>
              <w:spacing w:line="360" w:lineRule="auto"/>
              <w:rPr>
                <w:rFonts w:ascii="Times New Roman" w:eastAsia="Times New Roman" w:hAnsi="Times New Roman" w:cs="Times New Roman"/>
                <w:sz w:val="20"/>
                <w:szCs w:val="20"/>
              </w:rPr>
            </w:pPr>
          </w:p>
        </w:tc>
      </w:tr>
    </w:tbl>
    <w:p w14:paraId="383ED80B" w14:textId="77777777" w:rsidR="00A769CA" w:rsidRDefault="00A769CA">
      <w:pPr>
        <w:spacing w:line="360" w:lineRule="auto"/>
        <w:rPr>
          <w:rFonts w:ascii="Times New Roman" w:eastAsia="Times New Roman" w:hAnsi="Times New Roman" w:cs="Times New Roman"/>
          <w:sz w:val="20"/>
          <w:szCs w:val="20"/>
        </w:rPr>
      </w:pPr>
    </w:p>
    <w:tbl>
      <w:tblPr>
        <w:tblStyle w:val="affa"/>
        <w:tblW w:w="895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78"/>
        <w:gridCol w:w="6752"/>
        <w:gridCol w:w="854"/>
        <w:gridCol w:w="872"/>
      </w:tblGrid>
      <w:tr w:rsidR="00A769CA" w14:paraId="72439984" w14:textId="77777777">
        <w:trPr>
          <w:trHeight w:val="448"/>
        </w:trPr>
        <w:tc>
          <w:tcPr>
            <w:tcW w:w="478" w:type="dxa"/>
            <w:shd w:val="clear" w:color="auto" w:fill="F2F2F2"/>
            <w:vAlign w:val="center"/>
          </w:tcPr>
          <w:p w14:paraId="5DF2F1C4" w14:textId="77777777" w:rsidR="00A769CA" w:rsidRDefault="00A769CA">
            <w:pPr>
              <w:spacing w:line="360" w:lineRule="auto"/>
              <w:jc w:val="center"/>
            </w:pPr>
          </w:p>
        </w:tc>
        <w:tc>
          <w:tcPr>
            <w:tcW w:w="6752" w:type="dxa"/>
            <w:shd w:val="clear" w:color="auto" w:fill="F2F2F2"/>
          </w:tcPr>
          <w:p w14:paraId="4C31C8E4" w14:textId="77777777" w:rsidR="00A769CA" w:rsidRDefault="008D3F3B">
            <w:pPr>
              <w:spacing w:line="360" w:lineRule="auto"/>
              <w:rPr>
                <w:b/>
                <w:bCs/>
              </w:rPr>
            </w:pPr>
            <w:r>
              <w:rPr>
                <w:b/>
                <w:bCs/>
              </w:rPr>
              <w:t>Will data from the research activity (collected data, drafts of the thesis, or materials for publication) be stored in any of the following ways?</w:t>
            </w:r>
          </w:p>
        </w:tc>
        <w:tc>
          <w:tcPr>
            <w:tcW w:w="854" w:type="dxa"/>
            <w:shd w:val="clear" w:color="auto" w:fill="F2F2F2"/>
          </w:tcPr>
          <w:p w14:paraId="2CF4A0C1" w14:textId="77777777" w:rsidR="00A769CA" w:rsidRDefault="008D3F3B">
            <w:pPr>
              <w:spacing w:line="360" w:lineRule="auto"/>
              <w:jc w:val="center"/>
              <w:rPr>
                <w:b/>
                <w:bCs/>
              </w:rPr>
            </w:pPr>
            <w:r>
              <w:rPr>
                <w:b/>
                <w:bCs/>
              </w:rPr>
              <w:t>YES</w:t>
            </w:r>
          </w:p>
        </w:tc>
        <w:tc>
          <w:tcPr>
            <w:tcW w:w="872" w:type="dxa"/>
            <w:shd w:val="clear" w:color="auto" w:fill="F2F2F2"/>
          </w:tcPr>
          <w:p w14:paraId="3FC7E25B" w14:textId="77777777" w:rsidR="00A769CA" w:rsidRDefault="008D3F3B">
            <w:pPr>
              <w:spacing w:line="360" w:lineRule="auto"/>
              <w:jc w:val="center"/>
              <w:rPr>
                <w:b/>
                <w:bCs/>
              </w:rPr>
            </w:pPr>
            <w:r>
              <w:rPr>
                <w:b/>
                <w:bCs/>
              </w:rPr>
              <w:t>NO</w:t>
            </w:r>
          </w:p>
        </w:tc>
      </w:tr>
      <w:tr w:rsidR="00A769CA" w14:paraId="285B05F0" w14:textId="77777777">
        <w:trPr>
          <w:trHeight w:val="448"/>
        </w:trPr>
        <w:tc>
          <w:tcPr>
            <w:tcW w:w="478" w:type="dxa"/>
            <w:shd w:val="clear" w:color="auto" w:fill="F2F2F2"/>
            <w:vAlign w:val="center"/>
          </w:tcPr>
          <w:p w14:paraId="266562B4" w14:textId="77777777" w:rsidR="00A769CA" w:rsidRDefault="008D3F3B">
            <w:pPr>
              <w:spacing w:line="360" w:lineRule="auto"/>
              <w:jc w:val="center"/>
            </w:pPr>
            <w:r>
              <w:t>5</w:t>
            </w:r>
          </w:p>
        </w:tc>
        <w:tc>
          <w:tcPr>
            <w:tcW w:w="6752" w:type="dxa"/>
            <w:shd w:val="clear" w:color="auto" w:fill="F2F2F2"/>
            <w:vAlign w:val="center"/>
          </w:tcPr>
          <w:p w14:paraId="1A884FB6" w14:textId="77777777" w:rsidR="00A769CA" w:rsidRDefault="008D3F3B">
            <w:pPr>
              <w:spacing w:line="360" w:lineRule="auto"/>
            </w:pPr>
            <w:r>
              <w:t>Manual files (i.e. in paper form)?</w:t>
            </w:r>
          </w:p>
        </w:tc>
        <w:tc>
          <w:tcPr>
            <w:tcW w:w="854" w:type="dxa"/>
            <w:shd w:val="clear" w:color="auto" w:fill="BFBFBF"/>
          </w:tcPr>
          <w:p w14:paraId="7A66B50E" w14:textId="77777777" w:rsidR="00A769CA" w:rsidRDefault="008D3F3B">
            <w:pPr>
              <w:spacing w:line="360" w:lineRule="auto"/>
              <w:jc w:val="center"/>
            </w:pPr>
            <w:r>
              <w:rPr>
                <w:rFonts w:ascii="MS Gothic" w:eastAsia="MS Gothic" w:hAnsi="MS Gothic" w:cs="MS Gothic"/>
              </w:rPr>
              <w:t>☐</w:t>
            </w:r>
          </w:p>
        </w:tc>
        <w:tc>
          <w:tcPr>
            <w:tcW w:w="872" w:type="dxa"/>
            <w:shd w:val="clear" w:color="auto" w:fill="BFBFBF"/>
          </w:tcPr>
          <w:p w14:paraId="513CE647" w14:textId="77777777" w:rsidR="00A769CA" w:rsidRDefault="008D3F3B">
            <w:pPr>
              <w:spacing w:line="360" w:lineRule="auto"/>
              <w:jc w:val="center"/>
            </w:pPr>
            <w:r>
              <w:rPr>
                <w:rFonts w:ascii="MS Gothic" w:eastAsia="MS Gothic" w:hAnsi="MS Gothic" w:cs="MS Gothic"/>
              </w:rPr>
              <w:t>☑</w:t>
            </w:r>
          </w:p>
        </w:tc>
      </w:tr>
      <w:tr w:rsidR="00A769CA" w14:paraId="21F0D52B" w14:textId="77777777">
        <w:trPr>
          <w:trHeight w:val="412"/>
        </w:trPr>
        <w:tc>
          <w:tcPr>
            <w:tcW w:w="478" w:type="dxa"/>
            <w:shd w:val="clear" w:color="auto" w:fill="F2F2F2"/>
            <w:vAlign w:val="center"/>
          </w:tcPr>
          <w:p w14:paraId="46FFA15A" w14:textId="77777777" w:rsidR="00A769CA" w:rsidRDefault="008D3F3B">
            <w:pPr>
              <w:spacing w:line="360" w:lineRule="auto"/>
              <w:jc w:val="center"/>
            </w:pPr>
            <w:r>
              <w:t>6</w:t>
            </w:r>
          </w:p>
        </w:tc>
        <w:tc>
          <w:tcPr>
            <w:tcW w:w="6752" w:type="dxa"/>
            <w:shd w:val="clear" w:color="auto" w:fill="F2F2F2"/>
            <w:vAlign w:val="center"/>
          </w:tcPr>
          <w:p w14:paraId="57DDD961" w14:textId="77777777" w:rsidR="00A769CA" w:rsidRDefault="008D3F3B">
            <w:pPr>
              <w:spacing w:line="360" w:lineRule="auto"/>
            </w:pPr>
            <w:r>
              <w:t>University computers?</w:t>
            </w:r>
          </w:p>
        </w:tc>
        <w:tc>
          <w:tcPr>
            <w:tcW w:w="854" w:type="dxa"/>
            <w:shd w:val="clear" w:color="auto" w:fill="BFBFBF"/>
          </w:tcPr>
          <w:p w14:paraId="74E9365A" w14:textId="77777777" w:rsidR="00A769CA" w:rsidRDefault="008D3F3B">
            <w:pPr>
              <w:spacing w:line="360" w:lineRule="auto"/>
              <w:jc w:val="center"/>
            </w:pPr>
            <w:r>
              <w:rPr>
                <w:rFonts w:ascii="MS Gothic" w:eastAsia="MS Gothic" w:hAnsi="MS Gothic" w:cs="MS Gothic"/>
              </w:rPr>
              <w:t>☑</w:t>
            </w:r>
          </w:p>
        </w:tc>
        <w:tc>
          <w:tcPr>
            <w:tcW w:w="872" w:type="dxa"/>
            <w:shd w:val="clear" w:color="auto" w:fill="BFBFBF"/>
          </w:tcPr>
          <w:p w14:paraId="31D70BEA" w14:textId="77777777" w:rsidR="00A769CA" w:rsidRDefault="008D3F3B">
            <w:pPr>
              <w:spacing w:line="360" w:lineRule="auto"/>
              <w:jc w:val="center"/>
            </w:pPr>
            <w:r>
              <w:rPr>
                <w:rFonts w:ascii="MS Gothic" w:eastAsia="MS Gothic" w:hAnsi="MS Gothic" w:cs="MS Gothic"/>
              </w:rPr>
              <w:t>☐</w:t>
            </w:r>
          </w:p>
        </w:tc>
      </w:tr>
      <w:tr w:rsidR="00A769CA" w14:paraId="315DACB9" w14:textId="77777777">
        <w:trPr>
          <w:trHeight w:val="448"/>
        </w:trPr>
        <w:tc>
          <w:tcPr>
            <w:tcW w:w="478" w:type="dxa"/>
            <w:shd w:val="clear" w:color="auto" w:fill="F2F2F2"/>
            <w:vAlign w:val="center"/>
          </w:tcPr>
          <w:p w14:paraId="2F2E9F33" w14:textId="77777777" w:rsidR="00A769CA" w:rsidRDefault="008D3F3B">
            <w:pPr>
              <w:spacing w:line="360" w:lineRule="auto"/>
              <w:jc w:val="center"/>
            </w:pPr>
            <w:r>
              <w:t>7</w:t>
            </w:r>
          </w:p>
        </w:tc>
        <w:tc>
          <w:tcPr>
            <w:tcW w:w="6752" w:type="dxa"/>
            <w:shd w:val="clear" w:color="auto" w:fill="F2F2F2"/>
            <w:vAlign w:val="center"/>
          </w:tcPr>
          <w:p w14:paraId="2A9E336E" w14:textId="77777777" w:rsidR="00A769CA" w:rsidRDefault="008D3F3B">
            <w:pPr>
              <w:spacing w:line="360" w:lineRule="auto"/>
            </w:pPr>
            <w:r>
              <w:t>Private company computers?</w:t>
            </w:r>
          </w:p>
        </w:tc>
        <w:tc>
          <w:tcPr>
            <w:tcW w:w="854" w:type="dxa"/>
            <w:shd w:val="clear" w:color="auto" w:fill="BFBFBF"/>
          </w:tcPr>
          <w:p w14:paraId="1227DCE1" w14:textId="77777777" w:rsidR="00A769CA" w:rsidRDefault="008D3F3B">
            <w:pPr>
              <w:spacing w:line="360" w:lineRule="auto"/>
              <w:jc w:val="center"/>
            </w:pPr>
            <w:r>
              <w:rPr>
                <w:rFonts w:ascii="MS Gothic" w:eastAsia="MS Gothic" w:hAnsi="MS Gothic" w:cs="MS Gothic"/>
              </w:rPr>
              <w:t>☐</w:t>
            </w:r>
          </w:p>
        </w:tc>
        <w:tc>
          <w:tcPr>
            <w:tcW w:w="872" w:type="dxa"/>
            <w:shd w:val="clear" w:color="auto" w:fill="BFBFBF"/>
          </w:tcPr>
          <w:p w14:paraId="1E515604" w14:textId="77777777" w:rsidR="00A769CA" w:rsidRDefault="008D3F3B">
            <w:pPr>
              <w:spacing w:line="360" w:lineRule="auto"/>
              <w:jc w:val="center"/>
            </w:pPr>
            <w:r>
              <w:rPr>
                <w:rFonts w:ascii="MS Gothic" w:eastAsia="MS Gothic" w:hAnsi="MS Gothic" w:cs="MS Gothic"/>
              </w:rPr>
              <w:t>☑</w:t>
            </w:r>
          </w:p>
        </w:tc>
      </w:tr>
      <w:tr w:rsidR="00A769CA" w14:paraId="2AE83A26" w14:textId="77777777">
        <w:trPr>
          <w:trHeight w:val="412"/>
        </w:trPr>
        <w:tc>
          <w:tcPr>
            <w:tcW w:w="478" w:type="dxa"/>
            <w:shd w:val="clear" w:color="auto" w:fill="F2F2F2"/>
            <w:vAlign w:val="center"/>
          </w:tcPr>
          <w:p w14:paraId="71B803CE" w14:textId="77777777" w:rsidR="00A769CA" w:rsidRDefault="008D3F3B">
            <w:pPr>
              <w:spacing w:line="360" w:lineRule="auto"/>
              <w:jc w:val="center"/>
            </w:pPr>
            <w:r>
              <w:t>8</w:t>
            </w:r>
          </w:p>
        </w:tc>
        <w:tc>
          <w:tcPr>
            <w:tcW w:w="6752" w:type="dxa"/>
            <w:shd w:val="clear" w:color="auto" w:fill="F2F2F2"/>
            <w:vAlign w:val="center"/>
          </w:tcPr>
          <w:p w14:paraId="3B76E46E" w14:textId="77777777" w:rsidR="00A769CA" w:rsidRDefault="008D3F3B">
            <w:pPr>
              <w:spacing w:line="360" w:lineRule="auto"/>
            </w:pPr>
            <w:r>
              <w:t>Home or other personal computers?</w:t>
            </w:r>
          </w:p>
        </w:tc>
        <w:tc>
          <w:tcPr>
            <w:tcW w:w="854" w:type="dxa"/>
            <w:shd w:val="clear" w:color="auto" w:fill="BFBFBF"/>
          </w:tcPr>
          <w:p w14:paraId="5B262DB2" w14:textId="77777777" w:rsidR="00A769CA" w:rsidRDefault="008D3F3B">
            <w:pPr>
              <w:spacing w:line="360" w:lineRule="auto"/>
              <w:jc w:val="center"/>
            </w:pPr>
            <w:r>
              <w:rPr>
                <w:rFonts w:ascii="MS Gothic" w:eastAsia="MS Gothic" w:hAnsi="MS Gothic" w:cs="MS Gothic"/>
              </w:rPr>
              <w:t>☐</w:t>
            </w:r>
          </w:p>
        </w:tc>
        <w:tc>
          <w:tcPr>
            <w:tcW w:w="872" w:type="dxa"/>
            <w:shd w:val="clear" w:color="auto" w:fill="BFBFBF"/>
          </w:tcPr>
          <w:p w14:paraId="62B3E86B" w14:textId="77777777" w:rsidR="00A769CA" w:rsidRDefault="008D3F3B">
            <w:pPr>
              <w:spacing w:line="360" w:lineRule="auto"/>
              <w:jc w:val="center"/>
            </w:pPr>
            <w:r>
              <w:rPr>
                <w:rFonts w:ascii="MS Gothic" w:eastAsia="MS Gothic" w:hAnsi="MS Gothic" w:cs="MS Gothic"/>
              </w:rPr>
              <w:t>☑</w:t>
            </w:r>
          </w:p>
        </w:tc>
      </w:tr>
      <w:tr w:rsidR="00A769CA" w14:paraId="15A6FE4D" w14:textId="77777777">
        <w:trPr>
          <w:trHeight w:val="412"/>
        </w:trPr>
        <w:tc>
          <w:tcPr>
            <w:tcW w:w="478" w:type="dxa"/>
            <w:shd w:val="clear" w:color="auto" w:fill="F2F2F2"/>
            <w:vAlign w:val="center"/>
          </w:tcPr>
          <w:p w14:paraId="2A0B7F26" w14:textId="77777777" w:rsidR="00A769CA" w:rsidRDefault="008D3F3B">
            <w:pPr>
              <w:spacing w:line="360" w:lineRule="auto"/>
              <w:jc w:val="center"/>
            </w:pPr>
            <w:r>
              <w:t>9</w:t>
            </w:r>
          </w:p>
        </w:tc>
        <w:tc>
          <w:tcPr>
            <w:tcW w:w="6752" w:type="dxa"/>
            <w:shd w:val="clear" w:color="auto" w:fill="F2F2F2"/>
            <w:vAlign w:val="center"/>
          </w:tcPr>
          <w:p w14:paraId="1619A940" w14:textId="77777777" w:rsidR="00A769CA" w:rsidRDefault="008D3F3B">
            <w:pPr>
              <w:spacing w:line="360" w:lineRule="auto"/>
            </w:pPr>
            <w:r>
              <w:t>Laptop computers/ CDs/ Portable disk-drives/ memory sticks?</w:t>
            </w:r>
          </w:p>
        </w:tc>
        <w:tc>
          <w:tcPr>
            <w:tcW w:w="854" w:type="dxa"/>
            <w:shd w:val="clear" w:color="auto" w:fill="BFBFBF"/>
          </w:tcPr>
          <w:p w14:paraId="717ECAEC" w14:textId="77777777" w:rsidR="00A769CA" w:rsidRDefault="008D3F3B">
            <w:pPr>
              <w:spacing w:line="360" w:lineRule="auto"/>
              <w:jc w:val="center"/>
            </w:pPr>
            <w:r>
              <w:rPr>
                <w:rFonts w:ascii="MS Gothic" w:eastAsia="MS Gothic" w:hAnsi="MS Gothic" w:cs="MS Gothic"/>
              </w:rPr>
              <w:t>☐</w:t>
            </w:r>
          </w:p>
        </w:tc>
        <w:tc>
          <w:tcPr>
            <w:tcW w:w="872" w:type="dxa"/>
            <w:shd w:val="clear" w:color="auto" w:fill="BFBFBF"/>
          </w:tcPr>
          <w:p w14:paraId="283BB54C" w14:textId="77777777" w:rsidR="00A769CA" w:rsidRDefault="008D3F3B">
            <w:pPr>
              <w:spacing w:line="360" w:lineRule="auto"/>
              <w:jc w:val="center"/>
            </w:pPr>
            <w:r>
              <w:rPr>
                <w:rFonts w:ascii="MS Gothic" w:eastAsia="MS Gothic" w:hAnsi="MS Gothic" w:cs="MS Gothic"/>
              </w:rPr>
              <w:t>☑</w:t>
            </w:r>
          </w:p>
        </w:tc>
      </w:tr>
      <w:tr w:rsidR="00A769CA" w14:paraId="202F73A9" w14:textId="77777777">
        <w:trPr>
          <w:trHeight w:val="412"/>
        </w:trPr>
        <w:tc>
          <w:tcPr>
            <w:tcW w:w="478" w:type="dxa"/>
            <w:shd w:val="clear" w:color="auto" w:fill="F2F2F2"/>
            <w:vAlign w:val="center"/>
          </w:tcPr>
          <w:p w14:paraId="427693B5" w14:textId="77777777" w:rsidR="00A769CA" w:rsidRDefault="008D3F3B">
            <w:pPr>
              <w:spacing w:line="360" w:lineRule="auto"/>
              <w:jc w:val="center"/>
            </w:pPr>
            <w:r>
              <w:t>10</w:t>
            </w:r>
          </w:p>
        </w:tc>
        <w:tc>
          <w:tcPr>
            <w:tcW w:w="6752" w:type="dxa"/>
            <w:shd w:val="clear" w:color="auto" w:fill="F2F2F2"/>
            <w:vAlign w:val="center"/>
          </w:tcPr>
          <w:p w14:paraId="5A0D6862" w14:textId="77777777" w:rsidR="00A769CA" w:rsidRDefault="008D3F3B">
            <w:pPr>
              <w:spacing w:line="360" w:lineRule="auto"/>
            </w:pPr>
            <w:r>
              <w:t>“Cloud” storage or websites?</w:t>
            </w:r>
          </w:p>
        </w:tc>
        <w:tc>
          <w:tcPr>
            <w:tcW w:w="854" w:type="dxa"/>
            <w:shd w:val="clear" w:color="auto" w:fill="BFBFBF"/>
          </w:tcPr>
          <w:p w14:paraId="4F6A6B71" w14:textId="77777777" w:rsidR="00A769CA" w:rsidRDefault="008D3F3B">
            <w:pPr>
              <w:spacing w:line="360" w:lineRule="auto"/>
              <w:jc w:val="center"/>
            </w:pPr>
            <w:r>
              <w:rPr>
                <w:rFonts w:ascii="MS Gothic" w:eastAsia="MS Gothic" w:hAnsi="MS Gothic" w:cs="MS Gothic"/>
              </w:rPr>
              <w:t>☑</w:t>
            </w:r>
          </w:p>
        </w:tc>
        <w:tc>
          <w:tcPr>
            <w:tcW w:w="872" w:type="dxa"/>
            <w:shd w:val="clear" w:color="auto" w:fill="BFBFBF"/>
          </w:tcPr>
          <w:p w14:paraId="40A8A0D9" w14:textId="77777777" w:rsidR="00A769CA" w:rsidRDefault="008D3F3B">
            <w:pPr>
              <w:spacing w:line="360" w:lineRule="auto"/>
              <w:jc w:val="center"/>
            </w:pPr>
            <w:r>
              <w:rPr>
                <w:rFonts w:ascii="MS Gothic" w:eastAsia="MS Gothic" w:hAnsi="MS Gothic" w:cs="MS Gothic"/>
              </w:rPr>
              <w:t>☐</w:t>
            </w:r>
          </w:p>
        </w:tc>
      </w:tr>
      <w:tr w:rsidR="00A769CA" w14:paraId="19D3D057" w14:textId="77777777">
        <w:trPr>
          <w:trHeight w:val="412"/>
        </w:trPr>
        <w:tc>
          <w:tcPr>
            <w:tcW w:w="478" w:type="dxa"/>
            <w:shd w:val="clear" w:color="auto" w:fill="F2F2F2"/>
            <w:vAlign w:val="center"/>
          </w:tcPr>
          <w:p w14:paraId="5774D12A" w14:textId="77777777" w:rsidR="00A769CA" w:rsidRDefault="008D3F3B">
            <w:pPr>
              <w:spacing w:line="360" w:lineRule="auto"/>
              <w:jc w:val="center"/>
            </w:pPr>
            <w:r>
              <w:t>11</w:t>
            </w:r>
          </w:p>
        </w:tc>
        <w:tc>
          <w:tcPr>
            <w:tcW w:w="6752" w:type="dxa"/>
            <w:shd w:val="clear" w:color="auto" w:fill="F2F2F2"/>
          </w:tcPr>
          <w:p w14:paraId="37892FFE" w14:textId="77777777" w:rsidR="00A769CA" w:rsidRDefault="008D3F3B">
            <w:pPr>
              <w:spacing w:line="360" w:lineRule="auto"/>
            </w:pPr>
            <w:r>
              <w:t>Other – specify:</w:t>
            </w:r>
          </w:p>
          <w:p w14:paraId="25030728" w14:textId="77777777" w:rsidR="00A769CA" w:rsidRDefault="00A769CA">
            <w:pPr>
              <w:spacing w:line="360" w:lineRule="auto"/>
            </w:pPr>
          </w:p>
        </w:tc>
        <w:tc>
          <w:tcPr>
            <w:tcW w:w="854" w:type="dxa"/>
            <w:shd w:val="clear" w:color="auto" w:fill="BFBFBF"/>
            <w:vAlign w:val="center"/>
          </w:tcPr>
          <w:p w14:paraId="003641E2" w14:textId="77777777" w:rsidR="00A769CA" w:rsidRDefault="008D3F3B">
            <w:pPr>
              <w:spacing w:line="360" w:lineRule="auto"/>
              <w:jc w:val="center"/>
            </w:pPr>
            <w:r>
              <w:rPr>
                <w:rFonts w:ascii="MS Gothic" w:eastAsia="MS Gothic" w:hAnsi="MS Gothic" w:cs="MS Gothic"/>
              </w:rPr>
              <w:t>☐</w:t>
            </w:r>
          </w:p>
        </w:tc>
        <w:tc>
          <w:tcPr>
            <w:tcW w:w="872" w:type="dxa"/>
            <w:shd w:val="clear" w:color="auto" w:fill="BFBFBF"/>
            <w:vAlign w:val="center"/>
          </w:tcPr>
          <w:p w14:paraId="3C8A1EFE" w14:textId="77777777" w:rsidR="00A769CA" w:rsidRDefault="008D3F3B">
            <w:pPr>
              <w:spacing w:line="360" w:lineRule="auto"/>
              <w:jc w:val="center"/>
            </w:pPr>
            <w:r>
              <w:rPr>
                <w:rFonts w:ascii="MS Gothic" w:eastAsia="MS Gothic" w:hAnsi="MS Gothic" w:cs="MS Gothic"/>
              </w:rPr>
              <w:t>☑</w:t>
            </w:r>
          </w:p>
        </w:tc>
      </w:tr>
      <w:tr w:rsidR="00A769CA" w14:paraId="74824FC7" w14:textId="77777777">
        <w:trPr>
          <w:trHeight w:val="412"/>
        </w:trPr>
        <w:tc>
          <w:tcPr>
            <w:tcW w:w="478" w:type="dxa"/>
            <w:shd w:val="clear" w:color="auto" w:fill="F2F2F2"/>
            <w:vAlign w:val="center"/>
          </w:tcPr>
          <w:p w14:paraId="6DEC6834" w14:textId="77777777" w:rsidR="00A769CA" w:rsidRDefault="008D3F3B">
            <w:pPr>
              <w:spacing w:line="360" w:lineRule="auto"/>
              <w:jc w:val="center"/>
            </w:pPr>
            <w:r>
              <w:t>12</w:t>
            </w:r>
          </w:p>
        </w:tc>
        <w:tc>
          <w:tcPr>
            <w:tcW w:w="8478" w:type="dxa"/>
            <w:gridSpan w:val="3"/>
            <w:shd w:val="clear" w:color="auto" w:fill="F2F2F2"/>
          </w:tcPr>
          <w:p w14:paraId="2166817D" w14:textId="77777777" w:rsidR="00A769CA" w:rsidRDefault="008D3F3B">
            <w:pPr>
              <w:spacing w:line="360" w:lineRule="auto"/>
              <w:rPr>
                <w:b/>
                <w:bCs/>
              </w:rPr>
            </w:pPr>
            <w:r>
              <w:t>For all stored data, explain the measures in place to ensure the security of the data collected, data confidentiality, including details of backup procedures, password protection, encryption, anonymisation and pseudonymisation:</w:t>
            </w:r>
          </w:p>
        </w:tc>
      </w:tr>
      <w:tr w:rsidR="00A769CA" w14:paraId="55C6814A" w14:textId="77777777">
        <w:trPr>
          <w:trHeight w:val="412"/>
        </w:trPr>
        <w:tc>
          <w:tcPr>
            <w:tcW w:w="478" w:type="dxa"/>
            <w:vAlign w:val="center"/>
          </w:tcPr>
          <w:p w14:paraId="463B8E69" w14:textId="77777777" w:rsidR="00A769CA" w:rsidRDefault="00A769CA">
            <w:pPr>
              <w:spacing w:line="360" w:lineRule="auto"/>
              <w:jc w:val="center"/>
            </w:pPr>
          </w:p>
        </w:tc>
        <w:tc>
          <w:tcPr>
            <w:tcW w:w="8478" w:type="dxa"/>
            <w:gridSpan w:val="3"/>
          </w:tcPr>
          <w:p w14:paraId="75D33B6A" w14:textId="77777777" w:rsidR="00A769CA" w:rsidRDefault="00A769CA">
            <w:pPr>
              <w:spacing w:line="360" w:lineRule="auto"/>
            </w:pPr>
          </w:p>
          <w:p w14:paraId="439B5994" w14:textId="77777777" w:rsidR="00A769CA" w:rsidRDefault="008D3F3B">
            <w:pPr>
              <w:spacing w:line="360" w:lineRule="auto"/>
            </w:pPr>
            <w:r>
              <w:lastRenderedPageBreak/>
              <w:t>All data will be stored securely on the University’s password-protected OneDrive system. Only the researcher and supervisor will have access. Backup files will be encrypted, and no identifiable or confidential data will be stored. After project completion and assessment moderation, all files will be deleted permanently.</w:t>
            </w:r>
          </w:p>
          <w:p w14:paraId="39C85736" w14:textId="77777777" w:rsidR="00A769CA" w:rsidRDefault="00A769CA">
            <w:pPr>
              <w:spacing w:line="360" w:lineRule="auto"/>
            </w:pPr>
          </w:p>
        </w:tc>
      </w:tr>
    </w:tbl>
    <w:p w14:paraId="3B5AE972" w14:textId="77777777" w:rsidR="00A769CA" w:rsidRDefault="00A769CA">
      <w:pPr>
        <w:spacing w:line="360" w:lineRule="auto"/>
        <w:rPr>
          <w:rFonts w:ascii="Times New Roman" w:eastAsia="Times New Roman" w:hAnsi="Times New Roman" w:cs="Times New Roman"/>
          <w:sz w:val="20"/>
          <w:szCs w:val="20"/>
        </w:rPr>
      </w:pPr>
    </w:p>
    <w:tbl>
      <w:tblPr>
        <w:tblStyle w:val="affb"/>
        <w:tblW w:w="833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45"/>
        <w:gridCol w:w="6282"/>
        <w:gridCol w:w="795"/>
        <w:gridCol w:w="811"/>
      </w:tblGrid>
      <w:tr w:rsidR="00A769CA" w14:paraId="6F72B33C" w14:textId="77777777">
        <w:trPr>
          <w:trHeight w:val="442"/>
        </w:trPr>
        <w:tc>
          <w:tcPr>
            <w:tcW w:w="445" w:type="dxa"/>
            <w:shd w:val="clear" w:color="auto" w:fill="F2F2F2"/>
          </w:tcPr>
          <w:p w14:paraId="29BA9408" w14:textId="77777777" w:rsidR="00A769CA" w:rsidRDefault="00A769CA">
            <w:pPr>
              <w:spacing w:line="360" w:lineRule="auto"/>
            </w:pPr>
          </w:p>
        </w:tc>
        <w:tc>
          <w:tcPr>
            <w:tcW w:w="7888" w:type="dxa"/>
            <w:gridSpan w:val="3"/>
            <w:shd w:val="clear" w:color="auto" w:fill="F2F2F2"/>
            <w:vAlign w:val="center"/>
          </w:tcPr>
          <w:p w14:paraId="75CDB3AC" w14:textId="77777777" w:rsidR="00A769CA" w:rsidRDefault="008D3F3B">
            <w:pPr>
              <w:spacing w:line="360" w:lineRule="auto"/>
              <w:rPr>
                <w:b/>
                <w:bCs/>
              </w:rPr>
            </w:pPr>
            <w:r>
              <w:rPr>
                <w:b/>
                <w:bCs/>
              </w:rPr>
              <w:t>Data Protection</w:t>
            </w:r>
          </w:p>
        </w:tc>
      </w:tr>
      <w:tr w:rsidR="00A769CA" w14:paraId="059BAF40" w14:textId="77777777">
        <w:trPr>
          <w:trHeight w:val="442"/>
        </w:trPr>
        <w:tc>
          <w:tcPr>
            <w:tcW w:w="445" w:type="dxa"/>
            <w:shd w:val="clear" w:color="auto" w:fill="F2F2F2"/>
            <w:vAlign w:val="center"/>
          </w:tcPr>
          <w:p w14:paraId="1E52F844" w14:textId="77777777" w:rsidR="00A769CA" w:rsidRDefault="00A769CA">
            <w:pPr>
              <w:spacing w:line="360" w:lineRule="auto"/>
              <w:jc w:val="center"/>
            </w:pPr>
          </w:p>
        </w:tc>
        <w:tc>
          <w:tcPr>
            <w:tcW w:w="6282" w:type="dxa"/>
            <w:shd w:val="clear" w:color="auto" w:fill="F2F2F2"/>
            <w:vAlign w:val="center"/>
          </w:tcPr>
          <w:p w14:paraId="700AF8BB" w14:textId="77777777" w:rsidR="00A769CA" w:rsidRDefault="008D3F3B">
            <w:pPr>
              <w:spacing w:line="360" w:lineRule="auto"/>
              <w:rPr>
                <w:b/>
                <w:bCs/>
              </w:rPr>
            </w:pPr>
            <w:r>
              <w:t>Will the research activity involve any of the following activities:</w:t>
            </w:r>
          </w:p>
        </w:tc>
        <w:tc>
          <w:tcPr>
            <w:tcW w:w="795" w:type="dxa"/>
            <w:shd w:val="clear" w:color="auto" w:fill="F2F2F2"/>
            <w:vAlign w:val="center"/>
          </w:tcPr>
          <w:p w14:paraId="6FF50854" w14:textId="77777777" w:rsidR="00A769CA" w:rsidRDefault="008D3F3B">
            <w:pPr>
              <w:spacing w:line="360" w:lineRule="auto"/>
              <w:jc w:val="center"/>
              <w:rPr>
                <w:b/>
                <w:bCs/>
              </w:rPr>
            </w:pPr>
            <w:r>
              <w:rPr>
                <w:b/>
                <w:bCs/>
              </w:rPr>
              <w:t>YES</w:t>
            </w:r>
          </w:p>
        </w:tc>
        <w:tc>
          <w:tcPr>
            <w:tcW w:w="811" w:type="dxa"/>
            <w:shd w:val="clear" w:color="auto" w:fill="F2F2F2"/>
            <w:vAlign w:val="center"/>
          </w:tcPr>
          <w:p w14:paraId="264D7C06" w14:textId="77777777" w:rsidR="00A769CA" w:rsidRDefault="008D3F3B">
            <w:pPr>
              <w:spacing w:line="360" w:lineRule="auto"/>
              <w:jc w:val="center"/>
              <w:rPr>
                <w:b/>
                <w:bCs/>
              </w:rPr>
            </w:pPr>
            <w:r>
              <w:rPr>
                <w:b/>
                <w:bCs/>
              </w:rPr>
              <w:t>NO</w:t>
            </w:r>
          </w:p>
        </w:tc>
      </w:tr>
      <w:tr w:rsidR="00A769CA" w14:paraId="4F6D258F" w14:textId="77777777">
        <w:trPr>
          <w:trHeight w:val="442"/>
        </w:trPr>
        <w:tc>
          <w:tcPr>
            <w:tcW w:w="445" w:type="dxa"/>
            <w:shd w:val="clear" w:color="auto" w:fill="F2F2F2"/>
            <w:vAlign w:val="center"/>
          </w:tcPr>
          <w:p w14:paraId="409EDF26" w14:textId="77777777" w:rsidR="00A769CA" w:rsidRDefault="008D3F3B">
            <w:pPr>
              <w:spacing w:line="360" w:lineRule="auto"/>
              <w:jc w:val="center"/>
            </w:pPr>
            <w:r>
              <w:t>13</w:t>
            </w:r>
          </w:p>
        </w:tc>
        <w:tc>
          <w:tcPr>
            <w:tcW w:w="6282" w:type="dxa"/>
            <w:shd w:val="clear" w:color="auto" w:fill="F2F2F2"/>
            <w:vAlign w:val="center"/>
          </w:tcPr>
          <w:p w14:paraId="29E397C9" w14:textId="77777777" w:rsidR="00A769CA" w:rsidRDefault="008D3F3B">
            <w:pPr>
              <w:spacing w:line="360" w:lineRule="auto"/>
            </w:pPr>
            <w:r>
              <w:t>Electronic transfer of data in any form?</w:t>
            </w:r>
          </w:p>
        </w:tc>
        <w:tc>
          <w:tcPr>
            <w:tcW w:w="795" w:type="dxa"/>
            <w:shd w:val="clear" w:color="auto" w:fill="BFBFBF"/>
            <w:vAlign w:val="center"/>
          </w:tcPr>
          <w:p w14:paraId="1B42D1D7" w14:textId="77777777" w:rsidR="00A769CA" w:rsidRDefault="008D3F3B">
            <w:pPr>
              <w:spacing w:line="360" w:lineRule="auto"/>
              <w:jc w:val="center"/>
            </w:pPr>
            <w:r>
              <w:rPr>
                <w:rFonts w:ascii="MS Gothic" w:eastAsia="MS Gothic" w:hAnsi="MS Gothic" w:cs="MS Gothic"/>
              </w:rPr>
              <w:t>☑</w:t>
            </w:r>
          </w:p>
        </w:tc>
        <w:tc>
          <w:tcPr>
            <w:tcW w:w="811" w:type="dxa"/>
            <w:shd w:val="clear" w:color="auto" w:fill="BFBFBF"/>
            <w:vAlign w:val="center"/>
          </w:tcPr>
          <w:p w14:paraId="6D78D415" w14:textId="77777777" w:rsidR="00A769CA" w:rsidRDefault="008D3F3B">
            <w:pPr>
              <w:spacing w:line="360" w:lineRule="auto"/>
              <w:jc w:val="center"/>
            </w:pPr>
            <w:r>
              <w:rPr>
                <w:rFonts w:ascii="MS Gothic" w:eastAsia="MS Gothic" w:hAnsi="MS Gothic" w:cs="MS Gothic"/>
              </w:rPr>
              <w:t>☐</w:t>
            </w:r>
          </w:p>
        </w:tc>
      </w:tr>
      <w:tr w:rsidR="00A769CA" w14:paraId="75253587" w14:textId="77777777">
        <w:trPr>
          <w:trHeight w:val="406"/>
        </w:trPr>
        <w:tc>
          <w:tcPr>
            <w:tcW w:w="445" w:type="dxa"/>
            <w:shd w:val="clear" w:color="auto" w:fill="F2F2F2"/>
            <w:vAlign w:val="center"/>
          </w:tcPr>
          <w:p w14:paraId="2946C96D" w14:textId="77777777" w:rsidR="00A769CA" w:rsidRDefault="008D3F3B">
            <w:pPr>
              <w:spacing w:line="360" w:lineRule="auto"/>
              <w:jc w:val="center"/>
            </w:pPr>
            <w:r>
              <w:t>14</w:t>
            </w:r>
          </w:p>
        </w:tc>
        <w:tc>
          <w:tcPr>
            <w:tcW w:w="6282" w:type="dxa"/>
            <w:shd w:val="clear" w:color="auto" w:fill="F2F2F2"/>
            <w:vAlign w:val="center"/>
          </w:tcPr>
          <w:p w14:paraId="1BAA1259" w14:textId="77777777" w:rsidR="00A769CA" w:rsidRDefault="008D3F3B">
            <w:pPr>
              <w:spacing w:line="360" w:lineRule="auto"/>
            </w:pPr>
            <w:r>
              <w:t>Sharing of data with others at the University outside of the immediate research team?</w:t>
            </w:r>
          </w:p>
        </w:tc>
        <w:tc>
          <w:tcPr>
            <w:tcW w:w="795" w:type="dxa"/>
            <w:shd w:val="clear" w:color="auto" w:fill="BFBFBF"/>
            <w:vAlign w:val="center"/>
          </w:tcPr>
          <w:p w14:paraId="668E9933" w14:textId="77777777" w:rsidR="00A769CA" w:rsidRDefault="008D3F3B">
            <w:pPr>
              <w:spacing w:line="360" w:lineRule="auto"/>
              <w:jc w:val="center"/>
            </w:pPr>
            <w:r>
              <w:rPr>
                <w:rFonts w:ascii="MS Gothic" w:eastAsia="MS Gothic" w:hAnsi="MS Gothic" w:cs="MS Gothic"/>
              </w:rPr>
              <w:t>☐</w:t>
            </w:r>
          </w:p>
        </w:tc>
        <w:tc>
          <w:tcPr>
            <w:tcW w:w="811" w:type="dxa"/>
            <w:shd w:val="clear" w:color="auto" w:fill="BFBFBF"/>
            <w:vAlign w:val="center"/>
          </w:tcPr>
          <w:p w14:paraId="07983490" w14:textId="77777777" w:rsidR="00A769CA" w:rsidRDefault="008D3F3B">
            <w:pPr>
              <w:spacing w:line="360" w:lineRule="auto"/>
              <w:jc w:val="center"/>
            </w:pPr>
            <w:r>
              <w:rPr>
                <w:rFonts w:ascii="MS Gothic" w:eastAsia="MS Gothic" w:hAnsi="MS Gothic" w:cs="MS Gothic"/>
              </w:rPr>
              <w:t>☑</w:t>
            </w:r>
          </w:p>
        </w:tc>
      </w:tr>
      <w:tr w:rsidR="00A769CA" w14:paraId="6E27D0D9" w14:textId="77777777">
        <w:trPr>
          <w:trHeight w:val="442"/>
        </w:trPr>
        <w:tc>
          <w:tcPr>
            <w:tcW w:w="445" w:type="dxa"/>
            <w:shd w:val="clear" w:color="auto" w:fill="F2F2F2"/>
            <w:vAlign w:val="center"/>
          </w:tcPr>
          <w:p w14:paraId="2F83653E" w14:textId="77777777" w:rsidR="00A769CA" w:rsidRDefault="008D3F3B">
            <w:pPr>
              <w:spacing w:line="360" w:lineRule="auto"/>
              <w:jc w:val="center"/>
            </w:pPr>
            <w:r>
              <w:t>15</w:t>
            </w:r>
          </w:p>
        </w:tc>
        <w:tc>
          <w:tcPr>
            <w:tcW w:w="6282" w:type="dxa"/>
            <w:shd w:val="clear" w:color="auto" w:fill="F2F2F2"/>
            <w:vAlign w:val="center"/>
          </w:tcPr>
          <w:p w14:paraId="5ECFD643" w14:textId="77777777" w:rsidR="00A769CA" w:rsidRDefault="008D3F3B">
            <w:pPr>
              <w:spacing w:line="360" w:lineRule="auto"/>
            </w:pPr>
            <w:r>
              <w:t>Sharing of data with other organisations?</w:t>
            </w:r>
          </w:p>
        </w:tc>
        <w:tc>
          <w:tcPr>
            <w:tcW w:w="795" w:type="dxa"/>
            <w:shd w:val="clear" w:color="auto" w:fill="BFBFBF"/>
            <w:vAlign w:val="center"/>
          </w:tcPr>
          <w:p w14:paraId="665BA0E7" w14:textId="77777777" w:rsidR="00A769CA" w:rsidRDefault="008D3F3B">
            <w:pPr>
              <w:spacing w:line="360" w:lineRule="auto"/>
              <w:jc w:val="center"/>
            </w:pPr>
            <w:r>
              <w:rPr>
                <w:rFonts w:ascii="MS Gothic" w:eastAsia="MS Gothic" w:hAnsi="MS Gothic" w:cs="MS Gothic"/>
              </w:rPr>
              <w:t>☐</w:t>
            </w:r>
          </w:p>
        </w:tc>
        <w:tc>
          <w:tcPr>
            <w:tcW w:w="811" w:type="dxa"/>
            <w:shd w:val="clear" w:color="auto" w:fill="BFBFBF"/>
            <w:vAlign w:val="center"/>
          </w:tcPr>
          <w:p w14:paraId="6438B294" w14:textId="77777777" w:rsidR="00A769CA" w:rsidRDefault="008D3F3B">
            <w:pPr>
              <w:spacing w:line="360" w:lineRule="auto"/>
              <w:jc w:val="center"/>
            </w:pPr>
            <w:r>
              <w:rPr>
                <w:rFonts w:ascii="MS Gothic" w:eastAsia="MS Gothic" w:hAnsi="MS Gothic" w:cs="MS Gothic"/>
              </w:rPr>
              <w:t>☑</w:t>
            </w:r>
          </w:p>
        </w:tc>
      </w:tr>
      <w:tr w:rsidR="00A769CA" w14:paraId="02C281B1" w14:textId="77777777">
        <w:trPr>
          <w:trHeight w:val="406"/>
        </w:trPr>
        <w:tc>
          <w:tcPr>
            <w:tcW w:w="445" w:type="dxa"/>
            <w:shd w:val="clear" w:color="auto" w:fill="F2F2F2"/>
            <w:vAlign w:val="center"/>
          </w:tcPr>
          <w:p w14:paraId="0884030E" w14:textId="77777777" w:rsidR="00A769CA" w:rsidRDefault="008D3F3B">
            <w:pPr>
              <w:spacing w:line="360" w:lineRule="auto"/>
              <w:jc w:val="center"/>
            </w:pPr>
            <w:r>
              <w:t>16</w:t>
            </w:r>
          </w:p>
        </w:tc>
        <w:tc>
          <w:tcPr>
            <w:tcW w:w="6282" w:type="dxa"/>
            <w:shd w:val="clear" w:color="auto" w:fill="F2F2F2"/>
            <w:vAlign w:val="center"/>
          </w:tcPr>
          <w:p w14:paraId="4B75EB0E" w14:textId="77777777" w:rsidR="00A769CA" w:rsidRDefault="008D3F3B">
            <w:pPr>
              <w:spacing w:line="360" w:lineRule="auto"/>
            </w:pPr>
            <w:r>
              <w:t>Export of data outside the UK or importing of data from outside the UK?</w:t>
            </w:r>
          </w:p>
        </w:tc>
        <w:tc>
          <w:tcPr>
            <w:tcW w:w="795" w:type="dxa"/>
            <w:shd w:val="clear" w:color="auto" w:fill="BFBFBF"/>
            <w:vAlign w:val="center"/>
          </w:tcPr>
          <w:p w14:paraId="05C7500E" w14:textId="77777777" w:rsidR="00A769CA" w:rsidRDefault="008D3F3B">
            <w:pPr>
              <w:spacing w:line="360" w:lineRule="auto"/>
              <w:jc w:val="center"/>
            </w:pPr>
            <w:r>
              <w:rPr>
                <w:rFonts w:ascii="MS Gothic" w:eastAsia="MS Gothic" w:hAnsi="MS Gothic" w:cs="MS Gothic"/>
              </w:rPr>
              <w:t>☐</w:t>
            </w:r>
          </w:p>
        </w:tc>
        <w:tc>
          <w:tcPr>
            <w:tcW w:w="811" w:type="dxa"/>
            <w:shd w:val="clear" w:color="auto" w:fill="BFBFBF"/>
            <w:vAlign w:val="center"/>
          </w:tcPr>
          <w:p w14:paraId="4A56E601" w14:textId="77777777" w:rsidR="00A769CA" w:rsidRDefault="008D3F3B">
            <w:pPr>
              <w:spacing w:line="360" w:lineRule="auto"/>
              <w:jc w:val="center"/>
            </w:pPr>
            <w:r>
              <w:rPr>
                <w:rFonts w:ascii="MS Gothic" w:eastAsia="MS Gothic" w:hAnsi="MS Gothic" w:cs="MS Gothic"/>
              </w:rPr>
              <w:t>☑</w:t>
            </w:r>
          </w:p>
        </w:tc>
      </w:tr>
      <w:tr w:rsidR="00A769CA" w14:paraId="3CB4B850" w14:textId="77777777">
        <w:trPr>
          <w:trHeight w:val="406"/>
        </w:trPr>
        <w:tc>
          <w:tcPr>
            <w:tcW w:w="445" w:type="dxa"/>
            <w:shd w:val="clear" w:color="auto" w:fill="F2F2F2"/>
            <w:vAlign w:val="center"/>
          </w:tcPr>
          <w:p w14:paraId="7AF62828" w14:textId="77777777" w:rsidR="00A769CA" w:rsidRDefault="008D3F3B">
            <w:pPr>
              <w:spacing w:line="360" w:lineRule="auto"/>
              <w:jc w:val="center"/>
            </w:pPr>
            <w:r>
              <w:t>17</w:t>
            </w:r>
          </w:p>
        </w:tc>
        <w:tc>
          <w:tcPr>
            <w:tcW w:w="6282" w:type="dxa"/>
            <w:shd w:val="clear" w:color="auto" w:fill="F2F2F2"/>
            <w:vAlign w:val="center"/>
          </w:tcPr>
          <w:p w14:paraId="506F83F6" w14:textId="77777777" w:rsidR="00A769CA" w:rsidRDefault="008D3F3B">
            <w:pPr>
              <w:spacing w:line="360" w:lineRule="auto"/>
            </w:pPr>
            <w:r>
              <w:t>Use of personal addresses, postcodes, faxes, emails or telephone numbers?</w:t>
            </w:r>
          </w:p>
        </w:tc>
        <w:tc>
          <w:tcPr>
            <w:tcW w:w="795" w:type="dxa"/>
            <w:shd w:val="clear" w:color="auto" w:fill="BFBFBF"/>
            <w:vAlign w:val="center"/>
          </w:tcPr>
          <w:p w14:paraId="612667AE" w14:textId="77777777" w:rsidR="00A769CA" w:rsidRDefault="008D3F3B">
            <w:pPr>
              <w:spacing w:line="360" w:lineRule="auto"/>
              <w:jc w:val="center"/>
            </w:pPr>
            <w:r>
              <w:rPr>
                <w:rFonts w:ascii="MS Gothic" w:eastAsia="MS Gothic" w:hAnsi="MS Gothic" w:cs="MS Gothic"/>
              </w:rPr>
              <w:t>☐</w:t>
            </w:r>
          </w:p>
        </w:tc>
        <w:tc>
          <w:tcPr>
            <w:tcW w:w="811" w:type="dxa"/>
            <w:shd w:val="clear" w:color="auto" w:fill="BFBFBF"/>
            <w:vAlign w:val="center"/>
          </w:tcPr>
          <w:p w14:paraId="19646CF5" w14:textId="77777777" w:rsidR="00A769CA" w:rsidRDefault="008D3F3B">
            <w:pPr>
              <w:spacing w:line="360" w:lineRule="auto"/>
              <w:jc w:val="center"/>
            </w:pPr>
            <w:r>
              <w:rPr>
                <w:rFonts w:ascii="MS Gothic" w:eastAsia="MS Gothic" w:hAnsi="MS Gothic" w:cs="MS Gothic"/>
              </w:rPr>
              <w:t>☑</w:t>
            </w:r>
          </w:p>
        </w:tc>
      </w:tr>
      <w:tr w:rsidR="00A769CA" w14:paraId="5ACF1200" w14:textId="77777777">
        <w:trPr>
          <w:trHeight w:val="406"/>
        </w:trPr>
        <w:tc>
          <w:tcPr>
            <w:tcW w:w="445" w:type="dxa"/>
            <w:shd w:val="clear" w:color="auto" w:fill="F2F2F2"/>
            <w:vAlign w:val="center"/>
          </w:tcPr>
          <w:p w14:paraId="7C0FAF93" w14:textId="77777777" w:rsidR="00A769CA" w:rsidRDefault="008D3F3B">
            <w:pPr>
              <w:spacing w:line="360" w:lineRule="auto"/>
              <w:jc w:val="center"/>
            </w:pPr>
            <w:r>
              <w:t>18</w:t>
            </w:r>
          </w:p>
        </w:tc>
        <w:tc>
          <w:tcPr>
            <w:tcW w:w="6282" w:type="dxa"/>
            <w:shd w:val="clear" w:color="auto" w:fill="F2F2F2"/>
            <w:vAlign w:val="center"/>
          </w:tcPr>
          <w:p w14:paraId="00CF846E" w14:textId="77777777" w:rsidR="00A769CA" w:rsidRDefault="008D3F3B">
            <w:pPr>
              <w:spacing w:line="360" w:lineRule="auto"/>
            </w:pPr>
            <w:r>
              <w:t>Publication of data that might allow identification of individuals?</w:t>
            </w:r>
          </w:p>
        </w:tc>
        <w:tc>
          <w:tcPr>
            <w:tcW w:w="795" w:type="dxa"/>
            <w:shd w:val="clear" w:color="auto" w:fill="BFBFBF"/>
            <w:vAlign w:val="center"/>
          </w:tcPr>
          <w:p w14:paraId="34182456" w14:textId="77777777" w:rsidR="00A769CA" w:rsidRDefault="008D3F3B">
            <w:pPr>
              <w:spacing w:line="360" w:lineRule="auto"/>
              <w:jc w:val="center"/>
            </w:pPr>
            <w:r>
              <w:rPr>
                <w:rFonts w:ascii="MS Gothic" w:eastAsia="MS Gothic" w:hAnsi="MS Gothic" w:cs="MS Gothic"/>
              </w:rPr>
              <w:t>☐</w:t>
            </w:r>
          </w:p>
        </w:tc>
        <w:tc>
          <w:tcPr>
            <w:tcW w:w="811" w:type="dxa"/>
            <w:shd w:val="clear" w:color="auto" w:fill="BFBFBF"/>
            <w:vAlign w:val="center"/>
          </w:tcPr>
          <w:p w14:paraId="1D36CFD0" w14:textId="77777777" w:rsidR="00A769CA" w:rsidRDefault="008D3F3B">
            <w:pPr>
              <w:spacing w:line="360" w:lineRule="auto"/>
              <w:jc w:val="center"/>
            </w:pPr>
            <w:r>
              <w:rPr>
                <w:rFonts w:ascii="MS Gothic" w:eastAsia="MS Gothic" w:hAnsi="MS Gothic" w:cs="MS Gothic"/>
              </w:rPr>
              <w:t>☑</w:t>
            </w:r>
          </w:p>
        </w:tc>
      </w:tr>
      <w:tr w:rsidR="00A769CA" w14:paraId="6A8E06FC" w14:textId="77777777">
        <w:trPr>
          <w:trHeight w:val="406"/>
        </w:trPr>
        <w:tc>
          <w:tcPr>
            <w:tcW w:w="445" w:type="dxa"/>
            <w:shd w:val="clear" w:color="auto" w:fill="F2F2F2"/>
            <w:vAlign w:val="center"/>
          </w:tcPr>
          <w:p w14:paraId="54F26B5E" w14:textId="77777777" w:rsidR="00A769CA" w:rsidRDefault="008D3F3B">
            <w:pPr>
              <w:spacing w:line="360" w:lineRule="auto"/>
              <w:jc w:val="center"/>
            </w:pPr>
            <w:r>
              <w:t>19</w:t>
            </w:r>
          </w:p>
        </w:tc>
        <w:tc>
          <w:tcPr>
            <w:tcW w:w="6282" w:type="dxa"/>
            <w:shd w:val="clear" w:color="auto" w:fill="F2F2F2"/>
            <w:vAlign w:val="center"/>
          </w:tcPr>
          <w:p w14:paraId="730DE3D1" w14:textId="77777777" w:rsidR="00A769CA" w:rsidRDefault="008D3F3B">
            <w:pPr>
              <w:spacing w:line="360" w:lineRule="auto"/>
            </w:pPr>
            <w:r>
              <w:t>Use of data management system?</w:t>
            </w:r>
          </w:p>
        </w:tc>
        <w:tc>
          <w:tcPr>
            <w:tcW w:w="795" w:type="dxa"/>
            <w:shd w:val="clear" w:color="auto" w:fill="BFBFBF"/>
            <w:vAlign w:val="center"/>
          </w:tcPr>
          <w:p w14:paraId="76E9ADA0" w14:textId="77777777" w:rsidR="00A769CA" w:rsidRDefault="008D3F3B">
            <w:pPr>
              <w:spacing w:line="360" w:lineRule="auto"/>
              <w:jc w:val="center"/>
            </w:pPr>
            <w:r>
              <w:rPr>
                <w:rFonts w:ascii="MS Gothic" w:eastAsia="MS Gothic" w:hAnsi="MS Gothic" w:cs="MS Gothic"/>
              </w:rPr>
              <w:t>☐</w:t>
            </w:r>
          </w:p>
        </w:tc>
        <w:tc>
          <w:tcPr>
            <w:tcW w:w="811" w:type="dxa"/>
            <w:shd w:val="clear" w:color="auto" w:fill="BFBFBF"/>
            <w:vAlign w:val="center"/>
          </w:tcPr>
          <w:p w14:paraId="7DB6D81F" w14:textId="77777777" w:rsidR="00A769CA" w:rsidRDefault="008D3F3B">
            <w:pPr>
              <w:spacing w:line="360" w:lineRule="auto"/>
              <w:jc w:val="center"/>
            </w:pPr>
            <w:r>
              <w:rPr>
                <w:rFonts w:ascii="MS Gothic" w:eastAsia="MS Gothic" w:hAnsi="MS Gothic" w:cs="MS Gothic"/>
              </w:rPr>
              <w:t>☑</w:t>
            </w:r>
          </w:p>
        </w:tc>
      </w:tr>
      <w:tr w:rsidR="00A769CA" w14:paraId="4D3FEF7B" w14:textId="77777777">
        <w:trPr>
          <w:trHeight w:val="406"/>
        </w:trPr>
        <w:tc>
          <w:tcPr>
            <w:tcW w:w="445" w:type="dxa"/>
            <w:shd w:val="clear" w:color="auto" w:fill="F2F2F2"/>
            <w:vAlign w:val="center"/>
          </w:tcPr>
          <w:p w14:paraId="65AED6C6" w14:textId="77777777" w:rsidR="00A769CA" w:rsidRDefault="008D3F3B">
            <w:pPr>
              <w:spacing w:line="360" w:lineRule="auto"/>
              <w:jc w:val="center"/>
            </w:pPr>
            <w:r>
              <w:t>20</w:t>
            </w:r>
          </w:p>
        </w:tc>
        <w:tc>
          <w:tcPr>
            <w:tcW w:w="6282" w:type="dxa"/>
            <w:shd w:val="clear" w:color="auto" w:fill="F2F2F2"/>
            <w:vAlign w:val="center"/>
          </w:tcPr>
          <w:p w14:paraId="7F7252FA" w14:textId="77777777" w:rsidR="00A769CA" w:rsidRDefault="008D3F3B">
            <w:pPr>
              <w:spacing w:line="360" w:lineRule="auto"/>
              <w:rPr>
                <w:b/>
                <w:bCs/>
              </w:rPr>
            </w:pPr>
            <w:r>
              <w:t>Data archiving?</w:t>
            </w:r>
          </w:p>
        </w:tc>
        <w:tc>
          <w:tcPr>
            <w:tcW w:w="795" w:type="dxa"/>
            <w:shd w:val="clear" w:color="auto" w:fill="BFBFBF"/>
            <w:vAlign w:val="center"/>
          </w:tcPr>
          <w:p w14:paraId="5FE633FC" w14:textId="77777777" w:rsidR="00A769CA" w:rsidRDefault="008D3F3B">
            <w:pPr>
              <w:spacing w:line="360" w:lineRule="auto"/>
              <w:jc w:val="center"/>
            </w:pPr>
            <w:r>
              <w:rPr>
                <w:rFonts w:ascii="MS Gothic" w:eastAsia="MS Gothic" w:hAnsi="MS Gothic" w:cs="MS Gothic"/>
              </w:rPr>
              <w:t>☐</w:t>
            </w:r>
          </w:p>
        </w:tc>
        <w:tc>
          <w:tcPr>
            <w:tcW w:w="811" w:type="dxa"/>
            <w:shd w:val="clear" w:color="auto" w:fill="BFBFBF"/>
            <w:vAlign w:val="center"/>
          </w:tcPr>
          <w:p w14:paraId="1D652B6E" w14:textId="77777777" w:rsidR="00A769CA" w:rsidRDefault="008D3F3B">
            <w:pPr>
              <w:spacing w:line="360" w:lineRule="auto"/>
              <w:jc w:val="center"/>
            </w:pPr>
            <w:r>
              <w:rPr>
                <w:rFonts w:ascii="MS Gothic" w:eastAsia="MS Gothic" w:hAnsi="MS Gothic" w:cs="MS Gothic"/>
              </w:rPr>
              <w:t>☑</w:t>
            </w:r>
          </w:p>
        </w:tc>
      </w:tr>
      <w:tr w:rsidR="00A769CA" w14:paraId="4679ED35" w14:textId="77777777">
        <w:trPr>
          <w:trHeight w:val="406"/>
        </w:trPr>
        <w:tc>
          <w:tcPr>
            <w:tcW w:w="445" w:type="dxa"/>
            <w:shd w:val="clear" w:color="auto" w:fill="F2F2F2"/>
            <w:vAlign w:val="center"/>
          </w:tcPr>
          <w:p w14:paraId="28D31754" w14:textId="77777777" w:rsidR="00A769CA" w:rsidRDefault="008D3F3B">
            <w:pPr>
              <w:spacing w:before="120" w:after="120" w:line="360" w:lineRule="auto"/>
              <w:jc w:val="center"/>
            </w:pPr>
            <w:r>
              <w:t>21</w:t>
            </w:r>
          </w:p>
        </w:tc>
        <w:tc>
          <w:tcPr>
            <w:tcW w:w="7888" w:type="dxa"/>
            <w:gridSpan w:val="3"/>
            <w:shd w:val="clear" w:color="auto" w:fill="F2F2F2"/>
            <w:vAlign w:val="center"/>
          </w:tcPr>
          <w:p w14:paraId="4532BC98" w14:textId="77777777" w:rsidR="00A769CA" w:rsidRDefault="008D3F3B">
            <w:pPr>
              <w:spacing w:before="120" w:after="120" w:line="360" w:lineRule="auto"/>
            </w:pPr>
            <w:r>
              <w:t>If YES</w:t>
            </w:r>
            <w:r>
              <w:rPr>
                <w:b/>
                <w:bCs/>
              </w:rPr>
              <w:t xml:space="preserve"> </w:t>
            </w:r>
            <w:r>
              <w:t>to any question, please provide full details, explaining how this will be conducted in accordance with the GDPR and Data Protection Act (2018) (and any international equivalents, where appropriate):</w:t>
            </w:r>
          </w:p>
        </w:tc>
      </w:tr>
      <w:tr w:rsidR="00A769CA" w14:paraId="56E18FAE" w14:textId="77777777">
        <w:trPr>
          <w:trHeight w:val="406"/>
        </w:trPr>
        <w:tc>
          <w:tcPr>
            <w:tcW w:w="445" w:type="dxa"/>
            <w:vAlign w:val="center"/>
          </w:tcPr>
          <w:p w14:paraId="4E8DE9DD" w14:textId="77777777" w:rsidR="00A769CA" w:rsidRDefault="00A769CA">
            <w:pPr>
              <w:spacing w:line="360" w:lineRule="auto"/>
              <w:jc w:val="center"/>
            </w:pPr>
          </w:p>
        </w:tc>
        <w:tc>
          <w:tcPr>
            <w:tcW w:w="7888" w:type="dxa"/>
            <w:gridSpan w:val="3"/>
            <w:vAlign w:val="center"/>
          </w:tcPr>
          <w:p w14:paraId="3551946F" w14:textId="77777777" w:rsidR="00A769CA" w:rsidRDefault="008D3F3B">
            <w:pPr>
              <w:spacing w:line="360" w:lineRule="auto"/>
            </w:pPr>
            <w:r>
              <w:t>Electronic data transfer will occur only through Turnitin for submission purposes. All handling will comply with GDPR and the Data Protection Act (2018). No third-party data sharing or personal information transfer will occur.</w:t>
            </w:r>
          </w:p>
          <w:p w14:paraId="15B8354D" w14:textId="77777777" w:rsidR="00A769CA" w:rsidRDefault="00A769CA">
            <w:pPr>
              <w:spacing w:line="360" w:lineRule="auto"/>
            </w:pPr>
          </w:p>
        </w:tc>
      </w:tr>
      <w:tr w:rsidR="00A769CA" w14:paraId="46B79A7C" w14:textId="77777777">
        <w:trPr>
          <w:trHeight w:val="406"/>
        </w:trPr>
        <w:tc>
          <w:tcPr>
            <w:tcW w:w="445" w:type="dxa"/>
            <w:shd w:val="clear" w:color="auto" w:fill="F2F2F2"/>
            <w:vAlign w:val="center"/>
          </w:tcPr>
          <w:p w14:paraId="2651F5B5" w14:textId="77777777" w:rsidR="00A769CA" w:rsidRDefault="008D3F3B">
            <w:pPr>
              <w:spacing w:line="360" w:lineRule="auto"/>
              <w:jc w:val="center"/>
            </w:pPr>
            <w:r>
              <w:t>22</w:t>
            </w:r>
          </w:p>
        </w:tc>
        <w:tc>
          <w:tcPr>
            <w:tcW w:w="7888" w:type="dxa"/>
            <w:gridSpan w:val="3"/>
            <w:shd w:val="clear" w:color="auto" w:fill="F2F2F2"/>
            <w:vAlign w:val="center"/>
          </w:tcPr>
          <w:p w14:paraId="314BDF05" w14:textId="77777777" w:rsidR="00A769CA" w:rsidRDefault="008D3F3B">
            <w:pPr>
              <w:spacing w:line="360" w:lineRule="auto"/>
            </w:pPr>
            <w:r>
              <w:t>List all who will have access to the data generated by the research activity:</w:t>
            </w:r>
          </w:p>
        </w:tc>
      </w:tr>
      <w:tr w:rsidR="00A769CA" w14:paraId="250A6628" w14:textId="77777777">
        <w:trPr>
          <w:trHeight w:val="406"/>
        </w:trPr>
        <w:tc>
          <w:tcPr>
            <w:tcW w:w="445" w:type="dxa"/>
            <w:vAlign w:val="center"/>
          </w:tcPr>
          <w:p w14:paraId="0CAE4E75" w14:textId="77777777" w:rsidR="00A769CA" w:rsidRDefault="00A769CA">
            <w:pPr>
              <w:spacing w:line="360" w:lineRule="auto"/>
              <w:jc w:val="center"/>
            </w:pPr>
          </w:p>
        </w:tc>
        <w:tc>
          <w:tcPr>
            <w:tcW w:w="7888" w:type="dxa"/>
            <w:gridSpan w:val="3"/>
            <w:vAlign w:val="center"/>
          </w:tcPr>
          <w:p w14:paraId="160495F4" w14:textId="77777777" w:rsidR="00A769CA" w:rsidRDefault="008D3F3B">
            <w:pPr>
              <w:spacing w:line="360" w:lineRule="auto"/>
            </w:pPr>
            <w:r>
              <w:t>Only the researcher and the project supervisor will have access.</w:t>
            </w:r>
          </w:p>
          <w:p w14:paraId="48F97500" w14:textId="77777777" w:rsidR="00A769CA" w:rsidRDefault="00A769CA">
            <w:pPr>
              <w:spacing w:line="360" w:lineRule="auto"/>
            </w:pPr>
          </w:p>
        </w:tc>
      </w:tr>
      <w:tr w:rsidR="00A769CA" w14:paraId="0B91486C" w14:textId="77777777">
        <w:trPr>
          <w:trHeight w:val="406"/>
        </w:trPr>
        <w:tc>
          <w:tcPr>
            <w:tcW w:w="445" w:type="dxa"/>
            <w:shd w:val="clear" w:color="auto" w:fill="F2F2F2"/>
            <w:vAlign w:val="center"/>
          </w:tcPr>
          <w:p w14:paraId="1AFDC840" w14:textId="77777777" w:rsidR="00A769CA" w:rsidRDefault="008D3F3B">
            <w:pPr>
              <w:spacing w:line="360" w:lineRule="auto"/>
              <w:jc w:val="center"/>
            </w:pPr>
            <w:r>
              <w:lastRenderedPageBreak/>
              <w:t>23</w:t>
            </w:r>
          </w:p>
        </w:tc>
        <w:tc>
          <w:tcPr>
            <w:tcW w:w="7888" w:type="dxa"/>
            <w:gridSpan w:val="3"/>
            <w:shd w:val="clear" w:color="auto" w:fill="F2F2F2"/>
          </w:tcPr>
          <w:p w14:paraId="14F8102D" w14:textId="77777777" w:rsidR="00A769CA" w:rsidRDefault="008D3F3B">
            <w:pPr>
              <w:spacing w:line="360" w:lineRule="auto"/>
            </w:pPr>
            <w:r>
              <w:t>List who will have control of, and act as custodian(s) for, data generated by the research activity:</w:t>
            </w:r>
          </w:p>
        </w:tc>
      </w:tr>
      <w:tr w:rsidR="00A769CA" w14:paraId="3690F96F" w14:textId="77777777">
        <w:trPr>
          <w:trHeight w:val="406"/>
        </w:trPr>
        <w:tc>
          <w:tcPr>
            <w:tcW w:w="445" w:type="dxa"/>
            <w:vAlign w:val="center"/>
          </w:tcPr>
          <w:p w14:paraId="5F9401F1" w14:textId="77777777" w:rsidR="00A769CA" w:rsidRDefault="00A769CA">
            <w:pPr>
              <w:spacing w:line="360" w:lineRule="auto"/>
              <w:jc w:val="center"/>
            </w:pPr>
          </w:p>
        </w:tc>
        <w:tc>
          <w:tcPr>
            <w:tcW w:w="7888" w:type="dxa"/>
            <w:gridSpan w:val="3"/>
          </w:tcPr>
          <w:p w14:paraId="4C1B68EB" w14:textId="77777777" w:rsidR="00A769CA" w:rsidRDefault="008D3F3B">
            <w:pPr>
              <w:spacing w:line="360" w:lineRule="auto"/>
            </w:pPr>
            <w:r>
              <w:t>The researcher will act as the primary custodian, with oversight by the supervisor.</w:t>
            </w:r>
          </w:p>
          <w:p w14:paraId="5294EE90" w14:textId="77777777" w:rsidR="00A769CA" w:rsidRDefault="00A769CA">
            <w:pPr>
              <w:spacing w:line="360" w:lineRule="auto"/>
            </w:pPr>
          </w:p>
        </w:tc>
      </w:tr>
      <w:tr w:rsidR="00A769CA" w14:paraId="220E2206" w14:textId="77777777">
        <w:trPr>
          <w:trHeight w:val="406"/>
        </w:trPr>
        <w:tc>
          <w:tcPr>
            <w:tcW w:w="445" w:type="dxa"/>
            <w:shd w:val="clear" w:color="auto" w:fill="F2F2F2"/>
            <w:vAlign w:val="center"/>
          </w:tcPr>
          <w:p w14:paraId="72BDD91C" w14:textId="77777777" w:rsidR="00A769CA" w:rsidRDefault="008D3F3B">
            <w:pPr>
              <w:spacing w:line="360" w:lineRule="auto"/>
              <w:jc w:val="center"/>
            </w:pPr>
            <w:r>
              <w:t>24</w:t>
            </w:r>
          </w:p>
        </w:tc>
        <w:tc>
          <w:tcPr>
            <w:tcW w:w="7888" w:type="dxa"/>
            <w:gridSpan w:val="3"/>
            <w:shd w:val="clear" w:color="auto" w:fill="F2F2F2"/>
          </w:tcPr>
          <w:p w14:paraId="783EF371" w14:textId="77777777" w:rsidR="00A769CA" w:rsidRDefault="008D3F3B">
            <w:pPr>
              <w:spacing w:line="360" w:lineRule="auto"/>
            </w:pPr>
            <w:r>
              <w:t xml:space="preserve">Give details of data storage arrangements, including security measures in place to protect the data, where data will be stored, how long for, and in what form. Will data be archived – if so how and if not </w:t>
            </w:r>
            <w:proofErr w:type="gramStart"/>
            <w:r>
              <w:t>why not</w:t>
            </w:r>
            <w:proofErr w:type="gramEnd"/>
            <w:r>
              <w:t xml:space="preserve">.  </w:t>
            </w:r>
          </w:p>
        </w:tc>
      </w:tr>
      <w:tr w:rsidR="00A769CA" w14:paraId="2C0BEB58" w14:textId="77777777">
        <w:trPr>
          <w:trHeight w:val="406"/>
        </w:trPr>
        <w:tc>
          <w:tcPr>
            <w:tcW w:w="445" w:type="dxa"/>
            <w:vAlign w:val="center"/>
          </w:tcPr>
          <w:p w14:paraId="133C1048" w14:textId="77777777" w:rsidR="00A769CA" w:rsidRDefault="00A769CA">
            <w:pPr>
              <w:spacing w:line="360" w:lineRule="auto"/>
              <w:jc w:val="center"/>
            </w:pPr>
          </w:p>
        </w:tc>
        <w:tc>
          <w:tcPr>
            <w:tcW w:w="7888" w:type="dxa"/>
            <w:gridSpan w:val="3"/>
          </w:tcPr>
          <w:p w14:paraId="0249544E" w14:textId="77777777" w:rsidR="00A769CA" w:rsidRDefault="008D3F3B">
            <w:pPr>
              <w:spacing w:line="360" w:lineRule="auto"/>
            </w:pPr>
            <w:r>
              <w:t>Stored on University OneDrive, password-protected, retained until assessment completion, and permanently deleted afterward.</w:t>
            </w:r>
          </w:p>
          <w:p w14:paraId="5233E603" w14:textId="77777777" w:rsidR="00A769CA" w:rsidRDefault="00A769CA">
            <w:pPr>
              <w:spacing w:line="360" w:lineRule="auto"/>
            </w:pPr>
          </w:p>
        </w:tc>
      </w:tr>
      <w:tr w:rsidR="00A769CA" w14:paraId="20560B17" w14:textId="77777777">
        <w:trPr>
          <w:trHeight w:val="406"/>
        </w:trPr>
        <w:tc>
          <w:tcPr>
            <w:tcW w:w="445" w:type="dxa"/>
            <w:shd w:val="clear" w:color="auto" w:fill="F2F2F2"/>
            <w:vAlign w:val="center"/>
          </w:tcPr>
          <w:p w14:paraId="605048D0" w14:textId="77777777" w:rsidR="00A769CA" w:rsidRDefault="008D3F3B">
            <w:pPr>
              <w:spacing w:line="360" w:lineRule="auto"/>
              <w:jc w:val="center"/>
            </w:pPr>
            <w:r>
              <w:t>25</w:t>
            </w:r>
          </w:p>
        </w:tc>
        <w:tc>
          <w:tcPr>
            <w:tcW w:w="7888" w:type="dxa"/>
            <w:gridSpan w:val="3"/>
            <w:shd w:val="clear" w:color="auto" w:fill="F2F2F2"/>
          </w:tcPr>
          <w:p w14:paraId="03063619" w14:textId="77777777" w:rsidR="00A769CA" w:rsidRDefault="008D3F3B">
            <w:pPr>
              <w:spacing w:line="360" w:lineRule="auto"/>
            </w:pPr>
            <w:r>
              <w:t xml:space="preserve">Please indicate if your data will be stored in the UWTSD Research Data Repository (see </w:t>
            </w:r>
            <w:hyperlink r:id="rId200">
              <w:r>
                <w:rPr>
                  <w:u w:val="single"/>
                </w:rPr>
                <w:t>https://researchdata.uwtsd.ac.uk/</w:t>
              </w:r>
            </w:hyperlink>
            <w:r>
              <w:t xml:space="preserve"> ).   If </w:t>
            </w:r>
            <w:proofErr w:type="gramStart"/>
            <w:r>
              <w:t>so</w:t>
            </w:r>
            <w:proofErr w:type="gramEnd"/>
            <w:r>
              <w:t xml:space="preserve"> please explain. (</w:t>
            </w:r>
            <w:r>
              <w:rPr>
                <w:i/>
                <w:iCs/>
              </w:rPr>
              <w:t>Most relevant to academic staff)</w:t>
            </w:r>
            <w:r>
              <w:rPr>
                <w:rFonts w:ascii="Times New Roman" w:eastAsia="Times New Roman" w:hAnsi="Times New Roman" w:cs="Times New Roman"/>
                <w:sz w:val="20"/>
                <w:szCs w:val="20"/>
              </w:rPr>
              <w:t xml:space="preserve"> </w:t>
            </w:r>
          </w:p>
        </w:tc>
      </w:tr>
      <w:tr w:rsidR="00A769CA" w14:paraId="2157DFE4" w14:textId="77777777">
        <w:trPr>
          <w:trHeight w:val="406"/>
        </w:trPr>
        <w:tc>
          <w:tcPr>
            <w:tcW w:w="445" w:type="dxa"/>
            <w:vAlign w:val="center"/>
          </w:tcPr>
          <w:p w14:paraId="1FF43911" w14:textId="77777777" w:rsidR="00A769CA" w:rsidRDefault="00A769CA">
            <w:pPr>
              <w:spacing w:line="360" w:lineRule="auto"/>
              <w:jc w:val="center"/>
            </w:pPr>
          </w:p>
        </w:tc>
        <w:tc>
          <w:tcPr>
            <w:tcW w:w="7888" w:type="dxa"/>
            <w:gridSpan w:val="3"/>
          </w:tcPr>
          <w:p w14:paraId="773E0522" w14:textId="77777777" w:rsidR="00A769CA" w:rsidRDefault="008D3F3B">
            <w:pPr>
              <w:spacing w:line="360" w:lineRule="auto"/>
            </w:pPr>
            <w:r>
              <w:t>Not applicable.</w:t>
            </w:r>
          </w:p>
        </w:tc>
      </w:tr>
      <w:tr w:rsidR="00A769CA" w14:paraId="1C3FBE8A" w14:textId="77777777">
        <w:trPr>
          <w:trHeight w:val="610"/>
        </w:trPr>
        <w:tc>
          <w:tcPr>
            <w:tcW w:w="445" w:type="dxa"/>
            <w:shd w:val="clear" w:color="auto" w:fill="F2F2F2"/>
            <w:vAlign w:val="center"/>
          </w:tcPr>
          <w:p w14:paraId="4334EEF1" w14:textId="77777777" w:rsidR="00A769CA" w:rsidRDefault="008D3F3B">
            <w:pPr>
              <w:spacing w:line="360" w:lineRule="auto"/>
              <w:jc w:val="center"/>
            </w:pPr>
            <w:r>
              <w:t>26</w:t>
            </w:r>
          </w:p>
        </w:tc>
        <w:tc>
          <w:tcPr>
            <w:tcW w:w="6282" w:type="dxa"/>
            <w:shd w:val="clear" w:color="auto" w:fill="F2F2F2"/>
          </w:tcPr>
          <w:p w14:paraId="60BF6778" w14:textId="77777777" w:rsidR="00A769CA" w:rsidRDefault="008D3F3B">
            <w:pPr>
              <w:spacing w:line="360" w:lineRule="auto"/>
            </w:pPr>
            <w:r>
              <w:t xml:space="preserve">Confirm that you have read the UWTSD guidance on data management (see </w:t>
            </w:r>
            <w:hyperlink r:id="rId201">
              <w:r>
                <w:rPr>
                  <w:u w:val="single"/>
                </w:rPr>
                <w:t>https://www.uwtsd.ac.uk/library/research-data-management/</w:t>
              </w:r>
            </w:hyperlink>
            <w:r>
              <w:t>)</w:t>
            </w:r>
          </w:p>
        </w:tc>
        <w:tc>
          <w:tcPr>
            <w:tcW w:w="795" w:type="dxa"/>
            <w:shd w:val="clear" w:color="auto" w:fill="F2F2F2"/>
            <w:vAlign w:val="center"/>
          </w:tcPr>
          <w:p w14:paraId="29F15138" w14:textId="77777777" w:rsidR="00A769CA" w:rsidRDefault="008D3F3B">
            <w:pPr>
              <w:spacing w:line="360" w:lineRule="auto"/>
              <w:jc w:val="center"/>
              <w:rPr>
                <w:b/>
                <w:bCs/>
              </w:rPr>
            </w:pPr>
            <w:r>
              <w:rPr>
                <w:b/>
                <w:bCs/>
              </w:rPr>
              <w:t>YES</w:t>
            </w:r>
          </w:p>
        </w:tc>
        <w:tc>
          <w:tcPr>
            <w:tcW w:w="811" w:type="dxa"/>
            <w:shd w:val="clear" w:color="auto" w:fill="BFBFBF"/>
            <w:vAlign w:val="center"/>
          </w:tcPr>
          <w:p w14:paraId="29C59707" w14:textId="77777777" w:rsidR="00A769CA" w:rsidRDefault="008D3F3B">
            <w:pPr>
              <w:spacing w:line="360" w:lineRule="auto"/>
              <w:jc w:val="center"/>
            </w:pPr>
            <w:r>
              <w:rPr>
                <w:rFonts w:ascii="MS Gothic" w:eastAsia="MS Gothic" w:hAnsi="MS Gothic" w:cs="MS Gothic"/>
                <w:sz w:val="20"/>
                <w:szCs w:val="20"/>
              </w:rPr>
              <w:t>☑</w:t>
            </w:r>
          </w:p>
        </w:tc>
      </w:tr>
      <w:tr w:rsidR="00A769CA" w14:paraId="69D40649" w14:textId="77777777">
        <w:trPr>
          <w:trHeight w:val="636"/>
        </w:trPr>
        <w:tc>
          <w:tcPr>
            <w:tcW w:w="445" w:type="dxa"/>
            <w:shd w:val="clear" w:color="auto" w:fill="F2F2F2"/>
            <w:vAlign w:val="center"/>
          </w:tcPr>
          <w:p w14:paraId="547D6330" w14:textId="77777777" w:rsidR="00A769CA" w:rsidRDefault="008D3F3B">
            <w:pPr>
              <w:spacing w:line="360" w:lineRule="auto"/>
              <w:jc w:val="center"/>
            </w:pPr>
            <w:r>
              <w:t>27</w:t>
            </w:r>
          </w:p>
        </w:tc>
        <w:tc>
          <w:tcPr>
            <w:tcW w:w="6282" w:type="dxa"/>
            <w:shd w:val="clear" w:color="auto" w:fill="F2F2F2"/>
          </w:tcPr>
          <w:p w14:paraId="695304F9" w14:textId="77777777" w:rsidR="00A769CA" w:rsidRDefault="008D3F3B">
            <w:pPr>
              <w:spacing w:line="360" w:lineRule="auto"/>
            </w:pPr>
            <w:r>
              <w:t>Confirm that you are aware that you need to keep all data until after your research has completed or the end of your funding</w:t>
            </w:r>
          </w:p>
        </w:tc>
        <w:tc>
          <w:tcPr>
            <w:tcW w:w="795" w:type="dxa"/>
            <w:shd w:val="clear" w:color="auto" w:fill="F2F2F2"/>
            <w:vAlign w:val="center"/>
          </w:tcPr>
          <w:p w14:paraId="30F2AACF" w14:textId="77777777" w:rsidR="00A769CA" w:rsidRDefault="008D3F3B">
            <w:pPr>
              <w:spacing w:line="360" w:lineRule="auto"/>
              <w:jc w:val="center"/>
              <w:rPr>
                <w:b/>
                <w:bCs/>
              </w:rPr>
            </w:pPr>
            <w:r>
              <w:rPr>
                <w:b/>
                <w:bCs/>
              </w:rPr>
              <w:t>YES</w:t>
            </w:r>
          </w:p>
        </w:tc>
        <w:tc>
          <w:tcPr>
            <w:tcW w:w="811" w:type="dxa"/>
            <w:shd w:val="clear" w:color="auto" w:fill="BFBFBF"/>
            <w:vAlign w:val="center"/>
          </w:tcPr>
          <w:p w14:paraId="688FA5AF" w14:textId="77777777" w:rsidR="00A769CA" w:rsidRDefault="008D3F3B">
            <w:pPr>
              <w:spacing w:line="360" w:lineRule="auto"/>
              <w:jc w:val="center"/>
            </w:pPr>
            <w:r>
              <w:rPr>
                <w:rFonts w:ascii="MS Gothic" w:eastAsia="MS Gothic" w:hAnsi="MS Gothic" w:cs="MS Gothic"/>
                <w:sz w:val="20"/>
                <w:szCs w:val="20"/>
              </w:rPr>
              <w:t>☑</w:t>
            </w:r>
          </w:p>
        </w:tc>
      </w:tr>
    </w:tbl>
    <w:p w14:paraId="060204F3" w14:textId="77777777" w:rsidR="00A769CA" w:rsidRDefault="00A769CA">
      <w:pPr>
        <w:spacing w:line="360" w:lineRule="auto"/>
        <w:rPr>
          <w:b/>
          <w:bCs/>
        </w:rPr>
      </w:pPr>
    </w:p>
    <w:p w14:paraId="16849D5F" w14:textId="77777777" w:rsidR="00A769CA" w:rsidRDefault="008D3F3B">
      <w:pPr>
        <w:spacing w:line="360" w:lineRule="auto"/>
        <w:rPr>
          <w:b/>
          <w:bCs/>
        </w:rPr>
      </w:pPr>
      <w:r>
        <w:br w:type="page"/>
      </w:r>
    </w:p>
    <w:p w14:paraId="7895F6BD" w14:textId="77777777" w:rsidR="00A769CA" w:rsidRDefault="008D3F3B">
      <w:pPr>
        <w:spacing w:after="240" w:line="360" w:lineRule="auto"/>
        <w:jc w:val="both"/>
        <w:rPr>
          <w:b/>
          <w:bCs/>
        </w:rPr>
      </w:pPr>
      <w:r>
        <w:rPr>
          <w:b/>
          <w:bCs/>
        </w:rPr>
        <w:lastRenderedPageBreak/>
        <w:t>SECTION K: Declaration</w:t>
      </w:r>
    </w:p>
    <w:tbl>
      <w:tblPr>
        <w:tblStyle w:val="affc"/>
        <w:tblW w:w="10480"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0"/>
        <w:gridCol w:w="2960"/>
        <w:gridCol w:w="4820"/>
        <w:gridCol w:w="2140"/>
      </w:tblGrid>
      <w:tr w:rsidR="00A769CA" w14:paraId="20076C09" w14:textId="77777777">
        <w:trPr>
          <w:trHeight w:val="1807"/>
        </w:trPr>
        <w:tc>
          <w:tcPr>
            <w:tcW w:w="560" w:type="dxa"/>
            <w:shd w:val="clear" w:color="auto" w:fill="F2F2F2"/>
            <w:vAlign w:val="center"/>
          </w:tcPr>
          <w:p w14:paraId="2C279777" w14:textId="77777777" w:rsidR="00A769CA" w:rsidRDefault="00A769CA">
            <w:pPr>
              <w:spacing w:line="360" w:lineRule="auto"/>
              <w:jc w:val="center"/>
            </w:pPr>
          </w:p>
        </w:tc>
        <w:tc>
          <w:tcPr>
            <w:tcW w:w="9920" w:type="dxa"/>
            <w:gridSpan w:val="3"/>
            <w:shd w:val="clear" w:color="auto" w:fill="F2F2F2"/>
            <w:vAlign w:val="center"/>
          </w:tcPr>
          <w:p w14:paraId="05EA6BCD" w14:textId="77777777" w:rsidR="00A769CA" w:rsidRDefault="008D3F3B">
            <w:pPr>
              <w:spacing w:line="360" w:lineRule="auto"/>
              <w:jc w:val="both"/>
              <w:rPr>
                <w:b/>
                <w:bCs/>
              </w:rPr>
            </w:pPr>
            <w:r>
              <w:t>The information which I have provided is correct and complete to the best of my knowledge. I have attempted to identify any risks and issues related to the research activity and acknowledge my obligations and the rights of the participants</w:t>
            </w:r>
            <w:r>
              <w:rPr>
                <w:b/>
                <w:bCs/>
              </w:rPr>
              <w:t>.</w:t>
            </w:r>
          </w:p>
          <w:p w14:paraId="0D365A76" w14:textId="77777777" w:rsidR="00A769CA" w:rsidRDefault="00A769CA">
            <w:pPr>
              <w:spacing w:line="360" w:lineRule="auto"/>
              <w:jc w:val="both"/>
              <w:rPr>
                <w:b/>
                <w:bCs/>
              </w:rPr>
            </w:pPr>
          </w:p>
          <w:p w14:paraId="7939232D" w14:textId="77777777" w:rsidR="00A769CA" w:rsidRDefault="008D3F3B">
            <w:pPr>
              <w:spacing w:line="360" w:lineRule="auto"/>
              <w:jc w:val="both"/>
              <w:rPr>
                <w:color w:val="000080"/>
              </w:rPr>
            </w:pPr>
            <w:r>
              <w:t xml:space="preserve">In submitting this application I hereby confirm that I undertake to ensure that the above named research activity will meet the University’s Research Ethics and Integrity Code of Practice which is published on the website: </w:t>
            </w:r>
            <w:hyperlink r:id="rId202">
              <w:r>
                <w:rPr>
                  <w:color w:val="0000FF"/>
                  <w:u w:val="single"/>
                </w:rPr>
                <w:t>https://www.uwtsd.ac.uk/research/research-ethics/</w:t>
              </w:r>
            </w:hyperlink>
            <w:r>
              <w:t xml:space="preserve"> </w:t>
            </w:r>
          </w:p>
        </w:tc>
      </w:tr>
      <w:tr w:rsidR="00A769CA" w14:paraId="3B05BF66" w14:textId="77777777">
        <w:trPr>
          <w:trHeight w:val="657"/>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7C86451" w14:textId="77777777" w:rsidR="00A769CA" w:rsidRDefault="008D3F3B">
            <w:pPr>
              <w:spacing w:line="360" w:lineRule="auto"/>
              <w:jc w:val="center"/>
            </w:pPr>
            <w:r>
              <w:t>1</w:t>
            </w:r>
          </w:p>
        </w:tc>
        <w:tc>
          <w:tcPr>
            <w:tcW w:w="29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DBD6978" w14:textId="77777777" w:rsidR="00A769CA" w:rsidRDefault="008D3F3B">
            <w:pPr>
              <w:spacing w:line="360" w:lineRule="auto"/>
            </w:pPr>
            <w:r>
              <w:rPr>
                <w:b/>
                <w:bCs/>
              </w:rPr>
              <w:t>Signature of applicant:</w:t>
            </w:r>
          </w:p>
        </w:tc>
        <w:tc>
          <w:tcPr>
            <w:tcW w:w="4820" w:type="dxa"/>
            <w:tcBorders>
              <w:left w:val="single" w:sz="4" w:space="0" w:color="000000"/>
            </w:tcBorders>
            <w:vAlign w:val="center"/>
          </w:tcPr>
          <w:p w14:paraId="2683E59B" w14:textId="77777777" w:rsidR="00A769CA" w:rsidRDefault="00A769CA">
            <w:pPr>
              <w:spacing w:line="360" w:lineRule="auto"/>
            </w:pPr>
          </w:p>
        </w:tc>
        <w:tc>
          <w:tcPr>
            <w:tcW w:w="2140" w:type="dxa"/>
            <w:vAlign w:val="center"/>
          </w:tcPr>
          <w:p w14:paraId="2D0C29F3" w14:textId="77777777" w:rsidR="00A769CA" w:rsidRDefault="008D3F3B">
            <w:pPr>
              <w:spacing w:after="280" w:line="360" w:lineRule="auto"/>
              <w:rPr>
                <w:b/>
                <w:bCs/>
              </w:rPr>
            </w:pPr>
            <w:r>
              <w:rPr>
                <w:b/>
                <w:bCs/>
              </w:rPr>
              <w:t>Date:</w:t>
            </w:r>
          </w:p>
          <w:p w14:paraId="46B2236C" w14:textId="77777777" w:rsidR="00A769CA" w:rsidRDefault="00A769CA">
            <w:pPr>
              <w:spacing w:before="280" w:line="360" w:lineRule="auto"/>
            </w:pPr>
          </w:p>
        </w:tc>
      </w:tr>
    </w:tbl>
    <w:p w14:paraId="668C8BBC" w14:textId="77777777" w:rsidR="00A769CA" w:rsidRDefault="00A769CA">
      <w:pPr>
        <w:spacing w:line="360" w:lineRule="auto"/>
      </w:pPr>
    </w:p>
    <w:p w14:paraId="38D9A9C7" w14:textId="77777777" w:rsidR="00A769CA" w:rsidRDefault="008D3F3B">
      <w:pPr>
        <w:spacing w:line="360" w:lineRule="auto"/>
        <w:rPr>
          <w:b/>
          <w:bCs/>
          <w:i/>
          <w:iCs/>
        </w:rPr>
      </w:pPr>
      <w:r>
        <w:rPr>
          <w:b/>
          <w:bCs/>
          <w:i/>
          <w:iCs/>
        </w:rPr>
        <w:t>For STUDENT Submissions:</w:t>
      </w:r>
    </w:p>
    <w:tbl>
      <w:tblPr>
        <w:tblStyle w:val="affd"/>
        <w:tblW w:w="104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0"/>
        <w:gridCol w:w="3020"/>
        <w:gridCol w:w="4560"/>
        <w:gridCol w:w="2120"/>
      </w:tblGrid>
      <w:tr w:rsidR="00A769CA" w14:paraId="68A1B7A8" w14:textId="77777777">
        <w:trPr>
          <w:trHeight w:val="346"/>
        </w:trPr>
        <w:tc>
          <w:tcPr>
            <w:tcW w:w="760" w:type="dxa"/>
            <w:shd w:val="clear" w:color="auto" w:fill="F2F2F2"/>
            <w:vAlign w:val="center"/>
          </w:tcPr>
          <w:p w14:paraId="11530226" w14:textId="77777777" w:rsidR="00A769CA" w:rsidRDefault="008D3F3B">
            <w:pPr>
              <w:spacing w:line="360" w:lineRule="auto"/>
              <w:jc w:val="center"/>
            </w:pPr>
            <w:r>
              <w:t>2</w:t>
            </w:r>
          </w:p>
        </w:tc>
        <w:tc>
          <w:tcPr>
            <w:tcW w:w="3020" w:type="dxa"/>
            <w:shd w:val="clear" w:color="auto" w:fill="F2F2F2"/>
            <w:vAlign w:val="center"/>
          </w:tcPr>
          <w:p w14:paraId="388630E4" w14:textId="77777777" w:rsidR="00A769CA" w:rsidRDefault="008D3F3B">
            <w:pPr>
              <w:spacing w:line="360" w:lineRule="auto"/>
            </w:pPr>
            <w:r>
              <w:t>Director of Studies/Supervisor:</w:t>
            </w:r>
          </w:p>
        </w:tc>
        <w:tc>
          <w:tcPr>
            <w:tcW w:w="4560" w:type="dxa"/>
            <w:vAlign w:val="center"/>
          </w:tcPr>
          <w:p w14:paraId="0F0E6071" w14:textId="77777777" w:rsidR="00A769CA" w:rsidRDefault="00A769CA">
            <w:pPr>
              <w:spacing w:line="360" w:lineRule="auto"/>
            </w:pPr>
          </w:p>
        </w:tc>
        <w:tc>
          <w:tcPr>
            <w:tcW w:w="2120" w:type="dxa"/>
            <w:vMerge w:val="restart"/>
          </w:tcPr>
          <w:p w14:paraId="359678B6" w14:textId="77777777" w:rsidR="00A769CA" w:rsidRDefault="008D3F3B">
            <w:pPr>
              <w:spacing w:line="360" w:lineRule="auto"/>
            </w:pPr>
            <w:r>
              <w:rPr>
                <w:b/>
                <w:bCs/>
              </w:rPr>
              <w:t>Date:</w:t>
            </w:r>
          </w:p>
        </w:tc>
      </w:tr>
      <w:tr w:rsidR="00A769CA" w14:paraId="2B0B0E8E" w14:textId="77777777">
        <w:trPr>
          <w:trHeight w:val="347"/>
        </w:trPr>
        <w:tc>
          <w:tcPr>
            <w:tcW w:w="760" w:type="dxa"/>
            <w:shd w:val="clear" w:color="auto" w:fill="F2F2F2"/>
            <w:vAlign w:val="center"/>
          </w:tcPr>
          <w:p w14:paraId="1F0F8432" w14:textId="77777777" w:rsidR="00A769CA" w:rsidRDefault="008D3F3B">
            <w:pPr>
              <w:spacing w:line="360" w:lineRule="auto"/>
              <w:jc w:val="center"/>
            </w:pPr>
            <w:r>
              <w:t>3</w:t>
            </w:r>
          </w:p>
        </w:tc>
        <w:tc>
          <w:tcPr>
            <w:tcW w:w="3020" w:type="dxa"/>
            <w:shd w:val="clear" w:color="auto" w:fill="F2F2F2"/>
            <w:vAlign w:val="center"/>
          </w:tcPr>
          <w:p w14:paraId="314F35AD" w14:textId="77777777" w:rsidR="00A769CA" w:rsidRDefault="008D3F3B">
            <w:pPr>
              <w:spacing w:line="360" w:lineRule="auto"/>
            </w:pPr>
            <w:r>
              <w:t>Signature:</w:t>
            </w:r>
          </w:p>
        </w:tc>
        <w:tc>
          <w:tcPr>
            <w:tcW w:w="4560" w:type="dxa"/>
            <w:vAlign w:val="center"/>
          </w:tcPr>
          <w:p w14:paraId="46CAFA93" w14:textId="77777777" w:rsidR="00A769CA" w:rsidRDefault="00A769CA">
            <w:pPr>
              <w:spacing w:line="360" w:lineRule="auto"/>
            </w:pPr>
          </w:p>
          <w:p w14:paraId="73FBB33D" w14:textId="77777777" w:rsidR="00A769CA" w:rsidRDefault="00A769CA">
            <w:pPr>
              <w:spacing w:line="360" w:lineRule="auto"/>
            </w:pPr>
          </w:p>
        </w:tc>
        <w:tc>
          <w:tcPr>
            <w:tcW w:w="2120" w:type="dxa"/>
            <w:vMerge/>
          </w:tcPr>
          <w:p w14:paraId="1A182333" w14:textId="77777777" w:rsidR="00A769CA" w:rsidRDefault="00A769CA">
            <w:pPr>
              <w:widowControl w:val="0"/>
              <w:pBdr>
                <w:top w:val="nil"/>
                <w:left w:val="nil"/>
                <w:bottom w:val="nil"/>
                <w:right w:val="nil"/>
                <w:between w:val="nil"/>
              </w:pBdr>
              <w:spacing w:line="360" w:lineRule="auto"/>
            </w:pPr>
          </w:p>
        </w:tc>
      </w:tr>
    </w:tbl>
    <w:p w14:paraId="623A2BCF" w14:textId="77777777" w:rsidR="00A769CA" w:rsidRDefault="00A769CA">
      <w:pPr>
        <w:spacing w:line="360" w:lineRule="auto"/>
      </w:pPr>
    </w:p>
    <w:p w14:paraId="6CAF9650" w14:textId="77777777" w:rsidR="00A769CA" w:rsidRDefault="008D3F3B">
      <w:pPr>
        <w:spacing w:line="360" w:lineRule="auto"/>
        <w:rPr>
          <w:b/>
          <w:bCs/>
          <w:i/>
          <w:iCs/>
        </w:rPr>
      </w:pPr>
      <w:r>
        <w:rPr>
          <w:b/>
          <w:bCs/>
          <w:i/>
          <w:iCs/>
        </w:rPr>
        <w:t>For STAFF Submissions:</w:t>
      </w:r>
    </w:p>
    <w:tbl>
      <w:tblPr>
        <w:tblStyle w:val="affe"/>
        <w:tblW w:w="104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0"/>
        <w:gridCol w:w="3020"/>
        <w:gridCol w:w="4560"/>
        <w:gridCol w:w="2120"/>
      </w:tblGrid>
      <w:tr w:rsidR="00A769CA" w14:paraId="329BA9F3" w14:textId="77777777">
        <w:trPr>
          <w:trHeight w:val="346"/>
        </w:trPr>
        <w:tc>
          <w:tcPr>
            <w:tcW w:w="760" w:type="dxa"/>
            <w:shd w:val="clear" w:color="auto" w:fill="F2F2F2"/>
            <w:vAlign w:val="center"/>
          </w:tcPr>
          <w:p w14:paraId="27266D68" w14:textId="77777777" w:rsidR="00A769CA" w:rsidRDefault="008D3F3B">
            <w:pPr>
              <w:spacing w:line="360" w:lineRule="auto"/>
              <w:jc w:val="center"/>
            </w:pPr>
            <w:r>
              <w:t>4</w:t>
            </w:r>
          </w:p>
        </w:tc>
        <w:tc>
          <w:tcPr>
            <w:tcW w:w="3020" w:type="dxa"/>
            <w:shd w:val="clear" w:color="auto" w:fill="F2F2F2"/>
            <w:vAlign w:val="center"/>
          </w:tcPr>
          <w:p w14:paraId="083FE94E" w14:textId="77777777" w:rsidR="00A769CA" w:rsidRDefault="008D3F3B">
            <w:pPr>
              <w:spacing w:line="360" w:lineRule="auto"/>
            </w:pPr>
            <w:r>
              <w:t>Academic Director/ Assistant Dean:</w:t>
            </w:r>
          </w:p>
        </w:tc>
        <w:tc>
          <w:tcPr>
            <w:tcW w:w="4560" w:type="dxa"/>
            <w:vAlign w:val="center"/>
          </w:tcPr>
          <w:p w14:paraId="16E6037F" w14:textId="77777777" w:rsidR="00A769CA" w:rsidRDefault="00A769CA">
            <w:pPr>
              <w:spacing w:line="360" w:lineRule="auto"/>
            </w:pPr>
          </w:p>
        </w:tc>
        <w:tc>
          <w:tcPr>
            <w:tcW w:w="2120" w:type="dxa"/>
            <w:vMerge w:val="restart"/>
          </w:tcPr>
          <w:p w14:paraId="1120CE6B" w14:textId="77777777" w:rsidR="00A769CA" w:rsidRDefault="008D3F3B">
            <w:pPr>
              <w:spacing w:line="360" w:lineRule="auto"/>
            </w:pPr>
            <w:r>
              <w:rPr>
                <w:b/>
                <w:bCs/>
              </w:rPr>
              <w:t>Date:</w:t>
            </w:r>
          </w:p>
        </w:tc>
      </w:tr>
      <w:tr w:rsidR="00A769CA" w14:paraId="6AB21397" w14:textId="77777777">
        <w:trPr>
          <w:trHeight w:val="347"/>
        </w:trPr>
        <w:tc>
          <w:tcPr>
            <w:tcW w:w="760" w:type="dxa"/>
            <w:shd w:val="clear" w:color="auto" w:fill="F2F2F2"/>
            <w:vAlign w:val="center"/>
          </w:tcPr>
          <w:p w14:paraId="18D3A945" w14:textId="77777777" w:rsidR="00A769CA" w:rsidRDefault="008D3F3B">
            <w:pPr>
              <w:spacing w:line="360" w:lineRule="auto"/>
              <w:jc w:val="center"/>
            </w:pPr>
            <w:r>
              <w:t>5</w:t>
            </w:r>
          </w:p>
        </w:tc>
        <w:tc>
          <w:tcPr>
            <w:tcW w:w="3020" w:type="dxa"/>
            <w:shd w:val="clear" w:color="auto" w:fill="F2F2F2"/>
            <w:vAlign w:val="center"/>
          </w:tcPr>
          <w:p w14:paraId="0B117551" w14:textId="77777777" w:rsidR="00A769CA" w:rsidRDefault="008D3F3B">
            <w:pPr>
              <w:spacing w:line="360" w:lineRule="auto"/>
            </w:pPr>
            <w:r>
              <w:t>Signature:</w:t>
            </w:r>
          </w:p>
        </w:tc>
        <w:tc>
          <w:tcPr>
            <w:tcW w:w="4560" w:type="dxa"/>
            <w:vAlign w:val="center"/>
          </w:tcPr>
          <w:p w14:paraId="37CE4F36" w14:textId="77777777" w:rsidR="00A769CA" w:rsidRDefault="00A769CA">
            <w:pPr>
              <w:spacing w:line="360" w:lineRule="auto"/>
            </w:pPr>
          </w:p>
          <w:p w14:paraId="00C19999" w14:textId="77777777" w:rsidR="00A769CA" w:rsidRDefault="00A769CA">
            <w:pPr>
              <w:spacing w:line="360" w:lineRule="auto"/>
            </w:pPr>
          </w:p>
        </w:tc>
        <w:tc>
          <w:tcPr>
            <w:tcW w:w="2120" w:type="dxa"/>
            <w:vMerge/>
          </w:tcPr>
          <w:p w14:paraId="1E2E20EE" w14:textId="77777777" w:rsidR="00A769CA" w:rsidRDefault="00A769CA">
            <w:pPr>
              <w:widowControl w:val="0"/>
              <w:pBdr>
                <w:top w:val="nil"/>
                <w:left w:val="nil"/>
                <w:bottom w:val="nil"/>
                <w:right w:val="nil"/>
                <w:between w:val="nil"/>
              </w:pBdr>
              <w:spacing w:line="360" w:lineRule="auto"/>
            </w:pPr>
          </w:p>
        </w:tc>
      </w:tr>
    </w:tbl>
    <w:p w14:paraId="4CA677FC" w14:textId="77777777" w:rsidR="00A769CA" w:rsidRDefault="00A769CA">
      <w:pPr>
        <w:spacing w:line="360" w:lineRule="auto"/>
        <w:rPr>
          <w:b/>
          <w:bCs/>
        </w:rPr>
      </w:pPr>
    </w:p>
    <w:p w14:paraId="2955E4E7" w14:textId="77777777" w:rsidR="00A769CA" w:rsidRDefault="008D3F3B">
      <w:pPr>
        <w:spacing w:after="240" w:line="360" w:lineRule="auto"/>
        <w:jc w:val="both"/>
      </w:pPr>
      <w:r>
        <w:rPr>
          <w:b/>
          <w:bCs/>
        </w:rPr>
        <w:t xml:space="preserve">Checklist: </w:t>
      </w:r>
      <w:r>
        <w:t>Please complete the checklist below to ensure that you have completed the form according to the guidelines and attached any required documentation:</w:t>
      </w:r>
    </w:p>
    <w:tbl>
      <w:tblPr>
        <w:tblStyle w:val="afff"/>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80"/>
        <w:gridCol w:w="9800"/>
      </w:tblGrid>
      <w:tr w:rsidR="00A769CA" w14:paraId="5A491F65" w14:textId="77777777">
        <w:trPr>
          <w:trHeight w:val="491"/>
        </w:trPr>
        <w:tc>
          <w:tcPr>
            <w:tcW w:w="680" w:type="dxa"/>
            <w:shd w:val="clear" w:color="auto" w:fill="BFBFBF"/>
            <w:vAlign w:val="center"/>
          </w:tcPr>
          <w:p w14:paraId="5F3B2A0A" w14:textId="77777777" w:rsidR="00A769CA" w:rsidRDefault="008D3F3B">
            <w:pPr>
              <w:spacing w:line="360" w:lineRule="auto"/>
              <w:jc w:val="center"/>
            </w:pPr>
            <w:r>
              <w:rPr>
                <w:rFonts w:ascii="MS Gothic" w:eastAsia="MS Gothic" w:hAnsi="MS Gothic" w:cs="MS Gothic"/>
                <w:sz w:val="20"/>
                <w:szCs w:val="20"/>
              </w:rPr>
              <w:t>☑</w:t>
            </w:r>
          </w:p>
        </w:tc>
        <w:tc>
          <w:tcPr>
            <w:tcW w:w="9800" w:type="dxa"/>
            <w:vAlign w:val="center"/>
          </w:tcPr>
          <w:p w14:paraId="7BC89D57" w14:textId="77777777" w:rsidR="00A769CA" w:rsidRDefault="008D3F3B">
            <w:pPr>
              <w:spacing w:line="360" w:lineRule="auto"/>
            </w:pPr>
            <w:r>
              <w:t>I have read the guidance notes supplied before completing the form.</w:t>
            </w:r>
          </w:p>
        </w:tc>
      </w:tr>
      <w:tr w:rsidR="00A769CA" w14:paraId="7D445D98" w14:textId="77777777">
        <w:trPr>
          <w:trHeight w:val="413"/>
        </w:trPr>
        <w:tc>
          <w:tcPr>
            <w:tcW w:w="680" w:type="dxa"/>
            <w:shd w:val="clear" w:color="auto" w:fill="BFBFBF"/>
            <w:vAlign w:val="center"/>
          </w:tcPr>
          <w:p w14:paraId="42464B38" w14:textId="77777777" w:rsidR="00A769CA" w:rsidRDefault="008D3F3B">
            <w:pPr>
              <w:spacing w:line="360" w:lineRule="auto"/>
              <w:jc w:val="center"/>
            </w:pPr>
            <w:r>
              <w:rPr>
                <w:rFonts w:ascii="MS Gothic" w:eastAsia="MS Gothic" w:hAnsi="MS Gothic" w:cs="MS Gothic"/>
                <w:sz w:val="20"/>
                <w:szCs w:val="20"/>
              </w:rPr>
              <w:t>☑</w:t>
            </w:r>
          </w:p>
        </w:tc>
        <w:tc>
          <w:tcPr>
            <w:tcW w:w="9800" w:type="dxa"/>
            <w:vAlign w:val="center"/>
          </w:tcPr>
          <w:p w14:paraId="1DC081E8" w14:textId="77777777" w:rsidR="00A769CA" w:rsidRDefault="008D3F3B">
            <w:pPr>
              <w:spacing w:line="360" w:lineRule="auto"/>
            </w:pPr>
            <w:r>
              <w:t xml:space="preserve">I have completed </w:t>
            </w:r>
            <w:r>
              <w:rPr>
                <w:b/>
                <w:bCs/>
              </w:rPr>
              <w:t>ALL RELEVANT</w:t>
            </w:r>
            <w:r>
              <w:t xml:space="preserve"> sections of the form in full.</w:t>
            </w:r>
          </w:p>
        </w:tc>
      </w:tr>
      <w:tr w:rsidR="00A769CA" w14:paraId="23CD6B51" w14:textId="77777777">
        <w:trPr>
          <w:trHeight w:val="419"/>
        </w:trPr>
        <w:tc>
          <w:tcPr>
            <w:tcW w:w="680" w:type="dxa"/>
            <w:shd w:val="clear" w:color="auto" w:fill="BFBFBF"/>
            <w:vAlign w:val="center"/>
          </w:tcPr>
          <w:p w14:paraId="42C798E3" w14:textId="77777777" w:rsidR="00A769CA" w:rsidRDefault="008D3F3B">
            <w:pPr>
              <w:spacing w:line="360" w:lineRule="auto"/>
              <w:jc w:val="center"/>
            </w:pPr>
            <w:r>
              <w:rPr>
                <w:rFonts w:ascii="MS Gothic" w:eastAsia="MS Gothic" w:hAnsi="MS Gothic" w:cs="MS Gothic"/>
                <w:sz w:val="20"/>
                <w:szCs w:val="20"/>
              </w:rPr>
              <w:t>☑</w:t>
            </w:r>
          </w:p>
        </w:tc>
        <w:tc>
          <w:tcPr>
            <w:tcW w:w="9800" w:type="dxa"/>
            <w:vAlign w:val="center"/>
          </w:tcPr>
          <w:p w14:paraId="7E41224A" w14:textId="77777777" w:rsidR="00A769CA" w:rsidRDefault="008D3F3B">
            <w:pPr>
              <w:spacing w:line="360" w:lineRule="auto"/>
            </w:pPr>
            <w:r>
              <w:t>I confirm that the research activity has received approval in principle</w:t>
            </w:r>
          </w:p>
        </w:tc>
      </w:tr>
      <w:tr w:rsidR="00A769CA" w14:paraId="48B7816B" w14:textId="77777777">
        <w:trPr>
          <w:trHeight w:val="492"/>
        </w:trPr>
        <w:tc>
          <w:tcPr>
            <w:tcW w:w="680" w:type="dxa"/>
            <w:shd w:val="clear" w:color="auto" w:fill="BFBFBF"/>
            <w:vAlign w:val="center"/>
          </w:tcPr>
          <w:p w14:paraId="1A9AD4A0" w14:textId="77777777" w:rsidR="00A769CA" w:rsidRDefault="008D3F3B">
            <w:pPr>
              <w:spacing w:line="360" w:lineRule="auto"/>
              <w:jc w:val="center"/>
            </w:pPr>
            <w:r>
              <w:rPr>
                <w:rFonts w:ascii="MS Gothic" w:eastAsia="MS Gothic" w:hAnsi="MS Gothic" w:cs="MS Gothic"/>
                <w:sz w:val="20"/>
                <w:szCs w:val="20"/>
              </w:rPr>
              <w:t>☑</w:t>
            </w:r>
          </w:p>
        </w:tc>
        <w:tc>
          <w:tcPr>
            <w:tcW w:w="9800" w:type="dxa"/>
            <w:vAlign w:val="center"/>
          </w:tcPr>
          <w:p w14:paraId="40DBBB91" w14:textId="77777777" w:rsidR="00A769CA" w:rsidRDefault="008D3F3B">
            <w:pPr>
              <w:spacing w:line="360" w:lineRule="auto"/>
            </w:pPr>
            <w:r>
              <w:t>I have attached a copy of final/interim approval from external organisation (</w:t>
            </w:r>
            <w:r>
              <w:rPr>
                <w:b/>
                <w:bCs/>
              </w:rPr>
              <w:t>where appropriate</w:t>
            </w:r>
            <w:r>
              <w:t>)</w:t>
            </w:r>
          </w:p>
        </w:tc>
      </w:tr>
      <w:tr w:rsidR="00A769CA" w14:paraId="59F52780" w14:textId="77777777">
        <w:trPr>
          <w:trHeight w:val="720"/>
        </w:trPr>
        <w:tc>
          <w:tcPr>
            <w:tcW w:w="680" w:type="dxa"/>
            <w:shd w:val="clear" w:color="auto" w:fill="BFBFBF"/>
            <w:vAlign w:val="center"/>
          </w:tcPr>
          <w:p w14:paraId="42ECB43F" w14:textId="77777777" w:rsidR="00A769CA" w:rsidRDefault="008D3F3B">
            <w:pPr>
              <w:spacing w:line="360" w:lineRule="auto"/>
              <w:jc w:val="center"/>
              <w:rPr>
                <w:sz w:val="20"/>
                <w:szCs w:val="20"/>
              </w:rPr>
            </w:pPr>
            <w:r>
              <w:rPr>
                <w:rFonts w:ascii="MS Gothic" w:eastAsia="MS Gothic" w:hAnsi="MS Gothic" w:cs="MS Gothic"/>
                <w:sz w:val="20"/>
                <w:szCs w:val="20"/>
              </w:rPr>
              <w:t>☑</w:t>
            </w:r>
          </w:p>
        </w:tc>
        <w:tc>
          <w:tcPr>
            <w:tcW w:w="9800" w:type="dxa"/>
            <w:vAlign w:val="center"/>
          </w:tcPr>
          <w:p w14:paraId="0DCBAE94" w14:textId="77777777" w:rsidR="00A769CA" w:rsidRDefault="008D3F3B">
            <w:pPr>
              <w:spacing w:line="360" w:lineRule="auto"/>
            </w:pPr>
            <w:r>
              <w:t xml:space="preserve">I have attached a full risk assessment (where </w:t>
            </w:r>
            <w:proofErr w:type="gramStart"/>
            <w:r>
              <w:t xml:space="preserve">appropriate)  </w:t>
            </w:r>
            <w:r>
              <w:rPr>
                <w:i/>
                <w:iCs/>
              </w:rPr>
              <w:t>ONLY</w:t>
            </w:r>
            <w:proofErr w:type="gramEnd"/>
            <w:r>
              <w:rPr>
                <w:i/>
                <w:iCs/>
              </w:rPr>
              <w:t xml:space="preserve"> TICK IF YOU HAVE</w:t>
            </w:r>
            <w:r>
              <w:rPr>
                <w:b/>
                <w:bCs/>
                <w:i/>
                <w:iCs/>
              </w:rPr>
              <w:t xml:space="preserve"> ATTACHED A FULL RISK ASSESSMENT</w:t>
            </w:r>
          </w:p>
        </w:tc>
      </w:tr>
      <w:tr w:rsidR="00A769CA" w14:paraId="6DE91BCF" w14:textId="77777777">
        <w:trPr>
          <w:trHeight w:val="858"/>
        </w:trPr>
        <w:tc>
          <w:tcPr>
            <w:tcW w:w="680" w:type="dxa"/>
            <w:shd w:val="clear" w:color="auto" w:fill="BFBFBF"/>
            <w:vAlign w:val="center"/>
          </w:tcPr>
          <w:p w14:paraId="2CF93B22" w14:textId="77777777" w:rsidR="00A769CA" w:rsidRDefault="008D3F3B">
            <w:pPr>
              <w:spacing w:line="360" w:lineRule="auto"/>
              <w:jc w:val="center"/>
            </w:pPr>
            <w:r>
              <w:rPr>
                <w:rFonts w:ascii="MS Gothic" w:eastAsia="MS Gothic" w:hAnsi="MS Gothic" w:cs="MS Gothic"/>
                <w:sz w:val="20"/>
                <w:szCs w:val="20"/>
              </w:rPr>
              <w:t>☑</w:t>
            </w:r>
          </w:p>
        </w:tc>
        <w:tc>
          <w:tcPr>
            <w:tcW w:w="9800" w:type="dxa"/>
            <w:vAlign w:val="center"/>
          </w:tcPr>
          <w:p w14:paraId="705E54D3" w14:textId="77777777" w:rsidR="00A769CA" w:rsidRDefault="008D3F3B">
            <w:pPr>
              <w:spacing w:line="360" w:lineRule="auto"/>
            </w:pPr>
            <w:r>
              <w:t xml:space="preserve">I understand that it is my responsibility to ensure that the </w:t>
            </w:r>
            <w:proofErr w:type="gramStart"/>
            <w:r>
              <w:t>above named</w:t>
            </w:r>
            <w:proofErr w:type="gramEnd"/>
            <w:r>
              <w:t xml:space="preserve"> research activity will meet the University’s Research Ethics and Integrity Code of Practice.</w:t>
            </w:r>
          </w:p>
        </w:tc>
      </w:tr>
      <w:tr w:rsidR="00A769CA" w14:paraId="55BAD894" w14:textId="77777777">
        <w:trPr>
          <w:trHeight w:val="969"/>
        </w:trPr>
        <w:tc>
          <w:tcPr>
            <w:tcW w:w="680" w:type="dxa"/>
            <w:shd w:val="clear" w:color="auto" w:fill="BFBFBF"/>
            <w:vAlign w:val="center"/>
          </w:tcPr>
          <w:p w14:paraId="22DCC977" w14:textId="77777777" w:rsidR="00A769CA" w:rsidRDefault="008D3F3B">
            <w:pPr>
              <w:spacing w:line="360" w:lineRule="auto"/>
              <w:jc w:val="center"/>
            </w:pPr>
            <w:r>
              <w:rPr>
                <w:rFonts w:ascii="MS Gothic" w:eastAsia="MS Gothic" w:hAnsi="MS Gothic" w:cs="MS Gothic"/>
                <w:sz w:val="20"/>
                <w:szCs w:val="20"/>
              </w:rPr>
              <w:lastRenderedPageBreak/>
              <w:t>☑</w:t>
            </w:r>
          </w:p>
        </w:tc>
        <w:tc>
          <w:tcPr>
            <w:tcW w:w="9800" w:type="dxa"/>
            <w:vAlign w:val="center"/>
          </w:tcPr>
          <w:p w14:paraId="0B29980D" w14:textId="77777777" w:rsidR="00A769CA" w:rsidRDefault="008D3F3B">
            <w:pPr>
              <w:spacing w:line="360" w:lineRule="auto"/>
            </w:pPr>
            <w:r>
              <w:t>I understand that before commencing data collection all documents aimed at respondents (including information sheets, consent forms, questionnaires, interview schedules etc.) must be confirmed by the DoS/Supervisor, module tutor or Academic Director.</w:t>
            </w:r>
          </w:p>
        </w:tc>
      </w:tr>
    </w:tbl>
    <w:p w14:paraId="7C1385E5" w14:textId="77777777" w:rsidR="00A769CA" w:rsidRDefault="00A769CA">
      <w:pPr>
        <w:tabs>
          <w:tab w:val="left" w:pos="5103"/>
        </w:tabs>
        <w:spacing w:line="360" w:lineRule="auto"/>
        <w:rPr>
          <w:b/>
          <w:bCs/>
        </w:rPr>
      </w:pPr>
    </w:p>
    <w:tbl>
      <w:tblPr>
        <w:tblStyle w:val="afff0"/>
        <w:tblW w:w="104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460"/>
      </w:tblGrid>
      <w:tr w:rsidR="00A769CA" w14:paraId="3A3D843D" w14:textId="77777777">
        <w:tc>
          <w:tcPr>
            <w:tcW w:w="10460" w:type="dxa"/>
            <w:shd w:val="clear" w:color="auto" w:fill="D9D9D9"/>
          </w:tcPr>
          <w:p w14:paraId="1404A41F" w14:textId="77777777" w:rsidR="00A769CA" w:rsidRDefault="008D3F3B">
            <w:pPr>
              <w:spacing w:line="360" w:lineRule="auto"/>
              <w:rPr>
                <w:b/>
                <w:bCs/>
              </w:rPr>
            </w:pPr>
            <w:r>
              <w:rPr>
                <w:b/>
                <w:bCs/>
              </w:rPr>
              <w:t>RESEARCH STUDENTS AND STAFF ONLY</w:t>
            </w:r>
          </w:p>
          <w:p w14:paraId="1118EB64" w14:textId="77777777" w:rsidR="00A769CA" w:rsidRDefault="008D3F3B">
            <w:pPr>
              <w:spacing w:line="360" w:lineRule="auto"/>
            </w:pPr>
            <w:r>
              <w:t xml:space="preserve">All communications relating to this application during its processing must be in writing and emailed to </w:t>
            </w:r>
            <w:hyperlink r:id="rId203">
              <w:r>
                <w:rPr>
                  <w:color w:val="0000FF"/>
                  <w:u w:val="single"/>
                </w:rPr>
                <w:t>pgresearch@uwtsd.ac.uk</w:t>
              </w:r>
            </w:hyperlink>
            <w:r>
              <w:t xml:space="preserve"> , with the title ‘Ethical Approval’ followed by your name.</w:t>
            </w:r>
          </w:p>
          <w:p w14:paraId="040B22AA" w14:textId="77777777" w:rsidR="00A769CA" w:rsidRDefault="008D3F3B">
            <w:pPr>
              <w:spacing w:line="360" w:lineRule="auto"/>
            </w:pPr>
            <w:r>
              <w:t xml:space="preserve">You will be informed of the outcome of your claim by email; </w:t>
            </w:r>
            <w:proofErr w:type="gramStart"/>
            <w:r>
              <w:t>therefore</w:t>
            </w:r>
            <w:proofErr w:type="gramEnd"/>
            <w:r>
              <w:rPr>
                <w:b/>
                <w:bCs/>
              </w:rPr>
              <w:t xml:space="preserve"> </w:t>
            </w:r>
            <w:r>
              <w:t>it is important that you check your University and personal email accounts regularly</w:t>
            </w:r>
            <w:r>
              <w:rPr>
                <w:b/>
                <w:bCs/>
              </w:rPr>
              <w:t>.</w:t>
            </w:r>
          </w:p>
        </w:tc>
      </w:tr>
      <w:tr w:rsidR="00A769CA" w14:paraId="53BE7B5B" w14:textId="77777777">
        <w:tc>
          <w:tcPr>
            <w:tcW w:w="10460" w:type="dxa"/>
            <w:shd w:val="clear" w:color="auto" w:fill="D9D9D9"/>
          </w:tcPr>
          <w:p w14:paraId="6506DFA4" w14:textId="77777777" w:rsidR="00A769CA" w:rsidRDefault="008D3F3B">
            <w:pPr>
              <w:pBdr>
                <w:top w:val="single" w:sz="4" w:space="1" w:color="000000"/>
                <w:left w:val="single" w:sz="4" w:space="4" w:color="000000"/>
                <w:bottom w:val="single" w:sz="4" w:space="1" w:color="000000"/>
                <w:right w:val="single" w:sz="4" w:space="21" w:color="000000"/>
                <w:between w:val="single" w:sz="4" w:space="1" w:color="000000"/>
              </w:pBdr>
              <w:tabs>
                <w:tab w:val="left" w:pos="5103"/>
              </w:tabs>
              <w:spacing w:line="360" w:lineRule="auto"/>
              <w:rPr>
                <w:b/>
                <w:bCs/>
              </w:rPr>
            </w:pPr>
            <w:r>
              <w:rPr>
                <w:b/>
                <w:bCs/>
              </w:rPr>
              <w:t xml:space="preserve">STUDENTS ON UNDERGRADUATE OR TAUGHT MASTERS PROGRAMMES </w:t>
            </w:r>
            <w:r>
              <w:t>should submit this form (and receive the outcome) via systems explained to you by the supervisor/module leader.</w:t>
            </w:r>
          </w:p>
        </w:tc>
      </w:tr>
    </w:tbl>
    <w:p w14:paraId="4D8F37A9" w14:textId="77777777" w:rsidR="00A769CA" w:rsidRDefault="00A769CA">
      <w:pPr>
        <w:tabs>
          <w:tab w:val="left" w:pos="5103"/>
        </w:tabs>
        <w:spacing w:line="360" w:lineRule="auto"/>
      </w:pPr>
    </w:p>
    <w:p w14:paraId="0A5733ED" w14:textId="77777777" w:rsidR="00A769CA" w:rsidRDefault="008D3F3B">
      <w:pPr>
        <w:spacing w:line="360" w:lineRule="auto"/>
        <w:jc w:val="center"/>
      </w:pPr>
      <w:r>
        <w:rPr>
          <w:b/>
          <w:bCs/>
        </w:rPr>
        <w:t>This form is available electronically from the Academic Office web pages:</w:t>
      </w:r>
      <w:r>
        <w:t xml:space="preserve"> </w:t>
      </w:r>
      <w:hyperlink r:id="rId204">
        <w:r>
          <w:rPr>
            <w:color w:val="0000FF"/>
            <w:u w:val="single"/>
          </w:rPr>
          <w:t>https://www.uwtsd.ac.uk/academic-office/appendices-and-forms/</w:t>
        </w:r>
      </w:hyperlink>
    </w:p>
    <w:p w14:paraId="4E6FC34B" w14:textId="77777777" w:rsidR="00A769CA" w:rsidRDefault="00A769CA">
      <w:pPr>
        <w:pBdr>
          <w:top w:val="nil"/>
          <w:left w:val="nil"/>
          <w:bottom w:val="nil"/>
          <w:right w:val="nil"/>
          <w:between w:val="nil"/>
        </w:pBdr>
        <w:spacing w:after="240" w:line="360" w:lineRule="auto"/>
        <w:jc w:val="both"/>
        <w:rPr>
          <w:sz w:val="24"/>
          <w:szCs w:val="24"/>
        </w:rPr>
      </w:pPr>
    </w:p>
    <w:sectPr w:rsidR="00A769CA">
      <w:footerReference w:type="default" r:id="rId205"/>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25574D" w14:textId="77777777" w:rsidR="008D3F3B" w:rsidRDefault="008D3F3B">
      <w:pPr>
        <w:spacing w:line="240" w:lineRule="auto"/>
      </w:pPr>
      <w:r>
        <w:separator/>
      </w:r>
    </w:p>
  </w:endnote>
  <w:endnote w:type="continuationSeparator" w:id="0">
    <w:p w14:paraId="106E816D" w14:textId="77777777" w:rsidR="008D3F3B" w:rsidRDefault="008D3F3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charset w:val="00"/>
    <w:family w:val="auto"/>
    <w:pitch w:val="default"/>
    <w:embedRegular r:id="rId1" w:fontKey="{23120133-F0B2-1E47-BE7E-696DC2BAC693}"/>
  </w:font>
  <w:font w:name="Courier New">
    <w:panose1 w:val="02070309020205020404"/>
    <w:charset w:val="00"/>
    <w:family w:val="modern"/>
    <w:pitch w:val="fixed"/>
    <w:sig w:usb0="E0002AFF" w:usb1="C0007843" w:usb2="00000009" w:usb3="00000000" w:csb0="000001FF" w:csb1="00000000"/>
    <w:embedRegular r:id="rId2" w:fontKey="{7EA91AD0-F517-A441-AF79-9A256C1B5208}"/>
  </w:font>
  <w:font w:name="Times New Roman">
    <w:panose1 w:val="02020603050405020304"/>
    <w:charset w:val="00"/>
    <w:family w:val="roman"/>
    <w:pitch w:val="variable"/>
    <w:sig w:usb0="E0002EFF" w:usb1="C000785B" w:usb2="00000009" w:usb3="00000000" w:csb0="000001FF" w:csb1="00000000"/>
    <w:embedRegular r:id="rId3" w:fontKey="{7E67BA26-2C4C-204E-B69F-986CF6525502}"/>
    <w:embedBold r:id="rId4" w:fontKey="{2A5EFAD7-79D5-6C42-BB59-D5FC36ECCC84}"/>
    <w:embedItalic r:id="rId5" w:fontKey="{D050F7EF-9E3C-EF40-8C3C-975ED00A8645}"/>
  </w:font>
  <w:font w:name="Arial">
    <w:panose1 w:val="020B0604020202020204"/>
    <w:charset w:val="00"/>
    <w:family w:val="swiss"/>
    <w:pitch w:val="variable"/>
    <w:sig w:usb0="E0002AFF" w:usb1="C0007843" w:usb2="00000009" w:usb3="00000000" w:csb0="000001FF" w:csb1="00000000"/>
    <w:embedRegular r:id="rId6" w:fontKey="{B7C2EE5D-05F2-C341-B55D-0A7A2C85633F}"/>
    <w:embedBold r:id="rId7" w:fontKey="{8DCB29FF-BB86-B14A-9E00-1F368548F53B}"/>
    <w:embedItalic r:id="rId8" w:fontKey="{C6C2A5E5-CBB1-4347-A880-5F46DBDADCB2}"/>
    <w:embedBoldItalic r:id="rId9" w:fontKey="{58A297E9-76F8-164D-BA81-418479EFD45F}"/>
  </w:font>
  <w:font w:name="Calibri">
    <w:panose1 w:val="020F0502020204030204"/>
    <w:charset w:val="00"/>
    <w:family w:val="swiss"/>
    <w:pitch w:val="variable"/>
    <w:sig w:usb0="E0002AFF" w:usb1="C000247B" w:usb2="00000009" w:usb3="00000000" w:csb0="000001FF" w:csb1="00000000"/>
    <w:embedRegular r:id="rId10" w:fontKey="{7A8FB62E-824A-DB40-990C-DBB8878513E8}"/>
  </w:font>
  <w:font w:name="Tahoma">
    <w:panose1 w:val="020B0604030504040204"/>
    <w:charset w:val="00"/>
    <w:family w:val="roman"/>
    <w:notTrueType/>
    <w:pitch w:val="default"/>
    <w:embedRegular r:id="rId11" w:fontKey="{1AED72BD-84FE-AB44-8166-5F33301C53E6}"/>
  </w:font>
  <w:font w:name="MS Gothic">
    <w:altName w:val="ＭＳ ゴシック"/>
    <w:panose1 w:val="020B0609070205080204"/>
    <w:charset w:val="80"/>
    <w:family w:val="modern"/>
    <w:pitch w:val="fixed"/>
    <w:sig w:usb0="E00002FF" w:usb1="6AC7FDFB" w:usb2="08000012" w:usb3="00000000" w:csb0="0002009F" w:csb1="00000000"/>
    <w:embedRegular r:id="rId12" w:subsetted="1" w:fontKey="{F164F7F5-36A1-0346-A586-A5F457C83265}"/>
  </w:font>
  <w:font w:name="Arial Unicode MS">
    <w:panose1 w:val="020B0604020202020204"/>
    <w:charset w:val="80"/>
    <w:family w:val="swiss"/>
    <w:pitch w:val="variable"/>
    <w:sig w:usb0="F7FFAFFF" w:usb1="E9DFFFFF" w:usb2="0000003F" w:usb3="00000000" w:csb0="003F01FF" w:csb1="00000000"/>
    <w:embedRegular r:id="rId13" w:subsetted="1" w:fontKey="{2DA6A868-301C-2745-844A-FE04687BD769}"/>
  </w:font>
  <w:font w:name="Cambria">
    <w:panose1 w:val="02040503050406030204"/>
    <w:charset w:val="00"/>
    <w:family w:val="roman"/>
    <w:notTrueType/>
    <w:pitch w:val="default"/>
    <w:embedRegular r:id="rId14" w:fontKey="{F16E845B-9481-7948-8A2C-5658E014453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BB1881" w14:textId="085A1700" w:rsidR="00A769CA" w:rsidRDefault="008D3F3B">
    <w:pPr>
      <w:pBdr>
        <w:top w:val="nil"/>
        <w:left w:val="nil"/>
        <w:bottom w:val="nil"/>
        <w:right w:val="nil"/>
        <w:between w:val="nil"/>
      </w:pBdr>
      <w:tabs>
        <w:tab w:val="center" w:pos="4680"/>
        <w:tab w:val="right" w:pos="9360"/>
      </w:tabs>
      <w:spacing w:line="24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Page </w:t>
    </w:r>
    <w:r>
      <w:rPr>
        <w:rFonts w:ascii="Times New Roman" w:eastAsia="Times New Roman" w:hAnsi="Times New Roman" w:cs="Times New Roman"/>
        <w:b/>
        <w:bCs/>
        <w:color w:val="000000"/>
        <w:sz w:val="24"/>
        <w:szCs w:val="24"/>
      </w:rPr>
      <w:fldChar w:fldCharType="begin"/>
    </w:r>
    <w:r>
      <w:rPr>
        <w:rFonts w:ascii="Times New Roman" w:eastAsia="Times New Roman" w:hAnsi="Times New Roman" w:cs="Times New Roman"/>
        <w:b/>
        <w:bCs/>
        <w:color w:val="000000"/>
        <w:sz w:val="24"/>
        <w:szCs w:val="24"/>
      </w:rPr>
      <w:instrText>PAGE</w:instrText>
    </w:r>
    <w:r>
      <w:rPr>
        <w:rFonts w:ascii="Times New Roman" w:eastAsia="Times New Roman" w:hAnsi="Times New Roman" w:cs="Times New Roman"/>
        <w:b/>
        <w:bCs/>
        <w:color w:val="000000"/>
        <w:sz w:val="24"/>
        <w:szCs w:val="24"/>
      </w:rPr>
      <w:fldChar w:fldCharType="separate"/>
    </w:r>
    <w:r w:rsidR="00162E30">
      <w:rPr>
        <w:rFonts w:ascii="Times New Roman" w:eastAsia="Times New Roman" w:hAnsi="Times New Roman" w:cs="Times New Roman"/>
        <w:b/>
        <w:bCs/>
        <w:noProof/>
        <w:color w:val="000000"/>
        <w:sz w:val="24"/>
        <w:szCs w:val="24"/>
      </w:rPr>
      <w:t>2</w:t>
    </w:r>
    <w:r>
      <w:rPr>
        <w:rFonts w:ascii="Times New Roman" w:eastAsia="Times New Roman" w:hAnsi="Times New Roman" w:cs="Times New Roman"/>
        <w:b/>
        <w:bCs/>
        <w:color w:val="000000"/>
        <w:sz w:val="24"/>
        <w:szCs w:val="24"/>
      </w:rPr>
      <w:fldChar w:fldCharType="end"/>
    </w:r>
    <w:r>
      <w:rPr>
        <w:rFonts w:ascii="Times New Roman" w:eastAsia="Times New Roman" w:hAnsi="Times New Roman" w:cs="Times New Roman"/>
        <w:color w:val="000000"/>
        <w:sz w:val="24"/>
        <w:szCs w:val="24"/>
      </w:rPr>
      <w:t xml:space="preserve"> of </w:t>
    </w:r>
    <w:r>
      <w:rPr>
        <w:rFonts w:ascii="Times New Roman" w:eastAsia="Times New Roman" w:hAnsi="Times New Roman" w:cs="Times New Roman"/>
        <w:b/>
        <w:bCs/>
        <w:color w:val="000000"/>
        <w:sz w:val="24"/>
        <w:szCs w:val="24"/>
      </w:rPr>
      <w:fldChar w:fldCharType="begin"/>
    </w:r>
    <w:r>
      <w:rPr>
        <w:rFonts w:ascii="Times New Roman" w:eastAsia="Times New Roman" w:hAnsi="Times New Roman" w:cs="Times New Roman"/>
        <w:b/>
        <w:bCs/>
        <w:color w:val="000000"/>
        <w:sz w:val="24"/>
        <w:szCs w:val="24"/>
      </w:rPr>
      <w:instrText>NUMPAGES</w:instrText>
    </w:r>
    <w:r>
      <w:rPr>
        <w:rFonts w:ascii="Times New Roman" w:eastAsia="Times New Roman" w:hAnsi="Times New Roman" w:cs="Times New Roman"/>
        <w:b/>
        <w:bCs/>
        <w:color w:val="000000"/>
        <w:sz w:val="24"/>
        <w:szCs w:val="24"/>
      </w:rPr>
      <w:fldChar w:fldCharType="separate"/>
    </w:r>
    <w:r w:rsidR="00162E30">
      <w:rPr>
        <w:rFonts w:ascii="Times New Roman" w:eastAsia="Times New Roman" w:hAnsi="Times New Roman" w:cs="Times New Roman"/>
        <w:b/>
        <w:bCs/>
        <w:noProof/>
        <w:color w:val="000000"/>
        <w:sz w:val="24"/>
        <w:szCs w:val="24"/>
      </w:rPr>
      <w:t>3</w:t>
    </w:r>
    <w:r>
      <w:rPr>
        <w:rFonts w:ascii="Times New Roman" w:eastAsia="Times New Roman" w:hAnsi="Times New Roman" w:cs="Times New Roman"/>
        <w:b/>
        <w:bCs/>
        <w:color w:val="000000"/>
        <w:sz w:val="24"/>
        <w:szCs w:val="24"/>
      </w:rPr>
      <w:fldChar w:fldCharType="end"/>
    </w:r>
  </w:p>
  <w:p w14:paraId="01A7CDAE" w14:textId="77777777" w:rsidR="00A769CA" w:rsidRDefault="00A769CA">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6E2989" w14:textId="77777777" w:rsidR="008D3F3B" w:rsidRDefault="008D3F3B">
      <w:pPr>
        <w:spacing w:line="240" w:lineRule="auto"/>
      </w:pPr>
      <w:r>
        <w:separator/>
      </w:r>
    </w:p>
  </w:footnote>
  <w:footnote w:type="continuationSeparator" w:id="0">
    <w:p w14:paraId="15968C93" w14:textId="77777777" w:rsidR="008D3F3B" w:rsidRDefault="008D3F3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A45F77"/>
    <w:multiLevelType w:val="multilevel"/>
    <w:tmpl w:val="249A8F7E"/>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 w15:restartNumberingAfterBreak="0">
    <w:nsid w:val="119958DE"/>
    <w:multiLevelType w:val="multilevel"/>
    <w:tmpl w:val="EFEAAE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2746515"/>
    <w:multiLevelType w:val="multilevel"/>
    <w:tmpl w:val="36EA05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5D2188D"/>
    <w:multiLevelType w:val="multilevel"/>
    <w:tmpl w:val="1236FA28"/>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4" w15:restartNumberingAfterBreak="0">
    <w:nsid w:val="60B84433"/>
    <w:multiLevelType w:val="multilevel"/>
    <w:tmpl w:val="BBFEAF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12143705">
    <w:abstractNumId w:val="4"/>
  </w:num>
  <w:num w:numId="2" w16cid:durableId="330331923">
    <w:abstractNumId w:val="0"/>
  </w:num>
  <w:num w:numId="3" w16cid:durableId="26873746">
    <w:abstractNumId w:val="3"/>
  </w:num>
  <w:num w:numId="4" w16cid:durableId="574240140">
    <w:abstractNumId w:val="2"/>
  </w:num>
  <w:num w:numId="5" w16cid:durableId="2446581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69CA"/>
    <w:rsid w:val="00162E30"/>
    <w:rsid w:val="008D3F3B"/>
    <w:rsid w:val="00A769CA"/>
    <w:rsid w:val="00CD06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8B55609"/>
  <w15:docId w15:val="{FA19F58F-FFBD-5044-AFC5-61ECE006D0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pBdr>
        <w:top w:val="nil"/>
        <w:left w:val="nil"/>
        <w:bottom w:val="nil"/>
        <w:right w:val="nil"/>
        <w:between w:val="nil"/>
      </w:pBdr>
      <w:spacing w:after="240" w:line="360" w:lineRule="auto"/>
      <w:jc w:val="both"/>
      <w:outlineLvl w:val="0"/>
    </w:pPr>
    <w:rPr>
      <w:b/>
      <w:bCs/>
      <w:color w:val="000000"/>
      <w:sz w:val="28"/>
      <w:szCs w:val="28"/>
    </w:rPr>
  </w:style>
  <w:style w:type="paragraph" w:styleId="Heading2">
    <w:name w:val="heading 2"/>
    <w:basedOn w:val="Normal"/>
    <w:next w:val="Normal"/>
    <w:uiPriority w:val="9"/>
    <w:unhideWhenUsed/>
    <w:qFormat/>
    <w:pPr>
      <w:keepNext/>
      <w:keepLines/>
      <w:spacing w:before="360" w:after="120" w:line="360" w:lineRule="auto"/>
      <w:jc w:val="both"/>
      <w:outlineLvl w:val="1"/>
    </w:pPr>
    <w:rPr>
      <w:b/>
      <w:bCs/>
      <w:i/>
      <w:iCs/>
      <w:color w:val="000000"/>
      <w:sz w:val="26"/>
      <w:szCs w:val="26"/>
    </w:rPr>
  </w:style>
  <w:style w:type="paragraph" w:styleId="Heading3">
    <w:name w:val="heading 3"/>
    <w:basedOn w:val="Normal"/>
    <w:next w:val="Normal"/>
    <w:uiPriority w:val="9"/>
    <w:unhideWhenUsed/>
    <w:qFormat/>
    <w:pPr>
      <w:keepNext/>
      <w:keepLines/>
      <w:pBdr>
        <w:top w:val="nil"/>
        <w:left w:val="nil"/>
        <w:bottom w:val="nil"/>
        <w:right w:val="nil"/>
        <w:between w:val="nil"/>
      </w:pBdr>
      <w:spacing w:before="320" w:after="80" w:line="360" w:lineRule="auto"/>
      <w:jc w:val="both"/>
      <w:outlineLvl w:val="2"/>
    </w:pPr>
    <w:rPr>
      <w:b/>
      <w:bCs/>
      <w:i/>
      <w:iCs/>
      <w:color w:val="434343"/>
      <w:sz w:val="24"/>
      <w:szCs w:val="24"/>
    </w:rPr>
  </w:style>
  <w:style w:type="paragraph" w:styleId="Heading4">
    <w:name w:val="heading 4"/>
    <w:basedOn w:val="Normal"/>
    <w:next w:val="Normal"/>
    <w:uiPriority w:val="9"/>
    <w:semiHidden/>
    <w:unhideWhenUsed/>
    <w:qFormat/>
    <w:pPr>
      <w:keepNext/>
      <w:keepLines/>
      <w:pBdr>
        <w:top w:val="nil"/>
        <w:left w:val="nil"/>
        <w:bottom w:val="nil"/>
        <w:right w:val="nil"/>
        <w:between w:val="nil"/>
      </w:pBdr>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pBdr>
        <w:top w:val="nil"/>
        <w:left w:val="nil"/>
        <w:bottom w:val="nil"/>
        <w:right w:val="nil"/>
        <w:between w:val="nil"/>
      </w:pBdr>
      <w:spacing w:before="240" w:after="80"/>
      <w:outlineLvl w:val="4"/>
    </w:pPr>
    <w:rPr>
      <w:color w:val="666666"/>
    </w:rPr>
  </w:style>
  <w:style w:type="paragraph" w:styleId="Heading6">
    <w:name w:val="heading 6"/>
    <w:basedOn w:val="Normal"/>
    <w:next w:val="Normal"/>
    <w:uiPriority w:val="9"/>
    <w:semiHidden/>
    <w:unhideWhenUsed/>
    <w:qFormat/>
    <w:pPr>
      <w:keepNext/>
      <w:keepLines/>
      <w:pBdr>
        <w:top w:val="nil"/>
        <w:left w:val="nil"/>
        <w:bottom w:val="nil"/>
        <w:right w:val="nil"/>
        <w:between w:val="nil"/>
      </w:pBdr>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240" w:line="360" w:lineRule="auto"/>
      <w:jc w:val="center"/>
    </w:pPr>
    <w:rPr>
      <w:b/>
      <w:bCs/>
      <w:sz w:val="44"/>
      <w:szCs w:val="44"/>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rsid w:val="006F75B0"/>
    <w:tblPr>
      <w:tblCellMar>
        <w:top w:w="100" w:type="dxa"/>
        <w:left w:w="100" w:type="dxa"/>
        <w:bottom w:w="100" w:type="dxa"/>
        <w:right w:w="100" w:type="dxa"/>
      </w:tblCellMar>
    </w:tblPr>
  </w:style>
  <w:style w:type="paragraph" w:customStyle="1" w:styleId="Normal1">
    <w:name w:val="Normal1"/>
    <w:rsid w:val="006F75B0"/>
  </w:style>
  <w:style w:type="table" w:customStyle="1" w:styleId="TableNormal3">
    <w:name w:val="TableNormal"/>
    <w:rsid w:val="00D54953"/>
    <w:tblPr>
      <w:tblCellMar>
        <w:top w:w="100" w:type="dxa"/>
        <w:left w:w="100" w:type="dxa"/>
        <w:bottom w:w="100" w:type="dxa"/>
        <w:right w:w="100" w:type="dxa"/>
      </w:tblCellMar>
    </w:tblPr>
  </w:style>
  <w:style w:type="paragraph" w:customStyle="1" w:styleId="Normal2">
    <w:name w:val="Normal2"/>
    <w:rsid w:val="00D54953"/>
  </w:style>
  <w:style w:type="paragraph" w:styleId="TOCHeading">
    <w:name w:val="TOC Heading"/>
    <w:basedOn w:val="Heading1"/>
    <w:next w:val="Normal2"/>
    <w:uiPriority w:val="39"/>
    <w:unhideWhenUsed/>
    <w:qFormat/>
    <w:rsid w:val="00CE5E9A"/>
    <w:pPr>
      <w:spacing w:before="240" w:after="0" w:line="259" w:lineRule="auto"/>
      <w:outlineLvl w:val="9"/>
    </w:pPr>
    <w:rPr>
      <w:rFonts w:asciiTheme="majorHAnsi" w:eastAsiaTheme="majorEastAsia" w:hAnsiTheme="majorHAnsi" w:cstheme="majorBidi"/>
      <w:b w:val="0"/>
      <w:color w:val="365F91" w:themeColor="accent1" w:themeShade="BF"/>
      <w:szCs w:val="32"/>
      <w:lang w:val="en-US"/>
    </w:rPr>
  </w:style>
  <w:style w:type="paragraph" w:styleId="TOC1">
    <w:name w:val="toc 1"/>
    <w:basedOn w:val="Normal2"/>
    <w:next w:val="Normal2"/>
    <w:autoRedefine/>
    <w:uiPriority w:val="39"/>
    <w:unhideWhenUsed/>
    <w:rsid w:val="0013408D"/>
    <w:pPr>
      <w:tabs>
        <w:tab w:val="right" w:leader="dot" w:pos="9019"/>
      </w:tabs>
      <w:spacing w:after="100"/>
    </w:pPr>
  </w:style>
  <w:style w:type="paragraph" w:styleId="TOC2">
    <w:name w:val="toc 2"/>
    <w:basedOn w:val="Normal2"/>
    <w:next w:val="Normal2"/>
    <w:autoRedefine/>
    <w:uiPriority w:val="39"/>
    <w:unhideWhenUsed/>
    <w:rsid w:val="00CE5E9A"/>
    <w:pPr>
      <w:spacing w:after="100"/>
      <w:ind w:left="220"/>
    </w:pPr>
  </w:style>
  <w:style w:type="character" w:styleId="Hyperlink">
    <w:name w:val="Hyperlink"/>
    <w:basedOn w:val="DefaultParagraphFont"/>
    <w:uiPriority w:val="99"/>
    <w:unhideWhenUsed/>
    <w:rsid w:val="00CE5E9A"/>
    <w:rPr>
      <w:color w:val="0000FF" w:themeColor="hyperlink"/>
      <w:u w:val="single"/>
    </w:rPr>
  </w:style>
  <w:style w:type="paragraph" w:styleId="BalloonText">
    <w:name w:val="Balloon Text"/>
    <w:basedOn w:val="Normal2"/>
    <w:link w:val="BalloonTextChar"/>
    <w:uiPriority w:val="99"/>
    <w:semiHidden/>
    <w:unhideWhenUsed/>
    <w:rsid w:val="00DA36C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A36C1"/>
    <w:rPr>
      <w:rFonts w:ascii="Tahoma" w:hAnsi="Tahoma" w:cs="Tahoma"/>
      <w:sz w:val="16"/>
      <w:szCs w:val="16"/>
    </w:rPr>
  </w:style>
  <w:style w:type="paragraph" w:styleId="Header">
    <w:name w:val="header"/>
    <w:basedOn w:val="Normal2"/>
    <w:link w:val="HeaderChar"/>
    <w:uiPriority w:val="99"/>
    <w:semiHidden/>
    <w:unhideWhenUsed/>
    <w:rsid w:val="00DA36C1"/>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DA36C1"/>
  </w:style>
  <w:style w:type="paragraph" w:styleId="Footer">
    <w:name w:val="footer"/>
    <w:basedOn w:val="Normal2"/>
    <w:link w:val="FooterChar"/>
    <w:uiPriority w:val="99"/>
    <w:unhideWhenUsed/>
    <w:rsid w:val="00DA36C1"/>
    <w:pPr>
      <w:tabs>
        <w:tab w:val="center" w:pos="4680"/>
        <w:tab w:val="right" w:pos="9360"/>
      </w:tabs>
      <w:spacing w:line="240" w:lineRule="auto"/>
    </w:pPr>
  </w:style>
  <w:style w:type="character" w:customStyle="1" w:styleId="FooterChar">
    <w:name w:val="Footer Char"/>
    <w:basedOn w:val="DefaultParagraphFont"/>
    <w:link w:val="Footer"/>
    <w:uiPriority w:val="99"/>
    <w:rsid w:val="00DA36C1"/>
  </w:style>
  <w:style w:type="paragraph" w:styleId="NormalWeb">
    <w:name w:val="Normal (Web)"/>
    <w:basedOn w:val="Normal2"/>
    <w:uiPriority w:val="99"/>
    <w:unhideWhenUsed/>
    <w:rsid w:val="00262607"/>
    <w:pPr>
      <w:spacing w:before="100" w:beforeAutospacing="1" w:after="100" w:afterAutospacing="1" w:line="240" w:lineRule="auto"/>
    </w:pPr>
    <w:rPr>
      <w:rFonts w:ascii="Times New Roman" w:eastAsia="Times New Roman" w:hAnsi="Times New Roman" w:cs="Times New Roman"/>
      <w:sz w:val="24"/>
      <w:szCs w:val="24"/>
    </w:rPr>
  </w:style>
  <w:style w:type="paragraph" w:styleId="NoSpacing">
    <w:name w:val="No Spacing"/>
    <w:uiPriority w:val="1"/>
    <w:qFormat/>
    <w:rsid w:val="00262607"/>
    <w:pPr>
      <w:spacing w:line="240" w:lineRule="auto"/>
    </w:pPr>
  </w:style>
  <w:style w:type="paragraph" w:styleId="TOC3">
    <w:name w:val="toc 3"/>
    <w:basedOn w:val="Normal1"/>
    <w:next w:val="Normal1"/>
    <w:autoRedefine/>
    <w:uiPriority w:val="39"/>
    <w:unhideWhenUsed/>
    <w:rsid w:val="00ED04CC"/>
    <w:pPr>
      <w:spacing w:after="100"/>
      <w:ind w:left="440"/>
    </w:p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Pr>
  </w:style>
  <w:style w:type="table" w:customStyle="1" w:styleId="a5">
    <w:basedOn w:val="TableNormal"/>
    <w:tblPr>
      <w:tblStyleRowBandSize w:val="1"/>
      <w:tblStyleColBandSize w:val="1"/>
      <w:tblCellMar>
        <w:top w:w="28" w:type="dxa"/>
        <w:left w:w="57" w:type="dxa"/>
        <w:bottom w:w="28" w:type="dxa"/>
        <w:right w:w="28" w:type="dxa"/>
      </w:tblCellMar>
    </w:tblPr>
  </w:style>
  <w:style w:type="table" w:customStyle="1" w:styleId="a6">
    <w:basedOn w:val="TableNormal"/>
    <w:tblPr>
      <w:tblStyleRowBandSize w:val="1"/>
      <w:tblStyleColBandSize w:val="1"/>
    </w:tblPr>
  </w:style>
  <w:style w:type="table" w:customStyle="1" w:styleId="a7">
    <w:basedOn w:val="TableNormal"/>
    <w:tblPr>
      <w:tblStyleRowBandSize w:val="1"/>
      <w:tblStyleColBandSize w:val="1"/>
    </w:tblPr>
  </w:style>
  <w:style w:type="table" w:customStyle="1" w:styleId="a8">
    <w:basedOn w:val="TableNormal"/>
    <w:tblPr>
      <w:tblStyleRowBandSize w:val="1"/>
      <w:tblStyleColBandSize w:val="1"/>
    </w:tblPr>
  </w:style>
  <w:style w:type="table" w:customStyle="1" w:styleId="a9">
    <w:basedOn w:val="TableNormal"/>
    <w:tblPr>
      <w:tblStyleRowBandSize w:val="1"/>
      <w:tblStyleColBandSize w:val="1"/>
    </w:tblPr>
  </w:style>
  <w:style w:type="table" w:customStyle="1" w:styleId="aa">
    <w:basedOn w:val="TableNormal"/>
    <w:tblPr>
      <w:tblStyleRowBandSize w:val="1"/>
      <w:tblStyleColBandSize w:val="1"/>
    </w:tblPr>
  </w:style>
  <w:style w:type="table" w:customStyle="1" w:styleId="ab">
    <w:basedOn w:val="TableNormal"/>
    <w:tblPr>
      <w:tblStyleRowBandSize w:val="1"/>
      <w:tblStyleColBandSize w:val="1"/>
    </w:tblPr>
  </w:style>
  <w:style w:type="table" w:customStyle="1" w:styleId="ac">
    <w:basedOn w:val="TableNormal"/>
    <w:tblPr>
      <w:tblStyleRowBandSize w:val="1"/>
      <w:tblStyleColBandSize w:val="1"/>
    </w:tblPr>
  </w:style>
  <w:style w:type="table" w:customStyle="1" w:styleId="ad">
    <w:basedOn w:val="TableNormal"/>
    <w:tblPr>
      <w:tblStyleRowBandSize w:val="1"/>
      <w:tblStyleColBandSize w:val="1"/>
      <w:tblCellMar>
        <w:left w:w="115" w:type="dxa"/>
        <w:right w:w="115" w:type="dxa"/>
      </w:tblCellMar>
    </w:tblPr>
  </w:style>
  <w:style w:type="table" w:customStyle="1" w:styleId="ae">
    <w:basedOn w:val="TableNormal"/>
    <w:tblPr>
      <w:tblStyleRowBandSize w:val="1"/>
      <w:tblStyleColBandSize w:val="1"/>
      <w:tblCellMar>
        <w:left w:w="115" w:type="dxa"/>
        <w:right w:w="115" w:type="dxa"/>
      </w:tblCellMar>
    </w:tblPr>
  </w:style>
  <w:style w:type="table" w:customStyle="1" w:styleId="af">
    <w:basedOn w:val="TableNormal"/>
    <w:tblPr>
      <w:tblStyleRowBandSize w:val="1"/>
      <w:tblStyleColBandSize w:val="1"/>
      <w:tblCellMar>
        <w:left w:w="115" w:type="dxa"/>
        <w:right w:w="115" w:type="dxa"/>
      </w:tblCellMar>
    </w:tblPr>
  </w:style>
  <w:style w:type="table" w:customStyle="1" w:styleId="af0">
    <w:basedOn w:val="TableNormal"/>
    <w:tblPr>
      <w:tblStyleRowBandSize w:val="1"/>
      <w:tblStyleColBandSize w:val="1"/>
      <w:tblCellMar>
        <w:left w:w="115" w:type="dxa"/>
        <w:right w:w="115" w:type="dxa"/>
      </w:tblCellMar>
    </w:tblPr>
  </w:style>
  <w:style w:type="table" w:customStyle="1" w:styleId="af1">
    <w:basedOn w:val="TableNormal"/>
    <w:tblPr>
      <w:tblStyleRowBandSize w:val="1"/>
      <w:tblStyleColBandSize w:val="1"/>
    </w:tblPr>
  </w:style>
  <w:style w:type="table" w:customStyle="1" w:styleId="af2">
    <w:basedOn w:val="TableNormal"/>
    <w:tblPr>
      <w:tblStyleRowBandSize w:val="1"/>
      <w:tblStyleColBandSize w:val="1"/>
    </w:tblPr>
  </w:style>
  <w:style w:type="table" w:customStyle="1" w:styleId="af3">
    <w:basedOn w:val="TableNormal"/>
    <w:tblPr>
      <w:tblStyleRowBandSize w:val="1"/>
      <w:tblStyleColBandSize w:val="1"/>
      <w:tblCellMar>
        <w:left w:w="115" w:type="dxa"/>
        <w:right w:w="115" w:type="dxa"/>
      </w:tblCellMar>
    </w:tblPr>
  </w:style>
  <w:style w:type="table" w:customStyle="1" w:styleId="af4">
    <w:basedOn w:val="TableNormal"/>
    <w:tblPr>
      <w:tblStyleRowBandSize w:val="1"/>
      <w:tblStyleColBandSize w:val="1"/>
      <w:tblCellMar>
        <w:left w:w="115" w:type="dxa"/>
        <w:right w:w="115" w:type="dxa"/>
      </w:tblCellMar>
    </w:tblPr>
  </w:style>
  <w:style w:type="table" w:customStyle="1" w:styleId="af5">
    <w:basedOn w:val="TableNormal"/>
    <w:tblPr>
      <w:tblStyleRowBandSize w:val="1"/>
      <w:tblStyleColBandSize w:val="1"/>
      <w:tblCellMar>
        <w:left w:w="115" w:type="dxa"/>
        <w:right w:w="115" w:type="dxa"/>
      </w:tblCellMar>
    </w:tblPr>
  </w:style>
  <w:style w:type="table" w:customStyle="1" w:styleId="af6">
    <w:basedOn w:val="TableNormal"/>
    <w:tblPr>
      <w:tblStyleRowBandSize w:val="1"/>
      <w:tblStyleColBandSize w:val="1"/>
    </w:tblPr>
  </w:style>
  <w:style w:type="table" w:customStyle="1" w:styleId="af7">
    <w:basedOn w:val="TableNormal"/>
    <w:tblPr>
      <w:tblStyleRowBandSize w:val="1"/>
      <w:tblStyleColBandSize w:val="1"/>
      <w:tblCellMar>
        <w:left w:w="115" w:type="dxa"/>
        <w:right w:w="115" w:type="dxa"/>
      </w:tblCellMar>
    </w:tblPr>
  </w:style>
  <w:style w:type="paragraph" w:styleId="Caption">
    <w:name w:val="caption"/>
    <w:basedOn w:val="Normal"/>
    <w:next w:val="Normal"/>
    <w:uiPriority w:val="35"/>
    <w:unhideWhenUsed/>
    <w:qFormat/>
    <w:rsid w:val="00874E13"/>
    <w:pPr>
      <w:spacing w:after="200" w:line="240" w:lineRule="auto"/>
    </w:pPr>
    <w:rPr>
      <w:i/>
      <w:iCs/>
      <w:color w:val="1F497D" w:themeColor="text2"/>
      <w:sz w:val="18"/>
      <w:szCs w:val="18"/>
    </w:rPr>
  </w:style>
  <w:style w:type="paragraph" w:styleId="TableofFigures">
    <w:name w:val="table of figures"/>
    <w:basedOn w:val="Normal"/>
    <w:next w:val="Normal"/>
    <w:uiPriority w:val="99"/>
    <w:unhideWhenUsed/>
    <w:rsid w:val="0044156D"/>
  </w:style>
  <w:style w:type="paragraph" w:styleId="Subtitle">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 w:type="table" w:customStyle="1" w:styleId="af8">
    <w:basedOn w:val="TableNormal"/>
    <w:tblPr>
      <w:tblStyleRowBandSize w:val="1"/>
      <w:tblStyleColBandSize w:val="1"/>
      <w:tblCellMar>
        <w:left w:w="115" w:type="dxa"/>
        <w:right w:w="115" w:type="dxa"/>
      </w:tblCellMar>
    </w:tblPr>
  </w:style>
  <w:style w:type="table" w:customStyle="1" w:styleId="af9">
    <w:basedOn w:val="TableNormal"/>
    <w:tblPr>
      <w:tblStyleRowBandSize w:val="1"/>
      <w:tblStyleColBandSize w:val="1"/>
      <w:tblCellMar>
        <w:left w:w="115" w:type="dxa"/>
        <w:right w:w="115" w:type="dxa"/>
      </w:tblCellMar>
    </w:tblPr>
  </w:style>
  <w:style w:type="table" w:customStyle="1" w:styleId="afa">
    <w:basedOn w:val="TableNormal"/>
    <w:tblPr>
      <w:tblStyleRowBandSize w:val="1"/>
      <w:tblStyleColBandSize w:val="1"/>
    </w:tblPr>
  </w:style>
  <w:style w:type="table" w:customStyle="1" w:styleId="afb">
    <w:basedOn w:val="TableNormal"/>
    <w:tblPr>
      <w:tblStyleRowBandSize w:val="1"/>
      <w:tblStyleColBandSize w:val="1"/>
    </w:tblPr>
  </w:style>
  <w:style w:type="table" w:customStyle="1" w:styleId="afc">
    <w:basedOn w:val="TableNormal"/>
    <w:tblPr>
      <w:tblStyleRowBandSize w:val="1"/>
      <w:tblStyleColBandSize w:val="1"/>
    </w:tblPr>
  </w:style>
  <w:style w:type="table" w:customStyle="1" w:styleId="afd">
    <w:basedOn w:val="TableNormal"/>
    <w:tblPr>
      <w:tblStyleRowBandSize w:val="1"/>
      <w:tblStyleColBandSize w:val="1"/>
    </w:tblPr>
  </w:style>
  <w:style w:type="table" w:customStyle="1" w:styleId="afe">
    <w:basedOn w:val="TableNormal"/>
    <w:tblPr>
      <w:tblStyleRowBandSize w:val="1"/>
      <w:tblStyleColBandSize w:val="1"/>
      <w:tblCellMar>
        <w:top w:w="28" w:type="dxa"/>
        <w:left w:w="57" w:type="dxa"/>
        <w:bottom w:w="28" w:type="dxa"/>
        <w:right w:w="28" w:type="dxa"/>
      </w:tblCellMar>
    </w:tblPr>
  </w:style>
  <w:style w:type="table" w:customStyle="1" w:styleId="aff">
    <w:basedOn w:val="TableNormal"/>
    <w:tblPr>
      <w:tblStyleRowBandSize w:val="1"/>
      <w:tblStyleColBandSize w:val="1"/>
    </w:tblPr>
  </w:style>
  <w:style w:type="table" w:customStyle="1" w:styleId="aff0">
    <w:basedOn w:val="TableNormal"/>
    <w:tblPr>
      <w:tblStyleRowBandSize w:val="1"/>
      <w:tblStyleColBandSize w:val="1"/>
    </w:tblPr>
  </w:style>
  <w:style w:type="table" w:customStyle="1" w:styleId="aff1">
    <w:basedOn w:val="TableNormal"/>
    <w:tblPr>
      <w:tblStyleRowBandSize w:val="1"/>
      <w:tblStyleColBandSize w:val="1"/>
    </w:tblPr>
  </w:style>
  <w:style w:type="table" w:customStyle="1" w:styleId="aff2">
    <w:basedOn w:val="TableNormal"/>
    <w:tblPr>
      <w:tblStyleRowBandSize w:val="1"/>
      <w:tblStyleColBandSize w:val="1"/>
    </w:tblPr>
  </w:style>
  <w:style w:type="table" w:customStyle="1" w:styleId="aff3">
    <w:basedOn w:val="TableNormal"/>
    <w:tblPr>
      <w:tblStyleRowBandSize w:val="1"/>
      <w:tblStyleColBandSize w:val="1"/>
    </w:tblPr>
  </w:style>
  <w:style w:type="table" w:customStyle="1" w:styleId="aff4">
    <w:basedOn w:val="TableNormal"/>
    <w:tblPr>
      <w:tblStyleRowBandSize w:val="1"/>
      <w:tblStyleColBandSize w:val="1"/>
    </w:tblPr>
  </w:style>
  <w:style w:type="table" w:customStyle="1" w:styleId="aff5">
    <w:basedOn w:val="TableNormal"/>
    <w:tblPr>
      <w:tblStyleRowBandSize w:val="1"/>
      <w:tblStyleColBandSize w:val="1"/>
    </w:tblPr>
  </w:style>
  <w:style w:type="table" w:customStyle="1" w:styleId="aff6">
    <w:basedOn w:val="TableNormal"/>
    <w:tblPr>
      <w:tblStyleRowBandSize w:val="1"/>
      <w:tblStyleColBandSize w:val="1"/>
      <w:tblCellMar>
        <w:left w:w="115" w:type="dxa"/>
        <w:right w:w="115" w:type="dxa"/>
      </w:tblCellMar>
    </w:tblPr>
  </w:style>
  <w:style w:type="table" w:customStyle="1" w:styleId="aff7">
    <w:basedOn w:val="TableNormal"/>
    <w:tblPr>
      <w:tblStyleRowBandSize w:val="1"/>
      <w:tblStyleColBandSize w:val="1"/>
      <w:tblCellMar>
        <w:left w:w="115" w:type="dxa"/>
        <w:right w:w="115" w:type="dxa"/>
      </w:tblCellMar>
    </w:tblPr>
  </w:style>
  <w:style w:type="table" w:customStyle="1" w:styleId="aff8">
    <w:basedOn w:val="TableNormal"/>
    <w:tblPr>
      <w:tblStyleRowBandSize w:val="1"/>
      <w:tblStyleColBandSize w:val="1"/>
      <w:tblCellMar>
        <w:left w:w="115" w:type="dxa"/>
        <w:right w:w="115" w:type="dxa"/>
      </w:tblCellMar>
    </w:tblPr>
  </w:style>
  <w:style w:type="table" w:customStyle="1" w:styleId="aff9">
    <w:basedOn w:val="TableNormal"/>
    <w:tblPr>
      <w:tblStyleRowBandSize w:val="1"/>
      <w:tblStyleColBandSize w:val="1"/>
      <w:tblCellMar>
        <w:left w:w="115" w:type="dxa"/>
        <w:right w:w="115" w:type="dxa"/>
      </w:tblCellMar>
    </w:tblPr>
  </w:style>
  <w:style w:type="table" w:customStyle="1" w:styleId="affa">
    <w:basedOn w:val="TableNormal"/>
    <w:tblPr>
      <w:tblStyleRowBandSize w:val="1"/>
      <w:tblStyleColBandSize w:val="1"/>
    </w:tblPr>
  </w:style>
  <w:style w:type="table" w:customStyle="1" w:styleId="affb">
    <w:basedOn w:val="TableNormal"/>
    <w:tblPr>
      <w:tblStyleRowBandSize w:val="1"/>
      <w:tblStyleColBandSize w:val="1"/>
    </w:tblPr>
  </w:style>
  <w:style w:type="table" w:customStyle="1" w:styleId="affc">
    <w:basedOn w:val="TableNormal"/>
    <w:tblPr>
      <w:tblStyleRowBandSize w:val="1"/>
      <w:tblStyleColBandSize w:val="1"/>
      <w:tblCellMar>
        <w:left w:w="115" w:type="dxa"/>
        <w:right w:w="115" w:type="dxa"/>
      </w:tblCellMar>
    </w:tblPr>
  </w:style>
  <w:style w:type="table" w:customStyle="1" w:styleId="affd">
    <w:basedOn w:val="TableNormal"/>
    <w:tblPr>
      <w:tblStyleRowBandSize w:val="1"/>
      <w:tblStyleColBandSize w:val="1"/>
      <w:tblCellMar>
        <w:left w:w="115" w:type="dxa"/>
        <w:right w:w="115" w:type="dxa"/>
      </w:tblCellMar>
    </w:tblPr>
  </w:style>
  <w:style w:type="table" w:customStyle="1" w:styleId="affe">
    <w:basedOn w:val="TableNormal"/>
    <w:tblPr>
      <w:tblStyleRowBandSize w:val="1"/>
      <w:tblStyleColBandSize w:val="1"/>
      <w:tblCellMar>
        <w:left w:w="115" w:type="dxa"/>
        <w:right w:w="115" w:type="dxa"/>
      </w:tblCellMar>
    </w:tblPr>
  </w:style>
  <w:style w:type="table" w:customStyle="1" w:styleId="afff">
    <w:basedOn w:val="TableNormal"/>
    <w:tblPr>
      <w:tblStyleRowBandSize w:val="1"/>
      <w:tblStyleColBandSize w:val="1"/>
    </w:tblPr>
  </w:style>
  <w:style w:type="table" w:customStyle="1" w:styleId="afff0">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17" Type="http://schemas.openxmlformats.org/officeDocument/2006/relationships/hyperlink" Target="https://doi.org/10.3390/admsci14080186" TargetMode="External"/><Relationship Id="rId21" Type="http://schemas.openxmlformats.org/officeDocument/2006/relationships/hyperlink" Target="https://gjeis.com/index.php/GJEIS/article/download/758/697" TargetMode="External"/><Relationship Id="rId42" Type="http://schemas.openxmlformats.org/officeDocument/2006/relationships/hyperlink" Target="https://corporatefinanceinstitute.com/resources/economics/transaction-costs/" TargetMode="External"/><Relationship Id="rId63" Type="http://schemas.openxmlformats.org/officeDocument/2006/relationships/hyperlink" Target="https://doi.org/10.47191/ijmra/v6-i8-52" TargetMode="External"/><Relationship Id="rId84" Type="http://schemas.openxmlformats.org/officeDocument/2006/relationships/hyperlink" Target="https://www.academia.edu/download/120180905/3062.pdf" TargetMode="External"/><Relationship Id="rId138" Type="http://schemas.openxmlformats.org/officeDocument/2006/relationships/hyperlink" Target="https://doi.org/10.1177/16094069231205789" TargetMode="External"/><Relationship Id="rId159" Type="http://schemas.openxmlformats.org/officeDocument/2006/relationships/hyperlink" Target="https://doi.org/10.9744/ijbs.5.1.74%E2%80%9386" TargetMode="External"/><Relationship Id="rId170" Type="http://schemas.openxmlformats.org/officeDocument/2006/relationships/hyperlink" Target="https://doi.org/10.1080/00207543.2022.2120923" TargetMode="External"/><Relationship Id="rId191" Type="http://schemas.openxmlformats.org/officeDocument/2006/relationships/hyperlink" Target="http://dx.doi.org/10.18757/jscms.2024.7478" TargetMode="External"/><Relationship Id="rId205" Type="http://schemas.openxmlformats.org/officeDocument/2006/relationships/footer" Target="footer1.xml"/><Relationship Id="rId107" Type="http://schemas.openxmlformats.org/officeDocument/2006/relationships/hyperlink" Target="https://doi.org/10.20944/preprints202501.0460.v1" TargetMode="External"/><Relationship Id="rId11" Type="http://schemas.openxmlformats.org/officeDocument/2006/relationships/image" Target="media/image4.png"/><Relationship Id="rId32" Type="http://schemas.openxmlformats.org/officeDocument/2006/relationships/hyperlink" Target="https://www.bbc.com/storyworks/future/a-better-tomorrow/building-resilient-supply-chains-after-disruption" TargetMode="External"/><Relationship Id="rId53" Type="http://schemas.openxmlformats.org/officeDocument/2006/relationships/hyperlink" Target="https://doi.org/10.1080/0965254X.2022.2160486" TargetMode="External"/><Relationship Id="rId74" Type="http://schemas.openxmlformats.org/officeDocument/2006/relationships/hyperlink" Target="https://doi.org/10.20944/preprints202407.0471.v1" TargetMode="External"/><Relationship Id="rId128" Type="http://schemas.openxmlformats.org/officeDocument/2006/relationships/hyperlink" Target="https://pdfs.semanticscholar.org/9e89/639ea6052cf6fe7714717090868f0f2542c9.pdf" TargetMode="External"/><Relationship Id="rId149" Type="http://schemas.openxmlformats.org/officeDocument/2006/relationships/hyperlink" Target="https://www.theguardian.com/business/2022/mar/01/uk-manufacturers-face-higher-costs-as-ukraine-crisis-hits-supply-chains" TargetMode="External"/><Relationship Id="rId5" Type="http://schemas.openxmlformats.org/officeDocument/2006/relationships/webSettings" Target="webSettings.xml"/><Relationship Id="rId95" Type="http://schemas.openxmlformats.org/officeDocument/2006/relationships/hyperlink" Target="https://doi.org/10.3390/su16208927" TargetMode="External"/><Relationship Id="rId160" Type="http://schemas.openxmlformats.org/officeDocument/2006/relationships/hyperlink" Target="https://doi.org/10.32725/acta.2022.015" TargetMode="External"/><Relationship Id="rId181" Type="http://schemas.openxmlformats.org/officeDocument/2006/relationships/hyperlink" Target="https://doi.org/10.1097/JOM.0000000000001820" TargetMode="External"/><Relationship Id="rId22" Type="http://schemas.openxmlformats.org/officeDocument/2006/relationships/hyperlink" Target="https://doi.org/10.3390/su17104362" TargetMode="External"/><Relationship Id="rId43" Type="http://schemas.openxmlformats.org/officeDocument/2006/relationships/hyperlink" Target="https://doi.org/10.3390/su16010131" TargetMode="External"/><Relationship Id="rId64" Type="http://schemas.openxmlformats.org/officeDocument/2006/relationships/hyperlink" Target="https://doi.org/10.47191/ijmra/v6-i8-52" TargetMode="External"/><Relationship Id="rId118" Type="http://schemas.openxmlformats.org/officeDocument/2006/relationships/hyperlink" Target="https://doi.org/10.3390/admsci14080186" TargetMode="External"/><Relationship Id="rId139" Type="http://schemas.openxmlformats.org/officeDocument/2006/relationships/hyperlink" Target="https://doi.org/10.1108/BPMJ-07-2024-0566" TargetMode="External"/><Relationship Id="rId85" Type="http://schemas.openxmlformats.org/officeDocument/2006/relationships/hyperlink" Target="https://www.academia.edu/download/120180905/3062.pdf" TargetMode="External"/><Relationship Id="rId150" Type="http://schemas.openxmlformats.org/officeDocument/2006/relationships/hyperlink" Target="https://doi.org/10.1108/SCM-11-2020-0551" TargetMode="External"/><Relationship Id="rId171" Type="http://schemas.openxmlformats.org/officeDocument/2006/relationships/hyperlink" Target="https://doi.org/10.1080/00207543.2022.2120923" TargetMode="External"/><Relationship Id="rId192" Type="http://schemas.openxmlformats.org/officeDocument/2006/relationships/hyperlink" Target="http://dx.doi.org/10.18757/jscms.2024.7478" TargetMode="External"/><Relationship Id="rId206" Type="http://schemas.openxmlformats.org/officeDocument/2006/relationships/fontTable" Target="fontTable.xml"/><Relationship Id="rId12" Type="http://schemas.openxmlformats.org/officeDocument/2006/relationships/image" Target="media/image5.png"/><Relationship Id="rId33" Type="http://schemas.openxmlformats.org/officeDocument/2006/relationships/hyperlink" Target="https://doi.org/10.63282/30509416/IJAIBDCMS-V4I4P103" TargetMode="External"/><Relationship Id="rId108" Type="http://schemas.openxmlformats.org/officeDocument/2006/relationships/hyperlink" Target="https://files.eric.ed.gov/fulltext/ED619359.pdf" TargetMode="External"/><Relationship Id="rId129" Type="http://schemas.openxmlformats.org/officeDocument/2006/relationships/hyperlink" Target="https://doi.org/10.1108/JKM-11-2021-0880" TargetMode="External"/><Relationship Id="rId54" Type="http://schemas.openxmlformats.org/officeDocument/2006/relationships/hyperlink" Target="https://doi.org/10.1080/0965254X.2022.2160486" TargetMode="External"/><Relationship Id="rId75" Type="http://schemas.openxmlformats.org/officeDocument/2006/relationships/hyperlink" Target="https://doi.org/10.20944/preprints202407.0819.v1" TargetMode="External"/><Relationship Id="rId96" Type="http://schemas.openxmlformats.org/officeDocument/2006/relationships/hyperlink" Target="https://lutpub.lut.fi/bitstream/handle/10024/169667/Mastersthesis_Ikonen_Senja.pdf?sequence=1&amp;isAllowed=y" TargetMode="External"/><Relationship Id="rId140" Type="http://schemas.openxmlformats.org/officeDocument/2006/relationships/hyperlink" Target="https://doi.org/10.1108/BPMJ-07-2024-0566" TargetMode="External"/><Relationship Id="rId161" Type="http://schemas.openxmlformats.org/officeDocument/2006/relationships/hyperlink" Target="https://doi.org/10.32725/acta.2022.015" TargetMode="External"/><Relationship Id="rId182" Type="http://schemas.openxmlformats.org/officeDocument/2006/relationships/hyperlink" Target="https://doi.org/10.1097/JOM.0000000000001820" TargetMode="External"/><Relationship Id="rId6" Type="http://schemas.openxmlformats.org/officeDocument/2006/relationships/footnotes" Target="footnotes.xml"/><Relationship Id="rId23" Type="http://schemas.openxmlformats.org/officeDocument/2006/relationships/hyperlink" Target="https://doi.org/10.3390/su17104362" TargetMode="External"/><Relationship Id="rId119" Type="http://schemas.openxmlformats.org/officeDocument/2006/relationships/hyperlink" Target="https://doi.org/10.1080/13675567.2022.2141699" TargetMode="External"/><Relationship Id="rId44" Type="http://schemas.openxmlformats.org/officeDocument/2006/relationships/hyperlink" Target="https://doi.org/10.3390/su16010131" TargetMode="External"/><Relationship Id="rId65" Type="http://schemas.openxmlformats.org/officeDocument/2006/relationships/hyperlink" Target="https://doi.org/10.1007/s10551-021-04791-7" TargetMode="External"/><Relationship Id="rId86" Type="http://schemas.openxmlformats.org/officeDocument/2006/relationships/hyperlink" Target="https://doi.org/10.1057/s41283-023-00138-w" TargetMode="External"/><Relationship Id="rId130" Type="http://schemas.openxmlformats.org/officeDocument/2006/relationships/hyperlink" Target="https://doi.org/10.1108/JKM-11-2021-0880" TargetMode="External"/><Relationship Id="rId151" Type="http://schemas.openxmlformats.org/officeDocument/2006/relationships/hyperlink" Target="https://doi.org/10.1108/SCM-11-2020-0551" TargetMode="External"/><Relationship Id="rId172" Type="http://schemas.openxmlformats.org/officeDocument/2006/relationships/hyperlink" Target="https://doi.org/10.3390/su17020789" TargetMode="External"/><Relationship Id="rId193" Type="http://schemas.openxmlformats.org/officeDocument/2006/relationships/hyperlink" Target="https://www.researchgate.net/profile/Binitkumar-Vaghani/publication/387025247_Integrating_Quality_at_Source_into_Supplier_Management_A_Pathway_to_Cost_Efficiency_and_Regulatory_Compliance/links/675c9412da24c8537c6c4b50/Integrating-Quality-at-Source-into-Supplier-Management-A-Pathway-to-Cost-Efficiency-and-Regulatory-Compliance.pdf" TargetMode="External"/><Relationship Id="rId207" Type="http://schemas.openxmlformats.org/officeDocument/2006/relationships/theme" Target="theme/theme1.xml"/><Relationship Id="rId13" Type="http://schemas.openxmlformats.org/officeDocument/2006/relationships/image" Target="media/image6.png"/><Relationship Id="rId109" Type="http://schemas.openxmlformats.org/officeDocument/2006/relationships/hyperlink" Target="https://files.eric.ed.gov/fulltext/ED619359.pdf" TargetMode="External"/><Relationship Id="rId34" Type="http://schemas.openxmlformats.org/officeDocument/2006/relationships/hyperlink" Target="https://doi.org/10.63282/30509416/IJAIBDCMS-V4I4P103" TargetMode="External"/><Relationship Id="rId55" Type="http://schemas.openxmlformats.org/officeDocument/2006/relationships/hyperlink" Target="https://doi.org/10.3390/app15020770" TargetMode="External"/><Relationship Id="rId76" Type="http://schemas.openxmlformats.org/officeDocument/2006/relationships/hyperlink" Target="https://doi.org/10.20944/preprints202407.0819.v1" TargetMode="External"/><Relationship Id="rId97" Type="http://schemas.openxmlformats.org/officeDocument/2006/relationships/hyperlink" Target="https://lutpub.lut.fi/bitstream/handle/10024/169667/Mastersthesis_Ikonen_Senja.pdf?sequence=1&amp;isAllowed=y" TargetMode="External"/><Relationship Id="rId120" Type="http://schemas.openxmlformats.org/officeDocument/2006/relationships/hyperlink" Target="https://doi.org/10.1080/13675567.2022.2141699" TargetMode="External"/><Relationship Id="rId141" Type="http://schemas.openxmlformats.org/officeDocument/2006/relationships/hyperlink" Target="https://doi.org/10.30574/msarr.2024.12.2.0192" TargetMode="External"/><Relationship Id="rId7" Type="http://schemas.openxmlformats.org/officeDocument/2006/relationships/endnotes" Target="endnotes.xml"/><Relationship Id="rId162" Type="http://schemas.openxmlformats.org/officeDocument/2006/relationships/hyperlink" Target="https://doi.org/10.1186/s43093-021-00079-4" TargetMode="External"/><Relationship Id="rId183" Type="http://schemas.openxmlformats.org/officeDocument/2006/relationships/hyperlink" Target="https://doi.org/10.3390/su15118670" TargetMode="External"/><Relationship Id="rId24" Type="http://schemas.openxmlformats.org/officeDocument/2006/relationships/hyperlink" Target="https://doi.org/10.1007/978-3-030-64987-6_1" TargetMode="External"/><Relationship Id="rId40" Type="http://schemas.openxmlformats.org/officeDocument/2006/relationships/hyperlink" Target="https://doi.org/10.1002/pa.2248" TargetMode="External"/><Relationship Id="rId45" Type="http://schemas.openxmlformats.org/officeDocument/2006/relationships/hyperlink" Target="https://doi.org/10.3390/su16062586" TargetMode="External"/><Relationship Id="rId66" Type="http://schemas.openxmlformats.org/officeDocument/2006/relationships/hyperlink" Target="https://doi.org/10.1007/s10551-021-04791-7" TargetMode="External"/><Relationship Id="rId87" Type="http://schemas.openxmlformats.org/officeDocument/2006/relationships/hyperlink" Target="https://doi.org/10.1057/s41283-023-00138-w" TargetMode="External"/><Relationship Id="rId110" Type="http://schemas.openxmlformats.org/officeDocument/2006/relationships/hyperlink" Target="https://doi.org/10.63125/0s7t1y90" TargetMode="External"/><Relationship Id="rId115" Type="http://schemas.openxmlformats.org/officeDocument/2006/relationships/hyperlink" Target="http://ijmer.in.doi./2024/13.1.69" TargetMode="External"/><Relationship Id="rId131" Type="http://schemas.openxmlformats.org/officeDocument/2006/relationships/hyperlink" Target="https://repositorio.ipl.pt/bitstreams/3d981b8f-322b-4d97-b045-f033fb5a1a1e/download" TargetMode="External"/><Relationship Id="rId136" Type="http://schemas.openxmlformats.org/officeDocument/2006/relationships/hyperlink" Target="https://indianapublications.com/articles/IJHSS_3(1)_14-20_61f38990115064.95135470.pdf" TargetMode="External"/><Relationship Id="rId157" Type="http://schemas.openxmlformats.org/officeDocument/2006/relationships/hyperlink" Target="https://www.statista.com/statistics/1225574/changes-in-plans-to-implement-environmentally-sustainable-practices/" TargetMode="External"/><Relationship Id="rId178" Type="http://schemas.openxmlformats.org/officeDocument/2006/relationships/hyperlink" Target="https://www.researchgate.net/profile/Hussein-Smith/publication/384808378_Digital_Supplier_Relationship_Management_Systems_Impacts_on_E-_supply_Chain_Coordination_and_Long-Term_Performance/links/67081d87a12152019166bf19/Digital-Supplier-Relationship-Management-Systems-Impacts-on-E-supply-Chain-Coordination-and-Long-Term-Performance.pdf" TargetMode="External"/><Relationship Id="rId61" Type="http://schemas.openxmlformats.org/officeDocument/2006/relationships/hyperlink" Target="https://doi.org/10.3390/su17177634" TargetMode="External"/><Relationship Id="rId82" Type="http://schemas.openxmlformats.org/officeDocument/2006/relationships/hyperlink" Target="https://www.preprints.org/frontend/manuscript/6df651f9ea7d384c5e279f86a229bcf2/download_pub" TargetMode="External"/><Relationship Id="rId152" Type="http://schemas.openxmlformats.org/officeDocument/2006/relationships/hyperlink" Target="https://doi.org/10.1108/IJPPM-04-2022-0174" TargetMode="External"/><Relationship Id="rId173" Type="http://schemas.openxmlformats.org/officeDocument/2006/relationships/hyperlink" Target="https://doi.org/10.3390/su17020789" TargetMode="External"/><Relationship Id="rId194" Type="http://schemas.openxmlformats.org/officeDocument/2006/relationships/hyperlink" Target="https://www.researchgate.net/profile/Binitkumar-Vaghani/publication/387025247_Integrating_Quality_at_Source_into_Supplier_Management_A_Pathway_to_Cost_Efficiency_and_Regulatory_Compliance/links/675c9412da24c8537c6c4b50/Integrating-Quality-at-Source-into-Supplier-Management-A-Pathway-to-Cost-Efficiency-and-Regulatory-Compliance.pdf" TargetMode="External"/><Relationship Id="rId199" Type="http://schemas.openxmlformats.org/officeDocument/2006/relationships/hyperlink" Target="about:blank" TargetMode="External"/><Relationship Id="rId203" Type="http://schemas.openxmlformats.org/officeDocument/2006/relationships/hyperlink" Target="mailto:pgresearch@uwtsd.ac.uk" TargetMode="External"/><Relationship Id="rId19" Type="http://schemas.openxmlformats.org/officeDocument/2006/relationships/hyperlink" Target="https://doi.org/10.1108/TG-01-2021-0001" TargetMode="External"/><Relationship Id="rId14" Type="http://schemas.openxmlformats.org/officeDocument/2006/relationships/image" Target="media/image7.png"/><Relationship Id="rId30" Type="http://schemas.openxmlformats.org/officeDocument/2006/relationships/hyperlink" Target="https://doi.org/10.1108/IJOPM-12-2020-0884" TargetMode="External"/><Relationship Id="rId35" Type="http://schemas.openxmlformats.org/officeDocument/2006/relationships/hyperlink" Target="https://journals.lww.com/picp/_layouts/15/oaks.journals/downloadpdf.aspx?an=01438547-202314010-00008" TargetMode="External"/><Relationship Id="rId56" Type="http://schemas.openxmlformats.org/officeDocument/2006/relationships/hyperlink" Target="https://doi.org/10.3390/app15020770" TargetMode="External"/><Relationship Id="rId77" Type="http://schemas.openxmlformats.org/officeDocument/2006/relationships/hyperlink" Target="https://doi.org/10.20944/preprints202407.1099.v1" TargetMode="External"/><Relationship Id="rId100" Type="http://schemas.openxmlformats.org/officeDocument/2006/relationships/hyperlink" Target="https://doi.org/10.1186/s43088-023-00460-y" TargetMode="External"/><Relationship Id="rId105" Type="http://schemas.openxmlformats.org/officeDocument/2006/relationships/hyperlink" Target="https://doi.org/10.20944/preprints202501.1293.v1" TargetMode="External"/><Relationship Id="rId126" Type="http://schemas.openxmlformats.org/officeDocument/2006/relationships/hyperlink" Target="https://doi.org/10.20944/preprints202410.1670.v1" TargetMode="External"/><Relationship Id="rId147" Type="http://schemas.openxmlformats.org/officeDocument/2006/relationships/hyperlink" Target="https://doi.org/10.30574/wjarr.2025.25.2.0572" TargetMode="External"/><Relationship Id="rId168" Type="http://schemas.openxmlformats.org/officeDocument/2006/relationships/hyperlink" Target="https://www.theseus.fi/bitstream/handle/10024/866516/Sankala_Agata.pdf?sequence=2" TargetMode="External"/><Relationship Id="rId8" Type="http://schemas.openxmlformats.org/officeDocument/2006/relationships/image" Target="media/image1.png"/><Relationship Id="rId51" Type="http://schemas.openxmlformats.org/officeDocument/2006/relationships/hyperlink" Target="https://doi.org/10.1080/00207543.2024.2442549" TargetMode="External"/><Relationship Id="rId72" Type="http://schemas.openxmlformats.org/officeDocument/2006/relationships/hyperlink" Target="https://doi.org/10.20944/preprints202407.0634.v1" TargetMode="External"/><Relationship Id="rId93" Type="http://schemas.openxmlformats.org/officeDocument/2006/relationships/hyperlink" Target="https://doi.org/10.20944/preprints202502.1064.v1" TargetMode="External"/><Relationship Id="rId98" Type="http://schemas.openxmlformats.org/officeDocument/2006/relationships/hyperlink" Target="https://doi.org/10.53771/ijstra.2024.7.1.0055" TargetMode="External"/><Relationship Id="rId121" Type="http://schemas.openxmlformats.org/officeDocument/2006/relationships/hyperlink" Target="https://doi.org/10.46743/2160-3715/2021.5008" TargetMode="External"/><Relationship Id="rId142" Type="http://schemas.openxmlformats.org/officeDocument/2006/relationships/hyperlink" Target="https://doi.org/10.30574/msarr.2024.12.2.0192" TargetMode="External"/><Relationship Id="rId163" Type="http://schemas.openxmlformats.org/officeDocument/2006/relationships/hyperlink" Target="https://doi.org/10.1186/s43093-021-00079-4" TargetMode="External"/><Relationship Id="rId184" Type="http://schemas.openxmlformats.org/officeDocument/2006/relationships/hyperlink" Target="https://doi.org/10.3390/su15118670" TargetMode="External"/><Relationship Id="rId189" Type="http://schemas.openxmlformats.org/officeDocument/2006/relationships/hyperlink" Target="https://doi.org/10.3390/su132212369" TargetMode="External"/><Relationship Id="rId3" Type="http://schemas.openxmlformats.org/officeDocument/2006/relationships/styles" Target="styles.xml"/><Relationship Id="rId25" Type="http://schemas.openxmlformats.org/officeDocument/2006/relationships/hyperlink" Target="https://doi.org/10.31893/multirev.2025238" TargetMode="External"/><Relationship Id="rId46" Type="http://schemas.openxmlformats.org/officeDocument/2006/relationships/hyperlink" Target="https://doi.org/10.3390/su16062586" TargetMode="External"/><Relationship Id="rId67" Type="http://schemas.openxmlformats.org/officeDocument/2006/relationships/hyperlink" Target="https://forthworthjournals.org/journals/index.php/EJSCM/article/download/40/37" TargetMode="External"/><Relationship Id="rId116" Type="http://schemas.openxmlformats.org/officeDocument/2006/relationships/hyperlink" Target="http://ijmer.in.doi./2024/13.1.69" TargetMode="External"/><Relationship Id="rId137" Type="http://schemas.openxmlformats.org/officeDocument/2006/relationships/hyperlink" Target="https://doi.org/10.1177/16094069231205789" TargetMode="External"/><Relationship Id="rId158" Type="http://schemas.openxmlformats.org/officeDocument/2006/relationships/hyperlink" Target="https://doi.org/10.9744/ijbs.5.1.74%E2%80%9386" TargetMode="External"/><Relationship Id="rId20" Type="http://schemas.openxmlformats.org/officeDocument/2006/relationships/hyperlink" Target="https://gjeis.com/index.php/GJEIS/article/download/758/697" TargetMode="External"/><Relationship Id="rId41" Type="http://schemas.openxmlformats.org/officeDocument/2006/relationships/hyperlink" Target="https://corporatefinanceinstitute.com/resources/economics/transaction-costs/" TargetMode="External"/><Relationship Id="rId62" Type="http://schemas.openxmlformats.org/officeDocument/2006/relationships/hyperlink" Target="https://doi.org/10.3390/su17177634" TargetMode="External"/><Relationship Id="rId83" Type="http://schemas.openxmlformats.org/officeDocument/2006/relationships/hyperlink" Target="https://www.preprints.org/frontend/manuscript/9f31225e5e5320ec10f5d3ed7d7e5b8b/download_pub" TargetMode="External"/><Relationship Id="rId88" Type="http://schemas.openxmlformats.org/officeDocument/2006/relationships/hyperlink" Target="https://www.researchgate.net/profile/Moustaq-Karim-Khan-Rony/publication/364406105_Ethical_Considerations_In_Research/links/67b6f077645ef274a489bbb6/Ethical-Considerations-In-Research.pdf" TargetMode="External"/><Relationship Id="rId111" Type="http://schemas.openxmlformats.org/officeDocument/2006/relationships/hyperlink" Target="https://doi.org/10.63125/0s7t1y90" TargetMode="External"/><Relationship Id="rId132" Type="http://schemas.openxmlformats.org/officeDocument/2006/relationships/hyperlink" Target="https://repositorio.ipl.pt/bitstreams/3d981b8f-322b-4d97-b045-f033fb5a1a1e/download" TargetMode="External"/><Relationship Id="rId153" Type="http://schemas.openxmlformats.org/officeDocument/2006/relationships/hyperlink" Target="https://doi.org/10.1108/IJPPM-04-2022-0174" TargetMode="External"/><Relationship Id="rId174" Type="http://schemas.openxmlformats.org/officeDocument/2006/relationships/hyperlink" Target="https://ijbei-journal.org/index.php/ijbei/article/download/28/28" TargetMode="External"/><Relationship Id="rId179" Type="http://schemas.openxmlformats.org/officeDocument/2006/relationships/hyperlink" Target="https://www.statista.com/statistics/1106237/india-impact-of-novel-coronavirus-on-supply-chain-delay-by-duration/" TargetMode="External"/><Relationship Id="rId195" Type="http://schemas.openxmlformats.org/officeDocument/2006/relationships/hyperlink" Target="https://doi.org/10.51219/JAIMLD/dilip-kumar-vaka/74" TargetMode="External"/><Relationship Id="rId190" Type="http://schemas.openxmlformats.org/officeDocument/2006/relationships/hyperlink" Target="https://doi.org/10.3390/su132212369" TargetMode="External"/><Relationship Id="rId204" Type="http://schemas.openxmlformats.org/officeDocument/2006/relationships/hyperlink" Target="https://www.uwtsd.ac.uk/academic-office/appendices-and-forms/" TargetMode="External"/><Relationship Id="rId15" Type="http://schemas.openxmlformats.org/officeDocument/2006/relationships/image" Target="media/image8.png"/><Relationship Id="rId36" Type="http://schemas.openxmlformats.org/officeDocument/2006/relationships/hyperlink" Target="https://journals.lww.com/picp/_layouts/15/oaks.journals/downloadpdf.aspx?an=01438547-202314010-00008" TargetMode="External"/><Relationship Id="rId57" Type="http://schemas.openxmlformats.org/officeDocument/2006/relationships/hyperlink" Target="https://doi.org/10.3390/su16125183" TargetMode="External"/><Relationship Id="rId106" Type="http://schemas.openxmlformats.org/officeDocument/2006/relationships/hyperlink" Target="https://doi.org/10.20944/preprints202501.0460.v1" TargetMode="External"/><Relationship Id="rId127" Type="http://schemas.openxmlformats.org/officeDocument/2006/relationships/hyperlink" Target="https://pdfs.semanticscholar.org/9e89/639ea6052cf6fe7714717090868f0f2542c9.pdf" TargetMode="External"/><Relationship Id="rId10" Type="http://schemas.openxmlformats.org/officeDocument/2006/relationships/image" Target="media/image3.png"/><Relationship Id="rId31" Type="http://schemas.openxmlformats.org/officeDocument/2006/relationships/hyperlink" Target="https://www.bbc.com/storyworks/future/a-better-tomorrow/building-resilient-supply-chains-after-disruption" TargetMode="External"/><Relationship Id="rId52" Type="http://schemas.openxmlformats.org/officeDocument/2006/relationships/hyperlink" Target="https://doi.org/10.1080/00207543.2024.2442549" TargetMode="External"/><Relationship Id="rId73" Type="http://schemas.openxmlformats.org/officeDocument/2006/relationships/hyperlink" Target="https://doi.org/10.20944/preprints202407.0471.v1" TargetMode="External"/><Relationship Id="rId78" Type="http://schemas.openxmlformats.org/officeDocument/2006/relationships/hyperlink" Target="https://doi.org/10.20944/preprints202407.1099.v1" TargetMode="External"/><Relationship Id="rId94" Type="http://schemas.openxmlformats.org/officeDocument/2006/relationships/hyperlink" Target="https://doi.org/10.3390/su16208927" TargetMode="External"/><Relationship Id="rId99" Type="http://schemas.openxmlformats.org/officeDocument/2006/relationships/hyperlink" Target="https://doi.org/10.53771/ijstra.2024.7.1.0055" TargetMode="External"/><Relationship Id="rId101" Type="http://schemas.openxmlformats.org/officeDocument/2006/relationships/hyperlink" Target="https://doi.org/10.1186/s43088-023-00460-y" TargetMode="External"/><Relationship Id="rId122" Type="http://schemas.openxmlformats.org/officeDocument/2006/relationships/hyperlink" Target="https://doi.org/10.46743/2160-3715/2021.5008" TargetMode="External"/><Relationship Id="rId143" Type="http://schemas.openxmlformats.org/officeDocument/2006/relationships/hyperlink" Target="https://doi.org/10.51244/IJRSI.2024.11120056" TargetMode="External"/><Relationship Id="rId148" Type="http://schemas.openxmlformats.org/officeDocument/2006/relationships/hyperlink" Target="https://www.theguardian.com/business/2022/mar/01/uk-manufacturers-face-higher-costs-as-ukraine-crisis-hits-supply-chains" TargetMode="External"/><Relationship Id="rId164" Type="http://schemas.openxmlformats.org/officeDocument/2006/relationships/hyperlink" Target="https://doi.org/10.5281/zenodo.4969590" TargetMode="External"/><Relationship Id="rId169" Type="http://schemas.openxmlformats.org/officeDocument/2006/relationships/hyperlink" Target="https://www.theseus.fi/bitstream/handle/10024/866516/Sankala_Agata.pdf?sequence=2" TargetMode="External"/><Relationship Id="rId185" Type="http://schemas.openxmlformats.org/officeDocument/2006/relationships/hyperlink" Target="https://doi.org/10.3390/su13126839" TargetMode="External"/><Relationship Id="rId4" Type="http://schemas.openxmlformats.org/officeDocument/2006/relationships/settings" Target="settings.xml"/><Relationship Id="rId9" Type="http://schemas.openxmlformats.org/officeDocument/2006/relationships/image" Target="media/image2.png"/><Relationship Id="rId180" Type="http://schemas.openxmlformats.org/officeDocument/2006/relationships/hyperlink" Target="https://www.statista.com/statistics/1106237/india-impact-of-novel-coronavirus-on-supply-chain-delay-by-duration/" TargetMode="External"/><Relationship Id="rId26" Type="http://schemas.openxmlformats.org/officeDocument/2006/relationships/hyperlink" Target="https://doi.org/10.31893/multirev.2025238" TargetMode="External"/><Relationship Id="rId47" Type="http://schemas.openxmlformats.org/officeDocument/2006/relationships/hyperlink" Target="https://doi.org/10.1108/JAL-08-2023-0143" TargetMode="External"/><Relationship Id="rId68" Type="http://schemas.openxmlformats.org/officeDocument/2006/relationships/hyperlink" Target="https://forthworthjournals.org/journals/index.php/EJSCM/article/download/40/37" TargetMode="External"/><Relationship Id="rId89" Type="http://schemas.openxmlformats.org/officeDocument/2006/relationships/hyperlink" Target="https://www.researchgate.net/profile/Moustaq-Karim-Khan-Rony/publication/364406105_Ethical_Considerations_In_Research/links/67b6f077645ef274a489bbb6/Ethical-Considerations-In-Research.pdf" TargetMode="External"/><Relationship Id="rId112" Type="http://schemas.openxmlformats.org/officeDocument/2006/relationships/hyperlink" Target="https://www.dwu.ac.pg/en/images/All_Attachements/Research%20Journals/vol_36/4._J.Lingawa.pdf" TargetMode="External"/><Relationship Id="rId133" Type="http://schemas.openxmlformats.org/officeDocument/2006/relationships/hyperlink" Target="https://doi.org/10.24321/2319.9113.202101" TargetMode="External"/><Relationship Id="rId154" Type="http://schemas.openxmlformats.org/officeDocument/2006/relationships/hyperlink" Target="https://www.statista.com/statistics/1225563/projected-business-and-supply-chain-operation-priorities/" TargetMode="External"/><Relationship Id="rId175" Type="http://schemas.openxmlformats.org/officeDocument/2006/relationships/hyperlink" Target="https://ijbei-journal.org/index.php/ijbei/article/download/28/28" TargetMode="External"/><Relationship Id="rId196" Type="http://schemas.openxmlformats.org/officeDocument/2006/relationships/hyperlink" Target="https://doi.org/10.51219/JAIMLD/dilip-kumar-vaka/74" TargetMode="External"/><Relationship Id="rId20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6" Type="http://schemas.openxmlformats.org/officeDocument/2006/relationships/image" Target="media/image9.png"/><Relationship Id="rId37" Type="http://schemas.openxmlformats.org/officeDocument/2006/relationships/hyperlink" Target="https://doi.org/10.26174/thesis.lboro.21680366.v1" TargetMode="External"/><Relationship Id="rId58" Type="http://schemas.openxmlformats.org/officeDocument/2006/relationships/hyperlink" Target="https://doi.org/10.3390/su16125183" TargetMode="External"/><Relationship Id="rId79" Type="http://schemas.openxmlformats.org/officeDocument/2006/relationships/hyperlink" Target="https://doi.org/10.20944/preprints202407.1136.v1" TargetMode="External"/><Relationship Id="rId102" Type="http://schemas.openxmlformats.org/officeDocument/2006/relationships/hyperlink" Target="https://www.researchgate.net/profile/Adedoyin-Oyewole-2/publication/379603578_LEVERAGING_ARTIFICIAL_INTELLIGENCE_FOR_ENHANCED_SUPPLY_CHAIN_OPTIMIZATION_A_COMPREHENSIVE_REVIEW_OF_CURRENT_PRACTICES_AND_FUTURE_POTENTIALS/links/6610d247a7c907287a47af91/LEVERAGING-ARTIFICIAL-INTELLIGENCE-FOR-ENHANCED-SUPPLY-CHAIN-OPTIMIZATION-A-COMPREHENSIVE-REVIEW-OF-CURRENT-PRACTICES-AND-FUTURE-POTENTIALS.pdf" TargetMode="External"/><Relationship Id="rId123" Type="http://schemas.openxmlformats.org/officeDocument/2006/relationships/hyperlink" Target="https://doi.org/10.22306/al.v10i4.436" TargetMode="External"/><Relationship Id="rId144" Type="http://schemas.openxmlformats.org/officeDocument/2006/relationships/hyperlink" Target="https://doi.org/10.51244/IJRSI.2024.11120056" TargetMode="External"/><Relationship Id="rId90" Type="http://schemas.openxmlformats.org/officeDocument/2006/relationships/hyperlink" Target="https://doi.org/10.20944/preprints202406.1546.v1" TargetMode="External"/><Relationship Id="rId165" Type="http://schemas.openxmlformats.org/officeDocument/2006/relationships/hyperlink" Target="https://doi.org/10.5281/zenodo.4969590" TargetMode="External"/><Relationship Id="rId186" Type="http://schemas.openxmlformats.org/officeDocument/2006/relationships/hyperlink" Target="https://doi.org/10.3390/su13126839" TargetMode="External"/><Relationship Id="rId27" Type="http://schemas.openxmlformats.org/officeDocument/2006/relationships/hyperlink" Target="https://doi.org/10.3390/systems13010039" TargetMode="External"/><Relationship Id="rId48" Type="http://schemas.openxmlformats.org/officeDocument/2006/relationships/hyperlink" Target="https://doi.org/10.1108/JAL-08-2023-0143" TargetMode="External"/><Relationship Id="rId69" Type="http://schemas.openxmlformats.org/officeDocument/2006/relationships/hyperlink" Target="https://doi.org/10.20944/preprints202407.0546.v1" TargetMode="External"/><Relationship Id="rId113" Type="http://schemas.openxmlformats.org/officeDocument/2006/relationships/hyperlink" Target="https://www.dwu.ac.pg/en/images/All_Attachements/Research%20Journals/vol_36/4._J.Lingawa.pdf" TargetMode="External"/><Relationship Id="rId134" Type="http://schemas.openxmlformats.org/officeDocument/2006/relationships/hyperlink" Target="https://doi.org/10.24321/2319.9113.202101" TargetMode="External"/><Relationship Id="rId80" Type="http://schemas.openxmlformats.org/officeDocument/2006/relationships/hyperlink" Target="https://doi.org/10.20944/preprints202407.1136.v1" TargetMode="External"/><Relationship Id="rId155" Type="http://schemas.openxmlformats.org/officeDocument/2006/relationships/hyperlink" Target="https://www.statista.com/statistics/1225563/projected-business-and-supply-chain-operation-priorities/" TargetMode="External"/><Relationship Id="rId176" Type="http://schemas.openxmlformats.org/officeDocument/2006/relationships/hyperlink" Target="https://www.kristujayanti.edu.in/AQAR24/3.4.3-Research-Papers/2023-24/WoS-indexed-articles/WoS_020.pdf" TargetMode="External"/><Relationship Id="rId197" Type="http://schemas.openxmlformats.org/officeDocument/2006/relationships/hyperlink" Target="https://doi.org/10.3390/su16209031" TargetMode="External"/><Relationship Id="rId20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image" Target="media/image10.png"/><Relationship Id="rId38" Type="http://schemas.openxmlformats.org/officeDocument/2006/relationships/hyperlink" Target="https://doi.org/10.26174/thesis.lboro.21680366.v1" TargetMode="External"/><Relationship Id="rId59" Type="http://schemas.openxmlformats.org/officeDocument/2006/relationships/hyperlink" Target="https://www.fictiv.com/articles/manufacturing-industry-statistics" TargetMode="External"/><Relationship Id="rId103" Type="http://schemas.openxmlformats.org/officeDocument/2006/relationships/hyperlink" Target="https://www.researchgate.net/profile/Adedoyin-Oyewole-2/publication/379603578_LEVERAGING_ARTIFICIAL_INTELLIGENCE_FOR_ENHANCED_SUPPLY_CHAIN_OPTIMIZATION_A_COMPREHENSIVE_REVIEW_OF_CURRENT_PRACTICES_AND_FUTURE_POTENTIALS/links/6610d247a7c907287a47af91/LEVERAGING-ARTIFICIAL-INTELLIGENCE-FOR-ENHANCED-SUPPLY-CHAIN-OPTIMIZATION-A-COMPREHENSIVE-REVIEW-OF-CURRENT-PRACTICES-AND-FUTURE-POTENTIALS.pdf" TargetMode="External"/><Relationship Id="rId124" Type="http://schemas.openxmlformats.org/officeDocument/2006/relationships/hyperlink" Target="https://doi.org/10.22306/al.v10i4.436" TargetMode="External"/><Relationship Id="rId70" Type="http://schemas.openxmlformats.org/officeDocument/2006/relationships/hyperlink" Target="https://doi.org/10.20944/preprints202407.0546.v1" TargetMode="External"/><Relationship Id="rId91" Type="http://schemas.openxmlformats.org/officeDocument/2006/relationships/hyperlink" Target="https://doi.org/10.20944/preprints202406.1546.v1" TargetMode="External"/><Relationship Id="rId145" Type="http://schemas.openxmlformats.org/officeDocument/2006/relationships/hyperlink" Target="https://doi.org/10.3389/fsufs.2023.1113819" TargetMode="External"/><Relationship Id="rId166" Type="http://schemas.openxmlformats.org/officeDocument/2006/relationships/hyperlink" Target="https://www.researchgate.net/profile/Candauada-Arachchige-Saliya/publication/369152900_Research_Philosophy_Paradigms_World_Views_Perspectives_and_Theories/links/678e1b3b75d4ab477e51068f/Research-Philosophy-Paradigms-World-Views-Perspectives-and-Theories.pdf" TargetMode="External"/><Relationship Id="rId187" Type="http://schemas.openxmlformats.org/officeDocument/2006/relationships/hyperlink" Target="https://www.theguardian.com/business/2021/nov/24/uk-factories-struggle-to-meet-record-demand-as-supply-issues-continue-cbi-inflation" TargetMode="External"/><Relationship Id="rId1" Type="http://schemas.openxmlformats.org/officeDocument/2006/relationships/customXml" Target="../customXml/item1.xml"/><Relationship Id="rId28" Type="http://schemas.openxmlformats.org/officeDocument/2006/relationships/hyperlink" Target="https://doi.org/10.3390/systems13010039" TargetMode="External"/><Relationship Id="rId49" Type="http://schemas.openxmlformats.org/officeDocument/2006/relationships/hyperlink" Target="https://doi.org/10.3390/su172210388" TargetMode="External"/><Relationship Id="rId114" Type="http://schemas.openxmlformats.org/officeDocument/2006/relationships/hyperlink" Target="https://doi.org/10.1002/bse.2858" TargetMode="External"/><Relationship Id="rId60" Type="http://schemas.openxmlformats.org/officeDocument/2006/relationships/hyperlink" Target="https://www.fictiv.com/articles/manufacturing-industry-statistics" TargetMode="External"/><Relationship Id="rId81" Type="http://schemas.openxmlformats.org/officeDocument/2006/relationships/hyperlink" Target="https://www.preprints.org/frontend/manuscript/6df651f9ea7d384c5e279f86a229bcf2/download_pub" TargetMode="External"/><Relationship Id="rId135" Type="http://schemas.openxmlformats.org/officeDocument/2006/relationships/hyperlink" Target="https://indianapublications.com/articles/IJHSS_3(1)_14-20_61f38990115064.95135470.pdf" TargetMode="External"/><Relationship Id="rId156" Type="http://schemas.openxmlformats.org/officeDocument/2006/relationships/hyperlink" Target="https://www.statista.com/statistics/1225574/changes-in-plans-to-implement-environmentally-sustainable-practices/" TargetMode="External"/><Relationship Id="rId177" Type="http://schemas.openxmlformats.org/officeDocument/2006/relationships/hyperlink" Target="https://www.researchgate.net/profile/Hussein-Smith/publication/384808378_Digital_Supplier_Relationship_Management_Systems_Impacts_on_E-_supply_Chain_Coordination_and_Long-Term_Performance/links/67081d87a12152019166bf19/Digital-Supplier-Relationship-Management-Systems-Impacts-on-E-supply-Chain-Coordination-and-Long-Term-Performance.pdf" TargetMode="External"/><Relationship Id="rId198" Type="http://schemas.openxmlformats.org/officeDocument/2006/relationships/hyperlink" Target="https://doi.org/10.3390/su16209031" TargetMode="External"/><Relationship Id="rId202" Type="http://schemas.openxmlformats.org/officeDocument/2006/relationships/hyperlink" Target="https://www.uwtsd.ac.uk/research/research-ethics/" TargetMode="External"/><Relationship Id="rId18" Type="http://schemas.openxmlformats.org/officeDocument/2006/relationships/hyperlink" Target="https://doi.org/10.1108/TG-01-2021-0001" TargetMode="External"/><Relationship Id="rId39" Type="http://schemas.openxmlformats.org/officeDocument/2006/relationships/hyperlink" Target="https://doi.org/10.1002/pa.2248" TargetMode="External"/><Relationship Id="rId50" Type="http://schemas.openxmlformats.org/officeDocument/2006/relationships/hyperlink" Target="https://doi.org/10.3390/su172210388" TargetMode="External"/><Relationship Id="rId104" Type="http://schemas.openxmlformats.org/officeDocument/2006/relationships/hyperlink" Target="https://doi.org/10.20944/preprints202501.1293.v1" TargetMode="External"/><Relationship Id="rId125" Type="http://schemas.openxmlformats.org/officeDocument/2006/relationships/hyperlink" Target="https://doi.org/10.20944/preprints202410.1670.v1" TargetMode="External"/><Relationship Id="rId146" Type="http://schemas.openxmlformats.org/officeDocument/2006/relationships/hyperlink" Target="https://doi.org/10.3389/fsufs.2023.1113819" TargetMode="External"/><Relationship Id="rId167" Type="http://schemas.openxmlformats.org/officeDocument/2006/relationships/hyperlink" Target="https://www.researchgate.net/profile/Candauada-Arachchige-Saliya/publication/369152900_Research_Philosophy_Paradigms_World_Views_Perspectives_and_Theories/links/678e1b3b75d4ab477e51068f/Research-Philosophy-Paradigms-World-Views-Perspectives-and-Theories.pdf" TargetMode="External"/><Relationship Id="rId188" Type="http://schemas.openxmlformats.org/officeDocument/2006/relationships/hyperlink" Target="https://www.theguardian.com/business/2021/nov/24/uk-factories-struggle-to-meet-record-demand-as-supply-issues-continue-cbi-inflation" TargetMode="External"/><Relationship Id="rId71" Type="http://schemas.openxmlformats.org/officeDocument/2006/relationships/hyperlink" Target="https://doi.org/10.20944/preprints202407.0634.v1" TargetMode="External"/><Relationship Id="rId92" Type="http://schemas.openxmlformats.org/officeDocument/2006/relationships/hyperlink" Target="https://doi.org/10.20944/preprints202502.1064.v1" TargetMode="External"/><Relationship Id="rId2" Type="http://schemas.openxmlformats.org/officeDocument/2006/relationships/numbering" Target="numbering.xml"/><Relationship Id="rId29" Type="http://schemas.openxmlformats.org/officeDocument/2006/relationships/hyperlink" Target="https://doi.org/10.1108/IJOPM-12-2020-0884"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13" Type="http://schemas.openxmlformats.org/officeDocument/2006/relationships/font" Target="fonts/font13.odttf"/><Relationship Id="rId3" Type="http://schemas.openxmlformats.org/officeDocument/2006/relationships/font" Target="fonts/font3.odttf"/><Relationship Id="rId7" Type="http://schemas.openxmlformats.org/officeDocument/2006/relationships/font" Target="fonts/font7.odttf"/><Relationship Id="rId12" Type="http://schemas.openxmlformats.org/officeDocument/2006/relationships/font" Target="fonts/font12.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 Id="rId14" Type="http://schemas.openxmlformats.org/officeDocument/2006/relationships/font" Target="fonts/font1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OTG1ZFW7XpUcfkjy3EXPh3BYL6A==">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</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94</Pages>
  <Words>27644</Words>
  <Characters>157571</Characters>
  <Application>Microsoft Office Word</Application>
  <DocSecurity>0</DocSecurity>
  <Lines>1313</Lines>
  <Paragraphs>369</Paragraphs>
  <ScaleCrop>false</ScaleCrop>
  <Manager/>
  <Company/>
  <LinksUpToDate>false</LinksUpToDate>
  <CharactersWithSpaces>184846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Jaswanth Krishnamoorthi Bharathi (2424937)</cp:lastModifiedBy>
  <cp:revision>2</cp:revision>
  <dcterms:created xsi:type="dcterms:W3CDTF">2026-01-06T00:11:00Z</dcterms:created>
  <dcterms:modified xsi:type="dcterms:W3CDTF">2026-01-06T00:11:00Z</dcterms:modified>
</cp:coreProperties>
</file>