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DFBFF6" w14:textId="04A928A8" w:rsidR="004A6DA4" w:rsidRDefault="0015586C" w:rsidP="007E3F2E">
      <w:pPr>
        <w:spacing w:line="480" w:lineRule="auto"/>
        <w:jc w:val="both"/>
        <w:rPr>
          <w:sz w:val="24"/>
          <w:szCs w:val="24"/>
        </w:rPr>
      </w:pPr>
      <w:r>
        <w:rPr>
          <w:sz w:val="24"/>
          <w:szCs w:val="24"/>
        </w:rPr>
        <w:t>Jesus and his attitude</w:t>
      </w:r>
      <w:r w:rsidR="007E3F2E">
        <w:rPr>
          <w:sz w:val="24"/>
          <w:szCs w:val="24"/>
        </w:rPr>
        <w:t>s</w:t>
      </w:r>
      <w:r>
        <w:rPr>
          <w:sz w:val="24"/>
          <w:szCs w:val="24"/>
        </w:rPr>
        <w:t xml:space="preserve"> to women during his ministry is an area of study that </w:t>
      </w:r>
      <w:r w:rsidR="00B67008">
        <w:rPr>
          <w:sz w:val="24"/>
          <w:szCs w:val="24"/>
        </w:rPr>
        <w:t xml:space="preserve">has been continuously debated. It is important to consider Jesus’ attitudes to women as it holds importance on how Christian women understand his ministry and relate to their place in Christianity. The notion that Jesus </w:t>
      </w:r>
      <w:r w:rsidR="00B2758C">
        <w:rPr>
          <w:sz w:val="24"/>
          <w:szCs w:val="24"/>
        </w:rPr>
        <w:t>held a positive and unorthodox image of women in the first</w:t>
      </w:r>
      <w:r w:rsidR="005614EB">
        <w:rPr>
          <w:sz w:val="24"/>
          <w:szCs w:val="24"/>
        </w:rPr>
        <w:t>-</w:t>
      </w:r>
      <w:r w:rsidR="00B2758C">
        <w:rPr>
          <w:sz w:val="24"/>
          <w:szCs w:val="24"/>
        </w:rPr>
        <w:t>century, compared to the Jewish attitudes to women</w:t>
      </w:r>
      <w:r w:rsidR="00E93011">
        <w:rPr>
          <w:sz w:val="24"/>
          <w:szCs w:val="24"/>
        </w:rPr>
        <w:t>,</w:t>
      </w:r>
      <w:r w:rsidR="00B2758C">
        <w:rPr>
          <w:sz w:val="24"/>
          <w:szCs w:val="24"/>
        </w:rPr>
        <w:t xml:space="preserve"> </w:t>
      </w:r>
      <w:r w:rsidR="00091837">
        <w:rPr>
          <w:sz w:val="24"/>
          <w:szCs w:val="24"/>
        </w:rPr>
        <w:t xml:space="preserve">is a controversial and widely disputed topic. </w:t>
      </w:r>
      <w:r w:rsidR="009276E7">
        <w:rPr>
          <w:sz w:val="24"/>
          <w:szCs w:val="24"/>
        </w:rPr>
        <w:t xml:space="preserve">Helen K Bond states that </w:t>
      </w:r>
      <w:r w:rsidR="00424A2C">
        <w:rPr>
          <w:sz w:val="24"/>
          <w:szCs w:val="24"/>
        </w:rPr>
        <w:t>in scholarship there is the notion that “Jesus’ attitudes towards women is contrasted with what is seen as a restrictive and oppressive attitude towards women in contemporary Jewish society.”</w:t>
      </w:r>
      <w:r w:rsidR="00424A2C">
        <w:rPr>
          <w:rStyle w:val="FootnoteReference"/>
          <w:sz w:val="24"/>
          <w:szCs w:val="24"/>
        </w:rPr>
        <w:footnoteReference w:id="1"/>
      </w:r>
      <w:r w:rsidR="00091837">
        <w:rPr>
          <w:sz w:val="24"/>
          <w:szCs w:val="24"/>
        </w:rPr>
        <w:t xml:space="preserve"> </w:t>
      </w:r>
      <w:r w:rsidR="00424A2C">
        <w:rPr>
          <w:sz w:val="24"/>
          <w:szCs w:val="24"/>
        </w:rPr>
        <w:t xml:space="preserve">Bond </w:t>
      </w:r>
      <w:r w:rsidR="00E16AF8">
        <w:rPr>
          <w:sz w:val="24"/>
          <w:szCs w:val="24"/>
        </w:rPr>
        <w:t xml:space="preserve">is highlighting the key debate amongst scholars who </w:t>
      </w:r>
      <w:r w:rsidR="000C1541">
        <w:rPr>
          <w:sz w:val="24"/>
          <w:szCs w:val="24"/>
        </w:rPr>
        <w:t>dispute</w:t>
      </w:r>
      <w:r w:rsidR="00E16AF8">
        <w:rPr>
          <w:sz w:val="24"/>
          <w:szCs w:val="24"/>
        </w:rPr>
        <w:t xml:space="preserve"> Jesus and his relationship with women. Those who argue that Jesus was </w:t>
      </w:r>
      <w:r w:rsidR="000C1541">
        <w:rPr>
          <w:sz w:val="24"/>
          <w:szCs w:val="24"/>
        </w:rPr>
        <w:t xml:space="preserve">a reforming figure to attitudes to women </w:t>
      </w:r>
      <w:r w:rsidR="00D542E2">
        <w:rPr>
          <w:sz w:val="24"/>
          <w:szCs w:val="24"/>
        </w:rPr>
        <w:t xml:space="preserve">often compare his attitudes with those of wider Jewish society. </w:t>
      </w:r>
      <w:r w:rsidR="00B36348">
        <w:rPr>
          <w:sz w:val="24"/>
          <w:szCs w:val="24"/>
        </w:rPr>
        <w:t>In order to understand if Jesus was a reformer of first</w:t>
      </w:r>
      <w:r w:rsidR="005614EB">
        <w:rPr>
          <w:sz w:val="24"/>
          <w:szCs w:val="24"/>
        </w:rPr>
        <w:t>-c</w:t>
      </w:r>
      <w:r w:rsidR="00B36348">
        <w:rPr>
          <w:sz w:val="24"/>
          <w:szCs w:val="24"/>
        </w:rPr>
        <w:t>entury Jewish attitudes to women, scholarship that understands Jesus</w:t>
      </w:r>
      <w:r w:rsidR="001B16F4">
        <w:rPr>
          <w:sz w:val="24"/>
          <w:szCs w:val="24"/>
        </w:rPr>
        <w:t>’ ministry</w:t>
      </w:r>
      <w:r w:rsidR="00B36348">
        <w:rPr>
          <w:sz w:val="24"/>
          <w:szCs w:val="24"/>
        </w:rPr>
        <w:t xml:space="preserve"> as </w:t>
      </w:r>
      <w:r w:rsidR="001B16F4">
        <w:rPr>
          <w:sz w:val="24"/>
          <w:szCs w:val="24"/>
        </w:rPr>
        <w:t xml:space="preserve">holding favourable views of women will be studied. It will also be seen if the notion that women in Jewish society was </w:t>
      </w:r>
      <w:r w:rsidR="007D4FF3">
        <w:rPr>
          <w:sz w:val="24"/>
          <w:szCs w:val="24"/>
        </w:rPr>
        <w:t>as oppressive and limited as these scholars suggest</w:t>
      </w:r>
      <w:r w:rsidR="00DE76AB">
        <w:rPr>
          <w:sz w:val="24"/>
          <w:szCs w:val="24"/>
        </w:rPr>
        <w:t xml:space="preserve"> and how this challenges the notion that Jesus’ attitudes were wholly different than the wider Jewish first</w:t>
      </w:r>
      <w:r w:rsidR="005614EB">
        <w:rPr>
          <w:sz w:val="24"/>
          <w:szCs w:val="24"/>
        </w:rPr>
        <w:t>-</w:t>
      </w:r>
      <w:r w:rsidR="00DE76AB">
        <w:rPr>
          <w:sz w:val="24"/>
          <w:szCs w:val="24"/>
        </w:rPr>
        <w:t xml:space="preserve">century society. </w:t>
      </w:r>
      <w:r w:rsidR="00650A9C">
        <w:rPr>
          <w:sz w:val="24"/>
          <w:szCs w:val="24"/>
        </w:rPr>
        <w:t>Firstly,</w:t>
      </w:r>
      <w:r w:rsidR="00DE76AB">
        <w:rPr>
          <w:sz w:val="24"/>
          <w:szCs w:val="24"/>
        </w:rPr>
        <w:t xml:space="preserve"> the arguments presented</w:t>
      </w:r>
      <w:r w:rsidR="00650A9C">
        <w:rPr>
          <w:sz w:val="24"/>
          <w:szCs w:val="24"/>
        </w:rPr>
        <w:t xml:space="preserve"> by scholars rooted in primary sources, such as the New Testament and the works of Josephus, will be studied to understand how they highlight Jesus as favourable towards women and how this is understood as different </w:t>
      </w:r>
      <w:r w:rsidR="007247E0">
        <w:rPr>
          <w:sz w:val="24"/>
          <w:szCs w:val="24"/>
        </w:rPr>
        <w:t>to the Jewish society Jesus belonged too.</w:t>
      </w:r>
      <w:r w:rsidR="002D2511">
        <w:rPr>
          <w:sz w:val="24"/>
          <w:szCs w:val="24"/>
        </w:rPr>
        <w:t xml:space="preserve"> In order to fully understand this </w:t>
      </w:r>
      <w:r w:rsidR="005D5543">
        <w:rPr>
          <w:sz w:val="24"/>
          <w:szCs w:val="24"/>
        </w:rPr>
        <w:t>argument,</w:t>
      </w:r>
      <w:r w:rsidR="002D2511">
        <w:rPr>
          <w:sz w:val="24"/>
          <w:szCs w:val="24"/>
        </w:rPr>
        <w:t xml:space="preserve"> the work of Ben Witherington will be studied to understand his</w:t>
      </w:r>
      <w:r w:rsidR="005D5543">
        <w:rPr>
          <w:sz w:val="24"/>
          <w:szCs w:val="24"/>
        </w:rPr>
        <w:t xml:space="preserve"> opinions and research in this area</w:t>
      </w:r>
      <w:r w:rsidR="000C7807">
        <w:rPr>
          <w:sz w:val="24"/>
          <w:szCs w:val="24"/>
        </w:rPr>
        <w:t>, as well as those he cites and others who support his claims</w:t>
      </w:r>
      <w:r w:rsidR="005D5543">
        <w:rPr>
          <w:sz w:val="24"/>
          <w:szCs w:val="24"/>
        </w:rPr>
        <w:t>.</w:t>
      </w:r>
      <w:r w:rsidR="007247E0">
        <w:rPr>
          <w:sz w:val="24"/>
          <w:szCs w:val="24"/>
        </w:rPr>
        <w:t xml:space="preserve"> Then the arguments of  scholars</w:t>
      </w:r>
      <w:r w:rsidR="00D15548">
        <w:rPr>
          <w:sz w:val="24"/>
          <w:szCs w:val="24"/>
        </w:rPr>
        <w:t xml:space="preserve"> and their use of primary examples of the lives of women will be considered as to debate the claim that </w:t>
      </w:r>
      <w:r w:rsidR="00D15548">
        <w:rPr>
          <w:sz w:val="24"/>
          <w:szCs w:val="24"/>
        </w:rPr>
        <w:lastRenderedPageBreak/>
        <w:t>wider Jewish society was oppressive and negative towards women</w:t>
      </w:r>
      <w:r w:rsidR="00D537F5">
        <w:rPr>
          <w:sz w:val="24"/>
          <w:szCs w:val="24"/>
        </w:rPr>
        <w:t>.</w:t>
      </w:r>
      <w:r w:rsidR="005810AB">
        <w:rPr>
          <w:sz w:val="24"/>
          <w:szCs w:val="24"/>
        </w:rPr>
        <w:t xml:space="preserve"> It will also be considered if the ministry </w:t>
      </w:r>
      <w:r w:rsidR="00EA73F8">
        <w:rPr>
          <w:sz w:val="24"/>
          <w:szCs w:val="24"/>
        </w:rPr>
        <w:t xml:space="preserve">of Jesus </w:t>
      </w:r>
      <w:r w:rsidR="00A37CD7">
        <w:rPr>
          <w:sz w:val="24"/>
          <w:szCs w:val="24"/>
        </w:rPr>
        <w:t>is wholly positive toward women and challenges first-century attitudes towards them.</w:t>
      </w:r>
      <w:r w:rsidR="005D5543">
        <w:rPr>
          <w:sz w:val="24"/>
          <w:szCs w:val="24"/>
        </w:rPr>
        <w:t xml:space="preserve"> </w:t>
      </w:r>
      <w:r w:rsidR="00D537F5">
        <w:rPr>
          <w:sz w:val="24"/>
          <w:szCs w:val="24"/>
        </w:rPr>
        <w:t xml:space="preserve">Finally, it will be seen if these ideas dispute the notion that Jesus reformed </w:t>
      </w:r>
      <w:r w:rsidR="00C85D44">
        <w:rPr>
          <w:sz w:val="24"/>
          <w:szCs w:val="24"/>
        </w:rPr>
        <w:t xml:space="preserve">attitudes to women and if this is a fair analysis of female Jewish life during this period. </w:t>
      </w:r>
    </w:p>
    <w:p w14:paraId="44C2C8F8" w14:textId="5A42C65D" w:rsidR="000C7807" w:rsidRDefault="000C7807" w:rsidP="007E3F2E">
      <w:pPr>
        <w:spacing w:line="480" w:lineRule="auto"/>
        <w:jc w:val="both"/>
        <w:rPr>
          <w:sz w:val="24"/>
          <w:szCs w:val="24"/>
        </w:rPr>
      </w:pPr>
      <w:r>
        <w:rPr>
          <w:sz w:val="24"/>
          <w:szCs w:val="24"/>
        </w:rPr>
        <w:t>Firstly, it is necessary to study the arguments that present the notion of Jesus as a re</w:t>
      </w:r>
      <w:r w:rsidR="00C42256">
        <w:rPr>
          <w:sz w:val="24"/>
          <w:szCs w:val="24"/>
        </w:rPr>
        <w:t xml:space="preserve">former </w:t>
      </w:r>
      <w:r>
        <w:rPr>
          <w:sz w:val="24"/>
          <w:szCs w:val="24"/>
        </w:rPr>
        <w:t>for women during this period. Wither</w:t>
      </w:r>
      <w:r w:rsidR="00630DF7">
        <w:rPr>
          <w:sz w:val="24"/>
          <w:szCs w:val="24"/>
        </w:rPr>
        <w:t xml:space="preserve">ington </w:t>
      </w:r>
      <w:r w:rsidR="00E405DF">
        <w:rPr>
          <w:sz w:val="24"/>
          <w:szCs w:val="24"/>
        </w:rPr>
        <w:t xml:space="preserve">begins his argument by stating that </w:t>
      </w:r>
      <w:r w:rsidR="00D62239">
        <w:rPr>
          <w:sz w:val="24"/>
          <w:szCs w:val="24"/>
        </w:rPr>
        <w:t xml:space="preserve">although women in this </w:t>
      </w:r>
      <w:r w:rsidR="003C1FB4">
        <w:rPr>
          <w:sz w:val="24"/>
          <w:szCs w:val="24"/>
        </w:rPr>
        <w:t xml:space="preserve">era </w:t>
      </w:r>
      <w:r w:rsidR="00D62239">
        <w:rPr>
          <w:sz w:val="24"/>
          <w:szCs w:val="24"/>
        </w:rPr>
        <w:t xml:space="preserve">were not completely without rights, </w:t>
      </w:r>
      <w:r w:rsidR="00C673B2">
        <w:rPr>
          <w:sz w:val="24"/>
          <w:szCs w:val="24"/>
        </w:rPr>
        <w:t xml:space="preserve">they lacked authority in law, </w:t>
      </w:r>
      <w:r w:rsidR="00DD44B7">
        <w:rPr>
          <w:sz w:val="24"/>
          <w:szCs w:val="24"/>
        </w:rPr>
        <w:t xml:space="preserve">religion and </w:t>
      </w:r>
      <w:r w:rsidR="003724AC">
        <w:rPr>
          <w:sz w:val="24"/>
          <w:szCs w:val="24"/>
        </w:rPr>
        <w:t>were primarily focused on family as “</w:t>
      </w:r>
      <w:r w:rsidR="009206ED">
        <w:rPr>
          <w:sz w:val="24"/>
          <w:szCs w:val="24"/>
        </w:rPr>
        <w:t>a woman’s sphere of influence in the legal sense was confined to her family, her faithfulness, to her husband, and her domestic responsibilities.”</w:t>
      </w:r>
      <w:r w:rsidR="009206ED">
        <w:rPr>
          <w:rStyle w:val="FootnoteReference"/>
          <w:sz w:val="24"/>
          <w:szCs w:val="24"/>
        </w:rPr>
        <w:footnoteReference w:id="2"/>
      </w:r>
      <w:r w:rsidR="001F035E">
        <w:rPr>
          <w:sz w:val="24"/>
          <w:szCs w:val="24"/>
        </w:rPr>
        <w:t xml:space="preserve"> </w:t>
      </w:r>
      <w:r w:rsidR="00035100">
        <w:rPr>
          <w:sz w:val="24"/>
          <w:szCs w:val="24"/>
        </w:rPr>
        <w:t>Witherington is presenting the idea that Jewish first</w:t>
      </w:r>
      <w:r w:rsidR="005614EB">
        <w:rPr>
          <w:sz w:val="24"/>
          <w:szCs w:val="24"/>
        </w:rPr>
        <w:t>-</w:t>
      </w:r>
      <w:r w:rsidR="00035100">
        <w:rPr>
          <w:sz w:val="24"/>
          <w:szCs w:val="24"/>
        </w:rPr>
        <w:t xml:space="preserve">century society had a limited view of women and their role </w:t>
      </w:r>
      <w:r w:rsidR="00036D14">
        <w:rPr>
          <w:sz w:val="24"/>
          <w:szCs w:val="24"/>
        </w:rPr>
        <w:t xml:space="preserve">as he </w:t>
      </w:r>
      <w:r w:rsidR="003E5676">
        <w:rPr>
          <w:sz w:val="24"/>
          <w:szCs w:val="24"/>
        </w:rPr>
        <w:t xml:space="preserve">argues </w:t>
      </w:r>
      <w:r w:rsidR="00036D14">
        <w:rPr>
          <w:sz w:val="24"/>
          <w:szCs w:val="24"/>
        </w:rPr>
        <w:t>that they were only concerned with domestic responsibilities</w:t>
      </w:r>
      <w:r w:rsidR="00035100">
        <w:rPr>
          <w:sz w:val="24"/>
          <w:szCs w:val="24"/>
        </w:rPr>
        <w:t>. This is further supported as he cites the Mishna</w:t>
      </w:r>
      <w:r w:rsidR="0002272F">
        <w:rPr>
          <w:sz w:val="24"/>
          <w:szCs w:val="24"/>
        </w:rPr>
        <w:t>h, specifically the Nashim as highlighting the social spheres women were involved in. The Nashim</w:t>
      </w:r>
      <w:r w:rsidR="006019E7">
        <w:rPr>
          <w:sz w:val="24"/>
          <w:szCs w:val="24"/>
        </w:rPr>
        <w:t xml:space="preserve">, </w:t>
      </w:r>
      <w:r w:rsidR="00037E67">
        <w:rPr>
          <w:sz w:val="24"/>
          <w:szCs w:val="24"/>
        </w:rPr>
        <w:t xml:space="preserve">the </w:t>
      </w:r>
      <w:r w:rsidR="0002272F">
        <w:rPr>
          <w:sz w:val="24"/>
          <w:szCs w:val="24"/>
        </w:rPr>
        <w:t>section of the Mishnah</w:t>
      </w:r>
      <w:r w:rsidR="00037E67">
        <w:rPr>
          <w:sz w:val="24"/>
          <w:szCs w:val="24"/>
        </w:rPr>
        <w:t xml:space="preserve"> that tran</w:t>
      </w:r>
      <w:r w:rsidR="004F2C09">
        <w:rPr>
          <w:sz w:val="24"/>
          <w:szCs w:val="24"/>
        </w:rPr>
        <w:t>slates into Women</w:t>
      </w:r>
      <w:r w:rsidR="006019E7">
        <w:rPr>
          <w:sz w:val="24"/>
          <w:szCs w:val="24"/>
        </w:rPr>
        <w:t xml:space="preserve">, </w:t>
      </w:r>
      <w:r w:rsidR="004F2C09">
        <w:rPr>
          <w:sz w:val="24"/>
          <w:szCs w:val="24"/>
        </w:rPr>
        <w:t xml:space="preserve">is split into subheadings including </w:t>
      </w:r>
      <w:r w:rsidR="00FE48B0">
        <w:rPr>
          <w:sz w:val="24"/>
          <w:szCs w:val="24"/>
        </w:rPr>
        <w:t>Ketuboth</w:t>
      </w:r>
      <w:r w:rsidR="00D91B1B">
        <w:rPr>
          <w:sz w:val="24"/>
          <w:szCs w:val="24"/>
        </w:rPr>
        <w:t xml:space="preserve">, or </w:t>
      </w:r>
      <w:r w:rsidR="00FE48B0">
        <w:rPr>
          <w:sz w:val="24"/>
          <w:szCs w:val="24"/>
        </w:rPr>
        <w:t>marriage deeds</w:t>
      </w:r>
      <w:r w:rsidR="00D91B1B">
        <w:rPr>
          <w:sz w:val="24"/>
          <w:szCs w:val="24"/>
        </w:rPr>
        <w:t xml:space="preserve">, </w:t>
      </w:r>
      <w:r w:rsidR="00FE48B0">
        <w:rPr>
          <w:sz w:val="24"/>
          <w:szCs w:val="24"/>
        </w:rPr>
        <w:t xml:space="preserve">and </w:t>
      </w:r>
      <w:r w:rsidR="00D91B1B">
        <w:rPr>
          <w:sz w:val="24"/>
          <w:szCs w:val="24"/>
        </w:rPr>
        <w:t>Kiddushin which is concerned with betrothals.</w:t>
      </w:r>
      <w:r w:rsidR="00D91B1B">
        <w:rPr>
          <w:rStyle w:val="FootnoteReference"/>
          <w:sz w:val="24"/>
          <w:szCs w:val="24"/>
        </w:rPr>
        <w:footnoteReference w:id="3"/>
      </w:r>
      <w:r w:rsidR="00D91B1B">
        <w:rPr>
          <w:sz w:val="24"/>
          <w:szCs w:val="24"/>
        </w:rPr>
        <w:t xml:space="preserve"> </w:t>
      </w:r>
      <w:r w:rsidR="00EE62A3">
        <w:rPr>
          <w:sz w:val="24"/>
          <w:szCs w:val="24"/>
        </w:rPr>
        <w:t xml:space="preserve">Witherington cites these subheadings as mirroring the lack of authority and </w:t>
      </w:r>
      <w:r w:rsidR="009E16ED">
        <w:rPr>
          <w:sz w:val="24"/>
          <w:szCs w:val="24"/>
        </w:rPr>
        <w:t xml:space="preserve">the </w:t>
      </w:r>
      <w:r w:rsidR="009E16ED" w:rsidRPr="00A56B06">
        <w:rPr>
          <w:sz w:val="24"/>
          <w:szCs w:val="24"/>
        </w:rPr>
        <w:t xml:space="preserve">limits placed on </w:t>
      </w:r>
      <w:r w:rsidR="0064048E" w:rsidRPr="00A56B06">
        <w:rPr>
          <w:sz w:val="24"/>
          <w:szCs w:val="24"/>
        </w:rPr>
        <w:t>Jewish women in the first</w:t>
      </w:r>
      <w:r w:rsidR="005614EB">
        <w:rPr>
          <w:sz w:val="24"/>
          <w:szCs w:val="24"/>
        </w:rPr>
        <w:t>-</w:t>
      </w:r>
      <w:r w:rsidR="0064048E" w:rsidRPr="00A56B06">
        <w:rPr>
          <w:sz w:val="24"/>
          <w:szCs w:val="24"/>
        </w:rPr>
        <w:t>century.</w:t>
      </w:r>
      <w:r w:rsidR="00C57F9A" w:rsidRPr="00A56B06">
        <w:rPr>
          <w:rStyle w:val="FootnoteReference"/>
          <w:sz w:val="24"/>
          <w:szCs w:val="24"/>
        </w:rPr>
        <w:footnoteReference w:id="4"/>
      </w:r>
      <w:r w:rsidR="00C57F9A" w:rsidRPr="00A56B06">
        <w:rPr>
          <w:sz w:val="24"/>
          <w:szCs w:val="24"/>
        </w:rPr>
        <w:t xml:space="preserve"> </w:t>
      </w:r>
      <w:r w:rsidR="00703737">
        <w:rPr>
          <w:sz w:val="24"/>
          <w:szCs w:val="24"/>
        </w:rPr>
        <w:t xml:space="preserve"> </w:t>
      </w:r>
      <w:r w:rsidR="00703737" w:rsidRPr="00A56B06">
        <w:rPr>
          <w:sz w:val="24"/>
          <w:szCs w:val="24"/>
        </w:rPr>
        <w:t xml:space="preserve">Witherington </w:t>
      </w:r>
      <w:r w:rsidR="00703737">
        <w:rPr>
          <w:sz w:val="24"/>
          <w:szCs w:val="24"/>
        </w:rPr>
        <w:t xml:space="preserve">is </w:t>
      </w:r>
      <w:r w:rsidR="00E24214">
        <w:rPr>
          <w:sz w:val="24"/>
          <w:szCs w:val="24"/>
        </w:rPr>
        <w:t>furthering his notion that Jewish women in this period had a lack of independence and were constricted by their male relatives</w:t>
      </w:r>
      <w:r w:rsidR="00037E67">
        <w:rPr>
          <w:sz w:val="24"/>
          <w:szCs w:val="24"/>
        </w:rPr>
        <w:t xml:space="preserve"> as the laws concerning women primarily focus on their domestic roles and thei</w:t>
      </w:r>
      <w:r w:rsidR="00842EE3">
        <w:rPr>
          <w:sz w:val="24"/>
          <w:szCs w:val="24"/>
        </w:rPr>
        <w:t>r links to family life</w:t>
      </w:r>
      <w:r w:rsidR="00E24214">
        <w:rPr>
          <w:sz w:val="24"/>
          <w:szCs w:val="24"/>
        </w:rPr>
        <w:t xml:space="preserve">. This is supported by </w:t>
      </w:r>
      <w:r w:rsidR="00CC6536">
        <w:rPr>
          <w:sz w:val="24"/>
          <w:szCs w:val="24"/>
        </w:rPr>
        <w:t>Eisabeth Meier</w:t>
      </w:r>
      <w:r w:rsidR="003F1101">
        <w:rPr>
          <w:sz w:val="24"/>
          <w:szCs w:val="24"/>
        </w:rPr>
        <w:t xml:space="preserve"> Tetlow</w:t>
      </w:r>
      <w:r w:rsidR="009121B9">
        <w:rPr>
          <w:sz w:val="24"/>
          <w:szCs w:val="24"/>
        </w:rPr>
        <w:t xml:space="preserve">, who </w:t>
      </w:r>
      <w:r w:rsidR="00DB7C01">
        <w:rPr>
          <w:sz w:val="24"/>
          <w:szCs w:val="24"/>
        </w:rPr>
        <w:t>Amy-Kill Levine cites as stating that first</w:t>
      </w:r>
      <w:r w:rsidR="005614EB">
        <w:rPr>
          <w:sz w:val="24"/>
          <w:szCs w:val="24"/>
        </w:rPr>
        <w:t>-</w:t>
      </w:r>
      <w:r w:rsidR="00DB7C01">
        <w:rPr>
          <w:sz w:val="24"/>
          <w:szCs w:val="24"/>
        </w:rPr>
        <w:t xml:space="preserve">century Jewish society </w:t>
      </w:r>
      <w:r w:rsidR="00D907E5">
        <w:rPr>
          <w:sz w:val="24"/>
          <w:szCs w:val="24"/>
        </w:rPr>
        <w:lastRenderedPageBreak/>
        <w:t>gave women no rights and were only property of their male relatives.</w:t>
      </w:r>
      <w:r w:rsidR="00D907E5">
        <w:rPr>
          <w:rStyle w:val="FootnoteReference"/>
          <w:sz w:val="24"/>
          <w:szCs w:val="24"/>
        </w:rPr>
        <w:footnoteReference w:id="5"/>
      </w:r>
      <w:r w:rsidR="00D907E5">
        <w:rPr>
          <w:sz w:val="24"/>
          <w:szCs w:val="24"/>
        </w:rPr>
        <w:t xml:space="preserve"> </w:t>
      </w:r>
      <w:r w:rsidR="00E24214">
        <w:rPr>
          <w:sz w:val="24"/>
          <w:szCs w:val="24"/>
        </w:rPr>
        <w:t xml:space="preserve"> </w:t>
      </w:r>
      <w:r w:rsidR="003F1101">
        <w:rPr>
          <w:sz w:val="24"/>
          <w:szCs w:val="24"/>
        </w:rPr>
        <w:t>Tetlow is mirroring the ideas seen in Witherington’s work, that Jewish women lived in an oppressive patriarchal society</w:t>
      </w:r>
      <w:r w:rsidR="00842EE3">
        <w:rPr>
          <w:sz w:val="24"/>
          <w:szCs w:val="24"/>
        </w:rPr>
        <w:t xml:space="preserve"> and were constricted to domestic laws and lifestyles</w:t>
      </w:r>
      <w:r w:rsidR="003F1101">
        <w:rPr>
          <w:sz w:val="24"/>
          <w:szCs w:val="24"/>
        </w:rPr>
        <w:t xml:space="preserve">. </w:t>
      </w:r>
      <w:r w:rsidR="00C57F9A" w:rsidRPr="00A56B06">
        <w:rPr>
          <w:sz w:val="24"/>
          <w:szCs w:val="24"/>
        </w:rPr>
        <w:t xml:space="preserve">However, </w:t>
      </w:r>
      <w:r w:rsidR="000507F9" w:rsidRPr="00A56B06">
        <w:rPr>
          <w:sz w:val="24"/>
          <w:szCs w:val="24"/>
        </w:rPr>
        <w:t xml:space="preserve">George Robinson states that the </w:t>
      </w:r>
      <w:r w:rsidR="009D4263" w:rsidRPr="00A56B06">
        <w:rPr>
          <w:sz w:val="24"/>
          <w:szCs w:val="24"/>
        </w:rPr>
        <w:t xml:space="preserve">Mishnah is predicted by scholarship to have been written during the </w:t>
      </w:r>
      <w:r w:rsidR="00A56B06">
        <w:rPr>
          <w:sz w:val="24"/>
          <w:szCs w:val="24"/>
        </w:rPr>
        <w:t>s</w:t>
      </w:r>
      <w:r w:rsidR="009D4263" w:rsidRPr="00A56B06">
        <w:rPr>
          <w:sz w:val="24"/>
          <w:szCs w:val="24"/>
        </w:rPr>
        <w:t>econd</w:t>
      </w:r>
      <w:r w:rsidR="008A123F">
        <w:rPr>
          <w:sz w:val="24"/>
          <w:szCs w:val="24"/>
        </w:rPr>
        <w:t>-</w:t>
      </w:r>
      <w:r w:rsidR="00A56B06">
        <w:rPr>
          <w:sz w:val="24"/>
          <w:szCs w:val="24"/>
        </w:rPr>
        <w:t>c</w:t>
      </w:r>
      <w:r w:rsidR="009D4263" w:rsidRPr="00A56B06">
        <w:rPr>
          <w:sz w:val="24"/>
          <w:szCs w:val="24"/>
        </w:rPr>
        <w:t>entury</w:t>
      </w:r>
      <w:r w:rsidR="00A56B06">
        <w:rPr>
          <w:rStyle w:val="FootnoteReference"/>
          <w:sz w:val="24"/>
          <w:szCs w:val="24"/>
        </w:rPr>
        <w:footnoteReference w:id="6"/>
      </w:r>
      <w:r w:rsidR="009D4263" w:rsidRPr="00A56B06">
        <w:rPr>
          <w:sz w:val="24"/>
          <w:szCs w:val="24"/>
        </w:rPr>
        <w:t xml:space="preserve"> and thus, this is important to consider. Witherington </w:t>
      </w:r>
      <w:r w:rsidR="00703737" w:rsidRPr="00A56B06">
        <w:rPr>
          <w:sz w:val="24"/>
          <w:szCs w:val="24"/>
        </w:rPr>
        <w:t>constructs</w:t>
      </w:r>
      <w:r w:rsidR="00703737">
        <w:rPr>
          <w:sz w:val="24"/>
          <w:szCs w:val="24"/>
        </w:rPr>
        <w:t xml:space="preserve"> </w:t>
      </w:r>
      <w:r w:rsidR="009D4263" w:rsidRPr="00A56B06">
        <w:rPr>
          <w:sz w:val="24"/>
          <w:szCs w:val="24"/>
        </w:rPr>
        <w:t>his argumen</w:t>
      </w:r>
      <w:r w:rsidR="00A56B06">
        <w:rPr>
          <w:sz w:val="24"/>
          <w:szCs w:val="24"/>
        </w:rPr>
        <w:t>t of first</w:t>
      </w:r>
      <w:r w:rsidR="005614EB">
        <w:rPr>
          <w:sz w:val="24"/>
          <w:szCs w:val="24"/>
        </w:rPr>
        <w:t>-</w:t>
      </w:r>
      <w:r w:rsidR="00A56B06">
        <w:rPr>
          <w:sz w:val="24"/>
          <w:szCs w:val="24"/>
        </w:rPr>
        <w:t xml:space="preserve">century Jewish women in a source written later and not from the exact period. This presents a challenge to  Witherington’s ideas as his source is not from the period and thus may have changes from the </w:t>
      </w:r>
      <w:r w:rsidR="001528A9">
        <w:rPr>
          <w:sz w:val="24"/>
          <w:szCs w:val="24"/>
        </w:rPr>
        <w:t>context</w:t>
      </w:r>
      <w:r w:rsidR="00A56B06">
        <w:rPr>
          <w:sz w:val="24"/>
          <w:szCs w:val="24"/>
        </w:rPr>
        <w:t xml:space="preserve"> that it was written in</w:t>
      </w:r>
      <w:r w:rsidR="001528A9">
        <w:rPr>
          <w:sz w:val="24"/>
          <w:szCs w:val="24"/>
        </w:rPr>
        <w:t>, as well as different attitudes to certain concepts</w:t>
      </w:r>
      <w:r w:rsidR="00445253">
        <w:rPr>
          <w:sz w:val="24"/>
          <w:szCs w:val="24"/>
        </w:rPr>
        <w:t xml:space="preserve">. </w:t>
      </w:r>
      <w:r w:rsidR="00703737" w:rsidRPr="00A56B06">
        <w:rPr>
          <w:sz w:val="24"/>
          <w:szCs w:val="24"/>
        </w:rPr>
        <w:t>Witherington</w:t>
      </w:r>
      <w:r w:rsidR="00703737">
        <w:rPr>
          <w:sz w:val="24"/>
          <w:szCs w:val="24"/>
        </w:rPr>
        <w:t>’s argument continues to discuss women in Jesus’ ministry and how these women and Jesus’ attitudes challenged the accepted social norms of first</w:t>
      </w:r>
      <w:r w:rsidR="005614EB">
        <w:rPr>
          <w:sz w:val="24"/>
          <w:szCs w:val="24"/>
        </w:rPr>
        <w:t>-</w:t>
      </w:r>
      <w:r w:rsidR="00703737">
        <w:rPr>
          <w:sz w:val="24"/>
          <w:szCs w:val="24"/>
        </w:rPr>
        <w:t>century Judaism</w:t>
      </w:r>
      <w:r w:rsidR="00240981">
        <w:rPr>
          <w:sz w:val="24"/>
          <w:szCs w:val="24"/>
        </w:rPr>
        <w:t>, “</w:t>
      </w:r>
      <w:r w:rsidR="00575627">
        <w:rPr>
          <w:sz w:val="24"/>
          <w:szCs w:val="24"/>
        </w:rPr>
        <w:t>Jesus</w:t>
      </w:r>
      <w:r w:rsidR="00C54759">
        <w:rPr>
          <w:sz w:val="24"/>
          <w:szCs w:val="24"/>
        </w:rPr>
        <w:t>’ teachings relating to women and their roles is sometimes radical, sometimes reforma</w:t>
      </w:r>
      <w:r w:rsidR="00027E99">
        <w:rPr>
          <w:sz w:val="24"/>
          <w:szCs w:val="24"/>
        </w:rPr>
        <w:t>tional, and usually controversial in its original setting.”</w:t>
      </w:r>
      <w:r w:rsidR="00027E99">
        <w:rPr>
          <w:rStyle w:val="FootnoteReference"/>
          <w:sz w:val="24"/>
          <w:szCs w:val="24"/>
        </w:rPr>
        <w:footnoteReference w:id="7"/>
      </w:r>
      <w:r w:rsidR="00027E99">
        <w:rPr>
          <w:sz w:val="24"/>
          <w:szCs w:val="24"/>
        </w:rPr>
        <w:t xml:space="preserve"> Witherington focuses on female </w:t>
      </w:r>
      <w:r w:rsidR="00E652B7">
        <w:rPr>
          <w:sz w:val="24"/>
          <w:szCs w:val="24"/>
        </w:rPr>
        <w:t xml:space="preserve">language and portrayals in </w:t>
      </w:r>
      <w:r w:rsidR="008736FF">
        <w:rPr>
          <w:sz w:val="24"/>
          <w:szCs w:val="24"/>
        </w:rPr>
        <w:t>Jesus’ parables</w:t>
      </w:r>
      <w:r w:rsidR="0072254D">
        <w:rPr>
          <w:sz w:val="24"/>
          <w:szCs w:val="24"/>
        </w:rPr>
        <w:t xml:space="preserve">, citing the Gospel of </w:t>
      </w:r>
      <w:r w:rsidR="00D54888">
        <w:rPr>
          <w:sz w:val="24"/>
          <w:szCs w:val="24"/>
        </w:rPr>
        <w:t>Luke</w:t>
      </w:r>
      <w:r w:rsidR="003560C3">
        <w:rPr>
          <w:sz w:val="24"/>
          <w:szCs w:val="24"/>
        </w:rPr>
        <w:t>, chapter 15,</w:t>
      </w:r>
      <w:r w:rsidR="00D54888">
        <w:rPr>
          <w:sz w:val="24"/>
          <w:szCs w:val="24"/>
        </w:rPr>
        <w:t xml:space="preserve"> where Jesus relates God’s redemptive work to “everyday activities </w:t>
      </w:r>
      <w:r w:rsidR="00503441">
        <w:rPr>
          <w:sz w:val="24"/>
          <w:szCs w:val="24"/>
        </w:rPr>
        <w:t>of women.”</w:t>
      </w:r>
      <w:r w:rsidR="00503441">
        <w:rPr>
          <w:rStyle w:val="FootnoteReference"/>
          <w:sz w:val="24"/>
          <w:szCs w:val="24"/>
        </w:rPr>
        <w:footnoteReference w:id="8"/>
      </w:r>
      <w:r w:rsidR="001C0832">
        <w:rPr>
          <w:sz w:val="24"/>
          <w:szCs w:val="24"/>
        </w:rPr>
        <w:t xml:space="preserve"> The passage Witherington </w:t>
      </w:r>
      <w:r w:rsidR="00F03EE3">
        <w:rPr>
          <w:sz w:val="24"/>
          <w:szCs w:val="24"/>
        </w:rPr>
        <w:t>highlights as an example</w:t>
      </w:r>
      <w:r w:rsidR="003F3077">
        <w:rPr>
          <w:sz w:val="24"/>
          <w:szCs w:val="24"/>
        </w:rPr>
        <w:t>,</w:t>
      </w:r>
      <w:r w:rsidR="00BD15F1">
        <w:rPr>
          <w:sz w:val="24"/>
          <w:szCs w:val="24"/>
        </w:rPr>
        <w:t xml:space="preserve"> the </w:t>
      </w:r>
      <w:r w:rsidR="003560C3">
        <w:rPr>
          <w:sz w:val="24"/>
          <w:szCs w:val="24"/>
        </w:rPr>
        <w:t>P</w:t>
      </w:r>
      <w:r w:rsidR="00BD15F1">
        <w:rPr>
          <w:sz w:val="24"/>
          <w:szCs w:val="24"/>
        </w:rPr>
        <w:t xml:space="preserve">arable of the </w:t>
      </w:r>
      <w:r w:rsidR="003560C3">
        <w:rPr>
          <w:sz w:val="24"/>
          <w:szCs w:val="24"/>
        </w:rPr>
        <w:t>L</w:t>
      </w:r>
      <w:r w:rsidR="00BD15F1">
        <w:rPr>
          <w:sz w:val="24"/>
          <w:szCs w:val="24"/>
        </w:rPr>
        <w:t xml:space="preserve">ost </w:t>
      </w:r>
      <w:r w:rsidR="003560C3">
        <w:rPr>
          <w:sz w:val="24"/>
          <w:szCs w:val="24"/>
        </w:rPr>
        <w:t>C</w:t>
      </w:r>
      <w:r w:rsidR="00BD15F1">
        <w:rPr>
          <w:sz w:val="24"/>
          <w:szCs w:val="24"/>
        </w:rPr>
        <w:t xml:space="preserve">oin, </w:t>
      </w:r>
      <w:r w:rsidR="00F22F96">
        <w:rPr>
          <w:sz w:val="24"/>
          <w:szCs w:val="24"/>
        </w:rPr>
        <w:t>discusses</w:t>
      </w:r>
      <w:r w:rsidR="00BD15F1">
        <w:rPr>
          <w:sz w:val="24"/>
          <w:szCs w:val="24"/>
        </w:rPr>
        <w:t xml:space="preserve"> a </w:t>
      </w:r>
      <w:r w:rsidR="00F22F96">
        <w:rPr>
          <w:sz w:val="24"/>
          <w:szCs w:val="24"/>
        </w:rPr>
        <w:t>women</w:t>
      </w:r>
      <w:r w:rsidR="00BD15F1">
        <w:rPr>
          <w:sz w:val="24"/>
          <w:szCs w:val="24"/>
        </w:rPr>
        <w:t xml:space="preserve"> </w:t>
      </w:r>
      <w:r w:rsidR="00F22F96">
        <w:rPr>
          <w:sz w:val="24"/>
          <w:szCs w:val="24"/>
        </w:rPr>
        <w:t>losing money and finding it again,</w:t>
      </w:r>
      <w:r w:rsidR="003560C3">
        <w:rPr>
          <w:sz w:val="24"/>
          <w:szCs w:val="24"/>
        </w:rPr>
        <w:t xml:space="preserve"> concluding with;</w:t>
      </w:r>
      <w:r w:rsidR="00F22F96">
        <w:rPr>
          <w:sz w:val="24"/>
          <w:szCs w:val="24"/>
        </w:rPr>
        <w:t xml:space="preserve"> “Just so, I tell you, there is joy in the presence of the angels of God over one sinner who repents” (Luke. </w:t>
      </w:r>
      <w:r w:rsidR="00164008">
        <w:rPr>
          <w:sz w:val="24"/>
          <w:szCs w:val="24"/>
        </w:rPr>
        <w:t xml:space="preserve">15:8-10). </w:t>
      </w:r>
      <w:r w:rsidR="00CF2159">
        <w:rPr>
          <w:sz w:val="24"/>
          <w:szCs w:val="24"/>
        </w:rPr>
        <w:t>Witherington is highlighting</w:t>
      </w:r>
      <w:r w:rsidR="007F2C1C">
        <w:rPr>
          <w:sz w:val="24"/>
          <w:szCs w:val="24"/>
        </w:rPr>
        <w:t xml:space="preserve"> the notion that this passage</w:t>
      </w:r>
      <w:r w:rsidR="00CF2159">
        <w:rPr>
          <w:sz w:val="24"/>
          <w:szCs w:val="24"/>
        </w:rPr>
        <w:t xml:space="preserve"> creates a direct link between women and the redemptive power of God</w:t>
      </w:r>
      <w:r w:rsidR="002502A8">
        <w:rPr>
          <w:sz w:val="24"/>
          <w:szCs w:val="24"/>
        </w:rPr>
        <w:t xml:space="preserve"> and, he argues, this further presents Jesus’ favourable attitude towards women. </w:t>
      </w:r>
      <w:r w:rsidR="008736FF">
        <w:rPr>
          <w:sz w:val="24"/>
          <w:szCs w:val="24"/>
        </w:rPr>
        <w:t xml:space="preserve">Witherington also highlights several other parables that use women’s lives or female imagery </w:t>
      </w:r>
      <w:r w:rsidR="008736FF">
        <w:rPr>
          <w:sz w:val="24"/>
          <w:szCs w:val="24"/>
        </w:rPr>
        <w:lastRenderedPageBreak/>
        <w:t xml:space="preserve">to </w:t>
      </w:r>
      <w:r w:rsidR="00D5298B">
        <w:rPr>
          <w:sz w:val="24"/>
          <w:szCs w:val="24"/>
        </w:rPr>
        <w:t>use women as “both positive and negative examples for Jesus’ disciples.”</w:t>
      </w:r>
      <w:r w:rsidR="00D5298B">
        <w:rPr>
          <w:rStyle w:val="FootnoteReference"/>
          <w:sz w:val="24"/>
          <w:szCs w:val="24"/>
        </w:rPr>
        <w:footnoteReference w:id="9"/>
      </w:r>
      <w:r w:rsidR="00D5298B">
        <w:rPr>
          <w:sz w:val="24"/>
          <w:szCs w:val="24"/>
        </w:rPr>
        <w:t xml:space="preserve"> Overall, Witherington presents the argument that </w:t>
      </w:r>
      <w:r w:rsidR="00F66BD7">
        <w:rPr>
          <w:sz w:val="24"/>
          <w:szCs w:val="24"/>
        </w:rPr>
        <w:t>first</w:t>
      </w:r>
      <w:r w:rsidR="005614EB">
        <w:rPr>
          <w:sz w:val="24"/>
          <w:szCs w:val="24"/>
        </w:rPr>
        <w:t>-</w:t>
      </w:r>
      <w:r w:rsidR="00F66BD7">
        <w:rPr>
          <w:sz w:val="24"/>
          <w:szCs w:val="24"/>
        </w:rPr>
        <w:t xml:space="preserve">century Jewish women held little rights compared to their male counterparts and that Jesus, by using women and female imagery to teach his disciples, presented a controversial opinion of women as he placed them close to God and </w:t>
      </w:r>
      <w:r w:rsidR="00B54F53">
        <w:rPr>
          <w:sz w:val="24"/>
          <w:szCs w:val="24"/>
        </w:rPr>
        <w:t>as “equally worthy to be examples, equally objects of God’s grace.”</w:t>
      </w:r>
      <w:r w:rsidR="00B54F53">
        <w:rPr>
          <w:rStyle w:val="FootnoteReference"/>
          <w:sz w:val="24"/>
          <w:szCs w:val="24"/>
        </w:rPr>
        <w:footnoteReference w:id="10"/>
      </w:r>
      <w:r w:rsidR="00B54F53">
        <w:rPr>
          <w:sz w:val="24"/>
          <w:szCs w:val="24"/>
        </w:rPr>
        <w:t xml:space="preserve"> Witherington is suggesting that Jesus placed importance and </w:t>
      </w:r>
      <w:r w:rsidR="00124516">
        <w:rPr>
          <w:sz w:val="24"/>
          <w:szCs w:val="24"/>
        </w:rPr>
        <w:t xml:space="preserve">significant status of women in religious, as well as social, life. Witherington presents that this is different from the early Jewish community as he claims that Jesus’ ideas are </w:t>
      </w:r>
      <w:r w:rsidR="0047580F">
        <w:rPr>
          <w:sz w:val="24"/>
          <w:szCs w:val="24"/>
        </w:rPr>
        <w:t xml:space="preserve">controversial to this society. </w:t>
      </w:r>
    </w:p>
    <w:p w14:paraId="556EA2B1" w14:textId="3086BF83" w:rsidR="0047580F" w:rsidRDefault="0047580F" w:rsidP="007E3F2E">
      <w:pPr>
        <w:spacing w:line="480" w:lineRule="auto"/>
        <w:jc w:val="both"/>
        <w:rPr>
          <w:sz w:val="24"/>
          <w:szCs w:val="24"/>
        </w:rPr>
      </w:pPr>
      <w:r>
        <w:rPr>
          <w:sz w:val="24"/>
          <w:szCs w:val="24"/>
        </w:rPr>
        <w:t>The argument that Jesus re</w:t>
      </w:r>
      <w:r w:rsidR="00C42256">
        <w:rPr>
          <w:sz w:val="24"/>
          <w:szCs w:val="24"/>
        </w:rPr>
        <w:t>formed</w:t>
      </w:r>
      <w:r>
        <w:rPr>
          <w:sz w:val="24"/>
          <w:szCs w:val="24"/>
        </w:rPr>
        <w:t xml:space="preserve"> first</w:t>
      </w:r>
      <w:r w:rsidR="005614EB">
        <w:rPr>
          <w:sz w:val="24"/>
          <w:szCs w:val="24"/>
        </w:rPr>
        <w:t>-</w:t>
      </w:r>
      <w:r>
        <w:rPr>
          <w:sz w:val="24"/>
          <w:szCs w:val="24"/>
        </w:rPr>
        <w:t xml:space="preserve">century Jewish attitudes to women has faced large challenges from scholarship. </w:t>
      </w:r>
      <w:r w:rsidR="0078361A">
        <w:rPr>
          <w:sz w:val="24"/>
          <w:szCs w:val="24"/>
        </w:rPr>
        <w:t>The arguments of Witherington and Tetlow are grounded in the accepted idea that early first</w:t>
      </w:r>
      <w:r w:rsidR="005614EB">
        <w:rPr>
          <w:sz w:val="24"/>
          <w:szCs w:val="24"/>
        </w:rPr>
        <w:t>-</w:t>
      </w:r>
      <w:r w:rsidR="0078361A">
        <w:rPr>
          <w:sz w:val="24"/>
          <w:szCs w:val="24"/>
        </w:rPr>
        <w:t xml:space="preserve">century Jewish attitudes to women were poor and </w:t>
      </w:r>
      <w:r w:rsidR="00A8472A">
        <w:rPr>
          <w:sz w:val="24"/>
          <w:szCs w:val="24"/>
        </w:rPr>
        <w:t>damaging. However, there is several academic works that suggest th</w:t>
      </w:r>
      <w:r w:rsidR="00BC1170">
        <w:rPr>
          <w:sz w:val="24"/>
          <w:szCs w:val="24"/>
        </w:rPr>
        <w:t>at this is not an accurate depiction of female life in first</w:t>
      </w:r>
      <w:r w:rsidR="005614EB">
        <w:rPr>
          <w:sz w:val="24"/>
          <w:szCs w:val="24"/>
        </w:rPr>
        <w:t>-</w:t>
      </w:r>
      <w:r w:rsidR="00BC1170">
        <w:rPr>
          <w:sz w:val="24"/>
          <w:szCs w:val="24"/>
        </w:rPr>
        <w:t xml:space="preserve">century Judaism. </w:t>
      </w:r>
      <w:r w:rsidR="00674A66">
        <w:rPr>
          <w:sz w:val="24"/>
          <w:szCs w:val="24"/>
        </w:rPr>
        <w:t xml:space="preserve">The work of </w:t>
      </w:r>
      <w:r w:rsidR="00E85202">
        <w:rPr>
          <w:sz w:val="24"/>
          <w:szCs w:val="24"/>
        </w:rPr>
        <w:t xml:space="preserve">Levine </w:t>
      </w:r>
      <w:r w:rsidR="00036D14">
        <w:rPr>
          <w:sz w:val="24"/>
          <w:szCs w:val="24"/>
        </w:rPr>
        <w:t>challenges the notion that Jewish women in the first</w:t>
      </w:r>
      <w:r w:rsidR="005614EB">
        <w:rPr>
          <w:sz w:val="24"/>
          <w:szCs w:val="24"/>
        </w:rPr>
        <w:t>-</w:t>
      </w:r>
      <w:r w:rsidR="00036D14">
        <w:rPr>
          <w:sz w:val="24"/>
          <w:szCs w:val="24"/>
        </w:rPr>
        <w:t xml:space="preserve">century were limited to family life and domestic responsibilities only, with a lack of independence or involvement in key areas of religious life. </w:t>
      </w:r>
      <w:r w:rsidR="00E85202">
        <w:rPr>
          <w:sz w:val="24"/>
          <w:szCs w:val="24"/>
        </w:rPr>
        <w:t>Levine highlights key primary sources that</w:t>
      </w:r>
      <w:r w:rsidR="003C1FB4">
        <w:rPr>
          <w:sz w:val="24"/>
          <w:szCs w:val="24"/>
        </w:rPr>
        <w:t xml:space="preserve"> </w:t>
      </w:r>
      <w:r w:rsidR="00AA1B57">
        <w:rPr>
          <w:sz w:val="24"/>
          <w:szCs w:val="24"/>
        </w:rPr>
        <w:t>emphasize</w:t>
      </w:r>
      <w:r w:rsidR="00976A8A">
        <w:rPr>
          <w:sz w:val="24"/>
          <w:szCs w:val="24"/>
        </w:rPr>
        <w:t>4</w:t>
      </w:r>
      <w:r w:rsidR="00F0749B">
        <w:rPr>
          <w:sz w:val="24"/>
          <w:szCs w:val="24"/>
        </w:rPr>
        <w:t xml:space="preserve"> the influence of women in first</w:t>
      </w:r>
      <w:r w:rsidR="005614EB">
        <w:rPr>
          <w:sz w:val="24"/>
          <w:szCs w:val="24"/>
        </w:rPr>
        <w:t>-</w:t>
      </w:r>
      <w:r w:rsidR="00F0749B">
        <w:rPr>
          <w:sz w:val="24"/>
          <w:szCs w:val="24"/>
        </w:rPr>
        <w:t>century Judaism and their responsibilities outside of domestic life.</w:t>
      </w:r>
      <w:r w:rsidR="003A382C">
        <w:rPr>
          <w:rStyle w:val="FootnoteReference"/>
          <w:sz w:val="24"/>
          <w:szCs w:val="24"/>
        </w:rPr>
        <w:footnoteReference w:id="11"/>
      </w:r>
      <w:r w:rsidR="00F0749B">
        <w:rPr>
          <w:sz w:val="24"/>
          <w:szCs w:val="24"/>
        </w:rPr>
        <w:t xml:space="preserve"> </w:t>
      </w:r>
      <w:r w:rsidR="003A382C">
        <w:rPr>
          <w:sz w:val="24"/>
          <w:szCs w:val="24"/>
        </w:rPr>
        <w:t xml:space="preserve"> Levine </w:t>
      </w:r>
      <w:r w:rsidR="000737E5">
        <w:rPr>
          <w:sz w:val="24"/>
          <w:szCs w:val="24"/>
        </w:rPr>
        <w:t>focuses on the primary source ‘Jewish War’ by Flavius Josephus</w:t>
      </w:r>
      <w:r w:rsidR="00130AB6">
        <w:rPr>
          <w:sz w:val="24"/>
          <w:szCs w:val="24"/>
        </w:rPr>
        <w:t xml:space="preserve">, who cites Gentile women as </w:t>
      </w:r>
      <w:r w:rsidR="00CB1001">
        <w:rPr>
          <w:sz w:val="24"/>
          <w:szCs w:val="24"/>
        </w:rPr>
        <w:t>wanting to convert to Judaism.  “</w:t>
      </w:r>
      <w:r w:rsidR="00524B2A">
        <w:rPr>
          <w:sz w:val="24"/>
          <w:szCs w:val="24"/>
        </w:rPr>
        <w:t>[The Gentiles of Damascus’]</w:t>
      </w:r>
      <w:r w:rsidR="00E44B7B">
        <w:rPr>
          <w:sz w:val="24"/>
          <w:szCs w:val="24"/>
        </w:rPr>
        <w:t xml:space="preserve"> only fear was of their own wives who, with few exceptions, has all become converts to the Jewish religion</w:t>
      </w:r>
      <w:r w:rsidR="00EF6E2F">
        <w:rPr>
          <w:sz w:val="24"/>
          <w:szCs w:val="24"/>
        </w:rPr>
        <w:t xml:space="preserve">” </w:t>
      </w:r>
      <w:r w:rsidR="00524B2A">
        <w:rPr>
          <w:sz w:val="24"/>
          <w:szCs w:val="24"/>
        </w:rPr>
        <w:t>(</w:t>
      </w:r>
      <w:r w:rsidR="008E66F8">
        <w:rPr>
          <w:i/>
          <w:iCs/>
          <w:sz w:val="24"/>
          <w:szCs w:val="24"/>
        </w:rPr>
        <w:t xml:space="preserve">The Jewish War </w:t>
      </w:r>
      <w:r w:rsidR="00FE44A4">
        <w:rPr>
          <w:sz w:val="24"/>
          <w:szCs w:val="24"/>
        </w:rPr>
        <w:t>2: 559</w:t>
      </w:r>
      <w:r w:rsidR="00DC38FD">
        <w:rPr>
          <w:sz w:val="24"/>
          <w:szCs w:val="24"/>
        </w:rPr>
        <w:t>).</w:t>
      </w:r>
      <w:r w:rsidR="004456C4">
        <w:rPr>
          <w:sz w:val="24"/>
          <w:szCs w:val="24"/>
        </w:rPr>
        <w:t xml:space="preserve"> Levine presents this as </w:t>
      </w:r>
      <w:r w:rsidR="00FB349D">
        <w:rPr>
          <w:sz w:val="24"/>
          <w:szCs w:val="24"/>
        </w:rPr>
        <w:t>a</w:t>
      </w:r>
      <w:r w:rsidR="008749FA">
        <w:rPr>
          <w:sz w:val="24"/>
          <w:szCs w:val="24"/>
        </w:rPr>
        <w:t xml:space="preserve">n example of </w:t>
      </w:r>
      <w:r w:rsidR="00681B56">
        <w:rPr>
          <w:sz w:val="24"/>
          <w:szCs w:val="24"/>
        </w:rPr>
        <w:t>“</w:t>
      </w:r>
      <w:r w:rsidR="00770B29">
        <w:rPr>
          <w:sz w:val="24"/>
          <w:szCs w:val="24"/>
        </w:rPr>
        <w:t>Jewish women’s social influence.”</w:t>
      </w:r>
      <w:r w:rsidR="00770B29">
        <w:rPr>
          <w:rStyle w:val="FootnoteReference"/>
          <w:sz w:val="24"/>
          <w:szCs w:val="24"/>
        </w:rPr>
        <w:footnoteReference w:id="12"/>
      </w:r>
      <w:r w:rsidR="005D3711">
        <w:rPr>
          <w:sz w:val="24"/>
          <w:szCs w:val="24"/>
        </w:rPr>
        <w:t xml:space="preserve"> Levine is highlighting a primary example of </w:t>
      </w:r>
      <w:r w:rsidR="005D3711">
        <w:rPr>
          <w:sz w:val="24"/>
          <w:szCs w:val="24"/>
        </w:rPr>
        <w:lastRenderedPageBreak/>
        <w:t>how first</w:t>
      </w:r>
      <w:r w:rsidR="005614EB">
        <w:rPr>
          <w:sz w:val="24"/>
          <w:szCs w:val="24"/>
        </w:rPr>
        <w:t>-</w:t>
      </w:r>
      <w:r w:rsidR="005D3711">
        <w:rPr>
          <w:sz w:val="24"/>
          <w:szCs w:val="24"/>
        </w:rPr>
        <w:t xml:space="preserve">century Jewish women had social influence, </w:t>
      </w:r>
      <w:r w:rsidR="00147139">
        <w:rPr>
          <w:sz w:val="24"/>
          <w:szCs w:val="24"/>
        </w:rPr>
        <w:t xml:space="preserve">furthering the notion that Jewish women were not contained in the domestic sphere. </w:t>
      </w:r>
      <w:r w:rsidR="00A251D9">
        <w:rPr>
          <w:sz w:val="24"/>
          <w:szCs w:val="24"/>
        </w:rPr>
        <w:t xml:space="preserve">Craig S Keener states that </w:t>
      </w:r>
      <w:r w:rsidR="00C303B5">
        <w:rPr>
          <w:sz w:val="24"/>
          <w:szCs w:val="24"/>
        </w:rPr>
        <w:t>this passage</w:t>
      </w:r>
      <w:r w:rsidR="00A251D9">
        <w:rPr>
          <w:sz w:val="24"/>
          <w:szCs w:val="24"/>
        </w:rPr>
        <w:t xml:space="preserve"> highlights roman women’s interest and sympathy with the Jewish religion as he states “</w:t>
      </w:r>
      <w:r w:rsidR="00C303B5">
        <w:rPr>
          <w:sz w:val="24"/>
          <w:szCs w:val="24"/>
        </w:rPr>
        <w:t>Gentile women proved more attracted to Judaism than men were.”</w:t>
      </w:r>
      <w:r w:rsidR="00C303B5">
        <w:rPr>
          <w:rStyle w:val="FootnoteReference"/>
          <w:sz w:val="24"/>
          <w:szCs w:val="24"/>
        </w:rPr>
        <w:footnoteReference w:id="13"/>
      </w:r>
      <w:r w:rsidR="00C303B5">
        <w:rPr>
          <w:sz w:val="24"/>
          <w:szCs w:val="24"/>
        </w:rPr>
        <w:t xml:space="preserve"> </w:t>
      </w:r>
      <w:r w:rsidR="00147139">
        <w:rPr>
          <w:sz w:val="24"/>
          <w:szCs w:val="24"/>
        </w:rPr>
        <w:t>This also suggests the idea that Jewish women’s lifestyle and religion was attractive to other</w:t>
      </w:r>
      <w:r w:rsidR="003C3D09">
        <w:rPr>
          <w:sz w:val="24"/>
          <w:szCs w:val="24"/>
        </w:rPr>
        <w:t xml:space="preserve"> women during this period, as Josephus suggests that amongst this group of women, the majority of them had chosen to follow Judaism despite their husbands wishes. This is supported as their husbands are depicted as </w:t>
      </w:r>
      <w:r w:rsidR="00BD5BB9">
        <w:rPr>
          <w:sz w:val="24"/>
          <w:szCs w:val="24"/>
        </w:rPr>
        <w:t>fearing their wives attachment to Judaism. Thus, Levine and Josephus challenge the notion that Witherington puts forward, of the oppressive and domestic lifestyle he claims Jewish women were contained in. This challenge presents the idea that Jesus did not reform attitudes to women in first</w:t>
      </w:r>
      <w:r w:rsidR="005614EB">
        <w:rPr>
          <w:sz w:val="24"/>
          <w:szCs w:val="24"/>
        </w:rPr>
        <w:t>-</w:t>
      </w:r>
      <w:r w:rsidR="00BD5BB9">
        <w:rPr>
          <w:sz w:val="24"/>
          <w:szCs w:val="24"/>
        </w:rPr>
        <w:t>century Judaism as women had social and religious impa</w:t>
      </w:r>
      <w:r w:rsidR="004B2404">
        <w:rPr>
          <w:sz w:val="24"/>
          <w:szCs w:val="24"/>
        </w:rPr>
        <w:t>ct, as well as their own importance and status in their religion and lifestyle.</w:t>
      </w:r>
      <w:r w:rsidR="006118B4">
        <w:rPr>
          <w:sz w:val="24"/>
          <w:szCs w:val="24"/>
        </w:rPr>
        <w:t xml:space="preserve"> Levine’s ideas are mirrored in the work of </w:t>
      </w:r>
      <w:r w:rsidR="004137DA">
        <w:rPr>
          <w:sz w:val="24"/>
          <w:szCs w:val="24"/>
        </w:rPr>
        <w:t xml:space="preserve">Susan Marks </w:t>
      </w:r>
      <w:r w:rsidR="003F154B">
        <w:rPr>
          <w:sz w:val="24"/>
          <w:szCs w:val="24"/>
        </w:rPr>
        <w:t>who also cites Josephus as an exampl</w:t>
      </w:r>
      <w:r w:rsidR="00107485">
        <w:rPr>
          <w:sz w:val="24"/>
          <w:szCs w:val="24"/>
        </w:rPr>
        <w:t xml:space="preserve">e of a useful tool to understanding the </w:t>
      </w:r>
      <w:r w:rsidR="00075CB6">
        <w:rPr>
          <w:sz w:val="24"/>
          <w:szCs w:val="24"/>
        </w:rPr>
        <w:t xml:space="preserve">“social realities” </w:t>
      </w:r>
      <w:r w:rsidR="003B4869">
        <w:rPr>
          <w:sz w:val="24"/>
          <w:szCs w:val="24"/>
        </w:rPr>
        <w:t xml:space="preserve">of Jewish women, and </w:t>
      </w:r>
      <w:r w:rsidR="00075CB6">
        <w:rPr>
          <w:sz w:val="24"/>
          <w:szCs w:val="24"/>
        </w:rPr>
        <w:t>their status in first</w:t>
      </w:r>
      <w:r w:rsidR="005614EB">
        <w:rPr>
          <w:sz w:val="24"/>
          <w:szCs w:val="24"/>
        </w:rPr>
        <w:t>-</w:t>
      </w:r>
      <w:r w:rsidR="00075CB6">
        <w:rPr>
          <w:sz w:val="24"/>
          <w:szCs w:val="24"/>
        </w:rPr>
        <w:t>century Judaism.</w:t>
      </w:r>
      <w:r w:rsidR="00075CB6">
        <w:rPr>
          <w:rStyle w:val="FootnoteReference"/>
          <w:sz w:val="24"/>
          <w:szCs w:val="24"/>
        </w:rPr>
        <w:footnoteReference w:id="14"/>
      </w:r>
      <w:r w:rsidR="00075CB6">
        <w:rPr>
          <w:sz w:val="24"/>
          <w:szCs w:val="24"/>
        </w:rPr>
        <w:t xml:space="preserve"> </w:t>
      </w:r>
      <w:r w:rsidR="00F06B8A">
        <w:rPr>
          <w:sz w:val="24"/>
          <w:szCs w:val="24"/>
        </w:rPr>
        <w:t xml:space="preserve">This is further supported by the argument that Jesus did not reform attitudes to women, through his teachings, as was claimed by Witherington. Witherington presents that the use of women and female imagery in </w:t>
      </w:r>
      <w:r w:rsidR="00A41F09">
        <w:rPr>
          <w:sz w:val="24"/>
          <w:szCs w:val="24"/>
        </w:rPr>
        <w:t>the parable of the lost coin.</w:t>
      </w:r>
      <w:r w:rsidR="00A41F09">
        <w:rPr>
          <w:rStyle w:val="FootnoteReference"/>
          <w:sz w:val="24"/>
          <w:szCs w:val="24"/>
        </w:rPr>
        <w:footnoteReference w:id="15"/>
      </w:r>
      <w:r w:rsidR="00181E91">
        <w:rPr>
          <w:sz w:val="24"/>
          <w:szCs w:val="24"/>
        </w:rPr>
        <w:t xml:space="preserve"> </w:t>
      </w:r>
      <w:r w:rsidR="00F04277">
        <w:rPr>
          <w:sz w:val="24"/>
          <w:szCs w:val="24"/>
        </w:rPr>
        <w:t xml:space="preserve">However, </w:t>
      </w:r>
      <w:r w:rsidR="00BD176D">
        <w:rPr>
          <w:sz w:val="24"/>
          <w:szCs w:val="24"/>
        </w:rPr>
        <w:t>Kath</w:t>
      </w:r>
      <w:r w:rsidR="006735FA">
        <w:rPr>
          <w:sz w:val="24"/>
          <w:szCs w:val="24"/>
        </w:rPr>
        <w:t xml:space="preserve">leen Corley states that the parable of the lost coin does not promote wholly positive </w:t>
      </w:r>
      <w:r w:rsidR="00FF2AEE">
        <w:rPr>
          <w:sz w:val="24"/>
          <w:szCs w:val="24"/>
        </w:rPr>
        <w:t xml:space="preserve">themes toward women. Corley </w:t>
      </w:r>
      <w:r w:rsidR="00603644">
        <w:rPr>
          <w:sz w:val="24"/>
          <w:szCs w:val="24"/>
        </w:rPr>
        <w:t xml:space="preserve">describes the story as </w:t>
      </w:r>
      <w:r w:rsidR="0026398D">
        <w:rPr>
          <w:sz w:val="24"/>
          <w:szCs w:val="24"/>
        </w:rPr>
        <w:t>a ”story of domestic incompetence followed by the surprising joy of rediscovery”</w:t>
      </w:r>
      <w:r w:rsidR="0026398D">
        <w:rPr>
          <w:rStyle w:val="FootnoteReference"/>
          <w:sz w:val="24"/>
          <w:szCs w:val="24"/>
        </w:rPr>
        <w:footnoteReference w:id="16"/>
      </w:r>
      <w:r w:rsidR="0026398D">
        <w:rPr>
          <w:sz w:val="24"/>
          <w:szCs w:val="24"/>
        </w:rPr>
        <w:t xml:space="preserve"> and “given Luke’s context and interpretation it is difficult </w:t>
      </w:r>
      <w:r w:rsidR="0026398D">
        <w:rPr>
          <w:sz w:val="24"/>
          <w:szCs w:val="24"/>
        </w:rPr>
        <w:lastRenderedPageBreak/>
        <w:t>to consider the woman a feminine image for God or Jesus.”</w:t>
      </w:r>
      <w:r w:rsidR="0026398D">
        <w:rPr>
          <w:rStyle w:val="FootnoteReference"/>
          <w:sz w:val="24"/>
          <w:szCs w:val="24"/>
        </w:rPr>
        <w:footnoteReference w:id="17"/>
      </w:r>
      <w:r w:rsidR="00045180">
        <w:rPr>
          <w:sz w:val="24"/>
          <w:szCs w:val="24"/>
        </w:rPr>
        <w:t xml:space="preserve"> Corley is suggesting that this parable does not present anything that challenges attitudes to women during the first</w:t>
      </w:r>
      <w:r w:rsidR="005614EB">
        <w:rPr>
          <w:sz w:val="24"/>
          <w:szCs w:val="24"/>
        </w:rPr>
        <w:t>-</w:t>
      </w:r>
      <w:r w:rsidR="00045180">
        <w:rPr>
          <w:sz w:val="24"/>
          <w:szCs w:val="24"/>
        </w:rPr>
        <w:t xml:space="preserve">century, as due to the context of Luke </w:t>
      </w:r>
      <w:r w:rsidR="007B0078">
        <w:rPr>
          <w:sz w:val="24"/>
          <w:szCs w:val="24"/>
        </w:rPr>
        <w:t xml:space="preserve">it is unlikely Luke was attempting to connect women and God. This is supported by </w:t>
      </w:r>
      <w:r w:rsidR="00535C7D">
        <w:rPr>
          <w:sz w:val="24"/>
          <w:szCs w:val="24"/>
        </w:rPr>
        <w:t xml:space="preserve">the notion </w:t>
      </w:r>
      <w:r w:rsidR="001B6F39">
        <w:rPr>
          <w:sz w:val="24"/>
          <w:szCs w:val="24"/>
        </w:rPr>
        <w:t xml:space="preserve">that </w:t>
      </w:r>
      <w:r w:rsidR="0060056B">
        <w:rPr>
          <w:sz w:val="24"/>
          <w:szCs w:val="24"/>
        </w:rPr>
        <w:t xml:space="preserve">even though Luke 15 places </w:t>
      </w:r>
      <w:r w:rsidR="00C214AF">
        <w:rPr>
          <w:sz w:val="24"/>
          <w:szCs w:val="24"/>
        </w:rPr>
        <w:t xml:space="preserve">a high profile of women, these examples of women are </w:t>
      </w:r>
      <w:r w:rsidR="008F2571">
        <w:rPr>
          <w:sz w:val="24"/>
          <w:szCs w:val="24"/>
        </w:rPr>
        <w:t>f</w:t>
      </w:r>
      <w:r w:rsidR="00C214AF">
        <w:rPr>
          <w:sz w:val="24"/>
          <w:szCs w:val="24"/>
        </w:rPr>
        <w:t xml:space="preserve">ocused on domestic </w:t>
      </w:r>
      <w:r w:rsidR="0084152F">
        <w:rPr>
          <w:sz w:val="24"/>
          <w:szCs w:val="24"/>
        </w:rPr>
        <w:t>situations as seen in the parable of the lost coin and the prodigal son.</w:t>
      </w:r>
      <w:r w:rsidR="0084152F">
        <w:rPr>
          <w:rStyle w:val="FootnoteReference"/>
          <w:sz w:val="24"/>
          <w:szCs w:val="24"/>
        </w:rPr>
        <w:footnoteReference w:id="18"/>
      </w:r>
      <w:r w:rsidR="0060056B">
        <w:rPr>
          <w:sz w:val="24"/>
          <w:szCs w:val="24"/>
        </w:rPr>
        <w:t xml:space="preserve"> </w:t>
      </w:r>
      <w:r w:rsidR="00212271">
        <w:rPr>
          <w:sz w:val="24"/>
          <w:szCs w:val="24"/>
        </w:rPr>
        <w:t>Durber is illuminating the impression that Luke 15, unlike Witherington’s interpretation, does not present any re</w:t>
      </w:r>
      <w:r w:rsidR="00C42256">
        <w:rPr>
          <w:sz w:val="24"/>
          <w:szCs w:val="24"/>
        </w:rPr>
        <w:t>forming</w:t>
      </w:r>
      <w:r w:rsidR="00212271">
        <w:rPr>
          <w:sz w:val="24"/>
          <w:szCs w:val="24"/>
        </w:rPr>
        <w:t xml:space="preserve"> </w:t>
      </w:r>
      <w:r w:rsidR="0068527B">
        <w:rPr>
          <w:sz w:val="24"/>
          <w:szCs w:val="24"/>
        </w:rPr>
        <w:t xml:space="preserve">qualities of first-century Jewish attitudes to women as it presents examples of accepted ideas of women as they hold religious importance but </w:t>
      </w:r>
      <w:r w:rsidR="005614EB">
        <w:rPr>
          <w:sz w:val="24"/>
          <w:szCs w:val="24"/>
        </w:rPr>
        <w:t>are also concerned with their roles in tradition</w:t>
      </w:r>
      <w:r w:rsidR="00C42256">
        <w:rPr>
          <w:sz w:val="24"/>
          <w:szCs w:val="24"/>
        </w:rPr>
        <w:t>, as seen through the</w:t>
      </w:r>
      <w:r w:rsidR="002219BD">
        <w:rPr>
          <w:sz w:val="24"/>
          <w:szCs w:val="24"/>
        </w:rPr>
        <w:t xml:space="preserve"> work of Josephus. This suggest that the parables support the notion that Jewish women had lives outside the domestic sphere, as they are presented as an example of religious morals but were still concerned with their roles in family life</w:t>
      </w:r>
      <w:r w:rsidR="005614EB">
        <w:rPr>
          <w:sz w:val="24"/>
          <w:szCs w:val="24"/>
        </w:rPr>
        <w:t xml:space="preserve">. Thus, </w:t>
      </w:r>
      <w:r w:rsidR="002C3A36">
        <w:rPr>
          <w:sz w:val="24"/>
          <w:szCs w:val="24"/>
        </w:rPr>
        <w:t>it can be seen that several scholars and primary sources present the argument that attitudes to Jewish women in the first-century were not as limited as presented by Witherington and that the parables of Jesus do not challenge the accepted attitudes to Jewish women, and by extension Jesus does not re</w:t>
      </w:r>
      <w:r w:rsidR="00C42256">
        <w:rPr>
          <w:sz w:val="24"/>
          <w:szCs w:val="24"/>
        </w:rPr>
        <w:t xml:space="preserve">form attitudes to women. </w:t>
      </w:r>
    </w:p>
    <w:p w14:paraId="42D64A87" w14:textId="5A94123C" w:rsidR="0089215A" w:rsidRDefault="00A939DD" w:rsidP="007E3F2E">
      <w:pPr>
        <w:spacing w:line="480" w:lineRule="auto"/>
        <w:jc w:val="both"/>
        <w:rPr>
          <w:sz w:val="24"/>
          <w:szCs w:val="24"/>
        </w:rPr>
      </w:pPr>
      <w:r>
        <w:rPr>
          <w:sz w:val="24"/>
          <w:szCs w:val="24"/>
        </w:rPr>
        <w:t xml:space="preserve">Finally, </w:t>
      </w:r>
      <w:r w:rsidR="001C109D">
        <w:rPr>
          <w:sz w:val="24"/>
          <w:szCs w:val="24"/>
        </w:rPr>
        <w:t xml:space="preserve">it shall be seen if this argument that Jesus did not </w:t>
      </w:r>
      <w:r w:rsidR="00CB5B3F">
        <w:rPr>
          <w:sz w:val="24"/>
          <w:szCs w:val="24"/>
        </w:rPr>
        <w:t>reform Jewish first-century attitudes to women is a</w:t>
      </w:r>
      <w:r w:rsidR="008F17EB">
        <w:rPr>
          <w:sz w:val="24"/>
          <w:szCs w:val="24"/>
        </w:rPr>
        <w:t>n</w:t>
      </w:r>
      <w:r w:rsidR="00CB5B3F">
        <w:rPr>
          <w:sz w:val="24"/>
          <w:szCs w:val="24"/>
        </w:rPr>
        <w:t xml:space="preserve"> </w:t>
      </w:r>
      <w:r w:rsidR="00EA51A0">
        <w:rPr>
          <w:sz w:val="24"/>
          <w:szCs w:val="24"/>
        </w:rPr>
        <w:t xml:space="preserve">applicable challenge to Witherington’s argument. </w:t>
      </w:r>
      <w:r w:rsidR="008F17EB">
        <w:rPr>
          <w:sz w:val="24"/>
          <w:szCs w:val="24"/>
        </w:rPr>
        <w:t xml:space="preserve">Firstly, as stated, Witherington </w:t>
      </w:r>
      <w:r w:rsidR="00104964">
        <w:rPr>
          <w:sz w:val="24"/>
          <w:szCs w:val="24"/>
        </w:rPr>
        <w:t>basis his historical evidence in the Mishnah. While the Mishnah is a credible rabbinical source</w:t>
      </w:r>
      <w:r w:rsidR="006D1BCD">
        <w:rPr>
          <w:sz w:val="24"/>
          <w:szCs w:val="24"/>
        </w:rPr>
        <w:t xml:space="preserve">, it can be seen that while it is a primary source it is considerably later than the period that </w:t>
      </w:r>
      <w:r w:rsidR="008E3491">
        <w:rPr>
          <w:sz w:val="24"/>
          <w:szCs w:val="24"/>
        </w:rPr>
        <w:t xml:space="preserve">Witherington is discussing. George Robinson places its authorship in the </w:t>
      </w:r>
      <w:r w:rsidR="008E3491">
        <w:rPr>
          <w:sz w:val="24"/>
          <w:szCs w:val="24"/>
        </w:rPr>
        <w:lastRenderedPageBreak/>
        <w:t>second</w:t>
      </w:r>
      <w:r w:rsidR="008A123F">
        <w:rPr>
          <w:sz w:val="24"/>
          <w:szCs w:val="24"/>
        </w:rPr>
        <w:t>-c</w:t>
      </w:r>
      <w:r w:rsidR="008E3491">
        <w:rPr>
          <w:sz w:val="24"/>
          <w:szCs w:val="24"/>
        </w:rPr>
        <w:t>entury</w:t>
      </w:r>
      <w:r w:rsidR="008E3491">
        <w:rPr>
          <w:rStyle w:val="FootnoteReference"/>
          <w:sz w:val="24"/>
          <w:szCs w:val="24"/>
        </w:rPr>
        <w:footnoteReference w:id="19"/>
      </w:r>
      <w:r w:rsidR="008E3491">
        <w:rPr>
          <w:sz w:val="24"/>
          <w:szCs w:val="24"/>
        </w:rPr>
        <w:t xml:space="preserve"> while </w:t>
      </w:r>
      <w:r w:rsidR="00D414DF">
        <w:rPr>
          <w:sz w:val="24"/>
          <w:szCs w:val="24"/>
        </w:rPr>
        <w:t>the Encyclopaedia</w:t>
      </w:r>
      <w:r w:rsidR="003E0107">
        <w:rPr>
          <w:sz w:val="24"/>
          <w:szCs w:val="24"/>
        </w:rPr>
        <w:t xml:space="preserve"> Britannica</w:t>
      </w:r>
      <w:r w:rsidR="00D414DF">
        <w:rPr>
          <w:sz w:val="24"/>
          <w:szCs w:val="24"/>
        </w:rPr>
        <w:t xml:space="preserve"> dates the Mishnah </w:t>
      </w:r>
      <w:r w:rsidR="003E0107">
        <w:rPr>
          <w:sz w:val="24"/>
          <w:szCs w:val="24"/>
        </w:rPr>
        <w:t xml:space="preserve">from the early </w:t>
      </w:r>
      <w:r w:rsidR="00074DEB">
        <w:rPr>
          <w:sz w:val="24"/>
          <w:szCs w:val="24"/>
        </w:rPr>
        <w:t>third-</w:t>
      </w:r>
      <w:r w:rsidR="003E0107">
        <w:rPr>
          <w:sz w:val="24"/>
          <w:szCs w:val="24"/>
        </w:rPr>
        <w:t>century.</w:t>
      </w:r>
      <w:r w:rsidR="003E0107">
        <w:rPr>
          <w:rStyle w:val="FootnoteReference"/>
          <w:sz w:val="24"/>
          <w:szCs w:val="24"/>
        </w:rPr>
        <w:footnoteReference w:id="20"/>
      </w:r>
      <w:r w:rsidR="00AF1DEC">
        <w:rPr>
          <w:sz w:val="24"/>
          <w:szCs w:val="24"/>
        </w:rPr>
        <w:t xml:space="preserve"> While the arguments presented by Levine</w:t>
      </w:r>
      <w:r w:rsidR="00014573">
        <w:rPr>
          <w:sz w:val="24"/>
          <w:szCs w:val="24"/>
        </w:rPr>
        <w:t xml:space="preserve"> and Durber</w:t>
      </w:r>
      <w:r w:rsidR="00AF1DEC">
        <w:rPr>
          <w:sz w:val="24"/>
          <w:szCs w:val="24"/>
        </w:rPr>
        <w:t xml:space="preserve"> highlights primary sources </w:t>
      </w:r>
      <w:r w:rsidR="00014573">
        <w:rPr>
          <w:sz w:val="24"/>
          <w:szCs w:val="24"/>
        </w:rPr>
        <w:t>such as Josephus</w:t>
      </w:r>
      <w:r w:rsidR="00427D94">
        <w:rPr>
          <w:sz w:val="24"/>
          <w:szCs w:val="24"/>
        </w:rPr>
        <w:t xml:space="preserve"> </w:t>
      </w:r>
      <w:r w:rsidR="00014573">
        <w:rPr>
          <w:sz w:val="24"/>
          <w:szCs w:val="24"/>
        </w:rPr>
        <w:t xml:space="preserve">and the New Testament. </w:t>
      </w:r>
      <w:r w:rsidR="000A3891">
        <w:rPr>
          <w:sz w:val="24"/>
          <w:szCs w:val="24"/>
        </w:rPr>
        <w:t xml:space="preserve">This suggests that Witherington does not base his argument that first-century Jewish women lived an isolated domestic life </w:t>
      </w:r>
      <w:r w:rsidR="0063059A">
        <w:rPr>
          <w:sz w:val="24"/>
          <w:szCs w:val="24"/>
        </w:rPr>
        <w:t>in primary material. This should be considered when studying Witherington’s historical argument as</w:t>
      </w:r>
      <w:r w:rsidR="00C03FFE">
        <w:rPr>
          <w:sz w:val="24"/>
          <w:szCs w:val="24"/>
        </w:rPr>
        <w:t>, Susan G De George presents, he focuses mainly on rabbinic literature instead of primary material and thus</w:t>
      </w:r>
      <w:r w:rsidR="00D634A1">
        <w:rPr>
          <w:sz w:val="24"/>
          <w:szCs w:val="24"/>
        </w:rPr>
        <w:t xml:space="preserve">, he </w:t>
      </w:r>
      <w:r w:rsidR="00C13D79">
        <w:rPr>
          <w:sz w:val="24"/>
          <w:szCs w:val="24"/>
        </w:rPr>
        <w:t>“treats first-century Judaism as a fairly uniform system.”</w:t>
      </w:r>
      <w:r w:rsidR="00C13D79">
        <w:rPr>
          <w:rStyle w:val="FootnoteReference"/>
          <w:sz w:val="24"/>
          <w:szCs w:val="24"/>
        </w:rPr>
        <w:footnoteReference w:id="21"/>
      </w:r>
      <w:r w:rsidR="00C75F62">
        <w:rPr>
          <w:sz w:val="24"/>
          <w:szCs w:val="24"/>
        </w:rPr>
        <w:t xml:space="preserve"> </w:t>
      </w:r>
      <w:r w:rsidR="00C13D79">
        <w:rPr>
          <w:sz w:val="24"/>
          <w:szCs w:val="24"/>
        </w:rPr>
        <w:t xml:space="preserve">De George presents the idea that Witherington’s lack of primary material hinders his historical argument as it excludes sources that were written at the time and have valuable material, limiting his view of first-century Judaism and its attitudes to women. Considering this and the work of Levine, which presents Josephus’ focus on the social influence and role of Jewish women, it can be argued that Witherington’s argument, and by extension the work of his supporters such as </w:t>
      </w:r>
      <w:r w:rsidR="00B85784">
        <w:rPr>
          <w:sz w:val="24"/>
          <w:szCs w:val="24"/>
        </w:rPr>
        <w:t xml:space="preserve">Tetlow, presents a limited understanding and view of women in first-century Judaism. A view that does not accurately reflect the reality. This is supported as Josephus </w:t>
      </w:r>
      <w:r w:rsidR="00191500">
        <w:rPr>
          <w:sz w:val="24"/>
          <w:szCs w:val="24"/>
        </w:rPr>
        <w:t xml:space="preserve">writes that the lives of Jewish women attractive to </w:t>
      </w:r>
      <w:r w:rsidR="00E538C4">
        <w:rPr>
          <w:sz w:val="24"/>
          <w:szCs w:val="24"/>
        </w:rPr>
        <w:t>Gentile</w:t>
      </w:r>
      <w:r w:rsidR="00191500">
        <w:rPr>
          <w:sz w:val="24"/>
          <w:szCs w:val="24"/>
        </w:rPr>
        <w:t xml:space="preserve"> women and </w:t>
      </w:r>
      <w:r w:rsidR="00E538C4">
        <w:rPr>
          <w:sz w:val="24"/>
          <w:szCs w:val="24"/>
        </w:rPr>
        <w:t>they influenced this specific community of women into following the ways of Judaism</w:t>
      </w:r>
      <w:r w:rsidR="004C7F33">
        <w:rPr>
          <w:sz w:val="24"/>
          <w:szCs w:val="24"/>
        </w:rPr>
        <w:t xml:space="preserve"> (</w:t>
      </w:r>
      <w:r w:rsidR="004C7F33">
        <w:rPr>
          <w:i/>
          <w:iCs/>
          <w:sz w:val="24"/>
          <w:szCs w:val="24"/>
        </w:rPr>
        <w:t xml:space="preserve">The Jewish War </w:t>
      </w:r>
      <w:r w:rsidR="004C7F33">
        <w:rPr>
          <w:sz w:val="24"/>
          <w:szCs w:val="24"/>
        </w:rPr>
        <w:t>2: 559).</w:t>
      </w:r>
      <w:r w:rsidR="00465C75">
        <w:rPr>
          <w:sz w:val="24"/>
          <w:szCs w:val="24"/>
        </w:rPr>
        <w:t xml:space="preserve"> </w:t>
      </w:r>
      <w:r w:rsidR="00F02415">
        <w:rPr>
          <w:sz w:val="24"/>
          <w:szCs w:val="24"/>
        </w:rPr>
        <w:t xml:space="preserve">Witherington’s </w:t>
      </w:r>
      <w:r w:rsidR="00952ABD">
        <w:rPr>
          <w:sz w:val="24"/>
          <w:szCs w:val="24"/>
        </w:rPr>
        <w:t>interpretation of women in the Luke 15 parables is also subject to critique</w:t>
      </w:r>
      <w:r w:rsidR="008E2A32">
        <w:rPr>
          <w:sz w:val="24"/>
          <w:szCs w:val="24"/>
        </w:rPr>
        <w:t xml:space="preserve">. </w:t>
      </w:r>
      <w:r w:rsidR="00EB2C35">
        <w:rPr>
          <w:sz w:val="24"/>
          <w:szCs w:val="24"/>
        </w:rPr>
        <w:t xml:space="preserve">As seen </w:t>
      </w:r>
      <w:r w:rsidR="006C2148">
        <w:rPr>
          <w:sz w:val="24"/>
          <w:szCs w:val="24"/>
        </w:rPr>
        <w:t xml:space="preserve">Durber critiques the notion that Luke 15 presents a reforming attitude to </w:t>
      </w:r>
      <w:r w:rsidR="00E02F7E">
        <w:rPr>
          <w:sz w:val="24"/>
          <w:szCs w:val="24"/>
        </w:rPr>
        <w:t xml:space="preserve">women in first-century Judaism. </w:t>
      </w:r>
      <w:r w:rsidR="00DF6BFE">
        <w:rPr>
          <w:sz w:val="24"/>
          <w:szCs w:val="24"/>
        </w:rPr>
        <w:t xml:space="preserve">Witherington’s interpretation of Jesus’ parables in Luke 15 </w:t>
      </w:r>
      <w:r w:rsidR="00FC2BD1">
        <w:rPr>
          <w:sz w:val="24"/>
          <w:szCs w:val="24"/>
        </w:rPr>
        <w:t xml:space="preserve">have also been challenged by scholarship. </w:t>
      </w:r>
      <w:r w:rsidR="003F190E">
        <w:rPr>
          <w:sz w:val="24"/>
          <w:szCs w:val="24"/>
        </w:rPr>
        <w:t xml:space="preserve">Witherington argues that the parable of the lost coin </w:t>
      </w:r>
      <w:r w:rsidR="00DD664C">
        <w:rPr>
          <w:sz w:val="24"/>
          <w:szCs w:val="24"/>
        </w:rPr>
        <w:t xml:space="preserve">reforms attitudes to women as it places women close to God and highlights how Jesus is using women </w:t>
      </w:r>
      <w:r w:rsidR="00DD664C">
        <w:rPr>
          <w:sz w:val="24"/>
          <w:szCs w:val="24"/>
        </w:rPr>
        <w:lastRenderedPageBreak/>
        <w:t>as a way to teach his disciples.</w:t>
      </w:r>
      <w:r w:rsidR="00DD664C">
        <w:rPr>
          <w:rStyle w:val="FootnoteReference"/>
          <w:sz w:val="24"/>
          <w:szCs w:val="24"/>
        </w:rPr>
        <w:footnoteReference w:id="22"/>
      </w:r>
      <w:r w:rsidR="00704BE4">
        <w:rPr>
          <w:sz w:val="24"/>
          <w:szCs w:val="24"/>
        </w:rPr>
        <w:t xml:space="preserve"> However, D</w:t>
      </w:r>
      <w:r w:rsidR="00516A8C">
        <w:rPr>
          <w:sz w:val="24"/>
          <w:szCs w:val="24"/>
        </w:rPr>
        <w:t xml:space="preserve">urber presents that </w:t>
      </w:r>
      <w:r w:rsidR="005520B4">
        <w:rPr>
          <w:sz w:val="24"/>
          <w:szCs w:val="24"/>
        </w:rPr>
        <w:t xml:space="preserve">readers of parables with a male lead imagine themselves as the lead, whereas with a female lead “the </w:t>
      </w:r>
      <w:r w:rsidR="0074447C">
        <w:rPr>
          <w:sz w:val="24"/>
          <w:szCs w:val="24"/>
        </w:rPr>
        <w:t>reader watches the women about her domestic task.”</w:t>
      </w:r>
      <w:r w:rsidR="0074447C">
        <w:rPr>
          <w:rStyle w:val="FootnoteReference"/>
          <w:sz w:val="24"/>
          <w:szCs w:val="24"/>
        </w:rPr>
        <w:footnoteReference w:id="23"/>
      </w:r>
      <w:r w:rsidR="0074447C">
        <w:rPr>
          <w:sz w:val="24"/>
          <w:szCs w:val="24"/>
        </w:rPr>
        <w:t xml:space="preserve"> Durber is highlighting that although the parable of the lost coin contains a female lead, it does not offer any reforming aspects to attitudes to women as compared to male </w:t>
      </w:r>
      <w:r w:rsidR="00C33FF9">
        <w:rPr>
          <w:sz w:val="24"/>
          <w:szCs w:val="24"/>
        </w:rPr>
        <w:t xml:space="preserve">characters in other parables. This significantly challenges Witherington’s idea as the women is contained to domestic tasks </w:t>
      </w:r>
      <w:r w:rsidR="0070479B">
        <w:rPr>
          <w:sz w:val="24"/>
          <w:szCs w:val="24"/>
        </w:rPr>
        <w:t xml:space="preserve">and, as Durber presents, this does not reform attitudes to women or challenge them. </w:t>
      </w:r>
      <w:r w:rsidR="009E47D0">
        <w:rPr>
          <w:sz w:val="24"/>
          <w:szCs w:val="24"/>
        </w:rPr>
        <w:t>It can be argued that Jesus’ parable of the lost coin supports the argument that women in the first-century had a domestic role but still held religious and social significance. This can be seen</w:t>
      </w:r>
      <w:r w:rsidR="00A55342">
        <w:rPr>
          <w:sz w:val="24"/>
          <w:szCs w:val="24"/>
        </w:rPr>
        <w:t xml:space="preserve"> as Witherington explains how the woman in the parable is being used as an example to the male disciples</w:t>
      </w:r>
      <w:r w:rsidR="008A5957">
        <w:rPr>
          <w:rStyle w:val="FootnoteReference"/>
          <w:sz w:val="24"/>
          <w:szCs w:val="24"/>
        </w:rPr>
        <w:footnoteReference w:id="24"/>
      </w:r>
      <w:r w:rsidR="008A5957">
        <w:rPr>
          <w:sz w:val="24"/>
          <w:szCs w:val="24"/>
        </w:rPr>
        <w:t xml:space="preserve"> highlighting that the woman holds some religious importance and influence. However, the wom</w:t>
      </w:r>
      <w:r w:rsidR="005105F8">
        <w:rPr>
          <w:sz w:val="24"/>
          <w:szCs w:val="24"/>
        </w:rPr>
        <w:t xml:space="preserve">an in the parable is primarily concerned with a domestic task thus, this parable highlights both the domestic and religious role of women. </w:t>
      </w:r>
    </w:p>
    <w:p w14:paraId="2531D2D4" w14:textId="33419596" w:rsidR="005105F8" w:rsidRDefault="005105F8" w:rsidP="007E3F2E">
      <w:pPr>
        <w:spacing w:line="480" w:lineRule="auto"/>
        <w:jc w:val="both"/>
        <w:rPr>
          <w:sz w:val="24"/>
          <w:szCs w:val="24"/>
        </w:rPr>
      </w:pPr>
      <w:r>
        <w:rPr>
          <w:sz w:val="24"/>
          <w:szCs w:val="24"/>
        </w:rPr>
        <w:t>Overall</w:t>
      </w:r>
      <w:r w:rsidR="0091148B">
        <w:rPr>
          <w:sz w:val="24"/>
          <w:szCs w:val="24"/>
        </w:rPr>
        <w:t xml:space="preserve">, </w:t>
      </w:r>
      <w:r w:rsidR="00291F71">
        <w:rPr>
          <w:sz w:val="24"/>
          <w:szCs w:val="24"/>
        </w:rPr>
        <w:t>Je</w:t>
      </w:r>
      <w:r w:rsidR="00226CD0">
        <w:rPr>
          <w:sz w:val="24"/>
          <w:szCs w:val="24"/>
        </w:rPr>
        <w:t xml:space="preserve">sus does not reform first-century Jewish attitudes to women. This is seen as the arguments of </w:t>
      </w:r>
      <w:r w:rsidR="003B7417">
        <w:rPr>
          <w:sz w:val="24"/>
          <w:szCs w:val="24"/>
        </w:rPr>
        <w:t xml:space="preserve">Levine. Josephus and Marks present the notion that Jewish women were not </w:t>
      </w:r>
      <w:r w:rsidR="00613BE9">
        <w:rPr>
          <w:sz w:val="24"/>
          <w:szCs w:val="24"/>
        </w:rPr>
        <w:t>only concerned with domestic life, they also held religious significance and influence.</w:t>
      </w:r>
      <w:r w:rsidR="00A94EA8">
        <w:rPr>
          <w:sz w:val="24"/>
          <w:szCs w:val="24"/>
        </w:rPr>
        <w:t xml:space="preserve"> This is also supported by Josephus, a primary source that highlights how Jewish women were envied by some and held important social influence.</w:t>
      </w:r>
      <w:r w:rsidR="00613BE9">
        <w:rPr>
          <w:sz w:val="24"/>
          <w:szCs w:val="24"/>
        </w:rPr>
        <w:t xml:space="preserve"> </w:t>
      </w:r>
      <w:r w:rsidR="008D4B43">
        <w:rPr>
          <w:sz w:val="24"/>
          <w:szCs w:val="24"/>
        </w:rPr>
        <w:t>Thus, the argument the Jewish attitudes need reformation, as Witherington and T</w:t>
      </w:r>
      <w:r w:rsidR="007924BA">
        <w:rPr>
          <w:sz w:val="24"/>
          <w:szCs w:val="24"/>
        </w:rPr>
        <w:t xml:space="preserve">etlow present, is flawed and suggests a limited view of Jewish women’s lives during the first-century. This is seen as  </w:t>
      </w:r>
      <w:r w:rsidR="009856A9">
        <w:rPr>
          <w:sz w:val="24"/>
          <w:szCs w:val="24"/>
        </w:rPr>
        <w:t xml:space="preserve">Witherington focuses his historical research on the Mishnah, a profoundly significant Jewish text, that was written </w:t>
      </w:r>
      <w:r w:rsidR="009856A9">
        <w:rPr>
          <w:sz w:val="24"/>
          <w:szCs w:val="24"/>
        </w:rPr>
        <w:lastRenderedPageBreak/>
        <w:t xml:space="preserve">between the second-century and third. Thus, this text is subject to the attitudes of the context it was written in and may not necessarily reflect the first-century female experience. </w:t>
      </w:r>
      <w:r w:rsidR="00331526">
        <w:rPr>
          <w:sz w:val="24"/>
          <w:szCs w:val="24"/>
        </w:rPr>
        <w:t>This argument also faces challenges from the interpretation of women in Jesus’ parable</w:t>
      </w:r>
      <w:r w:rsidR="00F078E5">
        <w:rPr>
          <w:sz w:val="24"/>
          <w:szCs w:val="24"/>
        </w:rPr>
        <w:t xml:space="preserve">s, specifically the </w:t>
      </w:r>
      <w:r w:rsidR="003C6EC5">
        <w:rPr>
          <w:sz w:val="24"/>
          <w:szCs w:val="24"/>
        </w:rPr>
        <w:t>parable of the lost coin</w:t>
      </w:r>
      <w:r w:rsidR="00DF453C">
        <w:rPr>
          <w:sz w:val="24"/>
          <w:szCs w:val="24"/>
        </w:rPr>
        <w:t xml:space="preserve"> and the parables of Luke 15. </w:t>
      </w:r>
      <w:r w:rsidR="00285F28">
        <w:rPr>
          <w:sz w:val="24"/>
          <w:szCs w:val="24"/>
        </w:rPr>
        <w:t xml:space="preserve">This parable highlights a woman having a significant religious role while also highlighting </w:t>
      </w:r>
      <w:r w:rsidR="004A5639">
        <w:rPr>
          <w:sz w:val="24"/>
          <w:szCs w:val="24"/>
        </w:rPr>
        <w:t xml:space="preserve">the domestic role of women. This further supports the notion that women had a religious role and a domestic one, as it highlights the religious influence of women while </w:t>
      </w:r>
      <w:r w:rsidR="008F6198">
        <w:rPr>
          <w:sz w:val="24"/>
          <w:szCs w:val="24"/>
        </w:rPr>
        <w:t xml:space="preserve">she is primarily concerned with domestic responsibilities. Thus, Jesus was not a reformer of first-century attitudes </w:t>
      </w:r>
      <w:r w:rsidR="001921EC">
        <w:rPr>
          <w:sz w:val="24"/>
          <w:szCs w:val="24"/>
        </w:rPr>
        <w:t>to women</w:t>
      </w:r>
      <w:r w:rsidR="008F78FC">
        <w:rPr>
          <w:sz w:val="24"/>
          <w:szCs w:val="24"/>
        </w:rPr>
        <w:t xml:space="preserve">, instead he is seen through the parable of Luke to support the </w:t>
      </w:r>
      <w:r w:rsidR="009A3BED">
        <w:rPr>
          <w:sz w:val="24"/>
          <w:szCs w:val="24"/>
        </w:rPr>
        <w:t xml:space="preserve">historical notion that Jewish women were not limited to domestic life. </w:t>
      </w:r>
    </w:p>
    <w:p w14:paraId="761460B9" w14:textId="06CF931F" w:rsidR="00625337" w:rsidRDefault="00625337" w:rsidP="007E3F2E">
      <w:pPr>
        <w:spacing w:line="480" w:lineRule="auto"/>
        <w:jc w:val="both"/>
        <w:rPr>
          <w:sz w:val="24"/>
          <w:szCs w:val="24"/>
        </w:rPr>
      </w:pPr>
    </w:p>
    <w:p w14:paraId="644BADC1" w14:textId="4655A65F" w:rsidR="00625337" w:rsidRDefault="00625337" w:rsidP="007E3F2E">
      <w:pPr>
        <w:spacing w:line="480" w:lineRule="auto"/>
        <w:jc w:val="both"/>
        <w:rPr>
          <w:sz w:val="24"/>
          <w:szCs w:val="24"/>
        </w:rPr>
      </w:pPr>
    </w:p>
    <w:p w14:paraId="5EDC5B82" w14:textId="46AF71A1" w:rsidR="00625337" w:rsidRDefault="00625337" w:rsidP="007E3F2E">
      <w:pPr>
        <w:spacing w:line="480" w:lineRule="auto"/>
        <w:jc w:val="both"/>
        <w:rPr>
          <w:sz w:val="24"/>
          <w:szCs w:val="24"/>
        </w:rPr>
      </w:pPr>
    </w:p>
    <w:p w14:paraId="53A6FA70" w14:textId="47E2896E" w:rsidR="00625337" w:rsidRDefault="00625337" w:rsidP="007E3F2E">
      <w:pPr>
        <w:spacing w:line="480" w:lineRule="auto"/>
        <w:jc w:val="both"/>
        <w:rPr>
          <w:sz w:val="24"/>
          <w:szCs w:val="24"/>
        </w:rPr>
      </w:pPr>
    </w:p>
    <w:p w14:paraId="58BF2CA2" w14:textId="39201D5E" w:rsidR="00625337" w:rsidRDefault="00625337" w:rsidP="007E3F2E">
      <w:pPr>
        <w:spacing w:line="480" w:lineRule="auto"/>
        <w:jc w:val="both"/>
        <w:rPr>
          <w:sz w:val="24"/>
          <w:szCs w:val="24"/>
        </w:rPr>
      </w:pPr>
    </w:p>
    <w:p w14:paraId="201362D0" w14:textId="22C279DD" w:rsidR="00625337" w:rsidRDefault="00625337" w:rsidP="007E3F2E">
      <w:pPr>
        <w:spacing w:line="480" w:lineRule="auto"/>
        <w:jc w:val="both"/>
        <w:rPr>
          <w:sz w:val="24"/>
          <w:szCs w:val="24"/>
        </w:rPr>
      </w:pPr>
    </w:p>
    <w:p w14:paraId="19C9E4E2" w14:textId="715E8485" w:rsidR="00625337" w:rsidRDefault="00625337" w:rsidP="007E3F2E">
      <w:pPr>
        <w:spacing w:line="480" w:lineRule="auto"/>
        <w:jc w:val="both"/>
        <w:rPr>
          <w:sz w:val="24"/>
          <w:szCs w:val="24"/>
        </w:rPr>
      </w:pPr>
    </w:p>
    <w:p w14:paraId="520EDB06" w14:textId="1EF56700" w:rsidR="00625337" w:rsidRDefault="00625337" w:rsidP="007E3F2E">
      <w:pPr>
        <w:spacing w:line="480" w:lineRule="auto"/>
        <w:jc w:val="both"/>
        <w:rPr>
          <w:sz w:val="24"/>
          <w:szCs w:val="24"/>
        </w:rPr>
      </w:pPr>
    </w:p>
    <w:p w14:paraId="477D1B1B" w14:textId="2585A5D0" w:rsidR="00625337" w:rsidRDefault="00625337" w:rsidP="007E3F2E">
      <w:pPr>
        <w:spacing w:line="480" w:lineRule="auto"/>
        <w:jc w:val="both"/>
        <w:rPr>
          <w:sz w:val="24"/>
          <w:szCs w:val="24"/>
        </w:rPr>
      </w:pPr>
    </w:p>
    <w:p w14:paraId="1336EF96" w14:textId="3D920ADC" w:rsidR="00625337" w:rsidRDefault="00625337" w:rsidP="007E3F2E">
      <w:pPr>
        <w:spacing w:line="480" w:lineRule="auto"/>
        <w:jc w:val="both"/>
        <w:rPr>
          <w:sz w:val="24"/>
          <w:szCs w:val="24"/>
        </w:rPr>
      </w:pPr>
    </w:p>
    <w:p w14:paraId="26B76AB2" w14:textId="65850128" w:rsidR="00625337" w:rsidRDefault="00625337" w:rsidP="007E3F2E">
      <w:pPr>
        <w:spacing w:line="480" w:lineRule="auto"/>
        <w:jc w:val="both"/>
        <w:rPr>
          <w:sz w:val="24"/>
          <w:szCs w:val="24"/>
        </w:rPr>
      </w:pPr>
    </w:p>
    <w:p w14:paraId="6455FADF" w14:textId="77777777" w:rsidR="00C37224" w:rsidRDefault="00D106A2" w:rsidP="00C37224">
      <w:pPr>
        <w:spacing w:line="480" w:lineRule="auto"/>
        <w:jc w:val="both"/>
        <w:rPr>
          <w:sz w:val="24"/>
          <w:szCs w:val="24"/>
        </w:rPr>
      </w:pPr>
      <w:r>
        <w:rPr>
          <w:sz w:val="24"/>
          <w:szCs w:val="24"/>
        </w:rPr>
        <w:lastRenderedPageBreak/>
        <w:t>Bibliography;</w:t>
      </w:r>
    </w:p>
    <w:p w14:paraId="34F5F280" w14:textId="77777777" w:rsidR="00C37224" w:rsidRDefault="00C37224" w:rsidP="00C37224">
      <w:pPr>
        <w:spacing w:line="360" w:lineRule="auto"/>
        <w:jc w:val="both"/>
        <w:rPr>
          <w:sz w:val="24"/>
          <w:szCs w:val="24"/>
        </w:rPr>
      </w:pPr>
      <w:r w:rsidRPr="00C37224">
        <w:rPr>
          <w:sz w:val="24"/>
          <w:szCs w:val="24"/>
        </w:rPr>
        <w:t xml:space="preserve">Bond, H, K. (2012) </w:t>
      </w:r>
      <w:r w:rsidRPr="00C37224">
        <w:rPr>
          <w:i/>
          <w:iCs/>
          <w:sz w:val="24"/>
          <w:szCs w:val="24"/>
        </w:rPr>
        <w:t xml:space="preserve">‘The Historical Jesus: A Guide for the Perplexed’, </w:t>
      </w:r>
      <w:r w:rsidRPr="00C37224">
        <w:rPr>
          <w:sz w:val="24"/>
          <w:szCs w:val="24"/>
        </w:rPr>
        <w:t>London: Bloomsbury T&amp;T Clark.</w:t>
      </w:r>
    </w:p>
    <w:p w14:paraId="28097B56" w14:textId="3905F788" w:rsidR="00C37224" w:rsidRDefault="00C37224" w:rsidP="00C37224">
      <w:pPr>
        <w:spacing w:line="360" w:lineRule="auto"/>
        <w:jc w:val="both"/>
        <w:rPr>
          <w:sz w:val="24"/>
          <w:szCs w:val="24"/>
        </w:rPr>
      </w:pPr>
      <w:r w:rsidRPr="00C37224">
        <w:rPr>
          <w:sz w:val="24"/>
          <w:szCs w:val="24"/>
        </w:rPr>
        <w:t xml:space="preserve">Corley, K (2002) </w:t>
      </w:r>
      <w:r w:rsidRPr="00C37224">
        <w:rPr>
          <w:i/>
          <w:iCs/>
          <w:sz w:val="24"/>
          <w:szCs w:val="24"/>
        </w:rPr>
        <w:t xml:space="preserve">‘Women and the Historical Jesus: Feminist Myths of Christian Origins’, </w:t>
      </w:r>
      <w:r w:rsidRPr="00C37224">
        <w:rPr>
          <w:sz w:val="24"/>
          <w:szCs w:val="24"/>
        </w:rPr>
        <w:t>London; Polebridge Press.</w:t>
      </w:r>
    </w:p>
    <w:p w14:paraId="14BD332A" w14:textId="5727AC4A" w:rsidR="00C37224" w:rsidRPr="00C37224" w:rsidRDefault="00C37224" w:rsidP="00C37224">
      <w:pPr>
        <w:spacing w:line="360" w:lineRule="auto"/>
        <w:jc w:val="both"/>
        <w:rPr>
          <w:sz w:val="24"/>
          <w:szCs w:val="24"/>
        </w:rPr>
      </w:pPr>
      <w:r w:rsidRPr="00C37224">
        <w:rPr>
          <w:sz w:val="24"/>
          <w:szCs w:val="24"/>
        </w:rPr>
        <w:t xml:space="preserve">Danby, H (1933) </w:t>
      </w:r>
      <w:r w:rsidRPr="00C37224">
        <w:rPr>
          <w:i/>
          <w:iCs/>
          <w:sz w:val="24"/>
          <w:szCs w:val="24"/>
        </w:rPr>
        <w:t xml:space="preserve">‘The Mishnah: Translated from the Hebrew with Introduction and Brief Explanatory Notes’, </w:t>
      </w:r>
      <w:r w:rsidRPr="00C37224">
        <w:rPr>
          <w:sz w:val="24"/>
          <w:szCs w:val="24"/>
        </w:rPr>
        <w:t>Oxford: Oxford University Press.</w:t>
      </w:r>
    </w:p>
    <w:p w14:paraId="396088F5" w14:textId="77777777" w:rsidR="00C37224" w:rsidRPr="00C37224" w:rsidRDefault="00C37224" w:rsidP="00C37224">
      <w:pPr>
        <w:pStyle w:val="FootnoteText"/>
        <w:spacing w:line="360" w:lineRule="auto"/>
        <w:rPr>
          <w:sz w:val="24"/>
          <w:szCs w:val="24"/>
        </w:rPr>
      </w:pPr>
      <w:r w:rsidRPr="00C37224">
        <w:rPr>
          <w:sz w:val="24"/>
          <w:szCs w:val="24"/>
        </w:rPr>
        <w:t xml:space="preserve">De George, S. G (1986)  (Review of ‘Women in the Ministry of Jesus’ Attitudes to Women and Their Roles as Reflected in His Earthly Life’ by Ben Witherington III), </w:t>
      </w:r>
      <w:r w:rsidRPr="00C37224">
        <w:rPr>
          <w:i/>
          <w:iCs/>
          <w:sz w:val="24"/>
          <w:szCs w:val="24"/>
        </w:rPr>
        <w:t xml:space="preserve">Journal of Biblical Literature, </w:t>
      </w:r>
      <w:r w:rsidRPr="00C37224">
        <w:rPr>
          <w:sz w:val="24"/>
          <w:szCs w:val="24"/>
        </w:rPr>
        <w:t>105(4), pp.724-726.</w:t>
      </w:r>
    </w:p>
    <w:p w14:paraId="4772E968" w14:textId="77777777" w:rsidR="00C37224" w:rsidRPr="00C37224" w:rsidRDefault="00C37224" w:rsidP="00C37224">
      <w:pPr>
        <w:pStyle w:val="FootnoteText"/>
        <w:spacing w:line="360" w:lineRule="auto"/>
        <w:rPr>
          <w:sz w:val="24"/>
          <w:szCs w:val="24"/>
        </w:rPr>
      </w:pPr>
      <w:r w:rsidRPr="00C37224">
        <w:rPr>
          <w:sz w:val="24"/>
          <w:szCs w:val="24"/>
        </w:rPr>
        <w:t xml:space="preserve">Durber, S (1992) ‘The Female Reader of the Parables of the Lost’, </w:t>
      </w:r>
      <w:r w:rsidRPr="00C37224">
        <w:rPr>
          <w:i/>
          <w:iCs/>
          <w:sz w:val="24"/>
          <w:szCs w:val="24"/>
        </w:rPr>
        <w:t xml:space="preserve">Journal for the study of the New Testament, </w:t>
      </w:r>
      <w:r w:rsidRPr="00C37224">
        <w:rPr>
          <w:sz w:val="24"/>
          <w:szCs w:val="24"/>
        </w:rPr>
        <w:t xml:space="preserve">14(45), pp.59-78. </w:t>
      </w:r>
    </w:p>
    <w:p w14:paraId="1E7122C9" w14:textId="77777777" w:rsidR="00C37224" w:rsidRPr="00C37224" w:rsidRDefault="00C37224" w:rsidP="00C37224">
      <w:pPr>
        <w:pStyle w:val="FootnoteText"/>
        <w:spacing w:line="360" w:lineRule="auto"/>
        <w:rPr>
          <w:sz w:val="24"/>
          <w:szCs w:val="24"/>
        </w:rPr>
      </w:pPr>
      <w:r w:rsidRPr="00C37224">
        <w:rPr>
          <w:sz w:val="24"/>
          <w:szCs w:val="24"/>
        </w:rPr>
        <w:t xml:space="preserve">Encyclopaedia Britannica, ‘Mishnah: Jewish’, &lt; </w:t>
      </w:r>
      <w:hyperlink r:id="rId8" w:history="1">
        <w:r w:rsidRPr="00C37224">
          <w:rPr>
            <w:rStyle w:val="Hyperlink"/>
            <w:sz w:val="24"/>
            <w:szCs w:val="24"/>
          </w:rPr>
          <w:t>https://www.britannica.com/topic/Mishna</w:t>
        </w:r>
      </w:hyperlink>
      <w:r w:rsidRPr="00C37224">
        <w:rPr>
          <w:sz w:val="24"/>
          <w:szCs w:val="24"/>
        </w:rPr>
        <w:t xml:space="preserve"> &gt;, [accessed on 11</w:t>
      </w:r>
      <w:r w:rsidRPr="00C37224">
        <w:rPr>
          <w:sz w:val="24"/>
          <w:szCs w:val="24"/>
          <w:vertAlign w:val="superscript"/>
        </w:rPr>
        <w:t>th</w:t>
      </w:r>
      <w:r w:rsidRPr="00C37224">
        <w:rPr>
          <w:sz w:val="24"/>
          <w:szCs w:val="24"/>
        </w:rPr>
        <w:t xml:space="preserve"> June 2020].</w:t>
      </w:r>
    </w:p>
    <w:p w14:paraId="755030FD" w14:textId="77777777" w:rsidR="00C37224" w:rsidRPr="00C37224" w:rsidRDefault="00C37224" w:rsidP="00C37224">
      <w:pPr>
        <w:pStyle w:val="FootnoteText"/>
        <w:spacing w:line="360" w:lineRule="auto"/>
        <w:rPr>
          <w:sz w:val="24"/>
          <w:szCs w:val="24"/>
        </w:rPr>
      </w:pPr>
      <w:r w:rsidRPr="00C37224">
        <w:rPr>
          <w:sz w:val="24"/>
          <w:szCs w:val="24"/>
        </w:rPr>
        <w:t xml:space="preserve">Flavius, J, </w:t>
      </w:r>
      <w:r w:rsidRPr="00C37224">
        <w:rPr>
          <w:i/>
          <w:iCs/>
          <w:sz w:val="24"/>
          <w:szCs w:val="24"/>
        </w:rPr>
        <w:t xml:space="preserve">‘The Jewish War, Volume I’, </w:t>
      </w:r>
      <w:r w:rsidRPr="00C37224">
        <w:rPr>
          <w:sz w:val="24"/>
          <w:szCs w:val="24"/>
        </w:rPr>
        <w:t xml:space="preserve">ed. by Jeffrey Henderson, Loeb Classical Library: Harvard University Press. </w:t>
      </w:r>
    </w:p>
    <w:p w14:paraId="20744E0D" w14:textId="77777777" w:rsidR="00C37224" w:rsidRPr="00C37224" w:rsidRDefault="00C37224" w:rsidP="00C37224">
      <w:pPr>
        <w:pStyle w:val="FootnoteText"/>
        <w:spacing w:line="360" w:lineRule="auto"/>
        <w:rPr>
          <w:sz w:val="24"/>
          <w:szCs w:val="24"/>
        </w:rPr>
      </w:pPr>
      <w:r w:rsidRPr="00C37224">
        <w:rPr>
          <w:sz w:val="24"/>
          <w:szCs w:val="24"/>
        </w:rPr>
        <w:t xml:space="preserve">G Robinson, (2016) </w:t>
      </w:r>
      <w:r w:rsidRPr="00C37224">
        <w:rPr>
          <w:i/>
          <w:iCs/>
          <w:sz w:val="24"/>
          <w:szCs w:val="24"/>
        </w:rPr>
        <w:t xml:space="preserve">‘Essential Judaism: A Complete Guide to Beliefs, Customs, and Rituals’ </w:t>
      </w:r>
      <w:r w:rsidRPr="00C37224">
        <w:rPr>
          <w:sz w:val="24"/>
          <w:szCs w:val="24"/>
        </w:rPr>
        <w:t>New York: Atria Paperback.</w:t>
      </w:r>
    </w:p>
    <w:p w14:paraId="28E3112E" w14:textId="77777777" w:rsidR="00C37224" w:rsidRPr="00C37224" w:rsidRDefault="00C37224" w:rsidP="00C37224">
      <w:pPr>
        <w:pStyle w:val="FootnoteText"/>
        <w:spacing w:line="360" w:lineRule="auto"/>
        <w:rPr>
          <w:sz w:val="24"/>
          <w:szCs w:val="24"/>
        </w:rPr>
      </w:pPr>
      <w:r w:rsidRPr="00C37224">
        <w:rPr>
          <w:sz w:val="24"/>
          <w:szCs w:val="24"/>
        </w:rPr>
        <w:t xml:space="preserve">Levine, A. J  (1994) ‘Second Temple Judaism, Jesus, and Women Yeast of Eden’, </w:t>
      </w:r>
      <w:r w:rsidRPr="00C37224">
        <w:rPr>
          <w:i/>
          <w:iCs/>
          <w:sz w:val="24"/>
          <w:szCs w:val="24"/>
        </w:rPr>
        <w:t xml:space="preserve">Biblical Interpretation, </w:t>
      </w:r>
      <w:r w:rsidRPr="00C37224">
        <w:rPr>
          <w:sz w:val="24"/>
          <w:szCs w:val="24"/>
        </w:rPr>
        <w:t xml:space="preserve">2(1), pp.8-33. </w:t>
      </w:r>
    </w:p>
    <w:p w14:paraId="2A16DDFD" w14:textId="77777777" w:rsidR="00C37224" w:rsidRPr="00C37224" w:rsidRDefault="00C37224" w:rsidP="00C37224">
      <w:pPr>
        <w:pStyle w:val="FootnoteText"/>
        <w:spacing w:line="360" w:lineRule="auto"/>
        <w:rPr>
          <w:sz w:val="24"/>
          <w:szCs w:val="24"/>
        </w:rPr>
      </w:pPr>
      <w:r w:rsidRPr="00C37224">
        <w:rPr>
          <w:sz w:val="24"/>
          <w:szCs w:val="24"/>
        </w:rPr>
        <w:t xml:space="preserve">Marks, S (2008) ‘Women in Early Judaism: Twenty-five Years of research and Reenvisioning’, </w:t>
      </w:r>
      <w:r w:rsidRPr="00C37224">
        <w:rPr>
          <w:i/>
          <w:iCs/>
          <w:sz w:val="24"/>
          <w:szCs w:val="24"/>
        </w:rPr>
        <w:t xml:space="preserve">Currents in Biblical Research, </w:t>
      </w:r>
      <w:r w:rsidRPr="00C37224">
        <w:rPr>
          <w:sz w:val="24"/>
          <w:szCs w:val="24"/>
        </w:rPr>
        <w:t xml:space="preserve">6(2), pp.290-313. </w:t>
      </w:r>
    </w:p>
    <w:p w14:paraId="4A4F094D" w14:textId="77777777" w:rsidR="00C37224" w:rsidRPr="00C37224" w:rsidRDefault="00C37224" w:rsidP="00C37224">
      <w:pPr>
        <w:pStyle w:val="FootnoteText"/>
        <w:spacing w:line="360" w:lineRule="auto"/>
        <w:rPr>
          <w:sz w:val="24"/>
          <w:szCs w:val="24"/>
        </w:rPr>
      </w:pPr>
      <w:r w:rsidRPr="00C37224">
        <w:rPr>
          <w:sz w:val="24"/>
          <w:szCs w:val="24"/>
        </w:rPr>
        <w:t xml:space="preserve">Witherington III, B (1884) </w:t>
      </w:r>
      <w:r w:rsidRPr="00C37224">
        <w:rPr>
          <w:i/>
          <w:iCs/>
          <w:sz w:val="24"/>
          <w:szCs w:val="24"/>
        </w:rPr>
        <w:t xml:space="preserve">‘Women in the Ministry of Jesus’, </w:t>
      </w:r>
      <w:r w:rsidRPr="00C37224">
        <w:rPr>
          <w:sz w:val="24"/>
          <w:szCs w:val="24"/>
        </w:rPr>
        <w:t>Cambridge: Cambridge University Press.</w:t>
      </w:r>
    </w:p>
    <w:p w14:paraId="6EEA5018" w14:textId="77777777" w:rsidR="002219BD" w:rsidRDefault="002219BD" w:rsidP="00C37224">
      <w:pPr>
        <w:spacing w:line="360" w:lineRule="auto"/>
        <w:jc w:val="both"/>
        <w:rPr>
          <w:sz w:val="24"/>
          <w:szCs w:val="24"/>
        </w:rPr>
      </w:pPr>
    </w:p>
    <w:p w14:paraId="3CC6CD28" w14:textId="77777777" w:rsidR="002219BD" w:rsidRPr="00FE44A4" w:rsidRDefault="002219BD" w:rsidP="007E3F2E">
      <w:pPr>
        <w:spacing w:line="480" w:lineRule="auto"/>
        <w:jc w:val="both"/>
        <w:rPr>
          <w:b/>
          <w:bCs/>
          <w:sz w:val="24"/>
          <w:szCs w:val="24"/>
        </w:rPr>
      </w:pPr>
    </w:p>
    <w:sectPr w:rsidR="002219BD" w:rsidRPr="00FE44A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8F6665" w14:textId="77777777" w:rsidR="00B80B07" w:rsidRDefault="00B80B07" w:rsidP="00BB3BB8">
      <w:pPr>
        <w:spacing w:after="0" w:line="240" w:lineRule="auto"/>
      </w:pPr>
      <w:r>
        <w:separator/>
      </w:r>
    </w:p>
  </w:endnote>
  <w:endnote w:type="continuationSeparator" w:id="0">
    <w:p w14:paraId="0C05E4A8" w14:textId="77777777" w:rsidR="00B80B07" w:rsidRDefault="00B80B07" w:rsidP="00BB3B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82E08C" w14:textId="77777777" w:rsidR="00B80B07" w:rsidRDefault="00B80B07" w:rsidP="00BB3BB8">
      <w:pPr>
        <w:spacing w:after="0" w:line="240" w:lineRule="auto"/>
      </w:pPr>
      <w:r>
        <w:separator/>
      </w:r>
    </w:p>
  </w:footnote>
  <w:footnote w:type="continuationSeparator" w:id="0">
    <w:p w14:paraId="7103401B" w14:textId="77777777" w:rsidR="00B80B07" w:rsidRDefault="00B80B07" w:rsidP="00BB3BB8">
      <w:pPr>
        <w:spacing w:after="0" w:line="240" w:lineRule="auto"/>
      </w:pPr>
      <w:r>
        <w:continuationSeparator/>
      </w:r>
    </w:p>
  </w:footnote>
  <w:footnote w:id="1">
    <w:p w14:paraId="630F7664" w14:textId="38DE1CEC" w:rsidR="00424A2C" w:rsidRDefault="00424A2C">
      <w:pPr>
        <w:pStyle w:val="FootnoteText"/>
      </w:pPr>
      <w:r>
        <w:rPr>
          <w:rStyle w:val="FootnoteReference"/>
        </w:rPr>
        <w:footnoteRef/>
      </w:r>
      <w:r>
        <w:t xml:space="preserve"> </w:t>
      </w:r>
      <w:r w:rsidR="00334FA1">
        <w:t xml:space="preserve">H. K. Bond, </w:t>
      </w:r>
      <w:r w:rsidR="00334FA1">
        <w:rPr>
          <w:i/>
          <w:iCs/>
        </w:rPr>
        <w:t xml:space="preserve">‘The Historical Jesus: A Guide for the Perplexed’, </w:t>
      </w:r>
      <w:r w:rsidR="007B5FEF">
        <w:t>(London: Bloomsbury T&amp;T Clark 2012),p</w:t>
      </w:r>
      <w:r w:rsidR="0069397E">
        <w:t>.116</w:t>
      </w:r>
    </w:p>
  </w:footnote>
  <w:footnote w:id="2">
    <w:p w14:paraId="10F37B5E" w14:textId="7B902673" w:rsidR="009206ED" w:rsidRDefault="009206ED">
      <w:pPr>
        <w:pStyle w:val="FootnoteText"/>
      </w:pPr>
      <w:r>
        <w:rPr>
          <w:rStyle w:val="FootnoteReference"/>
        </w:rPr>
        <w:footnoteRef/>
      </w:r>
      <w:r>
        <w:t xml:space="preserve"> </w:t>
      </w:r>
      <w:r w:rsidR="00DE677B">
        <w:t xml:space="preserve">B. Witherington III, </w:t>
      </w:r>
      <w:r w:rsidR="00DE677B">
        <w:rPr>
          <w:i/>
          <w:iCs/>
        </w:rPr>
        <w:t>‘Women in the Minis</w:t>
      </w:r>
      <w:r w:rsidR="00924F44">
        <w:rPr>
          <w:i/>
          <w:iCs/>
        </w:rPr>
        <w:t xml:space="preserve">try of Jesus’, </w:t>
      </w:r>
      <w:r w:rsidR="00924F44">
        <w:t>(Cambridge: Cambridge University Press 198</w:t>
      </w:r>
      <w:r w:rsidR="00A37BA8">
        <w:t>4),</w:t>
      </w:r>
      <w:r w:rsidR="007B5FEF">
        <w:t>p</w:t>
      </w:r>
      <w:r w:rsidR="00A036EC">
        <w:t>. 1-11</w:t>
      </w:r>
      <w:r w:rsidR="00A37BA8">
        <w:t>.</w:t>
      </w:r>
    </w:p>
  </w:footnote>
  <w:footnote w:id="3">
    <w:p w14:paraId="3C122437" w14:textId="046D5A46" w:rsidR="00D91B1B" w:rsidRDefault="00D91B1B">
      <w:pPr>
        <w:pStyle w:val="FootnoteText"/>
      </w:pPr>
      <w:r>
        <w:rPr>
          <w:rStyle w:val="FootnoteReference"/>
        </w:rPr>
        <w:footnoteRef/>
      </w:r>
      <w:r>
        <w:t xml:space="preserve"> </w:t>
      </w:r>
      <w:r w:rsidR="00D375BD">
        <w:t xml:space="preserve">H. Danby, </w:t>
      </w:r>
      <w:r w:rsidR="00D375BD">
        <w:rPr>
          <w:i/>
          <w:iCs/>
        </w:rPr>
        <w:t>‘The Mishnah: Translated from the Hebrew with Introduction and</w:t>
      </w:r>
      <w:r w:rsidR="00E66F20">
        <w:rPr>
          <w:i/>
          <w:iCs/>
        </w:rPr>
        <w:t xml:space="preserve"> Brief Explanatory Notes’, </w:t>
      </w:r>
      <w:r w:rsidR="002C6AC1">
        <w:t>(Oxford: Oxford Univers</w:t>
      </w:r>
      <w:r w:rsidR="002620ED">
        <w:t xml:space="preserve">ity Press </w:t>
      </w:r>
      <w:r w:rsidR="00792C94">
        <w:t xml:space="preserve">1933), </w:t>
      </w:r>
      <w:r w:rsidR="0064048E">
        <w:t xml:space="preserve">pp. </w:t>
      </w:r>
      <w:r w:rsidR="009F740E">
        <w:t>217-</w:t>
      </w:r>
      <w:r w:rsidR="0064048E">
        <w:t>321</w:t>
      </w:r>
    </w:p>
  </w:footnote>
  <w:footnote w:id="4">
    <w:p w14:paraId="4506817A" w14:textId="17DD49D3" w:rsidR="00C57F9A" w:rsidRPr="00C57F9A" w:rsidRDefault="00C57F9A">
      <w:pPr>
        <w:pStyle w:val="FootnoteText"/>
      </w:pPr>
      <w:r>
        <w:rPr>
          <w:rStyle w:val="FootnoteReference"/>
        </w:rPr>
        <w:footnoteRef/>
      </w:r>
      <w:r>
        <w:t xml:space="preserve"> Witherington III, </w:t>
      </w:r>
      <w:r>
        <w:rPr>
          <w:i/>
          <w:iCs/>
        </w:rPr>
        <w:t xml:space="preserve">‘Women in the Ministry of Jesus’, </w:t>
      </w:r>
      <w:r>
        <w:t>pp.1-2.</w:t>
      </w:r>
    </w:p>
  </w:footnote>
  <w:footnote w:id="5">
    <w:p w14:paraId="13F54326" w14:textId="3C99CA8C" w:rsidR="00D907E5" w:rsidRPr="00607650" w:rsidRDefault="00D907E5">
      <w:pPr>
        <w:pStyle w:val="FootnoteText"/>
      </w:pPr>
      <w:r>
        <w:rPr>
          <w:rStyle w:val="FootnoteReference"/>
        </w:rPr>
        <w:footnoteRef/>
      </w:r>
      <w:r>
        <w:t xml:space="preserve"> </w:t>
      </w:r>
      <w:r w:rsidR="003F1101">
        <w:t>A. J.</w:t>
      </w:r>
      <w:r w:rsidR="00607650">
        <w:t xml:space="preserve"> Levine, ‘Second Temple Judaism, Jesus, and Women Yeast of Eden’, </w:t>
      </w:r>
      <w:r w:rsidR="00607650">
        <w:rPr>
          <w:i/>
          <w:iCs/>
        </w:rPr>
        <w:t xml:space="preserve">Biblical Interpretation, </w:t>
      </w:r>
      <w:r w:rsidR="0049150A">
        <w:t>2(1) (1994), p.9.</w:t>
      </w:r>
    </w:p>
  </w:footnote>
  <w:footnote w:id="6">
    <w:p w14:paraId="75C4FD67" w14:textId="2DAD21B9" w:rsidR="00A56B06" w:rsidRDefault="00A56B06">
      <w:pPr>
        <w:pStyle w:val="FootnoteText"/>
      </w:pPr>
      <w:r>
        <w:rPr>
          <w:rStyle w:val="FootnoteReference"/>
        </w:rPr>
        <w:footnoteRef/>
      </w:r>
      <w:r>
        <w:t xml:space="preserve"> </w:t>
      </w:r>
      <w:r w:rsidR="00AA7158">
        <w:t xml:space="preserve">G Robinson, </w:t>
      </w:r>
      <w:r w:rsidR="00AA7158">
        <w:rPr>
          <w:i/>
          <w:iCs/>
        </w:rPr>
        <w:t xml:space="preserve">‘Essential Judaism: A Complete Guide to Beliefs, Customs, and Rituals’ </w:t>
      </w:r>
      <w:r w:rsidR="00AA7158">
        <w:t>(</w:t>
      </w:r>
      <w:r w:rsidR="00744301">
        <w:t>New York: Atria Paperback 2016), p</w:t>
      </w:r>
      <w:r w:rsidR="00634B13">
        <w:t>.</w:t>
      </w:r>
      <w:r w:rsidR="00AA7158">
        <w:t xml:space="preserve">339. </w:t>
      </w:r>
    </w:p>
  </w:footnote>
  <w:footnote w:id="7">
    <w:p w14:paraId="527FCCCC" w14:textId="30FA13C1" w:rsidR="00027E99" w:rsidRPr="00027E99" w:rsidRDefault="00027E99">
      <w:pPr>
        <w:pStyle w:val="FootnoteText"/>
      </w:pPr>
      <w:r>
        <w:rPr>
          <w:rStyle w:val="FootnoteReference"/>
        </w:rPr>
        <w:footnoteRef/>
      </w:r>
      <w:r>
        <w:t xml:space="preserve"> Witherington III, </w:t>
      </w:r>
      <w:r>
        <w:rPr>
          <w:i/>
          <w:iCs/>
        </w:rPr>
        <w:t>‘Women in the Ministry of Jesus’</w:t>
      </w:r>
      <w:r>
        <w:t>, p. 52.</w:t>
      </w:r>
    </w:p>
  </w:footnote>
  <w:footnote w:id="8">
    <w:p w14:paraId="4C64E44F" w14:textId="23222010" w:rsidR="00503441" w:rsidRDefault="00503441">
      <w:pPr>
        <w:pStyle w:val="FootnoteText"/>
      </w:pPr>
      <w:r>
        <w:rPr>
          <w:rStyle w:val="FootnoteReference"/>
        </w:rPr>
        <w:footnoteRef/>
      </w:r>
      <w:r>
        <w:t xml:space="preserve"> Witherington III, </w:t>
      </w:r>
      <w:r>
        <w:rPr>
          <w:i/>
          <w:iCs/>
        </w:rPr>
        <w:t>‘Women in the Ministry of Jesus’</w:t>
      </w:r>
      <w:r>
        <w:t>, p. 52.</w:t>
      </w:r>
    </w:p>
  </w:footnote>
  <w:footnote w:id="9">
    <w:p w14:paraId="64533D8C" w14:textId="282A84C4" w:rsidR="00D5298B" w:rsidRDefault="00D5298B">
      <w:pPr>
        <w:pStyle w:val="FootnoteText"/>
      </w:pPr>
      <w:r>
        <w:rPr>
          <w:rStyle w:val="FootnoteReference"/>
        </w:rPr>
        <w:footnoteRef/>
      </w:r>
      <w:r>
        <w:t xml:space="preserve"> Witherington III, </w:t>
      </w:r>
      <w:r>
        <w:rPr>
          <w:i/>
          <w:iCs/>
        </w:rPr>
        <w:t>‘Women in the Ministry of Jesus’</w:t>
      </w:r>
      <w:r>
        <w:t>, p. 52.</w:t>
      </w:r>
    </w:p>
  </w:footnote>
  <w:footnote w:id="10">
    <w:p w14:paraId="719FFE72" w14:textId="1B0D0134" w:rsidR="00B54F53" w:rsidRDefault="00B54F53">
      <w:pPr>
        <w:pStyle w:val="FootnoteText"/>
      </w:pPr>
      <w:r>
        <w:rPr>
          <w:rStyle w:val="FootnoteReference"/>
        </w:rPr>
        <w:footnoteRef/>
      </w:r>
      <w:r>
        <w:t xml:space="preserve"> </w:t>
      </w:r>
      <w:r w:rsidR="00A8472A">
        <w:t xml:space="preserve">Witherington III, </w:t>
      </w:r>
      <w:r w:rsidR="00A8472A">
        <w:rPr>
          <w:i/>
          <w:iCs/>
        </w:rPr>
        <w:t>‘Women in the Ministry of Jesus’</w:t>
      </w:r>
      <w:r w:rsidR="00A8472A">
        <w:t>, p. 52.</w:t>
      </w:r>
    </w:p>
  </w:footnote>
  <w:footnote w:id="11">
    <w:p w14:paraId="32AD187C" w14:textId="30E4385F" w:rsidR="003A382C" w:rsidRDefault="003A382C">
      <w:pPr>
        <w:pStyle w:val="FootnoteText"/>
      </w:pPr>
      <w:r>
        <w:rPr>
          <w:rStyle w:val="FootnoteReference"/>
        </w:rPr>
        <w:footnoteRef/>
      </w:r>
      <w:r>
        <w:t xml:space="preserve"> Levine, ‘Second Temple Judaism, Jesus, and Women Yeast of Eden’, p.14.</w:t>
      </w:r>
    </w:p>
  </w:footnote>
  <w:footnote w:id="12">
    <w:p w14:paraId="68B23BFB" w14:textId="3C2D94B5" w:rsidR="00770B29" w:rsidRDefault="00770B29">
      <w:pPr>
        <w:pStyle w:val="FootnoteText"/>
      </w:pPr>
      <w:r>
        <w:rPr>
          <w:rStyle w:val="FootnoteReference"/>
        </w:rPr>
        <w:footnoteRef/>
      </w:r>
      <w:r>
        <w:t xml:space="preserve"> Levine, ‘Second Temple Judaism, Jesus, and Women Yeast of Eden’, p.14.</w:t>
      </w:r>
    </w:p>
  </w:footnote>
  <w:footnote w:id="13">
    <w:p w14:paraId="6CFF7A0B" w14:textId="6917C722" w:rsidR="00C303B5" w:rsidRPr="00805EC1" w:rsidRDefault="00C303B5">
      <w:pPr>
        <w:pStyle w:val="FootnoteText"/>
      </w:pPr>
      <w:r>
        <w:rPr>
          <w:rStyle w:val="FootnoteReference"/>
        </w:rPr>
        <w:footnoteRef/>
      </w:r>
      <w:r>
        <w:t xml:space="preserve"> </w:t>
      </w:r>
      <w:r w:rsidR="00CE7853">
        <w:t xml:space="preserve">C. S. Keener, </w:t>
      </w:r>
      <w:r w:rsidR="00CE7853">
        <w:rPr>
          <w:i/>
          <w:iCs/>
        </w:rPr>
        <w:t>‘Acts: An Exegetical Commentary. Volume Three</w:t>
      </w:r>
      <w:r w:rsidR="00805EC1">
        <w:rPr>
          <w:i/>
          <w:iCs/>
        </w:rPr>
        <w:t>, 15:1-23:35</w:t>
      </w:r>
      <w:r w:rsidR="00CE7853">
        <w:rPr>
          <w:i/>
          <w:iCs/>
        </w:rPr>
        <w:t xml:space="preserve">’, </w:t>
      </w:r>
      <w:r w:rsidR="00805EC1">
        <w:t>(</w:t>
      </w:r>
      <w:r w:rsidR="006F6D69">
        <w:t>Grand Rapids: Baker Academic 2014</w:t>
      </w:r>
      <w:r w:rsidR="00B85445">
        <w:t xml:space="preserve">). </w:t>
      </w:r>
    </w:p>
  </w:footnote>
  <w:footnote w:id="14">
    <w:p w14:paraId="005E6CB7" w14:textId="1FCDD5D5" w:rsidR="00075CB6" w:rsidRPr="00D33508" w:rsidRDefault="00075CB6">
      <w:pPr>
        <w:pStyle w:val="FootnoteText"/>
      </w:pPr>
      <w:r>
        <w:rPr>
          <w:rStyle w:val="FootnoteReference"/>
        </w:rPr>
        <w:footnoteRef/>
      </w:r>
      <w:r>
        <w:t xml:space="preserve"> </w:t>
      </w:r>
      <w:r w:rsidR="001547CF">
        <w:t>S Marks, ‘</w:t>
      </w:r>
      <w:r w:rsidR="00E94B46">
        <w:t>Women in Early Judaism: Twenty-five Years of research and Reenvisioning</w:t>
      </w:r>
      <w:r w:rsidR="00B8793E">
        <w:t xml:space="preserve">’, </w:t>
      </w:r>
      <w:r w:rsidR="00B8793E">
        <w:rPr>
          <w:i/>
          <w:iCs/>
        </w:rPr>
        <w:t xml:space="preserve">Currents in Biblical </w:t>
      </w:r>
      <w:r w:rsidR="00D33508">
        <w:rPr>
          <w:i/>
          <w:iCs/>
        </w:rPr>
        <w:t xml:space="preserve">Research, </w:t>
      </w:r>
      <w:r w:rsidR="00D33508">
        <w:t>6(2) (2008), p</w:t>
      </w:r>
      <w:r w:rsidR="000C1429">
        <w:t xml:space="preserve">.303. </w:t>
      </w:r>
    </w:p>
  </w:footnote>
  <w:footnote w:id="15">
    <w:p w14:paraId="4F944437" w14:textId="4FCC5252" w:rsidR="00A41F09" w:rsidRDefault="00A41F09">
      <w:pPr>
        <w:pStyle w:val="FootnoteText"/>
      </w:pPr>
      <w:r>
        <w:rPr>
          <w:rStyle w:val="FootnoteReference"/>
        </w:rPr>
        <w:footnoteRef/>
      </w:r>
      <w:r>
        <w:t xml:space="preserve"> </w:t>
      </w:r>
      <w:r w:rsidR="006118B4">
        <w:t xml:space="preserve">Witherington III, </w:t>
      </w:r>
      <w:r w:rsidR="006118B4">
        <w:rPr>
          <w:i/>
          <w:iCs/>
        </w:rPr>
        <w:t>‘Women in the Ministry of Jesus’</w:t>
      </w:r>
      <w:r w:rsidR="006118B4">
        <w:t>, p. 52.</w:t>
      </w:r>
    </w:p>
  </w:footnote>
  <w:footnote w:id="16">
    <w:p w14:paraId="30941686" w14:textId="2EC645B2" w:rsidR="0026398D" w:rsidRPr="008765A5" w:rsidRDefault="0026398D">
      <w:pPr>
        <w:pStyle w:val="FootnoteText"/>
      </w:pPr>
      <w:r>
        <w:rPr>
          <w:rStyle w:val="FootnoteReference"/>
        </w:rPr>
        <w:footnoteRef/>
      </w:r>
      <w:r>
        <w:t xml:space="preserve"> </w:t>
      </w:r>
      <w:r w:rsidR="00C00BBC">
        <w:t xml:space="preserve">K Corley, </w:t>
      </w:r>
      <w:r w:rsidR="00C00BBC">
        <w:rPr>
          <w:i/>
          <w:iCs/>
        </w:rPr>
        <w:t>‘</w:t>
      </w:r>
      <w:r w:rsidR="008765A5">
        <w:rPr>
          <w:i/>
          <w:iCs/>
        </w:rPr>
        <w:t xml:space="preserve">Women and the Historical Jesus: Feminist Myths of Christian Origins’, </w:t>
      </w:r>
      <w:r w:rsidR="008765A5">
        <w:t xml:space="preserve">(London; Polebridge Press 2002), p. </w:t>
      </w:r>
      <w:r w:rsidR="000F1DB1">
        <w:t xml:space="preserve">59. </w:t>
      </w:r>
    </w:p>
  </w:footnote>
  <w:footnote w:id="17">
    <w:p w14:paraId="75D0B617" w14:textId="7E3A6109" w:rsidR="0026398D" w:rsidRPr="000F1DB1" w:rsidRDefault="0026398D">
      <w:pPr>
        <w:pStyle w:val="FootnoteText"/>
      </w:pPr>
      <w:r>
        <w:rPr>
          <w:rStyle w:val="FootnoteReference"/>
        </w:rPr>
        <w:footnoteRef/>
      </w:r>
      <w:r>
        <w:t xml:space="preserve"> </w:t>
      </w:r>
      <w:r w:rsidR="000F1DB1">
        <w:t xml:space="preserve"> Corley, </w:t>
      </w:r>
      <w:r w:rsidR="000F1DB1">
        <w:rPr>
          <w:i/>
          <w:iCs/>
        </w:rPr>
        <w:t xml:space="preserve">‘Women and the Historical Jesus: Feminist Myths of Christian Origins’, </w:t>
      </w:r>
      <w:r w:rsidR="000F1DB1">
        <w:t xml:space="preserve">p.59. </w:t>
      </w:r>
    </w:p>
  </w:footnote>
  <w:footnote w:id="18">
    <w:p w14:paraId="0AD93805" w14:textId="5469972A" w:rsidR="0084152F" w:rsidRDefault="0084152F">
      <w:pPr>
        <w:pStyle w:val="FootnoteText"/>
      </w:pPr>
      <w:r>
        <w:rPr>
          <w:rStyle w:val="FootnoteReference"/>
        </w:rPr>
        <w:footnoteRef/>
      </w:r>
      <w:r>
        <w:t xml:space="preserve"> </w:t>
      </w:r>
      <w:r w:rsidR="00044DA7">
        <w:t>S Durber,</w:t>
      </w:r>
      <w:r w:rsidR="001474DB">
        <w:t xml:space="preserve"> ‘The Female Reader of the Parables of the Lost’, </w:t>
      </w:r>
      <w:r w:rsidR="007A4783">
        <w:rPr>
          <w:i/>
          <w:iCs/>
        </w:rPr>
        <w:t xml:space="preserve">Journal for the study of the New Testament, </w:t>
      </w:r>
      <w:r w:rsidR="001A4944">
        <w:t>14(45)</w:t>
      </w:r>
      <w:r w:rsidR="00BD1100">
        <w:t xml:space="preserve"> (</w:t>
      </w:r>
      <w:r w:rsidR="009A388D">
        <w:t>1992)</w:t>
      </w:r>
      <w:r w:rsidR="001A4944">
        <w:t>,</w:t>
      </w:r>
      <w:r w:rsidR="00044DA7">
        <w:t xml:space="preserve"> </w:t>
      </w:r>
      <w:r w:rsidR="0015230D">
        <w:t xml:space="preserve">p.70. </w:t>
      </w:r>
    </w:p>
  </w:footnote>
  <w:footnote w:id="19">
    <w:p w14:paraId="7CC6ED1C" w14:textId="2EF45025" w:rsidR="008E3491" w:rsidRDefault="008E3491">
      <w:pPr>
        <w:pStyle w:val="FootnoteText"/>
      </w:pPr>
      <w:r>
        <w:rPr>
          <w:rStyle w:val="FootnoteReference"/>
        </w:rPr>
        <w:footnoteRef/>
      </w:r>
      <w:r>
        <w:t xml:space="preserve"> </w:t>
      </w:r>
      <w:r w:rsidR="002E17BA">
        <w:t xml:space="preserve">G Robinson, </w:t>
      </w:r>
      <w:r w:rsidR="002E17BA">
        <w:rPr>
          <w:i/>
          <w:iCs/>
        </w:rPr>
        <w:t xml:space="preserve">‘Essential Judaism: A Complete Guide to Beliefs, Customs, and Rituals’, </w:t>
      </w:r>
      <w:r w:rsidR="002E17BA">
        <w:t>p.339</w:t>
      </w:r>
    </w:p>
  </w:footnote>
  <w:footnote w:id="20">
    <w:p w14:paraId="09A50053" w14:textId="68020826" w:rsidR="003E0107" w:rsidRPr="00597825" w:rsidRDefault="003E0107">
      <w:pPr>
        <w:pStyle w:val="FootnoteText"/>
        <w:rPr>
          <w:i/>
          <w:iCs/>
        </w:rPr>
      </w:pPr>
      <w:r>
        <w:rPr>
          <w:rStyle w:val="FootnoteReference"/>
        </w:rPr>
        <w:footnoteRef/>
      </w:r>
      <w:r>
        <w:t xml:space="preserve"> Encyclopaedia Britannica, </w:t>
      </w:r>
      <w:r w:rsidR="00214B1C">
        <w:t>‘Mishnah: Jewish</w:t>
      </w:r>
      <w:r w:rsidR="00297808">
        <w:t xml:space="preserve">’, </w:t>
      </w:r>
      <w:r w:rsidR="00597825">
        <w:t xml:space="preserve">&lt; </w:t>
      </w:r>
      <w:hyperlink r:id="rId1" w:history="1">
        <w:r w:rsidR="00597825" w:rsidRPr="007441FC">
          <w:rPr>
            <w:rStyle w:val="Hyperlink"/>
          </w:rPr>
          <w:t>https://www.britannica.com/topic/Mishna</w:t>
        </w:r>
      </w:hyperlink>
      <w:r w:rsidR="00597825">
        <w:t xml:space="preserve"> &gt;, [accessed on </w:t>
      </w:r>
      <w:r w:rsidR="00FC2A61">
        <w:t>11</w:t>
      </w:r>
      <w:r w:rsidR="00FC2A61" w:rsidRPr="00FC2A61">
        <w:rPr>
          <w:vertAlign w:val="superscript"/>
        </w:rPr>
        <w:t>th</w:t>
      </w:r>
      <w:r w:rsidR="00FC2A61">
        <w:t xml:space="preserve"> June 2020]. </w:t>
      </w:r>
    </w:p>
  </w:footnote>
  <w:footnote w:id="21">
    <w:p w14:paraId="12C65A1D" w14:textId="1B3280FC" w:rsidR="00C13D79" w:rsidRPr="007F1A35" w:rsidRDefault="00C13D79">
      <w:pPr>
        <w:pStyle w:val="FootnoteText"/>
      </w:pPr>
      <w:r>
        <w:rPr>
          <w:rStyle w:val="FootnoteReference"/>
        </w:rPr>
        <w:footnoteRef/>
      </w:r>
      <w:r>
        <w:t xml:space="preserve"> </w:t>
      </w:r>
      <w:r w:rsidR="00AB1748">
        <w:t xml:space="preserve">S G De George, </w:t>
      </w:r>
      <w:r w:rsidR="008C736A">
        <w:t xml:space="preserve">(Review of </w:t>
      </w:r>
      <w:r w:rsidR="00AB1748">
        <w:t>‘Women in the Ministry of Jesus’ Attitudes to Women and Their Roles as Re</w:t>
      </w:r>
      <w:r w:rsidR="0066687B">
        <w:t>flected in His Earthly Life</w:t>
      </w:r>
      <w:r w:rsidR="008C736A">
        <w:t xml:space="preserve">’ </w:t>
      </w:r>
      <w:r w:rsidR="0066687B">
        <w:t>by Ben Witherington III</w:t>
      </w:r>
      <w:r w:rsidR="008C736A">
        <w:t>)</w:t>
      </w:r>
      <w:r w:rsidR="0066687B">
        <w:t xml:space="preserve">, </w:t>
      </w:r>
      <w:r w:rsidR="007F1A35">
        <w:rPr>
          <w:i/>
          <w:iCs/>
        </w:rPr>
        <w:t xml:space="preserve">Journal of Biblical Literature, </w:t>
      </w:r>
      <w:r w:rsidR="007F1A35">
        <w:t>105(4)</w:t>
      </w:r>
      <w:r w:rsidR="007C2923">
        <w:t xml:space="preserve"> (1986)</w:t>
      </w:r>
      <w:r w:rsidR="007F1A35">
        <w:t xml:space="preserve">, p.735. </w:t>
      </w:r>
    </w:p>
  </w:footnote>
  <w:footnote w:id="22">
    <w:p w14:paraId="03E91018" w14:textId="32F3FAB2" w:rsidR="00DD664C" w:rsidRDefault="00DD664C">
      <w:pPr>
        <w:pStyle w:val="FootnoteText"/>
      </w:pPr>
      <w:r>
        <w:rPr>
          <w:rStyle w:val="FootnoteReference"/>
        </w:rPr>
        <w:footnoteRef/>
      </w:r>
      <w:r>
        <w:t xml:space="preserve"> </w:t>
      </w:r>
      <w:r w:rsidR="00704BE4">
        <w:t xml:space="preserve">Witherington III, </w:t>
      </w:r>
      <w:r w:rsidR="00704BE4">
        <w:rPr>
          <w:i/>
          <w:iCs/>
        </w:rPr>
        <w:t>‘Women in the Ministry of Jesus’</w:t>
      </w:r>
      <w:r w:rsidR="00704BE4">
        <w:t>, p. 52.</w:t>
      </w:r>
    </w:p>
  </w:footnote>
  <w:footnote w:id="23">
    <w:p w14:paraId="20EE1A73" w14:textId="77828F5A" w:rsidR="0074447C" w:rsidRDefault="0074447C">
      <w:pPr>
        <w:pStyle w:val="FootnoteText"/>
      </w:pPr>
      <w:r>
        <w:rPr>
          <w:rStyle w:val="FootnoteReference"/>
        </w:rPr>
        <w:footnoteRef/>
      </w:r>
      <w:r>
        <w:t xml:space="preserve"> </w:t>
      </w:r>
      <w:r w:rsidR="001B0600">
        <w:t>S Durber, ‘The Female Reader of the Parables of the Lost. p.71.</w:t>
      </w:r>
    </w:p>
  </w:footnote>
  <w:footnote w:id="24">
    <w:p w14:paraId="5A32EECD" w14:textId="02A3DB4B" w:rsidR="008A5957" w:rsidRDefault="008A5957">
      <w:pPr>
        <w:pStyle w:val="FootnoteText"/>
      </w:pPr>
      <w:r>
        <w:rPr>
          <w:rStyle w:val="FootnoteReference"/>
        </w:rPr>
        <w:footnoteRef/>
      </w:r>
      <w:r>
        <w:t xml:space="preserve"> </w:t>
      </w:r>
      <w:r w:rsidR="00256097">
        <w:t xml:space="preserve">Witherington III, </w:t>
      </w:r>
      <w:r w:rsidR="00256097">
        <w:rPr>
          <w:i/>
          <w:iCs/>
        </w:rPr>
        <w:t>‘Women in the Ministry of Jesus’</w:t>
      </w:r>
      <w:r w:rsidR="00256097">
        <w:t>, p. 52.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FF4ABE" w14:textId="2178D4A0" w:rsidR="00BB3BB8" w:rsidRDefault="00BB3BB8">
    <w:pPr>
      <w:pStyle w:val="Header"/>
    </w:pPr>
    <w:r>
      <w:t xml:space="preserve">Alison Forbes </w:t>
    </w:r>
  </w:p>
  <w:p w14:paraId="3381CE99" w14:textId="796ECA08" w:rsidR="00BB3BB8" w:rsidRDefault="00BB3BB8">
    <w:pPr>
      <w:pStyle w:val="Header"/>
    </w:pPr>
    <w:r>
      <w:t>1701733</w:t>
    </w:r>
  </w:p>
  <w:p w14:paraId="2A4998DB" w14:textId="39E44451" w:rsidR="00BB3BB8" w:rsidRDefault="00BB3BB8">
    <w:pPr>
      <w:pStyle w:val="Header"/>
    </w:pPr>
    <w:r>
      <w:t xml:space="preserve">‘Jesus was a reformer of first-century Jewish attitudes to women’ Discuss.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652A3"/>
    <w:multiLevelType w:val="hybridMultilevel"/>
    <w:tmpl w:val="1F042C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FA47C2"/>
    <w:multiLevelType w:val="hybridMultilevel"/>
    <w:tmpl w:val="D584C8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BB8"/>
    <w:rsid w:val="00014573"/>
    <w:rsid w:val="0002272F"/>
    <w:rsid w:val="00027E99"/>
    <w:rsid w:val="00035100"/>
    <w:rsid w:val="00036D14"/>
    <w:rsid w:val="00037E67"/>
    <w:rsid w:val="00044DA7"/>
    <w:rsid w:val="00045180"/>
    <w:rsid w:val="000507F9"/>
    <w:rsid w:val="000737E5"/>
    <w:rsid w:val="00074DEB"/>
    <w:rsid w:val="00075CB6"/>
    <w:rsid w:val="00086C95"/>
    <w:rsid w:val="00091837"/>
    <w:rsid w:val="000A3891"/>
    <w:rsid w:val="000B09BF"/>
    <w:rsid w:val="000C1429"/>
    <w:rsid w:val="000C1541"/>
    <w:rsid w:val="000C7807"/>
    <w:rsid w:val="000F1DB1"/>
    <w:rsid w:val="00104964"/>
    <w:rsid w:val="00107485"/>
    <w:rsid w:val="00121796"/>
    <w:rsid w:val="00124516"/>
    <w:rsid w:val="00130AB6"/>
    <w:rsid w:val="001377CA"/>
    <w:rsid w:val="00147139"/>
    <w:rsid w:val="001474DB"/>
    <w:rsid w:val="0015230D"/>
    <w:rsid w:val="001528A9"/>
    <w:rsid w:val="001547CF"/>
    <w:rsid w:val="0015586C"/>
    <w:rsid w:val="00164008"/>
    <w:rsid w:val="00175C27"/>
    <w:rsid w:val="00181E91"/>
    <w:rsid w:val="00191500"/>
    <w:rsid w:val="001921EC"/>
    <w:rsid w:val="00197F21"/>
    <w:rsid w:val="001A4944"/>
    <w:rsid w:val="001B0600"/>
    <w:rsid w:val="001B0B80"/>
    <w:rsid w:val="001B16F4"/>
    <w:rsid w:val="001B1E11"/>
    <w:rsid w:val="001B6F39"/>
    <w:rsid w:val="001C0832"/>
    <w:rsid w:val="001C109D"/>
    <w:rsid w:val="001F035E"/>
    <w:rsid w:val="00205CE8"/>
    <w:rsid w:val="00212271"/>
    <w:rsid w:val="00214B1C"/>
    <w:rsid w:val="002219BD"/>
    <w:rsid w:val="00226CD0"/>
    <w:rsid w:val="0023278F"/>
    <w:rsid w:val="00240981"/>
    <w:rsid w:val="00243C83"/>
    <w:rsid w:val="002502A8"/>
    <w:rsid w:val="00256097"/>
    <w:rsid w:val="002620ED"/>
    <w:rsid w:val="0026398D"/>
    <w:rsid w:val="00265A30"/>
    <w:rsid w:val="00271690"/>
    <w:rsid w:val="00285F28"/>
    <w:rsid w:val="00291C92"/>
    <w:rsid w:val="00291F71"/>
    <w:rsid w:val="00297808"/>
    <w:rsid w:val="002C3A36"/>
    <w:rsid w:val="002C6AC1"/>
    <w:rsid w:val="002D2511"/>
    <w:rsid w:val="002E0868"/>
    <w:rsid w:val="002E17BA"/>
    <w:rsid w:val="003215F3"/>
    <w:rsid w:val="00331526"/>
    <w:rsid w:val="00334FA1"/>
    <w:rsid w:val="003560C3"/>
    <w:rsid w:val="003724AC"/>
    <w:rsid w:val="003A382C"/>
    <w:rsid w:val="003B4869"/>
    <w:rsid w:val="003B7417"/>
    <w:rsid w:val="003C1FB4"/>
    <w:rsid w:val="003C3D09"/>
    <w:rsid w:val="003C6EC5"/>
    <w:rsid w:val="003E0107"/>
    <w:rsid w:val="003E5676"/>
    <w:rsid w:val="003F1101"/>
    <w:rsid w:val="003F154B"/>
    <w:rsid w:val="003F190E"/>
    <w:rsid w:val="003F3077"/>
    <w:rsid w:val="003F7277"/>
    <w:rsid w:val="004062D7"/>
    <w:rsid w:val="004137DA"/>
    <w:rsid w:val="00424A2C"/>
    <w:rsid w:val="00427D94"/>
    <w:rsid w:val="00445253"/>
    <w:rsid w:val="004456C4"/>
    <w:rsid w:val="00465C75"/>
    <w:rsid w:val="004705CA"/>
    <w:rsid w:val="0047580F"/>
    <w:rsid w:val="00481A9B"/>
    <w:rsid w:val="0049150A"/>
    <w:rsid w:val="0049231F"/>
    <w:rsid w:val="004A5639"/>
    <w:rsid w:val="004A6DA4"/>
    <w:rsid w:val="004B2404"/>
    <w:rsid w:val="004B6A49"/>
    <w:rsid w:val="004C33C8"/>
    <w:rsid w:val="004C6B07"/>
    <w:rsid w:val="004C7F33"/>
    <w:rsid w:val="004D0C82"/>
    <w:rsid w:val="004E22E8"/>
    <w:rsid w:val="004F2C09"/>
    <w:rsid w:val="00503441"/>
    <w:rsid w:val="00503A97"/>
    <w:rsid w:val="005105F8"/>
    <w:rsid w:val="00512D67"/>
    <w:rsid w:val="00516A8C"/>
    <w:rsid w:val="00524B2A"/>
    <w:rsid w:val="00535C7D"/>
    <w:rsid w:val="005520B4"/>
    <w:rsid w:val="005614EB"/>
    <w:rsid w:val="00575627"/>
    <w:rsid w:val="005810AB"/>
    <w:rsid w:val="00582E84"/>
    <w:rsid w:val="005922D5"/>
    <w:rsid w:val="00597825"/>
    <w:rsid w:val="005C0615"/>
    <w:rsid w:val="005D3711"/>
    <w:rsid w:val="005D5543"/>
    <w:rsid w:val="0060056B"/>
    <w:rsid w:val="00600940"/>
    <w:rsid w:val="006019E7"/>
    <w:rsid w:val="00603644"/>
    <w:rsid w:val="00607650"/>
    <w:rsid w:val="006118B4"/>
    <w:rsid w:val="00613BE9"/>
    <w:rsid w:val="00625337"/>
    <w:rsid w:val="0063059A"/>
    <w:rsid w:val="00630DF7"/>
    <w:rsid w:val="00634B13"/>
    <w:rsid w:val="0064048E"/>
    <w:rsid w:val="00650A9C"/>
    <w:rsid w:val="0065417B"/>
    <w:rsid w:val="0066687B"/>
    <w:rsid w:val="006735FA"/>
    <w:rsid w:val="00674A66"/>
    <w:rsid w:val="00681B56"/>
    <w:rsid w:val="0068527B"/>
    <w:rsid w:val="0069397E"/>
    <w:rsid w:val="006A1E61"/>
    <w:rsid w:val="006A5A62"/>
    <w:rsid w:val="006C2148"/>
    <w:rsid w:val="006D1BCD"/>
    <w:rsid w:val="006F6D69"/>
    <w:rsid w:val="00703737"/>
    <w:rsid w:val="0070479B"/>
    <w:rsid w:val="00704BE4"/>
    <w:rsid w:val="00705B97"/>
    <w:rsid w:val="00705E80"/>
    <w:rsid w:val="0072254D"/>
    <w:rsid w:val="007247E0"/>
    <w:rsid w:val="00744301"/>
    <w:rsid w:val="0074447C"/>
    <w:rsid w:val="00770B29"/>
    <w:rsid w:val="00780B60"/>
    <w:rsid w:val="0078361A"/>
    <w:rsid w:val="007924BA"/>
    <w:rsid w:val="00792C94"/>
    <w:rsid w:val="00793B21"/>
    <w:rsid w:val="007A4783"/>
    <w:rsid w:val="007B0078"/>
    <w:rsid w:val="007B5FEF"/>
    <w:rsid w:val="007C135E"/>
    <w:rsid w:val="007C2923"/>
    <w:rsid w:val="007D48B8"/>
    <w:rsid w:val="007D4FF3"/>
    <w:rsid w:val="007E3F2E"/>
    <w:rsid w:val="007F1A35"/>
    <w:rsid w:val="007F2C1C"/>
    <w:rsid w:val="00805EC1"/>
    <w:rsid w:val="008110FF"/>
    <w:rsid w:val="00821130"/>
    <w:rsid w:val="00825071"/>
    <w:rsid w:val="008400C3"/>
    <w:rsid w:val="0084152F"/>
    <w:rsid w:val="00842EE3"/>
    <w:rsid w:val="008444D8"/>
    <w:rsid w:val="00870248"/>
    <w:rsid w:val="008736FF"/>
    <w:rsid w:val="008749FA"/>
    <w:rsid w:val="008765A5"/>
    <w:rsid w:val="0089215A"/>
    <w:rsid w:val="008A123F"/>
    <w:rsid w:val="008A5957"/>
    <w:rsid w:val="008B15AB"/>
    <w:rsid w:val="008B5DD4"/>
    <w:rsid w:val="008C08F6"/>
    <w:rsid w:val="008C736A"/>
    <w:rsid w:val="008D4B43"/>
    <w:rsid w:val="008D57BE"/>
    <w:rsid w:val="008D6C79"/>
    <w:rsid w:val="008E2A32"/>
    <w:rsid w:val="008E3491"/>
    <w:rsid w:val="008E5E1F"/>
    <w:rsid w:val="008E66F8"/>
    <w:rsid w:val="008E7EB2"/>
    <w:rsid w:val="008F17EB"/>
    <w:rsid w:val="008F2571"/>
    <w:rsid w:val="008F6198"/>
    <w:rsid w:val="008F78FC"/>
    <w:rsid w:val="0091148B"/>
    <w:rsid w:val="009121B9"/>
    <w:rsid w:val="009154CE"/>
    <w:rsid w:val="009206ED"/>
    <w:rsid w:val="00922F45"/>
    <w:rsid w:val="00924F44"/>
    <w:rsid w:val="009276E7"/>
    <w:rsid w:val="00952ABD"/>
    <w:rsid w:val="00976A8A"/>
    <w:rsid w:val="009856A9"/>
    <w:rsid w:val="009A388D"/>
    <w:rsid w:val="009A3BED"/>
    <w:rsid w:val="009D29CA"/>
    <w:rsid w:val="009D4263"/>
    <w:rsid w:val="009E16ED"/>
    <w:rsid w:val="009E47D0"/>
    <w:rsid w:val="009F740E"/>
    <w:rsid w:val="00A030F7"/>
    <w:rsid w:val="00A036EC"/>
    <w:rsid w:val="00A16C8A"/>
    <w:rsid w:val="00A251D9"/>
    <w:rsid w:val="00A37BA8"/>
    <w:rsid w:val="00A37CD7"/>
    <w:rsid w:val="00A41F09"/>
    <w:rsid w:val="00A55342"/>
    <w:rsid w:val="00A56B06"/>
    <w:rsid w:val="00A8472A"/>
    <w:rsid w:val="00A939DD"/>
    <w:rsid w:val="00A94EA8"/>
    <w:rsid w:val="00A9527E"/>
    <w:rsid w:val="00AA1B57"/>
    <w:rsid w:val="00AA6505"/>
    <w:rsid w:val="00AA7158"/>
    <w:rsid w:val="00AB1748"/>
    <w:rsid w:val="00AC69DB"/>
    <w:rsid w:val="00AF1DEC"/>
    <w:rsid w:val="00B2758C"/>
    <w:rsid w:val="00B36348"/>
    <w:rsid w:val="00B54F53"/>
    <w:rsid w:val="00B67008"/>
    <w:rsid w:val="00B80B07"/>
    <w:rsid w:val="00B85445"/>
    <w:rsid w:val="00B85784"/>
    <w:rsid w:val="00B8793E"/>
    <w:rsid w:val="00BB0B3E"/>
    <w:rsid w:val="00BB3BB8"/>
    <w:rsid w:val="00BC1170"/>
    <w:rsid w:val="00BD1100"/>
    <w:rsid w:val="00BD15F1"/>
    <w:rsid w:val="00BD176D"/>
    <w:rsid w:val="00BD5BB9"/>
    <w:rsid w:val="00C00BBC"/>
    <w:rsid w:val="00C03FFE"/>
    <w:rsid w:val="00C118A8"/>
    <w:rsid w:val="00C13D79"/>
    <w:rsid w:val="00C214AF"/>
    <w:rsid w:val="00C303B5"/>
    <w:rsid w:val="00C33FF9"/>
    <w:rsid w:val="00C37224"/>
    <w:rsid w:val="00C42256"/>
    <w:rsid w:val="00C517F4"/>
    <w:rsid w:val="00C54759"/>
    <w:rsid w:val="00C57F9A"/>
    <w:rsid w:val="00C673B2"/>
    <w:rsid w:val="00C75F62"/>
    <w:rsid w:val="00C8313F"/>
    <w:rsid w:val="00C85D44"/>
    <w:rsid w:val="00CA40AC"/>
    <w:rsid w:val="00CB1001"/>
    <w:rsid w:val="00CB4D4B"/>
    <w:rsid w:val="00CB5B3F"/>
    <w:rsid w:val="00CC6536"/>
    <w:rsid w:val="00CE7853"/>
    <w:rsid w:val="00CF2159"/>
    <w:rsid w:val="00D01BC8"/>
    <w:rsid w:val="00D0640C"/>
    <w:rsid w:val="00D106A2"/>
    <w:rsid w:val="00D15548"/>
    <w:rsid w:val="00D223E5"/>
    <w:rsid w:val="00D33508"/>
    <w:rsid w:val="00D375BD"/>
    <w:rsid w:val="00D414DF"/>
    <w:rsid w:val="00D5298B"/>
    <w:rsid w:val="00D537F5"/>
    <w:rsid w:val="00D542E2"/>
    <w:rsid w:val="00D54888"/>
    <w:rsid w:val="00D62239"/>
    <w:rsid w:val="00D634A1"/>
    <w:rsid w:val="00D907E5"/>
    <w:rsid w:val="00D91B1B"/>
    <w:rsid w:val="00DA2646"/>
    <w:rsid w:val="00DB7C01"/>
    <w:rsid w:val="00DC38FD"/>
    <w:rsid w:val="00DC69FA"/>
    <w:rsid w:val="00DD44B7"/>
    <w:rsid w:val="00DD664C"/>
    <w:rsid w:val="00DE677B"/>
    <w:rsid w:val="00DE76AB"/>
    <w:rsid w:val="00DF453C"/>
    <w:rsid w:val="00DF6BFE"/>
    <w:rsid w:val="00E02F7E"/>
    <w:rsid w:val="00E16032"/>
    <w:rsid w:val="00E16AF8"/>
    <w:rsid w:val="00E24214"/>
    <w:rsid w:val="00E405DF"/>
    <w:rsid w:val="00E44B7B"/>
    <w:rsid w:val="00E45702"/>
    <w:rsid w:val="00E538C4"/>
    <w:rsid w:val="00E652B7"/>
    <w:rsid w:val="00E66F20"/>
    <w:rsid w:val="00E85202"/>
    <w:rsid w:val="00E93011"/>
    <w:rsid w:val="00E94B46"/>
    <w:rsid w:val="00EA51A0"/>
    <w:rsid w:val="00EA73F8"/>
    <w:rsid w:val="00EB2C35"/>
    <w:rsid w:val="00EE62A3"/>
    <w:rsid w:val="00EF6E2F"/>
    <w:rsid w:val="00F02415"/>
    <w:rsid w:val="00F03EE3"/>
    <w:rsid w:val="00F04277"/>
    <w:rsid w:val="00F06B8A"/>
    <w:rsid w:val="00F06DC8"/>
    <w:rsid w:val="00F0749B"/>
    <w:rsid w:val="00F078E5"/>
    <w:rsid w:val="00F22F96"/>
    <w:rsid w:val="00F66BD7"/>
    <w:rsid w:val="00FB349D"/>
    <w:rsid w:val="00FB35EB"/>
    <w:rsid w:val="00FC2A61"/>
    <w:rsid w:val="00FC2BD1"/>
    <w:rsid w:val="00FE44A4"/>
    <w:rsid w:val="00FE48B0"/>
    <w:rsid w:val="00FE78D1"/>
    <w:rsid w:val="00FF2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88B13F"/>
  <w15:chartTrackingRefBased/>
  <w15:docId w15:val="{3FA2B4D0-634B-4AF1-9D54-C30B4D7F4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3B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BB8"/>
  </w:style>
  <w:style w:type="paragraph" w:styleId="Footer">
    <w:name w:val="footer"/>
    <w:basedOn w:val="Normal"/>
    <w:link w:val="FooterChar"/>
    <w:uiPriority w:val="99"/>
    <w:unhideWhenUsed/>
    <w:rsid w:val="00BB3B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BB8"/>
  </w:style>
  <w:style w:type="paragraph" w:styleId="FootnoteText">
    <w:name w:val="footnote text"/>
    <w:basedOn w:val="Normal"/>
    <w:link w:val="FootnoteTextChar"/>
    <w:uiPriority w:val="99"/>
    <w:unhideWhenUsed/>
    <w:rsid w:val="00424A2C"/>
    <w:pPr>
      <w:spacing w:after="0" w:line="240" w:lineRule="auto"/>
    </w:pPr>
    <w:rPr>
      <w:sz w:val="20"/>
      <w:szCs w:val="20"/>
    </w:rPr>
  </w:style>
  <w:style w:type="character" w:customStyle="1" w:styleId="FootnoteTextChar">
    <w:name w:val="Footnote Text Char"/>
    <w:basedOn w:val="DefaultParagraphFont"/>
    <w:link w:val="FootnoteText"/>
    <w:uiPriority w:val="99"/>
    <w:rsid w:val="00424A2C"/>
    <w:rPr>
      <w:sz w:val="20"/>
      <w:szCs w:val="20"/>
    </w:rPr>
  </w:style>
  <w:style w:type="character" w:styleId="FootnoteReference">
    <w:name w:val="footnote reference"/>
    <w:basedOn w:val="DefaultParagraphFont"/>
    <w:uiPriority w:val="99"/>
    <w:semiHidden/>
    <w:unhideWhenUsed/>
    <w:rsid w:val="00424A2C"/>
    <w:rPr>
      <w:vertAlign w:val="superscript"/>
    </w:rPr>
  </w:style>
  <w:style w:type="character" w:styleId="Hyperlink">
    <w:name w:val="Hyperlink"/>
    <w:basedOn w:val="DefaultParagraphFont"/>
    <w:uiPriority w:val="99"/>
    <w:unhideWhenUsed/>
    <w:rsid w:val="00597825"/>
    <w:rPr>
      <w:color w:val="0000FF"/>
      <w:u w:val="single"/>
    </w:rPr>
  </w:style>
  <w:style w:type="character" w:styleId="UnresolvedMention">
    <w:name w:val="Unresolved Mention"/>
    <w:basedOn w:val="DefaultParagraphFont"/>
    <w:uiPriority w:val="99"/>
    <w:semiHidden/>
    <w:unhideWhenUsed/>
    <w:rsid w:val="005978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Mishna"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topic/Mishn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06A86E-03DE-4219-AF56-E91D1B682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1831</TotalTime>
  <Pages>10</Pages>
  <Words>2710</Words>
  <Characters>14497</Characters>
  <Application>Microsoft Office Word</Application>
  <DocSecurity>0</DocSecurity>
  <Lines>212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dc:creator>
  <cp:keywords/>
  <dc:description/>
  <cp:lastModifiedBy>Alison Forbes</cp:lastModifiedBy>
  <cp:revision>336</cp:revision>
  <dcterms:created xsi:type="dcterms:W3CDTF">2020-06-10T09:02:00Z</dcterms:created>
  <dcterms:modified xsi:type="dcterms:W3CDTF">2020-06-12T12:01:00Z</dcterms:modified>
</cp:coreProperties>
</file>