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color w:val="auto"/>
        </w:rPr>
      </w:sdtEndPr>
      <w:sdtContent>
        <w:p w14:paraId="78ACA379" w14:textId="77777777" w:rsidR="007D1947" w:rsidRPr="00AE3CFC" w:rsidRDefault="007D1947" w:rsidP="004A79E7">
          <w:pPr>
            <w:pStyle w:val="NoSpacing"/>
            <w:spacing w:before="1540" w:after="240" w:line="360" w:lineRule="auto"/>
            <w:jc w:val="center"/>
            <w:rPr>
              <w:rFonts w:ascii="Times New Roman" w:hAnsi="Times New Roman" w:cs="Times New Roman"/>
              <w:color w:val="5B9BD5" w:themeColor="accent1"/>
            </w:rPr>
          </w:pPr>
          <w:r w:rsidRPr="00AE3CFC">
            <w:rPr>
              <w:rFonts w:ascii="Times New Roman" w:hAnsi="Times New Roman" w:cs="Times New Roman"/>
              <w:noProof/>
              <w:color w:val="5B9BD5" w:themeColor="accent1"/>
              <w:lang w:val="en-IN" w:eastAsia="en-IN"/>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13E8F1" w14:textId="77777777" w:rsidR="004A79E7" w:rsidRPr="00AE3CFC" w:rsidRDefault="004A79E7" w:rsidP="004A79E7">
          <w:pPr>
            <w:pStyle w:val="NoSpacing"/>
            <w:spacing w:line="360" w:lineRule="auto"/>
            <w:jc w:val="center"/>
            <w:rPr>
              <w:rFonts w:ascii="Times New Roman" w:eastAsiaTheme="majorEastAsia" w:hAnsi="Times New Roman" w:cs="Times New Roman"/>
              <w:caps/>
              <w:color w:val="5B9BD5" w:themeColor="accent1"/>
              <w:sz w:val="72"/>
              <w:szCs w:val="72"/>
            </w:rPr>
          </w:pPr>
          <w:r w:rsidRPr="00AE3CFC">
            <w:rPr>
              <w:rFonts w:ascii="Times New Roman" w:eastAsiaTheme="majorEastAsia" w:hAnsi="Times New Roman" w:cs="Times New Roman"/>
              <w:caps/>
              <w:color w:val="5B9BD5" w:themeColor="accent1"/>
              <w:sz w:val="72"/>
              <w:szCs w:val="72"/>
            </w:rPr>
            <w:t>FINANCIAL MANAGEMENT FOR THE HOTEL INDUSTRY</w:t>
          </w:r>
        </w:p>
        <w:p w14:paraId="65B5E730" w14:textId="2922FB7F" w:rsidR="007D1947" w:rsidRPr="00270DB3" w:rsidRDefault="004A79E7" w:rsidP="004A79E7">
          <w:pPr>
            <w:pStyle w:val="NoSpacing"/>
            <w:spacing w:line="360" w:lineRule="auto"/>
            <w:jc w:val="center"/>
            <w:rPr>
              <w:rFonts w:ascii="Times New Roman" w:hAnsi="Times New Roman" w:cs="Times New Roman"/>
              <w:color w:val="FF0000"/>
              <w:sz w:val="40"/>
              <w:szCs w:val="40"/>
            </w:rPr>
          </w:pPr>
          <w:r w:rsidRPr="00270DB3">
            <w:rPr>
              <w:rFonts w:ascii="Times New Roman" w:hAnsi="Times New Roman" w:cs="Times New Roman"/>
              <w:color w:val="FF0000"/>
              <w:sz w:val="40"/>
              <w:szCs w:val="40"/>
            </w:rPr>
            <w:t>Marriot International</w:t>
          </w:r>
        </w:p>
        <w:p w14:paraId="0E730CFC" w14:textId="63D41E1C" w:rsidR="007D1947" w:rsidRPr="00AE3CFC" w:rsidRDefault="007D1947" w:rsidP="004A79E7">
          <w:pPr>
            <w:pStyle w:val="NoSpacing"/>
            <w:spacing w:before="480" w:line="360" w:lineRule="auto"/>
            <w:jc w:val="center"/>
            <w:rPr>
              <w:rFonts w:ascii="Times New Roman" w:hAnsi="Times New Roman" w:cs="Times New Roman"/>
              <w:color w:val="5B9BD5" w:themeColor="accent1"/>
            </w:rPr>
          </w:pPr>
          <w:r w:rsidRPr="00AE3CFC">
            <w:rPr>
              <w:rFonts w:ascii="Times New Roman" w:hAnsi="Times New Roman" w:cs="Times New Roman"/>
              <w:noProof/>
              <w:color w:val="5B9BD5" w:themeColor="accent1"/>
              <w:lang w:val="en-IN" w:eastAsia="en-IN"/>
            </w:rPr>
            <w:drawing>
              <wp:inline distT="0" distB="0" distL="0" distR="0" wp14:anchorId="37090206" wp14:editId="062CDD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5B93F54E" w:rsidR="007D1947" w:rsidRPr="00AE3CFC" w:rsidRDefault="00270DB3" w:rsidP="004A79E7">
          <w:pPr>
            <w:pStyle w:val="Heading1"/>
            <w:spacing w:line="360" w:lineRule="auto"/>
            <w:rPr>
              <w:rFonts w:ascii="Times New Roman" w:hAnsi="Times New Roman" w:cs="Times New Roman"/>
            </w:rPr>
          </w:pPr>
          <w:r w:rsidRPr="00AE3CFC">
            <w:rPr>
              <w:rFonts w:ascii="Times New Roman" w:hAnsi="Times New Roman" w:cs="Times New Roman"/>
              <w:noProof/>
              <w:color w:val="5B9BD5" w:themeColor="accent1"/>
              <w:lang w:val="en-IN" w:eastAsia="en-IN"/>
            </w:rPr>
            <mc:AlternateContent>
              <mc:Choice Requires="wps">
                <w:drawing>
                  <wp:anchor distT="0" distB="0" distL="114300" distR="114300" simplePos="0" relativeHeight="251658240" behindDoc="0" locked="0" layoutInCell="1" allowOverlap="1" wp14:anchorId="42DF9E28" wp14:editId="7F9A08ED">
                    <wp:simplePos x="0" y="0"/>
                    <wp:positionH relativeFrom="margin">
                      <wp:posOffset>-6416</wp:posOffset>
                    </wp:positionH>
                    <wp:positionV relativeFrom="page">
                      <wp:posOffset>6699651</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31C0A" w14:textId="2D8356FE" w:rsidR="007D1947" w:rsidRPr="00270DB3" w:rsidRDefault="00AA67CC" w:rsidP="00270DB3">
                                <w:pPr>
                                  <w:pStyle w:val="NoSpacing"/>
                                  <w:spacing w:after="40"/>
                                  <w:jc w:val="center"/>
                                  <w:rPr>
                                    <w:caps/>
                                    <w:color w:val="FF0000"/>
                                    <w:sz w:val="36"/>
                                    <w:szCs w:val="36"/>
                                  </w:rPr>
                                </w:pPr>
                                <w:r w:rsidRPr="00270DB3">
                                  <w:rPr>
                                    <w:caps/>
                                    <w:color w:val="FF0000"/>
                                    <w:sz w:val="36"/>
                                    <w:szCs w:val="36"/>
                                  </w:rPr>
                                  <w:t>Name: Abdul Mannan</w:t>
                                </w:r>
                              </w:p>
                              <w:p w14:paraId="22AD24AB" w14:textId="1C8B006C" w:rsidR="00AA67CC" w:rsidRPr="00270DB3" w:rsidRDefault="00AA67CC" w:rsidP="00270DB3">
                                <w:pPr>
                                  <w:pStyle w:val="NoSpacing"/>
                                  <w:spacing w:after="40"/>
                                  <w:jc w:val="center"/>
                                  <w:rPr>
                                    <w:caps/>
                                    <w:color w:val="FF0000"/>
                                    <w:sz w:val="36"/>
                                    <w:szCs w:val="36"/>
                                  </w:rPr>
                                </w:pPr>
                                <w:r w:rsidRPr="00270DB3">
                                  <w:rPr>
                                    <w:caps/>
                                    <w:color w:val="FF0000"/>
                                    <w:sz w:val="36"/>
                                    <w:szCs w:val="36"/>
                                  </w:rPr>
                                  <w:t>ID: 2009122</w:t>
                                </w:r>
                              </w:p>
                              <w:p w14:paraId="1B9C0242" w14:textId="1C5E4B64" w:rsidR="00AA67CC" w:rsidRPr="00270DB3" w:rsidRDefault="00AA67CC" w:rsidP="00270DB3">
                                <w:pPr>
                                  <w:pStyle w:val="NoSpacing"/>
                                  <w:spacing w:after="40"/>
                                  <w:jc w:val="center"/>
                                  <w:rPr>
                                    <w:caps/>
                                    <w:color w:val="FF0000"/>
                                    <w:sz w:val="36"/>
                                    <w:szCs w:val="36"/>
                                  </w:rPr>
                                </w:pPr>
                                <w:r w:rsidRPr="00270DB3">
                                  <w:rPr>
                                    <w:caps/>
                                    <w:color w:val="FF0000"/>
                                    <w:sz w:val="36"/>
                                    <w:szCs w:val="36"/>
                                  </w:rPr>
                                  <w:t xml:space="preserve">Tutor: </w:t>
                                </w:r>
                                <w:r w:rsidR="00270DB3" w:rsidRPr="00270DB3">
                                  <w:rPr>
                                    <w:caps/>
                                    <w:color w:val="FF0000"/>
                                    <w:sz w:val="36"/>
                                    <w:szCs w:val="36"/>
                                  </w:rPr>
                                  <w:t>Christopher</w:t>
                                </w:r>
                                <w:r w:rsidRPr="00270DB3">
                                  <w:rPr>
                                    <w:caps/>
                                    <w:color w:val="FF0000"/>
                                    <w:sz w:val="36"/>
                                    <w:szCs w:val="36"/>
                                  </w:rPr>
                                  <w:t xml:space="preserve"> </w:t>
                                </w:r>
                                <w:r w:rsidR="00270DB3" w:rsidRPr="00270DB3">
                                  <w:rPr>
                                    <w:caps/>
                                    <w:color w:val="FF0000"/>
                                    <w:sz w:val="36"/>
                                    <w:szCs w:val="36"/>
                                  </w:rPr>
                                  <w:t>Wilkins</w:t>
                                </w:r>
                              </w:p>
                              <w:p w14:paraId="0639A458" w14:textId="41E697A5" w:rsidR="00270DB3" w:rsidRPr="00270DB3" w:rsidRDefault="00270DB3" w:rsidP="00270DB3">
                                <w:pPr>
                                  <w:pStyle w:val="NoSpacing"/>
                                  <w:spacing w:after="40"/>
                                  <w:jc w:val="center"/>
                                  <w:rPr>
                                    <w:caps/>
                                    <w:color w:val="FF0000"/>
                                    <w:sz w:val="36"/>
                                    <w:szCs w:val="36"/>
                                  </w:rPr>
                                </w:pPr>
                                <w:r w:rsidRPr="00270DB3">
                                  <w:rPr>
                                    <w:caps/>
                                    <w:color w:val="FF0000"/>
                                    <w:sz w:val="36"/>
                                    <w:szCs w:val="36"/>
                                  </w:rPr>
                                  <w:t>date: 9/12/22</w:t>
                                </w:r>
                              </w:p>
                              <w:p w14:paraId="53078492" w14:textId="42587D0C" w:rsidR="007D1947" w:rsidRDefault="00000000" w:rsidP="00270DB3">
                                <w:pPr>
                                  <w:pStyle w:val="NoSpacing"/>
                                  <w:jc w:val="center"/>
                                  <w:rPr>
                                    <w:color w:val="5B9BD5" w:themeColor="accent1"/>
                                  </w:rPr>
                                </w:pPr>
                                <w:sdt>
                                  <w:sdtPr>
                                    <w:rPr>
                                      <w:caps/>
                                      <w:color w:val="5B9BD5" w:themeColor="accent1"/>
                                    </w:rPr>
                                    <w:alias w:val="Company"/>
                                    <w:tag w:val=""/>
                                    <w:id w:val="625658448"/>
                                    <w:showingPlcHdr/>
                                    <w:dataBinding w:prefixMappings="xmlns:ns0='http://schemas.openxmlformats.org/officeDocument/2006/extended-properties' " w:xpath="/ns0:Properties[1]/ns0:Company[1]" w:storeItemID="{6668398D-A668-4E3E-A5EB-62B293D839F1}"/>
                                    <w:text/>
                                  </w:sdtPr>
                                  <w:sdtContent>
                                    <w:r w:rsidR="00BC4E30">
                                      <w:rPr>
                                        <w:caps/>
                                        <w:color w:val="5B9BD5" w:themeColor="accent1"/>
                                      </w:rPr>
                                      <w:t xml:space="preserve">     </w:t>
                                    </w:r>
                                  </w:sdtContent>
                                </w:sdt>
                              </w:p>
                              <w:p w14:paraId="6275C62E" w14:textId="77777777" w:rsidR="007D1947" w:rsidRDefault="00000000" w:rsidP="00270DB3">
                                <w:pPr>
                                  <w:pStyle w:val="NoSpacing"/>
                                  <w:jc w:val="center"/>
                                  <w:rPr>
                                    <w:color w:val="5B9BD5" w:themeColor="accent1"/>
                                  </w:rPr>
                                </w:pPr>
                                <w:sdt>
                                  <w:sdtPr>
                                    <w:rPr>
                                      <w:color w:val="5B9BD5" w:themeColor="accent1"/>
                                    </w:rPr>
                                    <w:alias w:val="Address"/>
                                    <w:tag w:val=""/>
                                    <w:id w:val="-865902182"/>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margin-left:-.5pt;margin-top:527.5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" filled="f" stroked="f" strokeweight=".5pt">
                    <v:textbox style="mso-fit-shape-to-text:t" inset="0,0,0,0">
                      <w:txbxContent>
                        <w:p w14:paraId="58731C0A" w14:textId="2D8356FE" w:rsidR="007D1947" w:rsidRPr="00270DB3" w:rsidRDefault="00AA67CC" w:rsidP="00270DB3">
                          <w:pPr>
                            <w:pStyle w:val="NoSpacing"/>
                            <w:spacing w:after="40"/>
                            <w:jc w:val="center"/>
                            <w:rPr>
                              <w:caps/>
                              <w:color w:val="FF0000"/>
                              <w:sz w:val="36"/>
                              <w:szCs w:val="36"/>
                            </w:rPr>
                          </w:pPr>
                          <w:r w:rsidRPr="00270DB3">
                            <w:rPr>
                              <w:caps/>
                              <w:color w:val="FF0000"/>
                              <w:sz w:val="36"/>
                              <w:szCs w:val="36"/>
                            </w:rPr>
                            <w:t>Name: Abdul Mannan</w:t>
                          </w:r>
                        </w:p>
                        <w:p w14:paraId="22AD24AB" w14:textId="1C8B006C" w:rsidR="00AA67CC" w:rsidRPr="00270DB3" w:rsidRDefault="00AA67CC" w:rsidP="00270DB3">
                          <w:pPr>
                            <w:pStyle w:val="NoSpacing"/>
                            <w:spacing w:after="40"/>
                            <w:jc w:val="center"/>
                            <w:rPr>
                              <w:caps/>
                              <w:color w:val="FF0000"/>
                              <w:sz w:val="36"/>
                              <w:szCs w:val="36"/>
                            </w:rPr>
                          </w:pPr>
                          <w:r w:rsidRPr="00270DB3">
                            <w:rPr>
                              <w:caps/>
                              <w:color w:val="FF0000"/>
                              <w:sz w:val="36"/>
                              <w:szCs w:val="36"/>
                            </w:rPr>
                            <w:t>ID: 2009122</w:t>
                          </w:r>
                        </w:p>
                        <w:p w14:paraId="1B9C0242" w14:textId="1C5E4B64" w:rsidR="00AA67CC" w:rsidRPr="00270DB3" w:rsidRDefault="00AA67CC" w:rsidP="00270DB3">
                          <w:pPr>
                            <w:pStyle w:val="NoSpacing"/>
                            <w:spacing w:after="40"/>
                            <w:jc w:val="center"/>
                            <w:rPr>
                              <w:caps/>
                              <w:color w:val="FF0000"/>
                              <w:sz w:val="36"/>
                              <w:szCs w:val="36"/>
                            </w:rPr>
                          </w:pPr>
                          <w:r w:rsidRPr="00270DB3">
                            <w:rPr>
                              <w:caps/>
                              <w:color w:val="FF0000"/>
                              <w:sz w:val="36"/>
                              <w:szCs w:val="36"/>
                            </w:rPr>
                            <w:t xml:space="preserve">Tutor: </w:t>
                          </w:r>
                          <w:r w:rsidR="00270DB3" w:rsidRPr="00270DB3">
                            <w:rPr>
                              <w:caps/>
                              <w:color w:val="FF0000"/>
                              <w:sz w:val="36"/>
                              <w:szCs w:val="36"/>
                            </w:rPr>
                            <w:t>Christopher</w:t>
                          </w:r>
                          <w:r w:rsidRPr="00270DB3">
                            <w:rPr>
                              <w:caps/>
                              <w:color w:val="FF0000"/>
                              <w:sz w:val="36"/>
                              <w:szCs w:val="36"/>
                            </w:rPr>
                            <w:t xml:space="preserve"> </w:t>
                          </w:r>
                          <w:r w:rsidR="00270DB3" w:rsidRPr="00270DB3">
                            <w:rPr>
                              <w:caps/>
                              <w:color w:val="FF0000"/>
                              <w:sz w:val="36"/>
                              <w:szCs w:val="36"/>
                            </w:rPr>
                            <w:t>Wilkins</w:t>
                          </w:r>
                        </w:p>
                        <w:p w14:paraId="0639A458" w14:textId="41E697A5" w:rsidR="00270DB3" w:rsidRPr="00270DB3" w:rsidRDefault="00270DB3" w:rsidP="00270DB3">
                          <w:pPr>
                            <w:pStyle w:val="NoSpacing"/>
                            <w:spacing w:after="40"/>
                            <w:jc w:val="center"/>
                            <w:rPr>
                              <w:caps/>
                              <w:color w:val="FF0000"/>
                              <w:sz w:val="36"/>
                              <w:szCs w:val="36"/>
                            </w:rPr>
                          </w:pPr>
                          <w:r w:rsidRPr="00270DB3">
                            <w:rPr>
                              <w:caps/>
                              <w:color w:val="FF0000"/>
                              <w:sz w:val="36"/>
                              <w:szCs w:val="36"/>
                            </w:rPr>
                            <w:t>date: 9/12/22</w:t>
                          </w:r>
                        </w:p>
                        <w:p w14:paraId="53078492" w14:textId="42587D0C" w:rsidR="007D1947" w:rsidRDefault="00000000" w:rsidP="00270DB3">
                          <w:pPr>
                            <w:pStyle w:val="NoSpacing"/>
                            <w:jc w:val="center"/>
                            <w:rPr>
                              <w:color w:val="5B9BD5" w:themeColor="accent1"/>
                            </w:rPr>
                          </w:pPr>
                          <w:sdt>
                            <w:sdtPr>
                              <w:rPr>
                                <w:caps/>
                                <w:color w:val="5B9BD5" w:themeColor="accent1"/>
                              </w:rPr>
                              <w:alias w:val="Company"/>
                              <w:tag w:val=""/>
                              <w:id w:val="625658448"/>
                              <w:showingPlcHdr/>
                              <w:dataBinding w:prefixMappings="xmlns:ns0='http://schemas.openxmlformats.org/officeDocument/2006/extended-properties' " w:xpath="/ns0:Properties[1]/ns0:Company[1]" w:storeItemID="{6668398D-A668-4E3E-A5EB-62B293D839F1}"/>
                              <w:text/>
                            </w:sdtPr>
                            <w:sdtContent>
                              <w:r w:rsidR="00BC4E30">
                                <w:rPr>
                                  <w:caps/>
                                  <w:color w:val="5B9BD5" w:themeColor="accent1"/>
                                </w:rPr>
                                <w:t xml:space="preserve">     </w:t>
                              </w:r>
                            </w:sdtContent>
                          </w:sdt>
                        </w:p>
                        <w:p w14:paraId="6275C62E" w14:textId="77777777" w:rsidR="007D1947" w:rsidRDefault="00000000" w:rsidP="00270DB3">
                          <w:pPr>
                            <w:pStyle w:val="NoSpacing"/>
                            <w:jc w:val="center"/>
                            <w:rPr>
                              <w:color w:val="5B9BD5" w:themeColor="accent1"/>
                            </w:rPr>
                          </w:pPr>
                          <w:sdt>
                            <w:sdtPr>
                              <w:rPr>
                                <w:color w:val="5B9BD5" w:themeColor="accent1"/>
                              </w:rPr>
                              <w:alias w:val="Address"/>
                              <w:tag w:val=""/>
                              <w:id w:val="-865902182"/>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rsidRPr="00AE3CFC">
            <w:rPr>
              <w:rFonts w:ascii="Times New Roman" w:hAnsi="Times New Roman" w:cs="Times New Roman"/>
            </w:rPr>
            <w:br w:type="page"/>
          </w:r>
          <w:bookmarkStart w:id="0" w:name="_Toc120541000"/>
          <w:r w:rsidR="007D1947" w:rsidRPr="00AE3CFC">
            <w:rPr>
              <w:rFonts w:ascii="Times New Roman" w:hAnsi="Times New Roman" w:cs="Times New Roman"/>
            </w:rPr>
            <w:lastRenderedPageBreak/>
            <w:t>Executive Summary</w:t>
          </w:r>
          <w:bookmarkEnd w:id="0"/>
        </w:p>
        <w:p w14:paraId="46F14963" w14:textId="67636DD2" w:rsidR="007D1947" w:rsidRPr="00AE3CFC" w:rsidRDefault="00F96BA9" w:rsidP="004A79E7">
          <w:pPr>
            <w:spacing w:line="360" w:lineRule="auto"/>
            <w:jc w:val="both"/>
            <w:rPr>
              <w:rFonts w:ascii="Times New Roman" w:hAnsi="Times New Roman" w:cs="Times New Roman"/>
            </w:rPr>
          </w:pPr>
          <w:r w:rsidRPr="00AE3CFC">
            <w:rPr>
              <w:rFonts w:ascii="Times New Roman" w:hAnsi="Times New Roman" w:cs="Times New Roman"/>
            </w:rPr>
            <w:t xml:space="preserve">The present report describes the financial aspect of Marriott International. This can be said that the organisation is a profitable one. Its client base all around the globe has made the organisation more financially stable and solvent. As per the report, it is clear that the organisation has a wide range of </w:t>
          </w:r>
          <w:r w:rsidR="004016E1" w:rsidRPr="00AE3CFC">
            <w:rPr>
              <w:rFonts w:ascii="Times New Roman" w:hAnsi="Times New Roman" w:cs="Times New Roman"/>
            </w:rPr>
            <w:t>services which is the reason behind the huge customer base.</w:t>
          </w:r>
        </w:p>
        <w:p w14:paraId="319933FB" w14:textId="77777777" w:rsidR="007D1947" w:rsidRPr="00AE3CFC" w:rsidRDefault="007D1947" w:rsidP="004A79E7">
          <w:pPr>
            <w:spacing w:line="360" w:lineRule="auto"/>
            <w:rPr>
              <w:rFonts w:ascii="Times New Roman" w:hAnsi="Times New Roman" w:cs="Times New Roman"/>
            </w:rPr>
          </w:pPr>
        </w:p>
        <w:p w14:paraId="5D6BF5EE" w14:textId="77777777" w:rsidR="007D1947" w:rsidRPr="00AE3CFC" w:rsidRDefault="007D1947" w:rsidP="004A79E7">
          <w:pPr>
            <w:spacing w:line="360" w:lineRule="auto"/>
            <w:rPr>
              <w:rFonts w:ascii="Times New Roman" w:hAnsi="Times New Roman" w:cs="Times New Roman"/>
            </w:rPr>
          </w:pPr>
        </w:p>
        <w:p w14:paraId="11C68BD2" w14:textId="77777777" w:rsidR="007D1947" w:rsidRPr="00AE3CFC" w:rsidRDefault="007D1947" w:rsidP="004A79E7">
          <w:pPr>
            <w:spacing w:line="360" w:lineRule="auto"/>
            <w:rPr>
              <w:rFonts w:ascii="Times New Roman" w:hAnsi="Times New Roman" w:cs="Times New Roman"/>
            </w:rPr>
          </w:pPr>
        </w:p>
        <w:p w14:paraId="08EEC166" w14:textId="77777777" w:rsidR="007D1947" w:rsidRPr="00AE3CFC" w:rsidRDefault="007D1947" w:rsidP="004A79E7">
          <w:pPr>
            <w:spacing w:line="360" w:lineRule="auto"/>
            <w:rPr>
              <w:rFonts w:ascii="Times New Roman" w:hAnsi="Times New Roman" w:cs="Times New Roman"/>
            </w:rPr>
          </w:pPr>
        </w:p>
        <w:p w14:paraId="4A7E0BD1" w14:textId="77777777" w:rsidR="007D1947" w:rsidRPr="00AE3CFC" w:rsidRDefault="007D1947" w:rsidP="004A79E7">
          <w:pPr>
            <w:spacing w:line="360" w:lineRule="auto"/>
            <w:rPr>
              <w:rFonts w:ascii="Times New Roman" w:hAnsi="Times New Roman" w:cs="Times New Roman"/>
            </w:rPr>
          </w:pPr>
        </w:p>
        <w:p w14:paraId="60983FBE" w14:textId="77777777" w:rsidR="007D1947" w:rsidRPr="00AE3CFC" w:rsidRDefault="007D1947" w:rsidP="004A79E7">
          <w:pPr>
            <w:spacing w:line="360" w:lineRule="auto"/>
            <w:rPr>
              <w:rFonts w:ascii="Times New Roman" w:hAnsi="Times New Roman" w:cs="Times New Roman"/>
            </w:rPr>
          </w:pPr>
        </w:p>
        <w:p w14:paraId="4BD24EAA" w14:textId="77777777" w:rsidR="007D1947" w:rsidRPr="00AE3CFC" w:rsidRDefault="007D1947" w:rsidP="004A79E7">
          <w:pPr>
            <w:spacing w:line="360" w:lineRule="auto"/>
            <w:rPr>
              <w:rFonts w:ascii="Times New Roman" w:hAnsi="Times New Roman" w:cs="Times New Roman"/>
            </w:rPr>
          </w:pPr>
        </w:p>
        <w:p w14:paraId="5E20A626" w14:textId="77777777" w:rsidR="007D1947" w:rsidRPr="00AE3CFC" w:rsidRDefault="007D1947" w:rsidP="004A79E7">
          <w:pPr>
            <w:spacing w:line="360" w:lineRule="auto"/>
            <w:rPr>
              <w:rFonts w:ascii="Times New Roman" w:hAnsi="Times New Roman" w:cs="Times New Roman"/>
            </w:rPr>
          </w:pPr>
        </w:p>
        <w:p w14:paraId="2592EA34" w14:textId="77777777" w:rsidR="007D1947" w:rsidRPr="00AE3CFC" w:rsidRDefault="007D1947" w:rsidP="004A79E7">
          <w:pPr>
            <w:spacing w:line="360" w:lineRule="auto"/>
            <w:rPr>
              <w:rFonts w:ascii="Times New Roman" w:hAnsi="Times New Roman" w:cs="Times New Roman"/>
            </w:rPr>
          </w:pPr>
        </w:p>
        <w:p w14:paraId="102FA409" w14:textId="77777777" w:rsidR="007D1947" w:rsidRPr="00AE3CFC" w:rsidRDefault="007D1947" w:rsidP="004A79E7">
          <w:pPr>
            <w:spacing w:line="360" w:lineRule="auto"/>
            <w:rPr>
              <w:rFonts w:ascii="Times New Roman" w:hAnsi="Times New Roman" w:cs="Times New Roman"/>
            </w:rPr>
          </w:pPr>
        </w:p>
        <w:p w14:paraId="0EB4AA44" w14:textId="77777777" w:rsidR="007D1947" w:rsidRPr="00AE3CFC" w:rsidRDefault="007D1947" w:rsidP="004A79E7">
          <w:pPr>
            <w:spacing w:line="360" w:lineRule="auto"/>
            <w:rPr>
              <w:rFonts w:ascii="Times New Roman" w:hAnsi="Times New Roman" w:cs="Times New Roman"/>
            </w:rPr>
          </w:pPr>
        </w:p>
        <w:p w14:paraId="43F4A0A2" w14:textId="77777777" w:rsidR="007D1947" w:rsidRPr="00AE3CFC" w:rsidRDefault="007D1947" w:rsidP="004A79E7">
          <w:pPr>
            <w:spacing w:line="360" w:lineRule="auto"/>
            <w:rPr>
              <w:rFonts w:ascii="Times New Roman" w:hAnsi="Times New Roman" w:cs="Times New Roman"/>
            </w:rPr>
          </w:pPr>
        </w:p>
        <w:p w14:paraId="1AC34DF5" w14:textId="77777777" w:rsidR="007D1947" w:rsidRPr="00AE3CFC" w:rsidRDefault="007D1947" w:rsidP="004A79E7">
          <w:pPr>
            <w:spacing w:line="360" w:lineRule="auto"/>
            <w:rPr>
              <w:rFonts w:ascii="Times New Roman" w:hAnsi="Times New Roman" w:cs="Times New Roman"/>
            </w:rPr>
          </w:pPr>
        </w:p>
        <w:p w14:paraId="51926115" w14:textId="77777777" w:rsidR="007D1947" w:rsidRPr="00AE3CFC" w:rsidRDefault="007D1947" w:rsidP="004A79E7">
          <w:pPr>
            <w:spacing w:line="360" w:lineRule="auto"/>
            <w:rPr>
              <w:rFonts w:ascii="Times New Roman" w:hAnsi="Times New Roman" w:cs="Times New Roman"/>
            </w:rPr>
          </w:pPr>
        </w:p>
        <w:p w14:paraId="77A33B7E" w14:textId="77777777" w:rsidR="007D1947" w:rsidRPr="00AE3CFC" w:rsidRDefault="007D1947" w:rsidP="004A79E7">
          <w:pPr>
            <w:spacing w:line="360" w:lineRule="auto"/>
            <w:rPr>
              <w:rFonts w:ascii="Times New Roman" w:hAnsi="Times New Roman" w:cs="Times New Roman"/>
            </w:rPr>
          </w:pPr>
        </w:p>
        <w:p w14:paraId="4C2E3AF2" w14:textId="77777777" w:rsidR="007D1947" w:rsidRPr="00AE3CFC" w:rsidRDefault="007D1947" w:rsidP="004A79E7">
          <w:pPr>
            <w:spacing w:line="360" w:lineRule="auto"/>
            <w:rPr>
              <w:rFonts w:ascii="Times New Roman" w:hAnsi="Times New Roman" w:cs="Times New Roman"/>
            </w:rPr>
          </w:pPr>
        </w:p>
        <w:p w14:paraId="24983E97" w14:textId="77777777" w:rsidR="007D1947" w:rsidRPr="00AE3CFC" w:rsidRDefault="007D1947" w:rsidP="004A79E7">
          <w:pPr>
            <w:spacing w:line="360" w:lineRule="auto"/>
            <w:rPr>
              <w:rFonts w:ascii="Times New Roman" w:hAnsi="Times New Roman" w:cs="Times New Roman"/>
            </w:rPr>
          </w:pPr>
        </w:p>
        <w:p w14:paraId="7FA5F72D" w14:textId="77777777" w:rsidR="007D1947" w:rsidRPr="00AE3CFC" w:rsidRDefault="007D1947" w:rsidP="004A79E7">
          <w:pPr>
            <w:spacing w:line="360" w:lineRule="auto"/>
            <w:rPr>
              <w:rFonts w:ascii="Times New Roman" w:hAnsi="Times New Roman" w:cs="Times New Roman"/>
            </w:rPr>
          </w:pPr>
        </w:p>
        <w:p w14:paraId="1D086EC3" w14:textId="77777777" w:rsidR="007D1947" w:rsidRPr="00AE3CFC" w:rsidRDefault="007D1947" w:rsidP="004A79E7">
          <w:pPr>
            <w:spacing w:line="360" w:lineRule="auto"/>
            <w:rPr>
              <w:rFonts w:ascii="Times New Roman" w:hAnsi="Times New Roman" w:cs="Times New Roman"/>
            </w:rPr>
          </w:pPr>
        </w:p>
        <w:p w14:paraId="678DFA97" w14:textId="77777777" w:rsidR="007D1947" w:rsidRPr="00AE3CFC" w:rsidRDefault="007D1947" w:rsidP="004A79E7">
          <w:pPr>
            <w:spacing w:line="360" w:lineRule="auto"/>
            <w:rPr>
              <w:rFonts w:ascii="Times New Roman" w:hAnsi="Times New Roman" w:cs="Times New Roman"/>
            </w:rPr>
          </w:pPr>
        </w:p>
        <w:p w14:paraId="7D6F6414" w14:textId="1AB24049" w:rsidR="007D1947" w:rsidRPr="00AE3CFC" w:rsidRDefault="007D1947" w:rsidP="004A79E7">
          <w:pPr>
            <w:spacing w:line="360" w:lineRule="auto"/>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Pr="00AE3CFC" w:rsidRDefault="007D1947" w:rsidP="004A79E7">
              <w:pPr>
                <w:pStyle w:val="TOCHeading"/>
                <w:spacing w:line="360" w:lineRule="auto"/>
                <w:rPr>
                  <w:rFonts w:ascii="Times New Roman" w:hAnsi="Times New Roman" w:cs="Times New Roman"/>
                </w:rPr>
              </w:pPr>
              <w:r w:rsidRPr="00AE3CFC">
                <w:rPr>
                  <w:rFonts w:ascii="Times New Roman" w:hAnsi="Times New Roman" w:cs="Times New Roman"/>
                </w:rPr>
                <w:t>Table of Contents</w:t>
              </w:r>
            </w:p>
            <w:p w14:paraId="4CB9C7BB" w14:textId="77777777" w:rsidR="0052129F" w:rsidRPr="00AE3CFC" w:rsidRDefault="007D1947" w:rsidP="004A79E7">
              <w:pPr>
                <w:pStyle w:val="TOC1"/>
                <w:tabs>
                  <w:tab w:val="right" w:leader="dot" w:pos="9016"/>
                </w:tabs>
                <w:spacing w:line="360" w:lineRule="auto"/>
                <w:rPr>
                  <w:rFonts w:ascii="Times New Roman" w:eastAsiaTheme="minorEastAsia" w:hAnsi="Times New Roman" w:cs="Times New Roman"/>
                  <w:noProof/>
                  <w:lang w:val="en-IN" w:eastAsia="en-IN"/>
                </w:rPr>
              </w:pPr>
              <w:r w:rsidRPr="00AE3CFC">
                <w:rPr>
                  <w:rFonts w:ascii="Times New Roman" w:hAnsi="Times New Roman" w:cs="Times New Roman"/>
                </w:rPr>
                <w:fldChar w:fldCharType="begin"/>
              </w:r>
              <w:r w:rsidRPr="00AE3CFC">
                <w:rPr>
                  <w:rFonts w:ascii="Times New Roman" w:hAnsi="Times New Roman" w:cs="Times New Roman"/>
                </w:rPr>
                <w:instrText xml:space="preserve"> TOC \o "1-3" \h \z \u </w:instrText>
              </w:r>
              <w:r w:rsidRPr="00AE3CFC">
                <w:rPr>
                  <w:rFonts w:ascii="Times New Roman" w:hAnsi="Times New Roman" w:cs="Times New Roman"/>
                </w:rPr>
                <w:fldChar w:fldCharType="separate"/>
              </w:r>
              <w:hyperlink w:anchor="_Toc120541000" w:history="1">
                <w:r w:rsidR="0052129F" w:rsidRPr="00AE3CFC">
                  <w:rPr>
                    <w:rStyle w:val="Hyperlink"/>
                    <w:rFonts w:ascii="Times New Roman" w:hAnsi="Times New Roman" w:cs="Times New Roman"/>
                    <w:noProof/>
                  </w:rPr>
                  <w:t>Executive Summary</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_Toc120541000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1</w:t>
                </w:r>
                <w:r w:rsidR="0052129F" w:rsidRPr="00AE3CFC">
                  <w:rPr>
                    <w:rFonts w:ascii="Times New Roman" w:hAnsi="Times New Roman" w:cs="Times New Roman"/>
                    <w:noProof/>
                    <w:webHidden/>
                  </w:rPr>
                  <w:fldChar w:fldCharType="end"/>
                </w:r>
              </w:hyperlink>
            </w:p>
            <w:p w14:paraId="0E302229" w14:textId="77777777" w:rsidR="0052129F" w:rsidRPr="00AE3CFC" w:rsidRDefault="00000000" w:rsidP="004A79E7">
              <w:pPr>
                <w:pStyle w:val="TOC1"/>
                <w:tabs>
                  <w:tab w:val="right" w:leader="dot" w:pos="9016"/>
                </w:tabs>
                <w:spacing w:line="360" w:lineRule="auto"/>
                <w:rPr>
                  <w:rFonts w:ascii="Times New Roman" w:eastAsiaTheme="minorEastAsia" w:hAnsi="Times New Roman" w:cs="Times New Roman"/>
                  <w:noProof/>
                  <w:lang w:val="en-IN" w:eastAsia="en-IN"/>
                </w:rPr>
              </w:pPr>
              <w:hyperlink w:anchor="_Toc120541001" w:history="1">
                <w:r w:rsidR="0052129F" w:rsidRPr="00AE3CFC">
                  <w:rPr>
                    <w:rStyle w:val="Hyperlink"/>
                    <w:rFonts w:ascii="Times New Roman" w:hAnsi="Times New Roman" w:cs="Times New Roman"/>
                    <w:noProof/>
                  </w:rPr>
                  <w:t>Introduction</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_Toc120541001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3</w:t>
                </w:r>
                <w:r w:rsidR="0052129F" w:rsidRPr="00AE3CFC">
                  <w:rPr>
                    <w:rFonts w:ascii="Times New Roman" w:hAnsi="Times New Roman" w:cs="Times New Roman"/>
                    <w:noProof/>
                    <w:webHidden/>
                  </w:rPr>
                  <w:fldChar w:fldCharType="end"/>
                </w:r>
              </w:hyperlink>
            </w:p>
            <w:p w14:paraId="679B457A" w14:textId="77777777" w:rsidR="0052129F" w:rsidRPr="00AE3CFC" w:rsidRDefault="00000000" w:rsidP="004A79E7">
              <w:pPr>
                <w:pStyle w:val="TOC1"/>
                <w:tabs>
                  <w:tab w:val="right" w:leader="dot" w:pos="9016"/>
                </w:tabs>
                <w:spacing w:line="360" w:lineRule="auto"/>
                <w:rPr>
                  <w:rFonts w:ascii="Times New Roman" w:eastAsiaTheme="minorEastAsia" w:hAnsi="Times New Roman" w:cs="Times New Roman"/>
                  <w:noProof/>
                  <w:lang w:val="en-IN" w:eastAsia="en-IN"/>
                </w:rPr>
              </w:pPr>
              <w:hyperlink w:anchor="_Toc120541002" w:history="1">
                <w:r w:rsidR="0052129F" w:rsidRPr="00AE3CFC">
                  <w:rPr>
                    <w:rStyle w:val="Hyperlink"/>
                    <w:rFonts w:ascii="Times New Roman" w:hAnsi="Times New Roman" w:cs="Times New Roman"/>
                    <w:noProof/>
                  </w:rPr>
                  <w:t>Financial Analysis Trends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_Toc120541002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3</w:t>
                </w:r>
                <w:r w:rsidR="0052129F" w:rsidRPr="00AE3CFC">
                  <w:rPr>
                    <w:rFonts w:ascii="Times New Roman" w:hAnsi="Times New Roman" w:cs="Times New Roman"/>
                    <w:noProof/>
                    <w:webHidden/>
                  </w:rPr>
                  <w:fldChar w:fldCharType="end"/>
                </w:r>
              </w:hyperlink>
            </w:p>
            <w:p w14:paraId="4AC53735" w14:textId="77777777" w:rsidR="0052129F" w:rsidRPr="00AE3CFC" w:rsidRDefault="00000000" w:rsidP="004A79E7">
              <w:pPr>
                <w:pStyle w:val="TOC2"/>
                <w:tabs>
                  <w:tab w:val="right" w:leader="dot" w:pos="9016"/>
                </w:tabs>
                <w:spacing w:line="360" w:lineRule="auto"/>
                <w:rPr>
                  <w:rFonts w:ascii="Times New Roman" w:eastAsiaTheme="minorEastAsia" w:hAnsi="Times New Roman" w:cs="Times New Roman"/>
                  <w:noProof/>
                  <w:lang w:val="en-IN" w:eastAsia="en-IN"/>
                </w:rPr>
              </w:pPr>
              <w:hyperlink w:anchor="_Toc120541003" w:history="1">
                <w:r w:rsidR="0052129F" w:rsidRPr="00AE3CFC">
                  <w:rPr>
                    <w:rStyle w:val="Hyperlink"/>
                    <w:rFonts w:ascii="Times New Roman" w:hAnsi="Times New Roman" w:cs="Times New Roman"/>
                    <w:noProof/>
                  </w:rPr>
                  <w:t>Liquidity Ratios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_Toc120541003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3</w:t>
                </w:r>
                <w:r w:rsidR="0052129F" w:rsidRPr="00AE3CFC">
                  <w:rPr>
                    <w:rFonts w:ascii="Times New Roman" w:hAnsi="Times New Roman" w:cs="Times New Roman"/>
                    <w:noProof/>
                    <w:webHidden/>
                  </w:rPr>
                  <w:fldChar w:fldCharType="end"/>
                </w:r>
              </w:hyperlink>
            </w:p>
            <w:p w14:paraId="0AE3B696" w14:textId="77777777" w:rsidR="0052129F" w:rsidRPr="00AE3CFC" w:rsidRDefault="00000000" w:rsidP="004A79E7">
              <w:pPr>
                <w:pStyle w:val="TOC2"/>
                <w:tabs>
                  <w:tab w:val="right" w:leader="dot" w:pos="9016"/>
                </w:tabs>
                <w:spacing w:line="360" w:lineRule="auto"/>
                <w:rPr>
                  <w:rFonts w:ascii="Times New Roman" w:eastAsiaTheme="minorEastAsia" w:hAnsi="Times New Roman" w:cs="Times New Roman"/>
                  <w:noProof/>
                  <w:lang w:val="en-IN" w:eastAsia="en-IN"/>
                </w:rPr>
              </w:pPr>
              <w:hyperlink w:anchor="_Toc120541004" w:history="1">
                <w:r w:rsidR="0052129F" w:rsidRPr="00AE3CFC">
                  <w:rPr>
                    <w:rStyle w:val="Hyperlink"/>
                    <w:rFonts w:ascii="Times New Roman" w:hAnsi="Times New Roman" w:cs="Times New Roman"/>
                    <w:noProof/>
                  </w:rPr>
                  <w:t>Profitability Ratios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_Toc120541004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4</w:t>
                </w:r>
                <w:r w:rsidR="0052129F" w:rsidRPr="00AE3CFC">
                  <w:rPr>
                    <w:rFonts w:ascii="Times New Roman" w:hAnsi="Times New Roman" w:cs="Times New Roman"/>
                    <w:noProof/>
                    <w:webHidden/>
                  </w:rPr>
                  <w:fldChar w:fldCharType="end"/>
                </w:r>
              </w:hyperlink>
            </w:p>
            <w:p w14:paraId="5CE05329" w14:textId="77777777" w:rsidR="0052129F" w:rsidRPr="00AE3CFC" w:rsidRDefault="00000000" w:rsidP="004A79E7">
              <w:pPr>
                <w:pStyle w:val="TOC2"/>
                <w:tabs>
                  <w:tab w:val="right" w:leader="dot" w:pos="9016"/>
                </w:tabs>
                <w:spacing w:line="360" w:lineRule="auto"/>
                <w:rPr>
                  <w:rFonts w:ascii="Times New Roman" w:eastAsiaTheme="minorEastAsia" w:hAnsi="Times New Roman" w:cs="Times New Roman"/>
                  <w:noProof/>
                  <w:lang w:val="en-IN" w:eastAsia="en-IN"/>
                </w:rPr>
              </w:pPr>
              <w:hyperlink w:anchor="_Toc120541005" w:history="1">
                <w:r w:rsidR="0052129F" w:rsidRPr="00AE3CFC">
                  <w:rPr>
                    <w:rStyle w:val="Hyperlink"/>
                    <w:rFonts w:ascii="Times New Roman" w:hAnsi="Times New Roman" w:cs="Times New Roman"/>
                    <w:noProof/>
                  </w:rPr>
                  <w:t>Leverage Ratios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_Toc120541005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4</w:t>
                </w:r>
                <w:r w:rsidR="0052129F" w:rsidRPr="00AE3CFC">
                  <w:rPr>
                    <w:rFonts w:ascii="Times New Roman" w:hAnsi="Times New Roman" w:cs="Times New Roman"/>
                    <w:noProof/>
                    <w:webHidden/>
                  </w:rPr>
                  <w:fldChar w:fldCharType="end"/>
                </w:r>
              </w:hyperlink>
            </w:p>
            <w:p w14:paraId="24E32E5A" w14:textId="77777777" w:rsidR="0052129F" w:rsidRPr="00AE3CFC" w:rsidRDefault="00000000" w:rsidP="004A79E7">
              <w:pPr>
                <w:pStyle w:val="TOC1"/>
                <w:tabs>
                  <w:tab w:val="right" w:leader="dot" w:pos="9016"/>
                </w:tabs>
                <w:spacing w:line="360" w:lineRule="auto"/>
                <w:rPr>
                  <w:rFonts w:ascii="Times New Roman" w:eastAsiaTheme="minorEastAsia" w:hAnsi="Times New Roman" w:cs="Times New Roman"/>
                  <w:noProof/>
                  <w:lang w:val="en-IN" w:eastAsia="en-IN"/>
                </w:rPr>
              </w:pPr>
              <w:hyperlink w:anchor="_Toc120541006" w:history="1">
                <w:r w:rsidR="0052129F" w:rsidRPr="00AE3CFC">
                  <w:rPr>
                    <w:rStyle w:val="Hyperlink"/>
                    <w:rFonts w:ascii="Times New Roman" w:hAnsi="Times New Roman" w:cs="Times New Roman"/>
                    <w:noProof/>
                  </w:rPr>
                  <w:t>Knowledge from Ratio Analysis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_Toc120541006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6</w:t>
                </w:r>
                <w:r w:rsidR="0052129F" w:rsidRPr="00AE3CFC">
                  <w:rPr>
                    <w:rFonts w:ascii="Times New Roman" w:hAnsi="Times New Roman" w:cs="Times New Roman"/>
                    <w:noProof/>
                    <w:webHidden/>
                  </w:rPr>
                  <w:fldChar w:fldCharType="end"/>
                </w:r>
              </w:hyperlink>
            </w:p>
            <w:p w14:paraId="3A760019" w14:textId="77777777" w:rsidR="0052129F" w:rsidRPr="00AE3CFC" w:rsidRDefault="00000000" w:rsidP="004A79E7">
              <w:pPr>
                <w:pStyle w:val="TOC2"/>
                <w:tabs>
                  <w:tab w:val="right" w:leader="dot" w:pos="9016"/>
                </w:tabs>
                <w:spacing w:line="360" w:lineRule="auto"/>
                <w:rPr>
                  <w:rFonts w:ascii="Times New Roman" w:eastAsiaTheme="minorEastAsia" w:hAnsi="Times New Roman" w:cs="Times New Roman"/>
                  <w:noProof/>
                  <w:lang w:val="en-IN" w:eastAsia="en-IN"/>
                </w:rPr>
              </w:pPr>
              <w:hyperlink w:anchor="_Toc120541007" w:history="1">
                <w:r w:rsidR="0052129F" w:rsidRPr="00AE3CFC">
                  <w:rPr>
                    <w:rStyle w:val="Hyperlink"/>
                    <w:rFonts w:ascii="Times New Roman" w:hAnsi="Times New Roman" w:cs="Times New Roman"/>
                    <w:noProof/>
                  </w:rPr>
                  <w:t>Advantages of ratio analysis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_Toc120541007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6</w:t>
                </w:r>
                <w:r w:rsidR="0052129F" w:rsidRPr="00AE3CFC">
                  <w:rPr>
                    <w:rFonts w:ascii="Times New Roman" w:hAnsi="Times New Roman" w:cs="Times New Roman"/>
                    <w:noProof/>
                    <w:webHidden/>
                  </w:rPr>
                  <w:fldChar w:fldCharType="end"/>
                </w:r>
              </w:hyperlink>
            </w:p>
            <w:p w14:paraId="5BEE8AE8" w14:textId="77777777" w:rsidR="0052129F" w:rsidRPr="00AE3CFC" w:rsidRDefault="00000000" w:rsidP="004A79E7">
              <w:pPr>
                <w:pStyle w:val="TOC2"/>
                <w:tabs>
                  <w:tab w:val="right" w:leader="dot" w:pos="9016"/>
                </w:tabs>
                <w:spacing w:line="360" w:lineRule="auto"/>
                <w:rPr>
                  <w:rFonts w:ascii="Times New Roman" w:eastAsiaTheme="minorEastAsia" w:hAnsi="Times New Roman" w:cs="Times New Roman"/>
                  <w:noProof/>
                  <w:lang w:val="en-IN" w:eastAsia="en-IN"/>
                </w:rPr>
              </w:pPr>
              <w:hyperlink w:anchor="_Toc120541008" w:history="1">
                <w:r w:rsidR="0052129F" w:rsidRPr="00AE3CFC">
                  <w:rPr>
                    <w:rStyle w:val="Hyperlink"/>
                    <w:rFonts w:ascii="Times New Roman" w:hAnsi="Times New Roman" w:cs="Times New Roman"/>
                    <w:noProof/>
                  </w:rPr>
                  <w:t>Limitations of ratio analysis</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_Toc120541008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6</w:t>
                </w:r>
                <w:r w:rsidR="0052129F" w:rsidRPr="00AE3CFC">
                  <w:rPr>
                    <w:rFonts w:ascii="Times New Roman" w:hAnsi="Times New Roman" w:cs="Times New Roman"/>
                    <w:noProof/>
                    <w:webHidden/>
                  </w:rPr>
                  <w:fldChar w:fldCharType="end"/>
                </w:r>
              </w:hyperlink>
            </w:p>
            <w:p w14:paraId="6953DF97" w14:textId="77777777" w:rsidR="0052129F" w:rsidRPr="00AE3CFC" w:rsidRDefault="00000000" w:rsidP="004A79E7">
              <w:pPr>
                <w:pStyle w:val="TOC1"/>
                <w:tabs>
                  <w:tab w:val="right" w:leader="dot" w:pos="9016"/>
                </w:tabs>
                <w:spacing w:line="360" w:lineRule="auto"/>
                <w:rPr>
                  <w:rFonts w:ascii="Times New Roman" w:eastAsiaTheme="minorEastAsia" w:hAnsi="Times New Roman" w:cs="Times New Roman"/>
                  <w:noProof/>
                  <w:lang w:val="en-IN" w:eastAsia="en-IN"/>
                </w:rPr>
              </w:pPr>
              <w:hyperlink w:anchor="_Toc120541009" w:history="1">
                <w:r w:rsidR="0052129F" w:rsidRPr="00AE3CFC">
                  <w:rPr>
                    <w:rStyle w:val="Hyperlink"/>
                    <w:rFonts w:ascii="Times New Roman" w:hAnsi="Times New Roman" w:cs="Times New Roman"/>
                    <w:noProof/>
                  </w:rPr>
                  <w:t>Conclusion (average of 10% of word count)</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_Toc120541009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8</w:t>
                </w:r>
                <w:r w:rsidR="0052129F" w:rsidRPr="00AE3CFC">
                  <w:rPr>
                    <w:rFonts w:ascii="Times New Roman" w:hAnsi="Times New Roman" w:cs="Times New Roman"/>
                    <w:noProof/>
                    <w:webHidden/>
                  </w:rPr>
                  <w:fldChar w:fldCharType="end"/>
                </w:r>
              </w:hyperlink>
            </w:p>
            <w:p w14:paraId="51B5809E" w14:textId="77777777" w:rsidR="0052129F" w:rsidRPr="00AE3CFC" w:rsidRDefault="00000000" w:rsidP="004A79E7">
              <w:pPr>
                <w:pStyle w:val="TOC1"/>
                <w:tabs>
                  <w:tab w:val="right" w:leader="dot" w:pos="9016"/>
                </w:tabs>
                <w:spacing w:line="360" w:lineRule="auto"/>
                <w:rPr>
                  <w:rFonts w:ascii="Times New Roman" w:eastAsiaTheme="minorEastAsia" w:hAnsi="Times New Roman" w:cs="Times New Roman"/>
                  <w:noProof/>
                  <w:lang w:val="en-IN" w:eastAsia="en-IN"/>
                </w:rPr>
              </w:pPr>
              <w:hyperlink w:anchor="_Toc120541010" w:history="1">
                <w:r w:rsidR="0052129F" w:rsidRPr="00AE3CFC">
                  <w:rPr>
                    <w:rStyle w:val="Hyperlink"/>
                    <w:rFonts w:ascii="Times New Roman" w:hAnsi="Times New Roman" w:cs="Times New Roman"/>
                    <w:noProof/>
                  </w:rPr>
                  <w:t>Bibliography</w:t>
                </w:r>
                <w:r w:rsidR="0052129F" w:rsidRPr="00AE3CFC">
                  <w:rPr>
                    <w:rFonts w:ascii="Times New Roman" w:hAnsi="Times New Roman" w:cs="Times New Roman"/>
                    <w:noProof/>
                    <w:webHidden/>
                  </w:rPr>
                  <w:tab/>
                </w:r>
                <w:r w:rsidR="0052129F" w:rsidRPr="00AE3CFC">
                  <w:rPr>
                    <w:rFonts w:ascii="Times New Roman" w:hAnsi="Times New Roman" w:cs="Times New Roman"/>
                    <w:noProof/>
                    <w:webHidden/>
                  </w:rPr>
                  <w:fldChar w:fldCharType="begin"/>
                </w:r>
                <w:r w:rsidR="0052129F" w:rsidRPr="00AE3CFC">
                  <w:rPr>
                    <w:rFonts w:ascii="Times New Roman" w:hAnsi="Times New Roman" w:cs="Times New Roman"/>
                    <w:noProof/>
                    <w:webHidden/>
                  </w:rPr>
                  <w:instrText xml:space="preserve"> PAGEREF _Toc120541010 \h </w:instrText>
                </w:r>
                <w:r w:rsidR="0052129F" w:rsidRPr="00AE3CFC">
                  <w:rPr>
                    <w:rFonts w:ascii="Times New Roman" w:hAnsi="Times New Roman" w:cs="Times New Roman"/>
                    <w:noProof/>
                    <w:webHidden/>
                  </w:rPr>
                </w:r>
                <w:r w:rsidR="0052129F" w:rsidRPr="00AE3CFC">
                  <w:rPr>
                    <w:rFonts w:ascii="Times New Roman" w:hAnsi="Times New Roman" w:cs="Times New Roman"/>
                    <w:noProof/>
                    <w:webHidden/>
                  </w:rPr>
                  <w:fldChar w:fldCharType="separate"/>
                </w:r>
                <w:r w:rsidR="0052129F" w:rsidRPr="00AE3CFC">
                  <w:rPr>
                    <w:rFonts w:ascii="Times New Roman" w:hAnsi="Times New Roman" w:cs="Times New Roman"/>
                    <w:noProof/>
                    <w:webHidden/>
                  </w:rPr>
                  <w:t>9</w:t>
                </w:r>
                <w:r w:rsidR="0052129F" w:rsidRPr="00AE3CFC">
                  <w:rPr>
                    <w:rFonts w:ascii="Times New Roman" w:hAnsi="Times New Roman" w:cs="Times New Roman"/>
                    <w:noProof/>
                    <w:webHidden/>
                  </w:rPr>
                  <w:fldChar w:fldCharType="end"/>
                </w:r>
              </w:hyperlink>
            </w:p>
            <w:p w14:paraId="5849B348" w14:textId="2C01837A" w:rsidR="007D1947" w:rsidRPr="00AE3CFC" w:rsidRDefault="007D1947" w:rsidP="004A79E7">
              <w:pPr>
                <w:spacing w:line="360" w:lineRule="auto"/>
                <w:rPr>
                  <w:rFonts w:ascii="Times New Roman" w:hAnsi="Times New Roman" w:cs="Times New Roman"/>
                </w:rPr>
              </w:pPr>
              <w:r w:rsidRPr="00AE3CFC">
                <w:rPr>
                  <w:rFonts w:ascii="Times New Roman" w:hAnsi="Times New Roman" w:cs="Times New Roman"/>
                  <w:b/>
                  <w:bCs/>
                  <w:noProof/>
                </w:rPr>
                <w:fldChar w:fldCharType="end"/>
              </w:r>
              <w:r w:rsidR="00AA67CC">
                <w:rPr>
                  <w:rFonts w:ascii="Times New Roman" w:hAnsi="Times New Roman" w:cs="Times New Roman"/>
                  <w:b/>
                  <w:bCs/>
                  <w:noProof/>
                </w:rPr>
                <w:t xml:space="preserve"> </w:t>
              </w:r>
            </w:p>
          </w:sdtContent>
        </w:sdt>
        <w:p w14:paraId="1E6FA7DA" w14:textId="77777777" w:rsidR="007D1947" w:rsidRPr="00AE3CFC" w:rsidRDefault="007D1947" w:rsidP="004A79E7">
          <w:pPr>
            <w:spacing w:line="360" w:lineRule="auto"/>
            <w:rPr>
              <w:rFonts w:ascii="Times New Roman" w:hAnsi="Times New Roman" w:cs="Times New Roman"/>
            </w:rPr>
          </w:pPr>
        </w:p>
        <w:p w14:paraId="3C870FBE" w14:textId="77777777" w:rsidR="007D1947" w:rsidRPr="00AE3CFC" w:rsidRDefault="007D1947" w:rsidP="004A79E7">
          <w:pPr>
            <w:spacing w:line="360" w:lineRule="auto"/>
            <w:rPr>
              <w:rFonts w:ascii="Times New Roman" w:hAnsi="Times New Roman" w:cs="Times New Roman"/>
            </w:rPr>
          </w:pPr>
        </w:p>
        <w:p w14:paraId="2473B2AF" w14:textId="77777777" w:rsidR="007D1947" w:rsidRPr="00AE3CFC" w:rsidRDefault="007D1947" w:rsidP="004A79E7">
          <w:pPr>
            <w:spacing w:line="360" w:lineRule="auto"/>
            <w:rPr>
              <w:rFonts w:ascii="Times New Roman" w:hAnsi="Times New Roman" w:cs="Times New Roman"/>
            </w:rPr>
          </w:pPr>
        </w:p>
        <w:p w14:paraId="059AA211" w14:textId="77777777" w:rsidR="007D1947" w:rsidRPr="00AE3CFC" w:rsidRDefault="007D1947" w:rsidP="004A79E7">
          <w:pPr>
            <w:spacing w:line="360" w:lineRule="auto"/>
            <w:rPr>
              <w:rFonts w:ascii="Times New Roman" w:hAnsi="Times New Roman" w:cs="Times New Roman"/>
            </w:rPr>
          </w:pPr>
        </w:p>
        <w:p w14:paraId="18482C63" w14:textId="77777777" w:rsidR="007D1947" w:rsidRPr="00AE3CFC" w:rsidRDefault="007D1947" w:rsidP="004A79E7">
          <w:pPr>
            <w:spacing w:line="360" w:lineRule="auto"/>
            <w:rPr>
              <w:rFonts w:ascii="Times New Roman" w:hAnsi="Times New Roman" w:cs="Times New Roman"/>
            </w:rPr>
          </w:pPr>
        </w:p>
        <w:p w14:paraId="23DB8D03" w14:textId="77777777" w:rsidR="007D1947" w:rsidRPr="00AE3CFC" w:rsidRDefault="007D1947" w:rsidP="004A79E7">
          <w:pPr>
            <w:spacing w:line="360" w:lineRule="auto"/>
            <w:rPr>
              <w:rFonts w:ascii="Times New Roman" w:hAnsi="Times New Roman" w:cs="Times New Roman"/>
            </w:rPr>
          </w:pPr>
        </w:p>
        <w:p w14:paraId="38BD64A9" w14:textId="77777777" w:rsidR="007D1947" w:rsidRPr="00AE3CFC" w:rsidRDefault="007D1947" w:rsidP="004A79E7">
          <w:pPr>
            <w:spacing w:line="360" w:lineRule="auto"/>
            <w:rPr>
              <w:rFonts w:ascii="Times New Roman" w:hAnsi="Times New Roman" w:cs="Times New Roman"/>
            </w:rPr>
          </w:pPr>
        </w:p>
        <w:p w14:paraId="54CB868D" w14:textId="77777777" w:rsidR="007D1947" w:rsidRPr="00AE3CFC" w:rsidRDefault="007D1947" w:rsidP="004A79E7">
          <w:pPr>
            <w:spacing w:line="360" w:lineRule="auto"/>
            <w:rPr>
              <w:rFonts w:ascii="Times New Roman" w:hAnsi="Times New Roman" w:cs="Times New Roman"/>
            </w:rPr>
          </w:pPr>
        </w:p>
        <w:p w14:paraId="1EF5C34A" w14:textId="77777777" w:rsidR="007D1947" w:rsidRPr="00AE3CFC" w:rsidRDefault="007D1947" w:rsidP="004A79E7">
          <w:pPr>
            <w:spacing w:line="360" w:lineRule="auto"/>
            <w:rPr>
              <w:rFonts w:ascii="Times New Roman" w:hAnsi="Times New Roman" w:cs="Times New Roman"/>
            </w:rPr>
          </w:pPr>
        </w:p>
        <w:p w14:paraId="5551AF38" w14:textId="77777777" w:rsidR="007D1947" w:rsidRPr="00AE3CFC" w:rsidRDefault="007D1947" w:rsidP="004A79E7">
          <w:pPr>
            <w:spacing w:line="360" w:lineRule="auto"/>
            <w:rPr>
              <w:rFonts w:ascii="Times New Roman" w:hAnsi="Times New Roman" w:cs="Times New Roman"/>
            </w:rPr>
          </w:pPr>
        </w:p>
        <w:p w14:paraId="39BBE02B" w14:textId="77777777" w:rsidR="007D1947" w:rsidRPr="00AE3CFC" w:rsidRDefault="007D1947" w:rsidP="004A79E7">
          <w:pPr>
            <w:spacing w:line="360" w:lineRule="auto"/>
            <w:rPr>
              <w:rFonts w:ascii="Times New Roman" w:hAnsi="Times New Roman" w:cs="Times New Roman"/>
            </w:rPr>
          </w:pPr>
        </w:p>
        <w:p w14:paraId="7793AFE1" w14:textId="77777777" w:rsidR="007D1947" w:rsidRPr="00AE3CFC" w:rsidRDefault="007D1947" w:rsidP="004A79E7">
          <w:pPr>
            <w:spacing w:line="360" w:lineRule="auto"/>
            <w:rPr>
              <w:rFonts w:ascii="Times New Roman" w:hAnsi="Times New Roman" w:cs="Times New Roman"/>
            </w:rPr>
          </w:pPr>
        </w:p>
        <w:p w14:paraId="26DF20D1" w14:textId="77777777" w:rsidR="007D1947" w:rsidRPr="00AE3CFC" w:rsidRDefault="007D1947" w:rsidP="004A79E7">
          <w:pPr>
            <w:spacing w:line="360" w:lineRule="auto"/>
            <w:rPr>
              <w:rFonts w:ascii="Times New Roman" w:hAnsi="Times New Roman" w:cs="Times New Roman"/>
            </w:rPr>
          </w:pPr>
        </w:p>
        <w:p w14:paraId="58FAB091" w14:textId="77777777" w:rsidR="007D1947" w:rsidRPr="00AE3CFC" w:rsidRDefault="007D1947" w:rsidP="004A79E7">
          <w:pPr>
            <w:spacing w:line="360" w:lineRule="auto"/>
            <w:rPr>
              <w:rFonts w:ascii="Times New Roman" w:hAnsi="Times New Roman" w:cs="Times New Roman"/>
            </w:rPr>
          </w:pPr>
        </w:p>
        <w:p w14:paraId="24547ED3" w14:textId="77777777" w:rsidR="007D1947" w:rsidRPr="00AE3CFC" w:rsidRDefault="007D1947" w:rsidP="004A79E7">
          <w:pPr>
            <w:spacing w:line="360" w:lineRule="auto"/>
            <w:rPr>
              <w:rFonts w:ascii="Times New Roman" w:hAnsi="Times New Roman" w:cs="Times New Roman"/>
            </w:rPr>
          </w:pPr>
        </w:p>
        <w:p w14:paraId="58921774" w14:textId="77777777" w:rsidR="007D1947" w:rsidRPr="00AE3CFC" w:rsidRDefault="007D1947" w:rsidP="004A79E7">
          <w:pPr>
            <w:spacing w:line="360" w:lineRule="auto"/>
            <w:rPr>
              <w:rFonts w:ascii="Times New Roman" w:hAnsi="Times New Roman" w:cs="Times New Roman"/>
            </w:rPr>
          </w:pPr>
        </w:p>
        <w:p w14:paraId="7C7B2CE0" w14:textId="77777777" w:rsidR="00F96BA9" w:rsidRPr="00AE3CFC" w:rsidRDefault="00F96BA9" w:rsidP="004A79E7">
          <w:pPr>
            <w:pStyle w:val="Heading1"/>
            <w:spacing w:line="360" w:lineRule="auto"/>
            <w:rPr>
              <w:rFonts w:ascii="Times New Roman" w:hAnsi="Times New Roman" w:cs="Times New Roman"/>
            </w:rPr>
          </w:pPr>
          <w:bookmarkStart w:id="1" w:name="_Toc120541001"/>
        </w:p>
        <w:p w14:paraId="69C7FAEE" w14:textId="4F2908F0" w:rsidR="007D1947" w:rsidRPr="00270DB3" w:rsidRDefault="007D1947" w:rsidP="00AE3CFC">
          <w:pPr>
            <w:spacing w:line="360" w:lineRule="auto"/>
            <w:rPr>
              <w:rFonts w:ascii="Times New Roman" w:eastAsiaTheme="majorEastAsia" w:hAnsi="Times New Roman" w:cs="Times New Roman"/>
              <w:color w:val="5B9BD5" w:themeColor="accent1"/>
              <w:sz w:val="44"/>
              <w:szCs w:val="44"/>
            </w:rPr>
          </w:pPr>
          <w:r w:rsidRPr="00270DB3">
            <w:rPr>
              <w:rFonts w:ascii="Times New Roman" w:hAnsi="Times New Roman" w:cs="Times New Roman"/>
              <w:color w:val="5B9BD5" w:themeColor="accent1"/>
              <w:sz w:val="32"/>
              <w:szCs w:val="32"/>
            </w:rPr>
            <w:t>Introduction</w:t>
          </w:r>
          <w:bookmarkEnd w:id="1"/>
        </w:p>
        <w:p w14:paraId="661C8B06" w14:textId="77777777" w:rsidR="003F406D" w:rsidRPr="00AE3CFC" w:rsidRDefault="003F406D" w:rsidP="004A79E7">
          <w:pPr>
            <w:spacing w:line="360" w:lineRule="auto"/>
            <w:jc w:val="both"/>
            <w:rPr>
              <w:rFonts w:ascii="Times New Roman" w:hAnsi="Times New Roman" w:cs="Times New Roman"/>
              <w:sz w:val="24"/>
            </w:rPr>
          </w:pPr>
          <w:r w:rsidRPr="00AE3CFC">
            <w:rPr>
              <w:rFonts w:ascii="Times New Roman" w:hAnsi="Times New Roman" w:cs="Times New Roman"/>
              <w:sz w:val="24"/>
            </w:rPr>
            <w:t>Beyond the scope of the hotel sector, Marriott International, Inc. offers a variety of services (Marriott). It offers companies similar to its own, which owns and operates luxury hotels, apartments, and timeshares under a variety of distinguished brands, the opportunity to purchase franchises and licences to operate their own enterprises. The Ritz-Carlton, JW Marriott, St. Regis, Westin, Renaissance, Marriott Properties, Le Meridien, Gaylord Hotels, Marriott Executive Apartments, Delta Hotels, Tribute Portfolio, Design Hotels, Courtyard, and SpringHill Suites are all hotels that belong to the Marriott family of hotels. Other Marriott hotel brands include Delta Hotels, Tribute Portfolio, Design Hotels, Courtyard, and SpringHill Suites (</w:t>
          </w:r>
          <w:proofErr w:type="spellStart"/>
          <w:r w:rsidRPr="00AE3CFC">
            <w:rPr>
              <w:rFonts w:ascii="Times New Roman" w:hAnsi="Times New Roman" w:cs="Times New Roman"/>
              <w:sz w:val="24"/>
            </w:rPr>
            <w:t>Nyangwe</w:t>
          </w:r>
          <w:proofErr w:type="spellEnd"/>
          <w:r w:rsidRPr="00AE3CFC">
            <w:rPr>
              <w:rFonts w:ascii="Times New Roman" w:hAnsi="Times New Roman" w:cs="Times New Roman"/>
              <w:sz w:val="24"/>
            </w:rPr>
            <w:t xml:space="preserve"> and </w:t>
          </w:r>
          <w:proofErr w:type="spellStart"/>
          <w:r w:rsidRPr="00AE3CFC">
            <w:rPr>
              <w:rFonts w:ascii="Times New Roman" w:hAnsi="Times New Roman" w:cs="Times New Roman"/>
              <w:sz w:val="24"/>
            </w:rPr>
            <w:t>Buhalis</w:t>
          </w:r>
          <w:proofErr w:type="spellEnd"/>
          <w:r w:rsidRPr="00AE3CFC">
            <w:rPr>
              <w:rFonts w:ascii="Times New Roman" w:hAnsi="Times New Roman" w:cs="Times New Roman"/>
              <w:sz w:val="24"/>
            </w:rPr>
            <w:t>, 2018). The effects of this company might potentially be felt all across the planet. Bethesda, located in the state of Maryland, is home to the headquarters of Marriott International. Marriott International, which is recognised as one of the most prosperous hotel chains in the world, had revenues of $13.86 billion and a net profit of $1.10 billion in 2021. (</w:t>
          </w:r>
          <w:proofErr w:type="spellStart"/>
          <w:r w:rsidRPr="00AE3CFC">
            <w:rPr>
              <w:rFonts w:ascii="Times New Roman" w:hAnsi="Times New Roman" w:cs="Times New Roman"/>
              <w:sz w:val="24"/>
            </w:rPr>
            <w:t>Heo</w:t>
          </w:r>
          <w:proofErr w:type="spellEnd"/>
          <w:r w:rsidRPr="00AE3CFC">
            <w:rPr>
              <w:rFonts w:ascii="Times New Roman" w:hAnsi="Times New Roman" w:cs="Times New Roman"/>
              <w:sz w:val="24"/>
            </w:rPr>
            <w:t xml:space="preserve"> et al., 2020). With assets in the amount of $25.55 billion and equity in the amount of $1.41 billion, Marriott International is one of the most successful firms in the hotel industry.</w:t>
          </w:r>
        </w:p>
        <w:p w14:paraId="419E7034" w14:textId="700E5293" w:rsidR="003F406D" w:rsidRPr="00AE3CFC" w:rsidRDefault="003F406D" w:rsidP="004A79E7">
          <w:pPr>
            <w:spacing w:line="360" w:lineRule="auto"/>
            <w:jc w:val="both"/>
            <w:rPr>
              <w:rFonts w:ascii="Times New Roman" w:hAnsi="Times New Roman" w:cs="Times New Roman"/>
              <w:sz w:val="24"/>
            </w:rPr>
          </w:pPr>
          <w:r w:rsidRPr="00AE3CFC">
            <w:rPr>
              <w:rFonts w:ascii="Times New Roman" w:hAnsi="Times New Roman" w:cs="Times New Roman"/>
              <w:sz w:val="24"/>
            </w:rPr>
            <w:t>The purpose of this study is to provide the reader with a comprehensive analysis of the current financial position of Marriott International. In an attempt to acquire a better understanding of the numerous elements that are associated with ratio analysis, this study will investigate the advantages and disadvantages of employing this method. In this manner, one will have a better understanding of how the strategy assists corporate management and investors in the process of making investments as well as other managerial decisions.</w:t>
          </w:r>
        </w:p>
        <w:p w14:paraId="65D911F3" w14:textId="77777777" w:rsidR="004A11F6" w:rsidRPr="00270DB3" w:rsidRDefault="004D519C" w:rsidP="004A79E7">
          <w:pPr>
            <w:pStyle w:val="Heading1"/>
            <w:spacing w:line="360" w:lineRule="auto"/>
            <w:rPr>
              <w:rFonts w:ascii="Times New Roman" w:hAnsi="Times New Roman" w:cs="Times New Roman"/>
              <w:sz w:val="48"/>
              <w:szCs w:val="48"/>
            </w:rPr>
          </w:pPr>
          <w:bookmarkStart w:id="2" w:name="_Toc120541002"/>
          <w:r w:rsidRPr="00270DB3">
            <w:rPr>
              <w:rFonts w:ascii="Times New Roman" w:hAnsi="Times New Roman" w:cs="Times New Roman"/>
              <w:sz w:val="48"/>
              <w:szCs w:val="48"/>
            </w:rPr>
            <w:lastRenderedPageBreak/>
            <w:t>Financial Analysis Trends</w:t>
          </w:r>
          <w:bookmarkEnd w:id="2"/>
        </w:p>
        <w:p w14:paraId="667DF507" w14:textId="77777777" w:rsidR="00AA67CC" w:rsidRDefault="00AA67CC" w:rsidP="004A79E7">
          <w:pPr>
            <w:pStyle w:val="Heading2"/>
            <w:spacing w:line="360" w:lineRule="auto"/>
            <w:rPr>
              <w:rFonts w:ascii="Times New Roman" w:hAnsi="Times New Roman" w:cs="Times New Roman"/>
            </w:rPr>
          </w:pPr>
          <w:bookmarkStart w:id="3" w:name="_Toc120541003"/>
        </w:p>
        <w:p w14:paraId="415A490A" w14:textId="77777777" w:rsidR="00AA67CC" w:rsidRDefault="00AA67CC" w:rsidP="004A79E7">
          <w:pPr>
            <w:pStyle w:val="Heading2"/>
            <w:spacing w:line="360" w:lineRule="auto"/>
            <w:rPr>
              <w:rFonts w:ascii="Times New Roman" w:hAnsi="Times New Roman" w:cs="Times New Roman"/>
            </w:rPr>
          </w:pPr>
        </w:p>
        <w:p w14:paraId="4B5FAB65" w14:textId="77777777" w:rsidR="00AA67CC" w:rsidRDefault="00AA67CC" w:rsidP="004A79E7">
          <w:pPr>
            <w:pStyle w:val="Heading2"/>
            <w:spacing w:line="360" w:lineRule="auto"/>
            <w:rPr>
              <w:rFonts w:ascii="Times New Roman" w:hAnsi="Times New Roman" w:cs="Times New Roman"/>
            </w:rPr>
          </w:pPr>
        </w:p>
        <w:p w14:paraId="4EB4E11E" w14:textId="09DBABEF" w:rsidR="005F69AC" w:rsidRPr="00270DB3" w:rsidRDefault="0044763A" w:rsidP="004A79E7">
          <w:pPr>
            <w:pStyle w:val="Heading2"/>
            <w:spacing w:line="360" w:lineRule="auto"/>
            <w:rPr>
              <w:rFonts w:ascii="Times New Roman" w:hAnsi="Times New Roman" w:cs="Times New Roman"/>
              <w:sz w:val="36"/>
              <w:szCs w:val="36"/>
            </w:rPr>
          </w:pPr>
          <w:r w:rsidRPr="00270DB3">
            <w:rPr>
              <w:rFonts w:ascii="Times New Roman" w:hAnsi="Times New Roman" w:cs="Times New Roman"/>
              <w:sz w:val="36"/>
              <w:szCs w:val="36"/>
            </w:rPr>
            <w:t>Liquidity Ratios</w:t>
          </w:r>
          <w:bookmarkEnd w:id="3"/>
        </w:p>
        <w:p w14:paraId="73894A5F" w14:textId="52132AAE"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begin"/>
          </w:r>
          <w:r w:rsidRPr="00AE3CFC">
            <w:rPr>
              <w:rFonts w:ascii="Times New Roman" w:hAnsi="Times New Roman" w:cs="Times New Roman"/>
            </w:rPr>
            <w:instrText xml:space="preserve"> LINK Excel.Sheet.12 "C:\\Users\\ADMIN\\Downloads\\Rolls-Royce.xlsx" "Sheet1!R1C1:R12C4" \a \f 4 \h </w:instrText>
          </w:r>
          <w:r w:rsidR="0052129F" w:rsidRPr="00AE3CFC">
            <w:rPr>
              <w:rFonts w:ascii="Times New Roman" w:hAnsi="Times New Roman" w:cs="Times New Roman"/>
            </w:rPr>
            <w:instrText xml:space="preserve"> \* MERGEFORMAT </w:instrText>
          </w:r>
          <w:r w:rsidRPr="00AE3CFC">
            <w:rPr>
              <w:rFonts w:ascii="Times New Roman" w:hAnsi="Times New Roman" w:cs="Times New Roman"/>
            </w:rPr>
            <w:fldChar w:fldCharType="separate"/>
          </w:r>
        </w:p>
        <w:tbl>
          <w:tblPr>
            <w:tblW w:w="7420" w:type="dxa"/>
            <w:tblInd w:w="108" w:type="dxa"/>
            <w:tblLook w:val="04A0" w:firstRow="1" w:lastRow="0" w:firstColumn="1" w:lastColumn="0" w:noHBand="0" w:noVBand="1"/>
          </w:tblPr>
          <w:tblGrid>
            <w:gridCol w:w="960"/>
            <w:gridCol w:w="2360"/>
            <w:gridCol w:w="3620"/>
            <w:gridCol w:w="711"/>
          </w:tblGrid>
          <w:tr w:rsidR="0044763A" w:rsidRPr="00AE3CFC" w14:paraId="22A032C9" w14:textId="77777777" w:rsidTr="0044763A">
            <w:trPr>
              <w:trHeight w:val="300"/>
            </w:trPr>
            <w:tc>
              <w:tcPr>
                <w:tcW w:w="960" w:type="dxa"/>
                <w:tcBorders>
                  <w:top w:val="nil"/>
                  <w:left w:val="nil"/>
                  <w:bottom w:val="nil"/>
                  <w:right w:val="nil"/>
                </w:tcBorders>
                <w:shd w:val="clear" w:color="auto" w:fill="auto"/>
                <w:noWrap/>
                <w:vAlign w:val="bottom"/>
                <w:hideMark/>
              </w:tcPr>
              <w:p w14:paraId="3A17C3E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2360" w:type="dxa"/>
                <w:tcBorders>
                  <w:top w:val="nil"/>
                  <w:left w:val="nil"/>
                  <w:bottom w:val="nil"/>
                  <w:right w:val="nil"/>
                </w:tcBorders>
                <w:shd w:val="clear" w:color="auto" w:fill="auto"/>
                <w:noWrap/>
                <w:vAlign w:val="bottom"/>
                <w:hideMark/>
              </w:tcPr>
              <w:p w14:paraId="3CC28B0B"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4100" w:type="dxa"/>
                <w:gridSpan w:val="2"/>
                <w:tcBorders>
                  <w:top w:val="nil"/>
                  <w:left w:val="nil"/>
                  <w:bottom w:val="nil"/>
                  <w:right w:val="nil"/>
                </w:tcBorders>
                <w:shd w:val="clear" w:color="auto" w:fill="auto"/>
                <w:noWrap/>
                <w:vAlign w:val="bottom"/>
                <w:hideMark/>
              </w:tcPr>
              <w:p w14:paraId="0E5D0BF3" w14:textId="77777777" w:rsidR="0044763A" w:rsidRPr="00AE3CFC" w:rsidRDefault="0044763A" w:rsidP="004A79E7">
                <w:pPr>
                  <w:spacing w:after="0" w:line="360" w:lineRule="auto"/>
                  <w:jc w:val="center"/>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Marriott</w:t>
                </w:r>
              </w:p>
            </w:tc>
          </w:tr>
          <w:tr w:rsidR="0044763A" w:rsidRPr="00AE3CFC" w14:paraId="7DF7A59E" w14:textId="77777777" w:rsidTr="0044763A">
            <w:trPr>
              <w:trHeight w:val="300"/>
            </w:trPr>
            <w:tc>
              <w:tcPr>
                <w:tcW w:w="3320" w:type="dxa"/>
                <w:gridSpan w:val="2"/>
                <w:tcBorders>
                  <w:top w:val="nil"/>
                  <w:left w:val="nil"/>
                  <w:bottom w:val="nil"/>
                  <w:right w:val="nil"/>
                </w:tcBorders>
                <w:shd w:val="clear" w:color="000000" w:fill="D8E4BC"/>
                <w:noWrap/>
                <w:vAlign w:val="bottom"/>
                <w:hideMark/>
              </w:tcPr>
              <w:p w14:paraId="76C903C3"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Input data for Liquidity Ratios:</w:t>
                </w:r>
              </w:p>
            </w:tc>
            <w:tc>
              <w:tcPr>
                <w:tcW w:w="3620" w:type="dxa"/>
                <w:tcBorders>
                  <w:top w:val="nil"/>
                  <w:left w:val="nil"/>
                  <w:bottom w:val="nil"/>
                  <w:right w:val="nil"/>
                </w:tcBorders>
                <w:shd w:val="clear" w:color="000000" w:fill="D8E4BC"/>
                <w:noWrap/>
                <w:vAlign w:val="bottom"/>
                <w:hideMark/>
              </w:tcPr>
              <w:p w14:paraId="18A23944"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nil"/>
                  <w:left w:val="nil"/>
                  <w:bottom w:val="nil"/>
                  <w:right w:val="nil"/>
                </w:tcBorders>
                <w:shd w:val="clear" w:color="000000" w:fill="D8E4BC"/>
                <w:noWrap/>
                <w:vAlign w:val="bottom"/>
                <w:hideMark/>
              </w:tcPr>
              <w:p w14:paraId="227BAF0F"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5C754729"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20999011"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Current Assets</w:t>
                </w:r>
              </w:p>
            </w:tc>
            <w:tc>
              <w:tcPr>
                <w:tcW w:w="3620" w:type="dxa"/>
                <w:tcBorders>
                  <w:top w:val="nil"/>
                  <w:left w:val="nil"/>
                  <w:bottom w:val="nil"/>
                  <w:right w:val="nil"/>
                </w:tcBorders>
                <w:shd w:val="clear" w:color="auto" w:fill="auto"/>
                <w:noWrap/>
                <w:vAlign w:val="bottom"/>
                <w:hideMark/>
              </w:tcPr>
              <w:p w14:paraId="3E38A4C8"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3,626</w:t>
                </w:r>
              </w:p>
            </w:tc>
            <w:tc>
              <w:tcPr>
                <w:tcW w:w="480" w:type="dxa"/>
                <w:tcBorders>
                  <w:top w:val="nil"/>
                  <w:left w:val="nil"/>
                  <w:bottom w:val="nil"/>
                  <w:right w:val="nil"/>
                </w:tcBorders>
                <w:shd w:val="clear" w:color="auto" w:fill="auto"/>
                <w:noWrap/>
                <w:vAlign w:val="bottom"/>
                <w:hideMark/>
              </w:tcPr>
              <w:p w14:paraId="1E1666DF"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2,825</w:t>
                </w:r>
              </w:p>
            </w:tc>
          </w:tr>
          <w:tr w:rsidR="0044763A" w:rsidRPr="00AE3CFC" w14:paraId="7EAF6B1C"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1A37DB0B"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Current Liabilities</w:t>
                </w:r>
              </w:p>
            </w:tc>
            <w:tc>
              <w:tcPr>
                <w:tcW w:w="3620" w:type="dxa"/>
                <w:tcBorders>
                  <w:top w:val="nil"/>
                  <w:left w:val="nil"/>
                  <w:bottom w:val="nil"/>
                  <w:right w:val="nil"/>
                </w:tcBorders>
                <w:shd w:val="clear" w:color="auto" w:fill="auto"/>
                <w:noWrap/>
                <w:vAlign w:val="bottom"/>
                <w:hideMark/>
              </w:tcPr>
              <w:p w14:paraId="6BDB0518"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6,407</w:t>
                </w:r>
              </w:p>
            </w:tc>
            <w:tc>
              <w:tcPr>
                <w:tcW w:w="480" w:type="dxa"/>
                <w:tcBorders>
                  <w:top w:val="nil"/>
                  <w:left w:val="nil"/>
                  <w:bottom w:val="nil"/>
                  <w:right w:val="nil"/>
                </w:tcBorders>
                <w:shd w:val="clear" w:color="auto" w:fill="auto"/>
                <w:noWrap/>
                <w:vAlign w:val="bottom"/>
                <w:hideMark/>
              </w:tcPr>
              <w:p w14:paraId="4C5F4A3A"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5,752</w:t>
                </w:r>
              </w:p>
            </w:tc>
          </w:tr>
          <w:tr w:rsidR="0044763A" w:rsidRPr="00AE3CFC" w14:paraId="661F3F5C" w14:textId="77777777" w:rsidTr="0044763A">
            <w:trPr>
              <w:trHeight w:val="300"/>
            </w:trPr>
            <w:tc>
              <w:tcPr>
                <w:tcW w:w="960" w:type="dxa"/>
                <w:tcBorders>
                  <w:top w:val="nil"/>
                  <w:left w:val="nil"/>
                  <w:bottom w:val="nil"/>
                  <w:right w:val="nil"/>
                </w:tcBorders>
                <w:shd w:val="clear" w:color="auto" w:fill="auto"/>
                <w:noWrap/>
                <w:vAlign w:val="bottom"/>
                <w:hideMark/>
              </w:tcPr>
              <w:p w14:paraId="2AACFB6C"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Cash</w:t>
                </w:r>
              </w:p>
            </w:tc>
            <w:tc>
              <w:tcPr>
                <w:tcW w:w="2360" w:type="dxa"/>
                <w:tcBorders>
                  <w:top w:val="nil"/>
                  <w:left w:val="nil"/>
                  <w:bottom w:val="nil"/>
                  <w:right w:val="nil"/>
                </w:tcBorders>
                <w:shd w:val="clear" w:color="auto" w:fill="auto"/>
                <w:noWrap/>
                <w:vAlign w:val="bottom"/>
                <w:hideMark/>
              </w:tcPr>
              <w:p w14:paraId="49362797"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3620" w:type="dxa"/>
                <w:tcBorders>
                  <w:top w:val="nil"/>
                  <w:left w:val="nil"/>
                  <w:bottom w:val="nil"/>
                  <w:right w:val="nil"/>
                </w:tcBorders>
                <w:shd w:val="clear" w:color="auto" w:fill="auto"/>
                <w:noWrap/>
                <w:vAlign w:val="bottom"/>
                <w:hideMark/>
              </w:tcPr>
              <w:p w14:paraId="3D999F0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1,393</w:t>
                </w:r>
              </w:p>
            </w:tc>
            <w:tc>
              <w:tcPr>
                <w:tcW w:w="480" w:type="dxa"/>
                <w:tcBorders>
                  <w:top w:val="nil"/>
                  <w:left w:val="nil"/>
                  <w:bottom w:val="nil"/>
                  <w:right w:val="nil"/>
                </w:tcBorders>
                <w:shd w:val="clear" w:color="auto" w:fill="auto"/>
                <w:noWrap/>
                <w:vAlign w:val="bottom"/>
                <w:hideMark/>
              </w:tcPr>
              <w:p w14:paraId="49769AD8"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877</w:t>
                </w:r>
              </w:p>
            </w:tc>
          </w:tr>
          <w:tr w:rsidR="0044763A" w:rsidRPr="00AE3CFC" w14:paraId="143994DB" w14:textId="77777777" w:rsidTr="0044763A">
            <w:trPr>
              <w:trHeight w:val="300"/>
            </w:trPr>
            <w:tc>
              <w:tcPr>
                <w:tcW w:w="960" w:type="dxa"/>
                <w:tcBorders>
                  <w:top w:val="nil"/>
                  <w:left w:val="nil"/>
                  <w:bottom w:val="nil"/>
                  <w:right w:val="nil"/>
                </w:tcBorders>
                <w:shd w:val="clear" w:color="auto" w:fill="auto"/>
                <w:noWrap/>
                <w:vAlign w:val="bottom"/>
                <w:hideMark/>
              </w:tcPr>
              <w:p w14:paraId="57CEA608"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2360" w:type="dxa"/>
                <w:tcBorders>
                  <w:top w:val="nil"/>
                  <w:left w:val="nil"/>
                  <w:bottom w:val="nil"/>
                  <w:right w:val="nil"/>
                </w:tcBorders>
                <w:shd w:val="clear" w:color="auto" w:fill="auto"/>
                <w:noWrap/>
                <w:vAlign w:val="bottom"/>
                <w:hideMark/>
              </w:tcPr>
              <w:p w14:paraId="2DC4532E"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3620" w:type="dxa"/>
                <w:tcBorders>
                  <w:top w:val="nil"/>
                  <w:left w:val="nil"/>
                  <w:bottom w:val="nil"/>
                  <w:right w:val="nil"/>
                </w:tcBorders>
                <w:shd w:val="clear" w:color="auto" w:fill="auto"/>
                <w:noWrap/>
                <w:vAlign w:val="bottom"/>
                <w:hideMark/>
              </w:tcPr>
              <w:p w14:paraId="5FB7D01E"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480" w:type="dxa"/>
                <w:tcBorders>
                  <w:top w:val="nil"/>
                  <w:left w:val="nil"/>
                  <w:bottom w:val="nil"/>
                  <w:right w:val="nil"/>
                </w:tcBorders>
                <w:shd w:val="clear" w:color="auto" w:fill="auto"/>
                <w:noWrap/>
                <w:vAlign w:val="bottom"/>
                <w:hideMark/>
              </w:tcPr>
              <w:p w14:paraId="29B808E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r>
          <w:tr w:rsidR="0044763A" w:rsidRPr="00AE3CFC" w14:paraId="0C5D6480" w14:textId="77777777" w:rsidTr="0044763A">
            <w:trPr>
              <w:trHeight w:val="300"/>
            </w:trPr>
            <w:tc>
              <w:tcPr>
                <w:tcW w:w="960" w:type="dxa"/>
                <w:tcBorders>
                  <w:top w:val="nil"/>
                  <w:left w:val="nil"/>
                  <w:bottom w:val="single" w:sz="4" w:space="0" w:color="auto"/>
                  <w:right w:val="nil"/>
                </w:tcBorders>
                <w:shd w:val="clear" w:color="auto" w:fill="auto"/>
                <w:noWrap/>
                <w:vAlign w:val="bottom"/>
                <w:hideMark/>
              </w:tcPr>
              <w:p w14:paraId="0010455E"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2360" w:type="dxa"/>
                <w:tcBorders>
                  <w:top w:val="nil"/>
                  <w:left w:val="nil"/>
                  <w:bottom w:val="single" w:sz="4" w:space="0" w:color="auto"/>
                  <w:right w:val="nil"/>
                </w:tcBorders>
                <w:shd w:val="clear" w:color="auto" w:fill="auto"/>
                <w:noWrap/>
                <w:vAlign w:val="bottom"/>
                <w:hideMark/>
              </w:tcPr>
              <w:p w14:paraId="0B41D648"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100" w:type="dxa"/>
                <w:gridSpan w:val="2"/>
                <w:tcBorders>
                  <w:top w:val="nil"/>
                  <w:left w:val="nil"/>
                  <w:bottom w:val="nil"/>
                  <w:right w:val="nil"/>
                </w:tcBorders>
                <w:shd w:val="clear" w:color="auto" w:fill="auto"/>
                <w:noWrap/>
                <w:vAlign w:val="bottom"/>
                <w:hideMark/>
              </w:tcPr>
              <w:p w14:paraId="77C6454C" w14:textId="77777777" w:rsidR="0044763A" w:rsidRPr="00AE3CFC" w:rsidRDefault="0044763A" w:rsidP="004A79E7">
                <w:pPr>
                  <w:spacing w:after="0" w:line="360" w:lineRule="auto"/>
                  <w:jc w:val="center"/>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Marriott</w:t>
                </w:r>
              </w:p>
            </w:tc>
          </w:tr>
          <w:tr w:rsidR="0044763A" w:rsidRPr="00AE3CFC" w14:paraId="5716B857" w14:textId="77777777" w:rsidTr="0044763A">
            <w:trPr>
              <w:trHeight w:val="300"/>
            </w:trPr>
            <w:tc>
              <w:tcPr>
                <w:tcW w:w="3320" w:type="dxa"/>
                <w:gridSpan w:val="2"/>
                <w:tcBorders>
                  <w:top w:val="nil"/>
                  <w:left w:val="nil"/>
                  <w:bottom w:val="single" w:sz="4" w:space="0" w:color="auto"/>
                  <w:right w:val="nil"/>
                </w:tcBorders>
                <w:shd w:val="clear" w:color="000000" w:fill="D8E4BC"/>
                <w:noWrap/>
                <w:vAlign w:val="bottom"/>
                <w:hideMark/>
              </w:tcPr>
              <w:p w14:paraId="75E53586"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LIQUIDITY RATIOS:</w:t>
                </w:r>
              </w:p>
            </w:tc>
            <w:tc>
              <w:tcPr>
                <w:tcW w:w="3620" w:type="dxa"/>
                <w:tcBorders>
                  <w:top w:val="nil"/>
                  <w:left w:val="nil"/>
                  <w:bottom w:val="single" w:sz="4" w:space="0" w:color="auto"/>
                  <w:right w:val="nil"/>
                </w:tcBorders>
                <w:shd w:val="clear" w:color="000000" w:fill="D8E4BC"/>
                <w:noWrap/>
                <w:vAlign w:val="bottom"/>
                <w:hideMark/>
              </w:tcPr>
              <w:p w14:paraId="75434A44"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nil"/>
                  <w:left w:val="nil"/>
                  <w:bottom w:val="single" w:sz="4" w:space="0" w:color="auto"/>
                  <w:right w:val="nil"/>
                </w:tcBorders>
                <w:shd w:val="clear" w:color="000000" w:fill="D8E4BC"/>
                <w:noWrap/>
                <w:vAlign w:val="bottom"/>
                <w:hideMark/>
              </w:tcPr>
              <w:p w14:paraId="318504D2"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0CA88ABF" w14:textId="77777777" w:rsidTr="0044763A">
            <w:trPr>
              <w:trHeight w:val="300"/>
            </w:trPr>
            <w:tc>
              <w:tcPr>
                <w:tcW w:w="3320" w:type="dxa"/>
                <w:gridSpan w:val="2"/>
                <w:tcBorders>
                  <w:top w:val="nil"/>
                  <w:left w:val="nil"/>
                  <w:bottom w:val="nil"/>
                  <w:right w:val="nil"/>
                </w:tcBorders>
                <w:shd w:val="clear" w:color="000000" w:fill="D8E4BC"/>
                <w:noWrap/>
                <w:vAlign w:val="bottom"/>
                <w:hideMark/>
              </w:tcPr>
              <w:p w14:paraId="1DAAC975"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Current Ratio</w:t>
                </w:r>
              </w:p>
            </w:tc>
            <w:tc>
              <w:tcPr>
                <w:tcW w:w="3620" w:type="dxa"/>
                <w:tcBorders>
                  <w:top w:val="nil"/>
                  <w:left w:val="nil"/>
                  <w:bottom w:val="nil"/>
                  <w:right w:val="nil"/>
                </w:tcBorders>
                <w:shd w:val="clear" w:color="000000" w:fill="D8E4BC"/>
                <w:noWrap/>
                <w:vAlign w:val="bottom"/>
                <w:hideMark/>
              </w:tcPr>
              <w:p w14:paraId="3BFF5DE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0.57</w:t>
                </w:r>
              </w:p>
            </w:tc>
            <w:tc>
              <w:tcPr>
                <w:tcW w:w="480" w:type="dxa"/>
                <w:tcBorders>
                  <w:top w:val="nil"/>
                  <w:left w:val="nil"/>
                  <w:bottom w:val="nil"/>
                  <w:right w:val="nil"/>
                </w:tcBorders>
                <w:shd w:val="clear" w:color="000000" w:fill="D8E4BC"/>
                <w:noWrap/>
                <w:vAlign w:val="bottom"/>
                <w:hideMark/>
              </w:tcPr>
              <w:p w14:paraId="4EC23CEF"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0.49</w:t>
                </w:r>
              </w:p>
            </w:tc>
          </w:tr>
          <w:tr w:rsidR="0044763A" w:rsidRPr="00AE3CFC" w14:paraId="483D0C61" w14:textId="77777777" w:rsidTr="0044763A">
            <w:trPr>
              <w:trHeight w:val="300"/>
            </w:trPr>
            <w:tc>
              <w:tcPr>
                <w:tcW w:w="3320" w:type="dxa"/>
                <w:gridSpan w:val="2"/>
                <w:tcBorders>
                  <w:top w:val="nil"/>
                  <w:left w:val="nil"/>
                  <w:bottom w:val="single" w:sz="4" w:space="0" w:color="auto"/>
                  <w:right w:val="nil"/>
                </w:tcBorders>
                <w:shd w:val="clear" w:color="000000" w:fill="D8E4BC"/>
                <w:noWrap/>
                <w:vAlign w:val="bottom"/>
                <w:hideMark/>
              </w:tcPr>
              <w:p w14:paraId="38DF86C5"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Current Assets/Current Liabilities</w:t>
                </w:r>
              </w:p>
            </w:tc>
            <w:tc>
              <w:tcPr>
                <w:tcW w:w="3620" w:type="dxa"/>
                <w:tcBorders>
                  <w:top w:val="nil"/>
                  <w:left w:val="nil"/>
                  <w:bottom w:val="single" w:sz="4" w:space="0" w:color="auto"/>
                  <w:right w:val="nil"/>
                </w:tcBorders>
                <w:shd w:val="clear" w:color="000000" w:fill="D8E4BC"/>
                <w:noWrap/>
                <w:vAlign w:val="bottom"/>
                <w:hideMark/>
              </w:tcPr>
              <w:p w14:paraId="7242150C"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8E4BC"/>
                <w:noWrap/>
                <w:vAlign w:val="bottom"/>
                <w:hideMark/>
              </w:tcPr>
              <w:p w14:paraId="6C2E534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r w:rsidR="0044763A" w:rsidRPr="00AE3CFC" w14:paraId="63C3B75B" w14:textId="77777777" w:rsidTr="0044763A">
            <w:trPr>
              <w:trHeight w:val="300"/>
            </w:trPr>
            <w:tc>
              <w:tcPr>
                <w:tcW w:w="3320" w:type="dxa"/>
                <w:gridSpan w:val="2"/>
                <w:tcBorders>
                  <w:top w:val="nil"/>
                  <w:left w:val="nil"/>
                  <w:bottom w:val="nil"/>
                  <w:right w:val="nil"/>
                </w:tcBorders>
                <w:shd w:val="clear" w:color="000000" w:fill="D8E4BC"/>
                <w:noWrap/>
                <w:vAlign w:val="bottom"/>
                <w:hideMark/>
              </w:tcPr>
              <w:p w14:paraId="6910B363"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Cash Ratio</w:t>
                </w:r>
              </w:p>
            </w:tc>
            <w:tc>
              <w:tcPr>
                <w:tcW w:w="3620" w:type="dxa"/>
                <w:tcBorders>
                  <w:top w:val="nil"/>
                  <w:left w:val="nil"/>
                  <w:bottom w:val="nil"/>
                  <w:right w:val="nil"/>
                </w:tcBorders>
                <w:shd w:val="clear" w:color="000000" w:fill="D8E4BC"/>
                <w:noWrap/>
                <w:vAlign w:val="bottom"/>
                <w:hideMark/>
              </w:tcPr>
              <w:p w14:paraId="40BEC81D"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0.22</w:t>
                </w:r>
              </w:p>
            </w:tc>
            <w:tc>
              <w:tcPr>
                <w:tcW w:w="480" w:type="dxa"/>
                <w:tcBorders>
                  <w:top w:val="nil"/>
                  <w:left w:val="nil"/>
                  <w:bottom w:val="nil"/>
                  <w:right w:val="nil"/>
                </w:tcBorders>
                <w:shd w:val="clear" w:color="000000" w:fill="D8E4BC"/>
                <w:noWrap/>
                <w:vAlign w:val="bottom"/>
                <w:hideMark/>
              </w:tcPr>
              <w:p w14:paraId="720FD0A1"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0.15</w:t>
                </w:r>
              </w:p>
            </w:tc>
          </w:tr>
          <w:tr w:rsidR="0044763A" w:rsidRPr="00AE3CFC" w14:paraId="23B9A60B" w14:textId="77777777" w:rsidTr="0044763A">
            <w:trPr>
              <w:trHeight w:val="300"/>
            </w:trPr>
            <w:tc>
              <w:tcPr>
                <w:tcW w:w="3320" w:type="dxa"/>
                <w:gridSpan w:val="2"/>
                <w:tcBorders>
                  <w:top w:val="nil"/>
                  <w:left w:val="nil"/>
                  <w:bottom w:val="single" w:sz="4" w:space="0" w:color="auto"/>
                  <w:right w:val="nil"/>
                </w:tcBorders>
                <w:shd w:val="clear" w:color="000000" w:fill="D8E4BC"/>
                <w:noWrap/>
                <w:vAlign w:val="bottom"/>
                <w:hideMark/>
              </w:tcPr>
              <w:p w14:paraId="665E1C76"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Cash/Current Liabilities</w:t>
                </w:r>
              </w:p>
            </w:tc>
            <w:tc>
              <w:tcPr>
                <w:tcW w:w="3620" w:type="dxa"/>
                <w:tcBorders>
                  <w:top w:val="nil"/>
                  <w:left w:val="nil"/>
                  <w:bottom w:val="single" w:sz="4" w:space="0" w:color="auto"/>
                  <w:right w:val="nil"/>
                </w:tcBorders>
                <w:shd w:val="clear" w:color="000000" w:fill="D8E4BC"/>
                <w:noWrap/>
                <w:vAlign w:val="bottom"/>
                <w:hideMark/>
              </w:tcPr>
              <w:p w14:paraId="4376C51E"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8E4BC"/>
                <w:noWrap/>
                <w:vAlign w:val="bottom"/>
                <w:hideMark/>
              </w:tcPr>
              <w:p w14:paraId="3E74D91B"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bl>
        <w:p w14:paraId="5E4DD2A6" w14:textId="46524685"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end"/>
          </w:r>
        </w:p>
        <w:p w14:paraId="74F717D1" w14:textId="74B7C37D" w:rsidR="0044763A" w:rsidRPr="00270DB3" w:rsidRDefault="0044763A" w:rsidP="004A79E7">
          <w:pPr>
            <w:pStyle w:val="Heading2"/>
            <w:spacing w:line="360" w:lineRule="auto"/>
            <w:rPr>
              <w:rFonts w:ascii="Times New Roman" w:hAnsi="Times New Roman" w:cs="Times New Roman"/>
              <w:sz w:val="40"/>
              <w:szCs w:val="40"/>
            </w:rPr>
          </w:pPr>
          <w:bookmarkStart w:id="4" w:name="_Toc120541004"/>
          <w:r w:rsidRPr="00270DB3">
            <w:rPr>
              <w:rFonts w:ascii="Times New Roman" w:hAnsi="Times New Roman" w:cs="Times New Roman"/>
              <w:sz w:val="40"/>
              <w:szCs w:val="40"/>
            </w:rPr>
            <w:t>Profitability Ratios</w:t>
          </w:r>
          <w:bookmarkEnd w:id="4"/>
        </w:p>
        <w:p w14:paraId="4F7B1224" w14:textId="2AD75C68"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begin"/>
          </w:r>
          <w:r w:rsidRPr="00AE3CFC">
            <w:rPr>
              <w:rFonts w:ascii="Times New Roman" w:hAnsi="Times New Roman" w:cs="Times New Roman"/>
            </w:rPr>
            <w:instrText xml:space="preserve"> LINK Excel.Sheet.12 "C:\\Users\\ADMIN\\Downloads\\Rolls-Royce.xlsx" "Sheet1!R14C1:R26C4" \a \f 4 \h </w:instrText>
          </w:r>
          <w:r w:rsidR="0052129F" w:rsidRPr="00AE3CFC">
            <w:rPr>
              <w:rFonts w:ascii="Times New Roman" w:hAnsi="Times New Roman" w:cs="Times New Roman"/>
            </w:rPr>
            <w:instrText xml:space="preserve"> \* MERGEFORMAT </w:instrText>
          </w:r>
          <w:r w:rsidRPr="00AE3CFC">
            <w:rPr>
              <w:rFonts w:ascii="Times New Roman" w:hAnsi="Times New Roman" w:cs="Times New Roman"/>
            </w:rPr>
            <w:fldChar w:fldCharType="separate"/>
          </w:r>
        </w:p>
        <w:tbl>
          <w:tblPr>
            <w:tblW w:w="7420" w:type="dxa"/>
            <w:tblInd w:w="108" w:type="dxa"/>
            <w:tblLook w:val="04A0" w:firstRow="1" w:lastRow="0" w:firstColumn="1" w:lastColumn="0" w:noHBand="0" w:noVBand="1"/>
          </w:tblPr>
          <w:tblGrid>
            <w:gridCol w:w="1365"/>
            <w:gridCol w:w="2360"/>
            <w:gridCol w:w="3620"/>
            <w:gridCol w:w="1096"/>
          </w:tblGrid>
          <w:tr w:rsidR="0044763A" w:rsidRPr="00AE3CFC" w14:paraId="76AFD6D1" w14:textId="77777777" w:rsidTr="0044763A">
            <w:trPr>
              <w:trHeight w:val="300"/>
            </w:trPr>
            <w:tc>
              <w:tcPr>
                <w:tcW w:w="960" w:type="dxa"/>
                <w:tcBorders>
                  <w:top w:val="nil"/>
                  <w:left w:val="nil"/>
                  <w:bottom w:val="nil"/>
                  <w:right w:val="nil"/>
                </w:tcBorders>
                <w:shd w:val="clear" w:color="auto" w:fill="auto"/>
                <w:noWrap/>
                <w:vAlign w:val="bottom"/>
                <w:hideMark/>
              </w:tcPr>
              <w:p w14:paraId="347D0F26"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2360" w:type="dxa"/>
                <w:tcBorders>
                  <w:top w:val="nil"/>
                  <w:left w:val="nil"/>
                  <w:bottom w:val="nil"/>
                  <w:right w:val="nil"/>
                </w:tcBorders>
                <w:shd w:val="clear" w:color="auto" w:fill="auto"/>
                <w:noWrap/>
                <w:vAlign w:val="bottom"/>
                <w:hideMark/>
              </w:tcPr>
              <w:p w14:paraId="3CBAE505"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4100" w:type="dxa"/>
                <w:gridSpan w:val="2"/>
                <w:tcBorders>
                  <w:top w:val="nil"/>
                  <w:left w:val="nil"/>
                  <w:bottom w:val="nil"/>
                  <w:right w:val="nil"/>
                </w:tcBorders>
                <w:shd w:val="clear" w:color="auto" w:fill="auto"/>
                <w:noWrap/>
                <w:vAlign w:val="bottom"/>
                <w:hideMark/>
              </w:tcPr>
              <w:p w14:paraId="68F0BDD7" w14:textId="77777777" w:rsidR="0044763A" w:rsidRPr="00AE3CFC" w:rsidRDefault="0044763A" w:rsidP="004A79E7">
                <w:pPr>
                  <w:spacing w:after="0" w:line="360" w:lineRule="auto"/>
                  <w:jc w:val="center"/>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Marriott</w:t>
                </w:r>
              </w:p>
            </w:tc>
          </w:tr>
          <w:tr w:rsidR="0044763A" w:rsidRPr="00AE3CFC" w14:paraId="090398A6" w14:textId="77777777" w:rsidTr="0044763A">
            <w:trPr>
              <w:trHeight w:val="300"/>
            </w:trPr>
            <w:tc>
              <w:tcPr>
                <w:tcW w:w="960" w:type="dxa"/>
                <w:tcBorders>
                  <w:top w:val="nil"/>
                  <w:left w:val="nil"/>
                  <w:bottom w:val="nil"/>
                  <w:right w:val="nil"/>
                </w:tcBorders>
                <w:shd w:val="clear" w:color="000000" w:fill="C5D9F1"/>
                <w:noWrap/>
                <w:vAlign w:val="bottom"/>
                <w:hideMark/>
              </w:tcPr>
              <w:p w14:paraId="52D0F77A"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Input data for Profitability Ratios:</w:t>
                </w:r>
              </w:p>
            </w:tc>
            <w:tc>
              <w:tcPr>
                <w:tcW w:w="2360" w:type="dxa"/>
                <w:tcBorders>
                  <w:top w:val="nil"/>
                  <w:left w:val="nil"/>
                  <w:bottom w:val="nil"/>
                  <w:right w:val="nil"/>
                </w:tcBorders>
                <w:shd w:val="clear" w:color="000000" w:fill="B8CCE4"/>
                <w:noWrap/>
                <w:vAlign w:val="bottom"/>
                <w:hideMark/>
              </w:tcPr>
              <w:p w14:paraId="35B2DE5C"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 </w:t>
                </w:r>
              </w:p>
            </w:tc>
            <w:tc>
              <w:tcPr>
                <w:tcW w:w="3620" w:type="dxa"/>
                <w:tcBorders>
                  <w:top w:val="nil"/>
                  <w:left w:val="nil"/>
                  <w:bottom w:val="nil"/>
                  <w:right w:val="nil"/>
                </w:tcBorders>
                <w:shd w:val="clear" w:color="000000" w:fill="B8CCE4"/>
                <w:noWrap/>
                <w:vAlign w:val="bottom"/>
                <w:hideMark/>
              </w:tcPr>
              <w:p w14:paraId="2A093D80"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nil"/>
                  <w:left w:val="nil"/>
                  <w:bottom w:val="nil"/>
                  <w:right w:val="nil"/>
                </w:tcBorders>
                <w:shd w:val="clear" w:color="000000" w:fill="B8CCE4"/>
                <w:noWrap/>
                <w:vAlign w:val="bottom"/>
                <w:hideMark/>
              </w:tcPr>
              <w:p w14:paraId="3F891551"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4A56C78A"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6A03D21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Gross Profit</w:t>
                </w:r>
              </w:p>
            </w:tc>
            <w:tc>
              <w:tcPr>
                <w:tcW w:w="3620" w:type="dxa"/>
                <w:tcBorders>
                  <w:top w:val="nil"/>
                  <w:left w:val="nil"/>
                  <w:bottom w:val="nil"/>
                  <w:right w:val="nil"/>
                </w:tcBorders>
                <w:shd w:val="clear" w:color="auto" w:fill="auto"/>
                <w:noWrap/>
                <w:vAlign w:val="bottom"/>
                <w:hideMark/>
              </w:tcPr>
              <w:p w14:paraId="2F9EFE7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2,581.00</w:t>
                </w:r>
              </w:p>
            </w:tc>
            <w:tc>
              <w:tcPr>
                <w:tcW w:w="480" w:type="dxa"/>
                <w:tcBorders>
                  <w:top w:val="nil"/>
                  <w:left w:val="nil"/>
                  <w:bottom w:val="nil"/>
                  <w:right w:val="nil"/>
                </w:tcBorders>
                <w:shd w:val="clear" w:color="auto" w:fill="auto"/>
                <w:noWrap/>
                <w:vAlign w:val="bottom"/>
                <w:hideMark/>
              </w:tcPr>
              <w:p w14:paraId="0194F3BA"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1,913.00</w:t>
                </w:r>
              </w:p>
            </w:tc>
          </w:tr>
          <w:tr w:rsidR="0044763A" w:rsidRPr="00AE3CFC" w14:paraId="2D5F837F"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7E31CFF9"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Operating Income</w:t>
                </w:r>
              </w:p>
            </w:tc>
            <w:tc>
              <w:tcPr>
                <w:tcW w:w="3620" w:type="dxa"/>
                <w:tcBorders>
                  <w:top w:val="nil"/>
                  <w:left w:val="nil"/>
                  <w:bottom w:val="nil"/>
                  <w:right w:val="nil"/>
                </w:tcBorders>
                <w:shd w:val="clear" w:color="auto" w:fill="auto"/>
                <w:noWrap/>
                <w:vAlign w:val="bottom"/>
                <w:hideMark/>
              </w:tcPr>
              <w:p w14:paraId="58047CC4"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1,780</w:t>
                </w:r>
              </w:p>
            </w:tc>
            <w:tc>
              <w:tcPr>
                <w:tcW w:w="480" w:type="dxa"/>
                <w:tcBorders>
                  <w:top w:val="nil"/>
                  <w:left w:val="nil"/>
                  <w:bottom w:val="nil"/>
                  <w:right w:val="nil"/>
                </w:tcBorders>
                <w:shd w:val="clear" w:color="auto" w:fill="auto"/>
                <w:noWrap/>
                <w:vAlign w:val="bottom"/>
                <w:hideMark/>
              </w:tcPr>
              <w:p w14:paraId="3F33480A" w14:textId="77777777" w:rsidR="0044763A" w:rsidRPr="00AE3CFC" w:rsidRDefault="0044763A" w:rsidP="004A79E7">
                <w:pPr>
                  <w:spacing w:after="0" w:line="360" w:lineRule="auto"/>
                  <w:jc w:val="right"/>
                  <w:rPr>
                    <w:rFonts w:ascii="Times New Roman" w:eastAsia="Times New Roman" w:hAnsi="Times New Roman" w:cs="Times New Roman"/>
                    <w:lang w:val="en-IN" w:eastAsia="en-IN"/>
                  </w:rPr>
                </w:pPr>
                <w:r w:rsidRPr="00AE3CFC">
                  <w:rPr>
                    <w:rFonts w:ascii="Times New Roman" w:eastAsia="Times New Roman" w:hAnsi="Times New Roman" w:cs="Times New Roman"/>
                    <w:lang w:val="en-IN" w:eastAsia="en-IN"/>
                  </w:rPr>
                  <w:t>1,287</w:t>
                </w:r>
              </w:p>
            </w:tc>
          </w:tr>
          <w:tr w:rsidR="0044763A" w:rsidRPr="00AE3CFC" w14:paraId="0EFB6873"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44446D23"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roofErr w:type="gramStart"/>
                <w:r w:rsidRPr="00AE3CFC">
                  <w:rPr>
                    <w:rFonts w:ascii="Times New Roman" w:eastAsia="Times New Roman" w:hAnsi="Times New Roman" w:cs="Times New Roman"/>
                    <w:color w:val="000000"/>
                    <w:lang w:val="en-IN" w:eastAsia="en-IN"/>
                  </w:rPr>
                  <w:t>Pre Tax</w:t>
                </w:r>
                <w:proofErr w:type="gramEnd"/>
                <w:r w:rsidRPr="00AE3CFC">
                  <w:rPr>
                    <w:rFonts w:ascii="Times New Roman" w:eastAsia="Times New Roman" w:hAnsi="Times New Roman" w:cs="Times New Roman"/>
                    <w:color w:val="000000"/>
                    <w:lang w:val="en-IN" w:eastAsia="en-IN"/>
                  </w:rPr>
                  <w:t xml:space="preserve"> Income</w:t>
                </w:r>
              </w:p>
            </w:tc>
            <w:tc>
              <w:tcPr>
                <w:tcW w:w="3620" w:type="dxa"/>
                <w:tcBorders>
                  <w:top w:val="nil"/>
                  <w:left w:val="nil"/>
                  <w:bottom w:val="nil"/>
                  <w:right w:val="nil"/>
                </w:tcBorders>
                <w:shd w:val="clear" w:color="auto" w:fill="auto"/>
                <w:noWrap/>
                <w:vAlign w:val="bottom"/>
                <w:hideMark/>
              </w:tcPr>
              <w:p w14:paraId="101BB4EE"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1,180</w:t>
                </w:r>
              </w:p>
            </w:tc>
            <w:tc>
              <w:tcPr>
                <w:tcW w:w="480" w:type="dxa"/>
                <w:tcBorders>
                  <w:top w:val="nil"/>
                  <w:left w:val="nil"/>
                  <w:bottom w:val="nil"/>
                  <w:right w:val="nil"/>
                </w:tcBorders>
                <w:shd w:val="clear" w:color="auto" w:fill="auto"/>
                <w:noWrap/>
                <w:vAlign w:val="bottom"/>
                <w:hideMark/>
              </w:tcPr>
              <w:p w14:paraId="11F8C071"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-466</w:t>
                </w:r>
              </w:p>
            </w:tc>
          </w:tr>
          <w:tr w:rsidR="0044763A" w:rsidRPr="00AE3CFC" w14:paraId="48368610"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5DE2BC7F"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Net Income</w:t>
                </w:r>
              </w:p>
            </w:tc>
            <w:tc>
              <w:tcPr>
                <w:tcW w:w="3620" w:type="dxa"/>
                <w:tcBorders>
                  <w:top w:val="nil"/>
                  <w:left w:val="nil"/>
                  <w:bottom w:val="nil"/>
                  <w:right w:val="nil"/>
                </w:tcBorders>
                <w:shd w:val="clear" w:color="auto" w:fill="auto"/>
                <w:noWrap/>
                <w:vAlign w:val="bottom"/>
                <w:hideMark/>
              </w:tcPr>
              <w:p w14:paraId="5E66413B"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1,099</w:t>
                </w:r>
              </w:p>
            </w:tc>
            <w:tc>
              <w:tcPr>
                <w:tcW w:w="480" w:type="dxa"/>
                <w:tcBorders>
                  <w:top w:val="nil"/>
                  <w:left w:val="nil"/>
                  <w:bottom w:val="nil"/>
                  <w:right w:val="nil"/>
                </w:tcBorders>
                <w:shd w:val="clear" w:color="auto" w:fill="auto"/>
                <w:noWrap/>
                <w:vAlign w:val="bottom"/>
                <w:hideMark/>
              </w:tcPr>
              <w:p w14:paraId="13E16042"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-267</w:t>
                </w:r>
              </w:p>
            </w:tc>
          </w:tr>
          <w:tr w:rsidR="0044763A" w:rsidRPr="00AE3CFC" w14:paraId="023EB228" w14:textId="77777777" w:rsidTr="0044763A">
            <w:trPr>
              <w:trHeight w:val="300"/>
            </w:trPr>
            <w:tc>
              <w:tcPr>
                <w:tcW w:w="960" w:type="dxa"/>
                <w:tcBorders>
                  <w:top w:val="nil"/>
                  <w:left w:val="nil"/>
                  <w:bottom w:val="nil"/>
                  <w:right w:val="nil"/>
                </w:tcBorders>
                <w:shd w:val="clear" w:color="auto" w:fill="auto"/>
                <w:noWrap/>
                <w:vAlign w:val="bottom"/>
                <w:hideMark/>
              </w:tcPr>
              <w:p w14:paraId="6EC1F597"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Sales</w:t>
                </w:r>
              </w:p>
            </w:tc>
            <w:tc>
              <w:tcPr>
                <w:tcW w:w="2360" w:type="dxa"/>
                <w:tcBorders>
                  <w:top w:val="nil"/>
                  <w:left w:val="nil"/>
                  <w:bottom w:val="nil"/>
                  <w:right w:val="nil"/>
                </w:tcBorders>
                <w:shd w:val="clear" w:color="auto" w:fill="auto"/>
                <w:noWrap/>
                <w:vAlign w:val="bottom"/>
                <w:hideMark/>
              </w:tcPr>
              <w:p w14:paraId="21F7A3A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3620" w:type="dxa"/>
                <w:tcBorders>
                  <w:top w:val="nil"/>
                  <w:left w:val="nil"/>
                  <w:bottom w:val="nil"/>
                  <w:right w:val="nil"/>
                </w:tcBorders>
                <w:shd w:val="clear" w:color="auto" w:fill="auto"/>
                <w:noWrap/>
                <w:vAlign w:val="bottom"/>
                <w:hideMark/>
              </w:tcPr>
              <w:p w14:paraId="344D4868"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13,857.00</w:t>
                </w:r>
              </w:p>
            </w:tc>
            <w:tc>
              <w:tcPr>
                <w:tcW w:w="480" w:type="dxa"/>
                <w:tcBorders>
                  <w:top w:val="nil"/>
                  <w:left w:val="nil"/>
                  <w:bottom w:val="nil"/>
                  <w:right w:val="nil"/>
                </w:tcBorders>
                <w:shd w:val="clear" w:color="auto" w:fill="auto"/>
                <w:noWrap/>
                <w:vAlign w:val="bottom"/>
                <w:hideMark/>
              </w:tcPr>
              <w:p w14:paraId="13DF8D5C"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10,635.00</w:t>
                </w:r>
              </w:p>
            </w:tc>
          </w:tr>
          <w:tr w:rsidR="0044763A" w:rsidRPr="00AE3CFC" w14:paraId="287EC152" w14:textId="77777777" w:rsidTr="0044763A">
            <w:trPr>
              <w:trHeight w:val="300"/>
            </w:trPr>
            <w:tc>
              <w:tcPr>
                <w:tcW w:w="960" w:type="dxa"/>
                <w:tcBorders>
                  <w:top w:val="nil"/>
                  <w:left w:val="nil"/>
                  <w:bottom w:val="nil"/>
                  <w:right w:val="nil"/>
                </w:tcBorders>
                <w:shd w:val="clear" w:color="auto" w:fill="auto"/>
                <w:noWrap/>
                <w:vAlign w:val="bottom"/>
                <w:hideMark/>
              </w:tcPr>
              <w:p w14:paraId="3A4550B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2360" w:type="dxa"/>
                <w:tcBorders>
                  <w:top w:val="nil"/>
                  <w:left w:val="nil"/>
                  <w:bottom w:val="nil"/>
                  <w:right w:val="nil"/>
                </w:tcBorders>
                <w:shd w:val="clear" w:color="auto" w:fill="auto"/>
                <w:noWrap/>
                <w:vAlign w:val="bottom"/>
                <w:hideMark/>
              </w:tcPr>
              <w:p w14:paraId="10357DEF"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4100" w:type="dxa"/>
                <w:gridSpan w:val="2"/>
                <w:tcBorders>
                  <w:top w:val="nil"/>
                  <w:left w:val="nil"/>
                  <w:bottom w:val="nil"/>
                  <w:right w:val="nil"/>
                </w:tcBorders>
                <w:shd w:val="clear" w:color="auto" w:fill="auto"/>
                <w:noWrap/>
                <w:vAlign w:val="bottom"/>
                <w:hideMark/>
              </w:tcPr>
              <w:p w14:paraId="6F2CE5F4" w14:textId="77777777" w:rsidR="0044763A" w:rsidRPr="00AE3CFC" w:rsidRDefault="0044763A" w:rsidP="004A79E7">
                <w:pPr>
                  <w:spacing w:after="0" w:line="360" w:lineRule="auto"/>
                  <w:jc w:val="center"/>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Marriott</w:t>
                </w:r>
              </w:p>
            </w:tc>
          </w:tr>
          <w:tr w:rsidR="0044763A" w:rsidRPr="00AE3CFC" w14:paraId="68689475" w14:textId="77777777" w:rsidTr="0044763A">
            <w:trPr>
              <w:trHeight w:val="300"/>
            </w:trPr>
            <w:tc>
              <w:tcPr>
                <w:tcW w:w="3320" w:type="dxa"/>
                <w:gridSpan w:val="2"/>
                <w:tcBorders>
                  <w:top w:val="nil"/>
                  <w:left w:val="nil"/>
                  <w:bottom w:val="single" w:sz="4" w:space="0" w:color="auto"/>
                  <w:right w:val="nil"/>
                </w:tcBorders>
                <w:shd w:val="clear" w:color="000000" w:fill="B8CCE4"/>
                <w:noWrap/>
                <w:vAlign w:val="bottom"/>
                <w:hideMark/>
              </w:tcPr>
              <w:p w14:paraId="21CB2E0C"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lastRenderedPageBreak/>
                  <w:t>PROFITABILITY RATIOS:</w:t>
                </w:r>
              </w:p>
            </w:tc>
            <w:tc>
              <w:tcPr>
                <w:tcW w:w="3620" w:type="dxa"/>
                <w:tcBorders>
                  <w:top w:val="nil"/>
                  <w:left w:val="nil"/>
                  <w:bottom w:val="single" w:sz="4" w:space="0" w:color="auto"/>
                  <w:right w:val="nil"/>
                </w:tcBorders>
                <w:shd w:val="clear" w:color="000000" w:fill="B8CCE4"/>
                <w:noWrap/>
                <w:vAlign w:val="bottom"/>
                <w:hideMark/>
              </w:tcPr>
              <w:p w14:paraId="0AB2523D"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nil"/>
                  <w:left w:val="nil"/>
                  <w:bottom w:val="single" w:sz="4" w:space="0" w:color="auto"/>
                  <w:right w:val="nil"/>
                </w:tcBorders>
                <w:shd w:val="clear" w:color="000000" w:fill="B8CCE4"/>
                <w:noWrap/>
                <w:vAlign w:val="bottom"/>
                <w:hideMark/>
              </w:tcPr>
              <w:p w14:paraId="76099366"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3ADEA4AF" w14:textId="77777777" w:rsidTr="0044763A">
            <w:trPr>
              <w:trHeight w:val="300"/>
            </w:trPr>
            <w:tc>
              <w:tcPr>
                <w:tcW w:w="3320" w:type="dxa"/>
                <w:gridSpan w:val="2"/>
                <w:tcBorders>
                  <w:top w:val="nil"/>
                  <w:left w:val="nil"/>
                  <w:bottom w:val="nil"/>
                  <w:right w:val="nil"/>
                </w:tcBorders>
                <w:shd w:val="clear" w:color="000000" w:fill="B8CCE4"/>
                <w:noWrap/>
                <w:vAlign w:val="bottom"/>
                <w:hideMark/>
              </w:tcPr>
              <w:p w14:paraId="0F1435A2"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Gross Margin</w:t>
                </w:r>
              </w:p>
            </w:tc>
            <w:tc>
              <w:tcPr>
                <w:tcW w:w="3620" w:type="dxa"/>
                <w:tcBorders>
                  <w:top w:val="nil"/>
                  <w:left w:val="nil"/>
                  <w:bottom w:val="nil"/>
                  <w:right w:val="nil"/>
                </w:tcBorders>
                <w:shd w:val="clear" w:color="000000" w:fill="B8CCE4"/>
                <w:noWrap/>
                <w:vAlign w:val="bottom"/>
                <w:hideMark/>
              </w:tcPr>
              <w:p w14:paraId="155A3543"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0.19</w:t>
                </w:r>
              </w:p>
            </w:tc>
            <w:tc>
              <w:tcPr>
                <w:tcW w:w="480" w:type="dxa"/>
                <w:tcBorders>
                  <w:top w:val="nil"/>
                  <w:left w:val="nil"/>
                  <w:bottom w:val="nil"/>
                  <w:right w:val="nil"/>
                </w:tcBorders>
                <w:shd w:val="clear" w:color="000000" w:fill="B8CCE4"/>
                <w:noWrap/>
                <w:vAlign w:val="bottom"/>
                <w:hideMark/>
              </w:tcPr>
              <w:p w14:paraId="40BA01AA"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0.18</w:t>
                </w:r>
              </w:p>
            </w:tc>
          </w:tr>
          <w:tr w:rsidR="0044763A" w:rsidRPr="00AE3CFC" w14:paraId="62EA46F0" w14:textId="77777777" w:rsidTr="0044763A">
            <w:trPr>
              <w:trHeight w:val="300"/>
            </w:trPr>
            <w:tc>
              <w:tcPr>
                <w:tcW w:w="3320" w:type="dxa"/>
                <w:gridSpan w:val="2"/>
                <w:tcBorders>
                  <w:top w:val="nil"/>
                  <w:left w:val="nil"/>
                  <w:bottom w:val="single" w:sz="4" w:space="0" w:color="auto"/>
                  <w:right w:val="nil"/>
                </w:tcBorders>
                <w:shd w:val="clear" w:color="000000" w:fill="B8CCE4"/>
                <w:noWrap/>
                <w:vAlign w:val="bottom"/>
                <w:hideMark/>
              </w:tcPr>
              <w:p w14:paraId="0A60A3D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Gross Profit/Sales</w:t>
                </w:r>
              </w:p>
            </w:tc>
            <w:tc>
              <w:tcPr>
                <w:tcW w:w="3620" w:type="dxa"/>
                <w:tcBorders>
                  <w:top w:val="nil"/>
                  <w:left w:val="nil"/>
                  <w:bottom w:val="single" w:sz="4" w:space="0" w:color="auto"/>
                  <w:right w:val="nil"/>
                </w:tcBorders>
                <w:shd w:val="clear" w:color="000000" w:fill="B8CCE4"/>
                <w:noWrap/>
                <w:vAlign w:val="bottom"/>
                <w:hideMark/>
              </w:tcPr>
              <w:p w14:paraId="38796563"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B8CCE4"/>
                <w:noWrap/>
                <w:vAlign w:val="bottom"/>
                <w:hideMark/>
              </w:tcPr>
              <w:p w14:paraId="2433665A"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r w:rsidR="0044763A" w:rsidRPr="00AE3CFC" w14:paraId="239732CB" w14:textId="77777777" w:rsidTr="0044763A">
            <w:trPr>
              <w:trHeight w:val="300"/>
            </w:trPr>
            <w:tc>
              <w:tcPr>
                <w:tcW w:w="3320" w:type="dxa"/>
                <w:gridSpan w:val="2"/>
                <w:tcBorders>
                  <w:top w:val="nil"/>
                  <w:left w:val="nil"/>
                  <w:bottom w:val="nil"/>
                  <w:right w:val="nil"/>
                </w:tcBorders>
                <w:shd w:val="clear" w:color="000000" w:fill="B8CCE4"/>
                <w:noWrap/>
                <w:vAlign w:val="bottom"/>
                <w:hideMark/>
              </w:tcPr>
              <w:p w14:paraId="50B04086"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Operating Margin</w:t>
                </w:r>
              </w:p>
            </w:tc>
            <w:tc>
              <w:tcPr>
                <w:tcW w:w="3620" w:type="dxa"/>
                <w:tcBorders>
                  <w:top w:val="nil"/>
                  <w:left w:val="nil"/>
                  <w:bottom w:val="nil"/>
                  <w:right w:val="nil"/>
                </w:tcBorders>
                <w:shd w:val="clear" w:color="000000" w:fill="B8CCE4"/>
                <w:noWrap/>
                <w:vAlign w:val="bottom"/>
                <w:hideMark/>
              </w:tcPr>
              <w:p w14:paraId="14A83EA2"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0.13</w:t>
                </w:r>
              </w:p>
            </w:tc>
            <w:tc>
              <w:tcPr>
                <w:tcW w:w="480" w:type="dxa"/>
                <w:tcBorders>
                  <w:top w:val="nil"/>
                  <w:left w:val="nil"/>
                  <w:bottom w:val="nil"/>
                  <w:right w:val="nil"/>
                </w:tcBorders>
                <w:shd w:val="clear" w:color="000000" w:fill="B8CCE4"/>
                <w:noWrap/>
                <w:vAlign w:val="bottom"/>
                <w:hideMark/>
              </w:tcPr>
              <w:p w14:paraId="15777A30"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0.12</w:t>
                </w:r>
              </w:p>
            </w:tc>
          </w:tr>
          <w:tr w:rsidR="0044763A" w:rsidRPr="00AE3CFC" w14:paraId="5B97C42F" w14:textId="77777777" w:rsidTr="0044763A">
            <w:trPr>
              <w:trHeight w:val="300"/>
            </w:trPr>
            <w:tc>
              <w:tcPr>
                <w:tcW w:w="3320" w:type="dxa"/>
                <w:gridSpan w:val="2"/>
                <w:tcBorders>
                  <w:top w:val="nil"/>
                  <w:left w:val="nil"/>
                  <w:bottom w:val="single" w:sz="4" w:space="0" w:color="auto"/>
                  <w:right w:val="nil"/>
                </w:tcBorders>
                <w:shd w:val="clear" w:color="000000" w:fill="B8CCE4"/>
                <w:noWrap/>
                <w:vAlign w:val="bottom"/>
                <w:hideMark/>
              </w:tcPr>
              <w:p w14:paraId="7A8467CA"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Operating Income/Sales</w:t>
                </w:r>
              </w:p>
            </w:tc>
            <w:tc>
              <w:tcPr>
                <w:tcW w:w="3620" w:type="dxa"/>
                <w:tcBorders>
                  <w:top w:val="nil"/>
                  <w:left w:val="nil"/>
                  <w:bottom w:val="single" w:sz="4" w:space="0" w:color="auto"/>
                  <w:right w:val="nil"/>
                </w:tcBorders>
                <w:shd w:val="clear" w:color="000000" w:fill="B8CCE4"/>
                <w:noWrap/>
                <w:vAlign w:val="bottom"/>
                <w:hideMark/>
              </w:tcPr>
              <w:p w14:paraId="448EAC9D"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B8CCE4"/>
                <w:noWrap/>
                <w:vAlign w:val="bottom"/>
                <w:hideMark/>
              </w:tcPr>
              <w:p w14:paraId="3080E32B"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bl>
        <w:p w14:paraId="3F73BD74" w14:textId="320C6F1E"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end"/>
          </w:r>
        </w:p>
        <w:p w14:paraId="220FA991" w14:textId="561F5BEF" w:rsidR="0044763A" w:rsidRPr="00270DB3" w:rsidRDefault="0044763A" w:rsidP="004A79E7">
          <w:pPr>
            <w:pStyle w:val="Heading2"/>
            <w:spacing w:line="360" w:lineRule="auto"/>
            <w:rPr>
              <w:rFonts w:ascii="Times New Roman" w:hAnsi="Times New Roman" w:cs="Times New Roman"/>
              <w:sz w:val="36"/>
              <w:szCs w:val="36"/>
            </w:rPr>
          </w:pPr>
          <w:bookmarkStart w:id="5" w:name="_Toc120541005"/>
          <w:r w:rsidRPr="00270DB3">
            <w:rPr>
              <w:rFonts w:ascii="Times New Roman" w:hAnsi="Times New Roman" w:cs="Times New Roman"/>
              <w:sz w:val="36"/>
              <w:szCs w:val="36"/>
            </w:rPr>
            <w:t>Leverage Ratios</w:t>
          </w:r>
          <w:bookmarkEnd w:id="5"/>
        </w:p>
        <w:p w14:paraId="534386F1" w14:textId="05BC5C60"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begin"/>
          </w:r>
          <w:r w:rsidRPr="00AE3CFC">
            <w:rPr>
              <w:rFonts w:ascii="Times New Roman" w:hAnsi="Times New Roman" w:cs="Times New Roman"/>
            </w:rPr>
            <w:instrText xml:space="preserve"> LINK Excel.Sheet.12 "C:\\Users\\ADMIN\\Downloads\\Rolls-Royce.xlsx" "Sheet1!R29C1:R44C4" \a \f 4 \h </w:instrText>
          </w:r>
          <w:r w:rsidR="0052129F" w:rsidRPr="00AE3CFC">
            <w:rPr>
              <w:rFonts w:ascii="Times New Roman" w:hAnsi="Times New Roman" w:cs="Times New Roman"/>
            </w:rPr>
            <w:instrText xml:space="preserve"> \* MERGEFORMAT </w:instrText>
          </w:r>
          <w:r w:rsidRPr="00AE3CFC">
            <w:rPr>
              <w:rFonts w:ascii="Times New Roman" w:hAnsi="Times New Roman" w:cs="Times New Roman"/>
            </w:rPr>
            <w:fldChar w:fldCharType="separate"/>
          </w:r>
        </w:p>
        <w:tbl>
          <w:tblPr>
            <w:tblW w:w="7420" w:type="dxa"/>
            <w:tblInd w:w="108" w:type="dxa"/>
            <w:tblLook w:val="04A0" w:firstRow="1" w:lastRow="0" w:firstColumn="1" w:lastColumn="0" w:noHBand="0" w:noVBand="1"/>
          </w:tblPr>
          <w:tblGrid>
            <w:gridCol w:w="960"/>
            <w:gridCol w:w="2360"/>
            <w:gridCol w:w="3620"/>
            <w:gridCol w:w="821"/>
          </w:tblGrid>
          <w:tr w:rsidR="0044763A" w:rsidRPr="00AE3CFC" w14:paraId="70861DBA" w14:textId="77777777" w:rsidTr="0044763A">
            <w:trPr>
              <w:trHeight w:val="300"/>
            </w:trPr>
            <w:tc>
              <w:tcPr>
                <w:tcW w:w="960" w:type="dxa"/>
                <w:tcBorders>
                  <w:top w:val="nil"/>
                  <w:left w:val="nil"/>
                  <w:bottom w:val="nil"/>
                  <w:right w:val="nil"/>
                </w:tcBorders>
                <w:shd w:val="clear" w:color="auto" w:fill="auto"/>
                <w:noWrap/>
                <w:vAlign w:val="bottom"/>
                <w:hideMark/>
              </w:tcPr>
              <w:p w14:paraId="394497B4"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2360" w:type="dxa"/>
                <w:tcBorders>
                  <w:top w:val="nil"/>
                  <w:left w:val="nil"/>
                  <w:bottom w:val="nil"/>
                  <w:right w:val="nil"/>
                </w:tcBorders>
                <w:shd w:val="clear" w:color="auto" w:fill="auto"/>
                <w:noWrap/>
                <w:vAlign w:val="bottom"/>
                <w:hideMark/>
              </w:tcPr>
              <w:p w14:paraId="177CAD2F"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p>
            </w:tc>
            <w:tc>
              <w:tcPr>
                <w:tcW w:w="4100" w:type="dxa"/>
                <w:gridSpan w:val="2"/>
                <w:tcBorders>
                  <w:top w:val="nil"/>
                  <w:left w:val="nil"/>
                  <w:bottom w:val="nil"/>
                  <w:right w:val="nil"/>
                </w:tcBorders>
                <w:shd w:val="clear" w:color="auto" w:fill="auto"/>
                <w:noWrap/>
                <w:vAlign w:val="bottom"/>
                <w:hideMark/>
              </w:tcPr>
              <w:p w14:paraId="250CA0EB" w14:textId="77777777" w:rsidR="0044763A" w:rsidRPr="00AE3CFC" w:rsidRDefault="0044763A" w:rsidP="004A79E7">
                <w:pPr>
                  <w:spacing w:after="0" w:line="360" w:lineRule="auto"/>
                  <w:jc w:val="center"/>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Marriott</w:t>
                </w:r>
              </w:p>
            </w:tc>
          </w:tr>
          <w:tr w:rsidR="0044763A" w:rsidRPr="00AE3CFC" w14:paraId="6EA14DA0" w14:textId="77777777" w:rsidTr="0044763A">
            <w:trPr>
              <w:trHeight w:val="300"/>
            </w:trPr>
            <w:tc>
              <w:tcPr>
                <w:tcW w:w="3320" w:type="dxa"/>
                <w:gridSpan w:val="2"/>
                <w:tcBorders>
                  <w:top w:val="nil"/>
                  <w:left w:val="nil"/>
                  <w:bottom w:val="nil"/>
                  <w:right w:val="nil"/>
                </w:tcBorders>
                <w:shd w:val="clear" w:color="000000" w:fill="D9D9D9"/>
                <w:noWrap/>
                <w:vAlign w:val="bottom"/>
                <w:hideMark/>
              </w:tcPr>
              <w:p w14:paraId="642F57E9"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LEVERAGE RATIOS Input:</w:t>
                </w:r>
              </w:p>
            </w:tc>
            <w:tc>
              <w:tcPr>
                <w:tcW w:w="3620" w:type="dxa"/>
                <w:tcBorders>
                  <w:top w:val="nil"/>
                  <w:left w:val="nil"/>
                  <w:bottom w:val="nil"/>
                  <w:right w:val="nil"/>
                </w:tcBorders>
                <w:shd w:val="clear" w:color="000000" w:fill="D9D9D9"/>
                <w:noWrap/>
                <w:vAlign w:val="bottom"/>
                <w:hideMark/>
              </w:tcPr>
              <w:p w14:paraId="074C82DA"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nil"/>
                  <w:left w:val="nil"/>
                  <w:bottom w:val="nil"/>
                  <w:right w:val="nil"/>
                </w:tcBorders>
                <w:shd w:val="clear" w:color="000000" w:fill="D9D9D9"/>
                <w:noWrap/>
                <w:vAlign w:val="bottom"/>
                <w:hideMark/>
              </w:tcPr>
              <w:p w14:paraId="1D44ACAE"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498B6442"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3D2BD8BA"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Debt</w:t>
                </w:r>
              </w:p>
            </w:tc>
            <w:tc>
              <w:tcPr>
                <w:tcW w:w="3620" w:type="dxa"/>
                <w:tcBorders>
                  <w:top w:val="nil"/>
                  <w:left w:val="nil"/>
                  <w:bottom w:val="nil"/>
                  <w:right w:val="nil"/>
                </w:tcBorders>
                <w:shd w:val="clear" w:color="auto" w:fill="auto"/>
                <w:noWrap/>
                <w:vAlign w:val="bottom"/>
                <w:hideMark/>
              </w:tcPr>
              <w:p w14:paraId="56263D19"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24,139</w:t>
                </w:r>
              </w:p>
            </w:tc>
            <w:tc>
              <w:tcPr>
                <w:tcW w:w="480" w:type="dxa"/>
                <w:tcBorders>
                  <w:top w:val="nil"/>
                  <w:left w:val="nil"/>
                  <w:bottom w:val="nil"/>
                  <w:right w:val="nil"/>
                </w:tcBorders>
                <w:shd w:val="clear" w:color="auto" w:fill="auto"/>
                <w:noWrap/>
                <w:vAlign w:val="bottom"/>
                <w:hideMark/>
              </w:tcPr>
              <w:p w14:paraId="1402C6A5" w14:textId="77777777" w:rsidR="0044763A" w:rsidRPr="00AE3CFC" w:rsidRDefault="0044763A" w:rsidP="004A79E7">
                <w:pPr>
                  <w:spacing w:after="0" w:line="360" w:lineRule="auto"/>
                  <w:jc w:val="right"/>
                  <w:rPr>
                    <w:rFonts w:ascii="Times New Roman" w:eastAsia="Times New Roman" w:hAnsi="Times New Roman" w:cs="Times New Roman"/>
                    <w:color w:val="FF0000"/>
                    <w:lang w:val="en-IN" w:eastAsia="en-IN"/>
                  </w:rPr>
                </w:pPr>
                <w:r w:rsidRPr="00AE3CFC">
                  <w:rPr>
                    <w:rFonts w:ascii="Times New Roman" w:eastAsia="Times New Roman" w:hAnsi="Times New Roman" w:cs="Times New Roman"/>
                    <w:color w:val="FF0000"/>
                    <w:lang w:val="en-IN" w:eastAsia="en-IN"/>
                  </w:rPr>
                  <w:t>24,271</w:t>
                </w:r>
              </w:p>
            </w:tc>
          </w:tr>
          <w:tr w:rsidR="0044763A" w:rsidRPr="00AE3CFC" w14:paraId="75E54398"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03921A49"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Equity</w:t>
                </w:r>
              </w:p>
            </w:tc>
            <w:tc>
              <w:tcPr>
                <w:tcW w:w="3620" w:type="dxa"/>
                <w:tcBorders>
                  <w:top w:val="nil"/>
                  <w:left w:val="nil"/>
                  <w:bottom w:val="nil"/>
                  <w:right w:val="nil"/>
                </w:tcBorders>
                <w:shd w:val="clear" w:color="auto" w:fill="auto"/>
                <w:noWrap/>
                <w:vAlign w:val="bottom"/>
                <w:hideMark/>
              </w:tcPr>
              <w:p w14:paraId="170721FD"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1,414</w:t>
                </w:r>
              </w:p>
            </w:tc>
            <w:tc>
              <w:tcPr>
                <w:tcW w:w="480" w:type="dxa"/>
                <w:tcBorders>
                  <w:top w:val="nil"/>
                  <w:left w:val="nil"/>
                  <w:bottom w:val="nil"/>
                  <w:right w:val="nil"/>
                </w:tcBorders>
                <w:shd w:val="clear" w:color="auto" w:fill="auto"/>
                <w:noWrap/>
                <w:vAlign w:val="bottom"/>
                <w:hideMark/>
              </w:tcPr>
              <w:p w14:paraId="07AF949F"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430</w:t>
                </w:r>
              </w:p>
            </w:tc>
          </w:tr>
          <w:tr w:rsidR="0044763A" w:rsidRPr="00AE3CFC" w14:paraId="3BD956BB"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775F0205"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Assets</w:t>
                </w:r>
              </w:p>
            </w:tc>
            <w:tc>
              <w:tcPr>
                <w:tcW w:w="3620" w:type="dxa"/>
                <w:tcBorders>
                  <w:top w:val="nil"/>
                  <w:left w:val="nil"/>
                  <w:bottom w:val="nil"/>
                  <w:right w:val="nil"/>
                </w:tcBorders>
                <w:shd w:val="clear" w:color="auto" w:fill="auto"/>
                <w:noWrap/>
                <w:vAlign w:val="bottom"/>
                <w:hideMark/>
              </w:tcPr>
              <w:p w14:paraId="12DD77EC"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25,553</w:t>
                </w:r>
              </w:p>
            </w:tc>
            <w:tc>
              <w:tcPr>
                <w:tcW w:w="480" w:type="dxa"/>
                <w:tcBorders>
                  <w:top w:val="nil"/>
                  <w:left w:val="nil"/>
                  <w:bottom w:val="nil"/>
                  <w:right w:val="nil"/>
                </w:tcBorders>
                <w:shd w:val="clear" w:color="auto" w:fill="auto"/>
                <w:noWrap/>
                <w:vAlign w:val="bottom"/>
                <w:hideMark/>
              </w:tcPr>
              <w:p w14:paraId="554E672F"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24,701</w:t>
                </w:r>
              </w:p>
            </w:tc>
          </w:tr>
          <w:tr w:rsidR="0044763A" w:rsidRPr="00AE3CFC" w14:paraId="29524151"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1BE129EA"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EBIT (Operating income)</w:t>
                </w:r>
              </w:p>
            </w:tc>
            <w:tc>
              <w:tcPr>
                <w:tcW w:w="3620" w:type="dxa"/>
                <w:tcBorders>
                  <w:top w:val="nil"/>
                  <w:left w:val="nil"/>
                  <w:bottom w:val="nil"/>
                  <w:right w:val="nil"/>
                </w:tcBorders>
                <w:shd w:val="clear" w:color="auto" w:fill="auto"/>
                <w:noWrap/>
                <w:vAlign w:val="bottom"/>
                <w:hideMark/>
              </w:tcPr>
              <w:p w14:paraId="2811B1A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w:t>
                </w:r>
              </w:p>
            </w:tc>
            <w:tc>
              <w:tcPr>
                <w:tcW w:w="480" w:type="dxa"/>
                <w:tcBorders>
                  <w:top w:val="nil"/>
                  <w:left w:val="nil"/>
                  <w:bottom w:val="nil"/>
                  <w:right w:val="nil"/>
                </w:tcBorders>
                <w:shd w:val="clear" w:color="auto" w:fill="auto"/>
                <w:noWrap/>
                <w:vAlign w:val="bottom"/>
                <w:hideMark/>
              </w:tcPr>
              <w:p w14:paraId="49D91D9F"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w:t>
                </w:r>
              </w:p>
            </w:tc>
          </w:tr>
          <w:tr w:rsidR="0044763A" w:rsidRPr="00AE3CFC" w14:paraId="34832631" w14:textId="77777777" w:rsidTr="0044763A">
            <w:trPr>
              <w:trHeight w:val="300"/>
            </w:trPr>
            <w:tc>
              <w:tcPr>
                <w:tcW w:w="3320" w:type="dxa"/>
                <w:gridSpan w:val="2"/>
                <w:tcBorders>
                  <w:top w:val="nil"/>
                  <w:left w:val="nil"/>
                  <w:bottom w:val="nil"/>
                  <w:right w:val="nil"/>
                </w:tcBorders>
                <w:shd w:val="clear" w:color="auto" w:fill="auto"/>
                <w:noWrap/>
                <w:vAlign w:val="bottom"/>
                <w:hideMark/>
              </w:tcPr>
              <w:p w14:paraId="53A0911F"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Interest Expense</w:t>
                </w:r>
              </w:p>
            </w:tc>
            <w:tc>
              <w:tcPr>
                <w:tcW w:w="3620" w:type="dxa"/>
                <w:tcBorders>
                  <w:top w:val="nil"/>
                  <w:left w:val="nil"/>
                  <w:bottom w:val="nil"/>
                  <w:right w:val="nil"/>
                </w:tcBorders>
                <w:shd w:val="clear" w:color="auto" w:fill="auto"/>
                <w:noWrap/>
                <w:vAlign w:val="bottom"/>
                <w:hideMark/>
              </w:tcPr>
              <w:p w14:paraId="51EC442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420</w:t>
                </w:r>
              </w:p>
            </w:tc>
            <w:tc>
              <w:tcPr>
                <w:tcW w:w="480" w:type="dxa"/>
                <w:tcBorders>
                  <w:top w:val="nil"/>
                  <w:left w:val="nil"/>
                  <w:bottom w:val="nil"/>
                  <w:right w:val="nil"/>
                </w:tcBorders>
                <w:shd w:val="clear" w:color="auto" w:fill="auto"/>
                <w:noWrap/>
                <w:vAlign w:val="bottom"/>
                <w:hideMark/>
              </w:tcPr>
              <w:p w14:paraId="6FFF699A" w14:textId="77777777" w:rsidR="0044763A" w:rsidRPr="00AE3CFC" w:rsidRDefault="0044763A" w:rsidP="004A79E7">
                <w:pPr>
                  <w:spacing w:after="0" w:line="360" w:lineRule="auto"/>
                  <w:jc w:val="right"/>
                  <w:rPr>
                    <w:rFonts w:ascii="Times New Roman" w:eastAsia="Times New Roman" w:hAnsi="Times New Roman" w:cs="Times New Roman"/>
                    <w:color w:val="FF0000"/>
                    <w:lang w:val="en-IN" w:eastAsia="en-IN"/>
                  </w:rPr>
                </w:pPr>
                <w:r w:rsidRPr="00AE3CFC">
                  <w:rPr>
                    <w:rFonts w:ascii="Times New Roman" w:eastAsia="Times New Roman" w:hAnsi="Times New Roman" w:cs="Times New Roman"/>
                    <w:color w:val="FF0000"/>
                    <w:lang w:val="en-IN" w:eastAsia="en-IN"/>
                  </w:rPr>
                  <w:t>445</w:t>
                </w:r>
              </w:p>
            </w:tc>
          </w:tr>
          <w:tr w:rsidR="0044763A" w:rsidRPr="00AE3CFC" w14:paraId="0CD808C6" w14:textId="77777777" w:rsidTr="0044763A">
            <w:trPr>
              <w:trHeight w:val="300"/>
            </w:trPr>
            <w:tc>
              <w:tcPr>
                <w:tcW w:w="3320" w:type="dxa"/>
                <w:gridSpan w:val="2"/>
                <w:tcBorders>
                  <w:top w:val="single" w:sz="4" w:space="0" w:color="auto"/>
                  <w:left w:val="nil"/>
                  <w:bottom w:val="single" w:sz="4" w:space="0" w:color="auto"/>
                  <w:right w:val="nil"/>
                </w:tcBorders>
                <w:shd w:val="clear" w:color="000000" w:fill="D9D9D9"/>
                <w:noWrap/>
                <w:vAlign w:val="bottom"/>
                <w:hideMark/>
              </w:tcPr>
              <w:p w14:paraId="265CF959"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LEVERAGE RATIOS:</w:t>
                </w:r>
              </w:p>
            </w:tc>
            <w:tc>
              <w:tcPr>
                <w:tcW w:w="3620" w:type="dxa"/>
                <w:tcBorders>
                  <w:top w:val="single" w:sz="4" w:space="0" w:color="auto"/>
                  <w:left w:val="nil"/>
                  <w:bottom w:val="single" w:sz="4" w:space="0" w:color="auto"/>
                  <w:right w:val="nil"/>
                </w:tcBorders>
                <w:shd w:val="clear" w:color="000000" w:fill="D9D9D9"/>
                <w:noWrap/>
                <w:vAlign w:val="bottom"/>
                <w:hideMark/>
              </w:tcPr>
              <w:p w14:paraId="57D6931D"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2021</w:t>
                </w:r>
              </w:p>
            </w:tc>
            <w:tc>
              <w:tcPr>
                <w:tcW w:w="480" w:type="dxa"/>
                <w:tcBorders>
                  <w:top w:val="single" w:sz="4" w:space="0" w:color="auto"/>
                  <w:left w:val="nil"/>
                  <w:bottom w:val="single" w:sz="4" w:space="0" w:color="auto"/>
                  <w:right w:val="nil"/>
                </w:tcBorders>
                <w:shd w:val="clear" w:color="000000" w:fill="D9D9D9"/>
                <w:noWrap/>
                <w:vAlign w:val="bottom"/>
                <w:hideMark/>
              </w:tcPr>
              <w:p w14:paraId="5DD699D2" w14:textId="77777777" w:rsidR="0044763A" w:rsidRPr="00AE3CFC" w:rsidRDefault="0044763A" w:rsidP="004A79E7">
                <w:pPr>
                  <w:spacing w:after="0" w:line="360" w:lineRule="auto"/>
                  <w:jc w:val="right"/>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2020</w:t>
                </w:r>
              </w:p>
            </w:tc>
          </w:tr>
          <w:tr w:rsidR="0044763A" w:rsidRPr="00AE3CFC" w14:paraId="27500452" w14:textId="77777777" w:rsidTr="0044763A">
            <w:trPr>
              <w:trHeight w:val="300"/>
            </w:trPr>
            <w:tc>
              <w:tcPr>
                <w:tcW w:w="3320" w:type="dxa"/>
                <w:gridSpan w:val="2"/>
                <w:tcBorders>
                  <w:top w:val="nil"/>
                  <w:left w:val="nil"/>
                  <w:bottom w:val="nil"/>
                  <w:right w:val="nil"/>
                </w:tcBorders>
                <w:shd w:val="clear" w:color="000000" w:fill="D9D9D9"/>
                <w:noWrap/>
                <w:vAlign w:val="bottom"/>
                <w:hideMark/>
              </w:tcPr>
              <w:p w14:paraId="56D55497"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Debt/Equity Ratio</w:t>
                </w:r>
              </w:p>
            </w:tc>
            <w:tc>
              <w:tcPr>
                <w:tcW w:w="3620" w:type="dxa"/>
                <w:tcBorders>
                  <w:top w:val="nil"/>
                  <w:left w:val="nil"/>
                  <w:bottom w:val="nil"/>
                  <w:right w:val="nil"/>
                </w:tcBorders>
                <w:shd w:val="clear" w:color="000000" w:fill="D9D9D9"/>
                <w:noWrap/>
                <w:vAlign w:val="bottom"/>
                <w:hideMark/>
              </w:tcPr>
              <w:p w14:paraId="511B1BB1"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17.07</w:t>
                </w:r>
              </w:p>
            </w:tc>
            <w:tc>
              <w:tcPr>
                <w:tcW w:w="480" w:type="dxa"/>
                <w:tcBorders>
                  <w:top w:val="nil"/>
                  <w:left w:val="nil"/>
                  <w:bottom w:val="nil"/>
                  <w:right w:val="nil"/>
                </w:tcBorders>
                <w:shd w:val="clear" w:color="000000" w:fill="D9D9D9"/>
                <w:noWrap/>
                <w:vAlign w:val="bottom"/>
                <w:hideMark/>
              </w:tcPr>
              <w:p w14:paraId="1802324A"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56.44</w:t>
                </w:r>
              </w:p>
            </w:tc>
          </w:tr>
          <w:tr w:rsidR="0044763A" w:rsidRPr="00AE3CFC" w14:paraId="413F0367" w14:textId="77777777" w:rsidTr="0044763A">
            <w:trPr>
              <w:trHeight w:val="300"/>
            </w:trPr>
            <w:tc>
              <w:tcPr>
                <w:tcW w:w="3320" w:type="dxa"/>
                <w:gridSpan w:val="2"/>
                <w:tcBorders>
                  <w:top w:val="nil"/>
                  <w:left w:val="nil"/>
                  <w:bottom w:val="single" w:sz="4" w:space="0" w:color="auto"/>
                  <w:right w:val="nil"/>
                </w:tcBorders>
                <w:shd w:val="clear" w:color="000000" w:fill="D9D9D9"/>
                <w:noWrap/>
                <w:vAlign w:val="bottom"/>
                <w:hideMark/>
              </w:tcPr>
              <w:p w14:paraId="43C2838C"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Debt/Total Equity</w:t>
                </w:r>
              </w:p>
            </w:tc>
            <w:tc>
              <w:tcPr>
                <w:tcW w:w="3620" w:type="dxa"/>
                <w:tcBorders>
                  <w:top w:val="nil"/>
                  <w:left w:val="nil"/>
                  <w:bottom w:val="single" w:sz="4" w:space="0" w:color="auto"/>
                  <w:right w:val="nil"/>
                </w:tcBorders>
                <w:shd w:val="clear" w:color="000000" w:fill="D9D9D9"/>
                <w:noWrap/>
                <w:vAlign w:val="bottom"/>
                <w:hideMark/>
              </w:tcPr>
              <w:p w14:paraId="183D6FD2"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9D9D9"/>
                <w:noWrap/>
                <w:vAlign w:val="bottom"/>
                <w:hideMark/>
              </w:tcPr>
              <w:p w14:paraId="07F79C97"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r w:rsidR="0044763A" w:rsidRPr="00AE3CFC" w14:paraId="7AC84538" w14:textId="77777777" w:rsidTr="0044763A">
            <w:trPr>
              <w:trHeight w:val="300"/>
            </w:trPr>
            <w:tc>
              <w:tcPr>
                <w:tcW w:w="3320" w:type="dxa"/>
                <w:gridSpan w:val="2"/>
                <w:tcBorders>
                  <w:top w:val="nil"/>
                  <w:left w:val="nil"/>
                  <w:bottom w:val="nil"/>
                  <w:right w:val="nil"/>
                </w:tcBorders>
                <w:shd w:val="clear" w:color="000000" w:fill="D9D9D9"/>
                <w:noWrap/>
                <w:vAlign w:val="bottom"/>
                <w:hideMark/>
              </w:tcPr>
              <w:p w14:paraId="29726940"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Debt/Capital Ratio</w:t>
                </w:r>
              </w:p>
            </w:tc>
            <w:tc>
              <w:tcPr>
                <w:tcW w:w="3620" w:type="dxa"/>
                <w:tcBorders>
                  <w:top w:val="nil"/>
                  <w:left w:val="nil"/>
                  <w:bottom w:val="nil"/>
                  <w:right w:val="nil"/>
                </w:tcBorders>
                <w:shd w:val="clear" w:color="000000" w:fill="D9D9D9"/>
                <w:noWrap/>
                <w:vAlign w:val="bottom"/>
                <w:hideMark/>
              </w:tcPr>
              <w:p w14:paraId="253C8622"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0.94</w:t>
                </w:r>
              </w:p>
            </w:tc>
            <w:tc>
              <w:tcPr>
                <w:tcW w:w="480" w:type="dxa"/>
                <w:tcBorders>
                  <w:top w:val="nil"/>
                  <w:left w:val="nil"/>
                  <w:bottom w:val="nil"/>
                  <w:right w:val="nil"/>
                </w:tcBorders>
                <w:shd w:val="clear" w:color="000000" w:fill="D9D9D9"/>
                <w:noWrap/>
                <w:vAlign w:val="bottom"/>
                <w:hideMark/>
              </w:tcPr>
              <w:p w14:paraId="1DF27D93"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0.98</w:t>
                </w:r>
              </w:p>
            </w:tc>
          </w:tr>
          <w:tr w:rsidR="0044763A" w:rsidRPr="00AE3CFC" w14:paraId="5CA8C95A" w14:textId="77777777" w:rsidTr="0044763A">
            <w:trPr>
              <w:trHeight w:val="300"/>
            </w:trPr>
            <w:tc>
              <w:tcPr>
                <w:tcW w:w="3320" w:type="dxa"/>
                <w:gridSpan w:val="2"/>
                <w:tcBorders>
                  <w:top w:val="nil"/>
                  <w:left w:val="nil"/>
                  <w:bottom w:val="single" w:sz="4" w:space="0" w:color="auto"/>
                  <w:right w:val="nil"/>
                </w:tcBorders>
                <w:shd w:val="clear" w:color="000000" w:fill="D9D9D9"/>
                <w:noWrap/>
                <w:vAlign w:val="bottom"/>
                <w:hideMark/>
              </w:tcPr>
              <w:p w14:paraId="701466DC"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Debt</w:t>
                </w:r>
                <w:proofErr w:type="gramStart"/>
                <w:r w:rsidRPr="00AE3CFC">
                  <w:rPr>
                    <w:rFonts w:ascii="Times New Roman" w:eastAsia="Times New Roman" w:hAnsi="Times New Roman" w:cs="Times New Roman"/>
                    <w:color w:val="000000"/>
                    <w:lang w:val="en-IN" w:eastAsia="en-IN"/>
                  </w:rPr>
                  <w:t>/(</w:t>
                </w:r>
                <w:proofErr w:type="spellStart"/>
                <w:proofErr w:type="gramEnd"/>
                <w:r w:rsidRPr="00AE3CFC">
                  <w:rPr>
                    <w:rFonts w:ascii="Times New Roman" w:eastAsia="Times New Roman" w:hAnsi="Times New Roman" w:cs="Times New Roman"/>
                    <w:color w:val="000000"/>
                    <w:lang w:val="en-IN" w:eastAsia="en-IN"/>
                  </w:rPr>
                  <w:t>Tot.Equity+Tot.Debt</w:t>
                </w:r>
                <w:proofErr w:type="spellEnd"/>
                <w:r w:rsidRPr="00AE3CFC">
                  <w:rPr>
                    <w:rFonts w:ascii="Times New Roman" w:eastAsia="Times New Roman" w:hAnsi="Times New Roman" w:cs="Times New Roman"/>
                    <w:color w:val="000000"/>
                    <w:lang w:val="en-IN" w:eastAsia="en-IN"/>
                  </w:rPr>
                  <w:t>)</w:t>
                </w:r>
              </w:p>
            </w:tc>
            <w:tc>
              <w:tcPr>
                <w:tcW w:w="3620" w:type="dxa"/>
                <w:tcBorders>
                  <w:top w:val="nil"/>
                  <w:left w:val="nil"/>
                  <w:bottom w:val="single" w:sz="4" w:space="0" w:color="auto"/>
                  <w:right w:val="nil"/>
                </w:tcBorders>
                <w:shd w:val="clear" w:color="000000" w:fill="D9D9D9"/>
                <w:noWrap/>
                <w:vAlign w:val="bottom"/>
                <w:hideMark/>
              </w:tcPr>
              <w:p w14:paraId="59BAE6F4"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9D9D9"/>
                <w:noWrap/>
                <w:vAlign w:val="bottom"/>
                <w:hideMark/>
              </w:tcPr>
              <w:p w14:paraId="723B012B"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r w:rsidR="0044763A" w:rsidRPr="00AE3CFC" w14:paraId="5FF7446D" w14:textId="77777777" w:rsidTr="0044763A">
            <w:trPr>
              <w:trHeight w:val="300"/>
            </w:trPr>
            <w:tc>
              <w:tcPr>
                <w:tcW w:w="3320" w:type="dxa"/>
                <w:gridSpan w:val="2"/>
                <w:tcBorders>
                  <w:top w:val="nil"/>
                  <w:left w:val="nil"/>
                  <w:bottom w:val="nil"/>
                  <w:right w:val="nil"/>
                </w:tcBorders>
                <w:shd w:val="clear" w:color="000000" w:fill="D9D9D9"/>
                <w:noWrap/>
                <w:vAlign w:val="bottom"/>
                <w:hideMark/>
              </w:tcPr>
              <w:p w14:paraId="52416FEA"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Equity Multiplier</w:t>
                </w:r>
              </w:p>
            </w:tc>
            <w:tc>
              <w:tcPr>
                <w:tcW w:w="3620" w:type="dxa"/>
                <w:tcBorders>
                  <w:top w:val="nil"/>
                  <w:left w:val="nil"/>
                  <w:bottom w:val="nil"/>
                  <w:right w:val="nil"/>
                </w:tcBorders>
                <w:shd w:val="clear" w:color="000000" w:fill="D9D9D9"/>
                <w:noWrap/>
                <w:vAlign w:val="bottom"/>
                <w:hideMark/>
              </w:tcPr>
              <w:p w14:paraId="336F4544"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18.07</w:t>
                </w:r>
              </w:p>
            </w:tc>
            <w:tc>
              <w:tcPr>
                <w:tcW w:w="480" w:type="dxa"/>
                <w:tcBorders>
                  <w:top w:val="nil"/>
                  <w:left w:val="nil"/>
                  <w:bottom w:val="nil"/>
                  <w:right w:val="nil"/>
                </w:tcBorders>
                <w:shd w:val="clear" w:color="000000" w:fill="D9D9D9"/>
                <w:noWrap/>
                <w:vAlign w:val="bottom"/>
                <w:hideMark/>
              </w:tcPr>
              <w:p w14:paraId="4EC112B3"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57.44</w:t>
                </w:r>
              </w:p>
            </w:tc>
          </w:tr>
          <w:tr w:rsidR="0044763A" w:rsidRPr="00AE3CFC" w14:paraId="3AB3B1CE" w14:textId="77777777" w:rsidTr="0044763A">
            <w:trPr>
              <w:trHeight w:val="300"/>
            </w:trPr>
            <w:tc>
              <w:tcPr>
                <w:tcW w:w="3320" w:type="dxa"/>
                <w:gridSpan w:val="2"/>
                <w:tcBorders>
                  <w:top w:val="nil"/>
                  <w:left w:val="nil"/>
                  <w:bottom w:val="single" w:sz="4" w:space="0" w:color="auto"/>
                  <w:right w:val="nil"/>
                </w:tcBorders>
                <w:shd w:val="clear" w:color="000000" w:fill="D9D9D9"/>
                <w:noWrap/>
                <w:vAlign w:val="bottom"/>
                <w:hideMark/>
              </w:tcPr>
              <w:p w14:paraId="2C08FCEA"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Total Assets/Total Equity</w:t>
                </w:r>
              </w:p>
            </w:tc>
            <w:tc>
              <w:tcPr>
                <w:tcW w:w="3620" w:type="dxa"/>
                <w:tcBorders>
                  <w:top w:val="nil"/>
                  <w:left w:val="nil"/>
                  <w:bottom w:val="single" w:sz="4" w:space="0" w:color="auto"/>
                  <w:right w:val="nil"/>
                </w:tcBorders>
                <w:shd w:val="clear" w:color="000000" w:fill="D9D9D9"/>
                <w:noWrap/>
                <w:vAlign w:val="bottom"/>
                <w:hideMark/>
              </w:tcPr>
              <w:p w14:paraId="6FDB6563"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9D9D9"/>
                <w:noWrap/>
                <w:vAlign w:val="bottom"/>
                <w:hideMark/>
              </w:tcPr>
              <w:p w14:paraId="4ECD72A3"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r w:rsidR="0044763A" w:rsidRPr="00AE3CFC" w14:paraId="144CE6D2" w14:textId="77777777" w:rsidTr="0044763A">
            <w:trPr>
              <w:trHeight w:val="300"/>
            </w:trPr>
            <w:tc>
              <w:tcPr>
                <w:tcW w:w="3320" w:type="dxa"/>
                <w:gridSpan w:val="2"/>
                <w:tcBorders>
                  <w:top w:val="nil"/>
                  <w:left w:val="nil"/>
                  <w:bottom w:val="nil"/>
                  <w:right w:val="nil"/>
                </w:tcBorders>
                <w:shd w:val="clear" w:color="000000" w:fill="D9D9D9"/>
                <w:noWrap/>
                <w:vAlign w:val="bottom"/>
                <w:hideMark/>
              </w:tcPr>
              <w:p w14:paraId="1AB8F678" w14:textId="77777777" w:rsidR="0044763A" w:rsidRPr="00AE3CFC" w:rsidRDefault="0044763A" w:rsidP="004A79E7">
                <w:pPr>
                  <w:spacing w:after="0" w:line="360" w:lineRule="auto"/>
                  <w:rPr>
                    <w:rFonts w:ascii="Times New Roman" w:eastAsia="Times New Roman" w:hAnsi="Times New Roman" w:cs="Times New Roman"/>
                    <w:b/>
                    <w:bCs/>
                    <w:color w:val="000000"/>
                    <w:lang w:val="en-IN" w:eastAsia="en-IN"/>
                  </w:rPr>
                </w:pPr>
                <w:r w:rsidRPr="00AE3CFC">
                  <w:rPr>
                    <w:rFonts w:ascii="Times New Roman" w:eastAsia="Times New Roman" w:hAnsi="Times New Roman" w:cs="Times New Roman"/>
                    <w:b/>
                    <w:bCs/>
                    <w:color w:val="000000"/>
                    <w:lang w:val="en-IN" w:eastAsia="en-IN"/>
                  </w:rPr>
                  <w:t>Interest Coverage Ratio</w:t>
                </w:r>
              </w:p>
            </w:tc>
            <w:tc>
              <w:tcPr>
                <w:tcW w:w="3620" w:type="dxa"/>
                <w:tcBorders>
                  <w:top w:val="nil"/>
                  <w:left w:val="nil"/>
                  <w:bottom w:val="nil"/>
                  <w:right w:val="nil"/>
                </w:tcBorders>
                <w:shd w:val="clear" w:color="000000" w:fill="D9D9D9"/>
                <w:noWrap/>
                <w:vAlign w:val="bottom"/>
                <w:hideMark/>
              </w:tcPr>
              <w:p w14:paraId="44D409C6"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0.00</w:t>
                </w:r>
              </w:p>
            </w:tc>
            <w:tc>
              <w:tcPr>
                <w:tcW w:w="480" w:type="dxa"/>
                <w:tcBorders>
                  <w:top w:val="nil"/>
                  <w:left w:val="nil"/>
                  <w:bottom w:val="nil"/>
                  <w:right w:val="nil"/>
                </w:tcBorders>
                <w:shd w:val="clear" w:color="000000" w:fill="D9D9D9"/>
                <w:noWrap/>
                <w:vAlign w:val="bottom"/>
                <w:hideMark/>
              </w:tcPr>
              <w:p w14:paraId="1587C2E7" w14:textId="77777777" w:rsidR="0044763A" w:rsidRPr="00AE3CFC" w:rsidRDefault="0044763A" w:rsidP="004A79E7">
                <w:pPr>
                  <w:spacing w:after="0" w:line="360" w:lineRule="auto"/>
                  <w:jc w:val="right"/>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0.00</w:t>
                </w:r>
              </w:p>
            </w:tc>
          </w:tr>
          <w:tr w:rsidR="0044763A" w:rsidRPr="00AE3CFC" w14:paraId="29EFE835" w14:textId="77777777" w:rsidTr="0044763A">
            <w:trPr>
              <w:trHeight w:val="300"/>
            </w:trPr>
            <w:tc>
              <w:tcPr>
                <w:tcW w:w="3320" w:type="dxa"/>
                <w:gridSpan w:val="2"/>
                <w:tcBorders>
                  <w:top w:val="nil"/>
                  <w:left w:val="nil"/>
                  <w:bottom w:val="single" w:sz="4" w:space="0" w:color="auto"/>
                  <w:right w:val="nil"/>
                </w:tcBorders>
                <w:shd w:val="clear" w:color="000000" w:fill="D9D9D9"/>
                <w:noWrap/>
                <w:vAlign w:val="bottom"/>
                <w:hideMark/>
              </w:tcPr>
              <w:p w14:paraId="653FC407"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EBIT/Interest Expense</w:t>
                </w:r>
              </w:p>
            </w:tc>
            <w:tc>
              <w:tcPr>
                <w:tcW w:w="3620" w:type="dxa"/>
                <w:tcBorders>
                  <w:top w:val="nil"/>
                  <w:left w:val="nil"/>
                  <w:bottom w:val="single" w:sz="4" w:space="0" w:color="auto"/>
                  <w:right w:val="nil"/>
                </w:tcBorders>
                <w:shd w:val="clear" w:color="000000" w:fill="D9D9D9"/>
                <w:noWrap/>
                <w:vAlign w:val="bottom"/>
                <w:hideMark/>
              </w:tcPr>
              <w:p w14:paraId="5A503428"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c>
              <w:tcPr>
                <w:tcW w:w="480" w:type="dxa"/>
                <w:tcBorders>
                  <w:top w:val="nil"/>
                  <w:left w:val="nil"/>
                  <w:bottom w:val="single" w:sz="4" w:space="0" w:color="auto"/>
                  <w:right w:val="nil"/>
                </w:tcBorders>
                <w:shd w:val="clear" w:color="000000" w:fill="D9D9D9"/>
                <w:noWrap/>
                <w:vAlign w:val="bottom"/>
                <w:hideMark/>
              </w:tcPr>
              <w:p w14:paraId="51EDC6C9" w14:textId="77777777" w:rsidR="0044763A" w:rsidRPr="00AE3CFC" w:rsidRDefault="0044763A" w:rsidP="004A79E7">
                <w:pPr>
                  <w:spacing w:after="0" w:line="360" w:lineRule="auto"/>
                  <w:rPr>
                    <w:rFonts w:ascii="Times New Roman" w:eastAsia="Times New Roman" w:hAnsi="Times New Roman" w:cs="Times New Roman"/>
                    <w:color w:val="000000"/>
                    <w:lang w:val="en-IN" w:eastAsia="en-IN"/>
                  </w:rPr>
                </w:pPr>
                <w:r w:rsidRPr="00AE3CFC">
                  <w:rPr>
                    <w:rFonts w:ascii="Times New Roman" w:eastAsia="Times New Roman" w:hAnsi="Times New Roman" w:cs="Times New Roman"/>
                    <w:color w:val="000000"/>
                    <w:lang w:val="en-IN" w:eastAsia="en-IN"/>
                  </w:rPr>
                  <w:t> </w:t>
                </w:r>
              </w:p>
            </w:tc>
          </w:tr>
        </w:tbl>
        <w:p w14:paraId="4BC6F76E" w14:textId="2113367A" w:rsidR="0044763A" w:rsidRPr="00AE3CFC" w:rsidRDefault="0044763A" w:rsidP="004A79E7">
          <w:pPr>
            <w:spacing w:line="360" w:lineRule="auto"/>
            <w:rPr>
              <w:rFonts w:ascii="Times New Roman" w:hAnsi="Times New Roman" w:cs="Times New Roman"/>
            </w:rPr>
          </w:pPr>
          <w:r w:rsidRPr="00AE3CFC">
            <w:rPr>
              <w:rFonts w:ascii="Times New Roman" w:hAnsi="Times New Roman" w:cs="Times New Roman"/>
            </w:rPr>
            <w:fldChar w:fldCharType="end"/>
          </w:r>
        </w:p>
        <w:p w14:paraId="5D09B143" w14:textId="77777777" w:rsidR="003F406D" w:rsidRPr="00AE3CFC" w:rsidRDefault="003F406D" w:rsidP="004A79E7">
          <w:pPr>
            <w:pStyle w:val="NormalWeb"/>
            <w:spacing w:after="0" w:line="360" w:lineRule="auto"/>
            <w:jc w:val="both"/>
          </w:pPr>
          <w:r w:rsidRPr="00AE3CFC">
            <w:t>A company's ability to meet its short-term financial obligations may be inferred from the liquidity ratio that is calculated for the company. Estimates are plausible. The liquidity ratio of a company is an indicator of how fast a company can turn its assets into cash and how well it can meet its commitments. More liquid firms have greater ratios. These ratios show how soon a corporation can pay off its obligations to creditors (</w:t>
          </w:r>
          <w:proofErr w:type="spellStart"/>
          <w:r w:rsidRPr="00AE3CFC">
            <w:t>Pattiasina</w:t>
          </w:r>
          <w:proofErr w:type="spellEnd"/>
          <w:r w:rsidRPr="00AE3CFC">
            <w:t xml:space="preserve"> et al., 2018). If the percentage is high, it suggests that making payments on debt and fulfilling other financial obligations will not be difficult. The rise in the company's proportion occurred in 2021. This demonstrates that the company has a solid financial foundation. Because of the substantial </w:t>
          </w:r>
          <w:r w:rsidRPr="00AE3CFC">
            <w:lastRenderedPageBreak/>
            <w:t>amount of free cash flow it has, the firm could look into other opportunities in the next year. The percentage of cash available has been showing signs of improvement for a few months now. As a consequence of the recent rise in this liquidity indicator, the status of the firm is now in peril. The long-term prognosis of a firm may become brighter in the event that management pays enough attention to cash flow. These prospects make the future seem like it may be fruitful (</w:t>
          </w:r>
          <w:proofErr w:type="spellStart"/>
          <w:r w:rsidRPr="00AE3CFC">
            <w:t>Laitinen</w:t>
          </w:r>
          <w:proofErr w:type="spellEnd"/>
          <w:r w:rsidRPr="00AE3CFC">
            <w:t>, 2018).</w:t>
          </w:r>
        </w:p>
        <w:p w14:paraId="6CFA44A3" w14:textId="53918056" w:rsidR="00BC4E30" w:rsidRPr="00270DB3" w:rsidRDefault="00BC4E30" w:rsidP="00BC4E30">
          <w:pPr>
            <w:pStyle w:val="Heading2"/>
            <w:rPr>
              <w:rFonts w:ascii="Times New Roman" w:hAnsi="Times New Roman" w:cs="Times New Roman"/>
              <w:sz w:val="32"/>
              <w:szCs w:val="32"/>
            </w:rPr>
          </w:pPr>
          <w:r w:rsidRPr="00270DB3">
            <w:rPr>
              <w:rFonts w:ascii="Times New Roman" w:hAnsi="Times New Roman" w:cs="Times New Roman"/>
              <w:sz w:val="32"/>
              <w:szCs w:val="32"/>
            </w:rPr>
            <w:t>Competitors’ Ratios</w:t>
          </w:r>
        </w:p>
        <w:tbl>
          <w:tblPr>
            <w:tblW w:w="4880" w:type="dxa"/>
            <w:tblInd w:w="93" w:type="dxa"/>
            <w:tblLook w:val="04A0" w:firstRow="1" w:lastRow="0" w:firstColumn="1" w:lastColumn="0" w:noHBand="0" w:noVBand="1"/>
          </w:tblPr>
          <w:tblGrid>
            <w:gridCol w:w="2320"/>
            <w:gridCol w:w="1335"/>
            <w:gridCol w:w="1225"/>
          </w:tblGrid>
          <w:tr w:rsidR="00BC4E30" w:rsidRPr="00AE3CFC" w14:paraId="5184F774" w14:textId="77777777" w:rsidTr="00BC4E30">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B8C837" w14:textId="77777777" w:rsidR="00BC4E30" w:rsidRPr="00AE3CFC" w:rsidRDefault="00BC4E30" w:rsidP="00BC4E30">
                <w:pPr>
                  <w:spacing w:after="0" w:line="240" w:lineRule="auto"/>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 </w:t>
                </w:r>
              </w:p>
            </w:tc>
            <w:tc>
              <w:tcPr>
                <w:tcW w:w="25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BE594AA" w14:textId="77777777" w:rsidR="00BC4E30" w:rsidRPr="00AE3CFC" w:rsidRDefault="00BC4E30" w:rsidP="00BC4E30">
                <w:pPr>
                  <w:spacing w:after="0" w:line="240" w:lineRule="auto"/>
                  <w:jc w:val="center"/>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Hilton</w:t>
                </w:r>
              </w:p>
            </w:tc>
          </w:tr>
          <w:tr w:rsidR="00BC4E30" w:rsidRPr="00AE3CFC" w14:paraId="3692384F" w14:textId="77777777" w:rsidTr="00BC4E30">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7515F1BB" w14:textId="77777777" w:rsidR="00BC4E30" w:rsidRPr="00AE3CFC" w:rsidRDefault="00BC4E30" w:rsidP="00BC4E30">
                <w:pPr>
                  <w:spacing w:after="0" w:line="240" w:lineRule="auto"/>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 </w:t>
                </w:r>
              </w:p>
            </w:tc>
            <w:tc>
              <w:tcPr>
                <w:tcW w:w="1335" w:type="dxa"/>
                <w:tcBorders>
                  <w:top w:val="nil"/>
                  <w:left w:val="nil"/>
                  <w:bottom w:val="single" w:sz="4" w:space="0" w:color="auto"/>
                  <w:right w:val="single" w:sz="4" w:space="0" w:color="auto"/>
                </w:tcBorders>
                <w:shd w:val="clear" w:color="auto" w:fill="auto"/>
                <w:noWrap/>
                <w:vAlign w:val="bottom"/>
                <w:hideMark/>
              </w:tcPr>
              <w:p w14:paraId="65E795E8"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2021</w:t>
                </w:r>
              </w:p>
            </w:tc>
            <w:tc>
              <w:tcPr>
                <w:tcW w:w="1225" w:type="dxa"/>
                <w:tcBorders>
                  <w:top w:val="nil"/>
                  <w:left w:val="nil"/>
                  <w:bottom w:val="single" w:sz="4" w:space="0" w:color="auto"/>
                  <w:right w:val="single" w:sz="4" w:space="0" w:color="auto"/>
                </w:tcBorders>
                <w:shd w:val="clear" w:color="auto" w:fill="auto"/>
                <w:noWrap/>
                <w:vAlign w:val="bottom"/>
                <w:hideMark/>
              </w:tcPr>
              <w:p w14:paraId="006ED29B"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2020</w:t>
                </w:r>
              </w:p>
            </w:tc>
          </w:tr>
          <w:tr w:rsidR="00BC4E30" w:rsidRPr="00AE3CFC" w14:paraId="4E40E5A6" w14:textId="77777777" w:rsidTr="00BC4E30">
            <w:trPr>
              <w:trHeight w:val="300"/>
            </w:trPr>
            <w:tc>
              <w:tcPr>
                <w:tcW w:w="2320" w:type="dxa"/>
                <w:tcBorders>
                  <w:top w:val="nil"/>
                  <w:left w:val="single" w:sz="4" w:space="0" w:color="auto"/>
                  <w:bottom w:val="single" w:sz="4" w:space="0" w:color="auto"/>
                  <w:right w:val="single" w:sz="4" w:space="0" w:color="auto"/>
                </w:tcBorders>
                <w:shd w:val="clear" w:color="000000" w:fill="FFFFFF"/>
                <w:noWrap/>
                <w:vAlign w:val="bottom"/>
                <w:hideMark/>
              </w:tcPr>
              <w:p w14:paraId="22870ACA" w14:textId="77777777" w:rsidR="00BC4E30" w:rsidRPr="00AE3CFC" w:rsidRDefault="00BC4E30" w:rsidP="00BC4E30">
                <w:pPr>
                  <w:spacing w:after="0" w:line="240" w:lineRule="auto"/>
                  <w:rPr>
                    <w:rFonts w:ascii="Times New Roman" w:eastAsia="Times New Roman" w:hAnsi="Times New Roman" w:cs="Times New Roman"/>
                    <w:b/>
                    <w:bCs/>
                    <w:color w:val="000000"/>
                    <w:highlight w:val="yellow"/>
                    <w:lang w:val="en-IN" w:eastAsia="en-IN"/>
                  </w:rPr>
                </w:pPr>
                <w:r w:rsidRPr="00AE3CFC">
                  <w:rPr>
                    <w:rFonts w:ascii="Times New Roman" w:eastAsia="Times New Roman" w:hAnsi="Times New Roman" w:cs="Times New Roman"/>
                    <w:b/>
                    <w:bCs/>
                    <w:color w:val="000000"/>
                    <w:highlight w:val="yellow"/>
                    <w:lang w:val="en-IN" w:eastAsia="en-IN"/>
                  </w:rPr>
                  <w:t>Current Ratio</w:t>
                </w:r>
              </w:p>
            </w:tc>
            <w:tc>
              <w:tcPr>
                <w:tcW w:w="1335" w:type="dxa"/>
                <w:tcBorders>
                  <w:top w:val="nil"/>
                  <w:left w:val="nil"/>
                  <w:bottom w:val="single" w:sz="4" w:space="0" w:color="auto"/>
                  <w:right w:val="single" w:sz="4" w:space="0" w:color="auto"/>
                </w:tcBorders>
                <w:shd w:val="clear" w:color="auto" w:fill="auto"/>
                <w:noWrap/>
                <w:vAlign w:val="bottom"/>
                <w:hideMark/>
              </w:tcPr>
              <w:p w14:paraId="31B5AF64"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0.95</w:t>
                </w:r>
              </w:p>
            </w:tc>
            <w:tc>
              <w:tcPr>
                <w:tcW w:w="1225" w:type="dxa"/>
                <w:tcBorders>
                  <w:top w:val="nil"/>
                  <w:left w:val="nil"/>
                  <w:bottom w:val="single" w:sz="4" w:space="0" w:color="auto"/>
                  <w:right w:val="single" w:sz="4" w:space="0" w:color="auto"/>
                </w:tcBorders>
                <w:shd w:val="clear" w:color="auto" w:fill="auto"/>
                <w:noWrap/>
                <w:vAlign w:val="bottom"/>
                <w:hideMark/>
              </w:tcPr>
              <w:p w14:paraId="22165829"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1.72</w:t>
                </w:r>
              </w:p>
            </w:tc>
          </w:tr>
          <w:tr w:rsidR="00BC4E30" w:rsidRPr="00AE3CFC" w14:paraId="14E3920E" w14:textId="77777777" w:rsidTr="00BC4E30">
            <w:trPr>
              <w:trHeight w:val="300"/>
            </w:trPr>
            <w:tc>
              <w:tcPr>
                <w:tcW w:w="2320" w:type="dxa"/>
                <w:tcBorders>
                  <w:top w:val="nil"/>
                  <w:left w:val="single" w:sz="4" w:space="0" w:color="auto"/>
                  <w:bottom w:val="single" w:sz="4" w:space="0" w:color="auto"/>
                  <w:right w:val="single" w:sz="4" w:space="0" w:color="auto"/>
                </w:tcBorders>
                <w:shd w:val="clear" w:color="000000" w:fill="FFFFFF"/>
                <w:noWrap/>
                <w:vAlign w:val="bottom"/>
                <w:hideMark/>
              </w:tcPr>
              <w:p w14:paraId="2AB6F975" w14:textId="77777777" w:rsidR="00BC4E30" w:rsidRPr="00AE3CFC" w:rsidRDefault="00BC4E30" w:rsidP="00BC4E30">
                <w:pPr>
                  <w:spacing w:after="0" w:line="240" w:lineRule="auto"/>
                  <w:rPr>
                    <w:rFonts w:ascii="Times New Roman" w:eastAsia="Times New Roman" w:hAnsi="Times New Roman" w:cs="Times New Roman"/>
                    <w:b/>
                    <w:bCs/>
                    <w:color w:val="000000"/>
                    <w:highlight w:val="yellow"/>
                    <w:lang w:val="en-IN" w:eastAsia="en-IN"/>
                  </w:rPr>
                </w:pPr>
                <w:r w:rsidRPr="00AE3CFC">
                  <w:rPr>
                    <w:rFonts w:ascii="Times New Roman" w:eastAsia="Times New Roman" w:hAnsi="Times New Roman" w:cs="Times New Roman"/>
                    <w:b/>
                    <w:bCs/>
                    <w:color w:val="000000"/>
                    <w:highlight w:val="yellow"/>
                    <w:lang w:val="en-IN" w:eastAsia="en-IN"/>
                  </w:rPr>
                  <w:t>Cash Ratio</w:t>
                </w:r>
              </w:p>
            </w:tc>
            <w:tc>
              <w:tcPr>
                <w:tcW w:w="1335" w:type="dxa"/>
                <w:tcBorders>
                  <w:top w:val="nil"/>
                  <w:left w:val="nil"/>
                  <w:bottom w:val="single" w:sz="4" w:space="0" w:color="auto"/>
                  <w:right w:val="single" w:sz="4" w:space="0" w:color="auto"/>
                </w:tcBorders>
                <w:shd w:val="clear" w:color="auto" w:fill="auto"/>
                <w:noWrap/>
                <w:vAlign w:val="bottom"/>
                <w:hideMark/>
              </w:tcPr>
              <w:p w14:paraId="488CC369"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0.72</w:t>
                </w:r>
              </w:p>
            </w:tc>
            <w:tc>
              <w:tcPr>
                <w:tcW w:w="1225" w:type="dxa"/>
                <w:tcBorders>
                  <w:top w:val="nil"/>
                  <w:left w:val="nil"/>
                  <w:bottom w:val="single" w:sz="4" w:space="0" w:color="auto"/>
                  <w:right w:val="single" w:sz="4" w:space="0" w:color="auto"/>
                </w:tcBorders>
                <w:shd w:val="clear" w:color="auto" w:fill="auto"/>
                <w:noWrap/>
                <w:vAlign w:val="bottom"/>
                <w:hideMark/>
              </w:tcPr>
              <w:p w14:paraId="5B317F0A"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0.75</w:t>
                </w:r>
              </w:p>
            </w:tc>
          </w:tr>
          <w:tr w:rsidR="00BC4E30" w:rsidRPr="00AE3CFC" w14:paraId="4DB6C6B3" w14:textId="77777777" w:rsidTr="00BC4E30">
            <w:trPr>
              <w:trHeight w:val="300"/>
            </w:trPr>
            <w:tc>
              <w:tcPr>
                <w:tcW w:w="2320" w:type="dxa"/>
                <w:tcBorders>
                  <w:top w:val="nil"/>
                  <w:left w:val="single" w:sz="4" w:space="0" w:color="auto"/>
                  <w:bottom w:val="single" w:sz="4" w:space="0" w:color="auto"/>
                  <w:right w:val="single" w:sz="4" w:space="0" w:color="auto"/>
                </w:tcBorders>
                <w:shd w:val="clear" w:color="000000" w:fill="FFFFFF"/>
                <w:noWrap/>
                <w:vAlign w:val="bottom"/>
                <w:hideMark/>
              </w:tcPr>
              <w:p w14:paraId="7966DA61" w14:textId="77777777" w:rsidR="00BC4E30" w:rsidRPr="00AE3CFC" w:rsidRDefault="00BC4E30" w:rsidP="00BC4E30">
                <w:pPr>
                  <w:spacing w:after="0" w:line="240" w:lineRule="auto"/>
                  <w:rPr>
                    <w:rFonts w:ascii="Times New Roman" w:eastAsia="Times New Roman" w:hAnsi="Times New Roman" w:cs="Times New Roman"/>
                    <w:b/>
                    <w:bCs/>
                    <w:color w:val="000000"/>
                    <w:highlight w:val="yellow"/>
                    <w:lang w:val="en-IN" w:eastAsia="en-IN"/>
                  </w:rPr>
                </w:pPr>
                <w:r w:rsidRPr="00AE3CFC">
                  <w:rPr>
                    <w:rFonts w:ascii="Times New Roman" w:eastAsia="Times New Roman" w:hAnsi="Times New Roman" w:cs="Times New Roman"/>
                    <w:b/>
                    <w:bCs/>
                    <w:color w:val="000000"/>
                    <w:highlight w:val="yellow"/>
                    <w:lang w:val="en-IN" w:eastAsia="en-IN"/>
                  </w:rPr>
                  <w:t>Gross Margin</w:t>
                </w:r>
              </w:p>
            </w:tc>
            <w:tc>
              <w:tcPr>
                <w:tcW w:w="1335" w:type="dxa"/>
                <w:tcBorders>
                  <w:top w:val="nil"/>
                  <w:left w:val="nil"/>
                  <w:bottom w:val="single" w:sz="4" w:space="0" w:color="auto"/>
                  <w:right w:val="single" w:sz="4" w:space="0" w:color="auto"/>
                </w:tcBorders>
                <w:shd w:val="clear" w:color="auto" w:fill="auto"/>
                <w:noWrap/>
                <w:vAlign w:val="bottom"/>
                <w:hideMark/>
              </w:tcPr>
              <w:p w14:paraId="79D4BD63"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88.26</w:t>
                </w:r>
              </w:p>
            </w:tc>
            <w:tc>
              <w:tcPr>
                <w:tcW w:w="1225" w:type="dxa"/>
                <w:tcBorders>
                  <w:top w:val="nil"/>
                  <w:left w:val="nil"/>
                  <w:bottom w:val="single" w:sz="4" w:space="0" w:color="auto"/>
                  <w:right w:val="single" w:sz="4" w:space="0" w:color="auto"/>
                </w:tcBorders>
                <w:shd w:val="clear" w:color="auto" w:fill="auto"/>
                <w:noWrap/>
                <w:vAlign w:val="bottom"/>
                <w:hideMark/>
              </w:tcPr>
              <w:p w14:paraId="71726C6F"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85.6</w:t>
                </w:r>
              </w:p>
            </w:tc>
          </w:tr>
          <w:tr w:rsidR="00BC4E30" w:rsidRPr="00AE3CFC" w14:paraId="2A0914C7" w14:textId="77777777" w:rsidTr="00BC4E30">
            <w:trPr>
              <w:trHeight w:val="300"/>
            </w:trPr>
            <w:tc>
              <w:tcPr>
                <w:tcW w:w="2320" w:type="dxa"/>
                <w:tcBorders>
                  <w:top w:val="nil"/>
                  <w:left w:val="single" w:sz="4" w:space="0" w:color="auto"/>
                  <w:bottom w:val="single" w:sz="4" w:space="0" w:color="auto"/>
                  <w:right w:val="single" w:sz="4" w:space="0" w:color="auto"/>
                </w:tcBorders>
                <w:shd w:val="clear" w:color="000000" w:fill="FFFFFF"/>
                <w:noWrap/>
                <w:vAlign w:val="bottom"/>
                <w:hideMark/>
              </w:tcPr>
              <w:p w14:paraId="77F19BEA" w14:textId="77777777" w:rsidR="00BC4E30" w:rsidRPr="00AE3CFC" w:rsidRDefault="00BC4E30" w:rsidP="00BC4E30">
                <w:pPr>
                  <w:spacing w:after="0" w:line="240" w:lineRule="auto"/>
                  <w:rPr>
                    <w:rFonts w:ascii="Times New Roman" w:eastAsia="Times New Roman" w:hAnsi="Times New Roman" w:cs="Times New Roman"/>
                    <w:b/>
                    <w:bCs/>
                    <w:color w:val="000000"/>
                    <w:highlight w:val="yellow"/>
                    <w:lang w:val="en-IN" w:eastAsia="en-IN"/>
                  </w:rPr>
                </w:pPr>
                <w:r w:rsidRPr="00AE3CFC">
                  <w:rPr>
                    <w:rFonts w:ascii="Times New Roman" w:eastAsia="Times New Roman" w:hAnsi="Times New Roman" w:cs="Times New Roman"/>
                    <w:b/>
                    <w:bCs/>
                    <w:color w:val="000000"/>
                    <w:highlight w:val="yellow"/>
                    <w:lang w:val="en-IN" w:eastAsia="en-IN"/>
                  </w:rPr>
                  <w:t>Operating Margin</w:t>
                </w:r>
              </w:p>
            </w:tc>
            <w:tc>
              <w:tcPr>
                <w:tcW w:w="1335" w:type="dxa"/>
                <w:tcBorders>
                  <w:top w:val="nil"/>
                  <w:left w:val="nil"/>
                  <w:bottom w:val="single" w:sz="4" w:space="0" w:color="auto"/>
                  <w:right w:val="single" w:sz="4" w:space="0" w:color="auto"/>
                </w:tcBorders>
                <w:shd w:val="clear" w:color="auto" w:fill="auto"/>
                <w:noWrap/>
                <w:vAlign w:val="bottom"/>
                <w:hideMark/>
              </w:tcPr>
              <w:p w14:paraId="0AF74683"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17.44</w:t>
                </w:r>
              </w:p>
            </w:tc>
            <w:tc>
              <w:tcPr>
                <w:tcW w:w="1225" w:type="dxa"/>
                <w:tcBorders>
                  <w:top w:val="nil"/>
                  <w:left w:val="nil"/>
                  <w:bottom w:val="single" w:sz="4" w:space="0" w:color="auto"/>
                  <w:right w:val="single" w:sz="4" w:space="0" w:color="auto"/>
                </w:tcBorders>
                <w:shd w:val="clear" w:color="auto" w:fill="auto"/>
                <w:noWrap/>
                <w:vAlign w:val="bottom"/>
                <w:hideMark/>
              </w:tcPr>
              <w:p w14:paraId="4B58D5A6"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-9.7</w:t>
                </w:r>
              </w:p>
            </w:tc>
          </w:tr>
          <w:tr w:rsidR="00BC4E30" w:rsidRPr="00AE3CFC" w14:paraId="5767D89D" w14:textId="77777777" w:rsidTr="00BC4E30">
            <w:trPr>
              <w:trHeight w:val="300"/>
            </w:trPr>
            <w:tc>
              <w:tcPr>
                <w:tcW w:w="2320" w:type="dxa"/>
                <w:tcBorders>
                  <w:top w:val="nil"/>
                  <w:left w:val="single" w:sz="4" w:space="0" w:color="auto"/>
                  <w:bottom w:val="single" w:sz="4" w:space="0" w:color="auto"/>
                  <w:right w:val="single" w:sz="4" w:space="0" w:color="auto"/>
                </w:tcBorders>
                <w:shd w:val="clear" w:color="000000" w:fill="FFFFFF"/>
                <w:noWrap/>
                <w:vAlign w:val="bottom"/>
                <w:hideMark/>
              </w:tcPr>
              <w:p w14:paraId="396ED71B" w14:textId="77777777" w:rsidR="00BC4E30" w:rsidRPr="00AE3CFC" w:rsidRDefault="00BC4E30" w:rsidP="00BC4E30">
                <w:pPr>
                  <w:spacing w:after="0" w:line="240" w:lineRule="auto"/>
                  <w:rPr>
                    <w:rFonts w:ascii="Times New Roman" w:eastAsia="Times New Roman" w:hAnsi="Times New Roman" w:cs="Times New Roman"/>
                    <w:b/>
                    <w:bCs/>
                    <w:color w:val="000000"/>
                    <w:highlight w:val="yellow"/>
                    <w:lang w:val="en-IN" w:eastAsia="en-IN"/>
                  </w:rPr>
                </w:pPr>
                <w:r w:rsidRPr="00AE3CFC">
                  <w:rPr>
                    <w:rFonts w:ascii="Times New Roman" w:eastAsia="Times New Roman" w:hAnsi="Times New Roman" w:cs="Times New Roman"/>
                    <w:b/>
                    <w:bCs/>
                    <w:color w:val="000000"/>
                    <w:highlight w:val="yellow"/>
                    <w:lang w:val="en-IN" w:eastAsia="en-IN"/>
                  </w:rPr>
                  <w:t>Debt/Equity Ratio</w:t>
                </w:r>
              </w:p>
            </w:tc>
            <w:tc>
              <w:tcPr>
                <w:tcW w:w="1335" w:type="dxa"/>
                <w:tcBorders>
                  <w:top w:val="nil"/>
                  <w:left w:val="nil"/>
                  <w:bottom w:val="single" w:sz="4" w:space="0" w:color="auto"/>
                  <w:right w:val="single" w:sz="4" w:space="0" w:color="auto"/>
                </w:tcBorders>
                <w:shd w:val="clear" w:color="auto" w:fill="auto"/>
                <w:noWrap/>
                <w:vAlign w:val="bottom"/>
                <w:hideMark/>
              </w:tcPr>
              <w:p w14:paraId="6C3F0537"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-10.5</w:t>
                </w:r>
              </w:p>
            </w:tc>
            <w:tc>
              <w:tcPr>
                <w:tcW w:w="1225" w:type="dxa"/>
                <w:tcBorders>
                  <w:top w:val="nil"/>
                  <w:left w:val="nil"/>
                  <w:bottom w:val="single" w:sz="4" w:space="0" w:color="auto"/>
                  <w:right w:val="single" w:sz="4" w:space="0" w:color="auto"/>
                </w:tcBorders>
                <w:shd w:val="clear" w:color="auto" w:fill="auto"/>
                <w:noWrap/>
                <w:vAlign w:val="bottom"/>
                <w:hideMark/>
              </w:tcPr>
              <w:p w14:paraId="48B80A16" w14:textId="77777777" w:rsidR="00BC4E30" w:rsidRPr="00AE3CFC" w:rsidRDefault="00BC4E30" w:rsidP="00BC4E30">
                <w:pPr>
                  <w:spacing w:after="0" w:line="240" w:lineRule="auto"/>
                  <w:jc w:val="right"/>
                  <w:rPr>
                    <w:rFonts w:ascii="Times New Roman" w:eastAsia="Times New Roman" w:hAnsi="Times New Roman" w:cs="Times New Roman"/>
                    <w:color w:val="000000"/>
                    <w:highlight w:val="yellow"/>
                    <w:lang w:val="en-IN" w:eastAsia="en-IN"/>
                  </w:rPr>
                </w:pPr>
                <w:r w:rsidRPr="00AE3CFC">
                  <w:rPr>
                    <w:rFonts w:ascii="Times New Roman" w:eastAsia="Times New Roman" w:hAnsi="Times New Roman" w:cs="Times New Roman"/>
                    <w:color w:val="000000"/>
                    <w:highlight w:val="yellow"/>
                    <w:lang w:val="en-IN" w:eastAsia="en-IN"/>
                  </w:rPr>
                  <w:t>-7.05</w:t>
                </w:r>
              </w:p>
            </w:tc>
          </w:tr>
        </w:tbl>
        <w:p w14:paraId="0CB02E44" w14:textId="77777777" w:rsidR="00BC4E30" w:rsidRPr="00AE3CFC" w:rsidRDefault="00BC4E30" w:rsidP="00BC4E30">
          <w:pPr>
            <w:rPr>
              <w:rFonts w:ascii="Times New Roman" w:hAnsi="Times New Roman" w:cs="Times New Roman"/>
            </w:rPr>
          </w:pPr>
        </w:p>
        <w:p w14:paraId="022B4821" w14:textId="7FEAAB44" w:rsidR="00BC4E30" w:rsidRPr="00AA67CC" w:rsidRDefault="00BC4E30" w:rsidP="00AE3CFC">
          <w:pPr>
            <w:spacing w:line="360" w:lineRule="auto"/>
            <w:jc w:val="both"/>
            <w:rPr>
              <w:rFonts w:ascii="Times New Roman" w:hAnsi="Times New Roman" w:cs="Times New Roman"/>
              <w:sz w:val="24"/>
              <w:szCs w:val="24"/>
            </w:rPr>
          </w:pPr>
          <w:r w:rsidRPr="00AA67CC">
            <w:rPr>
              <w:rFonts w:ascii="Times New Roman" w:hAnsi="Times New Roman" w:cs="Times New Roman"/>
              <w:sz w:val="24"/>
              <w:szCs w:val="24"/>
            </w:rPr>
            <w:t>From the above calculations, it can be said that Marriott International has over performed one of its competitors named Hilton Group of Hotels. This is also a profitable and well-known organisation but the organisation could not make it up to its competitor in terms of finances.</w:t>
          </w:r>
        </w:p>
        <w:p w14:paraId="57E24808" w14:textId="77777777" w:rsidR="003F406D" w:rsidRPr="00AA67CC" w:rsidRDefault="003F406D" w:rsidP="004A79E7">
          <w:pPr>
            <w:pStyle w:val="NormalWeb"/>
            <w:spacing w:after="0" w:line="360" w:lineRule="auto"/>
            <w:jc w:val="both"/>
          </w:pPr>
          <w:r w:rsidRPr="00AA67CC">
            <w:t>It is possible to measure a company's capacity to turn revenues into cold, hard cash by using several criteria related to profitability. It is necessary to do an analysis of any other facets that may be relevant. Choosing the right stock to invest in would be a fantastic example of return on investment (ROI). The majority of those who are considered to be specialists in this area place the biggest priority on business success. The upward trend in the company's net income that has been seen recently is cause for celebration. There is no question that the efforts made by the corporation to reduce operating expenditures have resulted in considerable benefits in terms of profitability measurements. According to Correa-</w:t>
          </w:r>
          <w:proofErr w:type="spellStart"/>
          <w:r w:rsidRPr="00AA67CC">
            <w:t>Meja</w:t>
          </w:r>
          <w:proofErr w:type="spellEnd"/>
          <w:r w:rsidRPr="00AA67CC">
            <w:t xml:space="preserve"> and Lopera’s (2020) research, it is a valid assumption to make. Both the company's gross profit and its operational profit have increased over the last several years, as can be seen in the table that is located above.</w:t>
          </w:r>
        </w:p>
        <w:p w14:paraId="1EF23BF1" w14:textId="6E9DB98D" w:rsidR="003F406D" w:rsidRPr="00AE3CFC" w:rsidRDefault="003F406D" w:rsidP="004A79E7">
          <w:pPr>
            <w:pStyle w:val="NormalWeb"/>
            <w:spacing w:after="0" w:line="360" w:lineRule="auto"/>
            <w:jc w:val="both"/>
          </w:pPr>
          <w:r w:rsidRPr="00AE3CFC">
            <w:t xml:space="preserve">Any monetary statistic that indicates the ratio of debt to equity or cash flow may be considered to be a kind of leverage and is referred to as a leverage ratio. The company's asset and operational finances may be better understood with the use of these data (using debt or equity). The ratio of equity to debt, as well as the ratio of debt to capitalization Ratios Two of </w:t>
          </w:r>
          <w:r w:rsidRPr="00AE3CFC">
            <w:lastRenderedPageBreak/>
            <w:t>the most typical applications of leverage ratios which can be found in ratios. This bodes well for the company since it indicates a reduction in the overall amount of debt that the organisation is in possession of. Accordingly, it is not unreasonable to anticipate that the firm will soon have access to loan financing as well as equity capital (</w:t>
          </w:r>
          <w:proofErr w:type="spellStart"/>
          <w:r w:rsidRPr="00AE3CFC">
            <w:t>Ligocká</w:t>
          </w:r>
          <w:proofErr w:type="spellEnd"/>
          <w:r w:rsidRPr="00AE3CFC">
            <w:t xml:space="preserve"> and </w:t>
          </w:r>
          <w:proofErr w:type="spellStart"/>
          <w:r w:rsidRPr="00AE3CFC">
            <w:t>Stvávri</w:t>
          </w:r>
          <w:proofErr w:type="spellEnd"/>
          <w:r w:rsidRPr="00AE3CFC">
            <w:t>, 2019). It is possible that the corporation might solve its financial problems with the help of a lesser loan.</w:t>
          </w:r>
        </w:p>
        <w:p w14:paraId="6D469E22" w14:textId="04093697" w:rsidR="00AA2A91" w:rsidRPr="00270DB3" w:rsidRDefault="00AA2A91" w:rsidP="004A79E7">
          <w:pPr>
            <w:pStyle w:val="Heading1"/>
            <w:spacing w:line="360" w:lineRule="auto"/>
            <w:rPr>
              <w:rFonts w:ascii="Times New Roman" w:hAnsi="Times New Roman" w:cs="Times New Roman"/>
              <w:sz w:val="40"/>
              <w:szCs w:val="40"/>
            </w:rPr>
          </w:pPr>
          <w:bookmarkStart w:id="6" w:name="_Toc120541006"/>
          <w:r w:rsidRPr="00270DB3">
            <w:rPr>
              <w:rFonts w:ascii="Times New Roman" w:hAnsi="Times New Roman" w:cs="Times New Roman"/>
              <w:sz w:val="40"/>
              <w:szCs w:val="40"/>
            </w:rPr>
            <w:t>Knowledge from Ratio Analysis</w:t>
          </w:r>
          <w:bookmarkEnd w:id="6"/>
        </w:p>
        <w:p w14:paraId="43C057C7" w14:textId="6987DE76" w:rsidR="004C3039" w:rsidRPr="00270DB3" w:rsidRDefault="004C3039" w:rsidP="004A79E7">
          <w:pPr>
            <w:pStyle w:val="Heading2"/>
            <w:spacing w:line="360" w:lineRule="auto"/>
            <w:rPr>
              <w:rFonts w:ascii="Times New Roman" w:hAnsi="Times New Roman" w:cs="Times New Roman"/>
              <w:sz w:val="32"/>
              <w:szCs w:val="32"/>
            </w:rPr>
          </w:pPr>
          <w:bookmarkStart w:id="7" w:name="_Toc120541007"/>
          <w:r w:rsidRPr="00270DB3">
            <w:rPr>
              <w:rFonts w:ascii="Times New Roman" w:hAnsi="Times New Roman" w:cs="Times New Roman"/>
              <w:sz w:val="32"/>
              <w:szCs w:val="32"/>
            </w:rPr>
            <w:t>Advantages of ratio analysis</w:t>
          </w:r>
          <w:bookmarkEnd w:id="7"/>
        </w:p>
        <w:p w14:paraId="198118D6" w14:textId="77777777" w:rsidR="00353E35" w:rsidRPr="00AE3CFC" w:rsidRDefault="00353E35" w:rsidP="004A79E7">
          <w:pPr>
            <w:spacing w:line="360" w:lineRule="auto"/>
            <w:jc w:val="both"/>
            <w:rPr>
              <w:rFonts w:ascii="Times New Roman" w:hAnsi="Times New Roman" w:cs="Times New Roman"/>
              <w:sz w:val="24"/>
            </w:rPr>
          </w:pPr>
          <w:r w:rsidRPr="00AE3CFC">
            <w:rPr>
              <w:rFonts w:ascii="Times New Roman" w:hAnsi="Times New Roman" w:cs="Times New Roman"/>
              <w:sz w:val="24"/>
            </w:rPr>
            <w:t>Users of financial statements may get insight into their finances via the use of ratio analysis. The use of ratios offers a number of advantages, including the simplification of the comprehension of financial statements and the elaboration, in a clear and succinct manner, of important information. Users of financial statements may create hasty opinions about the firm based on a portion of the information that is included in the financial statements (Zamora-</w:t>
          </w:r>
          <w:proofErr w:type="spellStart"/>
          <w:r w:rsidRPr="00AE3CFC">
            <w:rPr>
              <w:rFonts w:ascii="Times New Roman" w:hAnsi="Times New Roman" w:cs="Times New Roman"/>
              <w:sz w:val="24"/>
            </w:rPr>
            <w:t>Ramrez</w:t>
          </w:r>
          <w:proofErr w:type="spellEnd"/>
          <w:r w:rsidRPr="00AE3CFC">
            <w:rPr>
              <w:rFonts w:ascii="Times New Roman" w:hAnsi="Times New Roman" w:cs="Times New Roman"/>
              <w:sz w:val="24"/>
            </w:rPr>
            <w:t xml:space="preserve"> and Morales-</w:t>
          </w:r>
          <w:proofErr w:type="spellStart"/>
          <w:r w:rsidRPr="00AE3CFC">
            <w:rPr>
              <w:rFonts w:ascii="Times New Roman" w:hAnsi="Times New Roman" w:cs="Times New Roman"/>
              <w:sz w:val="24"/>
            </w:rPr>
            <w:t>Daz</w:t>
          </w:r>
          <w:proofErr w:type="spellEnd"/>
          <w:r w:rsidRPr="00AE3CFC">
            <w:rPr>
              <w:rFonts w:ascii="Times New Roman" w:hAnsi="Times New Roman" w:cs="Times New Roman"/>
              <w:sz w:val="24"/>
            </w:rPr>
            <w:t>, 2018). Last but not least, the analysis may be put to use in trend analysis, which is a method that compares the financial performance of one firm to that of other companies over a certain amount of time. In the process of coming up with fresh concepts for their companies and being ready to pitch those concepts to potential investors, company owners may find ratios to be a very helpful tool. The owners of small businesses may use industry trends as a starting point for developing time-bound performance targets in terms of certain ratios to present to potential investors as an indicator of the company's potential. These targets may be presented as an indication of the company's potential to grow (Amrutha et al., 2019). This is done so that potential investors may get a sense of the company's potential and can make an informed decision. This is done so that potential investors may get a sense of the company's potential and can make an informed decision. The proprietors of small businesses might use this tactic to persuade potential investors by elaborating on the benefits and services offered by their organisation (</w:t>
          </w:r>
          <w:proofErr w:type="spellStart"/>
          <w:r w:rsidRPr="00AE3CFC">
            <w:rPr>
              <w:rFonts w:ascii="Times New Roman" w:hAnsi="Times New Roman" w:cs="Times New Roman"/>
              <w:sz w:val="24"/>
            </w:rPr>
            <w:t>Asuquo</w:t>
          </w:r>
          <w:proofErr w:type="spellEnd"/>
          <w:r w:rsidRPr="00AE3CFC">
            <w:rPr>
              <w:rFonts w:ascii="Times New Roman" w:hAnsi="Times New Roman" w:cs="Times New Roman"/>
              <w:sz w:val="24"/>
            </w:rPr>
            <w:t>, 2020). Alterations in the ratio values may provide management with helpful information and feedback, which may, in turn, motivate management to experiment with new methods inside the organisation. The analysis of the progression of the ratio values through time may also provide management with useful information (</w:t>
          </w:r>
          <w:proofErr w:type="spellStart"/>
          <w:r w:rsidRPr="00AE3CFC">
            <w:rPr>
              <w:rFonts w:ascii="Times New Roman" w:hAnsi="Times New Roman" w:cs="Times New Roman"/>
              <w:sz w:val="24"/>
            </w:rPr>
            <w:t>Endri</w:t>
          </w:r>
          <w:proofErr w:type="spellEnd"/>
          <w:r w:rsidRPr="00AE3CFC">
            <w:rPr>
              <w:rFonts w:ascii="Times New Roman" w:hAnsi="Times New Roman" w:cs="Times New Roman"/>
              <w:sz w:val="24"/>
            </w:rPr>
            <w:t xml:space="preserve">, 2020). The explanation behind this is that the values of certain ratios have the propensity to shift about whenever a firm goes through a period of structural transition. The management team continues to struggle with the </w:t>
          </w:r>
          <w:r w:rsidRPr="00AE3CFC">
            <w:rPr>
              <w:rFonts w:ascii="Times New Roman" w:hAnsi="Times New Roman" w:cs="Times New Roman"/>
              <w:sz w:val="24"/>
            </w:rPr>
            <w:lastRenderedPageBreak/>
            <w:t>challenge of finding out how to improve performance in order to make effective use of the information obtained from analysing ratios (Valaskova et al., 2018).</w:t>
          </w:r>
        </w:p>
        <w:p w14:paraId="19ABFFB7" w14:textId="631C67AB" w:rsidR="004C3039" w:rsidRPr="00270DB3" w:rsidRDefault="004C3039" w:rsidP="004A79E7">
          <w:pPr>
            <w:pStyle w:val="Heading2"/>
            <w:spacing w:line="360" w:lineRule="auto"/>
            <w:rPr>
              <w:rFonts w:ascii="Times New Roman" w:hAnsi="Times New Roman" w:cs="Times New Roman"/>
              <w:sz w:val="32"/>
              <w:szCs w:val="32"/>
            </w:rPr>
          </w:pPr>
          <w:bookmarkStart w:id="8" w:name="_Toc120541008"/>
          <w:r w:rsidRPr="00270DB3">
            <w:rPr>
              <w:rFonts w:ascii="Times New Roman" w:hAnsi="Times New Roman" w:cs="Times New Roman"/>
              <w:sz w:val="32"/>
              <w:szCs w:val="32"/>
            </w:rPr>
            <w:t>Limitations of ratio analysis</w:t>
          </w:r>
          <w:bookmarkEnd w:id="8"/>
        </w:p>
        <w:p w14:paraId="08A29AD1" w14:textId="5557C782" w:rsidR="00353E35" w:rsidRPr="00AE3CFC" w:rsidRDefault="00353E35" w:rsidP="004A79E7">
          <w:pPr>
            <w:spacing w:line="360" w:lineRule="auto"/>
            <w:jc w:val="both"/>
            <w:rPr>
              <w:rFonts w:ascii="Times New Roman" w:hAnsi="Times New Roman" w:cs="Times New Roman"/>
              <w:sz w:val="24"/>
            </w:rPr>
          </w:pPr>
          <w:r w:rsidRPr="00AE3CFC">
            <w:rPr>
              <w:rFonts w:ascii="Times New Roman" w:hAnsi="Times New Roman" w:cs="Times New Roman"/>
              <w:sz w:val="24"/>
            </w:rPr>
            <w:t xml:space="preserve">On the other hand, the study is restricted owing to the fact that the data used in financial accounting is based on estimations and assumptions (Niggle, 2019). Ratio analysis is seeing less and less useful as a consequence of the damage to comparability that is being created by the vast range of accounting processes that are being enabled by the present accounting regulations (Cagle, 2020). Even if people are more interested in up-to-date information and projections, ratio analysis may explain connections between data from the past. As </w:t>
          </w:r>
          <w:proofErr w:type="spellStart"/>
          <w:r w:rsidRPr="00AE3CFC">
            <w:rPr>
              <w:rFonts w:ascii="Times New Roman" w:hAnsi="Times New Roman" w:cs="Times New Roman"/>
              <w:sz w:val="24"/>
            </w:rPr>
            <w:t>Tascón</w:t>
          </w:r>
          <w:proofErr w:type="spellEnd"/>
          <w:r w:rsidRPr="00AE3CFC">
            <w:rPr>
              <w:rFonts w:ascii="Times New Roman" w:hAnsi="Times New Roman" w:cs="Times New Roman"/>
              <w:sz w:val="24"/>
            </w:rPr>
            <w:t xml:space="preserve"> et al. (2018) point out, businesses may be found operating in a broad range of industries, each of which has its own unique degree of market structure and governmental monitoring. Because of the significance of these factors, comparing the performance of two businesses that are active in very different industries might provide misleading findings. As was said earlier, this hints that the information that is used to compile yearly financial reports may not be an accurate reflection of what occurred during the course of the whole year (Anthony et al., 2019). Seasonal enterprises should carefully examine when </w:t>
          </w:r>
          <w:r w:rsidR="003F406D" w:rsidRPr="00AE3CFC">
            <w:rPr>
              <w:rFonts w:ascii="Times New Roman" w:hAnsi="Times New Roman" w:cs="Times New Roman"/>
              <w:sz w:val="24"/>
            </w:rPr>
            <w:t xml:space="preserve">it </w:t>
          </w:r>
          <w:r w:rsidRPr="00AE3CFC">
            <w:rPr>
              <w:rFonts w:ascii="Times New Roman" w:hAnsi="Times New Roman" w:cs="Times New Roman"/>
              <w:sz w:val="24"/>
            </w:rPr>
            <w:t xml:space="preserve">is the best time to submit their financial records: at the beginning of the season or at the very end. When it is the height of the selling season, a tobacco plantation brings in the highest revenue (Husain and </w:t>
          </w:r>
          <w:proofErr w:type="spellStart"/>
          <w:r w:rsidRPr="00AE3CFC">
            <w:rPr>
              <w:rFonts w:ascii="Times New Roman" w:hAnsi="Times New Roman" w:cs="Times New Roman"/>
              <w:sz w:val="24"/>
            </w:rPr>
            <w:t>Sunardi</w:t>
          </w:r>
          <w:proofErr w:type="spellEnd"/>
          <w:r w:rsidRPr="00AE3CFC">
            <w:rPr>
              <w:rFonts w:ascii="Times New Roman" w:hAnsi="Times New Roman" w:cs="Times New Roman"/>
              <w:sz w:val="24"/>
            </w:rPr>
            <w:t>, 2020). The company's financial metrics, such as cash on hand, accounts receivable, and stock, will all reach all-time highs in the near future. The company will have difficulty maintaining a profit over the planting seasons as a result of high input costs, poor financial reserves, and maybe even a lack of receivables (Li et al., 2021).</w:t>
          </w:r>
        </w:p>
        <w:p w14:paraId="77174781" w14:textId="70EE3473" w:rsidR="005F69AC" w:rsidRPr="00AE3CFC" w:rsidRDefault="00353E35" w:rsidP="004A79E7">
          <w:pPr>
            <w:spacing w:line="360" w:lineRule="auto"/>
            <w:jc w:val="both"/>
            <w:rPr>
              <w:rFonts w:ascii="Times New Roman" w:hAnsi="Times New Roman" w:cs="Times New Roman"/>
              <w:sz w:val="24"/>
            </w:rPr>
          </w:pPr>
          <w:r w:rsidRPr="00AE3CFC">
            <w:rPr>
              <w:rFonts w:ascii="Times New Roman" w:hAnsi="Times New Roman" w:cs="Times New Roman"/>
              <w:sz w:val="24"/>
            </w:rPr>
            <w:t xml:space="preserve">In the time when utilising ratios, managers have a tendency to concentrate more on avoiding providing wrong information than providing information that is accurate. Because of this, in order to increase net profit, managers will frequently cut spending on discretionary items such as advertising, training, research, and maintenance. These are all areas that have a negative impact on the company's long-term financial health; however, increasing net profit is the ultimate goal. The new management team may choose to write down the value of the company's assets in order to save expenses associated with amortisation and depreciation for the subsequent fiscal years (Husain et al., 2021). An entrepreneur may choose to postpone the purchase of new inventory in the interest of improving the current ratio of the organisation just before the end of the financial year. It is possible to accomplish the same objective by </w:t>
          </w:r>
          <w:r w:rsidRPr="00AE3CFC">
            <w:rPr>
              <w:rFonts w:ascii="Times New Roman" w:hAnsi="Times New Roman" w:cs="Times New Roman"/>
              <w:sz w:val="24"/>
            </w:rPr>
            <w:lastRenderedPageBreak/>
            <w:t>settling existing commitments or debt on a short-term basis prior to the conclusion of the fiscal year. In the case that the price of the stock drops, it is possible for the amount of retained profits to be reduced, which will subsequently be reflected in net income (</w:t>
          </w:r>
          <w:proofErr w:type="spellStart"/>
          <w:r w:rsidRPr="00AE3CFC">
            <w:rPr>
              <w:rFonts w:ascii="Times New Roman" w:hAnsi="Times New Roman" w:cs="Times New Roman"/>
              <w:sz w:val="24"/>
            </w:rPr>
            <w:t>Purba</w:t>
          </w:r>
          <w:proofErr w:type="spellEnd"/>
          <w:r w:rsidRPr="00AE3CFC">
            <w:rPr>
              <w:rFonts w:ascii="Times New Roman" w:hAnsi="Times New Roman" w:cs="Times New Roman"/>
              <w:sz w:val="24"/>
            </w:rPr>
            <w:t xml:space="preserve"> and </w:t>
          </w:r>
          <w:proofErr w:type="spellStart"/>
          <w:r w:rsidRPr="00AE3CFC">
            <w:rPr>
              <w:rFonts w:ascii="Times New Roman" w:hAnsi="Times New Roman" w:cs="Times New Roman"/>
              <w:sz w:val="24"/>
            </w:rPr>
            <w:t>Septian</w:t>
          </w:r>
          <w:proofErr w:type="spellEnd"/>
          <w:r w:rsidRPr="00AE3CFC">
            <w:rPr>
              <w:rFonts w:ascii="Times New Roman" w:hAnsi="Times New Roman" w:cs="Times New Roman"/>
              <w:sz w:val="24"/>
            </w:rPr>
            <w:t>, 2019). When looking at many years' worth of financial paperwork, as opposed to just one, it is usual for patterns of this kind to emerge. Companies that are required to disclose to the authorities in order for them to be traded on an exchange often avoid participating in more extreme strategies (Amrutha et al., 2019).</w:t>
          </w:r>
        </w:p>
        <w:p w14:paraId="637ECABC" w14:textId="64AC079D" w:rsidR="00AA2A91" w:rsidRPr="00270DB3" w:rsidRDefault="00AA2A91" w:rsidP="004A79E7">
          <w:pPr>
            <w:pStyle w:val="Heading1"/>
            <w:spacing w:line="360" w:lineRule="auto"/>
            <w:rPr>
              <w:rFonts w:ascii="Times New Roman" w:hAnsi="Times New Roman" w:cs="Times New Roman"/>
              <w:sz w:val="40"/>
              <w:szCs w:val="40"/>
            </w:rPr>
          </w:pPr>
          <w:bookmarkStart w:id="9" w:name="_Toc120541009"/>
          <w:r w:rsidRPr="00270DB3">
            <w:rPr>
              <w:rFonts w:ascii="Times New Roman" w:hAnsi="Times New Roman" w:cs="Times New Roman"/>
              <w:sz w:val="40"/>
              <w:szCs w:val="40"/>
            </w:rPr>
            <w:t>Conclusion</w:t>
          </w:r>
          <w:r w:rsidR="00D854A5" w:rsidRPr="00270DB3">
            <w:rPr>
              <w:rFonts w:ascii="Times New Roman" w:hAnsi="Times New Roman" w:cs="Times New Roman"/>
              <w:sz w:val="40"/>
              <w:szCs w:val="40"/>
            </w:rPr>
            <w:t xml:space="preserve"> </w:t>
          </w:r>
          <w:bookmarkEnd w:id="9"/>
        </w:p>
        <w:p w14:paraId="5542A33D" w14:textId="77777777" w:rsidR="005F69AC" w:rsidRPr="00AE3CFC" w:rsidRDefault="005F69AC" w:rsidP="004A79E7">
          <w:pPr>
            <w:spacing w:after="0" w:line="360" w:lineRule="auto"/>
            <w:jc w:val="both"/>
            <w:rPr>
              <w:rFonts w:ascii="Times New Roman" w:eastAsia="Times New Roman" w:hAnsi="Times New Roman" w:cs="Times New Roman"/>
              <w:sz w:val="24"/>
              <w:szCs w:val="24"/>
              <w:lang w:val="en-IN" w:eastAsia="en-IN"/>
            </w:rPr>
          </w:pPr>
          <w:r w:rsidRPr="00AE3CFC">
            <w:rPr>
              <w:rFonts w:ascii="Times New Roman" w:eastAsia="Times New Roman" w:hAnsi="Times New Roman" w:cs="Times New Roman"/>
              <w:color w:val="000000"/>
              <w:sz w:val="24"/>
              <w:szCs w:val="24"/>
              <w:lang w:val="en-IN" w:eastAsia="en-IN"/>
            </w:rPr>
            <w:t>Based on what has been said up to this point, it is possible to conclude that the firm is one of the most lucrative ones operating in the hotel sector, not just in the UK but anywhere else in the globe. Because of the significant amount of money that has been brought in by way of earnings during the course of the company's history, it has been possible for the company to continue operating successfully. In light of the debate that came before, it is now possible to see both the benefits and the drawbacks associated with the approach of ratio analysis. In light of the fact that this is one of the most used approaches to determining the state of a company's finances, it is reasonable to anticipate that it may have certain restrictions. The report goes into depth on each and every one of them.</w:t>
          </w:r>
        </w:p>
        <w:p w14:paraId="12347926" w14:textId="77777777" w:rsidR="00AA2A91" w:rsidRPr="00AE3CFC" w:rsidRDefault="00AA2A91" w:rsidP="004A79E7">
          <w:pPr>
            <w:spacing w:line="360" w:lineRule="auto"/>
            <w:rPr>
              <w:rFonts w:ascii="Times New Roman" w:hAnsi="Times New Roman" w:cs="Times New Roman"/>
            </w:rPr>
          </w:pPr>
        </w:p>
        <w:p w14:paraId="02185B09" w14:textId="77777777" w:rsidR="00AA2A91" w:rsidRPr="00AE3CFC" w:rsidRDefault="00AA2A91" w:rsidP="004A79E7">
          <w:pPr>
            <w:spacing w:line="360" w:lineRule="auto"/>
            <w:rPr>
              <w:rFonts w:ascii="Times New Roman" w:hAnsi="Times New Roman" w:cs="Times New Roman"/>
            </w:rPr>
          </w:pPr>
        </w:p>
        <w:p w14:paraId="7B690C88" w14:textId="77777777" w:rsidR="00AA2A91" w:rsidRPr="00AE3CFC" w:rsidRDefault="00AA2A91" w:rsidP="004A79E7">
          <w:pPr>
            <w:spacing w:line="360" w:lineRule="auto"/>
            <w:rPr>
              <w:rFonts w:ascii="Times New Roman" w:hAnsi="Times New Roman" w:cs="Times New Roman"/>
            </w:rPr>
          </w:pPr>
        </w:p>
        <w:p w14:paraId="4F32C9C8" w14:textId="77777777" w:rsidR="003F406D" w:rsidRPr="00AE3CFC" w:rsidRDefault="003F406D" w:rsidP="004A79E7">
          <w:pPr>
            <w:spacing w:line="360" w:lineRule="auto"/>
            <w:rPr>
              <w:rFonts w:ascii="Times New Roman" w:eastAsiaTheme="majorEastAsia" w:hAnsi="Times New Roman" w:cs="Times New Roman"/>
              <w:color w:val="2E74B5" w:themeColor="accent1" w:themeShade="BF"/>
              <w:sz w:val="32"/>
              <w:szCs w:val="32"/>
            </w:rPr>
          </w:pPr>
          <w:r w:rsidRPr="00AE3CFC">
            <w:rPr>
              <w:rFonts w:ascii="Times New Roman" w:hAnsi="Times New Roman" w:cs="Times New Roman"/>
            </w:rPr>
            <w:br w:type="page"/>
          </w:r>
        </w:p>
        <w:p w14:paraId="403DF109" w14:textId="3A8D062D" w:rsidR="00AA2A91" w:rsidRPr="00270DB3" w:rsidRDefault="00AA2A91" w:rsidP="004A79E7">
          <w:pPr>
            <w:pStyle w:val="Heading1"/>
            <w:spacing w:line="360" w:lineRule="auto"/>
            <w:rPr>
              <w:rFonts w:ascii="Times New Roman" w:hAnsi="Times New Roman" w:cs="Times New Roman"/>
              <w:sz w:val="40"/>
              <w:szCs w:val="40"/>
            </w:rPr>
          </w:pPr>
          <w:bookmarkStart w:id="10" w:name="_Toc120541010"/>
          <w:r w:rsidRPr="00270DB3">
            <w:rPr>
              <w:rFonts w:ascii="Times New Roman" w:hAnsi="Times New Roman" w:cs="Times New Roman"/>
              <w:sz w:val="40"/>
              <w:szCs w:val="40"/>
            </w:rPr>
            <w:lastRenderedPageBreak/>
            <w:t>Bibliography</w:t>
          </w:r>
          <w:bookmarkEnd w:id="10"/>
        </w:p>
        <w:p w14:paraId="3107D506"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 xml:space="preserve">Amrutha, P., Selvam, M. and </w:t>
          </w:r>
          <w:proofErr w:type="spellStart"/>
          <w:r w:rsidRPr="00AE3CFC">
            <w:rPr>
              <w:rFonts w:ascii="Times New Roman" w:hAnsi="Times New Roman" w:cs="Times New Roman"/>
              <w:color w:val="222222"/>
              <w:sz w:val="24"/>
              <w:szCs w:val="20"/>
              <w:shd w:val="clear" w:color="auto" w:fill="FFFFFF"/>
            </w:rPr>
            <w:t>Kathiravan</w:t>
          </w:r>
          <w:proofErr w:type="spellEnd"/>
          <w:r w:rsidRPr="00AE3CFC">
            <w:rPr>
              <w:rFonts w:ascii="Times New Roman" w:hAnsi="Times New Roman" w:cs="Times New Roman"/>
              <w:color w:val="222222"/>
              <w:sz w:val="24"/>
              <w:szCs w:val="20"/>
              <w:shd w:val="clear" w:color="auto" w:fill="FFFFFF"/>
            </w:rPr>
            <w:t>, C., 2019. Impact of converging to IFRS on key financial ratios with reference to BSE listed firms. </w:t>
          </w:r>
          <w:r w:rsidRPr="00AE3CFC">
            <w:rPr>
              <w:rFonts w:ascii="Times New Roman" w:hAnsi="Times New Roman" w:cs="Times New Roman"/>
              <w:i/>
              <w:iCs/>
              <w:color w:val="222222"/>
              <w:sz w:val="24"/>
              <w:szCs w:val="20"/>
              <w:shd w:val="clear" w:color="auto" w:fill="FFFFFF"/>
            </w:rPr>
            <w:t>International Journal of Psychosocial Rehabilitation</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23</w:t>
          </w:r>
          <w:r w:rsidRPr="00AE3CFC">
            <w:rPr>
              <w:rFonts w:ascii="Times New Roman" w:hAnsi="Times New Roman" w:cs="Times New Roman"/>
              <w:color w:val="222222"/>
              <w:sz w:val="24"/>
              <w:szCs w:val="20"/>
              <w:shd w:val="clear" w:color="auto" w:fill="FFFFFF"/>
            </w:rPr>
            <w:t>(01).</w:t>
          </w:r>
        </w:p>
        <w:p w14:paraId="148420CC"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 xml:space="preserve">Anthony, P., </w:t>
          </w:r>
          <w:proofErr w:type="spellStart"/>
          <w:r w:rsidRPr="00AE3CFC">
            <w:rPr>
              <w:rFonts w:ascii="Times New Roman" w:hAnsi="Times New Roman" w:cs="Times New Roman"/>
              <w:color w:val="222222"/>
              <w:sz w:val="24"/>
              <w:szCs w:val="20"/>
              <w:shd w:val="clear" w:color="auto" w:fill="FFFFFF"/>
            </w:rPr>
            <w:t>Behnoee</w:t>
          </w:r>
          <w:proofErr w:type="spellEnd"/>
          <w:r w:rsidRPr="00AE3CFC">
            <w:rPr>
              <w:rFonts w:ascii="Times New Roman" w:hAnsi="Times New Roman" w:cs="Times New Roman"/>
              <w:color w:val="222222"/>
              <w:sz w:val="24"/>
              <w:szCs w:val="20"/>
              <w:shd w:val="clear" w:color="auto" w:fill="FFFFFF"/>
            </w:rPr>
            <w:t xml:space="preserve">, B., </w:t>
          </w:r>
          <w:proofErr w:type="spellStart"/>
          <w:r w:rsidRPr="00AE3CFC">
            <w:rPr>
              <w:rFonts w:ascii="Times New Roman" w:hAnsi="Times New Roman" w:cs="Times New Roman"/>
              <w:color w:val="222222"/>
              <w:sz w:val="24"/>
              <w:szCs w:val="20"/>
              <w:shd w:val="clear" w:color="auto" w:fill="FFFFFF"/>
            </w:rPr>
            <w:t>Hassanpour</w:t>
          </w:r>
          <w:proofErr w:type="spellEnd"/>
          <w:r w:rsidRPr="00AE3CFC">
            <w:rPr>
              <w:rFonts w:ascii="Times New Roman" w:hAnsi="Times New Roman" w:cs="Times New Roman"/>
              <w:color w:val="222222"/>
              <w:sz w:val="24"/>
              <w:szCs w:val="20"/>
              <w:shd w:val="clear" w:color="auto" w:fill="FFFFFF"/>
            </w:rPr>
            <w:t xml:space="preserve">, M. and </w:t>
          </w:r>
          <w:proofErr w:type="spellStart"/>
          <w:r w:rsidRPr="00AE3CFC">
            <w:rPr>
              <w:rFonts w:ascii="Times New Roman" w:hAnsi="Times New Roman" w:cs="Times New Roman"/>
              <w:color w:val="222222"/>
              <w:sz w:val="24"/>
              <w:szCs w:val="20"/>
              <w:shd w:val="clear" w:color="auto" w:fill="FFFFFF"/>
            </w:rPr>
            <w:t>Pamucar</w:t>
          </w:r>
          <w:proofErr w:type="spellEnd"/>
          <w:r w:rsidRPr="00AE3CFC">
            <w:rPr>
              <w:rFonts w:ascii="Times New Roman" w:hAnsi="Times New Roman" w:cs="Times New Roman"/>
              <w:color w:val="222222"/>
              <w:sz w:val="24"/>
              <w:szCs w:val="20"/>
              <w:shd w:val="clear" w:color="auto" w:fill="FFFFFF"/>
            </w:rPr>
            <w:t>, D., 2019. Financial performance evaluation of seven Indian chemical companies. </w:t>
          </w:r>
          <w:r w:rsidRPr="00AE3CFC">
            <w:rPr>
              <w:rFonts w:ascii="Times New Roman" w:hAnsi="Times New Roman" w:cs="Times New Roman"/>
              <w:i/>
              <w:iCs/>
              <w:color w:val="222222"/>
              <w:sz w:val="24"/>
              <w:szCs w:val="20"/>
              <w:shd w:val="clear" w:color="auto" w:fill="FFFFFF"/>
            </w:rPr>
            <w:t>Decision Making: Applications in Management and Engineering</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2</w:t>
          </w:r>
          <w:r w:rsidRPr="00AE3CFC">
            <w:rPr>
              <w:rFonts w:ascii="Times New Roman" w:hAnsi="Times New Roman" w:cs="Times New Roman"/>
              <w:color w:val="222222"/>
              <w:sz w:val="24"/>
              <w:szCs w:val="20"/>
              <w:shd w:val="clear" w:color="auto" w:fill="FFFFFF"/>
            </w:rPr>
            <w:t>(2), pp.81-99.</w:t>
          </w:r>
        </w:p>
        <w:p w14:paraId="2BEAEEE1"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Asuquo</w:t>
          </w:r>
          <w:proofErr w:type="spellEnd"/>
          <w:r w:rsidRPr="00AE3CFC">
            <w:rPr>
              <w:rFonts w:ascii="Times New Roman" w:hAnsi="Times New Roman" w:cs="Times New Roman"/>
              <w:color w:val="222222"/>
              <w:sz w:val="24"/>
              <w:szCs w:val="20"/>
              <w:shd w:val="clear" w:color="auto" w:fill="FFFFFF"/>
            </w:rPr>
            <w:t>, A.I., 2020. Applicability of standard magnitude variance in the determination financial progress of business organizations. </w:t>
          </w:r>
          <w:r w:rsidRPr="00AE3CFC">
            <w:rPr>
              <w:rFonts w:ascii="Times New Roman" w:hAnsi="Times New Roman" w:cs="Times New Roman"/>
              <w:i/>
              <w:iCs/>
              <w:color w:val="222222"/>
              <w:sz w:val="24"/>
              <w:szCs w:val="20"/>
              <w:shd w:val="clear" w:color="auto" w:fill="FFFFFF"/>
            </w:rPr>
            <w:t>International Journal of Scientific and technology research</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9</w:t>
          </w:r>
          <w:r w:rsidRPr="00AE3CFC">
            <w:rPr>
              <w:rFonts w:ascii="Times New Roman" w:hAnsi="Times New Roman" w:cs="Times New Roman"/>
              <w:color w:val="222222"/>
              <w:sz w:val="24"/>
              <w:szCs w:val="20"/>
              <w:shd w:val="clear" w:color="auto" w:fill="FFFFFF"/>
            </w:rPr>
            <w:t>(3), pp.6351-6358.</w:t>
          </w:r>
        </w:p>
        <w:p w14:paraId="6EDAED20"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Cagle, M.N., 2020. Reflections of digitalization on accounting: the effects of industry 4.0 on financial statements and financial ratios. In </w:t>
          </w:r>
          <w:r w:rsidRPr="00AE3CFC">
            <w:rPr>
              <w:rFonts w:ascii="Times New Roman" w:hAnsi="Times New Roman" w:cs="Times New Roman"/>
              <w:i/>
              <w:iCs/>
              <w:color w:val="222222"/>
              <w:sz w:val="24"/>
              <w:szCs w:val="20"/>
              <w:shd w:val="clear" w:color="auto" w:fill="FFFFFF"/>
            </w:rPr>
            <w:t>Digital Business Strategies in Blockchain Ecosystems</w:t>
          </w:r>
          <w:r w:rsidRPr="00AE3CFC">
            <w:rPr>
              <w:rFonts w:ascii="Times New Roman" w:hAnsi="Times New Roman" w:cs="Times New Roman"/>
              <w:color w:val="222222"/>
              <w:sz w:val="24"/>
              <w:szCs w:val="20"/>
              <w:shd w:val="clear" w:color="auto" w:fill="FFFFFF"/>
            </w:rPr>
            <w:t> (pp. 473-501). Springer, Cham.</w:t>
          </w:r>
        </w:p>
        <w:p w14:paraId="5FC7D816"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Correa-Mejía, D.A. and Lopera-</w:t>
          </w:r>
          <w:proofErr w:type="spellStart"/>
          <w:r w:rsidRPr="00AE3CFC">
            <w:rPr>
              <w:rFonts w:ascii="Times New Roman" w:hAnsi="Times New Roman" w:cs="Times New Roman"/>
              <w:color w:val="222222"/>
              <w:sz w:val="24"/>
              <w:szCs w:val="20"/>
              <w:shd w:val="clear" w:color="auto" w:fill="FFFFFF"/>
            </w:rPr>
            <w:t>Castaño</w:t>
          </w:r>
          <w:proofErr w:type="spellEnd"/>
          <w:r w:rsidRPr="00AE3CFC">
            <w:rPr>
              <w:rFonts w:ascii="Times New Roman" w:hAnsi="Times New Roman" w:cs="Times New Roman"/>
              <w:color w:val="222222"/>
              <w:sz w:val="24"/>
              <w:szCs w:val="20"/>
              <w:shd w:val="clear" w:color="auto" w:fill="FFFFFF"/>
            </w:rPr>
            <w:t>, M., 2020. Financial ratios as a powerful instrument to predict insolvency; a study using boosting algorithms in Colombian firms. </w:t>
          </w:r>
          <w:proofErr w:type="spellStart"/>
          <w:r w:rsidRPr="00AE3CFC">
            <w:rPr>
              <w:rFonts w:ascii="Times New Roman" w:hAnsi="Times New Roman" w:cs="Times New Roman"/>
              <w:i/>
              <w:iCs/>
              <w:color w:val="222222"/>
              <w:sz w:val="24"/>
              <w:szCs w:val="20"/>
              <w:shd w:val="clear" w:color="auto" w:fill="FFFFFF"/>
            </w:rPr>
            <w:t>Estudios</w:t>
          </w:r>
          <w:proofErr w:type="spellEnd"/>
          <w:r w:rsidRPr="00AE3CFC">
            <w:rPr>
              <w:rFonts w:ascii="Times New Roman" w:hAnsi="Times New Roman" w:cs="Times New Roman"/>
              <w:i/>
              <w:iCs/>
              <w:color w:val="222222"/>
              <w:sz w:val="24"/>
              <w:szCs w:val="20"/>
              <w:shd w:val="clear" w:color="auto" w:fill="FFFFFF"/>
            </w:rPr>
            <w:t xml:space="preserve"> </w:t>
          </w:r>
          <w:proofErr w:type="spellStart"/>
          <w:r w:rsidRPr="00AE3CFC">
            <w:rPr>
              <w:rFonts w:ascii="Times New Roman" w:hAnsi="Times New Roman" w:cs="Times New Roman"/>
              <w:i/>
              <w:iCs/>
              <w:color w:val="222222"/>
              <w:sz w:val="24"/>
              <w:szCs w:val="20"/>
              <w:shd w:val="clear" w:color="auto" w:fill="FFFFFF"/>
            </w:rPr>
            <w:t>gerenciales</w:t>
          </w:r>
          <w:proofErr w:type="spellEnd"/>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36</w:t>
          </w:r>
          <w:r w:rsidRPr="00AE3CFC">
            <w:rPr>
              <w:rFonts w:ascii="Times New Roman" w:hAnsi="Times New Roman" w:cs="Times New Roman"/>
              <w:color w:val="222222"/>
              <w:sz w:val="24"/>
              <w:szCs w:val="20"/>
              <w:shd w:val="clear" w:color="auto" w:fill="FFFFFF"/>
            </w:rPr>
            <w:t>(155), pp.229-238.</w:t>
          </w:r>
        </w:p>
        <w:p w14:paraId="10B9C0C0"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Endri</w:t>
          </w:r>
          <w:proofErr w:type="spellEnd"/>
          <w:r w:rsidRPr="00AE3CFC">
            <w:rPr>
              <w:rFonts w:ascii="Times New Roman" w:hAnsi="Times New Roman" w:cs="Times New Roman"/>
              <w:color w:val="222222"/>
              <w:sz w:val="24"/>
              <w:szCs w:val="20"/>
              <w:shd w:val="clear" w:color="auto" w:fill="FFFFFF"/>
            </w:rPr>
            <w:t xml:space="preserve">, E., </w:t>
          </w:r>
          <w:proofErr w:type="spellStart"/>
          <w:r w:rsidRPr="00AE3CFC">
            <w:rPr>
              <w:rFonts w:ascii="Times New Roman" w:hAnsi="Times New Roman" w:cs="Times New Roman"/>
              <w:color w:val="222222"/>
              <w:sz w:val="24"/>
              <w:szCs w:val="20"/>
              <w:shd w:val="clear" w:color="auto" w:fill="FFFFFF"/>
            </w:rPr>
            <w:t>Susanti</w:t>
          </w:r>
          <w:proofErr w:type="spellEnd"/>
          <w:r w:rsidRPr="00AE3CFC">
            <w:rPr>
              <w:rFonts w:ascii="Times New Roman" w:hAnsi="Times New Roman" w:cs="Times New Roman"/>
              <w:color w:val="222222"/>
              <w:sz w:val="24"/>
              <w:szCs w:val="20"/>
              <w:shd w:val="clear" w:color="auto" w:fill="FFFFFF"/>
            </w:rPr>
            <w:t xml:space="preserve">, D., </w:t>
          </w:r>
          <w:proofErr w:type="spellStart"/>
          <w:r w:rsidRPr="00AE3CFC">
            <w:rPr>
              <w:rFonts w:ascii="Times New Roman" w:hAnsi="Times New Roman" w:cs="Times New Roman"/>
              <w:color w:val="222222"/>
              <w:sz w:val="24"/>
              <w:szCs w:val="20"/>
              <w:shd w:val="clear" w:color="auto" w:fill="FFFFFF"/>
            </w:rPr>
            <w:t>Hutabarat</w:t>
          </w:r>
          <w:proofErr w:type="spellEnd"/>
          <w:r w:rsidRPr="00AE3CFC">
            <w:rPr>
              <w:rFonts w:ascii="Times New Roman" w:hAnsi="Times New Roman" w:cs="Times New Roman"/>
              <w:color w:val="222222"/>
              <w:sz w:val="24"/>
              <w:szCs w:val="20"/>
              <w:shd w:val="clear" w:color="auto" w:fill="FFFFFF"/>
            </w:rPr>
            <w:t xml:space="preserve">, L., </w:t>
          </w:r>
          <w:proofErr w:type="spellStart"/>
          <w:r w:rsidRPr="00AE3CFC">
            <w:rPr>
              <w:rFonts w:ascii="Times New Roman" w:hAnsi="Times New Roman" w:cs="Times New Roman"/>
              <w:color w:val="222222"/>
              <w:sz w:val="24"/>
              <w:szCs w:val="20"/>
              <w:shd w:val="clear" w:color="auto" w:fill="FFFFFF"/>
            </w:rPr>
            <w:t>Simanjuntak</w:t>
          </w:r>
          <w:proofErr w:type="spellEnd"/>
          <w:r w:rsidRPr="00AE3CFC">
            <w:rPr>
              <w:rFonts w:ascii="Times New Roman" w:hAnsi="Times New Roman" w:cs="Times New Roman"/>
              <w:color w:val="222222"/>
              <w:sz w:val="24"/>
              <w:szCs w:val="20"/>
              <w:shd w:val="clear" w:color="auto" w:fill="FFFFFF"/>
            </w:rPr>
            <w:t xml:space="preserve">, T.P. and </w:t>
          </w:r>
          <w:proofErr w:type="spellStart"/>
          <w:r w:rsidRPr="00AE3CFC">
            <w:rPr>
              <w:rFonts w:ascii="Times New Roman" w:hAnsi="Times New Roman" w:cs="Times New Roman"/>
              <w:color w:val="222222"/>
              <w:sz w:val="24"/>
              <w:szCs w:val="20"/>
              <w:shd w:val="clear" w:color="auto" w:fill="FFFFFF"/>
            </w:rPr>
            <w:t>Handayani</w:t>
          </w:r>
          <w:proofErr w:type="spellEnd"/>
          <w:r w:rsidRPr="00AE3CFC">
            <w:rPr>
              <w:rFonts w:ascii="Times New Roman" w:hAnsi="Times New Roman" w:cs="Times New Roman"/>
              <w:color w:val="222222"/>
              <w:sz w:val="24"/>
              <w:szCs w:val="20"/>
              <w:shd w:val="clear" w:color="auto" w:fill="FFFFFF"/>
            </w:rPr>
            <w:t>, S., 2020. Financial performance evaluation: Empirical evidence of pharmaceutical companies in Indonesia. </w:t>
          </w:r>
          <w:r w:rsidRPr="00AE3CFC">
            <w:rPr>
              <w:rFonts w:ascii="Times New Roman" w:hAnsi="Times New Roman" w:cs="Times New Roman"/>
              <w:i/>
              <w:iCs/>
              <w:color w:val="222222"/>
              <w:sz w:val="24"/>
              <w:szCs w:val="20"/>
              <w:shd w:val="clear" w:color="auto" w:fill="FFFFFF"/>
            </w:rPr>
            <w:t>Systematic Reviews in Pharmacy</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11</w:t>
          </w:r>
          <w:r w:rsidRPr="00AE3CFC">
            <w:rPr>
              <w:rFonts w:ascii="Times New Roman" w:hAnsi="Times New Roman" w:cs="Times New Roman"/>
              <w:color w:val="222222"/>
              <w:sz w:val="24"/>
              <w:szCs w:val="20"/>
              <w:shd w:val="clear" w:color="auto" w:fill="FFFFFF"/>
            </w:rPr>
            <w:t>(6), pp.803-816.</w:t>
          </w:r>
        </w:p>
        <w:p w14:paraId="412449C9"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Heo</w:t>
          </w:r>
          <w:proofErr w:type="spellEnd"/>
          <w:r w:rsidRPr="00AE3CFC">
            <w:rPr>
              <w:rFonts w:ascii="Times New Roman" w:hAnsi="Times New Roman" w:cs="Times New Roman"/>
              <w:color w:val="222222"/>
              <w:sz w:val="24"/>
              <w:szCs w:val="20"/>
              <w:shd w:val="clear" w:color="auto" w:fill="FFFFFF"/>
            </w:rPr>
            <w:t>, W., Lee, J.M., Park, N. and Grable, J.E., 2020. Using Artificial Neural Network techniques to improve the description and prediction of household financial ratios. </w:t>
          </w:r>
          <w:r w:rsidRPr="00AE3CFC">
            <w:rPr>
              <w:rFonts w:ascii="Times New Roman" w:hAnsi="Times New Roman" w:cs="Times New Roman"/>
              <w:i/>
              <w:iCs/>
              <w:color w:val="222222"/>
              <w:sz w:val="24"/>
              <w:szCs w:val="20"/>
              <w:shd w:val="clear" w:color="auto" w:fill="FFFFFF"/>
            </w:rPr>
            <w:t xml:space="preserve">Journal of </w:t>
          </w:r>
          <w:proofErr w:type="spellStart"/>
          <w:r w:rsidRPr="00AE3CFC">
            <w:rPr>
              <w:rFonts w:ascii="Times New Roman" w:hAnsi="Times New Roman" w:cs="Times New Roman"/>
              <w:i/>
              <w:iCs/>
              <w:color w:val="222222"/>
              <w:sz w:val="24"/>
              <w:szCs w:val="20"/>
              <w:shd w:val="clear" w:color="auto" w:fill="FFFFFF"/>
            </w:rPr>
            <w:t>Behavioral</w:t>
          </w:r>
          <w:proofErr w:type="spellEnd"/>
          <w:r w:rsidRPr="00AE3CFC">
            <w:rPr>
              <w:rFonts w:ascii="Times New Roman" w:hAnsi="Times New Roman" w:cs="Times New Roman"/>
              <w:i/>
              <w:iCs/>
              <w:color w:val="222222"/>
              <w:sz w:val="24"/>
              <w:szCs w:val="20"/>
              <w:shd w:val="clear" w:color="auto" w:fill="FFFFFF"/>
            </w:rPr>
            <w:t xml:space="preserve"> and Experimental Finance</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25</w:t>
          </w:r>
          <w:r w:rsidRPr="00AE3CFC">
            <w:rPr>
              <w:rFonts w:ascii="Times New Roman" w:hAnsi="Times New Roman" w:cs="Times New Roman"/>
              <w:color w:val="222222"/>
              <w:sz w:val="24"/>
              <w:szCs w:val="20"/>
              <w:shd w:val="clear" w:color="auto" w:fill="FFFFFF"/>
            </w:rPr>
            <w:t>, p.100273.</w:t>
          </w:r>
        </w:p>
        <w:p w14:paraId="282F7B2A"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 xml:space="preserve">Husain, T. and </w:t>
          </w:r>
          <w:proofErr w:type="spellStart"/>
          <w:r w:rsidRPr="00AE3CFC">
            <w:rPr>
              <w:rFonts w:ascii="Times New Roman" w:hAnsi="Times New Roman" w:cs="Times New Roman"/>
              <w:color w:val="222222"/>
              <w:sz w:val="24"/>
              <w:szCs w:val="20"/>
              <w:shd w:val="clear" w:color="auto" w:fill="FFFFFF"/>
            </w:rPr>
            <w:t>Sunardi</w:t>
          </w:r>
          <w:proofErr w:type="spellEnd"/>
          <w:r w:rsidRPr="00AE3CFC">
            <w:rPr>
              <w:rFonts w:ascii="Times New Roman" w:hAnsi="Times New Roman" w:cs="Times New Roman"/>
              <w:color w:val="222222"/>
              <w:sz w:val="24"/>
              <w:szCs w:val="20"/>
              <w:shd w:val="clear" w:color="auto" w:fill="FFFFFF"/>
            </w:rPr>
            <w:t>, N., 2020. Firm's Value Prediction Based on Profitability Ratios and Dividend Policy. </w:t>
          </w:r>
          <w:r w:rsidRPr="00AE3CFC">
            <w:rPr>
              <w:rFonts w:ascii="Times New Roman" w:hAnsi="Times New Roman" w:cs="Times New Roman"/>
              <w:i/>
              <w:iCs/>
              <w:color w:val="222222"/>
              <w:sz w:val="24"/>
              <w:szCs w:val="20"/>
              <w:shd w:val="clear" w:color="auto" w:fill="FFFFFF"/>
            </w:rPr>
            <w:t>Finance &amp; Economics Review</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2</w:t>
          </w:r>
          <w:r w:rsidRPr="00AE3CFC">
            <w:rPr>
              <w:rFonts w:ascii="Times New Roman" w:hAnsi="Times New Roman" w:cs="Times New Roman"/>
              <w:color w:val="222222"/>
              <w:sz w:val="24"/>
              <w:szCs w:val="20"/>
              <w:shd w:val="clear" w:color="auto" w:fill="FFFFFF"/>
            </w:rPr>
            <w:t>(2), pp.13-26.</w:t>
          </w:r>
        </w:p>
        <w:p w14:paraId="4094B740"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 xml:space="preserve">Husain, T., </w:t>
          </w:r>
          <w:proofErr w:type="spellStart"/>
          <w:r w:rsidRPr="00AE3CFC">
            <w:rPr>
              <w:rFonts w:ascii="Times New Roman" w:hAnsi="Times New Roman" w:cs="Times New Roman"/>
              <w:color w:val="222222"/>
              <w:sz w:val="24"/>
              <w:szCs w:val="20"/>
              <w:shd w:val="clear" w:color="auto" w:fill="FFFFFF"/>
            </w:rPr>
            <w:t>Ardhiansyah</w:t>
          </w:r>
          <w:proofErr w:type="spellEnd"/>
          <w:r w:rsidRPr="00AE3CFC">
            <w:rPr>
              <w:rFonts w:ascii="Times New Roman" w:hAnsi="Times New Roman" w:cs="Times New Roman"/>
              <w:color w:val="222222"/>
              <w:sz w:val="24"/>
              <w:szCs w:val="20"/>
              <w:shd w:val="clear" w:color="auto" w:fill="FFFFFF"/>
            </w:rPr>
            <w:t xml:space="preserve">, M. and </w:t>
          </w:r>
          <w:proofErr w:type="spellStart"/>
          <w:r w:rsidRPr="00AE3CFC">
            <w:rPr>
              <w:rFonts w:ascii="Times New Roman" w:hAnsi="Times New Roman" w:cs="Times New Roman"/>
              <w:color w:val="222222"/>
              <w:sz w:val="24"/>
              <w:szCs w:val="20"/>
              <w:shd w:val="clear" w:color="auto" w:fill="FFFFFF"/>
            </w:rPr>
            <w:t>Fathudin</w:t>
          </w:r>
          <w:proofErr w:type="spellEnd"/>
          <w:r w:rsidRPr="00AE3CFC">
            <w:rPr>
              <w:rFonts w:ascii="Times New Roman" w:hAnsi="Times New Roman" w:cs="Times New Roman"/>
              <w:color w:val="222222"/>
              <w:sz w:val="24"/>
              <w:szCs w:val="20"/>
              <w:shd w:val="clear" w:color="auto" w:fill="FFFFFF"/>
            </w:rPr>
            <w:t>, D., 2021. Confirmatory factor analysis: Model testing of financial ratio's with decision support systems approach. </w:t>
          </w:r>
          <w:r w:rsidRPr="00AE3CFC">
            <w:rPr>
              <w:rFonts w:ascii="Times New Roman" w:hAnsi="Times New Roman" w:cs="Times New Roman"/>
              <w:i/>
              <w:iCs/>
              <w:color w:val="222222"/>
              <w:sz w:val="24"/>
              <w:szCs w:val="20"/>
              <w:shd w:val="clear" w:color="auto" w:fill="FFFFFF"/>
            </w:rPr>
            <w:t>International Journal of Advances in Applied Sciences (IJAAS)</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10</w:t>
          </w:r>
          <w:r w:rsidRPr="00AE3CFC">
            <w:rPr>
              <w:rFonts w:ascii="Times New Roman" w:hAnsi="Times New Roman" w:cs="Times New Roman"/>
              <w:color w:val="222222"/>
              <w:sz w:val="24"/>
              <w:szCs w:val="20"/>
              <w:shd w:val="clear" w:color="auto" w:fill="FFFFFF"/>
            </w:rPr>
            <w:t>(2), pp.115-121.</w:t>
          </w:r>
        </w:p>
        <w:p w14:paraId="2446E68C"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Laitinen</w:t>
          </w:r>
          <w:proofErr w:type="spellEnd"/>
          <w:r w:rsidRPr="00AE3CFC">
            <w:rPr>
              <w:rFonts w:ascii="Times New Roman" w:hAnsi="Times New Roman" w:cs="Times New Roman"/>
              <w:color w:val="222222"/>
              <w:sz w:val="24"/>
              <w:szCs w:val="20"/>
              <w:shd w:val="clear" w:color="auto" w:fill="FFFFFF"/>
            </w:rPr>
            <w:t>, E.K., 2018. Financial reporting: Long-term change of financial ratios.</w:t>
          </w:r>
        </w:p>
        <w:p w14:paraId="4F074999"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lastRenderedPageBreak/>
            <w:t>Li, Z., Crook, J., Andreeva, G. and Tang, Y., 2021. Predicting the risk of financial distress using corporate governance measures. </w:t>
          </w:r>
          <w:r w:rsidRPr="00AE3CFC">
            <w:rPr>
              <w:rFonts w:ascii="Times New Roman" w:hAnsi="Times New Roman" w:cs="Times New Roman"/>
              <w:i/>
              <w:iCs/>
              <w:color w:val="222222"/>
              <w:sz w:val="24"/>
              <w:szCs w:val="20"/>
              <w:shd w:val="clear" w:color="auto" w:fill="FFFFFF"/>
            </w:rPr>
            <w:t>Pacific-Basin Finance Journal</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68</w:t>
          </w:r>
          <w:r w:rsidRPr="00AE3CFC">
            <w:rPr>
              <w:rFonts w:ascii="Times New Roman" w:hAnsi="Times New Roman" w:cs="Times New Roman"/>
              <w:color w:val="222222"/>
              <w:sz w:val="24"/>
              <w:szCs w:val="20"/>
              <w:shd w:val="clear" w:color="auto" w:fill="FFFFFF"/>
            </w:rPr>
            <w:t>, p.101334.</w:t>
          </w:r>
        </w:p>
        <w:p w14:paraId="659F4A05"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Ligocká</w:t>
          </w:r>
          <w:proofErr w:type="spellEnd"/>
          <w:r w:rsidRPr="00AE3CFC">
            <w:rPr>
              <w:rFonts w:ascii="Times New Roman" w:hAnsi="Times New Roman" w:cs="Times New Roman"/>
              <w:color w:val="222222"/>
              <w:sz w:val="24"/>
              <w:szCs w:val="20"/>
              <w:shd w:val="clear" w:color="auto" w:fill="FFFFFF"/>
            </w:rPr>
            <w:t xml:space="preserve">, M. and </w:t>
          </w:r>
          <w:proofErr w:type="spellStart"/>
          <w:r w:rsidRPr="00AE3CFC">
            <w:rPr>
              <w:rFonts w:ascii="Times New Roman" w:hAnsi="Times New Roman" w:cs="Times New Roman"/>
              <w:color w:val="222222"/>
              <w:sz w:val="24"/>
              <w:szCs w:val="20"/>
              <w:shd w:val="clear" w:color="auto" w:fill="FFFFFF"/>
            </w:rPr>
            <w:t>Stavárek</w:t>
          </w:r>
          <w:proofErr w:type="spellEnd"/>
          <w:r w:rsidRPr="00AE3CFC">
            <w:rPr>
              <w:rFonts w:ascii="Times New Roman" w:hAnsi="Times New Roman" w:cs="Times New Roman"/>
              <w:color w:val="222222"/>
              <w:sz w:val="24"/>
              <w:szCs w:val="20"/>
              <w:shd w:val="clear" w:color="auto" w:fill="FFFFFF"/>
            </w:rPr>
            <w:t>, D., 2019. The relationship between financial ratios and the stock prices of selected European food companies listed on stock exchanges. </w:t>
          </w:r>
          <w:r w:rsidRPr="00AE3CFC">
            <w:rPr>
              <w:rFonts w:ascii="Times New Roman" w:hAnsi="Times New Roman" w:cs="Times New Roman"/>
              <w:i/>
              <w:iCs/>
              <w:color w:val="222222"/>
              <w:sz w:val="24"/>
              <w:szCs w:val="20"/>
              <w:shd w:val="clear" w:color="auto" w:fill="FFFFFF"/>
            </w:rPr>
            <w:t xml:space="preserve">Acta Universitatis </w:t>
          </w:r>
          <w:proofErr w:type="spellStart"/>
          <w:r w:rsidRPr="00AE3CFC">
            <w:rPr>
              <w:rFonts w:ascii="Times New Roman" w:hAnsi="Times New Roman" w:cs="Times New Roman"/>
              <w:i/>
              <w:iCs/>
              <w:color w:val="222222"/>
              <w:sz w:val="24"/>
              <w:szCs w:val="20"/>
              <w:shd w:val="clear" w:color="auto" w:fill="FFFFFF"/>
            </w:rPr>
            <w:t>Agriculturae</w:t>
          </w:r>
          <w:proofErr w:type="spellEnd"/>
          <w:r w:rsidRPr="00AE3CFC">
            <w:rPr>
              <w:rFonts w:ascii="Times New Roman" w:hAnsi="Times New Roman" w:cs="Times New Roman"/>
              <w:i/>
              <w:iCs/>
              <w:color w:val="222222"/>
              <w:sz w:val="24"/>
              <w:szCs w:val="20"/>
              <w:shd w:val="clear" w:color="auto" w:fill="FFFFFF"/>
            </w:rPr>
            <w:t xml:space="preserve"> et </w:t>
          </w:r>
          <w:proofErr w:type="spellStart"/>
          <w:r w:rsidRPr="00AE3CFC">
            <w:rPr>
              <w:rFonts w:ascii="Times New Roman" w:hAnsi="Times New Roman" w:cs="Times New Roman"/>
              <w:i/>
              <w:iCs/>
              <w:color w:val="222222"/>
              <w:sz w:val="24"/>
              <w:szCs w:val="20"/>
              <w:shd w:val="clear" w:color="auto" w:fill="FFFFFF"/>
            </w:rPr>
            <w:t>Silviculturae</w:t>
          </w:r>
          <w:proofErr w:type="spellEnd"/>
          <w:r w:rsidRPr="00AE3CFC">
            <w:rPr>
              <w:rFonts w:ascii="Times New Roman" w:hAnsi="Times New Roman" w:cs="Times New Roman"/>
              <w:i/>
              <w:iCs/>
              <w:color w:val="222222"/>
              <w:sz w:val="24"/>
              <w:szCs w:val="20"/>
              <w:shd w:val="clear" w:color="auto" w:fill="FFFFFF"/>
            </w:rPr>
            <w:t xml:space="preserve"> </w:t>
          </w:r>
          <w:proofErr w:type="spellStart"/>
          <w:r w:rsidRPr="00AE3CFC">
            <w:rPr>
              <w:rFonts w:ascii="Times New Roman" w:hAnsi="Times New Roman" w:cs="Times New Roman"/>
              <w:i/>
              <w:iCs/>
              <w:color w:val="222222"/>
              <w:sz w:val="24"/>
              <w:szCs w:val="20"/>
              <w:shd w:val="clear" w:color="auto" w:fill="FFFFFF"/>
            </w:rPr>
            <w:t>Mendelianae</w:t>
          </w:r>
          <w:proofErr w:type="spellEnd"/>
          <w:r w:rsidRPr="00AE3CFC">
            <w:rPr>
              <w:rFonts w:ascii="Times New Roman" w:hAnsi="Times New Roman" w:cs="Times New Roman"/>
              <w:i/>
              <w:iCs/>
              <w:color w:val="222222"/>
              <w:sz w:val="24"/>
              <w:szCs w:val="20"/>
              <w:shd w:val="clear" w:color="auto" w:fill="FFFFFF"/>
            </w:rPr>
            <w:t xml:space="preserve"> </w:t>
          </w:r>
          <w:proofErr w:type="spellStart"/>
          <w:r w:rsidRPr="00AE3CFC">
            <w:rPr>
              <w:rFonts w:ascii="Times New Roman" w:hAnsi="Times New Roman" w:cs="Times New Roman"/>
              <w:i/>
              <w:iCs/>
              <w:color w:val="222222"/>
              <w:sz w:val="24"/>
              <w:szCs w:val="20"/>
              <w:shd w:val="clear" w:color="auto" w:fill="FFFFFF"/>
            </w:rPr>
            <w:t>Brunensis</w:t>
          </w:r>
          <w:proofErr w:type="spellEnd"/>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67</w:t>
          </w:r>
          <w:r w:rsidRPr="00AE3CFC">
            <w:rPr>
              <w:rFonts w:ascii="Times New Roman" w:hAnsi="Times New Roman" w:cs="Times New Roman"/>
              <w:color w:val="222222"/>
              <w:sz w:val="24"/>
              <w:szCs w:val="20"/>
              <w:shd w:val="clear" w:color="auto" w:fill="FFFFFF"/>
            </w:rPr>
            <w:t>(1), pp.299-307.</w:t>
          </w:r>
        </w:p>
        <w:p w14:paraId="2AE7A10C"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Niggle, C.J., 2019. The Cyclical Behavior of Corporate Financial Ratios and Minsky's Financial Instability Hypothesis. In </w:t>
          </w:r>
          <w:r w:rsidRPr="00AE3CFC">
            <w:rPr>
              <w:rFonts w:ascii="Times New Roman" w:hAnsi="Times New Roman" w:cs="Times New Roman"/>
              <w:i/>
              <w:iCs/>
              <w:color w:val="222222"/>
              <w:sz w:val="24"/>
              <w:szCs w:val="20"/>
              <w:shd w:val="clear" w:color="auto" w:fill="FFFFFF"/>
            </w:rPr>
            <w:t>Financial Dynamics and Business Cycles</w:t>
          </w:r>
          <w:r w:rsidRPr="00AE3CFC">
            <w:rPr>
              <w:rFonts w:ascii="Times New Roman" w:hAnsi="Times New Roman" w:cs="Times New Roman"/>
              <w:color w:val="222222"/>
              <w:sz w:val="24"/>
              <w:szCs w:val="20"/>
              <w:shd w:val="clear" w:color="auto" w:fill="FFFFFF"/>
            </w:rPr>
            <w:t> (pp. 203-220). Routledge.</w:t>
          </w:r>
        </w:p>
        <w:p w14:paraId="131A0D2C"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Pattiasina</w:t>
          </w:r>
          <w:proofErr w:type="spellEnd"/>
          <w:r w:rsidRPr="00AE3CFC">
            <w:rPr>
              <w:rFonts w:ascii="Times New Roman" w:hAnsi="Times New Roman" w:cs="Times New Roman"/>
              <w:color w:val="222222"/>
              <w:sz w:val="24"/>
              <w:szCs w:val="20"/>
              <w:shd w:val="clear" w:color="auto" w:fill="FFFFFF"/>
            </w:rPr>
            <w:t xml:space="preserve">, V., </w:t>
          </w:r>
          <w:proofErr w:type="spellStart"/>
          <w:r w:rsidRPr="00AE3CFC">
            <w:rPr>
              <w:rFonts w:ascii="Times New Roman" w:hAnsi="Times New Roman" w:cs="Times New Roman"/>
              <w:color w:val="222222"/>
              <w:sz w:val="24"/>
              <w:szCs w:val="20"/>
              <w:shd w:val="clear" w:color="auto" w:fill="FFFFFF"/>
            </w:rPr>
            <w:t>Sejati</w:t>
          </w:r>
          <w:proofErr w:type="spellEnd"/>
          <w:r w:rsidRPr="00AE3CFC">
            <w:rPr>
              <w:rFonts w:ascii="Times New Roman" w:hAnsi="Times New Roman" w:cs="Times New Roman"/>
              <w:color w:val="222222"/>
              <w:sz w:val="24"/>
              <w:szCs w:val="20"/>
              <w:shd w:val="clear" w:color="auto" w:fill="FFFFFF"/>
            </w:rPr>
            <w:t xml:space="preserve">, F.R., </w:t>
          </w:r>
          <w:proofErr w:type="spellStart"/>
          <w:r w:rsidRPr="00AE3CFC">
            <w:rPr>
              <w:rFonts w:ascii="Times New Roman" w:hAnsi="Times New Roman" w:cs="Times New Roman"/>
              <w:color w:val="222222"/>
              <w:sz w:val="24"/>
              <w:szCs w:val="20"/>
              <w:shd w:val="clear" w:color="auto" w:fill="FFFFFF"/>
            </w:rPr>
            <w:t>Seralurin</w:t>
          </w:r>
          <w:proofErr w:type="spellEnd"/>
          <w:r w:rsidRPr="00AE3CFC">
            <w:rPr>
              <w:rFonts w:ascii="Times New Roman" w:hAnsi="Times New Roman" w:cs="Times New Roman"/>
              <w:color w:val="222222"/>
              <w:sz w:val="24"/>
              <w:szCs w:val="20"/>
              <w:shd w:val="clear" w:color="auto" w:fill="FFFFFF"/>
            </w:rPr>
            <w:t xml:space="preserve">, Y.C., </w:t>
          </w:r>
          <w:proofErr w:type="spellStart"/>
          <w:r w:rsidRPr="00AE3CFC">
            <w:rPr>
              <w:rFonts w:ascii="Times New Roman" w:hAnsi="Times New Roman" w:cs="Times New Roman"/>
              <w:color w:val="222222"/>
              <w:sz w:val="24"/>
              <w:szCs w:val="20"/>
              <w:shd w:val="clear" w:color="auto" w:fill="FFFFFF"/>
            </w:rPr>
            <w:t>Batilmurik</w:t>
          </w:r>
          <w:proofErr w:type="spellEnd"/>
          <w:r w:rsidRPr="00AE3CFC">
            <w:rPr>
              <w:rFonts w:ascii="Times New Roman" w:hAnsi="Times New Roman" w:cs="Times New Roman"/>
              <w:color w:val="222222"/>
              <w:sz w:val="24"/>
              <w:szCs w:val="20"/>
              <w:shd w:val="clear" w:color="auto" w:fill="FFFFFF"/>
            </w:rPr>
            <w:t>, R.W. and Al Aziz, M.A., 2018. The impact of financial ratios towards profit changes. </w:t>
          </w:r>
          <w:r w:rsidRPr="00AE3CFC">
            <w:rPr>
              <w:rFonts w:ascii="Times New Roman" w:hAnsi="Times New Roman" w:cs="Times New Roman"/>
              <w:i/>
              <w:iCs/>
              <w:color w:val="222222"/>
              <w:sz w:val="24"/>
              <w:szCs w:val="20"/>
              <w:shd w:val="clear" w:color="auto" w:fill="FFFFFF"/>
            </w:rPr>
            <w:t>International Research Journal of Management, IT and Social Sciences</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5</w:t>
          </w:r>
          <w:r w:rsidRPr="00AE3CFC">
            <w:rPr>
              <w:rFonts w:ascii="Times New Roman" w:hAnsi="Times New Roman" w:cs="Times New Roman"/>
              <w:color w:val="222222"/>
              <w:sz w:val="24"/>
              <w:szCs w:val="20"/>
              <w:shd w:val="clear" w:color="auto" w:fill="FFFFFF"/>
            </w:rPr>
            <w:t>(5), pp.1-16.</w:t>
          </w:r>
        </w:p>
        <w:p w14:paraId="69781338"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Purba</w:t>
          </w:r>
          <w:proofErr w:type="spellEnd"/>
          <w:r w:rsidRPr="00AE3CFC">
            <w:rPr>
              <w:rFonts w:ascii="Times New Roman" w:hAnsi="Times New Roman" w:cs="Times New Roman"/>
              <w:color w:val="222222"/>
              <w:sz w:val="24"/>
              <w:szCs w:val="20"/>
              <w:shd w:val="clear" w:color="auto" w:fill="FFFFFF"/>
            </w:rPr>
            <w:t xml:space="preserve">, J.H.V. and </w:t>
          </w:r>
          <w:proofErr w:type="spellStart"/>
          <w:r w:rsidRPr="00AE3CFC">
            <w:rPr>
              <w:rFonts w:ascii="Times New Roman" w:hAnsi="Times New Roman" w:cs="Times New Roman"/>
              <w:color w:val="222222"/>
              <w:sz w:val="24"/>
              <w:szCs w:val="20"/>
              <w:shd w:val="clear" w:color="auto" w:fill="FFFFFF"/>
            </w:rPr>
            <w:t>Septian</w:t>
          </w:r>
          <w:proofErr w:type="spellEnd"/>
          <w:r w:rsidRPr="00AE3CFC">
            <w:rPr>
              <w:rFonts w:ascii="Times New Roman" w:hAnsi="Times New Roman" w:cs="Times New Roman"/>
              <w:color w:val="222222"/>
              <w:sz w:val="24"/>
              <w:szCs w:val="20"/>
              <w:shd w:val="clear" w:color="auto" w:fill="FFFFFF"/>
            </w:rPr>
            <w:t>, M.R., 2019. Analysis of Short Term Financial Performance: A Case Study of an Energy Service Provider. </w:t>
          </w:r>
          <w:r w:rsidRPr="00AE3CFC">
            <w:rPr>
              <w:rFonts w:ascii="Times New Roman" w:hAnsi="Times New Roman" w:cs="Times New Roman"/>
              <w:i/>
              <w:iCs/>
              <w:color w:val="222222"/>
              <w:sz w:val="24"/>
              <w:szCs w:val="20"/>
              <w:shd w:val="clear" w:color="auto" w:fill="FFFFFF"/>
            </w:rPr>
            <w:t>Journal of Accounting Research, Organization and Economics</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2</w:t>
          </w:r>
          <w:r w:rsidRPr="00AE3CFC">
            <w:rPr>
              <w:rFonts w:ascii="Times New Roman" w:hAnsi="Times New Roman" w:cs="Times New Roman"/>
              <w:color w:val="222222"/>
              <w:sz w:val="24"/>
              <w:szCs w:val="20"/>
              <w:shd w:val="clear" w:color="auto" w:fill="FFFFFF"/>
            </w:rPr>
            <w:t>(2), pp.113-122.</w:t>
          </w:r>
        </w:p>
        <w:p w14:paraId="3E863B10"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proofErr w:type="spellStart"/>
          <w:r w:rsidRPr="00AE3CFC">
            <w:rPr>
              <w:rFonts w:ascii="Times New Roman" w:hAnsi="Times New Roman" w:cs="Times New Roman"/>
              <w:color w:val="222222"/>
              <w:sz w:val="24"/>
              <w:szCs w:val="20"/>
              <w:shd w:val="clear" w:color="auto" w:fill="FFFFFF"/>
            </w:rPr>
            <w:t>Tascón</w:t>
          </w:r>
          <w:proofErr w:type="spellEnd"/>
          <w:r w:rsidRPr="00AE3CFC">
            <w:rPr>
              <w:rFonts w:ascii="Times New Roman" w:hAnsi="Times New Roman" w:cs="Times New Roman"/>
              <w:color w:val="222222"/>
              <w:sz w:val="24"/>
              <w:szCs w:val="20"/>
              <w:shd w:val="clear" w:color="auto" w:fill="FFFFFF"/>
            </w:rPr>
            <w:t xml:space="preserve">, M.T., </w:t>
          </w:r>
          <w:proofErr w:type="spellStart"/>
          <w:r w:rsidRPr="00AE3CFC">
            <w:rPr>
              <w:rFonts w:ascii="Times New Roman" w:hAnsi="Times New Roman" w:cs="Times New Roman"/>
              <w:color w:val="222222"/>
              <w:sz w:val="24"/>
              <w:szCs w:val="20"/>
              <w:shd w:val="clear" w:color="auto" w:fill="FFFFFF"/>
            </w:rPr>
            <w:t>Castaño</w:t>
          </w:r>
          <w:proofErr w:type="spellEnd"/>
          <w:r w:rsidRPr="00AE3CFC">
            <w:rPr>
              <w:rFonts w:ascii="Times New Roman" w:hAnsi="Times New Roman" w:cs="Times New Roman"/>
              <w:color w:val="222222"/>
              <w:sz w:val="24"/>
              <w:szCs w:val="20"/>
              <w:shd w:val="clear" w:color="auto" w:fill="FFFFFF"/>
            </w:rPr>
            <w:t>, F.J. and Castro, P., 2018. A new tool for failure analysis in small firms: frontiers of financial ratios based on percentile differences (PDFR). </w:t>
          </w:r>
          <w:r w:rsidRPr="00AE3CFC">
            <w:rPr>
              <w:rFonts w:ascii="Times New Roman" w:hAnsi="Times New Roman" w:cs="Times New Roman"/>
              <w:i/>
              <w:iCs/>
              <w:color w:val="222222"/>
              <w:sz w:val="24"/>
              <w:szCs w:val="20"/>
              <w:shd w:val="clear" w:color="auto" w:fill="FFFFFF"/>
            </w:rPr>
            <w:t>Spanish Journal of Finance and Accounting/</w:t>
          </w:r>
          <w:proofErr w:type="spellStart"/>
          <w:r w:rsidRPr="00AE3CFC">
            <w:rPr>
              <w:rFonts w:ascii="Times New Roman" w:hAnsi="Times New Roman" w:cs="Times New Roman"/>
              <w:i/>
              <w:iCs/>
              <w:color w:val="222222"/>
              <w:sz w:val="24"/>
              <w:szCs w:val="20"/>
              <w:shd w:val="clear" w:color="auto" w:fill="FFFFFF"/>
            </w:rPr>
            <w:t>Revista</w:t>
          </w:r>
          <w:proofErr w:type="spellEnd"/>
          <w:r w:rsidRPr="00AE3CFC">
            <w:rPr>
              <w:rFonts w:ascii="Times New Roman" w:hAnsi="Times New Roman" w:cs="Times New Roman"/>
              <w:i/>
              <w:iCs/>
              <w:color w:val="222222"/>
              <w:sz w:val="24"/>
              <w:szCs w:val="20"/>
              <w:shd w:val="clear" w:color="auto" w:fill="FFFFFF"/>
            </w:rPr>
            <w:t xml:space="preserve"> Española de </w:t>
          </w:r>
          <w:proofErr w:type="spellStart"/>
          <w:r w:rsidRPr="00AE3CFC">
            <w:rPr>
              <w:rFonts w:ascii="Times New Roman" w:hAnsi="Times New Roman" w:cs="Times New Roman"/>
              <w:i/>
              <w:iCs/>
              <w:color w:val="222222"/>
              <w:sz w:val="24"/>
              <w:szCs w:val="20"/>
              <w:shd w:val="clear" w:color="auto" w:fill="FFFFFF"/>
            </w:rPr>
            <w:t>Financiación</w:t>
          </w:r>
          <w:proofErr w:type="spellEnd"/>
          <w:r w:rsidRPr="00AE3CFC">
            <w:rPr>
              <w:rFonts w:ascii="Times New Roman" w:hAnsi="Times New Roman" w:cs="Times New Roman"/>
              <w:i/>
              <w:iCs/>
              <w:color w:val="222222"/>
              <w:sz w:val="24"/>
              <w:szCs w:val="20"/>
              <w:shd w:val="clear" w:color="auto" w:fill="FFFFFF"/>
            </w:rPr>
            <w:t xml:space="preserve"> y </w:t>
          </w:r>
          <w:proofErr w:type="spellStart"/>
          <w:r w:rsidRPr="00AE3CFC">
            <w:rPr>
              <w:rFonts w:ascii="Times New Roman" w:hAnsi="Times New Roman" w:cs="Times New Roman"/>
              <w:i/>
              <w:iCs/>
              <w:color w:val="222222"/>
              <w:sz w:val="24"/>
              <w:szCs w:val="20"/>
              <w:shd w:val="clear" w:color="auto" w:fill="FFFFFF"/>
            </w:rPr>
            <w:t>Contabilidad</w:t>
          </w:r>
          <w:proofErr w:type="spellEnd"/>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47</w:t>
          </w:r>
          <w:r w:rsidRPr="00AE3CFC">
            <w:rPr>
              <w:rFonts w:ascii="Times New Roman" w:hAnsi="Times New Roman" w:cs="Times New Roman"/>
              <w:color w:val="222222"/>
              <w:sz w:val="24"/>
              <w:szCs w:val="20"/>
              <w:shd w:val="clear" w:color="auto" w:fill="FFFFFF"/>
            </w:rPr>
            <w:t>(4), pp.433-463.</w:t>
          </w:r>
        </w:p>
        <w:p w14:paraId="3E94A7FC"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 xml:space="preserve">Valaskova, K., </w:t>
          </w:r>
          <w:proofErr w:type="spellStart"/>
          <w:r w:rsidRPr="00AE3CFC">
            <w:rPr>
              <w:rFonts w:ascii="Times New Roman" w:hAnsi="Times New Roman" w:cs="Times New Roman"/>
              <w:color w:val="222222"/>
              <w:sz w:val="24"/>
              <w:szCs w:val="20"/>
              <w:shd w:val="clear" w:color="auto" w:fill="FFFFFF"/>
            </w:rPr>
            <w:t>Kliestik</w:t>
          </w:r>
          <w:proofErr w:type="spellEnd"/>
          <w:r w:rsidRPr="00AE3CFC">
            <w:rPr>
              <w:rFonts w:ascii="Times New Roman" w:hAnsi="Times New Roman" w:cs="Times New Roman"/>
              <w:color w:val="222222"/>
              <w:sz w:val="24"/>
              <w:szCs w:val="20"/>
              <w:shd w:val="clear" w:color="auto" w:fill="FFFFFF"/>
            </w:rPr>
            <w:t xml:space="preserve">, T. and </w:t>
          </w:r>
          <w:proofErr w:type="spellStart"/>
          <w:r w:rsidRPr="00AE3CFC">
            <w:rPr>
              <w:rFonts w:ascii="Times New Roman" w:hAnsi="Times New Roman" w:cs="Times New Roman"/>
              <w:color w:val="222222"/>
              <w:sz w:val="24"/>
              <w:szCs w:val="20"/>
              <w:shd w:val="clear" w:color="auto" w:fill="FFFFFF"/>
            </w:rPr>
            <w:t>Kovacova</w:t>
          </w:r>
          <w:proofErr w:type="spellEnd"/>
          <w:r w:rsidRPr="00AE3CFC">
            <w:rPr>
              <w:rFonts w:ascii="Times New Roman" w:hAnsi="Times New Roman" w:cs="Times New Roman"/>
              <w:color w:val="222222"/>
              <w:sz w:val="24"/>
              <w:szCs w:val="20"/>
              <w:shd w:val="clear" w:color="auto" w:fill="FFFFFF"/>
            </w:rPr>
            <w:t>, M., 2018. Management of financial risks in Slovak enterprises using regression analysis. </w:t>
          </w:r>
          <w:proofErr w:type="spellStart"/>
          <w:r w:rsidRPr="00AE3CFC">
            <w:rPr>
              <w:rFonts w:ascii="Times New Roman" w:hAnsi="Times New Roman" w:cs="Times New Roman"/>
              <w:i/>
              <w:iCs/>
              <w:color w:val="222222"/>
              <w:sz w:val="24"/>
              <w:szCs w:val="20"/>
              <w:shd w:val="clear" w:color="auto" w:fill="FFFFFF"/>
            </w:rPr>
            <w:t>Oeconomia</w:t>
          </w:r>
          <w:proofErr w:type="spellEnd"/>
          <w:r w:rsidRPr="00AE3CFC">
            <w:rPr>
              <w:rFonts w:ascii="Times New Roman" w:hAnsi="Times New Roman" w:cs="Times New Roman"/>
              <w:i/>
              <w:iCs/>
              <w:color w:val="222222"/>
              <w:sz w:val="24"/>
              <w:szCs w:val="20"/>
              <w:shd w:val="clear" w:color="auto" w:fill="FFFFFF"/>
            </w:rPr>
            <w:t xml:space="preserve"> </w:t>
          </w:r>
          <w:proofErr w:type="spellStart"/>
          <w:r w:rsidRPr="00AE3CFC">
            <w:rPr>
              <w:rFonts w:ascii="Times New Roman" w:hAnsi="Times New Roman" w:cs="Times New Roman"/>
              <w:i/>
              <w:iCs/>
              <w:color w:val="222222"/>
              <w:sz w:val="24"/>
              <w:szCs w:val="20"/>
              <w:shd w:val="clear" w:color="auto" w:fill="FFFFFF"/>
            </w:rPr>
            <w:t>copernicana</w:t>
          </w:r>
          <w:proofErr w:type="spellEnd"/>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9</w:t>
          </w:r>
          <w:r w:rsidRPr="00AE3CFC">
            <w:rPr>
              <w:rFonts w:ascii="Times New Roman" w:hAnsi="Times New Roman" w:cs="Times New Roman"/>
              <w:color w:val="222222"/>
              <w:sz w:val="24"/>
              <w:szCs w:val="20"/>
              <w:shd w:val="clear" w:color="auto" w:fill="FFFFFF"/>
            </w:rPr>
            <w:t>(1), pp.105-121.</w:t>
          </w:r>
        </w:p>
        <w:p w14:paraId="67FD39D9" w14:textId="77777777" w:rsidR="005F69AC" w:rsidRPr="00AE3CFC" w:rsidRDefault="005F69AC" w:rsidP="004A79E7">
          <w:pPr>
            <w:spacing w:line="360" w:lineRule="auto"/>
            <w:jc w:val="both"/>
            <w:rPr>
              <w:rFonts w:ascii="Times New Roman" w:hAnsi="Times New Roman" w:cs="Times New Roman"/>
              <w:color w:val="222222"/>
              <w:sz w:val="24"/>
              <w:szCs w:val="20"/>
              <w:shd w:val="clear" w:color="auto" w:fill="FFFFFF"/>
            </w:rPr>
          </w:pPr>
          <w:r w:rsidRPr="00AE3CFC">
            <w:rPr>
              <w:rFonts w:ascii="Times New Roman" w:hAnsi="Times New Roman" w:cs="Times New Roman"/>
              <w:color w:val="222222"/>
              <w:sz w:val="24"/>
              <w:szCs w:val="20"/>
              <w:shd w:val="clear" w:color="auto" w:fill="FFFFFF"/>
            </w:rPr>
            <w:t>Zamora-Ramírez, C. and Morales-Díaz, J., 2018. Effects of IFRS 16 on key financial ratios of Spanish companies. </w:t>
          </w:r>
          <w:r w:rsidRPr="00AE3CFC">
            <w:rPr>
              <w:rFonts w:ascii="Times New Roman" w:hAnsi="Times New Roman" w:cs="Times New Roman"/>
              <w:i/>
              <w:iCs/>
              <w:color w:val="222222"/>
              <w:sz w:val="24"/>
              <w:szCs w:val="20"/>
              <w:shd w:val="clear" w:color="auto" w:fill="FFFFFF"/>
            </w:rPr>
            <w:t>Studies of Applied Economics</w:t>
          </w:r>
          <w:r w:rsidRPr="00AE3CFC">
            <w:rPr>
              <w:rFonts w:ascii="Times New Roman" w:hAnsi="Times New Roman" w:cs="Times New Roman"/>
              <w:color w:val="222222"/>
              <w:sz w:val="24"/>
              <w:szCs w:val="20"/>
              <w:shd w:val="clear" w:color="auto" w:fill="FFFFFF"/>
            </w:rPr>
            <w:t>, </w:t>
          </w:r>
          <w:r w:rsidRPr="00AE3CFC">
            <w:rPr>
              <w:rFonts w:ascii="Times New Roman" w:hAnsi="Times New Roman" w:cs="Times New Roman"/>
              <w:i/>
              <w:iCs/>
              <w:color w:val="222222"/>
              <w:sz w:val="24"/>
              <w:szCs w:val="20"/>
              <w:shd w:val="clear" w:color="auto" w:fill="FFFFFF"/>
            </w:rPr>
            <w:t>36</w:t>
          </w:r>
          <w:r w:rsidRPr="00AE3CFC">
            <w:rPr>
              <w:rFonts w:ascii="Times New Roman" w:hAnsi="Times New Roman" w:cs="Times New Roman"/>
              <w:color w:val="222222"/>
              <w:sz w:val="24"/>
              <w:szCs w:val="20"/>
              <w:shd w:val="clear" w:color="auto" w:fill="FFFFFF"/>
            </w:rPr>
            <w:t>(2), pp.385-406.</w:t>
          </w:r>
        </w:p>
        <w:p w14:paraId="0BE17053" w14:textId="77777777" w:rsidR="005F69AC" w:rsidRPr="00AE3CFC" w:rsidRDefault="005F69AC" w:rsidP="004A79E7">
          <w:pPr>
            <w:spacing w:line="360" w:lineRule="auto"/>
            <w:rPr>
              <w:rFonts w:ascii="Times New Roman" w:hAnsi="Times New Roman" w:cs="Times New Roman"/>
            </w:rPr>
          </w:pPr>
        </w:p>
        <w:p w14:paraId="2354BBC4" w14:textId="77777777" w:rsidR="004A11F6" w:rsidRPr="00AE3CFC" w:rsidRDefault="004A11F6" w:rsidP="004A79E7">
          <w:pPr>
            <w:spacing w:line="360" w:lineRule="auto"/>
            <w:rPr>
              <w:rFonts w:ascii="Times New Roman" w:hAnsi="Times New Roman" w:cs="Times New Roman"/>
            </w:rPr>
          </w:pPr>
        </w:p>
        <w:p w14:paraId="04B40B59" w14:textId="77777777" w:rsidR="00CA09F3" w:rsidRPr="00AE3CFC" w:rsidRDefault="00000000" w:rsidP="004A79E7">
          <w:pPr>
            <w:spacing w:line="360" w:lineRule="auto"/>
            <w:rPr>
              <w:rFonts w:ascii="Times New Roman" w:hAnsi="Times New Roman" w:cs="Times New Roman"/>
            </w:rPr>
          </w:pPr>
        </w:p>
      </w:sdtContent>
    </w:sdt>
    <w:sectPr w:rsidR="00CA09F3" w:rsidRPr="00AE3CF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D1155"/>
    <w:multiLevelType w:val="multilevel"/>
    <w:tmpl w:val="1E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6B3944"/>
    <w:multiLevelType w:val="multilevel"/>
    <w:tmpl w:val="673AB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7692189">
    <w:abstractNumId w:val="1"/>
  </w:num>
  <w:num w:numId="2" w16cid:durableId="63564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1947"/>
    <w:rsid w:val="00115B96"/>
    <w:rsid w:val="00270DB3"/>
    <w:rsid w:val="00284F1F"/>
    <w:rsid w:val="00324CCD"/>
    <w:rsid w:val="00353E35"/>
    <w:rsid w:val="003F406D"/>
    <w:rsid w:val="004016E1"/>
    <w:rsid w:val="0044763A"/>
    <w:rsid w:val="004A11F6"/>
    <w:rsid w:val="004A79E7"/>
    <w:rsid w:val="004C3039"/>
    <w:rsid w:val="004D519C"/>
    <w:rsid w:val="0052129F"/>
    <w:rsid w:val="005F69AC"/>
    <w:rsid w:val="007D1947"/>
    <w:rsid w:val="007F63D7"/>
    <w:rsid w:val="00AA2A91"/>
    <w:rsid w:val="00AA67CC"/>
    <w:rsid w:val="00AE3CFC"/>
    <w:rsid w:val="00B44E5A"/>
    <w:rsid w:val="00BC4E30"/>
    <w:rsid w:val="00C71FB5"/>
    <w:rsid w:val="00CA09F3"/>
    <w:rsid w:val="00D854A5"/>
    <w:rsid w:val="00F96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docId w15:val="{284D566E-8734-4332-BDAA-97C804EDF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5F69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9AC"/>
    <w:rPr>
      <w:rFonts w:ascii="Tahoma" w:hAnsi="Tahoma" w:cs="Tahoma"/>
      <w:sz w:val="16"/>
      <w:szCs w:val="16"/>
    </w:rPr>
  </w:style>
  <w:style w:type="paragraph" w:styleId="NormalWeb">
    <w:name w:val="Normal (Web)"/>
    <w:basedOn w:val="Normal"/>
    <w:uiPriority w:val="99"/>
    <w:unhideWhenUsed/>
    <w:rsid w:val="005F69A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128">
      <w:bodyDiv w:val="1"/>
      <w:marLeft w:val="0"/>
      <w:marRight w:val="0"/>
      <w:marTop w:val="0"/>
      <w:marBottom w:val="0"/>
      <w:divBdr>
        <w:top w:val="none" w:sz="0" w:space="0" w:color="auto"/>
        <w:left w:val="none" w:sz="0" w:space="0" w:color="auto"/>
        <w:bottom w:val="none" w:sz="0" w:space="0" w:color="auto"/>
        <w:right w:val="none" w:sz="0" w:space="0" w:color="auto"/>
      </w:divBdr>
    </w:div>
    <w:div w:id="99187172">
      <w:bodyDiv w:val="1"/>
      <w:marLeft w:val="0"/>
      <w:marRight w:val="0"/>
      <w:marTop w:val="0"/>
      <w:marBottom w:val="0"/>
      <w:divBdr>
        <w:top w:val="none" w:sz="0" w:space="0" w:color="auto"/>
        <w:left w:val="none" w:sz="0" w:space="0" w:color="auto"/>
        <w:bottom w:val="none" w:sz="0" w:space="0" w:color="auto"/>
        <w:right w:val="none" w:sz="0" w:space="0" w:color="auto"/>
      </w:divBdr>
    </w:div>
    <w:div w:id="299580458">
      <w:bodyDiv w:val="1"/>
      <w:marLeft w:val="0"/>
      <w:marRight w:val="0"/>
      <w:marTop w:val="0"/>
      <w:marBottom w:val="0"/>
      <w:divBdr>
        <w:top w:val="none" w:sz="0" w:space="0" w:color="auto"/>
        <w:left w:val="none" w:sz="0" w:space="0" w:color="auto"/>
        <w:bottom w:val="none" w:sz="0" w:space="0" w:color="auto"/>
        <w:right w:val="none" w:sz="0" w:space="0" w:color="auto"/>
      </w:divBdr>
    </w:div>
    <w:div w:id="366217615">
      <w:bodyDiv w:val="1"/>
      <w:marLeft w:val="0"/>
      <w:marRight w:val="0"/>
      <w:marTop w:val="0"/>
      <w:marBottom w:val="0"/>
      <w:divBdr>
        <w:top w:val="none" w:sz="0" w:space="0" w:color="auto"/>
        <w:left w:val="none" w:sz="0" w:space="0" w:color="auto"/>
        <w:bottom w:val="none" w:sz="0" w:space="0" w:color="auto"/>
        <w:right w:val="none" w:sz="0" w:space="0" w:color="auto"/>
      </w:divBdr>
    </w:div>
    <w:div w:id="502625323">
      <w:bodyDiv w:val="1"/>
      <w:marLeft w:val="0"/>
      <w:marRight w:val="0"/>
      <w:marTop w:val="0"/>
      <w:marBottom w:val="0"/>
      <w:divBdr>
        <w:top w:val="none" w:sz="0" w:space="0" w:color="auto"/>
        <w:left w:val="none" w:sz="0" w:space="0" w:color="auto"/>
        <w:bottom w:val="none" w:sz="0" w:space="0" w:color="auto"/>
        <w:right w:val="none" w:sz="0" w:space="0" w:color="auto"/>
      </w:divBdr>
    </w:div>
    <w:div w:id="987324461">
      <w:bodyDiv w:val="1"/>
      <w:marLeft w:val="0"/>
      <w:marRight w:val="0"/>
      <w:marTop w:val="0"/>
      <w:marBottom w:val="0"/>
      <w:divBdr>
        <w:top w:val="none" w:sz="0" w:space="0" w:color="auto"/>
        <w:left w:val="none" w:sz="0" w:space="0" w:color="auto"/>
        <w:bottom w:val="none" w:sz="0" w:space="0" w:color="auto"/>
        <w:right w:val="none" w:sz="0" w:space="0" w:color="auto"/>
      </w:divBdr>
    </w:div>
    <w:div w:id="990257181">
      <w:bodyDiv w:val="1"/>
      <w:marLeft w:val="0"/>
      <w:marRight w:val="0"/>
      <w:marTop w:val="0"/>
      <w:marBottom w:val="0"/>
      <w:divBdr>
        <w:top w:val="none" w:sz="0" w:space="0" w:color="auto"/>
        <w:left w:val="none" w:sz="0" w:space="0" w:color="auto"/>
        <w:bottom w:val="none" w:sz="0" w:space="0" w:color="auto"/>
        <w:right w:val="none" w:sz="0" w:space="0" w:color="auto"/>
      </w:divBdr>
    </w:div>
    <w:div w:id="1170561355">
      <w:bodyDiv w:val="1"/>
      <w:marLeft w:val="0"/>
      <w:marRight w:val="0"/>
      <w:marTop w:val="0"/>
      <w:marBottom w:val="0"/>
      <w:divBdr>
        <w:top w:val="none" w:sz="0" w:space="0" w:color="auto"/>
        <w:left w:val="none" w:sz="0" w:space="0" w:color="auto"/>
        <w:bottom w:val="none" w:sz="0" w:space="0" w:color="auto"/>
        <w:right w:val="none" w:sz="0" w:space="0" w:color="auto"/>
      </w:divBdr>
    </w:div>
    <w:div w:id="1780493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Name: abdul mannan</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E686B71-B1C0-4BA6-80F5-96F02A230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12</Pages>
  <Words>2883</Words>
  <Characters>15687</Characters>
  <Application>Microsoft Office Word</Application>
  <DocSecurity>0</DocSecurity>
  <Lines>448</Lines>
  <Paragraphs>211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18359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Ibraheem Mannan</cp:lastModifiedBy>
  <cp:revision>3</cp:revision>
  <dcterms:created xsi:type="dcterms:W3CDTF">2022-11-26T08:29:00Z</dcterms:created>
  <dcterms:modified xsi:type="dcterms:W3CDTF">2022-12-08T17:16:00Z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38d6e8af2d484f4ebd083e123c4e4761877f8d5216045703e82586a183428578</vt:lpwstr>
  </property>
</Properties>
</file>