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342F0" w14:textId="1ACBBDFE" w:rsidR="00E91338" w:rsidRDefault="00E91338" w:rsidP="00E91338">
      <w:pPr>
        <w:jc w:val="right"/>
        <w:rPr>
          <w:u w:val="single"/>
        </w:rPr>
      </w:pPr>
      <w:r>
        <w:rPr>
          <w:u w:val="single"/>
        </w:rPr>
        <w:t>Laura Evans 1400299.</w:t>
      </w:r>
    </w:p>
    <w:p w14:paraId="35A23B5D" w14:textId="154473B8" w:rsidR="00E91338" w:rsidRDefault="00E91338" w:rsidP="00E91338">
      <w:pPr>
        <w:jc w:val="right"/>
        <w:rPr>
          <w:u w:val="single"/>
        </w:rPr>
      </w:pPr>
      <w:r>
        <w:rPr>
          <w:u w:val="single"/>
        </w:rPr>
        <w:t>HPAH6058.</w:t>
      </w:r>
    </w:p>
    <w:p w14:paraId="7E182764" w14:textId="1E2EF01C" w:rsidR="00E91338" w:rsidRDefault="00E91338" w:rsidP="00E91338">
      <w:pPr>
        <w:jc w:val="right"/>
        <w:rPr>
          <w:u w:val="single"/>
        </w:rPr>
      </w:pPr>
      <w:r>
        <w:rPr>
          <w:u w:val="single"/>
        </w:rPr>
        <w:t>Assignment 1.</w:t>
      </w:r>
    </w:p>
    <w:p w14:paraId="0115EBBB" w14:textId="41010FB8" w:rsidR="00195266" w:rsidRDefault="00195266"/>
    <w:p w14:paraId="60C4D4D1" w14:textId="2F9A5AFC" w:rsidR="00195266" w:rsidRDefault="00195266">
      <w:r>
        <w:t xml:space="preserve">The encounter between Alexander the Great and </w:t>
      </w:r>
      <w:proofErr w:type="spellStart"/>
      <w:r>
        <w:t>Talestris</w:t>
      </w:r>
      <w:proofErr w:type="spellEnd"/>
      <w:r>
        <w:t xml:space="preserve"> of the Amazons is perhaps one of the most compelling events in the sources on Alexander. </w:t>
      </w:r>
      <w:r w:rsidR="00BC06D6">
        <w:t>It is interesting because it forces the reader to think about several things such as gender, exotic cultures and the unknown. It is difficult to explicitly state the historical accuracy of the meeting between the two, Elizabeth Carney states “we are not … really tempted to believe that Alexander got chummy with any Amazons!”.</w:t>
      </w:r>
      <w:r w:rsidR="00BC06D6">
        <w:rPr>
          <w:rStyle w:val="FootnoteReference"/>
        </w:rPr>
        <w:footnoteReference w:id="1"/>
      </w:r>
      <w:r w:rsidR="00EE2506">
        <w:t xml:space="preserve"> The fact that the amazons are found in nearly every Alexander source from the </w:t>
      </w:r>
      <w:r w:rsidR="00EE2506">
        <w:rPr>
          <w:i/>
          <w:iCs/>
        </w:rPr>
        <w:t xml:space="preserve">Alexander Romance </w:t>
      </w:r>
      <w:r w:rsidR="00EE2506">
        <w:t xml:space="preserve">to </w:t>
      </w:r>
      <w:proofErr w:type="spellStart"/>
      <w:r w:rsidR="00EE2506">
        <w:t>Arrian</w:t>
      </w:r>
      <w:proofErr w:type="spellEnd"/>
      <w:r w:rsidR="00EE2506">
        <w:t xml:space="preserve"> is significant,</w:t>
      </w:r>
      <w:r w:rsidR="00EE2506">
        <w:rPr>
          <w:rStyle w:val="FootnoteReference"/>
        </w:rPr>
        <w:footnoteReference w:id="2"/>
      </w:r>
      <w:r w:rsidR="00EE2506">
        <w:t xml:space="preserve"> </w:t>
      </w:r>
      <w:r w:rsidR="009B130E">
        <w:t>the authors specifically chose to include in their work the meeting of the two regardless of its authenticity. Why do the Amazons meet with Alexander and what does this signify?</w:t>
      </w:r>
      <w:bookmarkStart w:id="0" w:name="_GoBack"/>
      <w:bookmarkEnd w:id="0"/>
    </w:p>
    <w:p w14:paraId="44766F36" w14:textId="1DE2E289" w:rsidR="001847B3" w:rsidRDefault="009B130E">
      <w:r>
        <w:tab/>
        <w:t xml:space="preserve">This essay will be focusing on three sources depicting this scene, the </w:t>
      </w:r>
      <w:proofErr w:type="spellStart"/>
      <w:r>
        <w:rPr>
          <w:i/>
          <w:iCs/>
        </w:rPr>
        <w:t>Alexandreis</w:t>
      </w:r>
      <w:proofErr w:type="spellEnd"/>
      <w:r>
        <w:rPr>
          <w:i/>
          <w:iCs/>
        </w:rPr>
        <w:t xml:space="preserve"> </w:t>
      </w:r>
      <w:r>
        <w:t xml:space="preserve">of Walter Chatillon, Quintus </w:t>
      </w:r>
      <w:proofErr w:type="spellStart"/>
      <w:r>
        <w:t>Curtius</w:t>
      </w:r>
      <w:proofErr w:type="spellEnd"/>
      <w:r>
        <w:t xml:space="preserve"> Rufus and </w:t>
      </w:r>
      <w:r>
        <w:rPr>
          <w:i/>
          <w:iCs/>
        </w:rPr>
        <w:t xml:space="preserve">Historia de </w:t>
      </w:r>
      <w:proofErr w:type="spellStart"/>
      <w:r>
        <w:rPr>
          <w:i/>
          <w:iCs/>
        </w:rPr>
        <w:t>preliis</w:t>
      </w:r>
      <w:proofErr w:type="spellEnd"/>
      <w:r>
        <w:t xml:space="preserve">. </w:t>
      </w:r>
      <w:r w:rsidR="0037680A">
        <w:t xml:space="preserve">Walter of Chatillon poem uses the </w:t>
      </w:r>
      <w:proofErr w:type="spellStart"/>
      <w:r w:rsidR="0037680A">
        <w:rPr>
          <w:i/>
          <w:iCs/>
        </w:rPr>
        <w:t>Historiae</w:t>
      </w:r>
      <w:proofErr w:type="spellEnd"/>
      <w:r w:rsidR="0037680A">
        <w:rPr>
          <w:i/>
          <w:iCs/>
        </w:rPr>
        <w:t xml:space="preserve"> </w:t>
      </w:r>
      <w:proofErr w:type="spellStart"/>
      <w:r w:rsidR="0037680A">
        <w:rPr>
          <w:i/>
          <w:iCs/>
        </w:rPr>
        <w:t>Alexandri</w:t>
      </w:r>
      <w:proofErr w:type="spellEnd"/>
      <w:r w:rsidR="0037680A">
        <w:rPr>
          <w:i/>
          <w:iCs/>
        </w:rPr>
        <w:t xml:space="preserve"> </w:t>
      </w:r>
      <w:proofErr w:type="spellStart"/>
      <w:r w:rsidR="0037680A">
        <w:rPr>
          <w:i/>
          <w:iCs/>
        </w:rPr>
        <w:t>Magni</w:t>
      </w:r>
      <w:proofErr w:type="spellEnd"/>
      <w:r w:rsidR="0037680A">
        <w:rPr>
          <w:i/>
          <w:iCs/>
        </w:rPr>
        <w:t xml:space="preserve"> </w:t>
      </w:r>
      <w:proofErr w:type="spellStart"/>
      <w:r w:rsidR="0037680A">
        <w:rPr>
          <w:i/>
          <w:iCs/>
        </w:rPr>
        <w:t>Macedonis</w:t>
      </w:r>
      <w:proofErr w:type="spellEnd"/>
      <w:r w:rsidR="0037680A">
        <w:rPr>
          <w:i/>
          <w:iCs/>
        </w:rPr>
        <w:t xml:space="preserve"> </w:t>
      </w:r>
      <w:r w:rsidR="0037680A">
        <w:t xml:space="preserve">of Quintus </w:t>
      </w:r>
      <w:proofErr w:type="spellStart"/>
      <w:r w:rsidR="0037680A">
        <w:t>Curtius</w:t>
      </w:r>
      <w:proofErr w:type="spellEnd"/>
      <w:r w:rsidR="0037680A">
        <w:t xml:space="preserve"> Rufus as its main source, highlighting the possible historical significances of any changes made by Walter Chatillon.</w:t>
      </w:r>
      <w:r w:rsidR="0037680A">
        <w:rPr>
          <w:rStyle w:val="FootnoteReference"/>
        </w:rPr>
        <w:footnoteReference w:id="3"/>
      </w:r>
      <w:r w:rsidR="00ED3F2F">
        <w:t xml:space="preserve"> </w:t>
      </w:r>
      <w:proofErr w:type="spellStart"/>
      <w:r w:rsidR="00ED3F2F">
        <w:t>Curtius</w:t>
      </w:r>
      <w:proofErr w:type="spellEnd"/>
      <w:r w:rsidR="00ED3F2F">
        <w:t xml:space="preserve"> Rufus introduces </w:t>
      </w:r>
      <w:proofErr w:type="spellStart"/>
      <w:r w:rsidR="00ED3F2F">
        <w:t>Talestris</w:t>
      </w:r>
      <w:proofErr w:type="spellEnd"/>
      <w:r w:rsidR="00ED3F2F">
        <w:t xml:space="preserve"> using the appropriate actions of her status, “And when she was not far away sent messengers to give notice that a queen had come who was eager to meet him and to become acquainted with him”.</w:t>
      </w:r>
      <w:r w:rsidR="00ED3F2F">
        <w:rPr>
          <w:rStyle w:val="FootnoteReference"/>
        </w:rPr>
        <w:footnoteReference w:id="4"/>
      </w:r>
      <w:r w:rsidR="00AC0250">
        <w:t xml:space="preserve"> This could be a comment on their social status as Alexander is often referred to as ‘king of kings’ and </w:t>
      </w:r>
      <w:proofErr w:type="spellStart"/>
      <w:r w:rsidR="00AC0250">
        <w:t>Talestris</w:t>
      </w:r>
      <w:proofErr w:type="spellEnd"/>
      <w:r w:rsidR="00AC0250">
        <w:t xml:space="preserve"> perhaps sees him as an equal as she is a queen over warrior women. Walter Chatillon deviates from this and </w:t>
      </w:r>
      <w:proofErr w:type="spellStart"/>
      <w:r w:rsidR="00AC0250">
        <w:t>Talestris</w:t>
      </w:r>
      <w:proofErr w:type="spellEnd"/>
      <w:r w:rsidR="00AC0250">
        <w:t>, “approached the camp with virgin retinue”.</w:t>
      </w:r>
      <w:r w:rsidR="00AC0250">
        <w:rPr>
          <w:rStyle w:val="FootnoteReference"/>
        </w:rPr>
        <w:footnoteReference w:id="5"/>
      </w:r>
      <w:r w:rsidR="001847B3">
        <w:t xml:space="preserve"> By doing this Chatillon establishes immediately that she is confident and direct. He remains true to </w:t>
      </w:r>
      <w:proofErr w:type="spellStart"/>
      <w:r w:rsidR="001847B3">
        <w:t>Curtius</w:t>
      </w:r>
      <w:proofErr w:type="spellEnd"/>
      <w:r w:rsidR="001847B3">
        <w:t xml:space="preserve"> in the famous description of the Amazon queen but notes, “their garments settle on the rest, and hide what must be hidden”.</w:t>
      </w:r>
      <w:r w:rsidR="001847B3">
        <w:rPr>
          <w:rStyle w:val="FootnoteReference"/>
        </w:rPr>
        <w:footnoteReference w:id="6"/>
      </w:r>
      <w:r w:rsidR="0059032A">
        <w:t xml:space="preserve"> David Townsend suggest that by referencing the genital area as ‘what must be hidden’ </w:t>
      </w:r>
      <w:r w:rsidR="00C656C9">
        <w:t>it can be interpreted that there is a gender struggle between them both.</w:t>
      </w:r>
      <w:r w:rsidR="00C656C9">
        <w:rPr>
          <w:rStyle w:val="FootnoteReference"/>
        </w:rPr>
        <w:footnoteReference w:id="7"/>
      </w:r>
      <w:r w:rsidR="00C656C9">
        <w:t xml:space="preserve"> </w:t>
      </w:r>
      <w:r w:rsidR="00BD1812">
        <w:t>The description of her appearance and its functionality emphasises this, “The left teat is preserved until adulthood to nurse their infants of the female sex; the other one receives an early searing to ease their wielding of the pliant bow, and leave them unencumbered for the javelin”.</w:t>
      </w:r>
      <w:r w:rsidR="00BD1812">
        <w:rPr>
          <w:rStyle w:val="FootnoteReference"/>
        </w:rPr>
        <w:footnoteReference w:id="8"/>
      </w:r>
      <w:r w:rsidR="00BD1812">
        <w:t xml:space="preserve"> This can be seen as </w:t>
      </w:r>
      <w:proofErr w:type="spellStart"/>
      <w:r w:rsidR="00BD1812">
        <w:t>Talestris</w:t>
      </w:r>
      <w:proofErr w:type="spellEnd"/>
      <w:r w:rsidR="00BD1812">
        <w:t xml:space="preserve"> taking rejecting gender roles that Alexander would be accustom to, and further taking control of it and altering it to her purposes by physically altering her body and unashamedly presenting this. As a result, </w:t>
      </w:r>
      <w:proofErr w:type="spellStart"/>
      <w:r w:rsidR="00BD1812">
        <w:t>Talestris</w:t>
      </w:r>
      <w:proofErr w:type="spellEnd"/>
      <w:r w:rsidR="00BD1812">
        <w:t xml:space="preserve"> has performed a</w:t>
      </w:r>
      <w:r w:rsidR="00CC6883">
        <w:t xml:space="preserve"> kind of ‘castration’ to her role as women and grants her access to a masculine power.</w:t>
      </w:r>
      <w:r w:rsidR="00CC6883">
        <w:rPr>
          <w:rStyle w:val="FootnoteReference"/>
        </w:rPr>
        <w:footnoteReference w:id="9"/>
      </w:r>
      <w:r w:rsidR="00CC6883">
        <w:t xml:space="preserve"> </w:t>
      </w:r>
    </w:p>
    <w:p w14:paraId="2419559F" w14:textId="01253EC9" w:rsidR="00CC6883" w:rsidRDefault="00CC6883">
      <w:r>
        <w:lastRenderedPageBreak/>
        <w:tab/>
      </w:r>
      <w:proofErr w:type="spellStart"/>
      <w:r>
        <w:t>Curtius</w:t>
      </w:r>
      <w:proofErr w:type="spellEnd"/>
      <w:r>
        <w:t xml:space="preserve"> and Walter Chatillon portray her as an imposing figure, confrontational in appearance and space. In the </w:t>
      </w:r>
      <w:r>
        <w:rPr>
          <w:i/>
          <w:iCs/>
        </w:rPr>
        <w:t xml:space="preserve">Historia de </w:t>
      </w:r>
      <w:proofErr w:type="spellStart"/>
      <w:r>
        <w:rPr>
          <w:i/>
          <w:iCs/>
        </w:rPr>
        <w:t>preliis</w:t>
      </w:r>
      <w:proofErr w:type="spellEnd"/>
      <w:r>
        <w:rPr>
          <w:i/>
          <w:iCs/>
        </w:rPr>
        <w:t xml:space="preserve">, </w:t>
      </w:r>
      <w:proofErr w:type="spellStart"/>
      <w:r>
        <w:t>Talestris</w:t>
      </w:r>
      <w:proofErr w:type="spellEnd"/>
      <w:r>
        <w:t xml:space="preserve"> is restricted to passing messages back and forth and assert his authority through her words</w:t>
      </w:r>
      <w:r w:rsidR="00EF6748">
        <w:t>,</w:t>
      </w:r>
      <w:r>
        <w:t xml:space="preserve"> </w:t>
      </w:r>
      <w:r w:rsidR="00EF6748">
        <w:t>“We write to point out to you that, before you come to our territory, you should consider how you should come in case we cause you shame and hardship such as no one has ever inflicted upon you before”.</w:t>
      </w:r>
      <w:r w:rsidR="00EF6748">
        <w:rPr>
          <w:rStyle w:val="FootnoteReference"/>
        </w:rPr>
        <w:footnoteReference w:id="10"/>
      </w:r>
      <w:r w:rsidR="00EF6748">
        <w:t xml:space="preserve"> In this source, she is manipulative and understanding of the gender roles Alexander would be accustomed to and uses them to her advantage, “but if you conquer us, you will gain no glory, because you will have conquered women, and there is nothing for you to find to steal from us”.</w:t>
      </w:r>
      <w:r w:rsidR="00EF6748">
        <w:rPr>
          <w:rStyle w:val="FootnoteReference"/>
        </w:rPr>
        <w:footnoteReference w:id="11"/>
      </w:r>
      <w:r w:rsidR="00EF6748">
        <w:t xml:space="preserve"> This is interesting because in the other two sources </w:t>
      </w:r>
      <w:proofErr w:type="spellStart"/>
      <w:r w:rsidR="00EF6748">
        <w:t>Talestris</w:t>
      </w:r>
      <w:proofErr w:type="spellEnd"/>
      <w:r w:rsidR="00EF6748">
        <w:t xml:space="preserve"> is </w:t>
      </w:r>
      <w:r w:rsidR="005020E3">
        <w:t xml:space="preserve">unimpressed by Alexander appearance and frame and applies her own social norms in regards to his masculinity. </w:t>
      </w:r>
      <w:proofErr w:type="spellStart"/>
      <w:r w:rsidR="005020E3">
        <w:t>Curtius</w:t>
      </w:r>
      <w:proofErr w:type="spellEnd"/>
      <w:r w:rsidR="005020E3">
        <w:t xml:space="preserve"> dampens the insult by stating, “for all barbarians feel veneration for a majestic presence, and believe that only those are capable of great deeds whom nature has designed to adorn with extraordinary physical attractiveness”.</w:t>
      </w:r>
      <w:r w:rsidR="005020E3">
        <w:rPr>
          <w:rStyle w:val="FootnoteReference"/>
        </w:rPr>
        <w:footnoteReference w:id="12"/>
      </w:r>
      <w:r w:rsidR="005020E3">
        <w:t xml:space="preserve"> Walter Chatillon applies the same derogative terms to </w:t>
      </w:r>
      <w:proofErr w:type="spellStart"/>
      <w:r w:rsidR="005020E3">
        <w:t>Talestris</w:t>
      </w:r>
      <w:proofErr w:type="spellEnd"/>
      <w:r w:rsidR="005020E3">
        <w:t xml:space="preserve"> in order to explain her naivety, “the simply savage mind respects and judges all according to their bodies’ beauty and their splendid raiment and thinks none capable of mighty deeds”.</w:t>
      </w:r>
      <w:r w:rsidR="005020E3">
        <w:rPr>
          <w:rStyle w:val="FootnoteReference"/>
        </w:rPr>
        <w:footnoteReference w:id="13"/>
      </w:r>
      <w:r w:rsidR="005020E3">
        <w:t xml:space="preserve"> It could be suggested that Walter Chatillon highlighting the mental difference between </w:t>
      </w:r>
      <w:proofErr w:type="spellStart"/>
      <w:r w:rsidR="005020E3">
        <w:t>Talestris</w:t>
      </w:r>
      <w:proofErr w:type="spellEnd"/>
      <w:r w:rsidR="005020E3">
        <w:t xml:space="preserve"> and Alexander by labelling her a ‘savage’ could reflect on the political climate in which Walter Chatillon was writing. The disaster of the Second Crusade was prevalent, and promises were being made by figures such as Henry II and Louis VII to take up the cross. </w:t>
      </w:r>
      <w:r w:rsidR="005020E3">
        <w:rPr>
          <w:rStyle w:val="FootnoteReference"/>
        </w:rPr>
        <w:footnoteReference w:id="14"/>
      </w:r>
      <w:r w:rsidR="00BD2F01">
        <w:t xml:space="preserve"> </w:t>
      </w:r>
      <w:r w:rsidR="003F49CF">
        <w:t xml:space="preserve">Labelling foreign customs as savage could reflect the animosity between the Christians and the </w:t>
      </w:r>
      <w:proofErr w:type="spellStart"/>
      <w:r w:rsidR="003F49CF">
        <w:t>arabs</w:t>
      </w:r>
      <w:proofErr w:type="spellEnd"/>
      <w:r w:rsidR="003F49CF">
        <w:t xml:space="preserve"> when inevitable interacting throughout the numerous crusades. In the </w:t>
      </w:r>
      <w:r w:rsidR="003F49CF">
        <w:rPr>
          <w:i/>
          <w:iCs/>
        </w:rPr>
        <w:t xml:space="preserve">Historia de </w:t>
      </w:r>
      <w:proofErr w:type="spellStart"/>
      <w:r w:rsidR="003F49CF">
        <w:rPr>
          <w:i/>
          <w:iCs/>
        </w:rPr>
        <w:t>preliss</w:t>
      </w:r>
      <w:proofErr w:type="spellEnd"/>
      <w:r w:rsidR="003F49CF">
        <w:t xml:space="preserve"> there is a sense of learning and establishing boundaries between the two, “If you wish to know where and how we live, we make use of this letter to inform you”.</w:t>
      </w:r>
      <w:r w:rsidR="003F49CF">
        <w:rPr>
          <w:rStyle w:val="FootnoteReference"/>
        </w:rPr>
        <w:footnoteReference w:id="15"/>
      </w:r>
      <w:r w:rsidR="003F49CF">
        <w:t xml:space="preserve"> </w:t>
      </w:r>
    </w:p>
    <w:p w14:paraId="0CE6622A" w14:textId="5E6C490F" w:rsidR="003F49CF" w:rsidRPr="003F49CF" w:rsidRDefault="003F49CF">
      <w:r>
        <w:tab/>
      </w:r>
      <w:proofErr w:type="spellStart"/>
      <w:r>
        <w:t>Curtius</w:t>
      </w:r>
      <w:proofErr w:type="spellEnd"/>
      <w:r>
        <w:t xml:space="preserve"> and Walter Chatillon both explicitly state </w:t>
      </w:r>
      <w:r w:rsidR="000A434D">
        <w:t>that “she’s come to fill her womb and leave again to bear an offspring shared with a prince”.</w:t>
      </w:r>
      <w:r w:rsidR="000A434D">
        <w:rPr>
          <w:rStyle w:val="FootnoteReference"/>
        </w:rPr>
        <w:footnoteReference w:id="16"/>
      </w:r>
      <w:r w:rsidR="000A434D">
        <w:t xml:space="preserve"> </w:t>
      </w:r>
      <w:proofErr w:type="spellStart"/>
      <w:r w:rsidR="000A434D">
        <w:t>Talestris</w:t>
      </w:r>
      <w:proofErr w:type="spellEnd"/>
      <w:r w:rsidR="000A434D">
        <w:t xml:space="preserve"> has deliberately approached Alexander in order to secure the best mate for her to produce a strong heir, a controversial topic regarding a need for an appropriate heir to succeed Alexander. Elizabeth </w:t>
      </w:r>
      <w:proofErr w:type="spellStart"/>
      <w:r w:rsidR="000A434D">
        <w:t>Baynham</w:t>
      </w:r>
      <w:proofErr w:type="spellEnd"/>
      <w:r w:rsidR="000A434D">
        <w:t xml:space="preserve"> makes a comment on the significance and difference this would make, “her child would be free-born – the proud offspring of the bravest of men and the bravest of women. This was ideal – which Roxane could never measure up to”.</w:t>
      </w:r>
      <w:r w:rsidR="000A434D">
        <w:rPr>
          <w:rStyle w:val="FootnoteReference"/>
        </w:rPr>
        <w:footnoteReference w:id="17"/>
      </w:r>
      <w:r w:rsidR="000A434D">
        <w:t xml:space="preserve"> With the understanding that this event is indeed mythical, the possibility of Alexander having a son with such an imposing woman would add to his mythical prowess. Relationships with Amazons often appear in Greek mythology with Heracles, </w:t>
      </w:r>
      <w:proofErr w:type="spellStart"/>
      <w:r w:rsidR="000A434D">
        <w:t>Thesus</w:t>
      </w:r>
      <w:proofErr w:type="spellEnd"/>
      <w:r w:rsidR="000A434D">
        <w:t xml:space="preserve"> and </w:t>
      </w:r>
      <w:proofErr w:type="spellStart"/>
      <w:r w:rsidR="000A434D">
        <w:t>Achillies</w:t>
      </w:r>
      <w:proofErr w:type="spellEnd"/>
      <w:r w:rsidR="000A434D">
        <w:t xml:space="preserve"> having relationships that end tragically. Alexander would distinguish himself as successful in </w:t>
      </w:r>
      <w:r w:rsidR="006F485A">
        <w:t xml:space="preserve">creating offspring with an Amazon, something the Greek heroes did not achieve. </w:t>
      </w:r>
    </w:p>
    <w:p w14:paraId="385A19D2" w14:textId="739D65ED" w:rsidR="003F49CF" w:rsidRPr="00CC6883" w:rsidRDefault="003F49CF">
      <w:r>
        <w:tab/>
      </w:r>
    </w:p>
    <w:p w14:paraId="16BEF2AA" w14:textId="60784249" w:rsidR="008C539E" w:rsidRDefault="008C539E">
      <w:pPr>
        <w:rPr>
          <w:b/>
          <w:bCs/>
        </w:rPr>
      </w:pPr>
      <w:r>
        <w:rPr>
          <w:b/>
          <w:bCs/>
        </w:rPr>
        <w:br w:type="page"/>
      </w:r>
    </w:p>
    <w:p w14:paraId="647601C6" w14:textId="77777777" w:rsidR="00925EFA" w:rsidRDefault="00925EFA">
      <w:pPr>
        <w:rPr>
          <w:b/>
          <w:bCs/>
        </w:rPr>
      </w:pPr>
    </w:p>
    <w:p w14:paraId="58879A46" w14:textId="2E4E844D" w:rsidR="00CD3B4C" w:rsidRDefault="00925EFA" w:rsidP="00E91338">
      <w:r>
        <w:rPr>
          <w:b/>
          <w:bCs/>
        </w:rPr>
        <w:t xml:space="preserve">Bibliography. </w:t>
      </w:r>
    </w:p>
    <w:p w14:paraId="1536509F" w14:textId="0BD599A2" w:rsidR="00C23E1D" w:rsidRDefault="00C23E1D" w:rsidP="00E91338">
      <w:r>
        <w:rPr>
          <w:u w:val="single"/>
        </w:rPr>
        <w:t xml:space="preserve">Primary. </w:t>
      </w:r>
    </w:p>
    <w:p w14:paraId="3E20CFED" w14:textId="2EF32A4D" w:rsidR="00C23E1D" w:rsidRDefault="00C23E1D" w:rsidP="00C23E1D">
      <w:pPr>
        <w:pStyle w:val="ListParagraph"/>
        <w:numPr>
          <w:ilvl w:val="0"/>
          <w:numId w:val="2"/>
        </w:numPr>
      </w:pPr>
      <w:r>
        <w:t xml:space="preserve">Quintus </w:t>
      </w:r>
      <w:proofErr w:type="spellStart"/>
      <w:r>
        <w:t>Curtius</w:t>
      </w:r>
      <w:proofErr w:type="spellEnd"/>
      <w:r>
        <w:t xml:space="preserve"> Rufus, </w:t>
      </w:r>
      <w:r>
        <w:rPr>
          <w:i/>
          <w:iCs/>
        </w:rPr>
        <w:t xml:space="preserve">History of Alexander, Volume II: Books 6-10. </w:t>
      </w:r>
      <w:r>
        <w:t xml:space="preserve">Trans, J. C. Rolfe. (Cambridge: Harvard University Press 1946). </w:t>
      </w:r>
    </w:p>
    <w:p w14:paraId="6CCD2A98" w14:textId="09E94E09" w:rsidR="00C23E1D" w:rsidRDefault="00C23E1D" w:rsidP="00C23E1D">
      <w:pPr>
        <w:pStyle w:val="ListParagraph"/>
        <w:numPr>
          <w:ilvl w:val="0"/>
          <w:numId w:val="2"/>
        </w:numPr>
      </w:pPr>
      <w:r>
        <w:rPr>
          <w:i/>
          <w:iCs/>
        </w:rPr>
        <w:t xml:space="preserve">The Translation of Alexander’s Battles: Historia de </w:t>
      </w:r>
      <w:proofErr w:type="spellStart"/>
      <w:r>
        <w:rPr>
          <w:i/>
          <w:iCs/>
        </w:rPr>
        <w:t>preliis</w:t>
      </w:r>
      <w:proofErr w:type="spellEnd"/>
      <w:r>
        <w:rPr>
          <w:i/>
          <w:iCs/>
        </w:rPr>
        <w:t xml:space="preserve">. </w:t>
      </w:r>
      <w:r>
        <w:t xml:space="preserve">Trans, R. </w:t>
      </w:r>
      <w:proofErr w:type="spellStart"/>
      <w:r>
        <w:t>Telfryn</w:t>
      </w:r>
      <w:proofErr w:type="spellEnd"/>
      <w:r>
        <w:t xml:space="preserve"> Pritchard. (Pontifical Institute of Medieval Studies, 1992). </w:t>
      </w:r>
    </w:p>
    <w:p w14:paraId="079A76C9" w14:textId="6CBAF506" w:rsidR="00742059" w:rsidRPr="00C23E1D" w:rsidRDefault="00742059" w:rsidP="00C23E1D">
      <w:pPr>
        <w:pStyle w:val="ListParagraph"/>
        <w:numPr>
          <w:ilvl w:val="0"/>
          <w:numId w:val="2"/>
        </w:numPr>
      </w:pPr>
      <w:r>
        <w:rPr>
          <w:i/>
          <w:iCs/>
        </w:rPr>
        <w:t xml:space="preserve">The </w:t>
      </w:r>
      <w:proofErr w:type="spellStart"/>
      <w:r>
        <w:rPr>
          <w:i/>
          <w:iCs/>
        </w:rPr>
        <w:t>Alexandreis</w:t>
      </w:r>
      <w:proofErr w:type="spellEnd"/>
      <w:r>
        <w:rPr>
          <w:i/>
          <w:iCs/>
        </w:rPr>
        <w:t xml:space="preserve"> of Walter Chatillon: A Twelfth-Century Epic</w:t>
      </w:r>
      <w:r w:rsidR="00A91B41">
        <w:rPr>
          <w:i/>
          <w:iCs/>
        </w:rPr>
        <w:t xml:space="preserve">. </w:t>
      </w:r>
      <w:r w:rsidR="00A91B41">
        <w:t>Trans</w:t>
      </w:r>
      <w:r w:rsidR="00181716">
        <w:t>,</w:t>
      </w:r>
      <w:r w:rsidR="00A91B41">
        <w:t xml:space="preserve"> David Townsend. (Pennsylvania: Pennsylvania Press, 1996). </w:t>
      </w:r>
      <w:hyperlink r:id="rId7" w:history="1">
        <w:r w:rsidR="00A91B41" w:rsidRPr="00521D9B">
          <w:rPr>
            <w:rStyle w:val="Hyperlink"/>
          </w:rPr>
          <w:t>https://ebookcentral.proquest.com/lib/trinity/detail.action?docID=4322291</w:t>
        </w:r>
      </w:hyperlink>
      <w:r w:rsidR="00A91B41">
        <w:t xml:space="preserve"> [Accessed 9</w:t>
      </w:r>
      <w:r w:rsidR="00A91B41" w:rsidRPr="00A91B41">
        <w:rPr>
          <w:vertAlign w:val="superscript"/>
        </w:rPr>
        <w:t>th</w:t>
      </w:r>
      <w:r w:rsidR="00A91B41">
        <w:t xml:space="preserve"> January 2020]. </w:t>
      </w:r>
    </w:p>
    <w:p w14:paraId="57AF852B" w14:textId="7AD73D10" w:rsidR="00C23E1D" w:rsidRPr="00C23E1D" w:rsidRDefault="00C23E1D" w:rsidP="00E91338">
      <w:pPr>
        <w:rPr>
          <w:u w:val="single"/>
        </w:rPr>
      </w:pPr>
      <w:r>
        <w:rPr>
          <w:u w:val="single"/>
        </w:rPr>
        <w:t xml:space="preserve">Secondary. </w:t>
      </w:r>
    </w:p>
    <w:p w14:paraId="5A7318A3" w14:textId="73FC711E" w:rsidR="00E91338" w:rsidRDefault="00CD3B4C" w:rsidP="00CD3B4C">
      <w:pPr>
        <w:pStyle w:val="ListParagraph"/>
        <w:numPr>
          <w:ilvl w:val="0"/>
          <w:numId w:val="1"/>
        </w:numPr>
      </w:pPr>
      <w:bookmarkStart w:id="1" w:name="_Hlk29843313"/>
      <w:proofErr w:type="spellStart"/>
      <w:r>
        <w:t>Baynham</w:t>
      </w:r>
      <w:proofErr w:type="spellEnd"/>
      <w:r>
        <w:t xml:space="preserve">, E. ‘Alexander and the Amazons’, </w:t>
      </w:r>
      <w:r>
        <w:rPr>
          <w:i/>
          <w:iCs/>
        </w:rPr>
        <w:t xml:space="preserve">The Classical Quarterly, </w:t>
      </w:r>
      <w:r>
        <w:t xml:space="preserve">51(1) (2001), pp. 115-126. </w:t>
      </w:r>
    </w:p>
    <w:p w14:paraId="4B2D11B6" w14:textId="091A28C2" w:rsidR="008C2107" w:rsidRDefault="008C2107" w:rsidP="00CD3B4C">
      <w:pPr>
        <w:pStyle w:val="ListParagraph"/>
        <w:numPr>
          <w:ilvl w:val="0"/>
          <w:numId w:val="1"/>
        </w:numPr>
      </w:pPr>
      <w:r>
        <w:t xml:space="preserve">Lafferty, M. K, </w:t>
      </w:r>
      <w:r>
        <w:rPr>
          <w:i/>
          <w:iCs/>
        </w:rPr>
        <w:t xml:space="preserve">Walter of Chatillon’s </w:t>
      </w:r>
      <w:proofErr w:type="spellStart"/>
      <w:r>
        <w:rPr>
          <w:i/>
          <w:iCs/>
        </w:rPr>
        <w:t>Alexandreis</w:t>
      </w:r>
      <w:proofErr w:type="spellEnd"/>
      <w:r>
        <w:rPr>
          <w:i/>
          <w:iCs/>
        </w:rPr>
        <w:t xml:space="preserve">: Epic and the Problem of Historical Understanding. </w:t>
      </w:r>
      <w:r>
        <w:t xml:space="preserve">(Michigan: </w:t>
      </w:r>
      <w:proofErr w:type="spellStart"/>
      <w:r>
        <w:t>Brepols</w:t>
      </w:r>
      <w:proofErr w:type="spellEnd"/>
      <w:r>
        <w:t>, 1998).</w:t>
      </w:r>
    </w:p>
    <w:p w14:paraId="339878C7" w14:textId="12762AE8" w:rsidR="00E53341" w:rsidRPr="00CD3B4C" w:rsidRDefault="00E53341" w:rsidP="00CD3B4C">
      <w:pPr>
        <w:pStyle w:val="ListParagraph"/>
        <w:numPr>
          <w:ilvl w:val="0"/>
          <w:numId w:val="1"/>
        </w:numPr>
      </w:pPr>
      <w:r>
        <w:t xml:space="preserve">Townsend, D. ‘Sex and the Single Amazon in Twelfth-Century Latin Epic’, </w:t>
      </w:r>
      <w:r>
        <w:rPr>
          <w:i/>
          <w:iCs/>
        </w:rPr>
        <w:t xml:space="preserve">University of Toronto Quarterly, </w:t>
      </w:r>
      <w:r>
        <w:t xml:space="preserve">64(2) (1995), pp. 255-273. </w:t>
      </w:r>
      <w:bookmarkEnd w:id="1"/>
    </w:p>
    <w:sectPr w:rsidR="00E53341" w:rsidRPr="00CD3B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A429B" w14:textId="77777777" w:rsidR="00B6334A" w:rsidRDefault="00B6334A" w:rsidP="00181716">
      <w:pPr>
        <w:spacing w:after="0" w:line="240" w:lineRule="auto"/>
      </w:pPr>
      <w:r>
        <w:separator/>
      </w:r>
    </w:p>
  </w:endnote>
  <w:endnote w:type="continuationSeparator" w:id="0">
    <w:p w14:paraId="4246AB11" w14:textId="77777777" w:rsidR="00B6334A" w:rsidRDefault="00B6334A" w:rsidP="00181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0E8AC" w14:textId="77777777" w:rsidR="00B6334A" w:rsidRDefault="00B6334A" w:rsidP="00181716">
      <w:pPr>
        <w:spacing w:after="0" w:line="240" w:lineRule="auto"/>
      </w:pPr>
      <w:r>
        <w:separator/>
      </w:r>
    </w:p>
  </w:footnote>
  <w:footnote w:type="continuationSeparator" w:id="0">
    <w:p w14:paraId="3B2CC929" w14:textId="77777777" w:rsidR="00B6334A" w:rsidRDefault="00B6334A" w:rsidP="00181716">
      <w:pPr>
        <w:spacing w:after="0" w:line="240" w:lineRule="auto"/>
      </w:pPr>
      <w:r>
        <w:continuationSeparator/>
      </w:r>
    </w:p>
  </w:footnote>
  <w:footnote w:id="1">
    <w:p w14:paraId="70FB2CDA" w14:textId="5A5559FC" w:rsidR="00BC06D6" w:rsidRPr="00BC06D6" w:rsidRDefault="00BC06D6">
      <w:pPr>
        <w:pStyle w:val="FootnoteText"/>
      </w:pPr>
      <w:r>
        <w:rPr>
          <w:rStyle w:val="FootnoteReference"/>
        </w:rPr>
        <w:footnoteRef/>
      </w:r>
      <w:r>
        <w:t xml:space="preserve"> Elizabeth </w:t>
      </w:r>
      <w:proofErr w:type="spellStart"/>
      <w:r>
        <w:t>Baynham</w:t>
      </w:r>
      <w:proofErr w:type="spellEnd"/>
      <w:r>
        <w:t xml:space="preserve">, ‘Alexander and the Amazons’, </w:t>
      </w:r>
      <w:r>
        <w:rPr>
          <w:i/>
          <w:iCs/>
        </w:rPr>
        <w:t xml:space="preserve">The Classical Quarterly, </w:t>
      </w:r>
      <w:r>
        <w:t xml:space="preserve">51(1) (2001), 115-126 (p. 115). </w:t>
      </w:r>
    </w:p>
  </w:footnote>
  <w:footnote w:id="2">
    <w:p w14:paraId="1D40885D" w14:textId="01521B3D" w:rsidR="00EE2506" w:rsidRDefault="00EE2506">
      <w:pPr>
        <w:pStyle w:val="FootnoteText"/>
      </w:pPr>
      <w:r>
        <w:rPr>
          <w:rStyle w:val="FootnoteReference"/>
        </w:rPr>
        <w:footnoteRef/>
      </w:r>
      <w:r>
        <w:t xml:space="preserve"> Elizabeth </w:t>
      </w:r>
      <w:proofErr w:type="spellStart"/>
      <w:r>
        <w:t>Baynham</w:t>
      </w:r>
      <w:proofErr w:type="spellEnd"/>
      <w:r>
        <w:t xml:space="preserve">, ‘Alexander and the Amazons’, p. 115. </w:t>
      </w:r>
    </w:p>
  </w:footnote>
  <w:footnote w:id="3">
    <w:p w14:paraId="105D7BC4" w14:textId="59F0E51C" w:rsidR="0037680A" w:rsidRPr="0037680A" w:rsidRDefault="0037680A">
      <w:pPr>
        <w:pStyle w:val="FootnoteText"/>
      </w:pPr>
      <w:r>
        <w:rPr>
          <w:rStyle w:val="FootnoteReference"/>
        </w:rPr>
        <w:footnoteRef/>
      </w:r>
      <w:r>
        <w:t xml:space="preserve"> David Townsend, ‘Sex and the Single Amazon in Twelfth-Century Latin Epic’, </w:t>
      </w:r>
      <w:r>
        <w:rPr>
          <w:i/>
          <w:iCs/>
        </w:rPr>
        <w:t xml:space="preserve">University of Toronto Quarterly, </w:t>
      </w:r>
      <w:r>
        <w:t xml:space="preserve">64(2) (1995), 255-273 (p. 257). </w:t>
      </w:r>
    </w:p>
  </w:footnote>
  <w:footnote w:id="4">
    <w:p w14:paraId="721EA63C" w14:textId="2B2475C0" w:rsidR="00ED3F2F" w:rsidRPr="00ED3F2F" w:rsidRDefault="00ED3F2F">
      <w:pPr>
        <w:pStyle w:val="FootnoteText"/>
      </w:pPr>
      <w:r>
        <w:rPr>
          <w:rStyle w:val="FootnoteReference"/>
        </w:rPr>
        <w:footnoteRef/>
      </w:r>
      <w:r>
        <w:t xml:space="preserve"> Quintus </w:t>
      </w:r>
      <w:proofErr w:type="spellStart"/>
      <w:r>
        <w:t>Curtius</w:t>
      </w:r>
      <w:proofErr w:type="spellEnd"/>
      <w:r>
        <w:t xml:space="preserve"> Rufus, </w:t>
      </w:r>
      <w:r>
        <w:rPr>
          <w:i/>
          <w:iCs/>
        </w:rPr>
        <w:t xml:space="preserve">History of Alexander, Volume II: Books 6-10. </w:t>
      </w:r>
      <w:r>
        <w:t>Trans, J. C. Rolfe. (Cambridge: Harvard University Press 1946)</w:t>
      </w:r>
      <w:r w:rsidR="00AC0250">
        <w:t xml:space="preserve"> p. 47. </w:t>
      </w:r>
    </w:p>
  </w:footnote>
  <w:footnote w:id="5">
    <w:p w14:paraId="7D953B06" w14:textId="639F5B82" w:rsidR="00AC0250" w:rsidRPr="00AC0250" w:rsidRDefault="00AC0250">
      <w:pPr>
        <w:pStyle w:val="FootnoteText"/>
      </w:pPr>
      <w:r>
        <w:rPr>
          <w:rStyle w:val="FootnoteReference"/>
        </w:rPr>
        <w:footnoteRef/>
      </w:r>
      <w:r>
        <w:t xml:space="preserve"> </w:t>
      </w:r>
      <w:r>
        <w:rPr>
          <w:i/>
          <w:iCs/>
        </w:rPr>
        <w:t xml:space="preserve">The </w:t>
      </w:r>
      <w:proofErr w:type="spellStart"/>
      <w:r>
        <w:rPr>
          <w:i/>
          <w:iCs/>
        </w:rPr>
        <w:t>Alexandreis</w:t>
      </w:r>
      <w:proofErr w:type="spellEnd"/>
      <w:r>
        <w:rPr>
          <w:i/>
          <w:iCs/>
        </w:rPr>
        <w:t xml:space="preserve"> of Walter Chatillon: A Twelfth-Century Epic. </w:t>
      </w:r>
      <w:r>
        <w:t xml:space="preserve">Trans, David Townsend. (Pennsylvania: Pennsylvania Press, 1996) p. 131. </w:t>
      </w:r>
      <w:hyperlink r:id="rId1" w:history="1">
        <w:r w:rsidRPr="00521D9B">
          <w:rPr>
            <w:rStyle w:val="Hyperlink"/>
          </w:rPr>
          <w:t>https://ebookcentral.proquest.com/lib/trinity/detail.action?docID=4322291</w:t>
        </w:r>
      </w:hyperlink>
      <w:r>
        <w:t xml:space="preserve"> [Accessed 9</w:t>
      </w:r>
      <w:r w:rsidRPr="00AC0250">
        <w:rPr>
          <w:vertAlign w:val="superscript"/>
        </w:rPr>
        <w:t>th</w:t>
      </w:r>
      <w:r>
        <w:t xml:space="preserve"> January 2020].</w:t>
      </w:r>
    </w:p>
  </w:footnote>
  <w:footnote w:id="6">
    <w:p w14:paraId="49A3F945" w14:textId="06C7BE8C" w:rsidR="001847B3" w:rsidRPr="001847B3" w:rsidRDefault="001847B3">
      <w:pPr>
        <w:pStyle w:val="FootnoteText"/>
      </w:pPr>
      <w:r>
        <w:rPr>
          <w:rStyle w:val="FootnoteReference"/>
        </w:rPr>
        <w:footnoteRef/>
      </w:r>
      <w:r>
        <w:t xml:space="preserve"> </w:t>
      </w:r>
      <w:r>
        <w:rPr>
          <w:i/>
          <w:iCs/>
        </w:rPr>
        <w:t xml:space="preserve">The </w:t>
      </w:r>
      <w:proofErr w:type="spellStart"/>
      <w:r>
        <w:rPr>
          <w:i/>
          <w:iCs/>
        </w:rPr>
        <w:t>Alexandreis</w:t>
      </w:r>
      <w:proofErr w:type="spellEnd"/>
      <w:r>
        <w:rPr>
          <w:i/>
          <w:iCs/>
        </w:rPr>
        <w:t xml:space="preserve"> of Walter Chatillon, </w:t>
      </w:r>
      <w:r>
        <w:t xml:space="preserve">p. 132. </w:t>
      </w:r>
    </w:p>
  </w:footnote>
  <w:footnote w:id="7">
    <w:p w14:paraId="352E717A" w14:textId="7DA6FF91" w:rsidR="00C656C9" w:rsidRDefault="00C656C9">
      <w:pPr>
        <w:pStyle w:val="FootnoteText"/>
      </w:pPr>
      <w:r>
        <w:rPr>
          <w:rStyle w:val="FootnoteReference"/>
        </w:rPr>
        <w:footnoteRef/>
      </w:r>
      <w:r>
        <w:t xml:space="preserve"> David Townsend, ‘Sex and the Single’, p. 262. </w:t>
      </w:r>
    </w:p>
  </w:footnote>
  <w:footnote w:id="8">
    <w:p w14:paraId="7035C1B8" w14:textId="184F0724" w:rsidR="00BD1812" w:rsidRPr="00BD1812" w:rsidRDefault="00BD1812">
      <w:pPr>
        <w:pStyle w:val="FootnoteText"/>
      </w:pPr>
      <w:r>
        <w:rPr>
          <w:rStyle w:val="FootnoteReference"/>
        </w:rPr>
        <w:footnoteRef/>
      </w:r>
      <w:r>
        <w:t xml:space="preserve"> </w:t>
      </w:r>
      <w:r>
        <w:rPr>
          <w:i/>
          <w:iCs/>
        </w:rPr>
        <w:t xml:space="preserve">The </w:t>
      </w:r>
      <w:proofErr w:type="spellStart"/>
      <w:r>
        <w:rPr>
          <w:i/>
          <w:iCs/>
        </w:rPr>
        <w:t>Alexandreis</w:t>
      </w:r>
      <w:proofErr w:type="spellEnd"/>
      <w:r>
        <w:rPr>
          <w:i/>
          <w:iCs/>
        </w:rPr>
        <w:t xml:space="preserve"> of Walter Chatillon, </w:t>
      </w:r>
      <w:r>
        <w:t xml:space="preserve">p. 132. </w:t>
      </w:r>
    </w:p>
  </w:footnote>
  <w:footnote w:id="9">
    <w:p w14:paraId="4163AE57" w14:textId="4F05C64D" w:rsidR="00CC6883" w:rsidRDefault="00CC6883">
      <w:pPr>
        <w:pStyle w:val="FootnoteText"/>
      </w:pPr>
      <w:r>
        <w:rPr>
          <w:rStyle w:val="FootnoteReference"/>
        </w:rPr>
        <w:footnoteRef/>
      </w:r>
      <w:r>
        <w:t xml:space="preserve"> David Townsend, ‘Sex and the Single’, p. 262. </w:t>
      </w:r>
    </w:p>
  </w:footnote>
  <w:footnote w:id="10">
    <w:p w14:paraId="29FAB8EF" w14:textId="15CDEF4A" w:rsidR="00EF6748" w:rsidRPr="00EF6748" w:rsidRDefault="00EF6748">
      <w:pPr>
        <w:pStyle w:val="FootnoteText"/>
      </w:pPr>
      <w:r>
        <w:rPr>
          <w:rStyle w:val="FootnoteReference"/>
        </w:rPr>
        <w:footnoteRef/>
      </w:r>
      <w:r>
        <w:t xml:space="preserve"> </w:t>
      </w:r>
      <w:r>
        <w:rPr>
          <w:i/>
          <w:iCs/>
        </w:rPr>
        <w:t xml:space="preserve">The Translation of Alexander’s Battles: Historia de </w:t>
      </w:r>
      <w:proofErr w:type="spellStart"/>
      <w:r>
        <w:rPr>
          <w:i/>
          <w:iCs/>
        </w:rPr>
        <w:t>preliis</w:t>
      </w:r>
      <w:proofErr w:type="spellEnd"/>
      <w:r>
        <w:rPr>
          <w:i/>
          <w:iCs/>
        </w:rPr>
        <w:t xml:space="preserve">. </w:t>
      </w:r>
      <w:r>
        <w:t xml:space="preserve">Trans, R. </w:t>
      </w:r>
      <w:proofErr w:type="spellStart"/>
      <w:r>
        <w:t>Telfryn</w:t>
      </w:r>
      <w:proofErr w:type="spellEnd"/>
      <w:r>
        <w:t xml:space="preserve"> Pritchard. (Pontifical Institute of Medieval Studies, 1992) p. 77. </w:t>
      </w:r>
    </w:p>
  </w:footnote>
  <w:footnote w:id="11">
    <w:p w14:paraId="15DFCDB9" w14:textId="14CA1BA5" w:rsidR="00EF6748" w:rsidRPr="00EF6748" w:rsidRDefault="00EF6748">
      <w:pPr>
        <w:pStyle w:val="FootnoteText"/>
      </w:pPr>
      <w:r>
        <w:rPr>
          <w:rStyle w:val="FootnoteReference"/>
        </w:rPr>
        <w:footnoteRef/>
      </w:r>
      <w:r>
        <w:t xml:space="preserve"> </w:t>
      </w:r>
      <w:r>
        <w:rPr>
          <w:i/>
          <w:iCs/>
        </w:rPr>
        <w:t xml:space="preserve">The Translation of Alexander’s Battles, </w:t>
      </w:r>
      <w:r>
        <w:t xml:space="preserve">p. 79. </w:t>
      </w:r>
    </w:p>
  </w:footnote>
  <w:footnote w:id="12">
    <w:p w14:paraId="6557640D" w14:textId="1B0C09D5" w:rsidR="005020E3" w:rsidRPr="005020E3" w:rsidRDefault="005020E3">
      <w:pPr>
        <w:pStyle w:val="FootnoteText"/>
      </w:pPr>
      <w:r>
        <w:rPr>
          <w:rStyle w:val="FootnoteReference"/>
        </w:rPr>
        <w:footnoteRef/>
      </w:r>
      <w:r>
        <w:t xml:space="preserve"> Quintus </w:t>
      </w:r>
      <w:proofErr w:type="spellStart"/>
      <w:r>
        <w:t>Curtius</w:t>
      </w:r>
      <w:proofErr w:type="spellEnd"/>
      <w:r>
        <w:t xml:space="preserve"> Rufus, </w:t>
      </w:r>
      <w:r>
        <w:rPr>
          <w:i/>
          <w:iCs/>
        </w:rPr>
        <w:t xml:space="preserve">History of Alexander, </w:t>
      </w:r>
      <w:r>
        <w:t xml:space="preserve">p. 47. </w:t>
      </w:r>
    </w:p>
  </w:footnote>
  <w:footnote w:id="13">
    <w:p w14:paraId="0944CF13" w14:textId="5390DA50" w:rsidR="005020E3" w:rsidRPr="005020E3" w:rsidRDefault="005020E3">
      <w:pPr>
        <w:pStyle w:val="FootnoteText"/>
      </w:pPr>
      <w:r>
        <w:rPr>
          <w:rStyle w:val="FootnoteReference"/>
        </w:rPr>
        <w:footnoteRef/>
      </w:r>
      <w:r>
        <w:t xml:space="preserve"> </w:t>
      </w:r>
      <w:r>
        <w:rPr>
          <w:i/>
          <w:iCs/>
        </w:rPr>
        <w:t xml:space="preserve">The </w:t>
      </w:r>
      <w:proofErr w:type="spellStart"/>
      <w:r>
        <w:rPr>
          <w:i/>
          <w:iCs/>
        </w:rPr>
        <w:t>Alexandreis</w:t>
      </w:r>
      <w:proofErr w:type="spellEnd"/>
      <w:r>
        <w:rPr>
          <w:i/>
          <w:iCs/>
        </w:rPr>
        <w:t xml:space="preserve"> of Walter Chatillon, </w:t>
      </w:r>
      <w:r>
        <w:t xml:space="preserve">p. 132. </w:t>
      </w:r>
    </w:p>
  </w:footnote>
  <w:footnote w:id="14">
    <w:p w14:paraId="1937B902" w14:textId="6AE13BF3" w:rsidR="005020E3" w:rsidRPr="00BD2F01" w:rsidRDefault="005020E3">
      <w:pPr>
        <w:pStyle w:val="FootnoteText"/>
      </w:pPr>
      <w:r>
        <w:rPr>
          <w:rStyle w:val="FootnoteReference"/>
        </w:rPr>
        <w:footnoteRef/>
      </w:r>
      <w:r>
        <w:t xml:space="preserve"> </w:t>
      </w:r>
      <w:r w:rsidR="00BD2F01">
        <w:t xml:space="preserve">Maura K. Lafferty, </w:t>
      </w:r>
      <w:r w:rsidR="00BD2F01">
        <w:rPr>
          <w:i/>
          <w:iCs/>
        </w:rPr>
        <w:t xml:space="preserve">Walter of Chatillon’s </w:t>
      </w:r>
      <w:proofErr w:type="spellStart"/>
      <w:r w:rsidR="00BD2F01">
        <w:rPr>
          <w:i/>
          <w:iCs/>
        </w:rPr>
        <w:t>Alexandreis</w:t>
      </w:r>
      <w:proofErr w:type="spellEnd"/>
      <w:r w:rsidR="00BD2F01">
        <w:rPr>
          <w:i/>
          <w:iCs/>
        </w:rPr>
        <w:t xml:space="preserve">: Epic and the Problem of Historical Understanding. </w:t>
      </w:r>
      <w:r w:rsidR="00BD2F01">
        <w:t>(</w:t>
      </w:r>
      <w:proofErr w:type="spellStart"/>
      <w:proofErr w:type="gramStart"/>
      <w:r w:rsidR="00BD2F01">
        <w:t>Michigan:Brepols</w:t>
      </w:r>
      <w:proofErr w:type="spellEnd"/>
      <w:proofErr w:type="gramEnd"/>
      <w:r w:rsidR="00BD2F01">
        <w:t xml:space="preserve">, 1998) p .17. </w:t>
      </w:r>
    </w:p>
  </w:footnote>
  <w:footnote w:id="15">
    <w:p w14:paraId="71BEE03E" w14:textId="49D6CDCE" w:rsidR="003F49CF" w:rsidRPr="003F49CF" w:rsidRDefault="003F49CF">
      <w:pPr>
        <w:pStyle w:val="FootnoteText"/>
      </w:pPr>
      <w:r>
        <w:rPr>
          <w:rStyle w:val="FootnoteReference"/>
        </w:rPr>
        <w:footnoteRef/>
      </w:r>
      <w:r>
        <w:t xml:space="preserve"> </w:t>
      </w:r>
      <w:r>
        <w:rPr>
          <w:i/>
          <w:iCs/>
        </w:rPr>
        <w:t xml:space="preserve">The Translation of Alexander’s Battles, </w:t>
      </w:r>
      <w:r>
        <w:t xml:space="preserve">p. 77. </w:t>
      </w:r>
    </w:p>
  </w:footnote>
  <w:footnote w:id="16">
    <w:p w14:paraId="135661E4" w14:textId="429F2965" w:rsidR="000A434D" w:rsidRPr="000A434D" w:rsidRDefault="000A434D">
      <w:pPr>
        <w:pStyle w:val="FootnoteText"/>
      </w:pPr>
      <w:r>
        <w:rPr>
          <w:rStyle w:val="FootnoteReference"/>
        </w:rPr>
        <w:footnoteRef/>
      </w:r>
      <w:r>
        <w:t xml:space="preserve"> </w:t>
      </w:r>
      <w:r>
        <w:rPr>
          <w:i/>
          <w:iCs/>
        </w:rPr>
        <w:t xml:space="preserve">The </w:t>
      </w:r>
      <w:proofErr w:type="spellStart"/>
      <w:r>
        <w:rPr>
          <w:i/>
          <w:iCs/>
        </w:rPr>
        <w:t>Alexandreis</w:t>
      </w:r>
      <w:proofErr w:type="spellEnd"/>
      <w:r>
        <w:rPr>
          <w:i/>
          <w:iCs/>
        </w:rPr>
        <w:t xml:space="preserve"> of Walter Chatillon, </w:t>
      </w:r>
      <w:r>
        <w:t xml:space="preserve">p. 132. </w:t>
      </w:r>
    </w:p>
  </w:footnote>
  <w:footnote w:id="17">
    <w:p w14:paraId="02057D27" w14:textId="49A861BF" w:rsidR="000A434D" w:rsidRPr="000A434D" w:rsidRDefault="000A434D">
      <w:pPr>
        <w:pStyle w:val="FootnoteText"/>
        <w:rPr>
          <w:i/>
          <w:iCs/>
        </w:rPr>
      </w:pPr>
      <w:r>
        <w:rPr>
          <w:rStyle w:val="FootnoteReference"/>
        </w:rPr>
        <w:footnoteRef/>
      </w:r>
      <w:r>
        <w:t xml:space="preserve"> Elizabeth </w:t>
      </w:r>
      <w:proofErr w:type="spellStart"/>
      <w:r>
        <w:t>Baynham</w:t>
      </w:r>
      <w:proofErr w:type="spellEnd"/>
      <w:r>
        <w:t xml:space="preserve">, ‘Alexander and the Amazons’, p. 126.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7208E"/>
    <w:multiLevelType w:val="hybridMultilevel"/>
    <w:tmpl w:val="62001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E169F8"/>
    <w:multiLevelType w:val="hybridMultilevel"/>
    <w:tmpl w:val="570E4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338"/>
    <w:rsid w:val="000A434D"/>
    <w:rsid w:val="00181716"/>
    <w:rsid w:val="001847B3"/>
    <w:rsid w:val="00195266"/>
    <w:rsid w:val="0037680A"/>
    <w:rsid w:val="003F49CF"/>
    <w:rsid w:val="005020E3"/>
    <w:rsid w:val="0059032A"/>
    <w:rsid w:val="006F485A"/>
    <w:rsid w:val="00742059"/>
    <w:rsid w:val="008C2107"/>
    <w:rsid w:val="008C539E"/>
    <w:rsid w:val="00925EFA"/>
    <w:rsid w:val="009B130E"/>
    <w:rsid w:val="00A91B41"/>
    <w:rsid w:val="00AC0250"/>
    <w:rsid w:val="00B6334A"/>
    <w:rsid w:val="00BC06D6"/>
    <w:rsid w:val="00BD1812"/>
    <w:rsid w:val="00BD2F01"/>
    <w:rsid w:val="00C23E1D"/>
    <w:rsid w:val="00C656C9"/>
    <w:rsid w:val="00CC6883"/>
    <w:rsid w:val="00CD3B4C"/>
    <w:rsid w:val="00DA29AF"/>
    <w:rsid w:val="00E53341"/>
    <w:rsid w:val="00E91338"/>
    <w:rsid w:val="00ED3F2F"/>
    <w:rsid w:val="00EE2506"/>
    <w:rsid w:val="00EF6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71DE8"/>
  <w15:chartTrackingRefBased/>
  <w15:docId w15:val="{C5C3DAAC-438A-4937-8F24-B7E5D08B4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B4C"/>
    <w:pPr>
      <w:ind w:left="720"/>
      <w:contextualSpacing/>
    </w:pPr>
  </w:style>
  <w:style w:type="character" w:styleId="Hyperlink">
    <w:name w:val="Hyperlink"/>
    <w:basedOn w:val="DefaultParagraphFont"/>
    <w:uiPriority w:val="99"/>
    <w:unhideWhenUsed/>
    <w:rsid w:val="00A91B41"/>
    <w:rPr>
      <w:color w:val="0563C1" w:themeColor="hyperlink"/>
      <w:u w:val="single"/>
    </w:rPr>
  </w:style>
  <w:style w:type="character" w:styleId="UnresolvedMention">
    <w:name w:val="Unresolved Mention"/>
    <w:basedOn w:val="DefaultParagraphFont"/>
    <w:uiPriority w:val="99"/>
    <w:semiHidden/>
    <w:unhideWhenUsed/>
    <w:rsid w:val="00A91B41"/>
    <w:rPr>
      <w:color w:val="605E5C"/>
      <w:shd w:val="clear" w:color="auto" w:fill="E1DFDD"/>
    </w:rPr>
  </w:style>
  <w:style w:type="paragraph" w:styleId="FootnoteText">
    <w:name w:val="footnote text"/>
    <w:basedOn w:val="Normal"/>
    <w:link w:val="FootnoteTextChar"/>
    <w:uiPriority w:val="99"/>
    <w:semiHidden/>
    <w:unhideWhenUsed/>
    <w:rsid w:val="001817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716"/>
    <w:rPr>
      <w:sz w:val="20"/>
      <w:szCs w:val="20"/>
    </w:rPr>
  </w:style>
  <w:style w:type="character" w:styleId="FootnoteReference">
    <w:name w:val="footnote reference"/>
    <w:basedOn w:val="DefaultParagraphFont"/>
    <w:uiPriority w:val="99"/>
    <w:semiHidden/>
    <w:unhideWhenUsed/>
    <w:rsid w:val="001817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bookcentral.proquest.com/lib/trinity/detail.action?docID=43222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bookcentral.proquest.com/lib/trinity/detail.action?docID=4322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3</Pages>
  <Words>836</Words>
  <Characters>5998</Characters>
  <Application>Microsoft Office Word</Application>
  <DocSecurity>0</DocSecurity>
  <Lines>162</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12</cp:revision>
  <dcterms:created xsi:type="dcterms:W3CDTF">2020-01-13T17:14:00Z</dcterms:created>
  <dcterms:modified xsi:type="dcterms:W3CDTF">2020-01-13T23:18:00Z</dcterms:modified>
</cp:coreProperties>
</file>