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eastAsia="en-US"/>
          <w14:ligatures w14:val="standardContextual"/>
        </w:rPr>
        <w:id w:val="-1966880293"/>
        <w:docPartObj>
          <w:docPartGallery w:val="Cover Pages"/>
          <w:docPartUnique/>
        </w:docPartObj>
      </w:sdtPr>
      <w:sdtEndPr>
        <w:rPr>
          <w:color w:val="595959" w:themeColor="text1" w:themeTint="A6"/>
          <w:sz w:val="28"/>
          <w:szCs w:val="28"/>
        </w:rPr>
      </w:sdtEndPr>
      <w:sdtContent>
        <w:p w14:paraId="64D65C80" w14:textId="56779A2B" w:rsidR="006F6634" w:rsidRDefault="006F6634">
          <w:pPr>
            <w:pStyle w:val="NoSpacing"/>
          </w:pPr>
          <w:r>
            <w:rPr>
              <w:noProof/>
            </w:rPr>
            <mc:AlternateContent>
              <mc:Choice Requires="wpg">
                <w:drawing>
                  <wp:anchor distT="0" distB="0" distL="114300" distR="114300" simplePos="0" relativeHeight="251659264" behindDoc="1" locked="0" layoutInCell="1" allowOverlap="1" wp14:anchorId="0EA790F7" wp14:editId="4D710D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5T00:00:00Z">
                                      <w:dateFormat w:val="dd/MM/yyyy"/>
                                      <w:lid w:val="en-GB"/>
                                      <w:storeMappedDataAs w:val="dateTime"/>
                                      <w:calendar w:val="gregorian"/>
                                    </w:date>
                                  </w:sdtPr>
                                  <w:sdtEndPr/>
                                  <w:sdtContent>
                                    <w:p w14:paraId="71EF742C" w14:textId="4C0B3EFC" w:rsidR="006F6634" w:rsidRDefault="006F6634">
                                      <w:pPr>
                                        <w:pStyle w:val="NoSpacing"/>
                                        <w:jc w:val="right"/>
                                        <w:rPr>
                                          <w:color w:val="FFFFFF" w:themeColor="background1"/>
                                          <w:sz w:val="28"/>
                                          <w:szCs w:val="28"/>
                                        </w:rPr>
                                      </w:pPr>
                                      <w:r>
                                        <w:rPr>
                                          <w:color w:val="FFFFFF" w:themeColor="background1"/>
                                          <w:sz w:val="28"/>
                                          <w:szCs w:val="28"/>
                                        </w:rPr>
                                        <w:t>05/05/2023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A790F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5T00:00:00Z">
                                <w:dateFormat w:val="dd/MM/yyyy"/>
                                <w:lid w:val="en-GB"/>
                                <w:storeMappedDataAs w:val="dateTime"/>
                                <w:calendar w:val="gregorian"/>
                              </w:date>
                            </w:sdtPr>
                            <w:sdtEndPr/>
                            <w:sdtContent>
                              <w:p w14:paraId="71EF742C" w14:textId="4C0B3EFC" w:rsidR="006F6634" w:rsidRDefault="006F6634">
                                <w:pPr>
                                  <w:pStyle w:val="NoSpacing"/>
                                  <w:jc w:val="right"/>
                                  <w:rPr>
                                    <w:color w:val="FFFFFF" w:themeColor="background1"/>
                                    <w:sz w:val="28"/>
                                    <w:szCs w:val="28"/>
                                  </w:rPr>
                                </w:pPr>
                                <w:r>
                                  <w:rPr>
                                    <w:color w:val="FFFFFF" w:themeColor="background1"/>
                                    <w:sz w:val="28"/>
                                    <w:szCs w:val="28"/>
                                  </w:rPr>
                                  <w:t>05/05/2023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52E226B" wp14:editId="55EB26C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8ADA7" w14:textId="3528801F" w:rsidR="006F6634" w:rsidRDefault="001F58B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6634">
                                      <w:rPr>
                                        <w:color w:val="4472C4" w:themeColor="accent1"/>
                                        <w:sz w:val="26"/>
                                        <w:szCs w:val="26"/>
                                      </w:rPr>
                                      <w:t>Christopher Grey</w:t>
                                    </w:r>
                                  </w:sdtContent>
                                </w:sdt>
                              </w:p>
                              <w:p w14:paraId="213AA847" w14:textId="6E29FCA3" w:rsidR="006F6634" w:rsidRDefault="001F58B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F6634">
                                      <w:rPr>
                                        <w:caps/>
                                        <w:color w:val="595959" w:themeColor="text1" w:themeTint="A6"/>
                                        <w:sz w:val="20"/>
                                        <w:szCs w:val="20"/>
                                      </w:rPr>
                                      <w:t>SN: 1800281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52E226B"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A48ADA7" w14:textId="3528801F" w:rsidR="006F6634" w:rsidRDefault="0070006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6634">
                                <w:rPr>
                                  <w:color w:val="4472C4" w:themeColor="accent1"/>
                                  <w:sz w:val="26"/>
                                  <w:szCs w:val="26"/>
                                </w:rPr>
                                <w:t>Christopher Grey</w:t>
                              </w:r>
                            </w:sdtContent>
                          </w:sdt>
                        </w:p>
                        <w:p w14:paraId="213AA847" w14:textId="6E29FCA3" w:rsidR="006F6634" w:rsidRDefault="0070006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F6634">
                                <w:rPr>
                                  <w:caps/>
                                  <w:color w:val="595959" w:themeColor="text1" w:themeTint="A6"/>
                                  <w:sz w:val="20"/>
                                  <w:szCs w:val="20"/>
                                </w:rPr>
                                <w:t>SN: 1800281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93AA9AF" wp14:editId="1A8C63D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65FA4" w14:textId="3A231E30" w:rsidR="006F6634" w:rsidRDefault="001F58B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00062">
                                      <w:rPr>
                                        <w:rFonts w:asciiTheme="majorHAnsi" w:eastAsiaTheme="majorEastAsia" w:hAnsiTheme="majorHAnsi" w:cstheme="majorBidi"/>
                                        <w:color w:val="262626" w:themeColor="text1" w:themeTint="D9"/>
                                        <w:sz w:val="72"/>
                                        <w:szCs w:val="72"/>
                                      </w:rPr>
                                      <w:t>The war on drugs: Does it really solve the problem?</w:t>
                                    </w:r>
                                  </w:sdtContent>
                                </w:sdt>
                              </w:p>
                              <w:p w14:paraId="26A00B18" w14:textId="423E4BF5" w:rsidR="006F6634" w:rsidRDefault="001F58B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F663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93AA9AF"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2565FA4" w14:textId="3A231E30" w:rsidR="006F6634" w:rsidRDefault="0070006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The war on drugs: Does it really solve the problem?</w:t>
                              </w:r>
                            </w:sdtContent>
                          </w:sdt>
                        </w:p>
                        <w:p w14:paraId="26A00B18" w14:textId="423E4BF5" w:rsidR="006F6634" w:rsidRDefault="0070006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F6634">
                                <w:rPr>
                                  <w:color w:val="404040" w:themeColor="text1" w:themeTint="BF"/>
                                  <w:sz w:val="36"/>
                                  <w:szCs w:val="36"/>
                                </w:rPr>
                                <w:t xml:space="preserve">     </w:t>
                              </w:r>
                            </w:sdtContent>
                          </w:sdt>
                        </w:p>
                      </w:txbxContent>
                    </v:textbox>
                    <w10:wrap anchorx="page" anchory="page"/>
                  </v:shape>
                </w:pict>
              </mc:Fallback>
            </mc:AlternateContent>
          </w:r>
        </w:p>
        <w:p w14:paraId="7D990205" w14:textId="16DDCFBF" w:rsidR="006F6634" w:rsidRDefault="006F6634">
          <w:pPr>
            <w:rPr>
              <w:rFonts w:eastAsiaTheme="minorEastAsia"/>
              <w:color w:val="595959" w:themeColor="text1" w:themeTint="A6"/>
              <w:kern w:val="0"/>
              <w:sz w:val="28"/>
              <w:szCs w:val="28"/>
              <w:lang w:eastAsia="en-GB"/>
              <w14:ligatures w14:val="none"/>
            </w:rPr>
          </w:pPr>
          <w:r>
            <w:rPr>
              <w:rFonts w:eastAsiaTheme="minorEastAsia"/>
              <w:color w:val="595959" w:themeColor="text1" w:themeTint="A6"/>
              <w:kern w:val="0"/>
              <w:sz w:val="28"/>
              <w:szCs w:val="28"/>
              <w:lang w:eastAsia="en-GB"/>
              <w14:ligatures w14:val="none"/>
            </w:rPr>
            <w:br w:type="page"/>
          </w:r>
        </w:p>
      </w:sdtContent>
    </w:sdt>
    <w:p w14:paraId="5EDD9591" w14:textId="13F19DF2" w:rsidR="00320B08" w:rsidRPr="00322835" w:rsidRDefault="00B92F82" w:rsidP="00322835">
      <w:pPr>
        <w:spacing w:line="480" w:lineRule="auto"/>
        <w:rPr>
          <w:rFonts w:ascii="Arial" w:hAnsi="Arial" w:cs="Arial"/>
          <w:sz w:val="24"/>
          <w:szCs w:val="24"/>
        </w:rPr>
      </w:pPr>
      <w:r w:rsidRPr="00322835">
        <w:rPr>
          <w:rFonts w:ascii="Arial" w:hAnsi="Arial" w:cs="Arial"/>
          <w:sz w:val="24"/>
          <w:szCs w:val="24"/>
        </w:rPr>
        <w:lastRenderedPageBreak/>
        <w:t xml:space="preserve">The war on drugs </w:t>
      </w:r>
      <w:r w:rsidR="00320B08" w:rsidRPr="00322835">
        <w:rPr>
          <w:rFonts w:ascii="Arial" w:hAnsi="Arial" w:cs="Arial"/>
          <w:sz w:val="24"/>
          <w:szCs w:val="24"/>
        </w:rPr>
        <w:t xml:space="preserve">is a controversial topic </w:t>
      </w:r>
      <w:r w:rsidR="00AF58BE">
        <w:rPr>
          <w:rFonts w:ascii="Arial" w:hAnsi="Arial" w:cs="Arial"/>
          <w:sz w:val="24"/>
          <w:szCs w:val="24"/>
        </w:rPr>
        <w:t>that has</w:t>
      </w:r>
      <w:r w:rsidR="00320B08" w:rsidRPr="00322835">
        <w:rPr>
          <w:rFonts w:ascii="Arial" w:hAnsi="Arial" w:cs="Arial"/>
          <w:sz w:val="24"/>
          <w:szCs w:val="24"/>
        </w:rPr>
        <w:t xml:space="preserve"> divided opinions amongst the public, academics and politicians alike. </w:t>
      </w:r>
      <w:r w:rsidR="000058AB">
        <w:rPr>
          <w:rFonts w:ascii="Arial" w:hAnsi="Arial" w:cs="Arial"/>
          <w:sz w:val="24"/>
          <w:szCs w:val="24"/>
        </w:rPr>
        <w:t xml:space="preserve">As part of the war on drugs, </w:t>
      </w:r>
      <w:r w:rsidR="00320B08" w:rsidRPr="00322835">
        <w:rPr>
          <w:rFonts w:ascii="Arial" w:hAnsi="Arial" w:cs="Arial"/>
          <w:sz w:val="24"/>
          <w:szCs w:val="24"/>
        </w:rPr>
        <w:t>numerous tactics such as creating new legislature, criminalising illegal drug use, and reducing the overall supply of drug use have been utilised to gain the upper hand on illegal drugs. Despite this, statistics show that drug-related deaths and offences continue to rise which has meant that there has been an increasing amount of pressure for a different approach to be taken on illegal drugs</w:t>
      </w:r>
      <w:r w:rsidR="00650DFA" w:rsidRPr="00322835">
        <w:rPr>
          <w:rFonts w:ascii="Arial" w:hAnsi="Arial" w:cs="Arial"/>
          <w:sz w:val="24"/>
          <w:szCs w:val="24"/>
        </w:rPr>
        <w:t xml:space="preserve"> (ONS, 2020; Clark, 2022). </w:t>
      </w:r>
      <w:r w:rsidR="00320B08" w:rsidRPr="00322835">
        <w:rPr>
          <w:rFonts w:ascii="Arial" w:hAnsi="Arial" w:cs="Arial"/>
          <w:sz w:val="24"/>
          <w:szCs w:val="24"/>
        </w:rPr>
        <w:t>This essay will attempt to determine whether</w:t>
      </w:r>
      <w:r w:rsidR="00650DFA" w:rsidRPr="00322835">
        <w:rPr>
          <w:rFonts w:ascii="Arial" w:hAnsi="Arial" w:cs="Arial"/>
          <w:sz w:val="24"/>
          <w:szCs w:val="24"/>
        </w:rPr>
        <w:t xml:space="preserve"> the war on drugs is an effective solution to the illegal drug epidemic </w:t>
      </w:r>
      <w:r w:rsidR="00320B08" w:rsidRPr="00322835">
        <w:rPr>
          <w:rFonts w:ascii="Arial" w:hAnsi="Arial" w:cs="Arial"/>
          <w:sz w:val="24"/>
          <w:szCs w:val="24"/>
        </w:rPr>
        <w:t xml:space="preserve">we are facing or whether alternative methods should be </w:t>
      </w:r>
      <w:r w:rsidR="00650DFA" w:rsidRPr="00322835">
        <w:rPr>
          <w:rFonts w:ascii="Arial" w:hAnsi="Arial" w:cs="Arial"/>
          <w:sz w:val="24"/>
          <w:szCs w:val="24"/>
        </w:rPr>
        <w:t xml:space="preserve">explored instead. </w:t>
      </w:r>
    </w:p>
    <w:p w14:paraId="0145B190" w14:textId="36138F05" w:rsidR="00C745D9" w:rsidRPr="00322835" w:rsidRDefault="00650DFA" w:rsidP="00322835">
      <w:pPr>
        <w:spacing w:line="480" w:lineRule="auto"/>
        <w:rPr>
          <w:rFonts w:ascii="Arial" w:hAnsi="Arial" w:cs="Arial"/>
          <w:sz w:val="24"/>
          <w:szCs w:val="24"/>
        </w:rPr>
      </w:pPr>
      <w:r w:rsidRPr="00322835">
        <w:rPr>
          <w:rFonts w:ascii="Arial" w:hAnsi="Arial" w:cs="Arial"/>
          <w:sz w:val="24"/>
          <w:szCs w:val="24"/>
        </w:rPr>
        <w:t>The war on drugs has spanned over 50 years and with the drug epidemic that we are currently in, there is no clear end in sight. Current statistics show that 9.2% of people in the UK reported taking an illegal substance in 2022, which is a slight decrease from 2020, but an overall increase of 8.4% since 2010 (ONS, 2022). Moreover, statistics show that there were 4561 recorded instances of drug-related deaths in the UK in 2020, which is 53% higher than the figure in 2011 (ONS, 2020). Furthermore, there were 210, 581 drug-related offences in 2020/2021, which was an increase of 41% since 2017/2018</w:t>
      </w:r>
      <w:r w:rsidR="00C745D9" w:rsidRPr="00322835">
        <w:rPr>
          <w:rFonts w:ascii="Arial" w:hAnsi="Arial" w:cs="Arial"/>
          <w:sz w:val="24"/>
          <w:szCs w:val="24"/>
        </w:rPr>
        <w:t xml:space="preserve"> (Clark, 2022). Due to these figures, criticism has been placed on the war on drugs and the current methods utilised to combat illegal drugs. </w:t>
      </w:r>
    </w:p>
    <w:p w14:paraId="10C16D39" w14:textId="3212FFAC" w:rsidR="00C745D9" w:rsidRPr="00322835" w:rsidRDefault="00C745D9" w:rsidP="00322835">
      <w:pPr>
        <w:spacing w:line="480" w:lineRule="auto"/>
        <w:rPr>
          <w:rFonts w:ascii="Arial" w:hAnsi="Arial" w:cs="Arial"/>
          <w:sz w:val="24"/>
          <w:szCs w:val="24"/>
        </w:rPr>
      </w:pPr>
      <w:r w:rsidRPr="00322835">
        <w:rPr>
          <w:rFonts w:ascii="Arial" w:hAnsi="Arial" w:cs="Arial"/>
          <w:sz w:val="24"/>
          <w:szCs w:val="24"/>
        </w:rPr>
        <w:t>One method that has been utilised as a part of the war on drugs is the adoption of several pieces of legislation that has criminalised numerous different substances and imposed severe penalties on those who possess or distribute</w:t>
      </w:r>
      <w:r w:rsidR="00135865" w:rsidRPr="00322835">
        <w:rPr>
          <w:rFonts w:ascii="Arial" w:hAnsi="Arial" w:cs="Arial"/>
          <w:sz w:val="24"/>
          <w:szCs w:val="24"/>
        </w:rPr>
        <w:t xml:space="preserve"> them</w:t>
      </w:r>
      <w:r w:rsidRPr="00322835">
        <w:rPr>
          <w:rFonts w:ascii="Arial" w:hAnsi="Arial" w:cs="Arial"/>
          <w:sz w:val="24"/>
          <w:szCs w:val="24"/>
        </w:rPr>
        <w:t xml:space="preserve">. </w:t>
      </w:r>
      <w:r w:rsidR="00135865" w:rsidRPr="00322835">
        <w:rPr>
          <w:rFonts w:ascii="Arial" w:hAnsi="Arial" w:cs="Arial"/>
          <w:sz w:val="24"/>
          <w:szCs w:val="24"/>
        </w:rPr>
        <w:t xml:space="preserve">It </w:t>
      </w:r>
      <w:r w:rsidR="00AD6978">
        <w:rPr>
          <w:rFonts w:ascii="Arial" w:hAnsi="Arial" w:cs="Arial"/>
          <w:sz w:val="24"/>
          <w:szCs w:val="24"/>
        </w:rPr>
        <w:t xml:space="preserve">has been </w:t>
      </w:r>
      <w:r w:rsidR="00135865" w:rsidRPr="00322835">
        <w:rPr>
          <w:rFonts w:ascii="Arial" w:hAnsi="Arial" w:cs="Arial"/>
          <w:sz w:val="24"/>
          <w:szCs w:val="24"/>
        </w:rPr>
        <w:t>argued</w:t>
      </w:r>
      <w:r w:rsidR="00AD6978">
        <w:rPr>
          <w:rFonts w:ascii="Arial" w:hAnsi="Arial" w:cs="Arial"/>
          <w:sz w:val="24"/>
          <w:szCs w:val="24"/>
        </w:rPr>
        <w:t>,</w:t>
      </w:r>
      <w:r w:rsidR="00135865" w:rsidRPr="00322835">
        <w:rPr>
          <w:rFonts w:ascii="Arial" w:hAnsi="Arial" w:cs="Arial"/>
          <w:sz w:val="24"/>
          <w:szCs w:val="24"/>
        </w:rPr>
        <w:t xml:space="preserve"> </w:t>
      </w:r>
      <w:r w:rsidR="00AD6978">
        <w:rPr>
          <w:rFonts w:ascii="Arial" w:hAnsi="Arial" w:cs="Arial"/>
          <w:sz w:val="24"/>
          <w:szCs w:val="24"/>
        </w:rPr>
        <w:t xml:space="preserve">through criminological theory and </w:t>
      </w:r>
      <w:r w:rsidR="00F30271">
        <w:rPr>
          <w:rFonts w:ascii="Arial" w:hAnsi="Arial" w:cs="Arial"/>
          <w:sz w:val="24"/>
          <w:szCs w:val="24"/>
        </w:rPr>
        <w:t xml:space="preserve">studies, </w:t>
      </w:r>
      <w:r w:rsidR="00135865" w:rsidRPr="00322835">
        <w:rPr>
          <w:rFonts w:ascii="Arial" w:hAnsi="Arial" w:cs="Arial"/>
          <w:sz w:val="24"/>
          <w:szCs w:val="24"/>
        </w:rPr>
        <w:t>that the criminalisation of certain drugs is a success because the threat of punishment acts as a severe deterrent that would dissuade most people from committing offences</w:t>
      </w:r>
      <w:r w:rsidR="00CE2E34">
        <w:rPr>
          <w:rFonts w:ascii="Arial" w:hAnsi="Arial" w:cs="Arial"/>
          <w:sz w:val="24"/>
          <w:szCs w:val="24"/>
        </w:rPr>
        <w:t xml:space="preserve"> (Lee &amp; McCrary, 2009; </w:t>
      </w:r>
      <w:r w:rsidR="009837BC">
        <w:rPr>
          <w:rFonts w:ascii="Arial" w:hAnsi="Arial" w:cs="Arial"/>
          <w:sz w:val="24"/>
          <w:szCs w:val="24"/>
        </w:rPr>
        <w:lastRenderedPageBreak/>
        <w:t xml:space="preserve">Johnson, 2019). </w:t>
      </w:r>
      <w:r w:rsidR="00135865" w:rsidRPr="00322835">
        <w:rPr>
          <w:rFonts w:ascii="Arial" w:hAnsi="Arial" w:cs="Arial"/>
          <w:sz w:val="24"/>
          <w:szCs w:val="24"/>
        </w:rPr>
        <w:t xml:space="preserve">It could also be argued that imprisonment is also effective because it allows for rehabilitation. </w:t>
      </w:r>
      <w:r w:rsidR="00731A45" w:rsidRPr="00322835">
        <w:rPr>
          <w:rFonts w:ascii="Arial" w:hAnsi="Arial" w:cs="Arial"/>
          <w:sz w:val="24"/>
          <w:szCs w:val="24"/>
        </w:rPr>
        <w:t>However, other studies have found that incarceration is a poor method of rehabilitation (</w:t>
      </w:r>
      <w:r w:rsidR="007D291E" w:rsidRPr="00322835">
        <w:rPr>
          <w:rFonts w:ascii="Arial" w:hAnsi="Arial" w:cs="Arial"/>
          <w:sz w:val="24"/>
          <w:szCs w:val="24"/>
        </w:rPr>
        <w:t>NIJ, 2016). Moreover, other studies have found that incarcerating an individual and having them surrounded by other criminals only pushes them deeper into criminality (Damm &amp; Gorinas, 2020).</w:t>
      </w:r>
    </w:p>
    <w:p w14:paraId="1A3F7A21" w14:textId="1695B26A" w:rsidR="00C17CBE" w:rsidRPr="00322835" w:rsidRDefault="005303A6" w:rsidP="00322835">
      <w:pPr>
        <w:spacing w:line="480" w:lineRule="auto"/>
        <w:rPr>
          <w:rFonts w:ascii="Arial" w:hAnsi="Arial" w:cs="Arial"/>
          <w:sz w:val="24"/>
          <w:szCs w:val="24"/>
        </w:rPr>
      </w:pPr>
      <w:r w:rsidRPr="00322835">
        <w:rPr>
          <w:rFonts w:ascii="Arial" w:hAnsi="Arial" w:cs="Arial"/>
          <w:sz w:val="24"/>
          <w:szCs w:val="24"/>
        </w:rPr>
        <w:t>Convictions for drug-related criminal activity, especially drug possession, have also been described as too severe. Studies have found that some members of the public perceive sentences for drug-related offences as being too harsh and suggest that a leaner stance on drug-related offences would be accepted by the public (Jacobson, Kirby &amp; Hough, 2011). However, it could be argued that a leaner stance on crime could increase the prevalence of drug-related criminal activity due to that deterrent not being as effective</w:t>
      </w:r>
      <w:r w:rsidR="00224508">
        <w:rPr>
          <w:rFonts w:ascii="Arial" w:hAnsi="Arial" w:cs="Arial"/>
          <w:sz w:val="24"/>
          <w:szCs w:val="24"/>
        </w:rPr>
        <w:t xml:space="preserve"> (Johnson, 2019). </w:t>
      </w:r>
    </w:p>
    <w:p w14:paraId="49FE2040" w14:textId="091245BA" w:rsidR="00D668C1" w:rsidRPr="00322835" w:rsidRDefault="005303A6" w:rsidP="00322835">
      <w:pPr>
        <w:spacing w:line="480" w:lineRule="auto"/>
        <w:rPr>
          <w:rFonts w:ascii="Arial" w:hAnsi="Arial" w:cs="Arial"/>
          <w:sz w:val="24"/>
          <w:szCs w:val="24"/>
        </w:rPr>
      </w:pPr>
      <w:r w:rsidRPr="00322835">
        <w:rPr>
          <w:rFonts w:ascii="Arial" w:hAnsi="Arial" w:cs="Arial"/>
          <w:sz w:val="24"/>
          <w:szCs w:val="24"/>
        </w:rPr>
        <w:t xml:space="preserve">Fines that have been given as punishment for drug-related offences have </w:t>
      </w:r>
      <w:r w:rsidR="00D668C1" w:rsidRPr="00322835">
        <w:rPr>
          <w:rFonts w:ascii="Arial" w:hAnsi="Arial" w:cs="Arial"/>
          <w:sz w:val="24"/>
          <w:szCs w:val="24"/>
        </w:rPr>
        <w:t>been found to be an ineffective and</w:t>
      </w:r>
      <w:r w:rsidR="001C7284">
        <w:rPr>
          <w:rFonts w:ascii="Arial" w:hAnsi="Arial" w:cs="Arial"/>
          <w:sz w:val="24"/>
          <w:szCs w:val="24"/>
        </w:rPr>
        <w:t xml:space="preserve"> </w:t>
      </w:r>
      <w:r w:rsidR="00D668C1" w:rsidRPr="00322835">
        <w:rPr>
          <w:rFonts w:ascii="Arial" w:hAnsi="Arial" w:cs="Arial"/>
          <w:sz w:val="24"/>
          <w:szCs w:val="24"/>
        </w:rPr>
        <w:t>inefficient way to tackle crime</w:t>
      </w:r>
      <w:r w:rsidR="009A4E1D">
        <w:rPr>
          <w:rFonts w:ascii="Arial" w:hAnsi="Arial" w:cs="Arial"/>
          <w:sz w:val="24"/>
          <w:szCs w:val="24"/>
        </w:rPr>
        <w:t xml:space="preserve"> (Critelli &amp; </w:t>
      </w:r>
      <w:r w:rsidR="007505EB">
        <w:rPr>
          <w:rFonts w:ascii="Arial" w:hAnsi="Arial" w:cs="Arial"/>
          <w:sz w:val="24"/>
          <w:szCs w:val="24"/>
        </w:rPr>
        <w:t xml:space="preserve">Ceawford, 1980). </w:t>
      </w:r>
      <w:r w:rsidR="00D668C1" w:rsidRPr="00322835">
        <w:rPr>
          <w:rFonts w:ascii="Arial" w:hAnsi="Arial" w:cs="Arial"/>
          <w:sz w:val="24"/>
          <w:szCs w:val="24"/>
        </w:rPr>
        <w:t xml:space="preserve">Fines have </w:t>
      </w:r>
      <w:r w:rsidRPr="00322835">
        <w:rPr>
          <w:rFonts w:ascii="Arial" w:hAnsi="Arial" w:cs="Arial"/>
          <w:sz w:val="24"/>
          <w:szCs w:val="24"/>
        </w:rPr>
        <w:t xml:space="preserve">also been described as being inconceivably unjust. An unlimited fine can be given for a drug-related offence, </w:t>
      </w:r>
      <w:r w:rsidR="00D668C1" w:rsidRPr="00322835">
        <w:rPr>
          <w:rFonts w:ascii="Arial" w:hAnsi="Arial" w:cs="Arial"/>
          <w:sz w:val="24"/>
          <w:szCs w:val="24"/>
        </w:rPr>
        <w:t>and it has been argued that such punishment only affects the poor (Pager et al., 2022). Arguments have been made that fines should be based on income</w:t>
      </w:r>
      <w:r w:rsidR="00A77D15" w:rsidRPr="00322835">
        <w:rPr>
          <w:rFonts w:ascii="Arial" w:hAnsi="Arial" w:cs="Arial"/>
          <w:sz w:val="24"/>
          <w:szCs w:val="24"/>
        </w:rPr>
        <w:t xml:space="preserve"> and as such this would affect individuals equally whilst not </w:t>
      </w:r>
      <w:r w:rsidR="0040407A" w:rsidRPr="00322835">
        <w:rPr>
          <w:rFonts w:ascii="Arial" w:hAnsi="Arial" w:cs="Arial"/>
          <w:sz w:val="24"/>
          <w:szCs w:val="24"/>
        </w:rPr>
        <w:t>completely financially debilitating poorer individuals (Schierenbeck, 2018)</w:t>
      </w:r>
      <w:r w:rsidR="00454F67" w:rsidRPr="00322835">
        <w:rPr>
          <w:rFonts w:ascii="Arial" w:hAnsi="Arial" w:cs="Arial"/>
          <w:sz w:val="24"/>
          <w:szCs w:val="24"/>
        </w:rPr>
        <w:t>.</w:t>
      </w:r>
    </w:p>
    <w:p w14:paraId="02ABC41F" w14:textId="287DF64C" w:rsidR="00D668C1" w:rsidRPr="00322835" w:rsidRDefault="00D668C1" w:rsidP="00322835">
      <w:pPr>
        <w:spacing w:line="480" w:lineRule="auto"/>
        <w:rPr>
          <w:rFonts w:ascii="Arial" w:hAnsi="Arial" w:cs="Arial"/>
          <w:sz w:val="24"/>
          <w:szCs w:val="24"/>
        </w:rPr>
      </w:pPr>
      <w:r w:rsidRPr="00322835">
        <w:rPr>
          <w:rFonts w:ascii="Arial" w:hAnsi="Arial" w:cs="Arial"/>
          <w:sz w:val="24"/>
          <w:szCs w:val="24"/>
        </w:rPr>
        <w:t>Drug-related legislation has also provided law enforcement entities with more powe</w:t>
      </w:r>
      <w:r w:rsidR="00A2358E" w:rsidRPr="00322835">
        <w:rPr>
          <w:rFonts w:ascii="Arial" w:hAnsi="Arial" w:cs="Arial"/>
          <w:sz w:val="24"/>
          <w:szCs w:val="24"/>
        </w:rPr>
        <w:t>rs, such as the ability to conduct stop and searches</w:t>
      </w:r>
      <w:r w:rsidR="003B6160" w:rsidRPr="00322835">
        <w:rPr>
          <w:rFonts w:ascii="Arial" w:hAnsi="Arial" w:cs="Arial"/>
          <w:sz w:val="24"/>
          <w:szCs w:val="24"/>
        </w:rPr>
        <w:t xml:space="preserve">. </w:t>
      </w:r>
      <w:r w:rsidRPr="00322835">
        <w:rPr>
          <w:rFonts w:ascii="Arial" w:hAnsi="Arial" w:cs="Arial"/>
          <w:sz w:val="24"/>
          <w:szCs w:val="24"/>
        </w:rPr>
        <w:t xml:space="preserve">Statistics show that there were 210, 535 arrests for drug offences in 2020/2021 </w:t>
      </w:r>
      <w:r w:rsidR="006A193A" w:rsidRPr="00322835">
        <w:rPr>
          <w:rFonts w:ascii="Arial" w:hAnsi="Arial" w:cs="Arial"/>
          <w:sz w:val="24"/>
          <w:szCs w:val="24"/>
        </w:rPr>
        <w:t>which could indicate that</w:t>
      </w:r>
      <w:r w:rsidR="002865D3">
        <w:rPr>
          <w:rFonts w:ascii="Arial" w:hAnsi="Arial" w:cs="Arial"/>
          <w:sz w:val="24"/>
          <w:szCs w:val="24"/>
        </w:rPr>
        <w:t xml:space="preserve"> current</w:t>
      </w:r>
      <w:r w:rsidR="006A193A" w:rsidRPr="00322835">
        <w:rPr>
          <w:rFonts w:ascii="Arial" w:hAnsi="Arial" w:cs="Arial"/>
          <w:sz w:val="24"/>
          <w:szCs w:val="24"/>
        </w:rPr>
        <w:t xml:space="preserve"> police powers are effective in tackling crime</w:t>
      </w:r>
      <w:r w:rsidR="003E465E" w:rsidRPr="00322835">
        <w:rPr>
          <w:rFonts w:ascii="Arial" w:hAnsi="Arial" w:cs="Arial"/>
          <w:sz w:val="24"/>
          <w:szCs w:val="24"/>
        </w:rPr>
        <w:t xml:space="preserve"> (Clark, 2022). </w:t>
      </w:r>
      <w:r w:rsidR="006A193A" w:rsidRPr="00322835">
        <w:rPr>
          <w:rFonts w:ascii="Arial" w:hAnsi="Arial" w:cs="Arial"/>
          <w:sz w:val="24"/>
          <w:szCs w:val="24"/>
        </w:rPr>
        <w:t xml:space="preserve">However, statistics </w:t>
      </w:r>
      <w:r w:rsidR="006A193A" w:rsidRPr="00322835">
        <w:rPr>
          <w:rFonts w:ascii="Arial" w:hAnsi="Arial" w:cs="Arial"/>
          <w:sz w:val="24"/>
          <w:szCs w:val="24"/>
        </w:rPr>
        <w:lastRenderedPageBreak/>
        <w:t>also show that from 64,</w:t>
      </w:r>
      <w:r w:rsidR="003E465E" w:rsidRPr="00322835">
        <w:rPr>
          <w:rFonts w:ascii="Arial" w:hAnsi="Arial" w:cs="Arial"/>
          <w:sz w:val="24"/>
          <w:szCs w:val="24"/>
        </w:rPr>
        <w:t xml:space="preserve"> </w:t>
      </w:r>
      <w:r w:rsidR="006A193A" w:rsidRPr="00322835">
        <w:rPr>
          <w:rFonts w:ascii="Arial" w:hAnsi="Arial" w:cs="Arial"/>
          <w:sz w:val="24"/>
          <w:szCs w:val="24"/>
        </w:rPr>
        <w:t>409 stop and searches carried out from October 2022 to March 2023, only 28% had a police outcome which would suggest that stop and searches are not an efficient and effective way to tackle drug crime</w:t>
      </w:r>
      <w:r w:rsidR="00A75901" w:rsidRPr="00322835">
        <w:rPr>
          <w:rFonts w:ascii="Arial" w:hAnsi="Arial" w:cs="Arial"/>
          <w:sz w:val="24"/>
          <w:szCs w:val="24"/>
        </w:rPr>
        <w:t xml:space="preserve"> (Police.UK, 2023</w:t>
      </w:r>
      <w:r w:rsidR="006A193A" w:rsidRPr="00322835">
        <w:rPr>
          <w:rFonts w:ascii="Arial" w:hAnsi="Arial" w:cs="Arial"/>
          <w:sz w:val="24"/>
          <w:szCs w:val="24"/>
        </w:rPr>
        <w:t>. T</w:t>
      </w:r>
      <w:r w:rsidRPr="00322835">
        <w:rPr>
          <w:rFonts w:ascii="Arial" w:hAnsi="Arial" w:cs="Arial"/>
          <w:sz w:val="24"/>
          <w:szCs w:val="24"/>
        </w:rPr>
        <w:t xml:space="preserve">here have been severe criticisms of the stop-and-search procedure, with studies </w:t>
      </w:r>
      <w:r w:rsidR="006A193A" w:rsidRPr="00322835">
        <w:rPr>
          <w:rFonts w:ascii="Arial" w:hAnsi="Arial" w:cs="Arial"/>
          <w:sz w:val="24"/>
          <w:szCs w:val="24"/>
        </w:rPr>
        <w:t xml:space="preserve">finding </w:t>
      </w:r>
      <w:r w:rsidRPr="00322835">
        <w:rPr>
          <w:rFonts w:ascii="Arial" w:hAnsi="Arial" w:cs="Arial"/>
          <w:sz w:val="24"/>
          <w:szCs w:val="24"/>
        </w:rPr>
        <w:t xml:space="preserve">that </w:t>
      </w:r>
      <w:r w:rsidR="006A193A" w:rsidRPr="00322835">
        <w:rPr>
          <w:rFonts w:ascii="Arial" w:hAnsi="Arial" w:cs="Arial"/>
          <w:sz w:val="24"/>
          <w:szCs w:val="24"/>
        </w:rPr>
        <w:t xml:space="preserve">some </w:t>
      </w:r>
      <w:r w:rsidRPr="00322835">
        <w:rPr>
          <w:rFonts w:ascii="Arial" w:hAnsi="Arial" w:cs="Arial"/>
          <w:sz w:val="24"/>
          <w:szCs w:val="24"/>
        </w:rPr>
        <w:t>stop-and-searches conducted by police officers are racially or religiously motivated</w:t>
      </w:r>
      <w:r w:rsidR="006A193A" w:rsidRPr="00322835">
        <w:rPr>
          <w:rFonts w:ascii="Arial" w:hAnsi="Arial" w:cs="Arial"/>
          <w:sz w:val="24"/>
          <w:szCs w:val="24"/>
        </w:rPr>
        <w:t xml:space="preserve"> (Waddington, 2004)</w:t>
      </w:r>
      <w:r w:rsidRPr="00322835">
        <w:rPr>
          <w:rFonts w:ascii="Arial" w:hAnsi="Arial" w:cs="Arial"/>
          <w:sz w:val="24"/>
          <w:szCs w:val="24"/>
        </w:rPr>
        <w:t>. Moreover</w:t>
      </w:r>
      <w:r w:rsidR="006B3A0A" w:rsidRPr="00322835">
        <w:rPr>
          <w:rFonts w:ascii="Arial" w:hAnsi="Arial" w:cs="Arial"/>
          <w:sz w:val="24"/>
          <w:szCs w:val="24"/>
        </w:rPr>
        <w:t xml:space="preserve">, it has also been </w:t>
      </w:r>
      <w:r w:rsidRPr="00322835">
        <w:rPr>
          <w:rFonts w:ascii="Arial" w:hAnsi="Arial" w:cs="Arial"/>
          <w:sz w:val="24"/>
          <w:szCs w:val="24"/>
        </w:rPr>
        <w:t xml:space="preserve">found that stop and searches can do more harm than good. </w:t>
      </w:r>
      <w:r w:rsidR="006B3A0A" w:rsidRPr="00322835">
        <w:rPr>
          <w:rFonts w:ascii="Arial" w:hAnsi="Arial" w:cs="Arial"/>
          <w:sz w:val="24"/>
          <w:szCs w:val="24"/>
        </w:rPr>
        <w:t xml:space="preserve">Stop and searches have been found to cause damage to the </w:t>
      </w:r>
      <w:r w:rsidR="00B8622D" w:rsidRPr="00322835">
        <w:rPr>
          <w:rFonts w:ascii="Arial" w:hAnsi="Arial" w:cs="Arial"/>
          <w:sz w:val="24"/>
          <w:szCs w:val="24"/>
        </w:rPr>
        <w:t>public</w:t>
      </w:r>
      <w:r w:rsidR="006B3A0A" w:rsidRPr="00322835">
        <w:rPr>
          <w:rFonts w:ascii="Arial" w:hAnsi="Arial" w:cs="Arial"/>
          <w:sz w:val="24"/>
          <w:szCs w:val="24"/>
        </w:rPr>
        <w:t xml:space="preserve"> perception of the police when used incorrectly </w:t>
      </w:r>
      <w:r w:rsidRPr="00322835">
        <w:rPr>
          <w:rFonts w:ascii="Arial" w:hAnsi="Arial" w:cs="Arial"/>
          <w:sz w:val="24"/>
          <w:szCs w:val="24"/>
        </w:rPr>
        <w:t>and can lead to a general mistrust of the police force</w:t>
      </w:r>
      <w:r w:rsidR="006B3A0A" w:rsidRPr="00322835">
        <w:rPr>
          <w:rFonts w:ascii="Arial" w:hAnsi="Arial" w:cs="Arial"/>
          <w:sz w:val="24"/>
          <w:szCs w:val="24"/>
        </w:rPr>
        <w:t xml:space="preserve"> (HMICRFS, 2021). </w:t>
      </w:r>
    </w:p>
    <w:p w14:paraId="7EF593B5" w14:textId="4B901BA4" w:rsidR="00395656" w:rsidRPr="00322835" w:rsidRDefault="00E10EB7" w:rsidP="00322835">
      <w:pPr>
        <w:spacing w:line="480" w:lineRule="auto"/>
        <w:rPr>
          <w:rFonts w:ascii="Arial" w:hAnsi="Arial" w:cs="Arial"/>
          <w:sz w:val="24"/>
          <w:szCs w:val="24"/>
        </w:rPr>
      </w:pPr>
      <w:r w:rsidRPr="00322835">
        <w:rPr>
          <w:rFonts w:ascii="Arial" w:hAnsi="Arial" w:cs="Arial"/>
          <w:sz w:val="24"/>
          <w:szCs w:val="24"/>
        </w:rPr>
        <w:t xml:space="preserve">Anti-drug campaigns have also been utilised in a bid to help decrease the amount of drug-related crime. Anti-drug campaigns have been utilised by the government in order to ensure that drug-related crimes are being tackled effectively, to ensure that the public is safe from the effects of illegal drugs, to ensure that support services are in place to aid addicts and ensure that people understand the detrimental effects that drugs can have (Drug wise, 1995). Anti-drug campaigns have had a mixture of praise and criticism. The UK’s “Tackling drugs together campaign was met with praise from multiple political parties, with the initiative being described as a successful coordinated approach to a difficult issue (UK Government, 1998). Moreover, it has also been found that campaigns that aim to educate adolescents are cost-effective tools to improve public health and to help in the effort to tackle the illegal drug epidemic (Caulkins et al., 2002). </w:t>
      </w:r>
    </w:p>
    <w:p w14:paraId="3E068AFA" w14:textId="07EFF452" w:rsidR="00E10EB7" w:rsidRPr="00322835" w:rsidRDefault="00E10EB7" w:rsidP="00322835">
      <w:pPr>
        <w:spacing w:line="480" w:lineRule="auto"/>
        <w:rPr>
          <w:rFonts w:ascii="Arial" w:hAnsi="Arial" w:cs="Arial"/>
          <w:sz w:val="24"/>
          <w:szCs w:val="24"/>
        </w:rPr>
      </w:pPr>
      <w:r w:rsidRPr="00322835">
        <w:rPr>
          <w:rFonts w:ascii="Arial" w:hAnsi="Arial" w:cs="Arial"/>
          <w:sz w:val="24"/>
          <w:szCs w:val="24"/>
        </w:rPr>
        <w:t xml:space="preserve">However, there is also evidence to suggest that such campaigns are ineffective and a waste of resources (Allara et al., 2015). Moreover, there is also evidence to suggest that the scare tactics utilised in campaigns are ineffective and will not produce the desired results (Soames Job, 1988). There is also a degree of evidence </w:t>
      </w:r>
      <w:r w:rsidRPr="00322835">
        <w:rPr>
          <w:rFonts w:ascii="Arial" w:hAnsi="Arial" w:cs="Arial"/>
          <w:sz w:val="24"/>
          <w:szCs w:val="24"/>
        </w:rPr>
        <w:lastRenderedPageBreak/>
        <w:t xml:space="preserve">that shows that anti-drug campaigns can have the opposite of the intended aim. Studies have shown that anti-drug campaigns that are targeted at adolescents are unlikely to produce any of the intended effects and can also increase the likelihood of an adolescent taking an illegal substance (Hornik et al., 2008). Statistics </w:t>
      </w:r>
      <w:r w:rsidR="006C1853">
        <w:rPr>
          <w:rFonts w:ascii="Arial" w:hAnsi="Arial" w:cs="Arial"/>
          <w:sz w:val="24"/>
          <w:szCs w:val="24"/>
        </w:rPr>
        <w:t xml:space="preserve">would also back up the point that historically, </w:t>
      </w:r>
      <w:r w:rsidR="00FD4A84">
        <w:rPr>
          <w:rFonts w:ascii="Arial" w:hAnsi="Arial" w:cs="Arial"/>
          <w:sz w:val="24"/>
          <w:szCs w:val="24"/>
        </w:rPr>
        <w:t xml:space="preserve">campaigns have been found to be failures. </w:t>
      </w:r>
      <w:r w:rsidR="005A0BF4">
        <w:rPr>
          <w:rFonts w:ascii="Arial" w:hAnsi="Arial" w:cs="Arial"/>
          <w:sz w:val="24"/>
          <w:szCs w:val="24"/>
        </w:rPr>
        <w:t>T</w:t>
      </w:r>
      <w:r w:rsidRPr="00322835">
        <w:rPr>
          <w:rFonts w:ascii="Arial" w:hAnsi="Arial" w:cs="Arial"/>
          <w:sz w:val="24"/>
          <w:szCs w:val="24"/>
        </w:rPr>
        <w:t xml:space="preserve">he </w:t>
      </w:r>
      <w:r w:rsidR="00401E42">
        <w:rPr>
          <w:rFonts w:ascii="Arial" w:hAnsi="Arial" w:cs="Arial"/>
          <w:sz w:val="24"/>
          <w:szCs w:val="24"/>
        </w:rPr>
        <w:t>Tackling</w:t>
      </w:r>
      <w:r w:rsidRPr="00322835">
        <w:rPr>
          <w:rFonts w:ascii="Arial" w:hAnsi="Arial" w:cs="Arial"/>
          <w:sz w:val="24"/>
          <w:szCs w:val="24"/>
        </w:rPr>
        <w:t xml:space="preserve"> </w:t>
      </w:r>
      <w:r w:rsidR="00401E42">
        <w:rPr>
          <w:rFonts w:ascii="Arial" w:hAnsi="Arial" w:cs="Arial"/>
          <w:sz w:val="24"/>
          <w:szCs w:val="24"/>
        </w:rPr>
        <w:t>D</w:t>
      </w:r>
      <w:r w:rsidRPr="00322835">
        <w:rPr>
          <w:rFonts w:ascii="Arial" w:hAnsi="Arial" w:cs="Arial"/>
          <w:sz w:val="24"/>
          <w:szCs w:val="24"/>
        </w:rPr>
        <w:t xml:space="preserve">rugs </w:t>
      </w:r>
      <w:r w:rsidR="00401E42">
        <w:rPr>
          <w:rFonts w:ascii="Arial" w:hAnsi="Arial" w:cs="Arial"/>
          <w:sz w:val="24"/>
          <w:szCs w:val="24"/>
        </w:rPr>
        <w:t>T</w:t>
      </w:r>
      <w:r w:rsidRPr="00322835">
        <w:rPr>
          <w:rFonts w:ascii="Arial" w:hAnsi="Arial" w:cs="Arial"/>
          <w:sz w:val="24"/>
          <w:szCs w:val="24"/>
        </w:rPr>
        <w:t>ogether campaign was launched in 1995 and since then the number of individuals who have taken an illegal substance has increased exponentially, which indicates that the campaign did not have the desired effect (ONS, 2020; ONS, 2022).</w:t>
      </w:r>
    </w:p>
    <w:p w14:paraId="00C8A04F" w14:textId="227E7E88" w:rsidR="00395656" w:rsidRPr="00322835" w:rsidRDefault="00395656" w:rsidP="00322835">
      <w:pPr>
        <w:spacing w:line="480" w:lineRule="auto"/>
        <w:rPr>
          <w:rFonts w:ascii="Arial" w:hAnsi="Arial" w:cs="Arial"/>
          <w:sz w:val="24"/>
          <w:szCs w:val="24"/>
        </w:rPr>
      </w:pPr>
      <w:r w:rsidRPr="00322835">
        <w:rPr>
          <w:rFonts w:ascii="Arial" w:hAnsi="Arial" w:cs="Arial"/>
          <w:sz w:val="24"/>
          <w:szCs w:val="24"/>
        </w:rPr>
        <w:t>The failures of the current tactics used to tackle illegal drug activity and the failures of the war on drugs as a whole have meant that there have been calls for the government to explore alternative methods to help combat illegal drug activity (Holland, 2020).</w:t>
      </w:r>
    </w:p>
    <w:p w14:paraId="5D2537DF" w14:textId="623AC7F3" w:rsidR="00395656" w:rsidRPr="00322835" w:rsidRDefault="007D4F90" w:rsidP="00322835">
      <w:pPr>
        <w:spacing w:line="480" w:lineRule="auto"/>
        <w:rPr>
          <w:rFonts w:ascii="Arial" w:hAnsi="Arial" w:cs="Arial"/>
          <w:sz w:val="24"/>
          <w:szCs w:val="24"/>
        </w:rPr>
      </w:pPr>
      <w:r w:rsidRPr="00322835">
        <w:rPr>
          <w:rFonts w:ascii="Arial" w:hAnsi="Arial" w:cs="Arial"/>
          <w:sz w:val="24"/>
          <w:szCs w:val="24"/>
        </w:rPr>
        <w:t xml:space="preserve">One such method that has been proposed is the legalisation or decriminalisation of illegal substances. Through the legalisation or decriminalisation of illegal substances, it has been claimed that criminal activity would diminish </w:t>
      </w:r>
      <w:r w:rsidR="00A00D01" w:rsidRPr="00322835">
        <w:rPr>
          <w:rFonts w:ascii="Arial" w:hAnsi="Arial" w:cs="Arial"/>
          <w:sz w:val="24"/>
          <w:szCs w:val="24"/>
        </w:rPr>
        <w:t xml:space="preserve">as well as the </w:t>
      </w:r>
      <w:r w:rsidRPr="00322835">
        <w:rPr>
          <w:rFonts w:ascii="Arial" w:hAnsi="Arial" w:cs="Arial"/>
          <w:sz w:val="24"/>
          <w:szCs w:val="24"/>
        </w:rPr>
        <w:t xml:space="preserve">illicit drug black market (Duke, 1998; Chand, 2007). Moreover, Portugal </w:t>
      </w:r>
      <w:r w:rsidR="00FD4A84">
        <w:rPr>
          <w:rFonts w:ascii="Arial" w:hAnsi="Arial" w:cs="Arial"/>
          <w:sz w:val="24"/>
          <w:szCs w:val="24"/>
        </w:rPr>
        <w:t>has</w:t>
      </w:r>
      <w:r w:rsidRPr="00322835">
        <w:rPr>
          <w:rFonts w:ascii="Arial" w:hAnsi="Arial" w:cs="Arial"/>
          <w:sz w:val="24"/>
          <w:szCs w:val="24"/>
        </w:rPr>
        <w:t xml:space="preserve"> already decriminalised illegal substances and ha</w:t>
      </w:r>
      <w:r w:rsidR="00C33AB8" w:rsidRPr="00322835">
        <w:rPr>
          <w:rFonts w:ascii="Arial" w:hAnsi="Arial" w:cs="Arial"/>
          <w:sz w:val="24"/>
          <w:szCs w:val="24"/>
        </w:rPr>
        <w:t>s</w:t>
      </w:r>
      <w:r w:rsidRPr="00322835">
        <w:rPr>
          <w:rFonts w:ascii="Arial" w:hAnsi="Arial" w:cs="Arial"/>
          <w:sz w:val="24"/>
          <w:szCs w:val="24"/>
        </w:rPr>
        <w:t xml:space="preserve"> seen a drastic reduction in drug-related criminal activity</w:t>
      </w:r>
      <w:r w:rsidR="00013EE4" w:rsidRPr="00322835">
        <w:rPr>
          <w:rFonts w:ascii="Arial" w:hAnsi="Arial" w:cs="Arial"/>
          <w:sz w:val="24"/>
          <w:szCs w:val="24"/>
        </w:rPr>
        <w:t xml:space="preserve"> and </w:t>
      </w:r>
      <w:r w:rsidRPr="00322835">
        <w:rPr>
          <w:rFonts w:ascii="Arial" w:hAnsi="Arial" w:cs="Arial"/>
          <w:sz w:val="24"/>
          <w:szCs w:val="24"/>
        </w:rPr>
        <w:t xml:space="preserve">currently has one of the lowest rates of drug-related deaths in Europe (Transform, 2021). Because of this, it could be theorised that </w:t>
      </w:r>
      <w:r w:rsidR="00E95D4E" w:rsidRPr="00322835">
        <w:rPr>
          <w:rFonts w:ascii="Arial" w:hAnsi="Arial" w:cs="Arial"/>
          <w:sz w:val="24"/>
          <w:szCs w:val="24"/>
        </w:rPr>
        <w:t>with a</w:t>
      </w:r>
      <w:r w:rsidRPr="00322835">
        <w:rPr>
          <w:rFonts w:ascii="Arial" w:hAnsi="Arial" w:cs="Arial"/>
          <w:sz w:val="24"/>
          <w:szCs w:val="24"/>
        </w:rPr>
        <w:t xml:space="preserve"> full legalisation of illegal substances, drug rates could fall considerably due to the substances being able to be regulated and so no unknown, harmful ingredients can be added. The legalisation of illegal drugs has also been argued to be, not only an effective solution to drug-related criminal activity but also a </w:t>
      </w:r>
      <w:r w:rsidR="003D7814" w:rsidRPr="00322835">
        <w:rPr>
          <w:rFonts w:ascii="Arial" w:hAnsi="Arial" w:cs="Arial"/>
          <w:sz w:val="24"/>
          <w:szCs w:val="24"/>
        </w:rPr>
        <w:t xml:space="preserve">reliable </w:t>
      </w:r>
      <w:r w:rsidRPr="00322835">
        <w:rPr>
          <w:rFonts w:ascii="Arial" w:hAnsi="Arial" w:cs="Arial"/>
          <w:sz w:val="24"/>
          <w:szCs w:val="24"/>
        </w:rPr>
        <w:t xml:space="preserve">source of revenue for governments. In America, where some states have legalised marijuana, </w:t>
      </w:r>
      <w:r w:rsidRPr="00322835">
        <w:rPr>
          <w:rFonts w:ascii="Arial" w:hAnsi="Arial" w:cs="Arial"/>
          <w:sz w:val="24"/>
          <w:szCs w:val="24"/>
        </w:rPr>
        <w:lastRenderedPageBreak/>
        <w:t>10 states collected $2.7 Billion in cannabis tax between them in 2020 (Marijuana Policy Project, 2022).</w:t>
      </w:r>
    </w:p>
    <w:p w14:paraId="2F03D142" w14:textId="1EFC74D0" w:rsidR="00B8622D" w:rsidRPr="00322835" w:rsidRDefault="00283EE6" w:rsidP="00322835">
      <w:pPr>
        <w:spacing w:line="480" w:lineRule="auto"/>
        <w:rPr>
          <w:rFonts w:ascii="Arial" w:hAnsi="Arial" w:cs="Arial"/>
          <w:sz w:val="24"/>
          <w:szCs w:val="24"/>
        </w:rPr>
      </w:pPr>
      <w:r w:rsidRPr="00322835">
        <w:rPr>
          <w:rFonts w:ascii="Arial" w:hAnsi="Arial" w:cs="Arial"/>
          <w:sz w:val="24"/>
          <w:szCs w:val="24"/>
        </w:rPr>
        <w:t xml:space="preserve">However, legalising illegal substances has </w:t>
      </w:r>
      <w:r w:rsidR="00396167">
        <w:rPr>
          <w:rFonts w:ascii="Arial" w:hAnsi="Arial" w:cs="Arial"/>
          <w:sz w:val="24"/>
          <w:szCs w:val="24"/>
        </w:rPr>
        <w:t xml:space="preserve">also </w:t>
      </w:r>
      <w:r w:rsidRPr="00322835">
        <w:rPr>
          <w:rFonts w:ascii="Arial" w:hAnsi="Arial" w:cs="Arial"/>
          <w:sz w:val="24"/>
          <w:szCs w:val="24"/>
        </w:rPr>
        <w:t xml:space="preserve">been met with scepticism and scrutiny.  Some studies have theorised that the legalisation of illegal substances could create more addicts due to the substances being more accessible (Cerdá et al., 2020). Moreover, it could also be argued that the legalisation of illegal drugs could also make the current opioid crisis significantly worse and cause a significant increase in deaths. </w:t>
      </w:r>
      <w:r w:rsidR="004A3C9D" w:rsidRPr="00322835">
        <w:rPr>
          <w:rFonts w:ascii="Arial" w:hAnsi="Arial" w:cs="Arial"/>
          <w:sz w:val="24"/>
          <w:szCs w:val="24"/>
        </w:rPr>
        <w:t xml:space="preserve">The legalisation of illegal drugs could also </w:t>
      </w:r>
      <w:r w:rsidRPr="00322835">
        <w:rPr>
          <w:rFonts w:ascii="Arial" w:hAnsi="Arial" w:cs="Arial"/>
          <w:sz w:val="24"/>
          <w:szCs w:val="24"/>
        </w:rPr>
        <w:t>cause drug tourism in the UK. Drug tourism might not necessarily have a negative impact</w:t>
      </w:r>
      <w:r w:rsidR="00D60B4F" w:rsidRPr="00322835">
        <w:rPr>
          <w:rFonts w:ascii="Arial" w:hAnsi="Arial" w:cs="Arial"/>
          <w:sz w:val="24"/>
          <w:szCs w:val="24"/>
        </w:rPr>
        <w:t>, but there is a</w:t>
      </w:r>
      <w:r w:rsidRPr="00322835">
        <w:rPr>
          <w:rFonts w:ascii="Arial" w:hAnsi="Arial" w:cs="Arial"/>
          <w:sz w:val="24"/>
          <w:szCs w:val="24"/>
        </w:rPr>
        <w:t xml:space="preserve"> chance that drug tourism could cause a significant increase in drug-related criminal activity (Flaherty et al., 2017).</w:t>
      </w:r>
    </w:p>
    <w:p w14:paraId="508A79E8" w14:textId="64B9A7B0" w:rsidR="00283EE6" w:rsidRPr="00322835" w:rsidRDefault="008C7584" w:rsidP="00322835">
      <w:pPr>
        <w:spacing w:line="480" w:lineRule="auto"/>
        <w:rPr>
          <w:rFonts w:ascii="Arial" w:hAnsi="Arial" w:cs="Arial"/>
          <w:sz w:val="24"/>
          <w:szCs w:val="24"/>
        </w:rPr>
      </w:pPr>
      <w:r w:rsidRPr="00322835">
        <w:rPr>
          <w:rFonts w:ascii="Arial" w:hAnsi="Arial" w:cs="Arial"/>
          <w:sz w:val="24"/>
          <w:szCs w:val="24"/>
        </w:rPr>
        <w:t xml:space="preserve">Drug consumption rooms have also been proposed to help in the fight against drug-related criminal activity. Drug consumption rooms essentially provide a safe haven for addicts where they are able to take or inject illegal substances free from judgement (EMDCA, 2018; Tran et al., 2021). Drug consumption rooms also have medically trained staff available to ensure that individuals remain safe whilst under the influence of substances (EMDCA, 2018; Tran et al., 2021). Studies have shown that drug consumption rooms are effective and do account for a lower instance of drug-related mortality by preventing overdoses (Tran et al., 2021). There is also some degree of evidence that would suggest that consumption rooms also reduce the amount of drug-related crime </w:t>
      </w:r>
      <w:r w:rsidR="008474CB" w:rsidRPr="00322835">
        <w:rPr>
          <w:rFonts w:ascii="Arial" w:hAnsi="Arial" w:cs="Arial"/>
          <w:sz w:val="24"/>
          <w:szCs w:val="24"/>
        </w:rPr>
        <w:t>(</w:t>
      </w:r>
      <w:r w:rsidRPr="00322835">
        <w:rPr>
          <w:rFonts w:ascii="Arial" w:hAnsi="Arial" w:cs="Arial"/>
          <w:sz w:val="24"/>
          <w:szCs w:val="24"/>
        </w:rPr>
        <w:t>EMDCA, 2018; Tran et al., 2021</w:t>
      </w:r>
      <w:r w:rsidR="008474CB" w:rsidRPr="00322835">
        <w:rPr>
          <w:rFonts w:ascii="Arial" w:hAnsi="Arial" w:cs="Arial"/>
          <w:sz w:val="24"/>
          <w:szCs w:val="24"/>
        </w:rPr>
        <w:t>).</w:t>
      </w:r>
    </w:p>
    <w:p w14:paraId="267ED2B3" w14:textId="3D14C117" w:rsidR="00D668C1" w:rsidRPr="00322835" w:rsidRDefault="00AA6D6E" w:rsidP="00322835">
      <w:pPr>
        <w:spacing w:line="480" w:lineRule="auto"/>
        <w:rPr>
          <w:rFonts w:ascii="Arial" w:hAnsi="Arial" w:cs="Arial"/>
          <w:sz w:val="24"/>
          <w:szCs w:val="24"/>
        </w:rPr>
      </w:pPr>
      <w:r w:rsidRPr="00322835">
        <w:rPr>
          <w:rFonts w:ascii="Arial" w:hAnsi="Arial" w:cs="Arial"/>
          <w:sz w:val="24"/>
          <w:szCs w:val="24"/>
        </w:rPr>
        <w:t xml:space="preserve">However, there have also been multiple criticisms of the use of drug-consumption rooms. Although studies have found that such facilities reduce crime (May, 2017; (Kennedy et al., 2017), it could be argued that instead of reducing crime, they are </w:t>
      </w:r>
      <w:r w:rsidRPr="00322835">
        <w:rPr>
          <w:rFonts w:ascii="Arial" w:hAnsi="Arial" w:cs="Arial"/>
          <w:sz w:val="24"/>
          <w:szCs w:val="24"/>
        </w:rPr>
        <w:lastRenderedPageBreak/>
        <w:t xml:space="preserve">actively relocating the instances of crime to the surrounding communities near the facilities. Drug consumption rooms could also be criticised for encouraging drug use. It could be argued that to due individuals being able to freely use illegal drugs in such facilities without consequence, then this could be seen as actively promoting and encouraging illegal drug use.  </w:t>
      </w:r>
    </w:p>
    <w:p w14:paraId="1AE6993D" w14:textId="6282492F" w:rsidR="007D291E" w:rsidRPr="00322835" w:rsidRDefault="00AA6D6E" w:rsidP="00322835">
      <w:pPr>
        <w:spacing w:line="480" w:lineRule="auto"/>
        <w:rPr>
          <w:rFonts w:ascii="Arial" w:hAnsi="Arial" w:cs="Arial"/>
          <w:sz w:val="24"/>
          <w:szCs w:val="24"/>
        </w:rPr>
      </w:pPr>
      <w:r w:rsidRPr="00322835">
        <w:rPr>
          <w:rFonts w:ascii="Arial" w:hAnsi="Arial" w:cs="Arial"/>
          <w:sz w:val="24"/>
          <w:szCs w:val="24"/>
        </w:rPr>
        <w:t>I</w:t>
      </w:r>
      <w:r w:rsidR="00942279" w:rsidRPr="00322835">
        <w:rPr>
          <w:rFonts w:ascii="Arial" w:hAnsi="Arial" w:cs="Arial"/>
          <w:sz w:val="24"/>
          <w:szCs w:val="24"/>
        </w:rPr>
        <w:t xml:space="preserve">n conclusion, statistics have shown that the war on drugs, and the current methods used to combat illegal drugs are failing and the illegal drug epidemic remains an ever-increasing problem. The alternative solutions mentioned have had considerable supporting evidence, but they themselves have also been found to have their own limitations and weaknesses. However, due to the considerable amount of supporting evidence, and the failure of current methods, strong consideration should be given to implementing these </w:t>
      </w:r>
      <w:r w:rsidR="001F58B6">
        <w:rPr>
          <w:rFonts w:ascii="Arial" w:hAnsi="Arial" w:cs="Arial"/>
          <w:sz w:val="24"/>
          <w:szCs w:val="24"/>
        </w:rPr>
        <w:t xml:space="preserve">alternative </w:t>
      </w:r>
      <w:r w:rsidR="00942279" w:rsidRPr="00322835">
        <w:rPr>
          <w:rFonts w:ascii="Arial" w:hAnsi="Arial" w:cs="Arial"/>
          <w:sz w:val="24"/>
          <w:szCs w:val="24"/>
        </w:rPr>
        <w:t>methods.</w:t>
      </w:r>
    </w:p>
    <w:p w14:paraId="68A4F979" w14:textId="77777777" w:rsidR="00D8007F" w:rsidRDefault="00D8007F" w:rsidP="00320B08"/>
    <w:p w14:paraId="4CE9AE36" w14:textId="77777777" w:rsidR="00D8007F" w:rsidRDefault="00D8007F" w:rsidP="00320B08"/>
    <w:p w14:paraId="4880C466" w14:textId="77777777" w:rsidR="00D8007F" w:rsidRDefault="00D8007F" w:rsidP="00320B08"/>
    <w:p w14:paraId="5D3B4A1A" w14:textId="77777777" w:rsidR="00D8007F" w:rsidRDefault="00D8007F" w:rsidP="00320B08"/>
    <w:p w14:paraId="1C2EF9C3" w14:textId="77777777" w:rsidR="00D8007F" w:rsidRDefault="00D8007F" w:rsidP="00320B08"/>
    <w:p w14:paraId="4ACF928B" w14:textId="77777777" w:rsidR="00D8007F" w:rsidRDefault="00D8007F" w:rsidP="00320B08"/>
    <w:p w14:paraId="5EA5DBA8" w14:textId="77777777" w:rsidR="00D8007F" w:rsidRDefault="00D8007F" w:rsidP="00320B08"/>
    <w:p w14:paraId="46234E2A" w14:textId="77777777" w:rsidR="00D8007F" w:rsidRDefault="00D8007F" w:rsidP="00320B08"/>
    <w:p w14:paraId="1D60F94A" w14:textId="77777777" w:rsidR="00D8007F" w:rsidRDefault="00D8007F" w:rsidP="00320B08"/>
    <w:p w14:paraId="6E3FD539" w14:textId="77777777" w:rsidR="00D8007F" w:rsidRDefault="00D8007F" w:rsidP="00320B08"/>
    <w:p w14:paraId="401D588C" w14:textId="77777777" w:rsidR="00D8007F" w:rsidRDefault="00D8007F" w:rsidP="00320B08"/>
    <w:p w14:paraId="68C14697" w14:textId="77777777" w:rsidR="00322835" w:rsidRDefault="00322835" w:rsidP="00320B08"/>
    <w:p w14:paraId="61D5C9D6" w14:textId="77777777" w:rsidR="00640541" w:rsidRDefault="00640541" w:rsidP="00320B08"/>
    <w:p w14:paraId="4434432E" w14:textId="77777777" w:rsidR="00640541" w:rsidRDefault="00640541" w:rsidP="00320B08"/>
    <w:p w14:paraId="7C8C0014" w14:textId="77777777" w:rsidR="00812564" w:rsidRDefault="00812564" w:rsidP="00320B08"/>
    <w:p w14:paraId="1FC11BD8" w14:textId="357C4C68" w:rsidR="00A75901" w:rsidRPr="00322835" w:rsidRDefault="00A75901" w:rsidP="00320B08">
      <w:pPr>
        <w:rPr>
          <w:rFonts w:ascii="Arial" w:hAnsi="Arial" w:cs="Arial"/>
          <w:sz w:val="24"/>
          <w:szCs w:val="24"/>
        </w:rPr>
      </w:pPr>
      <w:r w:rsidRPr="00322835">
        <w:rPr>
          <w:rFonts w:ascii="Arial" w:hAnsi="Arial" w:cs="Arial"/>
          <w:sz w:val="24"/>
          <w:szCs w:val="24"/>
        </w:rPr>
        <w:lastRenderedPageBreak/>
        <w:t>Reference list</w:t>
      </w:r>
    </w:p>
    <w:p w14:paraId="2F5FEF00" w14:textId="77777777" w:rsidR="00812564" w:rsidRPr="0004671C" w:rsidRDefault="00812564" w:rsidP="0004671C">
      <w:pPr>
        <w:rPr>
          <w:rFonts w:ascii="Arial" w:hAnsi="Arial" w:cs="Arial"/>
          <w:sz w:val="24"/>
          <w:szCs w:val="24"/>
        </w:rPr>
      </w:pPr>
      <w:r w:rsidRPr="0004671C">
        <w:rPr>
          <w:rFonts w:ascii="Arial" w:hAnsi="Arial" w:cs="Arial"/>
          <w:sz w:val="24"/>
          <w:szCs w:val="24"/>
        </w:rPr>
        <w:t xml:space="preserve">Allara, E. </w:t>
      </w:r>
      <w:r w:rsidRPr="0004671C">
        <w:rPr>
          <w:rFonts w:ascii="Arial" w:hAnsi="Arial" w:cs="Arial"/>
          <w:i/>
          <w:iCs/>
          <w:sz w:val="24"/>
          <w:szCs w:val="24"/>
        </w:rPr>
        <w:t>et al.</w:t>
      </w:r>
      <w:r w:rsidRPr="0004671C">
        <w:rPr>
          <w:rFonts w:ascii="Arial" w:hAnsi="Arial" w:cs="Arial"/>
          <w:sz w:val="24"/>
          <w:szCs w:val="24"/>
        </w:rPr>
        <w:t xml:space="preserve"> (2015) “Are mass-media campaigns effective in preventing drug use? A Cochrane systematic review and meta-analysis,” </w:t>
      </w:r>
      <w:r w:rsidRPr="0004671C">
        <w:rPr>
          <w:rFonts w:ascii="Arial" w:hAnsi="Arial" w:cs="Arial"/>
          <w:i/>
          <w:iCs/>
          <w:sz w:val="24"/>
          <w:szCs w:val="24"/>
        </w:rPr>
        <w:t>BMJ Open</w:t>
      </w:r>
      <w:r w:rsidRPr="0004671C">
        <w:rPr>
          <w:rFonts w:ascii="Arial" w:hAnsi="Arial" w:cs="Arial"/>
          <w:sz w:val="24"/>
          <w:szCs w:val="24"/>
        </w:rPr>
        <w:t xml:space="preserve">, 5(9). Available at: https://doi.org/10.1136/bmjopen-2014-007449. </w:t>
      </w:r>
    </w:p>
    <w:p w14:paraId="0E608CB3" w14:textId="77777777" w:rsidR="00812564" w:rsidRPr="00322835" w:rsidRDefault="00812564" w:rsidP="002F15FE">
      <w:pPr>
        <w:rPr>
          <w:rFonts w:ascii="Arial" w:hAnsi="Arial" w:cs="Arial"/>
          <w:sz w:val="24"/>
          <w:szCs w:val="24"/>
        </w:rPr>
      </w:pPr>
      <w:r w:rsidRPr="00322835">
        <w:rPr>
          <w:rFonts w:ascii="Arial" w:hAnsi="Arial" w:cs="Arial"/>
          <w:sz w:val="24"/>
          <w:szCs w:val="24"/>
        </w:rPr>
        <w:t xml:space="preserve">Caulkins, JP. et al. (2002) “What Are the True Benefits of School-Based Drug Prevention Programs?” Available at: </w:t>
      </w:r>
      <w:hyperlink r:id="rId5" w:history="1">
        <w:r w:rsidRPr="00322835">
          <w:rPr>
            <w:rStyle w:val="Hyperlink"/>
            <w:rFonts w:ascii="Arial" w:hAnsi="Arial" w:cs="Arial"/>
            <w:sz w:val="24"/>
            <w:szCs w:val="24"/>
          </w:rPr>
          <w:t>https://www.rand.org/pubs/research_briefs/RB6009.html</w:t>
        </w:r>
      </w:hyperlink>
      <w:r w:rsidRPr="00322835">
        <w:rPr>
          <w:rFonts w:ascii="Arial" w:hAnsi="Arial" w:cs="Arial"/>
          <w:sz w:val="24"/>
          <w:szCs w:val="24"/>
        </w:rPr>
        <w:t xml:space="preserve"> (Accessed: April 24, 2023)</w:t>
      </w:r>
    </w:p>
    <w:p w14:paraId="29025D43" w14:textId="77777777" w:rsidR="00812564" w:rsidRPr="00322835" w:rsidRDefault="00812564" w:rsidP="0075525E">
      <w:pPr>
        <w:rPr>
          <w:rFonts w:ascii="Arial" w:hAnsi="Arial" w:cs="Arial"/>
          <w:sz w:val="24"/>
          <w:szCs w:val="24"/>
        </w:rPr>
      </w:pPr>
      <w:r w:rsidRPr="00812564">
        <w:rPr>
          <w:rFonts w:ascii="Arial" w:hAnsi="Arial" w:cs="Arial"/>
          <w:sz w:val="24"/>
          <w:szCs w:val="24"/>
        </w:rPr>
        <w:t xml:space="preserve">Cerdá, M. et al. </w:t>
      </w:r>
      <w:r w:rsidRPr="00322835">
        <w:rPr>
          <w:rFonts w:ascii="Arial" w:hAnsi="Arial" w:cs="Arial"/>
          <w:sz w:val="24"/>
          <w:szCs w:val="24"/>
        </w:rPr>
        <w:t xml:space="preserve">(2020) “Association between recreational marijuana legalization in the United States and changes in marijuana use and cannabis use disorder from 2008 to 2016,” JAMA Psychiatry, 77(2), p. 165. Available at: </w:t>
      </w:r>
      <w:hyperlink r:id="rId6" w:history="1">
        <w:r w:rsidRPr="00322835">
          <w:rPr>
            <w:rStyle w:val="Hyperlink"/>
            <w:rFonts w:ascii="Arial" w:hAnsi="Arial" w:cs="Arial"/>
            <w:sz w:val="24"/>
            <w:szCs w:val="24"/>
          </w:rPr>
          <w:t>https://doi.org/10.1001/jamapsychiatry.2019.3254</w:t>
        </w:r>
      </w:hyperlink>
      <w:r w:rsidRPr="00322835">
        <w:rPr>
          <w:rFonts w:ascii="Arial" w:hAnsi="Arial" w:cs="Arial"/>
          <w:sz w:val="24"/>
          <w:szCs w:val="24"/>
        </w:rPr>
        <w:t>.</w:t>
      </w:r>
    </w:p>
    <w:p w14:paraId="5AC08996" w14:textId="77777777" w:rsidR="00812564" w:rsidRPr="00322835" w:rsidRDefault="00812564" w:rsidP="002F15FE">
      <w:pPr>
        <w:rPr>
          <w:rFonts w:ascii="Arial" w:hAnsi="Arial" w:cs="Arial"/>
          <w:sz w:val="24"/>
          <w:szCs w:val="24"/>
        </w:rPr>
      </w:pPr>
      <w:r w:rsidRPr="00322835">
        <w:rPr>
          <w:rFonts w:ascii="Arial" w:hAnsi="Arial" w:cs="Arial"/>
          <w:sz w:val="24"/>
          <w:szCs w:val="24"/>
        </w:rPr>
        <w:t>Chand, K. (2007) “Should drugs be decriminalised? yes,” BMJ, 335(7627), pp. 966–966. Available at: https://doi.org/10.1136/bmj.39360.489132.ad.</w:t>
      </w:r>
    </w:p>
    <w:p w14:paraId="276B2CD0" w14:textId="77777777" w:rsidR="00812564" w:rsidRPr="00322835" w:rsidRDefault="00812564" w:rsidP="00320B08">
      <w:pPr>
        <w:rPr>
          <w:rFonts w:ascii="Arial" w:hAnsi="Arial" w:cs="Arial"/>
          <w:sz w:val="24"/>
          <w:szCs w:val="24"/>
        </w:rPr>
      </w:pPr>
      <w:r w:rsidRPr="00322835">
        <w:rPr>
          <w:rFonts w:ascii="Arial" w:hAnsi="Arial" w:cs="Arial"/>
          <w:sz w:val="24"/>
          <w:szCs w:val="24"/>
        </w:rPr>
        <w:t>Clark, D (2022) “Number of police recorded drug offences in England and Wales from 2002/03 to 2021/22” Available at: https://www.statista.com/statistics/283103/drugs-in-england-and-wales/ (Accessed: April 15, 2023)</w:t>
      </w:r>
    </w:p>
    <w:p w14:paraId="55A301ED" w14:textId="77777777" w:rsidR="00812564" w:rsidRDefault="00812564" w:rsidP="00AE4205">
      <w:pPr>
        <w:rPr>
          <w:rFonts w:ascii="Arial" w:hAnsi="Arial" w:cs="Arial"/>
          <w:sz w:val="24"/>
          <w:szCs w:val="24"/>
        </w:rPr>
      </w:pPr>
      <w:r>
        <w:rPr>
          <w:rFonts w:ascii="Arial" w:hAnsi="Arial" w:cs="Arial"/>
          <w:sz w:val="24"/>
          <w:szCs w:val="24"/>
        </w:rPr>
        <w:t>Critelli, JW and Crawford, RF. (1980) “</w:t>
      </w:r>
      <w:r w:rsidRPr="009B62F1">
        <w:rPr>
          <w:rFonts w:ascii="Arial" w:hAnsi="Arial" w:cs="Arial"/>
          <w:sz w:val="24"/>
          <w:szCs w:val="24"/>
        </w:rPr>
        <w:t>Effectiveness of Court-ordered Punishment - Fines Versus No Punishment</w:t>
      </w:r>
      <w:r>
        <w:rPr>
          <w:rFonts w:ascii="Arial" w:hAnsi="Arial" w:cs="Arial"/>
          <w:sz w:val="24"/>
          <w:szCs w:val="24"/>
        </w:rPr>
        <w:t xml:space="preserve">” Available at: </w:t>
      </w:r>
      <w:hyperlink r:id="rId7" w:history="1">
        <w:r w:rsidRPr="00AC3739">
          <w:rPr>
            <w:rStyle w:val="Hyperlink"/>
            <w:rFonts w:ascii="Arial" w:hAnsi="Arial" w:cs="Arial"/>
            <w:sz w:val="24"/>
            <w:szCs w:val="24"/>
          </w:rPr>
          <w:t>https://www.ojp.gov/ncjrs/virtual-library/abstracts/effectiveness-court-ordered-punishment-fines-versus-no-punishment</w:t>
        </w:r>
      </w:hyperlink>
      <w:r>
        <w:rPr>
          <w:rFonts w:ascii="Arial" w:hAnsi="Arial" w:cs="Arial"/>
          <w:sz w:val="24"/>
          <w:szCs w:val="24"/>
        </w:rPr>
        <w:t xml:space="preserve"> (Accessed: May 5, 2023)</w:t>
      </w:r>
    </w:p>
    <w:p w14:paraId="698DBD2F" w14:textId="77777777" w:rsidR="00812564" w:rsidRPr="00322835" w:rsidRDefault="00812564" w:rsidP="00320B08">
      <w:pPr>
        <w:rPr>
          <w:rFonts w:ascii="Arial" w:hAnsi="Arial" w:cs="Arial"/>
          <w:sz w:val="24"/>
          <w:szCs w:val="24"/>
        </w:rPr>
      </w:pPr>
      <w:r w:rsidRPr="00322835">
        <w:rPr>
          <w:rFonts w:ascii="Arial" w:hAnsi="Arial" w:cs="Arial"/>
          <w:sz w:val="24"/>
          <w:szCs w:val="24"/>
        </w:rPr>
        <w:t xml:space="preserve">Damm, A.P. and Gorinas, C. (2020) “Prison as a criminal school: Peer effects and criminal learning behind bars,” The Journal of Law and Economics, 63(1), pp. 149–180. Available at: </w:t>
      </w:r>
      <w:hyperlink r:id="rId8" w:history="1">
        <w:r w:rsidRPr="00322835">
          <w:rPr>
            <w:rStyle w:val="Hyperlink"/>
            <w:rFonts w:ascii="Arial" w:hAnsi="Arial" w:cs="Arial"/>
            <w:sz w:val="24"/>
            <w:szCs w:val="24"/>
          </w:rPr>
          <w:t>https://doi.org/10.1086/706820</w:t>
        </w:r>
      </w:hyperlink>
      <w:r w:rsidRPr="00322835">
        <w:rPr>
          <w:rFonts w:ascii="Arial" w:hAnsi="Arial" w:cs="Arial"/>
          <w:sz w:val="24"/>
          <w:szCs w:val="24"/>
        </w:rPr>
        <w:t xml:space="preserve">. </w:t>
      </w:r>
    </w:p>
    <w:p w14:paraId="7D9F96FA" w14:textId="77777777" w:rsidR="00812564" w:rsidRPr="00322835" w:rsidRDefault="00812564" w:rsidP="0075525E">
      <w:pPr>
        <w:rPr>
          <w:rFonts w:ascii="Arial" w:hAnsi="Arial" w:cs="Arial"/>
          <w:sz w:val="24"/>
          <w:szCs w:val="24"/>
        </w:rPr>
      </w:pPr>
      <w:r w:rsidRPr="00322835">
        <w:rPr>
          <w:rFonts w:ascii="Arial" w:hAnsi="Arial" w:cs="Arial"/>
          <w:sz w:val="24"/>
          <w:szCs w:val="24"/>
        </w:rPr>
        <w:t xml:space="preserve">Drug wise (1995) “Tackling Drugs Together” Available at: </w:t>
      </w:r>
      <w:hyperlink r:id="rId9" w:history="1">
        <w:r w:rsidRPr="00322835">
          <w:rPr>
            <w:rStyle w:val="Hyperlink"/>
            <w:rFonts w:ascii="Arial" w:hAnsi="Arial" w:cs="Arial"/>
            <w:sz w:val="24"/>
            <w:szCs w:val="24"/>
          </w:rPr>
          <w:t>https://www.drugwise.org.uk/wp-content/uploads/Tackling-drugs-together.pdf</w:t>
        </w:r>
      </w:hyperlink>
      <w:r w:rsidRPr="00322835">
        <w:rPr>
          <w:rFonts w:ascii="Arial" w:hAnsi="Arial" w:cs="Arial"/>
          <w:sz w:val="24"/>
          <w:szCs w:val="24"/>
        </w:rPr>
        <w:t xml:space="preserve"> (Accessed: May 2, 2023)</w:t>
      </w:r>
    </w:p>
    <w:p w14:paraId="6E6FEC07" w14:textId="77777777" w:rsidR="00812564" w:rsidRPr="00322835" w:rsidRDefault="00812564" w:rsidP="002F15FE">
      <w:pPr>
        <w:rPr>
          <w:rFonts w:ascii="Arial" w:hAnsi="Arial" w:cs="Arial"/>
          <w:sz w:val="24"/>
          <w:szCs w:val="24"/>
        </w:rPr>
      </w:pPr>
      <w:r w:rsidRPr="00322835">
        <w:rPr>
          <w:rFonts w:ascii="Arial" w:hAnsi="Arial" w:cs="Arial"/>
          <w:sz w:val="24"/>
          <w:szCs w:val="24"/>
        </w:rPr>
        <w:t xml:space="preserve">Duke, SB. (1998) “Legalizing Drugs Would Reduce Crime” Available at: </w:t>
      </w:r>
      <w:hyperlink r:id="rId10" w:history="1">
        <w:r w:rsidRPr="00322835">
          <w:rPr>
            <w:rStyle w:val="Hyperlink"/>
            <w:rFonts w:ascii="Arial" w:hAnsi="Arial" w:cs="Arial"/>
            <w:sz w:val="24"/>
            <w:szCs w:val="24"/>
          </w:rPr>
          <w:t>https://www.ojp.gov/ncjrs/virtual-library/abstracts/legalizing-drugs-would-reduce-crime-illegal-drugs-p-115-117-1998</w:t>
        </w:r>
      </w:hyperlink>
      <w:r w:rsidRPr="00322835">
        <w:rPr>
          <w:rFonts w:ascii="Arial" w:hAnsi="Arial" w:cs="Arial"/>
          <w:sz w:val="24"/>
          <w:szCs w:val="24"/>
        </w:rPr>
        <w:t xml:space="preserve"> (Accessed: April 23, 2023).  </w:t>
      </w:r>
    </w:p>
    <w:p w14:paraId="56BEC872" w14:textId="77777777" w:rsidR="00812564" w:rsidRPr="00322835" w:rsidRDefault="00812564" w:rsidP="0075525E">
      <w:pPr>
        <w:rPr>
          <w:rFonts w:ascii="Arial" w:hAnsi="Arial" w:cs="Arial"/>
          <w:sz w:val="24"/>
          <w:szCs w:val="24"/>
        </w:rPr>
      </w:pPr>
      <w:r w:rsidRPr="00322835">
        <w:rPr>
          <w:rFonts w:ascii="Arial" w:hAnsi="Arial" w:cs="Arial"/>
          <w:sz w:val="24"/>
          <w:szCs w:val="24"/>
        </w:rPr>
        <w:t xml:space="preserve">EMDCA (2018). “Drug consumption rooms: an overview of provision and evidence” Available at: </w:t>
      </w:r>
      <w:hyperlink r:id="rId11" w:history="1">
        <w:r w:rsidRPr="00322835">
          <w:rPr>
            <w:rStyle w:val="Hyperlink"/>
            <w:rFonts w:ascii="Arial" w:hAnsi="Arial" w:cs="Arial"/>
            <w:sz w:val="24"/>
            <w:szCs w:val="24"/>
          </w:rPr>
          <w:t>https://www.emcdda.europa.eu/topics/pods/drug-consumption-rooms_en</w:t>
        </w:r>
      </w:hyperlink>
      <w:r w:rsidRPr="00322835">
        <w:rPr>
          <w:rFonts w:ascii="Arial" w:hAnsi="Arial" w:cs="Arial"/>
          <w:sz w:val="24"/>
          <w:szCs w:val="24"/>
        </w:rPr>
        <w:t xml:space="preserve"> (Accessed May 2, 2023)</w:t>
      </w:r>
    </w:p>
    <w:p w14:paraId="701C99A6" w14:textId="77777777" w:rsidR="00812564" w:rsidRPr="00812564" w:rsidRDefault="00812564" w:rsidP="0075525E">
      <w:pPr>
        <w:rPr>
          <w:rFonts w:ascii="Arial" w:hAnsi="Arial" w:cs="Arial"/>
          <w:sz w:val="24"/>
          <w:szCs w:val="24"/>
        </w:rPr>
      </w:pPr>
      <w:r w:rsidRPr="00322835">
        <w:rPr>
          <w:rFonts w:ascii="Arial" w:hAnsi="Arial" w:cs="Arial"/>
          <w:sz w:val="24"/>
          <w:szCs w:val="24"/>
          <w:lang w:val="fr-FR"/>
        </w:rPr>
        <w:t xml:space="preserve">Flaherty, G.T. et al. </w:t>
      </w:r>
      <w:r w:rsidRPr="00322835">
        <w:rPr>
          <w:rFonts w:ascii="Arial" w:hAnsi="Arial" w:cs="Arial"/>
          <w:sz w:val="24"/>
          <w:szCs w:val="24"/>
        </w:rPr>
        <w:t xml:space="preserve">(2017) “The highs and lows of drug tourism: A Travel Medicine Perspective,” Journal of Travel Medicine, 24(6). </w:t>
      </w:r>
      <w:r w:rsidRPr="00812564">
        <w:rPr>
          <w:rFonts w:ascii="Arial" w:hAnsi="Arial" w:cs="Arial"/>
          <w:sz w:val="24"/>
          <w:szCs w:val="24"/>
        </w:rPr>
        <w:t xml:space="preserve">Available at: </w:t>
      </w:r>
      <w:hyperlink r:id="rId12" w:history="1">
        <w:r w:rsidRPr="00812564">
          <w:rPr>
            <w:rStyle w:val="Hyperlink"/>
            <w:rFonts w:ascii="Arial" w:hAnsi="Arial" w:cs="Arial"/>
            <w:sz w:val="24"/>
            <w:szCs w:val="24"/>
          </w:rPr>
          <w:t>https://doi.org/10.1093/jtm/tax068</w:t>
        </w:r>
      </w:hyperlink>
      <w:r w:rsidRPr="00812564">
        <w:rPr>
          <w:rFonts w:ascii="Arial" w:hAnsi="Arial" w:cs="Arial"/>
          <w:sz w:val="24"/>
          <w:szCs w:val="24"/>
        </w:rPr>
        <w:t>.</w:t>
      </w:r>
    </w:p>
    <w:p w14:paraId="143F6626" w14:textId="77777777" w:rsidR="00812564" w:rsidRPr="00322835" w:rsidRDefault="00812564" w:rsidP="0075525E">
      <w:pPr>
        <w:rPr>
          <w:rFonts w:ascii="Arial" w:hAnsi="Arial" w:cs="Arial"/>
          <w:sz w:val="24"/>
          <w:szCs w:val="24"/>
        </w:rPr>
      </w:pPr>
      <w:r w:rsidRPr="00322835">
        <w:rPr>
          <w:rFonts w:ascii="Arial" w:hAnsi="Arial" w:cs="Arial"/>
          <w:sz w:val="24"/>
          <w:szCs w:val="24"/>
        </w:rPr>
        <w:t xml:space="preserve">HMICRFS (2021) “Disproportionate use of police powers: A spotlight on stop and search and the use of force” Available at: </w:t>
      </w:r>
      <w:hyperlink r:id="rId13" w:history="1">
        <w:r w:rsidRPr="00322835">
          <w:rPr>
            <w:rStyle w:val="Hyperlink"/>
            <w:rFonts w:ascii="Arial" w:hAnsi="Arial" w:cs="Arial"/>
            <w:sz w:val="24"/>
            <w:szCs w:val="24"/>
          </w:rPr>
          <w:t>https://www.justiceinspectorates.gov.uk/hmicfrs/wp-content/uploads/disproportionate-</w:t>
        </w:r>
        <w:r w:rsidRPr="00322835">
          <w:rPr>
            <w:rStyle w:val="Hyperlink"/>
            <w:rFonts w:ascii="Arial" w:hAnsi="Arial" w:cs="Arial"/>
            <w:sz w:val="24"/>
            <w:szCs w:val="24"/>
          </w:rPr>
          <w:lastRenderedPageBreak/>
          <w:t>use-of-police-powers-spotlight-on-stop-search-and-use-of-force.pdf</w:t>
        </w:r>
      </w:hyperlink>
      <w:r w:rsidRPr="00322835">
        <w:rPr>
          <w:rFonts w:ascii="Arial" w:hAnsi="Arial" w:cs="Arial"/>
          <w:sz w:val="24"/>
          <w:szCs w:val="24"/>
        </w:rPr>
        <w:t xml:space="preserve"> (Accessed: May 1, 2023)</w:t>
      </w:r>
    </w:p>
    <w:p w14:paraId="5F3E888F" w14:textId="77777777" w:rsidR="00812564" w:rsidRPr="00812564" w:rsidRDefault="00812564" w:rsidP="002F15FE">
      <w:pPr>
        <w:rPr>
          <w:rFonts w:ascii="Arial" w:hAnsi="Arial" w:cs="Arial"/>
          <w:sz w:val="24"/>
          <w:szCs w:val="24"/>
          <w:lang w:val="fr-FR"/>
        </w:rPr>
      </w:pPr>
      <w:r w:rsidRPr="00812564">
        <w:rPr>
          <w:rFonts w:ascii="Arial" w:hAnsi="Arial" w:cs="Arial"/>
          <w:sz w:val="24"/>
          <w:szCs w:val="24"/>
        </w:rPr>
        <w:t xml:space="preserve">Holland, A. et al. </w:t>
      </w:r>
      <w:r w:rsidRPr="00322835">
        <w:rPr>
          <w:rFonts w:ascii="Arial" w:hAnsi="Arial" w:cs="Arial"/>
          <w:sz w:val="24"/>
          <w:szCs w:val="24"/>
        </w:rPr>
        <w:t xml:space="preserve">(2022) “Analysis of the UK government’s 10-year drugs strategy—a resource for practitioners and policymakers,” Journal of Public Health [Preprint]. </w:t>
      </w:r>
      <w:r w:rsidRPr="00812564">
        <w:rPr>
          <w:rFonts w:ascii="Arial" w:hAnsi="Arial" w:cs="Arial"/>
          <w:sz w:val="24"/>
          <w:szCs w:val="24"/>
          <w:lang w:val="fr-FR"/>
        </w:rPr>
        <w:t xml:space="preserve">Available at: </w:t>
      </w:r>
      <w:hyperlink r:id="rId14" w:history="1">
        <w:r w:rsidRPr="00812564">
          <w:rPr>
            <w:rStyle w:val="Hyperlink"/>
            <w:rFonts w:ascii="Arial" w:hAnsi="Arial" w:cs="Arial"/>
            <w:sz w:val="24"/>
            <w:szCs w:val="24"/>
            <w:lang w:val="fr-FR"/>
          </w:rPr>
          <w:t>https://doi.org/10.1093/pubmed/fdac114</w:t>
        </w:r>
      </w:hyperlink>
      <w:r w:rsidRPr="00812564">
        <w:rPr>
          <w:rFonts w:ascii="Arial" w:hAnsi="Arial" w:cs="Arial"/>
          <w:sz w:val="24"/>
          <w:szCs w:val="24"/>
          <w:lang w:val="fr-FR"/>
        </w:rPr>
        <w:t>.</w:t>
      </w:r>
    </w:p>
    <w:p w14:paraId="7D09BE19" w14:textId="77777777" w:rsidR="00812564" w:rsidRPr="00812564" w:rsidRDefault="00812564" w:rsidP="002F15FE">
      <w:pPr>
        <w:rPr>
          <w:rFonts w:ascii="Arial" w:hAnsi="Arial" w:cs="Arial"/>
          <w:sz w:val="24"/>
          <w:szCs w:val="24"/>
        </w:rPr>
      </w:pPr>
      <w:r w:rsidRPr="00322835">
        <w:rPr>
          <w:rFonts w:ascii="Arial" w:hAnsi="Arial" w:cs="Arial"/>
          <w:sz w:val="24"/>
          <w:szCs w:val="24"/>
          <w:lang w:val="fr-FR"/>
        </w:rPr>
        <w:t xml:space="preserve">Hornik, R. et al. </w:t>
      </w:r>
      <w:r w:rsidRPr="00322835">
        <w:rPr>
          <w:rFonts w:ascii="Arial" w:hAnsi="Arial" w:cs="Arial"/>
          <w:sz w:val="24"/>
          <w:szCs w:val="24"/>
        </w:rPr>
        <w:t xml:space="preserve">(2008) “Effects of the national youth anti-drug media campaign on Youths,” American Journal of Public Health, 98(12), pp. 2229–2236. </w:t>
      </w:r>
      <w:r w:rsidRPr="00812564">
        <w:rPr>
          <w:rFonts w:ascii="Arial" w:hAnsi="Arial" w:cs="Arial"/>
          <w:sz w:val="24"/>
          <w:szCs w:val="24"/>
        </w:rPr>
        <w:t xml:space="preserve">Available at: </w:t>
      </w:r>
      <w:hyperlink r:id="rId15" w:history="1">
        <w:r w:rsidRPr="00812564">
          <w:rPr>
            <w:rStyle w:val="Hyperlink"/>
            <w:rFonts w:ascii="Arial" w:hAnsi="Arial" w:cs="Arial"/>
            <w:sz w:val="24"/>
            <w:szCs w:val="24"/>
          </w:rPr>
          <w:t>https://doi.org/10.2105/ajph.2007.125849</w:t>
        </w:r>
      </w:hyperlink>
      <w:r w:rsidRPr="00812564">
        <w:rPr>
          <w:rFonts w:ascii="Arial" w:hAnsi="Arial" w:cs="Arial"/>
          <w:sz w:val="24"/>
          <w:szCs w:val="24"/>
        </w:rPr>
        <w:t>.</w:t>
      </w:r>
    </w:p>
    <w:p w14:paraId="79CEB15A" w14:textId="77777777" w:rsidR="00812564" w:rsidRPr="00322835" w:rsidRDefault="00812564" w:rsidP="00320B08">
      <w:pPr>
        <w:rPr>
          <w:rFonts w:ascii="Arial" w:hAnsi="Arial" w:cs="Arial"/>
          <w:sz w:val="24"/>
          <w:szCs w:val="24"/>
        </w:rPr>
      </w:pPr>
      <w:r w:rsidRPr="00322835">
        <w:rPr>
          <w:rFonts w:ascii="Arial" w:hAnsi="Arial" w:cs="Arial"/>
          <w:sz w:val="24"/>
          <w:szCs w:val="24"/>
        </w:rPr>
        <w:t>Jacobson, J., Kirby, A. &amp; Hough, M. (2011) “Public attitudes to the sentencing of drug offences” Available at: https://www.sentencingcouncil.org.uk/wp-content/uploads/Drugs_research_report.pdf (Accessed: April 22, 2023).</w:t>
      </w:r>
    </w:p>
    <w:p w14:paraId="0976B5AC" w14:textId="77777777" w:rsidR="00812564" w:rsidRDefault="00812564" w:rsidP="00AE4205">
      <w:pPr>
        <w:rPr>
          <w:rFonts w:ascii="Arial" w:hAnsi="Arial" w:cs="Arial"/>
          <w:sz w:val="24"/>
          <w:szCs w:val="24"/>
        </w:rPr>
      </w:pPr>
      <w:r>
        <w:rPr>
          <w:rFonts w:ascii="Arial" w:hAnsi="Arial" w:cs="Arial"/>
          <w:sz w:val="24"/>
          <w:szCs w:val="24"/>
        </w:rPr>
        <w:t>Johnson, B. (2019) “</w:t>
      </w:r>
      <w:r w:rsidRPr="00AE4205">
        <w:rPr>
          <w:rFonts w:ascii="Arial" w:hAnsi="Arial" w:cs="Arial"/>
          <w:sz w:val="24"/>
          <w:szCs w:val="24"/>
        </w:rPr>
        <w:t>Do Criminal Laws Deter Crime?</w:t>
      </w:r>
      <w:r>
        <w:rPr>
          <w:rFonts w:ascii="Arial" w:hAnsi="Arial" w:cs="Arial"/>
          <w:sz w:val="24"/>
          <w:szCs w:val="24"/>
        </w:rPr>
        <w:t xml:space="preserve"> </w:t>
      </w:r>
      <w:r w:rsidRPr="00AE4205">
        <w:rPr>
          <w:rFonts w:ascii="Arial" w:hAnsi="Arial" w:cs="Arial"/>
          <w:sz w:val="24"/>
          <w:szCs w:val="24"/>
        </w:rPr>
        <w:t>Deterrence Theory in Criminal</w:t>
      </w:r>
      <w:r>
        <w:rPr>
          <w:rFonts w:ascii="Arial" w:hAnsi="Arial" w:cs="Arial"/>
          <w:sz w:val="24"/>
          <w:szCs w:val="24"/>
        </w:rPr>
        <w:t xml:space="preserve"> </w:t>
      </w:r>
      <w:r w:rsidRPr="00AE4205">
        <w:rPr>
          <w:rFonts w:ascii="Arial" w:hAnsi="Arial" w:cs="Arial"/>
          <w:sz w:val="24"/>
          <w:szCs w:val="24"/>
        </w:rPr>
        <w:t>Justice Policy: A Primer</w:t>
      </w:r>
      <w:r>
        <w:rPr>
          <w:rFonts w:ascii="Arial" w:hAnsi="Arial" w:cs="Arial"/>
          <w:sz w:val="24"/>
          <w:szCs w:val="24"/>
        </w:rPr>
        <w:t xml:space="preserve">” Available at: </w:t>
      </w:r>
      <w:hyperlink r:id="rId16" w:history="1">
        <w:r w:rsidRPr="00AC3739">
          <w:rPr>
            <w:rStyle w:val="Hyperlink"/>
            <w:rFonts w:ascii="Arial" w:hAnsi="Arial" w:cs="Arial"/>
            <w:sz w:val="24"/>
            <w:szCs w:val="24"/>
          </w:rPr>
          <w:t>https://www.house.mn.gov/hrd/pubs/deterrence.pdf</w:t>
        </w:r>
      </w:hyperlink>
      <w:r>
        <w:rPr>
          <w:rFonts w:ascii="Arial" w:hAnsi="Arial" w:cs="Arial"/>
          <w:sz w:val="24"/>
          <w:szCs w:val="24"/>
        </w:rPr>
        <w:t xml:space="preserve"> (Accessed: May 5, 2023)</w:t>
      </w:r>
    </w:p>
    <w:p w14:paraId="2A243139" w14:textId="77777777" w:rsidR="00812564" w:rsidRPr="00322835" w:rsidRDefault="00812564" w:rsidP="004554D9">
      <w:pPr>
        <w:rPr>
          <w:rFonts w:ascii="Arial" w:hAnsi="Arial" w:cs="Arial"/>
          <w:sz w:val="24"/>
          <w:szCs w:val="24"/>
        </w:rPr>
      </w:pPr>
      <w:r w:rsidRPr="00322835">
        <w:rPr>
          <w:rFonts w:ascii="Arial" w:hAnsi="Arial" w:cs="Arial"/>
          <w:sz w:val="24"/>
          <w:szCs w:val="24"/>
        </w:rPr>
        <w:t xml:space="preserve">Kennedy, M.C., Karamouzian, M. and Kerr, T. (2017) “Public health and public order outcomes associated with supervised drug consumption facilities: A systematic review,” Current HIV/AIDS Reports, 14(5), pp. 161–183. Available at: </w:t>
      </w:r>
      <w:hyperlink r:id="rId17" w:history="1">
        <w:r w:rsidRPr="00322835">
          <w:rPr>
            <w:rStyle w:val="Hyperlink"/>
            <w:rFonts w:ascii="Arial" w:hAnsi="Arial" w:cs="Arial"/>
            <w:sz w:val="24"/>
            <w:szCs w:val="24"/>
          </w:rPr>
          <w:t>https://doi.org/10.1007/s11904-017-0363-y</w:t>
        </w:r>
      </w:hyperlink>
      <w:r w:rsidRPr="00322835">
        <w:rPr>
          <w:rFonts w:ascii="Arial" w:hAnsi="Arial" w:cs="Arial"/>
          <w:sz w:val="24"/>
          <w:szCs w:val="24"/>
        </w:rPr>
        <w:t>.</w:t>
      </w:r>
    </w:p>
    <w:p w14:paraId="498111DA" w14:textId="77777777" w:rsidR="00812564" w:rsidRPr="00322835" w:rsidRDefault="00812564" w:rsidP="00B33362">
      <w:pPr>
        <w:rPr>
          <w:rFonts w:ascii="Arial" w:hAnsi="Arial" w:cs="Arial"/>
          <w:sz w:val="24"/>
          <w:szCs w:val="24"/>
        </w:rPr>
      </w:pPr>
      <w:r w:rsidRPr="00322835">
        <w:rPr>
          <w:rFonts w:ascii="Arial" w:hAnsi="Arial" w:cs="Arial"/>
          <w:sz w:val="24"/>
          <w:szCs w:val="24"/>
        </w:rPr>
        <w:t>Kennedy, M.C., Karamouzian, M. and Kerr, T. (2017) “Public health and public order outcomes associated with supervised drug consumption facilities: A systematic review,” Current HIV/AIDS Reports, 14(5), pp. 161–183. Available at: https://doi.org/10.1007/s11904-017-0363-y.</w:t>
      </w:r>
    </w:p>
    <w:p w14:paraId="7796B03C" w14:textId="77777777" w:rsidR="00812564" w:rsidRDefault="00812564" w:rsidP="00AE4205">
      <w:pPr>
        <w:rPr>
          <w:rFonts w:ascii="Arial" w:hAnsi="Arial" w:cs="Arial"/>
          <w:sz w:val="24"/>
          <w:szCs w:val="24"/>
        </w:rPr>
      </w:pPr>
      <w:r>
        <w:rPr>
          <w:rFonts w:ascii="Arial" w:hAnsi="Arial" w:cs="Arial"/>
          <w:sz w:val="24"/>
          <w:szCs w:val="24"/>
        </w:rPr>
        <w:t>Lee, DS and McCrary, J. (2009) “</w:t>
      </w:r>
      <w:r w:rsidRPr="002C5B32">
        <w:rPr>
          <w:rFonts w:ascii="Arial" w:hAnsi="Arial" w:cs="Arial"/>
          <w:sz w:val="24"/>
          <w:szCs w:val="24"/>
        </w:rPr>
        <w:t>The Deterrence Effect of Prison: Dynamic Theory and Evidence</w:t>
      </w:r>
      <w:r>
        <w:rPr>
          <w:rFonts w:ascii="Arial" w:hAnsi="Arial" w:cs="Arial"/>
          <w:sz w:val="24"/>
          <w:szCs w:val="24"/>
        </w:rPr>
        <w:t xml:space="preserve">” Available at: </w:t>
      </w:r>
      <w:hyperlink r:id="rId18" w:history="1">
        <w:r w:rsidRPr="00AC3739">
          <w:rPr>
            <w:rStyle w:val="Hyperlink"/>
            <w:rFonts w:ascii="Arial" w:hAnsi="Arial" w:cs="Arial"/>
            <w:sz w:val="24"/>
            <w:szCs w:val="24"/>
          </w:rPr>
          <w:t>https://gceps.princeton.edu/wp-content/uploads/2017/01/189lee.pdf</w:t>
        </w:r>
      </w:hyperlink>
      <w:r>
        <w:rPr>
          <w:rFonts w:ascii="Arial" w:hAnsi="Arial" w:cs="Arial"/>
          <w:sz w:val="24"/>
          <w:szCs w:val="24"/>
        </w:rPr>
        <w:t xml:space="preserve"> (Accessed: May 5, 2023) </w:t>
      </w:r>
    </w:p>
    <w:p w14:paraId="6AF3D80B" w14:textId="77777777" w:rsidR="00812564" w:rsidRPr="00322835" w:rsidRDefault="00812564" w:rsidP="0075525E">
      <w:pPr>
        <w:rPr>
          <w:rFonts w:ascii="Arial" w:hAnsi="Arial" w:cs="Arial"/>
          <w:sz w:val="24"/>
          <w:szCs w:val="24"/>
        </w:rPr>
      </w:pPr>
      <w:r w:rsidRPr="00322835">
        <w:rPr>
          <w:rFonts w:ascii="Arial" w:hAnsi="Arial" w:cs="Arial"/>
          <w:sz w:val="24"/>
          <w:szCs w:val="24"/>
        </w:rPr>
        <w:t>Marijuana Policy Project (2022) “Cannabis Tax Revenue in States that Regulate Cannabis for Adult Use” Available at: https://www.mpp.org/issues/legalization/cannabis-tax-revenue-states-regulate-cannabis-adult-use/ (Accessed: April 22, 2023).</w:t>
      </w:r>
    </w:p>
    <w:p w14:paraId="27B40DB7" w14:textId="77777777" w:rsidR="00812564" w:rsidRPr="00322835" w:rsidRDefault="00812564" w:rsidP="004554D9">
      <w:pPr>
        <w:rPr>
          <w:rFonts w:ascii="Arial" w:hAnsi="Arial" w:cs="Arial"/>
          <w:sz w:val="24"/>
          <w:szCs w:val="24"/>
        </w:rPr>
      </w:pPr>
      <w:r w:rsidRPr="00322835">
        <w:rPr>
          <w:rFonts w:ascii="Arial" w:hAnsi="Arial" w:cs="Arial"/>
          <w:sz w:val="24"/>
          <w:szCs w:val="24"/>
        </w:rPr>
        <w:t>May, T. (2017) “A Review of the Effectiveness of Medically Supervised Injecting Centres” Available at: https://www.gov.wales/sites/default/files/publications/2019-01/180320atisn12038doc2_0.pdf (Accessed: May 4, 2023)</w:t>
      </w:r>
    </w:p>
    <w:p w14:paraId="417EF8BA" w14:textId="77777777" w:rsidR="00812564" w:rsidRPr="00322835" w:rsidRDefault="00812564" w:rsidP="00B33362">
      <w:pPr>
        <w:rPr>
          <w:rFonts w:ascii="Arial" w:hAnsi="Arial" w:cs="Arial"/>
          <w:sz w:val="24"/>
          <w:szCs w:val="24"/>
        </w:rPr>
      </w:pPr>
      <w:r w:rsidRPr="00322835">
        <w:rPr>
          <w:rFonts w:ascii="Arial" w:hAnsi="Arial" w:cs="Arial"/>
          <w:sz w:val="24"/>
          <w:szCs w:val="24"/>
        </w:rPr>
        <w:t>May, T. (2017) “A Review of the Effectiveness of Medically Supervised Injecting Centres” Available at: https://www.gov.wales/sites/default/files/publications/2019-01/180320atisn12038doc2_0.pdf (Accessed: May 4, 2023)</w:t>
      </w:r>
    </w:p>
    <w:p w14:paraId="3F18C9D8" w14:textId="77777777" w:rsidR="00812564" w:rsidRPr="00322835" w:rsidRDefault="00812564" w:rsidP="00320B08">
      <w:pPr>
        <w:rPr>
          <w:rFonts w:ascii="Arial" w:hAnsi="Arial" w:cs="Arial"/>
          <w:sz w:val="24"/>
          <w:szCs w:val="24"/>
        </w:rPr>
      </w:pPr>
      <w:r w:rsidRPr="00322835">
        <w:rPr>
          <w:rFonts w:ascii="Arial" w:hAnsi="Arial" w:cs="Arial"/>
          <w:sz w:val="24"/>
          <w:szCs w:val="24"/>
        </w:rPr>
        <w:t xml:space="preserve">NIJ (2016) “Five things about deterrence” Available at: </w:t>
      </w:r>
      <w:hyperlink r:id="rId19" w:history="1">
        <w:r w:rsidRPr="00322835">
          <w:rPr>
            <w:rStyle w:val="Hyperlink"/>
            <w:rFonts w:ascii="Arial" w:hAnsi="Arial" w:cs="Arial"/>
            <w:sz w:val="24"/>
            <w:szCs w:val="24"/>
          </w:rPr>
          <w:t>https://nij.ojp.gov/topics/articles/five-things-about-deterrence</w:t>
        </w:r>
      </w:hyperlink>
      <w:r w:rsidRPr="00322835">
        <w:rPr>
          <w:rFonts w:ascii="Arial" w:hAnsi="Arial" w:cs="Arial"/>
          <w:sz w:val="24"/>
          <w:szCs w:val="24"/>
        </w:rPr>
        <w:t xml:space="preserve"> (Accessed: April 15, 2023). </w:t>
      </w:r>
    </w:p>
    <w:p w14:paraId="350427E1" w14:textId="77777777" w:rsidR="00812564" w:rsidRPr="00322835" w:rsidRDefault="00812564" w:rsidP="00320B08">
      <w:pPr>
        <w:rPr>
          <w:rFonts w:ascii="Arial" w:hAnsi="Arial" w:cs="Arial"/>
          <w:sz w:val="24"/>
          <w:szCs w:val="24"/>
        </w:rPr>
      </w:pPr>
      <w:r w:rsidRPr="00322835">
        <w:rPr>
          <w:rFonts w:ascii="Arial" w:hAnsi="Arial" w:cs="Arial"/>
          <w:sz w:val="24"/>
          <w:szCs w:val="24"/>
        </w:rPr>
        <w:t xml:space="preserve">ONS (2020) “Deaths related to drug poisoning in England and Wales: 2020 registrations” Available at: </w:t>
      </w:r>
      <w:r w:rsidRPr="00322835">
        <w:rPr>
          <w:rFonts w:ascii="Arial" w:hAnsi="Arial" w:cs="Arial"/>
          <w:sz w:val="24"/>
          <w:szCs w:val="24"/>
        </w:rPr>
        <w:lastRenderedPageBreak/>
        <w:t>https://www.ons.gov.uk/peoplepopulationandcommunity/birthsdeathsandmarriages/deaths/bulletins/deathsrelatedtodrugpoisoninginenglandandwales/2020 (Accessed: April 16, 2023)</w:t>
      </w:r>
    </w:p>
    <w:p w14:paraId="7B7AB65B" w14:textId="77777777" w:rsidR="00812564" w:rsidRPr="00322835" w:rsidRDefault="00812564" w:rsidP="00320B08">
      <w:pPr>
        <w:rPr>
          <w:rFonts w:ascii="Arial" w:hAnsi="Arial" w:cs="Arial"/>
          <w:sz w:val="24"/>
          <w:szCs w:val="24"/>
        </w:rPr>
      </w:pPr>
      <w:r w:rsidRPr="00322835">
        <w:rPr>
          <w:rFonts w:ascii="Arial" w:hAnsi="Arial" w:cs="Arial"/>
          <w:sz w:val="24"/>
          <w:szCs w:val="24"/>
        </w:rPr>
        <w:t>ONS (2022) “Drug misuse in England and Wales: year ending June 2022” Available at: https://www.ons.gov.uk/peoplepopulationandcommunity/crimeandjustice/articles/drugmisuseinenglandandwales/yearendingjune2022 (Accessed: April 15, 2023)</w:t>
      </w:r>
    </w:p>
    <w:p w14:paraId="2DB2B62C" w14:textId="77777777" w:rsidR="00812564" w:rsidRPr="00322835" w:rsidRDefault="00812564" w:rsidP="00320B08">
      <w:pPr>
        <w:rPr>
          <w:rFonts w:ascii="Arial" w:hAnsi="Arial" w:cs="Arial"/>
          <w:sz w:val="24"/>
          <w:szCs w:val="24"/>
        </w:rPr>
      </w:pPr>
      <w:r w:rsidRPr="00322835">
        <w:rPr>
          <w:rFonts w:ascii="Arial" w:hAnsi="Arial" w:cs="Arial"/>
          <w:sz w:val="24"/>
          <w:szCs w:val="24"/>
        </w:rPr>
        <w:t xml:space="preserve">Pager, D. et al. (2022) “Criminalizing poverty: The consequences of court fees in a randomized experiment,” American Sociological Review, 87(3), pp. 529–553. Available at: </w:t>
      </w:r>
      <w:hyperlink r:id="rId20" w:history="1">
        <w:r w:rsidRPr="00322835">
          <w:rPr>
            <w:rStyle w:val="Hyperlink"/>
            <w:rFonts w:ascii="Arial" w:hAnsi="Arial" w:cs="Arial"/>
            <w:sz w:val="24"/>
            <w:szCs w:val="24"/>
          </w:rPr>
          <w:t>https://doi.org/10.1177/00031224221075783</w:t>
        </w:r>
      </w:hyperlink>
      <w:r w:rsidRPr="00322835">
        <w:rPr>
          <w:rFonts w:ascii="Arial" w:hAnsi="Arial" w:cs="Arial"/>
          <w:sz w:val="24"/>
          <w:szCs w:val="24"/>
        </w:rPr>
        <w:t>.</w:t>
      </w:r>
    </w:p>
    <w:p w14:paraId="3C038C3A" w14:textId="77777777" w:rsidR="00812564" w:rsidRPr="00322835" w:rsidRDefault="00812564" w:rsidP="00005093">
      <w:pPr>
        <w:rPr>
          <w:rFonts w:ascii="Arial" w:hAnsi="Arial" w:cs="Arial"/>
          <w:sz w:val="24"/>
          <w:szCs w:val="24"/>
        </w:rPr>
      </w:pPr>
      <w:r w:rsidRPr="00322835">
        <w:rPr>
          <w:rFonts w:ascii="Arial" w:hAnsi="Arial" w:cs="Arial"/>
          <w:sz w:val="24"/>
          <w:szCs w:val="24"/>
        </w:rPr>
        <w:t xml:space="preserve">Police.uk (2023) “Stop and search in Metropolitan Police Service” Available at: </w:t>
      </w:r>
      <w:hyperlink r:id="rId21" w:history="1">
        <w:r w:rsidRPr="00322835">
          <w:rPr>
            <w:rStyle w:val="Hyperlink"/>
            <w:rFonts w:ascii="Arial" w:hAnsi="Arial" w:cs="Arial"/>
            <w:sz w:val="24"/>
            <w:szCs w:val="24"/>
          </w:rPr>
          <w:t>https://www.police.uk/pu/your-area/metropolitan-police-service/performance/stop-and-search/?tc=E05000362</w:t>
        </w:r>
      </w:hyperlink>
      <w:r w:rsidRPr="00322835">
        <w:rPr>
          <w:rFonts w:ascii="Arial" w:hAnsi="Arial" w:cs="Arial"/>
          <w:sz w:val="24"/>
          <w:szCs w:val="24"/>
        </w:rPr>
        <w:t xml:space="preserve"> (Accessed: May 1, 2023)</w:t>
      </w:r>
    </w:p>
    <w:p w14:paraId="6F276987" w14:textId="77777777" w:rsidR="00812564" w:rsidRPr="00322835" w:rsidRDefault="00812564" w:rsidP="00320B08">
      <w:pPr>
        <w:rPr>
          <w:rFonts w:ascii="Arial" w:hAnsi="Arial" w:cs="Arial"/>
          <w:sz w:val="24"/>
          <w:szCs w:val="24"/>
        </w:rPr>
      </w:pPr>
      <w:r w:rsidRPr="00322835">
        <w:rPr>
          <w:rFonts w:ascii="Arial" w:hAnsi="Arial" w:cs="Arial"/>
          <w:sz w:val="24"/>
          <w:szCs w:val="24"/>
        </w:rPr>
        <w:t xml:space="preserve">Schierenbeck, A. (2018) “The Constitutionality of Income-Based Fines” Available at: </w:t>
      </w:r>
      <w:hyperlink r:id="rId22" w:history="1">
        <w:r w:rsidRPr="00322835">
          <w:rPr>
            <w:rStyle w:val="Hyperlink"/>
            <w:rFonts w:ascii="Arial" w:hAnsi="Arial" w:cs="Arial"/>
            <w:sz w:val="24"/>
            <w:szCs w:val="24"/>
          </w:rPr>
          <w:t>https://www.jstor.org/stable/26537058</w:t>
        </w:r>
      </w:hyperlink>
      <w:r w:rsidRPr="00322835">
        <w:rPr>
          <w:rFonts w:ascii="Arial" w:hAnsi="Arial" w:cs="Arial"/>
          <w:sz w:val="24"/>
          <w:szCs w:val="24"/>
        </w:rPr>
        <w:t xml:space="preserve"> (Accessed: April 23, 2023)</w:t>
      </w:r>
    </w:p>
    <w:p w14:paraId="560865CA" w14:textId="77777777" w:rsidR="00812564" w:rsidRPr="00322835" w:rsidRDefault="00812564" w:rsidP="002F15FE">
      <w:pPr>
        <w:rPr>
          <w:rFonts w:ascii="Arial" w:hAnsi="Arial" w:cs="Arial"/>
          <w:sz w:val="24"/>
          <w:szCs w:val="24"/>
          <w:lang w:val="fr-FR"/>
        </w:rPr>
      </w:pPr>
      <w:r w:rsidRPr="00322835">
        <w:rPr>
          <w:rFonts w:ascii="Arial" w:hAnsi="Arial" w:cs="Arial"/>
          <w:sz w:val="24"/>
          <w:szCs w:val="24"/>
        </w:rPr>
        <w:t xml:space="preserve">Soames Job, R.F. (1988) “Effective and ineffective use of fear in health promotion campaigns.,” American Journal of Public Health, 78(2), pp. 163–167. </w:t>
      </w:r>
      <w:r w:rsidRPr="00322835">
        <w:rPr>
          <w:rFonts w:ascii="Arial" w:hAnsi="Arial" w:cs="Arial"/>
          <w:sz w:val="24"/>
          <w:szCs w:val="24"/>
          <w:lang w:val="fr-FR"/>
        </w:rPr>
        <w:t xml:space="preserve">Available at: </w:t>
      </w:r>
      <w:hyperlink r:id="rId23" w:history="1">
        <w:r w:rsidRPr="00322835">
          <w:rPr>
            <w:rStyle w:val="Hyperlink"/>
            <w:rFonts w:ascii="Arial" w:hAnsi="Arial" w:cs="Arial"/>
            <w:sz w:val="24"/>
            <w:szCs w:val="24"/>
            <w:lang w:val="fr-FR"/>
          </w:rPr>
          <w:t>https://doi.org/10.2105/ajph.78.2.163</w:t>
        </w:r>
      </w:hyperlink>
      <w:r w:rsidRPr="00322835">
        <w:rPr>
          <w:rFonts w:ascii="Arial" w:hAnsi="Arial" w:cs="Arial"/>
          <w:sz w:val="24"/>
          <w:szCs w:val="24"/>
          <w:lang w:val="fr-FR"/>
        </w:rPr>
        <w:t>.</w:t>
      </w:r>
    </w:p>
    <w:p w14:paraId="1B35D911" w14:textId="77777777" w:rsidR="00812564" w:rsidRPr="00322835" w:rsidRDefault="00812564" w:rsidP="0075525E">
      <w:pPr>
        <w:rPr>
          <w:rFonts w:ascii="Arial" w:hAnsi="Arial" w:cs="Arial"/>
          <w:sz w:val="24"/>
          <w:szCs w:val="24"/>
        </w:rPr>
      </w:pPr>
      <w:r w:rsidRPr="00812564">
        <w:rPr>
          <w:rFonts w:ascii="Arial" w:hAnsi="Arial" w:cs="Arial"/>
          <w:sz w:val="24"/>
          <w:szCs w:val="24"/>
          <w:lang w:val="fr-FR"/>
        </w:rPr>
        <w:t xml:space="preserve">Tran, V. et al. </w:t>
      </w:r>
      <w:r w:rsidRPr="00322835">
        <w:rPr>
          <w:rFonts w:ascii="Arial" w:hAnsi="Arial" w:cs="Arial"/>
          <w:sz w:val="24"/>
          <w:szCs w:val="24"/>
        </w:rPr>
        <w:t xml:space="preserve">(2021) “Assessing drug consumption rooms and longer term (5 year) impacts on community and clients,” Risk Management and Healthcare Policy, Volume 14, pp. 4639–4647. Available at: </w:t>
      </w:r>
      <w:hyperlink r:id="rId24" w:history="1">
        <w:r w:rsidRPr="00322835">
          <w:rPr>
            <w:rStyle w:val="Hyperlink"/>
            <w:rFonts w:ascii="Arial" w:hAnsi="Arial" w:cs="Arial"/>
            <w:sz w:val="24"/>
            <w:szCs w:val="24"/>
          </w:rPr>
          <w:t>https://doi.org/10.2147/rmhp.s244720</w:t>
        </w:r>
      </w:hyperlink>
      <w:r w:rsidRPr="00322835">
        <w:rPr>
          <w:rFonts w:ascii="Arial" w:hAnsi="Arial" w:cs="Arial"/>
          <w:sz w:val="24"/>
          <w:szCs w:val="24"/>
        </w:rPr>
        <w:t xml:space="preserve">. </w:t>
      </w:r>
    </w:p>
    <w:p w14:paraId="7BD51D1D" w14:textId="77777777" w:rsidR="00812564" w:rsidRPr="00322835" w:rsidRDefault="00812564" w:rsidP="0075525E">
      <w:pPr>
        <w:rPr>
          <w:rFonts w:ascii="Arial" w:hAnsi="Arial" w:cs="Arial"/>
          <w:sz w:val="24"/>
          <w:szCs w:val="24"/>
        </w:rPr>
      </w:pPr>
      <w:r w:rsidRPr="00322835">
        <w:rPr>
          <w:rFonts w:ascii="Arial" w:hAnsi="Arial" w:cs="Arial"/>
          <w:sz w:val="24"/>
          <w:szCs w:val="24"/>
        </w:rPr>
        <w:t xml:space="preserve">Transform (2021) “Drug decriminalisation in Portugal: setting the record straight” Available at: </w:t>
      </w:r>
      <w:hyperlink r:id="rId25" w:history="1">
        <w:r w:rsidRPr="00322835">
          <w:rPr>
            <w:rStyle w:val="Hyperlink"/>
            <w:rFonts w:ascii="Arial" w:hAnsi="Arial" w:cs="Arial"/>
            <w:sz w:val="24"/>
            <w:szCs w:val="24"/>
          </w:rPr>
          <w:t>https://transformdrugs.org/blog/drug-decriminalisation-in-portugal-setting-the-record-straight</w:t>
        </w:r>
      </w:hyperlink>
      <w:r w:rsidRPr="00322835">
        <w:rPr>
          <w:rFonts w:ascii="Arial" w:hAnsi="Arial" w:cs="Arial"/>
          <w:sz w:val="24"/>
          <w:szCs w:val="24"/>
        </w:rPr>
        <w:t xml:space="preserve"> (Accessed April 24, 2023)</w:t>
      </w:r>
    </w:p>
    <w:p w14:paraId="39CAEDBA" w14:textId="77777777" w:rsidR="00812564" w:rsidRPr="00322835" w:rsidRDefault="00812564" w:rsidP="002F15FE">
      <w:pPr>
        <w:rPr>
          <w:rFonts w:ascii="Arial" w:hAnsi="Arial" w:cs="Arial"/>
          <w:sz w:val="24"/>
          <w:szCs w:val="24"/>
        </w:rPr>
      </w:pPr>
      <w:r w:rsidRPr="00322835">
        <w:rPr>
          <w:rFonts w:ascii="Arial" w:hAnsi="Arial" w:cs="Arial"/>
          <w:sz w:val="24"/>
          <w:szCs w:val="24"/>
        </w:rPr>
        <w:t xml:space="preserve">UK Government (1998) “The Government's Ten-Year Strategy for Tackling Drugs Misuse” Available at: </w:t>
      </w:r>
      <w:hyperlink r:id="rId26" w:history="1">
        <w:r w:rsidRPr="00322835">
          <w:rPr>
            <w:rStyle w:val="Hyperlink"/>
            <w:rFonts w:ascii="Arial" w:hAnsi="Arial" w:cs="Arial"/>
            <w:sz w:val="24"/>
            <w:szCs w:val="24"/>
          </w:rPr>
          <w:t>https://assets.publishing.service.gov.uk/government/uploads/system/uploads/attachment_data/file/259785/3945.pdf</w:t>
        </w:r>
      </w:hyperlink>
      <w:r w:rsidRPr="00322835">
        <w:rPr>
          <w:rFonts w:ascii="Arial" w:hAnsi="Arial" w:cs="Arial"/>
          <w:sz w:val="24"/>
          <w:szCs w:val="24"/>
        </w:rPr>
        <w:t xml:space="preserve"> (Accessed: May 2, 2023)</w:t>
      </w:r>
    </w:p>
    <w:p w14:paraId="390ECCB7" w14:textId="77777777" w:rsidR="00812564" w:rsidRDefault="00812564" w:rsidP="00005093">
      <w:pPr>
        <w:rPr>
          <w:rFonts w:ascii="Arial" w:hAnsi="Arial" w:cs="Arial"/>
          <w:sz w:val="24"/>
          <w:szCs w:val="24"/>
        </w:rPr>
      </w:pPr>
      <w:r w:rsidRPr="00322835">
        <w:rPr>
          <w:rFonts w:ascii="Arial" w:hAnsi="Arial" w:cs="Arial"/>
          <w:sz w:val="24"/>
          <w:szCs w:val="24"/>
        </w:rPr>
        <w:t xml:space="preserve">Waddington, P.A. (2004) “In proportion: Race, and police stop and Search,” British Journal of Criminology, 44(6), pp. 889–914. Available at: </w:t>
      </w:r>
      <w:hyperlink r:id="rId27" w:history="1">
        <w:r w:rsidRPr="00322835">
          <w:rPr>
            <w:rStyle w:val="Hyperlink"/>
            <w:rFonts w:ascii="Arial" w:hAnsi="Arial" w:cs="Arial"/>
            <w:sz w:val="24"/>
            <w:szCs w:val="24"/>
          </w:rPr>
          <w:t>https://doi.org/10.1093/bjc/azh042</w:t>
        </w:r>
      </w:hyperlink>
      <w:r w:rsidRPr="00322835">
        <w:rPr>
          <w:rFonts w:ascii="Arial" w:hAnsi="Arial" w:cs="Arial"/>
          <w:sz w:val="24"/>
          <w:szCs w:val="24"/>
        </w:rPr>
        <w:t>.</w:t>
      </w:r>
    </w:p>
    <w:p w14:paraId="6BC82B4F" w14:textId="77777777" w:rsidR="009B62F1" w:rsidRDefault="009B62F1" w:rsidP="00AE4205">
      <w:pPr>
        <w:rPr>
          <w:rFonts w:ascii="Arial" w:hAnsi="Arial" w:cs="Arial"/>
          <w:sz w:val="24"/>
          <w:szCs w:val="24"/>
        </w:rPr>
      </w:pPr>
    </w:p>
    <w:p w14:paraId="4452D425" w14:textId="77777777" w:rsidR="002C5B32" w:rsidRPr="00322835" w:rsidRDefault="002C5B32" w:rsidP="00AE4205">
      <w:pPr>
        <w:rPr>
          <w:rFonts w:ascii="Arial" w:hAnsi="Arial" w:cs="Arial"/>
          <w:sz w:val="24"/>
          <w:szCs w:val="24"/>
        </w:rPr>
      </w:pPr>
    </w:p>
    <w:p w14:paraId="14638DA2" w14:textId="77777777" w:rsidR="00C745D9" w:rsidRPr="00F36BED" w:rsidRDefault="00C745D9" w:rsidP="00320B08"/>
    <w:p w14:paraId="5F916D12" w14:textId="77777777" w:rsidR="00650DFA" w:rsidRPr="00F36BED" w:rsidRDefault="00650DFA" w:rsidP="00320B08"/>
    <w:p w14:paraId="5166E0BC" w14:textId="77777777" w:rsidR="00650DFA" w:rsidRPr="00F36BED" w:rsidRDefault="00650DFA" w:rsidP="00320B08"/>
    <w:p w14:paraId="6B6DE73A" w14:textId="75BFBD01" w:rsidR="00320B08" w:rsidRPr="00F36BED" w:rsidRDefault="00320B08"/>
    <w:p w14:paraId="7BAA4E13" w14:textId="77777777" w:rsidR="00320B08" w:rsidRPr="00F36BED" w:rsidRDefault="00320B08"/>
    <w:p w14:paraId="37B5D9E9" w14:textId="2E5B0881" w:rsidR="00320B08" w:rsidRPr="00F36BED" w:rsidRDefault="00320B08"/>
    <w:p w14:paraId="763256E0" w14:textId="77777777" w:rsidR="00320B08" w:rsidRPr="00F36BED" w:rsidRDefault="00320B08"/>
    <w:p w14:paraId="167E7E60" w14:textId="77777777" w:rsidR="005D304F" w:rsidRPr="00F36BED" w:rsidRDefault="005D304F"/>
    <w:p w14:paraId="09B9E148" w14:textId="77777777" w:rsidR="005D304F" w:rsidRPr="00F36BED" w:rsidRDefault="005D304F"/>
    <w:p w14:paraId="2D24A0B2" w14:textId="1C2CE7CB" w:rsidR="005D304F" w:rsidRDefault="00B92F82">
      <w:r w:rsidRPr="00B92F82">
        <w:t xml:space="preserve">. </w:t>
      </w:r>
    </w:p>
    <w:p w14:paraId="5D04BB36" w14:textId="77777777" w:rsidR="00B92F82" w:rsidRDefault="00B92F82"/>
    <w:sectPr w:rsidR="00B92F82" w:rsidSect="005F22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789"/>
    <w:rsid w:val="00005093"/>
    <w:rsid w:val="000058AB"/>
    <w:rsid w:val="00013EE4"/>
    <w:rsid w:val="00042E8C"/>
    <w:rsid w:val="0004671C"/>
    <w:rsid w:val="00135865"/>
    <w:rsid w:val="00154735"/>
    <w:rsid w:val="00157221"/>
    <w:rsid w:val="001C7284"/>
    <w:rsid w:val="001F58B6"/>
    <w:rsid w:val="00224508"/>
    <w:rsid w:val="002435EF"/>
    <w:rsid w:val="00282EB4"/>
    <w:rsid w:val="00283EE6"/>
    <w:rsid w:val="002865D3"/>
    <w:rsid w:val="00290FA6"/>
    <w:rsid w:val="002C5B32"/>
    <w:rsid w:val="002F15FE"/>
    <w:rsid w:val="00320B08"/>
    <w:rsid w:val="00322835"/>
    <w:rsid w:val="00374525"/>
    <w:rsid w:val="00395656"/>
    <w:rsid w:val="00396167"/>
    <w:rsid w:val="003B6160"/>
    <w:rsid w:val="003C419A"/>
    <w:rsid w:val="003C50F0"/>
    <w:rsid w:val="003C7128"/>
    <w:rsid w:val="003D7814"/>
    <w:rsid w:val="003E465E"/>
    <w:rsid w:val="003F7885"/>
    <w:rsid w:val="00401E42"/>
    <w:rsid w:val="0040407A"/>
    <w:rsid w:val="00454F67"/>
    <w:rsid w:val="004554D9"/>
    <w:rsid w:val="00487D4C"/>
    <w:rsid w:val="004A3C9D"/>
    <w:rsid w:val="00500D56"/>
    <w:rsid w:val="00506B61"/>
    <w:rsid w:val="005213A6"/>
    <w:rsid w:val="005303A6"/>
    <w:rsid w:val="00533E6E"/>
    <w:rsid w:val="005576DD"/>
    <w:rsid w:val="005728C7"/>
    <w:rsid w:val="00594939"/>
    <w:rsid w:val="005A0BF4"/>
    <w:rsid w:val="005C5F61"/>
    <w:rsid w:val="005D304F"/>
    <w:rsid w:val="005F22F2"/>
    <w:rsid w:val="006260AD"/>
    <w:rsid w:val="00640541"/>
    <w:rsid w:val="00650DFA"/>
    <w:rsid w:val="006A193A"/>
    <w:rsid w:val="006B3A0A"/>
    <w:rsid w:val="006C1853"/>
    <w:rsid w:val="006F59B8"/>
    <w:rsid w:val="006F6634"/>
    <w:rsid w:val="00700062"/>
    <w:rsid w:val="00731A45"/>
    <w:rsid w:val="007505EB"/>
    <w:rsid w:val="0075525E"/>
    <w:rsid w:val="007C50B7"/>
    <w:rsid w:val="007D291E"/>
    <w:rsid w:val="007D4F90"/>
    <w:rsid w:val="007F70C9"/>
    <w:rsid w:val="00812564"/>
    <w:rsid w:val="008474CB"/>
    <w:rsid w:val="00863294"/>
    <w:rsid w:val="008A66A7"/>
    <w:rsid w:val="008C3629"/>
    <w:rsid w:val="008C7584"/>
    <w:rsid w:val="008E2175"/>
    <w:rsid w:val="008F5652"/>
    <w:rsid w:val="009266A1"/>
    <w:rsid w:val="009418AF"/>
    <w:rsid w:val="00942279"/>
    <w:rsid w:val="00966C87"/>
    <w:rsid w:val="009837BC"/>
    <w:rsid w:val="009A4E1D"/>
    <w:rsid w:val="009B62F1"/>
    <w:rsid w:val="00A00763"/>
    <w:rsid w:val="00A00D01"/>
    <w:rsid w:val="00A2358E"/>
    <w:rsid w:val="00A71F22"/>
    <w:rsid w:val="00A75901"/>
    <w:rsid w:val="00A77D15"/>
    <w:rsid w:val="00AA6D6E"/>
    <w:rsid w:val="00AD6978"/>
    <w:rsid w:val="00AE4205"/>
    <w:rsid w:val="00AF58BE"/>
    <w:rsid w:val="00B15883"/>
    <w:rsid w:val="00B33362"/>
    <w:rsid w:val="00B8622D"/>
    <w:rsid w:val="00B92F82"/>
    <w:rsid w:val="00BC03E5"/>
    <w:rsid w:val="00C17CBE"/>
    <w:rsid w:val="00C33AB8"/>
    <w:rsid w:val="00C63981"/>
    <w:rsid w:val="00C73F68"/>
    <w:rsid w:val="00C745D9"/>
    <w:rsid w:val="00CA0AC3"/>
    <w:rsid w:val="00CB77B5"/>
    <w:rsid w:val="00CE2E34"/>
    <w:rsid w:val="00CE58CB"/>
    <w:rsid w:val="00D05595"/>
    <w:rsid w:val="00D57605"/>
    <w:rsid w:val="00D60B4F"/>
    <w:rsid w:val="00D668C1"/>
    <w:rsid w:val="00D8007F"/>
    <w:rsid w:val="00D9519A"/>
    <w:rsid w:val="00DA4D95"/>
    <w:rsid w:val="00DD3789"/>
    <w:rsid w:val="00E0313D"/>
    <w:rsid w:val="00E10EB7"/>
    <w:rsid w:val="00E42128"/>
    <w:rsid w:val="00E7127A"/>
    <w:rsid w:val="00E95D4E"/>
    <w:rsid w:val="00EA76BE"/>
    <w:rsid w:val="00F30271"/>
    <w:rsid w:val="00F36BED"/>
    <w:rsid w:val="00FA5DE0"/>
    <w:rsid w:val="00FB18FA"/>
    <w:rsid w:val="00FD4A84"/>
    <w:rsid w:val="00FE3189"/>
    <w:rsid w:val="00FF5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21AE"/>
  <w15:chartTrackingRefBased/>
  <w15:docId w15:val="{C788F4A7-CE53-470E-B4DB-BDEEAE5A6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5865"/>
    <w:rPr>
      <w:color w:val="0563C1" w:themeColor="hyperlink"/>
      <w:u w:val="single"/>
    </w:rPr>
  </w:style>
  <w:style w:type="character" w:styleId="UnresolvedMention">
    <w:name w:val="Unresolved Mention"/>
    <w:basedOn w:val="DefaultParagraphFont"/>
    <w:uiPriority w:val="99"/>
    <w:semiHidden/>
    <w:unhideWhenUsed/>
    <w:rsid w:val="00135865"/>
    <w:rPr>
      <w:color w:val="605E5C"/>
      <w:shd w:val="clear" w:color="auto" w:fill="E1DFDD"/>
    </w:rPr>
  </w:style>
  <w:style w:type="paragraph" w:styleId="NoSpacing">
    <w:name w:val="No Spacing"/>
    <w:link w:val="NoSpacingChar"/>
    <w:uiPriority w:val="1"/>
    <w:qFormat/>
    <w:rsid w:val="005F22F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F22F2"/>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7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706820" TargetMode="External"/><Relationship Id="rId13" Type="http://schemas.openxmlformats.org/officeDocument/2006/relationships/hyperlink" Target="https://www.justiceinspectorates.gov.uk/hmicfrs/wp-content/uploads/disproportionate-use-of-police-powers-spotlight-on-stop-search-and-use-of-force.pdf" TargetMode="External"/><Relationship Id="rId18" Type="http://schemas.openxmlformats.org/officeDocument/2006/relationships/hyperlink" Target="https://gceps.princeton.edu/wp-content/uploads/2017/01/189lee.pdf" TargetMode="External"/><Relationship Id="rId26" Type="http://schemas.openxmlformats.org/officeDocument/2006/relationships/hyperlink" Target="https://assets.publishing.service.gov.uk/government/uploads/system/uploads/attachment_data/file/259785/3945.pdf" TargetMode="External"/><Relationship Id="rId3" Type="http://schemas.openxmlformats.org/officeDocument/2006/relationships/settings" Target="settings.xml"/><Relationship Id="rId21" Type="http://schemas.openxmlformats.org/officeDocument/2006/relationships/hyperlink" Target="https://www.police.uk/pu/your-area/metropolitan-police-service/performance/stop-and-search/?tc=E05000362" TargetMode="External"/><Relationship Id="rId7" Type="http://schemas.openxmlformats.org/officeDocument/2006/relationships/hyperlink" Target="https://www.ojp.gov/ncjrs/virtual-library/abstracts/effectiveness-court-ordered-punishment-fines-versus-no-punishment" TargetMode="External"/><Relationship Id="rId12" Type="http://schemas.openxmlformats.org/officeDocument/2006/relationships/hyperlink" Target="https://doi.org/10.1093/jtm/tax068" TargetMode="External"/><Relationship Id="rId17" Type="http://schemas.openxmlformats.org/officeDocument/2006/relationships/hyperlink" Target="https://doi.org/10.1007/s11904-017-0363-y" TargetMode="External"/><Relationship Id="rId25" Type="http://schemas.openxmlformats.org/officeDocument/2006/relationships/hyperlink" Target="https://transformdrugs.org/blog/drug-decriminalisation-in-portugal-setting-the-record-straight" TargetMode="External"/><Relationship Id="rId2" Type="http://schemas.openxmlformats.org/officeDocument/2006/relationships/styles" Target="styles.xml"/><Relationship Id="rId16" Type="http://schemas.openxmlformats.org/officeDocument/2006/relationships/hyperlink" Target="https://www.house.mn.gov/hrd/pubs/deterrence.pdf" TargetMode="External"/><Relationship Id="rId20" Type="http://schemas.openxmlformats.org/officeDocument/2006/relationships/hyperlink" Target="https://doi.org/10.1177/0003122422107578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oi.org/10.1001/jamapsychiatry.2019.3254" TargetMode="External"/><Relationship Id="rId11" Type="http://schemas.openxmlformats.org/officeDocument/2006/relationships/hyperlink" Target="https://www.emcdda.europa.eu/topics/pods/drug-consumption-rooms_en" TargetMode="External"/><Relationship Id="rId24" Type="http://schemas.openxmlformats.org/officeDocument/2006/relationships/hyperlink" Target="https://doi.org/10.2147/rmhp.s244720" TargetMode="External"/><Relationship Id="rId5" Type="http://schemas.openxmlformats.org/officeDocument/2006/relationships/hyperlink" Target="https://www.rand.org/pubs/research_briefs/RB6009.html" TargetMode="External"/><Relationship Id="rId15" Type="http://schemas.openxmlformats.org/officeDocument/2006/relationships/hyperlink" Target="https://doi.org/10.2105/ajph.2007.125849" TargetMode="External"/><Relationship Id="rId23" Type="http://schemas.openxmlformats.org/officeDocument/2006/relationships/hyperlink" Target="https://doi.org/10.2105/ajph.78.2.163" TargetMode="External"/><Relationship Id="rId28" Type="http://schemas.openxmlformats.org/officeDocument/2006/relationships/fontTable" Target="fontTable.xml"/><Relationship Id="rId10" Type="http://schemas.openxmlformats.org/officeDocument/2006/relationships/hyperlink" Target="https://www.ojp.gov/ncjrs/virtual-library/abstracts/legalizing-drugs-would-reduce-crime-illegal-drugs-p-115-117-1998" TargetMode="External"/><Relationship Id="rId19" Type="http://schemas.openxmlformats.org/officeDocument/2006/relationships/hyperlink" Target="https://nij.ojp.gov/topics/articles/five-things-about-deterrence" TargetMode="External"/><Relationship Id="rId4" Type="http://schemas.openxmlformats.org/officeDocument/2006/relationships/webSettings" Target="webSettings.xml"/><Relationship Id="rId9" Type="http://schemas.openxmlformats.org/officeDocument/2006/relationships/hyperlink" Target="https://www.drugwise.org.uk/wp-content/uploads/Tackling-drugs-together.pdf" TargetMode="External"/><Relationship Id="rId14" Type="http://schemas.openxmlformats.org/officeDocument/2006/relationships/hyperlink" Target="https://doi.org/10.1093/pubmed/fdac114" TargetMode="External"/><Relationship Id="rId22" Type="http://schemas.openxmlformats.org/officeDocument/2006/relationships/hyperlink" Target="https://www.jstor.org/stable/26537058" TargetMode="External"/><Relationship Id="rId27" Type="http://schemas.openxmlformats.org/officeDocument/2006/relationships/hyperlink" Target="https://doi.org/10.1093/bjc/azh0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2023-05-05T00:00:00</PublishDate>
  <Abstract/>
  <CompanyAddress/>
  <CompanyPhone/>
  <CompanyFax/>
  <CompanyEmail>SN: 1800281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SN: 1800281</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war on drugs: Does it really solve the problem?</dc:title>
  <dc:subject/>
  <dc:creator>Christopher Grey</dc:creator>
  <cp:keywords/>
  <dc:description/>
  <cp:lastModifiedBy>Christopher Grey</cp:lastModifiedBy>
  <cp:revision>4</cp:revision>
  <dcterms:created xsi:type="dcterms:W3CDTF">2023-05-05T16:58:00Z</dcterms:created>
  <dcterms:modified xsi:type="dcterms:W3CDTF">2023-05-05T17:10:00Z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f134038e-ad12-4237-9039-857d734e6605</vt:lpwstr>
  </property>
</Properties>
</file>