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C87BE2" w14:textId="16A5A51A" w:rsidR="00E375C8" w:rsidRPr="00B275A8" w:rsidRDefault="00E375C8" w:rsidP="00E375C8">
      <w:pPr>
        <w:jc w:val="center"/>
        <w:rPr>
          <w:sz w:val="28"/>
          <w:szCs w:val="28"/>
          <w:lang w:val="en-US"/>
        </w:rPr>
      </w:pPr>
      <w:r w:rsidRPr="00B275A8">
        <w:rPr>
          <w:b/>
          <w:bCs/>
          <w:sz w:val="28"/>
          <w:szCs w:val="28"/>
          <w:lang w:val="en-US"/>
        </w:rPr>
        <w:t>Essential Academic Skills for Study</w:t>
      </w:r>
    </w:p>
    <w:p w14:paraId="24455D0D" w14:textId="77777777" w:rsidR="00E375C8" w:rsidRPr="00E375C8" w:rsidRDefault="00E375C8" w:rsidP="00E375C8">
      <w:pPr>
        <w:rPr>
          <w:lang w:val="en-US"/>
        </w:rPr>
      </w:pPr>
      <w:r w:rsidRPr="00E375C8">
        <w:rPr>
          <w:lang w:val="en-US"/>
        </w:rPr>
        <w:t> </w:t>
      </w:r>
    </w:p>
    <w:p w14:paraId="140F8E4C" w14:textId="561B1BFB" w:rsidR="00E375C8" w:rsidRPr="00E375C8" w:rsidRDefault="00E375C8" w:rsidP="00E375C8">
      <w:pPr>
        <w:rPr>
          <w:lang w:val="en-US"/>
        </w:rPr>
      </w:pPr>
      <w:r w:rsidRPr="00E375C8">
        <w:rPr>
          <w:lang w:val="en-US"/>
        </w:rPr>
        <w:t>Effective study at university requires a combination of core academic skills that enable students to engage critically with information and communicate their understanding. Critical thinking is central, as it allows students to analyze arguments, question assumptions, and make informed judgments (Cottrell, 2017)</w:t>
      </w:r>
      <w:sdt>
        <w:sdtPr>
          <w:rPr>
            <w:lang w:val="en-US"/>
          </w:rPr>
          <w:id w:val="-1803534354"/>
          <w:citation/>
        </w:sdtPr>
        <w:sdtContent>
          <w:r w:rsidR="00A77158">
            <w:rPr>
              <w:lang w:val="en-US"/>
            </w:rPr>
            <w:fldChar w:fldCharType="begin"/>
          </w:r>
          <w:r w:rsidR="00A77158">
            <w:instrText xml:space="preserve"> CITATION Ste17 \l 2057 </w:instrText>
          </w:r>
          <w:r w:rsidR="00A77158">
            <w:rPr>
              <w:lang w:val="en-US"/>
            </w:rPr>
            <w:fldChar w:fldCharType="separate"/>
          </w:r>
          <w:r w:rsidR="00030F06">
            <w:rPr>
              <w:noProof/>
            </w:rPr>
            <w:t xml:space="preserve"> </w:t>
          </w:r>
          <w:r w:rsidR="00030F06" w:rsidRPr="00030F06">
            <w:rPr>
              <w:noProof/>
            </w:rPr>
            <w:t>[1]</w:t>
          </w:r>
          <w:r w:rsidR="00A77158">
            <w:rPr>
              <w:lang w:val="en-US"/>
            </w:rPr>
            <w:fldChar w:fldCharType="end"/>
          </w:r>
        </w:sdtContent>
      </w:sdt>
      <w:r w:rsidRPr="00E375C8">
        <w:rPr>
          <w:lang w:val="en-US"/>
        </w:rPr>
        <w:t>. Alongside this, academic reading enables learners to interpret complex texts, identify key ideas, and evaluate evidence. </w:t>
      </w:r>
    </w:p>
    <w:p w14:paraId="33D2B388" w14:textId="7B4A3095" w:rsidR="00E375C8" w:rsidRPr="00E375C8" w:rsidRDefault="00E375C8" w:rsidP="00E375C8">
      <w:pPr>
        <w:rPr>
          <w:lang w:val="en-US"/>
        </w:rPr>
      </w:pPr>
      <w:r w:rsidRPr="00E375C8">
        <w:rPr>
          <w:lang w:val="en-US"/>
        </w:rPr>
        <w:t>Academic writing is equally important because it provides a structured way to present arguments clearly and coherently. This includes paraphrasing, synthesizing sources, and referencing accurately to avoid plagiarism (Neville, 2010)</w:t>
      </w:r>
      <w:sdt>
        <w:sdtPr>
          <w:rPr>
            <w:lang w:val="en-US"/>
          </w:rPr>
          <w:id w:val="-680117356"/>
          <w:citation/>
        </w:sdtPr>
        <w:sdtContent>
          <w:r w:rsidR="00A77158">
            <w:rPr>
              <w:lang w:val="en-US"/>
            </w:rPr>
            <w:fldChar w:fldCharType="begin"/>
          </w:r>
          <w:r w:rsidR="00A77158">
            <w:instrText xml:space="preserve"> CITATION Col10 \l 2057 </w:instrText>
          </w:r>
          <w:r w:rsidR="00A77158">
            <w:rPr>
              <w:lang w:val="en-US"/>
            </w:rPr>
            <w:fldChar w:fldCharType="separate"/>
          </w:r>
          <w:r w:rsidR="00030F06">
            <w:rPr>
              <w:noProof/>
            </w:rPr>
            <w:t xml:space="preserve"> </w:t>
          </w:r>
          <w:r w:rsidR="00030F06" w:rsidRPr="00030F06">
            <w:rPr>
              <w:noProof/>
            </w:rPr>
            <w:t>[2]</w:t>
          </w:r>
          <w:r w:rsidR="00A77158">
            <w:rPr>
              <w:lang w:val="en-US"/>
            </w:rPr>
            <w:fldChar w:fldCharType="end"/>
          </w:r>
        </w:sdtContent>
      </w:sdt>
      <w:r w:rsidRPr="00E375C8">
        <w:rPr>
          <w:lang w:val="en-US"/>
        </w:rPr>
        <w:t>. Strong research skills support these processes by helping students locate credible academic sources and assess their reliability. </w:t>
      </w:r>
    </w:p>
    <w:p w14:paraId="353E2B8B" w14:textId="6403F3AE" w:rsidR="00E375C8" w:rsidRPr="00E375C8" w:rsidRDefault="00E375C8" w:rsidP="00E375C8">
      <w:pPr>
        <w:rPr>
          <w:lang w:val="en-US"/>
        </w:rPr>
      </w:pPr>
      <w:r w:rsidRPr="00E375C8">
        <w:rPr>
          <w:lang w:val="en-US"/>
        </w:rPr>
        <w:t>In addition, time management is essential for balancing deadlines, independent study, and revision. Students who plan effectively are better able to maintain consistent progress and reduce stress (Macan et al., 1990)</w:t>
      </w:r>
      <w:sdt>
        <w:sdtPr>
          <w:rPr>
            <w:lang w:val="en-US"/>
          </w:rPr>
          <w:id w:val="-1027714290"/>
          <w:citation/>
        </w:sdtPr>
        <w:sdtContent>
          <w:r w:rsidR="00A77158">
            <w:rPr>
              <w:lang w:val="en-US"/>
            </w:rPr>
            <w:fldChar w:fldCharType="begin"/>
          </w:r>
          <w:r w:rsidR="00A77158">
            <w:instrText xml:space="preserve"> CITATION HMa90 \l 2057 </w:instrText>
          </w:r>
          <w:r w:rsidR="00A77158">
            <w:rPr>
              <w:lang w:val="en-US"/>
            </w:rPr>
            <w:fldChar w:fldCharType="separate"/>
          </w:r>
          <w:r w:rsidR="00030F06">
            <w:rPr>
              <w:noProof/>
            </w:rPr>
            <w:t xml:space="preserve"> </w:t>
          </w:r>
          <w:r w:rsidR="00030F06" w:rsidRPr="00030F06">
            <w:rPr>
              <w:noProof/>
            </w:rPr>
            <w:t>[3]</w:t>
          </w:r>
          <w:r w:rsidR="00A77158">
            <w:rPr>
              <w:lang w:val="en-US"/>
            </w:rPr>
            <w:fldChar w:fldCharType="end"/>
          </w:r>
        </w:sdtContent>
      </w:sdt>
      <w:r w:rsidRPr="00E375C8">
        <w:rPr>
          <w:lang w:val="en-US"/>
        </w:rPr>
        <w:t>. Finally, note</w:t>
      </w:r>
      <w:r w:rsidRPr="00E375C8">
        <w:rPr>
          <w:lang w:val="en-US"/>
        </w:rPr>
        <w:noBreakHyphen/>
        <w:t>taking helps organize information and supports long</w:t>
      </w:r>
      <w:r w:rsidRPr="00E375C8">
        <w:rPr>
          <w:lang w:val="en-US"/>
        </w:rPr>
        <w:noBreakHyphen/>
        <w:t>term understanding. </w:t>
      </w:r>
    </w:p>
    <w:p w14:paraId="2D1943BF" w14:textId="77777777" w:rsidR="00E375C8" w:rsidRDefault="00E375C8" w:rsidP="00E375C8">
      <w:pPr>
        <w:rPr>
          <w:lang w:val="en-US"/>
        </w:rPr>
      </w:pPr>
      <w:r w:rsidRPr="00E375C8">
        <w:rPr>
          <w:lang w:val="en-US"/>
        </w:rPr>
        <w:t>Together, these skills form the foundation for successful, independent learning and long</w:t>
      </w:r>
      <w:r w:rsidRPr="00E375C8">
        <w:rPr>
          <w:lang w:val="en-US"/>
        </w:rPr>
        <w:noBreakHyphen/>
        <w:t>term academic achievement that would help students build a successful career at the end of their studies. </w:t>
      </w:r>
    </w:p>
    <w:p w14:paraId="63004AC4" w14:textId="77777777" w:rsidR="008C388C" w:rsidRDefault="008C388C" w:rsidP="00E375C8">
      <w:pPr>
        <w:rPr>
          <w:lang w:val="en-US"/>
        </w:rPr>
      </w:pPr>
    </w:p>
    <w:p w14:paraId="4B927112" w14:textId="77777777" w:rsidR="008C388C" w:rsidRDefault="008C388C" w:rsidP="00E375C8">
      <w:pPr>
        <w:rPr>
          <w:lang w:val="en-US"/>
        </w:rPr>
      </w:pPr>
    </w:p>
    <w:p w14:paraId="7F97FF6D" w14:textId="79B963E3" w:rsidR="008C388C" w:rsidRPr="00B275A8" w:rsidRDefault="00B275A8" w:rsidP="00B275A8">
      <w:pPr>
        <w:jc w:val="center"/>
        <w:rPr>
          <w:b/>
          <w:bCs/>
          <w:sz w:val="28"/>
          <w:szCs w:val="28"/>
          <w:lang w:val="en-US"/>
        </w:rPr>
      </w:pPr>
      <w:r w:rsidRPr="00B275A8">
        <w:rPr>
          <w:b/>
          <w:bCs/>
          <w:sz w:val="28"/>
          <w:szCs w:val="28"/>
          <w:lang w:val="en-US"/>
        </w:rPr>
        <w:t>Employment Skills</w:t>
      </w:r>
    </w:p>
    <w:p w14:paraId="608F3BFD" w14:textId="77777777" w:rsidR="00E375C8" w:rsidRDefault="00E375C8" w:rsidP="00E375C8">
      <w:pPr>
        <w:rPr>
          <w:lang w:val="en-US"/>
        </w:rPr>
      </w:pPr>
    </w:p>
    <w:p w14:paraId="627ABB15" w14:textId="2E51A593" w:rsidR="00B275A8" w:rsidRPr="00030F06" w:rsidRDefault="00B275A8" w:rsidP="00B275A8">
      <w:r w:rsidRPr="00030F06">
        <w:t>Employment skills are essential for success in modern workplaces, where employers increasingly value a combination of technical and interpersonal abilities. One key skill is communication, as employees must express ideas clearly, collaborate effectively, and adapt their style to different audiences. The World Economic Forum (2023)</w:t>
      </w:r>
      <w:sdt>
        <w:sdtPr>
          <w:id w:val="-80452471"/>
          <w:citation/>
        </w:sdtPr>
        <w:sdtContent>
          <w:r w:rsidR="00030F06">
            <w:fldChar w:fldCharType="begin"/>
          </w:r>
          <w:r w:rsidR="00030F06">
            <w:instrText xml:space="preserve"> CITATION Wor23 \l 2057 </w:instrText>
          </w:r>
          <w:r w:rsidR="00030F06">
            <w:fldChar w:fldCharType="separate"/>
          </w:r>
          <w:r w:rsidR="00030F06">
            <w:rPr>
              <w:noProof/>
            </w:rPr>
            <w:t xml:space="preserve"> </w:t>
          </w:r>
          <w:r w:rsidR="00030F06" w:rsidRPr="00030F06">
            <w:rPr>
              <w:noProof/>
            </w:rPr>
            <w:t>[4]</w:t>
          </w:r>
          <w:r w:rsidR="00030F06">
            <w:fldChar w:fldCharType="end"/>
          </w:r>
        </w:sdtContent>
      </w:sdt>
      <w:r w:rsidRPr="00030F06">
        <w:t xml:space="preserve"> highlights communication and collaboration as core future</w:t>
      </w:r>
      <w:r w:rsidRPr="00030F06">
        <w:noBreakHyphen/>
        <w:t>work competencies, emphasising their importance across industries.</w:t>
      </w:r>
    </w:p>
    <w:p w14:paraId="19680E17" w14:textId="5062BA4F" w:rsidR="00B275A8" w:rsidRPr="00030F06" w:rsidRDefault="00B275A8" w:rsidP="00B275A8">
      <w:r w:rsidRPr="00030F06">
        <w:t>Another critical area is problem</w:t>
      </w:r>
      <w:r w:rsidRPr="00030F06">
        <w:noBreakHyphen/>
        <w:t>solving, which enables individuals to analyse situations, evaluate options, and implement effective solutions. Research by Robles (2012)</w:t>
      </w:r>
      <w:sdt>
        <w:sdtPr>
          <w:id w:val="-95489303"/>
          <w:citation/>
        </w:sdtPr>
        <w:sdtContent>
          <w:r w:rsidR="00030F06">
            <w:fldChar w:fldCharType="begin"/>
          </w:r>
          <w:r w:rsidR="00030F06">
            <w:instrText xml:space="preserve"> CITATION Mar12 \l 2057 </w:instrText>
          </w:r>
          <w:r w:rsidR="00030F06">
            <w:fldChar w:fldCharType="separate"/>
          </w:r>
          <w:r w:rsidR="00030F06">
            <w:rPr>
              <w:noProof/>
            </w:rPr>
            <w:t xml:space="preserve"> </w:t>
          </w:r>
          <w:r w:rsidR="00030F06" w:rsidRPr="00030F06">
            <w:rPr>
              <w:noProof/>
            </w:rPr>
            <w:t>[5]</w:t>
          </w:r>
          <w:r w:rsidR="00030F06">
            <w:fldChar w:fldCharType="end"/>
          </w:r>
        </w:sdtContent>
      </w:sdt>
      <w:r w:rsidRPr="00030F06">
        <w:t xml:space="preserve"> shows that employers consistently rank problem</w:t>
      </w:r>
      <w:r w:rsidRPr="00030F06">
        <w:noBreakHyphen/>
        <w:t>solving and critical thinking among the most desirable employability skills.</w:t>
      </w:r>
    </w:p>
    <w:p w14:paraId="47F14CB1" w14:textId="77777777" w:rsidR="00B275A8" w:rsidRPr="00B275A8" w:rsidRDefault="00B275A8" w:rsidP="00B275A8">
      <w:r w:rsidRPr="00B275A8">
        <w:lastRenderedPageBreak/>
        <w:t xml:space="preserve">In addition, digital literacy has become essential due to the growing use of technology in everyday work tasks. Employees must be able to use digital tools, manage information, and learn new systems quickly. </w:t>
      </w:r>
      <w:r w:rsidRPr="00030F06">
        <w:t>Time management</w:t>
      </w:r>
      <w:r w:rsidRPr="00B275A8">
        <w:t xml:space="preserve"> also plays a significant role in workplace performance, helping individuals prioritise tasks, meet deadlines, and maintain productivity.</w:t>
      </w:r>
    </w:p>
    <w:p w14:paraId="0F17EEF5" w14:textId="77777777" w:rsidR="00B275A8" w:rsidRPr="00B275A8" w:rsidRDefault="00B275A8" w:rsidP="00B275A8">
      <w:r w:rsidRPr="00B275A8">
        <w:t>Together, these employment skills support adaptability, professional growth, and long</w:t>
      </w:r>
      <w:r w:rsidRPr="00B275A8">
        <w:noBreakHyphen/>
        <w:t>term career success in an evolving labour market.</w:t>
      </w:r>
    </w:p>
    <w:p w14:paraId="5DAF0642" w14:textId="77777777" w:rsidR="00B275A8" w:rsidRDefault="00B275A8" w:rsidP="00E375C8">
      <w:pPr>
        <w:rPr>
          <w:lang w:val="en-US"/>
        </w:rPr>
      </w:pPr>
    </w:p>
    <w:p w14:paraId="1AB8D41B" w14:textId="77777777" w:rsidR="00E375C8" w:rsidRDefault="00E375C8" w:rsidP="00E375C8">
      <w:pPr>
        <w:rPr>
          <w:lang w:val="en-US"/>
        </w:rPr>
      </w:pPr>
    </w:p>
    <w:p w14:paraId="07BC5E1C" w14:textId="77777777" w:rsidR="00E375C8" w:rsidRDefault="00E375C8" w:rsidP="00E375C8">
      <w:pPr>
        <w:rPr>
          <w:lang w:val="en-US"/>
        </w:rPr>
      </w:pPr>
    </w:p>
    <w:p w14:paraId="38FA2C52" w14:textId="77777777" w:rsidR="00E375C8" w:rsidRDefault="00E375C8" w:rsidP="00E375C8">
      <w:pPr>
        <w:rPr>
          <w:lang w:val="en-US"/>
        </w:rPr>
      </w:pPr>
    </w:p>
    <w:p w14:paraId="72136D24" w14:textId="77777777" w:rsidR="00E375C8" w:rsidRDefault="00E375C8" w:rsidP="00E375C8">
      <w:pPr>
        <w:rPr>
          <w:lang w:val="en-US"/>
        </w:rPr>
      </w:pPr>
    </w:p>
    <w:p w14:paraId="63A10E64" w14:textId="77777777" w:rsidR="00E375C8" w:rsidRDefault="00E375C8" w:rsidP="00E375C8">
      <w:pPr>
        <w:rPr>
          <w:lang w:val="en-US"/>
        </w:rPr>
      </w:pPr>
    </w:p>
    <w:p w14:paraId="2975F705" w14:textId="77777777" w:rsidR="00E375C8" w:rsidRDefault="00E375C8" w:rsidP="00E375C8">
      <w:pPr>
        <w:rPr>
          <w:lang w:val="en-US"/>
        </w:rPr>
      </w:pPr>
    </w:p>
    <w:p w14:paraId="5CAD7D6A" w14:textId="77777777" w:rsidR="00E375C8" w:rsidRDefault="00E375C8" w:rsidP="00E375C8">
      <w:pPr>
        <w:rPr>
          <w:lang w:val="en-US"/>
        </w:rPr>
      </w:pPr>
    </w:p>
    <w:p w14:paraId="594DE6D3" w14:textId="77777777" w:rsidR="00E375C8" w:rsidRDefault="00E375C8" w:rsidP="00E375C8">
      <w:pPr>
        <w:rPr>
          <w:lang w:val="en-US"/>
        </w:rPr>
      </w:pPr>
    </w:p>
    <w:p w14:paraId="50D50D03" w14:textId="77777777" w:rsidR="00E375C8" w:rsidRDefault="00E375C8" w:rsidP="00E375C8">
      <w:pPr>
        <w:rPr>
          <w:lang w:val="en-US"/>
        </w:rPr>
      </w:pPr>
    </w:p>
    <w:p w14:paraId="4240CADF" w14:textId="77777777" w:rsidR="00E375C8" w:rsidRDefault="00E375C8" w:rsidP="00E375C8">
      <w:pPr>
        <w:rPr>
          <w:lang w:val="en-US"/>
        </w:rPr>
      </w:pPr>
    </w:p>
    <w:p w14:paraId="528A90CC" w14:textId="77777777" w:rsidR="00B275A8" w:rsidRDefault="00B275A8" w:rsidP="00E375C8">
      <w:pPr>
        <w:rPr>
          <w:lang w:val="en-US"/>
        </w:rPr>
      </w:pPr>
    </w:p>
    <w:p w14:paraId="758FBAFC" w14:textId="77777777" w:rsidR="00B275A8" w:rsidRDefault="00B275A8" w:rsidP="00E375C8">
      <w:pPr>
        <w:rPr>
          <w:lang w:val="en-US"/>
        </w:rPr>
      </w:pPr>
    </w:p>
    <w:p w14:paraId="31BDE648" w14:textId="77777777" w:rsidR="00B275A8" w:rsidRDefault="00B275A8" w:rsidP="00E375C8">
      <w:pPr>
        <w:rPr>
          <w:lang w:val="en-US"/>
        </w:rPr>
      </w:pPr>
    </w:p>
    <w:p w14:paraId="4B456A76" w14:textId="77777777" w:rsidR="00B275A8" w:rsidRDefault="00B275A8" w:rsidP="00E375C8">
      <w:pPr>
        <w:rPr>
          <w:lang w:val="en-US"/>
        </w:rPr>
      </w:pPr>
    </w:p>
    <w:p w14:paraId="6CFDAA3E" w14:textId="77777777" w:rsidR="00B275A8" w:rsidRDefault="00B275A8" w:rsidP="00E375C8">
      <w:pPr>
        <w:rPr>
          <w:lang w:val="en-US"/>
        </w:rPr>
      </w:pPr>
    </w:p>
    <w:p w14:paraId="6D3E1787" w14:textId="77777777" w:rsidR="00B275A8" w:rsidRDefault="00B275A8" w:rsidP="00E375C8">
      <w:pPr>
        <w:rPr>
          <w:lang w:val="en-US"/>
        </w:rPr>
      </w:pPr>
    </w:p>
    <w:p w14:paraId="2B4F5914" w14:textId="77777777" w:rsidR="00B275A8" w:rsidRDefault="00B275A8" w:rsidP="00E375C8">
      <w:pPr>
        <w:rPr>
          <w:lang w:val="en-US"/>
        </w:rPr>
      </w:pPr>
    </w:p>
    <w:p w14:paraId="471EC994" w14:textId="77777777" w:rsidR="00B275A8" w:rsidRDefault="00B275A8" w:rsidP="00E375C8">
      <w:pPr>
        <w:rPr>
          <w:lang w:val="en-US"/>
        </w:rPr>
      </w:pPr>
    </w:p>
    <w:p w14:paraId="327867FB" w14:textId="77777777" w:rsidR="00B275A8" w:rsidRDefault="00B275A8" w:rsidP="00E375C8">
      <w:pPr>
        <w:rPr>
          <w:lang w:val="en-US"/>
        </w:rPr>
      </w:pPr>
    </w:p>
    <w:p w14:paraId="578FA9A1" w14:textId="77777777" w:rsidR="00B275A8" w:rsidRDefault="00B275A8" w:rsidP="00E375C8">
      <w:pPr>
        <w:rPr>
          <w:lang w:val="en-US"/>
        </w:rPr>
      </w:pPr>
    </w:p>
    <w:p w14:paraId="5D7C70EF" w14:textId="77777777" w:rsidR="00B275A8" w:rsidRDefault="00B275A8" w:rsidP="00E375C8">
      <w:pPr>
        <w:rPr>
          <w:lang w:val="en-US"/>
        </w:rPr>
      </w:pPr>
    </w:p>
    <w:sdt>
      <w:sdtPr>
        <w:id w:val="1957760898"/>
        <w:docPartObj>
          <w:docPartGallery w:val="Bibliographies"/>
          <w:docPartUnique/>
        </w:docPartObj>
      </w:sdtPr>
      <w:sdtEndPr>
        <w:rPr>
          <w:rFonts w:asciiTheme="minorHAnsi" w:eastAsiaTheme="minorHAnsi" w:hAnsiTheme="minorHAnsi" w:cstheme="minorBidi"/>
          <w:color w:val="auto"/>
          <w:sz w:val="24"/>
          <w:szCs w:val="24"/>
        </w:rPr>
      </w:sdtEndPr>
      <w:sdtContent>
        <w:p w14:paraId="5D8D716A" w14:textId="125000CA" w:rsidR="00A77158" w:rsidRDefault="00A77158">
          <w:pPr>
            <w:pStyle w:val="Heading1"/>
          </w:pPr>
          <w:r>
            <w:t>References</w:t>
          </w:r>
        </w:p>
        <w:sdt>
          <w:sdtPr>
            <w:id w:val="-573587230"/>
            <w:bibliography/>
          </w:sdtPr>
          <w:sdtContent>
            <w:p w14:paraId="2D0D3E99" w14:textId="77777777" w:rsidR="00030F06" w:rsidRDefault="00A7715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030F06" w14:paraId="02537FF6" w14:textId="77777777">
                <w:trPr>
                  <w:divId w:val="1630937973"/>
                  <w:tblCellSpacing w:w="15" w:type="dxa"/>
                </w:trPr>
                <w:tc>
                  <w:tcPr>
                    <w:tcW w:w="50" w:type="pct"/>
                    <w:hideMark/>
                  </w:tcPr>
                  <w:p w14:paraId="49E4FDD7" w14:textId="155305AB" w:rsidR="00030F06" w:rsidRDefault="00030F06">
                    <w:pPr>
                      <w:pStyle w:val="Bibliography"/>
                      <w:rPr>
                        <w:noProof/>
                        <w:kern w:val="0"/>
                        <w14:ligatures w14:val="none"/>
                      </w:rPr>
                    </w:pPr>
                    <w:r>
                      <w:rPr>
                        <w:noProof/>
                      </w:rPr>
                      <w:t xml:space="preserve">[1] </w:t>
                    </w:r>
                  </w:p>
                </w:tc>
                <w:tc>
                  <w:tcPr>
                    <w:tcW w:w="0" w:type="auto"/>
                    <w:hideMark/>
                  </w:tcPr>
                  <w:p w14:paraId="70EAFF5D" w14:textId="77777777" w:rsidR="00030F06" w:rsidRDefault="00030F06">
                    <w:pPr>
                      <w:pStyle w:val="Bibliography"/>
                      <w:rPr>
                        <w:noProof/>
                      </w:rPr>
                    </w:pPr>
                    <w:r>
                      <w:rPr>
                        <w:noProof/>
                      </w:rPr>
                      <w:t>S. Cottrell, “Bloomsbury,” 14 March 2017. [Online]. Available: https://www.bloomsbury.com/uk/.</w:t>
                    </w:r>
                  </w:p>
                </w:tc>
              </w:tr>
              <w:tr w:rsidR="00030F06" w14:paraId="57BAAFEE" w14:textId="77777777">
                <w:trPr>
                  <w:divId w:val="1630937973"/>
                  <w:tblCellSpacing w:w="15" w:type="dxa"/>
                </w:trPr>
                <w:tc>
                  <w:tcPr>
                    <w:tcW w:w="50" w:type="pct"/>
                    <w:hideMark/>
                  </w:tcPr>
                  <w:p w14:paraId="5860A681" w14:textId="77777777" w:rsidR="00030F06" w:rsidRDefault="00030F06">
                    <w:pPr>
                      <w:pStyle w:val="Bibliography"/>
                      <w:rPr>
                        <w:noProof/>
                      </w:rPr>
                    </w:pPr>
                    <w:r>
                      <w:rPr>
                        <w:noProof/>
                      </w:rPr>
                      <w:t xml:space="preserve">[2] </w:t>
                    </w:r>
                  </w:p>
                </w:tc>
                <w:tc>
                  <w:tcPr>
                    <w:tcW w:w="0" w:type="auto"/>
                    <w:hideMark/>
                  </w:tcPr>
                  <w:p w14:paraId="0EE08E2B" w14:textId="77777777" w:rsidR="00030F06" w:rsidRDefault="00030F06">
                    <w:pPr>
                      <w:pStyle w:val="Bibliography"/>
                      <w:rPr>
                        <w:noProof/>
                      </w:rPr>
                    </w:pPr>
                    <w:r>
                      <w:rPr>
                        <w:noProof/>
                      </w:rPr>
                      <w:t>C. Neville, “MH Education,” 16 February 2010. [Online]. Available: https://www.mheducation.co.uk/.</w:t>
                    </w:r>
                  </w:p>
                </w:tc>
              </w:tr>
              <w:tr w:rsidR="00030F06" w14:paraId="652EBCE0" w14:textId="77777777">
                <w:trPr>
                  <w:divId w:val="1630937973"/>
                  <w:tblCellSpacing w:w="15" w:type="dxa"/>
                </w:trPr>
                <w:tc>
                  <w:tcPr>
                    <w:tcW w:w="50" w:type="pct"/>
                    <w:hideMark/>
                  </w:tcPr>
                  <w:p w14:paraId="2FFC3306" w14:textId="77777777" w:rsidR="00030F06" w:rsidRDefault="00030F06">
                    <w:pPr>
                      <w:pStyle w:val="Bibliography"/>
                      <w:rPr>
                        <w:noProof/>
                      </w:rPr>
                    </w:pPr>
                    <w:r>
                      <w:rPr>
                        <w:noProof/>
                      </w:rPr>
                      <w:t xml:space="preserve">[3] </w:t>
                    </w:r>
                  </w:p>
                </w:tc>
                <w:tc>
                  <w:tcPr>
                    <w:tcW w:w="0" w:type="auto"/>
                    <w:hideMark/>
                  </w:tcPr>
                  <w:p w14:paraId="793E46CA" w14:textId="77777777" w:rsidR="00030F06" w:rsidRDefault="00030F06">
                    <w:pPr>
                      <w:pStyle w:val="Bibliography"/>
                      <w:rPr>
                        <w:noProof/>
                      </w:rPr>
                    </w:pPr>
                    <w:r>
                      <w:rPr>
                        <w:noProof/>
                      </w:rPr>
                      <w:t>M. T. H., “DOI,” December 1990. [Online]. Available: https://doi.org/10.1037/0022-0663.82.4.760.</w:t>
                    </w:r>
                  </w:p>
                </w:tc>
              </w:tr>
              <w:tr w:rsidR="00030F06" w14:paraId="60433090" w14:textId="77777777">
                <w:trPr>
                  <w:divId w:val="1630937973"/>
                  <w:tblCellSpacing w:w="15" w:type="dxa"/>
                </w:trPr>
                <w:tc>
                  <w:tcPr>
                    <w:tcW w:w="50" w:type="pct"/>
                    <w:hideMark/>
                  </w:tcPr>
                  <w:p w14:paraId="4D10C334" w14:textId="77777777" w:rsidR="00030F06" w:rsidRDefault="00030F06">
                    <w:pPr>
                      <w:pStyle w:val="Bibliography"/>
                      <w:rPr>
                        <w:noProof/>
                      </w:rPr>
                    </w:pPr>
                    <w:r>
                      <w:rPr>
                        <w:noProof/>
                      </w:rPr>
                      <w:t xml:space="preserve">[4] </w:t>
                    </w:r>
                  </w:p>
                </w:tc>
                <w:tc>
                  <w:tcPr>
                    <w:tcW w:w="0" w:type="auto"/>
                    <w:hideMark/>
                  </w:tcPr>
                  <w:p w14:paraId="171D75F7" w14:textId="77777777" w:rsidR="00030F06" w:rsidRDefault="00030F06">
                    <w:pPr>
                      <w:pStyle w:val="Bibliography"/>
                      <w:rPr>
                        <w:noProof/>
                      </w:rPr>
                    </w:pPr>
                    <w:r>
                      <w:rPr>
                        <w:noProof/>
                      </w:rPr>
                      <w:t>W. E. Forum, “The Future of Jobs Report,” 30 April 2023. [Online]. Available: https://www.weforum.org/publications/the-future-of-jobs-report-2023/.</w:t>
                    </w:r>
                  </w:p>
                </w:tc>
              </w:tr>
              <w:tr w:rsidR="00030F06" w14:paraId="3AADC7F4" w14:textId="77777777">
                <w:trPr>
                  <w:divId w:val="1630937973"/>
                  <w:tblCellSpacing w:w="15" w:type="dxa"/>
                </w:trPr>
                <w:tc>
                  <w:tcPr>
                    <w:tcW w:w="50" w:type="pct"/>
                    <w:hideMark/>
                  </w:tcPr>
                  <w:p w14:paraId="0CAAE81F" w14:textId="77777777" w:rsidR="00030F06" w:rsidRDefault="00030F06">
                    <w:pPr>
                      <w:pStyle w:val="Bibliography"/>
                      <w:rPr>
                        <w:noProof/>
                      </w:rPr>
                    </w:pPr>
                    <w:r>
                      <w:rPr>
                        <w:noProof/>
                      </w:rPr>
                      <w:t xml:space="preserve">[5] </w:t>
                    </w:r>
                  </w:p>
                </w:tc>
                <w:tc>
                  <w:tcPr>
                    <w:tcW w:w="0" w:type="auto"/>
                    <w:hideMark/>
                  </w:tcPr>
                  <w:p w14:paraId="13979EA4" w14:textId="77777777" w:rsidR="00030F06" w:rsidRDefault="00030F06">
                    <w:pPr>
                      <w:pStyle w:val="Bibliography"/>
                      <w:rPr>
                        <w:noProof/>
                      </w:rPr>
                    </w:pPr>
                    <w:r>
                      <w:rPr>
                        <w:noProof/>
                      </w:rPr>
                      <w:t>M. M. Robles, “Sage Journals,” 08 October 2012. [Online]. Available: https://journals.sagepub.com/doi/10.1177/1080569912460400.</w:t>
                    </w:r>
                  </w:p>
                </w:tc>
              </w:tr>
            </w:tbl>
            <w:p w14:paraId="37DCB555" w14:textId="77777777" w:rsidR="00030F06" w:rsidRDefault="00030F06">
              <w:pPr>
                <w:divId w:val="1630937973"/>
                <w:rPr>
                  <w:rFonts w:eastAsia="Times New Roman"/>
                  <w:noProof/>
                </w:rPr>
              </w:pPr>
            </w:p>
            <w:p w14:paraId="1644D902" w14:textId="6A48AB1F" w:rsidR="00A77158" w:rsidRDefault="00A77158">
              <w:r>
                <w:rPr>
                  <w:b/>
                  <w:bCs/>
                  <w:noProof/>
                </w:rPr>
                <w:fldChar w:fldCharType="end"/>
              </w:r>
            </w:p>
          </w:sdtContent>
        </w:sdt>
      </w:sdtContent>
    </w:sdt>
    <w:p w14:paraId="38378351" w14:textId="77777777" w:rsidR="00E375C8" w:rsidRPr="00E375C8" w:rsidRDefault="00E375C8" w:rsidP="00E375C8">
      <w:pPr>
        <w:rPr>
          <w:lang w:val="en-US"/>
        </w:rPr>
      </w:pPr>
    </w:p>
    <w:p w14:paraId="45E6DEBA" w14:textId="77777777" w:rsidR="00E375C8" w:rsidRDefault="00E375C8"/>
    <w:sectPr w:rsidR="00E375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75C8"/>
    <w:rsid w:val="00030F06"/>
    <w:rsid w:val="001F32C2"/>
    <w:rsid w:val="003A655A"/>
    <w:rsid w:val="008C388C"/>
    <w:rsid w:val="00A77158"/>
    <w:rsid w:val="00B275A8"/>
    <w:rsid w:val="00DB5F45"/>
    <w:rsid w:val="00E375C8"/>
    <w:rsid w:val="00EA4C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2ED486"/>
  <w15:chartTrackingRefBased/>
  <w15:docId w15:val="{A7BF81B5-492F-470F-852F-818A353566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75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75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75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75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75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75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75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75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75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75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75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75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75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75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75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75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75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75C8"/>
    <w:rPr>
      <w:rFonts w:eastAsiaTheme="majorEastAsia" w:cstheme="majorBidi"/>
      <w:color w:val="272727" w:themeColor="text1" w:themeTint="D8"/>
    </w:rPr>
  </w:style>
  <w:style w:type="paragraph" w:styleId="Title">
    <w:name w:val="Title"/>
    <w:basedOn w:val="Normal"/>
    <w:next w:val="Normal"/>
    <w:link w:val="TitleChar"/>
    <w:uiPriority w:val="10"/>
    <w:qFormat/>
    <w:rsid w:val="00E375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75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75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75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75C8"/>
    <w:pPr>
      <w:spacing w:before="160"/>
      <w:jc w:val="center"/>
    </w:pPr>
    <w:rPr>
      <w:i/>
      <w:iCs/>
      <w:color w:val="404040" w:themeColor="text1" w:themeTint="BF"/>
    </w:rPr>
  </w:style>
  <w:style w:type="character" w:customStyle="1" w:styleId="QuoteChar">
    <w:name w:val="Quote Char"/>
    <w:basedOn w:val="DefaultParagraphFont"/>
    <w:link w:val="Quote"/>
    <w:uiPriority w:val="29"/>
    <w:rsid w:val="00E375C8"/>
    <w:rPr>
      <w:i/>
      <w:iCs/>
      <w:color w:val="404040" w:themeColor="text1" w:themeTint="BF"/>
    </w:rPr>
  </w:style>
  <w:style w:type="paragraph" w:styleId="ListParagraph">
    <w:name w:val="List Paragraph"/>
    <w:basedOn w:val="Normal"/>
    <w:uiPriority w:val="34"/>
    <w:qFormat/>
    <w:rsid w:val="00E375C8"/>
    <w:pPr>
      <w:ind w:left="720"/>
      <w:contextualSpacing/>
    </w:pPr>
  </w:style>
  <w:style w:type="character" w:styleId="IntenseEmphasis">
    <w:name w:val="Intense Emphasis"/>
    <w:basedOn w:val="DefaultParagraphFont"/>
    <w:uiPriority w:val="21"/>
    <w:qFormat/>
    <w:rsid w:val="00E375C8"/>
    <w:rPr>
      <w:i/>
      <w:iCs/>
      <w:color w:val="0F4761" w:themeColor="accent1" w:themeShade="BF"/>
    </w:rPr>
  </w:style>
  <w:style w:type="paragraph" w:styleId="IntenseQuote">
    <w:name w:val="Intense Quote"/>
    <w:basedOn w:val="Normal"/>
    <w:next w:val="Normal"/>
    <w:link w:val="IntenseQuoteChar"/>
    <w:uiPriority w:val="30"/>
    <w:qFormat/>
    <w:rsid w:val="00E375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75C8"/>
    <w:rPr>
      <w:i/>
      <w:iCs/>
      <w:color w:val="0F4761" w:themeColor="accent1" w:themeShade="BF"/>
    </w:rPr>
  </w:style>
  <w:style w:type="character" w:styleId="IntenseReference">
    <w:name w:val="Intense Reference"/>
    <w:basedOn w:val="DefaultParagraphFont"/>
    <w:uiPriority w:val="32"/>
    <w:qFormat/>
    <w:rsid w:val="00E375C8"/>
    <w:rPr>
      <w:b/>
      <w:bCs/>
      <w:smallCaps/>
      <w:color w:val="0F4761" w:themeColor="accent1" w:themeShade="BF"/>
      <w:spacing w:val="5"/>
    </w:rPr>
  </w:style>
  <w:style w:type="paragraph" w:styleId="Bibliography">
    <w:name w:val="Bibliography"/>
    <w:basedOn w:val="Normal"/>
    <w:next w:val="Normal"/>
    <w:uiPriority w:val="37"/>
    <w:unhideWhenUsed/>
    <w:rsid w:val="00A771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856575">
      <w:bodyDiv w:val="1"/>
      <w:marLeft w:val="0"/>
      <w:marRight w:val="0"/>
      <w:marTop w:val="0"/>
      <w:marBottom w:val="0"/>
      <w:divBdr>
        <w:top w:val="none" w:sz="0" w:space="0" w:color="auto"/>
        <w:left w:val="none" w:sz="0" w:space="0" w:color="auto"/>
        <w:bottom w:val="none" w:sz="0" w:space="0" w:color="auto"/>
        <w:right w:val="none" w:sz="0" w:space="0" w:color="auto"/>
      </w:divBdr>
    </w:div>
    <w:div w:id="444227213">
      <w:bodyDiv w:val="1"/>
      <w:marLeft w:val="0"/>
      <w:marRight w:val="0"/>
      <w:marTop w:val="0"/>
      <w:marBottom w:val="0"/>
      <w:divBdr>
        <w:top w:val="none" w:sz="0" w:space="0" w:color="auto"/>
        <w:left w:val="none" w:sz="0" w:space="0" w:color="auto"/>
        <w:bottom w:val="none" w:sz="0" w:space="0" w:color="auto"/>
        <w:right w:val="none" w:sz="0" w:space="0" w:color="auto"/>
      </w:divBdr>
    </w:div>
    <w:div w:id="516771572">
      <w:bodyDiv w:val="1"/>
      <w:marLeft w:val="0"/>
      <w:marRight w:val="0"/>
      <w:marTop w:val="0"/>
      <w:marBottom w:val="0"/>
      <w:divBdr>
        <w:top w:val="none" w:sz="0" w:space="0" w:color="auto"/>
        <w:left w:val="none" w:sz="0" w:space="0" w:color="auto"/>
        <w:bottom w:val="none" w:sz="0" w:space="0" w:color="auto"/>
        <w:right w:val="none" w:sz="0" w:space="0" w:color="auto"/>
      </w:divBdr>
    </w:div>
    <w:div w:id="730349503">
      <w:bodyDiv w:val="1"/>
      <w:marLeft w:val="0"/>
      <w:marRight w:val="0"/>
      <w:marTop w:val="0"/>
      <w:marBottom w:val="0"/>
      <w:divBdr>
        <w:top w:val="none" w:sz="0" w:space="0" w:color="auto"/>
        <w:left w:val="none" w:sz="0" w:space="0" w:color="auto"/>
        <w:bottom w:val="none" w:sz="0" w:space="0" w:color="auto"/>
        <w:right w:val="none" w:sz="0" w:space="0" w:color="auto"/>
      </w:divBdr>
    </w:div>
    <w:div w:id="741173734">
      <w:bodyDiv w:val="1"/>
      <w:marLeft w:val="0"/>
      <w:marRight w:val="0"/>
      <w:marTop w:val="0"/>
      <w:marBottom w:val="0"/>
      <w:divBdr>
        <w:top w:val="none" w:sz="0" w:space="0" w:color="auto"/>
        <w:left w:val="none" w:sz="0" w:space="0" w:color="auto"/>
        <w:bottom w:val="none" w:sz="0" w:space="0" w:color="auto"/>
        <w:right w:val="none" w:sz="0" w:space="0" w:color="auto"/>
      </w:divBdr>
    </w:div>
    <w:div w:id="802889026">
      <w:bodyDiv w:val="1"/>
      <w:marLeft w:val="0"/>
      <w:marRight w:val="0"/>
      <w:marTop w:val="0"/>
      <w:marBottom w:val="0"/>
      <w:divBdr>
        <w:top w:val="none" w:sz="0" w:space="0" w:color="auto"/>
        <w:left w:val="none" w:sz="0" w:space="0" w:color="auto"/>
        <w:bottom w:val="none" w:sz="0" w:space="0" w:color="auto"/>
        <w:right w:val="none" w:sz="0" w:space="0" w:color="auto"/>
      </w:divBdr>
    </w:div>
    <w:div w:id="993028960">
      <w:bodyDiv w:val="1"/>
      <w:marLeft w:val="0"/>
      <w:marRight w:val="0"/>
      <w:marTop w:val="0"/>
      <w:marBottom w:val="0"/>
      <w:divBdr>
        <w:top w:val="none" w:sz="0" w:space="0" w:color="auto"/>
        <w:left w:val="none" w:sz="0" w:space="0" w:color="auto"/>
        <w:bottom w:val="none" w:sz="0" w:space="0" w:color="auto"/>
        <w:right w:val="none" w:sz="0" w:space="0" w:color="auto"/>
      </w:divBdr>
    </w:div>
    <w:div w:id="1039937774">
      <w:bodyDiv w:val="1"/>
      <w:marLeft w:val="0"/>
      <w:marRight w:val="0"/>
      <w:marTop w:val="0"/>
      <w:marBottom w:val="0"/>
      <w:divBdr>
        <w:top w:val="none" w:sz="0" w:space="0" w:color="auto"/>
        <w:left w:val="none" w:sz="0" w:space="0" w:color="auto"/>
        <w:bottom w:val="none" w:sz="0" w:space="0" w:color="auto"/>
        <w:right w:val="none" w:sz="0" w:space="0" w:color="auto"/>
      </w:divBdr>
    </w:div>
    <w:div w:id="1080755602">
      <w:bodyDiv w:val="1"/>
      <w:marLeft w:val="0"/>
      <w:marRight w:val="0"/>
      <w:marTop w:val="0"/>
      <w:marBottom w:val="0"/>
      <w:divBdr>
        <w:top w:val="none" w:sz="0" w:space="0" w:color="auto"/>
        <w:left w:val="none" w:sz="0" w:space="0" w:color="auto"/>
        <w:bottom w:val="none" w:sz="0" w:space="0" w:color="auto"/>
        <w:right w:val="none" w:sz="0" w:space="0" w:color="auto"/>
      </w:divBdr>
    </w:div>
    <w:div w:id="1118140077">
      <w:bodyDiv w:val="1"/>
      <w:marLeft w:val="0"/>
      <w:marRight w:val="0"/>
      <w:marTop w:val="0"/>
      <w:marBottom w:val="0"/>
      <w:divBdr>
        <w:top w:val="none" w:sz="0" w:space="0" w:color="auto"/>
        <w:left w:val="none" w:sz="0" w:space="0" w:color="auto"/>
        <w:bottom w:val="none" w:sz="0" w:space="0" w:color="auto"/>
        <w:right w:val="none" w:sz="0" w:space="0" w:color="auto"/>
      </w:divBdr>
    </w:div>
    <w:div w:id="1138453993">
      <w:bodyDiv w:val="1"/>
      <w:marLeft w:val="0"/>
      <w:marRight w:val="0"/>
      <w:marTop w:val="0"/>
      <w:marBottom w:val="0"/>
      <w:divBdr>
        <w:top w:val="none" w:sz="0" w:space="0" w:color="auto"/>
        <w:left w:val="none" w:sz="0" w:space="0" w:color="auto"/>
        <w:bottom w:val="none" w:sz="0" w:space="0" w:color="auto"/>
        <w:right w:val="none" w:sz="0" w:space="0" w:color="auto"/>
      </w:divBdr>
    </w:div>
    <w:div w:id="1195772182">
      <w:bodyDiv w:val="1"/>
      <w:marLeft w:val="0"/>
      <w:marRight w:val="0"/>
      <w:marTop w:val="0"/>
      <w:marBottom w:val="0"/>
      <w:divBdr>
        <w:top w:val="none" w:sz="0" w:space="0" w:color="auto"/>
        <w:left w:val="none" w:sz="0" w:space="0" w:color="auto"/>
        <w:bottom w:val="none" w:sz="0" w:space="0" w:color="auto"/>
        <w:right w:val="none" w:sz="0" w:space="0" w:color="auto"/>
      </w:divBdr>
    </w:div>
    <w:div w:id="1219586731">
      <w:bodyDiv w:val="1"/>
      <w:marLeft w:val="0"/>
      <w:marRight w:val="0"/>
      <w:marTop w:val="0"/>
      <w:marBottom w:val="0"/>
      <w:divBdr>
        <w:top w:val="none" w:sz="0" w:space="0" w:color="auto"/>
        <w:left w:val="none" w:sz="0" w:space="0" w:color="auto"/>
        <w:bottom w:val="none" w:sz="0" w:space="0" w:color="auto"/>
        <w:right w:val="none" w:sz="0" w:space="0" w:color="auto"/>
      </w:divBdr>
    </w:div>
    <w:div w:id="1224221616">
      <w:bodyDiv w:val="1"/>
      <w:marLeft w:val="0"/>
      <w:marRight w:val="0"/>
      <w:marTop w:val="0"/>
      <w:marBottom w:val="0"/>
      <w:divBdr>
        <w:top w:val="none" w:sz="0" w:space="0" w:color="auto"/>
        <w:left w:val="none" w:sz="0" w:space="0" w:color="auto"/>
        <w:bottom w:val="none" w:sz="0" w:space="0" w:color="auto"/>
        <w:right w:val="none" w:sz="0" w:space="0" w:color="auto"/>
      </w:divBdr>
    </w:div>
    <w:div w:id="1248271072">
      <w:bodyDiv w:val="1"/>
      <w:marLeft w:val="0"/>
      <w:marRight w:val="0"/>
      <w:marTop w:val="0"/>
      <w:marBottom w:val="0"/>
      <w:divBdr>
        <w:top w:val="none" w:sz="0" w:space="0" w:color="auto"/>
        <w:left w:val="none" w:sz="0" w:space="0" w:color="auto"/>
        <w:bottom w:val="none" w:sz="0" w:space="0" w:color="auto"/>
        <w:right w:val="none" w:sz="0" w:space="0" w:color="auto"/>
      </w:divBdr>
    </w:div>
    <w:div w:id="1289697719">
      <w:bodyDiv w:val="1"/>
      <w:marLeft w:val="0"/>
      <w:marRight w:val="0"/>
      <w:marTop w:val="0"/>
      <w:marBottom w:val="0"/>
      <w:divBdr>
        <w:top w:val="none" w:sz="0" w:space="0" w:color="auto"/>
        <w:left w:val="none" w:sz="0" w:space="0" w:color="auto"/>
        <w:bottom w:val="none" w:sz="0" w:space="0" w:color="auto"/>
        <w:right w:val="none" w:sz="0" w:space="0" w:color="auto"/>
      </w:divBdr>
    </w:div>
    <w:div w:id="1630937973">
      <w:bodyDiv w:val="1"/>
      <w:marLeft w:val="0"/>
      <w:marRight w:val="0"/>
      <w:marTop w:val="0"/>
      <w:marBottom w:val="0"/>
      <w:divBdr>
        <w:top w:val="none" w:sz="0" w:space="0" w:color="auto"/>
        <w:left w:val="none" w:sz="0" w:space="0" w:color="auto"/>
        <w:bottom w:val="none" w:sz="0" w:space="0" w:color="auto"/>
        <w:right w:val="none" w:sz="0" w:space="0" w:color="auto"/>
      </w:divBdr>
    </w:div>
    <w:div w:id="1803116102">
      <w:bodyDiv w:val="1"/>
      <w:marLeft w:val="0"/>
      <w:marRight w:val="0"/>
      <w:marTop w:val="0"/>
      <w:marBottom w:val="0"/>
      <w:divBdr>
        <w:top w:val="none" w:sz="0" w:space="0" w:color="auto"/>
        <w:left w:val="none" w:sz="0" w:space="0" w:color="auto"/>
        <w:bottom w:val="none" w:sz="0" w:space="0" w:color="auto"/>
        <w:right w:val="none" w:sz="0" w:space="0" w:color="auto"/>
      </w:divBdr>
    </w:div>
    <w:div w:id="19920518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Ste17</b:Tag>
    <b:SourceType>DocumentFromInternetSite</b:SourceType>
    <b:Guid>{062E962F-A4EC-4C77-BCF6-C0D4C1855FB0}</b:Guid>
    <b:Author>
      <b:Author>
        <b:NameList>
          <b:Person>
            <b:Last>Cottrell</b:Last>
            <b:First>Stella</b:First>
          </b:Person>
        </b:NameList>
      </b:Author>
    </b:Author>
    <b:Title>Bloomsbury</b:Title>
    <b:Year>2017</b:Year>
    <b:Month>March</b:Month>
    <b:Day>14</b:Day>
    <b:URL>https://www.bloomsbury.com/uk/</b:URL>
    <b:RefOrder>1</b:RefOrder>
  </b:Source>
  <b:Source>
    <b:Tag>Col10</b:Tag>
    <b:SourceType>DocumentFromInternetSite</b:SourceType>
    <b:Guid>{2F871A4B-26C0-4D6E-9BF3-3178E2E88387}</b:Guid>
    <b:Author>
      <b:Author>
        <b:NameList>
          <b:Person>
            <b:Last>Neville</b:Last>
            <b:First>Colin</b:First>
          </b:Person>
        </b:NameList>
      </b:Author>
    </b:Author>
    <b:Title>MH Education</b:Title>
    <b:Year>2010</b:Year>
    <b:Month>February</b:Month>
    <b:Day>16</b:Day>
    <b:URL>https://www.mheducation.co.uk/</b:URL>
    <b:RefOrder>2</b:RefOrder>
  </b:Source>
  <b:Source>
    <b:Tag>HMa90</b:Tag>
    <b:SourceType>InternetSite</b:SourceType>
    <b:Guid>{2C220FD1-2D98-41DE-A53D-067A8A8CB347}</b:Guid>
    <b:Author>
      <b:Author>
        <b:NameList>
          <b:Person>
            <b:Last>H.</b:Last>
            <b:First>Macan</b:First>
            <b:Middle>T.</b:Middle>
          </b:Person>
        </b:NameList>
      </b:Author>
    </b:Author>
    <b:Title>DOI</b:Title>
    <b:Year>1990</b:Year>
    <b:Month>December</b:Month>
    <b:URL>https://doi.org/10.1037/0022-0663.82.4.760</b:URL>
    <b:RefOrder>3</b:RefOrder>
  </b:Source>
  <b:Source>
    <b:Tag>Wor23</b:Tag>
    <b:SourceType>InternetSite</b:SourceType>
    <b:Guid>{DADEFDAE-34D9-4689-B002-B90FFB42B00B}</b:Guid>
    <b:Author>
      <b:Author>
        <b:NameList>
          <b:Person>
            <b:Last>Forum</b:Last>
            <b:First>World</b:First>
            <b:Middle>Economic</b:Middle>
          </b:Person>
        </b:NameList>
      </b:Author>
    </b:Author>
    <b:Title>The Future of Jobs Report</b:Title>
    <b:Year>2023</b:Year>
    <b:Month>April</b:Month>
    <b:Day>30</b:Day>
    <b:URL>https://www.weforum.org/publications/the-future-of-jobs-report-2023/</b:URL>
    <b:RefOrder>4</b:RefOrder>
  </b:Source>
  <b:Source>
    <b:Tag>Mar12</b:Tag>
    <b:SourceType>InternetSite</b:SourceType>
    <b:Guid>{5DBE9EAF-7243-4BAB-A6C4-BDBD6642CF4F}</b:Guid>
    <b:Author>
      <b:Author>
        <b:NameList>
          <b:Person>
            <b:Last>Robles</b:Last>
            <b:First>Marcel</b:First>
            <b:Middle>M.</b:Middle>
          </b:Person>
        </b:NameList>
      </b:Author>
    </b:Author>
    <b:Title>Sage Journals</b:Title>
    <b:Year>2012</b:Year>
    <b:Month>October</b:Month>
    <b:Day>08</b:Day>
    <b:URL>https://journals.sagepub.com/doi/10.1177/1080569912460400</b:URL>
    <b:RefOrder>5</b:RefOrder>
  </b:Source>
</b:Sources>
</file>

<file path=customXml/itemProps1.xml><?xml version="1.0" encoding="utf-8"?>
<ds:datastoreItem xmlns:ds="http://schemas.openxmlformats.org/officeDocument/2006/customXml" ds:itemID="{9A685D89-C9F7-4A4C-B8D0-8EC4F1CC92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512</Words>
  <Characters>2920</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Alexandru-Constantin Cristea (2540498)</dc:creator>
  <cp:keywords/>
  <dc:description/>
  <cp:lastModifiedBy>Alexandru-Constantin Cristea (2540498)</cp:lastModifiedBy>
  <cp:revision>2</cp:revision>
  <dcterms:created xsi:type="dcterms:W3CDTF">2026-06-25T13:51:00Z</dcterms:created>
  <dcterms:modified xsi:type="dcterms:W3CDTF">2026-06-25T13:51:00Z</dcterms:modified>
</cp:coreProperties>
</file>