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44290483" w14:textId="77C437D8"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03E52">
              <w:rPr>
                <w:b/>
                <w:color w:val="auto"/>
                <w:sz w:val="32"/>
              </w:rPr>
              <w:t>Jack Ison</w:t>
            </w:r>
          </w:p>
          <w:p w14:paraId="64BE2A5E" w14:textId="77777777" w:rsidR="00D03E52" w:rsidRDefault="00D03E52" w:rsidP="00340E9A">
            <w:pPr>
              <w:overflowPunct/>
              <w:autoSpaceDE/>
              <w:autoSpaceDN/>
              <w:adjustRightInd/>
              <w:ind w:right="237"/>
              <w:textAlignment w:val="auto"/>
              <w:rPr>
                <w:b/>
                <w:color w:val="auto"/>
                <w:sz w:val="32"/>
              </w:rPr>
            </w:pPr>
          </w:p>
          <w:p w14:paraId="4A4B1989" w14:textId="357F03B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03E52">
              <w:rPr>
                <w:b/>
                <w:color w:val="auto"/>
                <w:sz w:val="32"/>
              </w:rPr>
              <w:t xml:space="preserve"> 2024039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30255"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A542852" w14:textId="14CF614F" w:rsidR="00654982" w:rsidRDefault="00654982" w:rsidP="00340E9A">
      <w:pPr>
        <w:ind w:right="237"/>
        <w:jc w:val="both"/>
        <w:rPr>
          <w:sz w:val="24"/>
          <w:szCs w:val="24"/>
        </w:rPr>
      </w:pPr>
    </w:p>
    <w:p w14:paraId="43837633" w14:textId="4A93EF3A" w:rsidR="00417199" w:rsidRPr="00417199" w:rsidRDefault="00417199" w:rsidP="00417199">
      <w:pPr>
        <w:ind w:right="237"/>
        <w:jc w:val="both"/>
        <w:rPr>
          <w:sz w:val="24"/>
          <w:szCs w:val="24"/>
        </w:rPr>
      </w:pPr>
      <w:r w:rsidRPr="00417199">
        <w:rPr>
          <w:sz w:val="24"/>
          <w:szCs w:val="24"/>
        </w:rPr>
        <w:t>In this is essay I will focus on the coping strategies I have used since joining as a constable in tutorship. I will reflect</w:t>
      </w:r>
      <w:r w:rsidR="005E1DA0">
        <w:rPr>
          <w:sz w:val="24"/>
          <w:szCs w:val="24"/>
        </w:rPr>
        <w:t>,</w:t>
      </w:r>
      <w:r w:rsidRPr="00417199">
        <w:rPr>
          <w:sz w:val="24"/>
          <w:szCs w:val="24"/>
        </w:rPr>
        <w:t xml:space="preserve"> applying proven sources of information and the importance of food intake vs shift pattern and I will elaborate on the necessity of speaking to colleagues over stress within my workplace. From the moment I </w:t>
      </w:r>
      <w:r w:rsidR="005E1DA0">
        <w:rPr>
          <w:sz w:val="24"/>
          <w:szCs w:val="24"/>
        </w:rPr>
        <w:t xml:space="preserve">commenced </w:t>
      </w:r>
      <w:r w:rsidRPr="00417199">
        <w:rPr>
          <w:sz w:val="24"/>
          <w:szCs w:val="24"/>
        </w:rPr>
        <w:t>the tutorship after my initial 6 months, things became intense. I found myself beginning to manage and take on my first set of workloads, write up large reports which were very time consuming and respond to emergency calls sometimes one after another. This immediately began to take me out of my comfort zone, and it was abundantly clear that stress was beginning to build and on occasions a lot more than I wanted. I understood the lifestyle changes which were fast approaching and the challenges I would likely face. With this in mind I decided to focus on the methods mention to conquer the challenges ahead.</w:t>
      </w:r>
    </w:p>
    <w:p w14:paraId="7433803C" w14:textId="77777777" w:rsidR="00417199" w:rsidRDefault="00417199" w:rsidP="00417199">
      <w:pPr>
        <w:ind w:right="237"/>
        <w:jc w:val="both"/>
        <w:rPr>
          <w:sz w:val="24"/>
          <w:szCs w:val="24"/>
        </w:rPr>
      </w:pPr>
    </w:p>
    <w:p w14:paraId="255A54F3" w14:textId="74D03FFB" w:rsidR="00417199" w:rsidRPr="00417199" w:rsidRDefault="00417199" w:rsidP="00417199">
      <w:pPr>
        <w:ind w:right="237"/>
        <w:jc w:val="both"/>
        <w:rPr>
          <w:sz w:val="24"/>
          <w:szCs w:val="24"/>
        </w:rPr>
      </w:pPr>
      <w:r w:rsidRPr="00417199">
        <w:rPr>
          <w:sz w:val="24"/>
          <w:szCs w:val="24"/>
        </w:rPr>
        <w:t>Borton’s model of reflection (1970) as depicted by John Dabell is a process and or tool which allows the user to describe the steps taken, this in turn creates a free flowing analyse of different stages and how someone has overcome a hurdle in their path. (Dabell, 2018). The first stage of Borton’s reflective model is ‘What?’, I established that since joining the tutorship that pressure had ramped up and I was expected to put the legislation and skills I had learnt from my 6 months training into full practice. I found that in order to perform to the best of my abilities and deliver a professional public service, I would need to make sure I was fuelled and energised ready for my shift.  Alongside this I also discovered that I would be subject to unpleasant things and that talking to colleagues and seeking help with my struggles mentally or physically would be key to moving forward.</w:t>
      </w:r>
    </w:p>
    <w:p w14:paraId="74607DC4" w14:textId="77777777" w:rsidR="00417199" w:rsidRDefault="00417199" w:rsidP="00417199">
      <w:pPr>
        <w:ind w:right="237"/>
        <w:jc w:val="both"/>
        <w:rPr>
          <w:sz w:val="24"/>
          <w:szCs w:val="24"/>
        </w:rPr>
      </w:pPr>
    </w:p>
    <w:p w14:paraId="1579C0A0" w14:textId="76CB67F8" w:rsidR="00417199" w:rsidRPr="00417199" w:rsidRDefault="00417199" w:rsidP="00417199">
      <w:pPr>
        <w:ind w:right="237"/>
        <w:jc w:val="both"/>
        <w:rPr>
          <w:sz w:val="24"/>
          <w:szCs w:val="24"/>
        </w:rPr>
      </w:pPr>
      <w:r w:rsidRPr="00417199">
        <w:rPr>
          <w:sz w:val="24"/>
          <w:szCs w:val="24"/>
        </w:rPr>
        <w:t xml:space="preserve">The second stage of Borton’s model is ‘So what?’, I understood to maintain a healthy balanced lifestyle with regards to my food intake vs my shift pattern. I established, I began to eat less than my normal daily intake whilst working regular day shifts and extremely less when was working night shifts. A survey located on ‘emerald insight’ investigated food intake and eating patterns versus shift work. 36 workers were asked to complete diaries of their food intake over 6 days. Results showed that night workers did not eat more than day the shift expect consuming smaller foods at </w:t>
      </w:r>
      <w:r w:rsidRPr="00417199">
        <w:rPr>
          <w:sz w:val="24"/>
          <w:szCs w:val="24"/>
        </w:rPr>
        <w:lastRenderedPageBreak/>
        <w:t>different times over a shift. Timing of food consumption was a key factor in this study and found that there was potential for establishing bad healthy eating patterns (Reeves, 2004). With this in mind I began to ‘Meal Prep’ which consisted of a variety of healthy ready cooked meals that I would take into my work so I could maintain a healthy lifestyle to adjust to pressures of work and shift pattern, when free and able to I would consume one of these meals to keep on top of my healthy lifestyle. This matches directly in line with the policing ‘Code of Ethics’ under the standards of professional behaviour of ‘Fitness for work’, “I will ensure, when on duty or at work, that I am fit to carry out my responsibilities.” (College of policing, 2014).</w:t>
      </w:r>
    </w:p>
    <w:p w14:paraId="213BDFD3" w14:textId="77777777" w:rsidR="00417199" w:rsidRDefault="00417199" w:rsidP="00417199">
      <w:pPr>
        <w:ind w:right="237"/>
        <w:jc w:val="both"/>
        <w:rPr>
          <w:sz w:val="24"/>
          <w:szCs w:val="24"/>
        </w:rPr>
      </w:pPr>
    </w:p>
    <w:p w14:paraId="7ADF8580" w14:textId="451AF958" w:rsidR="00417199" w:rsidRPr="00417199" w:rsidRDefault="00417199" w:rsidP="00417199">
      <w:pPr>
        <w:ind w:right="237"/>
        <w:jc w:val="both"/>
        <w:rPr>
          <w:sz w:val="24"/>
          <w:szCs w:val="24"/>
        </w:rPr>
      </w:pPr>
      <w:r w:rsidRPr="00417199">
        <w:rPr>
          <w:sz w:val="24"/>
          <w:szCs w:val="24"/>
        </w:rPr>
        <w:t>My second method highlights my need to speak about the struggles with my workload and the sensitive things I was being subject to. I realised that speaking about things allowed me to relieve stress by reliving the experience with help of others who had been through something similar. Working as a team to overcome stress is something I identified as being the main foundation with being a constable. I established that it was better to speak about things rather than bottling them up as emotions for my mental health. “[Venting] helps take the feeling out from inside of yourself, it helps you process them” (Truong, 2018)</w:t>
      </w:r>
      <w:r w:rsidR="005E1DA0">
        <w:rPr>
          <w:sz w:val="24"/>
          <w:szCs w:val="24"/>
        </w:rPr>
        <w:t>.</w:t>
      </w:r>
      <w:r w:rsidRPr="00417199">
        <w:rPr>
          <w:sz w:val="24"/>
          <w:szCs w:val="24"/>
        </w:rPr>
        <w:t xml:space="preserve"> Kimberley Truong also found that talking to colleagues in the workplace is not only fantastic for mental health but allows for a stronger bond to be built with co-workers through feelings. (Truong, 2018).</w:t>
      </w:r>
    </w:p>
    <w:p w14:paraId="3F0A55F9" w14:textId="77777777" w:rsidR="00417199" w:rsidRDefault="00417199" w:rsidP="00417199">
      <w:pPr>
        <w:ind w:right="237"/>
        <w:jc w:val="both"/>
        <w:rPr>
          <w:sz w:val="24"/>
          <w:szCs w:val="24"/>
        </w:rPr>
      </w:pPr>
    </w:p>
    <w:p w14:paraId="72D4D988" w14:textId="1106702E" w:rsidR="00417199" w:rsidRPr="00270EEB" w:rsidRDefault="00417199" w:rsidP="00417199">
      <w:pPr>
        <w:ind w:right="237"/>
        <w:jc w:val="both"/>
        <w:rPr>
          <w:sz w:val="24"/>
          <w:szCs w:val="24"/>
        </w:rPr>
      </w:pPr>
      <w:r w:rsidRPr="00417199">
        <w:rPr>
          <w:sz w:val="24"/>
          <w:szCs w:val="24"/>
        </w:rPr>
        <w:t>The final stage of Borton’s model of reflection is ‘Now what?’, I will continue to use my meal preparation as an effective way to tackle with the stress of maintaining a balanced healthy lifestyle alongside my duty as a constable. I found that this in practice allowed me to combat my risk of weight loss and stay fit for duty. I will also continue to talk about my experiences and things which stress me for my mental health. This today is globally recognised by employer and employee alike and I have personally found that instead of bottling emotion is not productive. Instead taking the time to ask colleagues and talk about what is wrong is a best practice principle when it comes to building resilience and minimising stress.</w:t>
      </w:r>
    </w:p>
    <w:p w14:paraId="19FBAC4F" w14:textId="0A911351" w:rsidR="00FF7784" w:rsidRDefault="00FF7784" w:rsidP="00340E9A">
      <w:pPr>
        <w:ind w:right="237"/>
        <w:jc w:val="both"/>
        <w:rPr>
          <w:sz w:val="24"/>
          <w:szCs w:val="24"/>
        </w:rPr>
      </w:pPr>
    </w:p>
    <w:p w14:paraId="7A9EC671" w14:textId="4D8E0F89" w:rsidR="00417199" w:rsidRPr="00270EEB" w:rsidRDefault="00417199" w:rsidP="00340E9A">
      <w:pPr>
        <w:ind w:right="237"/>
        <w:jc w:val="both"/>
        <w:rPr>
          <w:sz w:val="24"/>
          <w:szCs w:val="24"/>
        </w:rPr>
      </w:pPr>
      <w:r>
        <w:rPr>
          <w:sz w:val="24"/>
          <w:szCs w:val="24"/>
        </w:rPr>
        <w:t>Word count: 82</w:t>
      </w:r>
      <w:r w:rsidR="006E408F">
        <w:rPr>
          <w:sz w:val="24"/>
          <w:szCs w:val="24"/>
        </w:rPr>
        <w:t>3</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3CAEDD39" w14:textId="4FCA5D2C" w:rsidR="000B77D2" w:rsidRPr="000B77D2" w:rsidRDefault="000B77D2" w:rsidP="000B77D2">
      <w:pPr>
        <w:ind w:right="237"/>
        <w:jc w:val="both"/>
        <w:rPr>
          <w:sz w:val="24"/>
          <w:szCs w:val="24"/>
        </w:rPr>
      </w:pPr>
      <w:r w:rsidRPr="000B77D2">
        <w:rPr>
          <w:sz w:val="24"/>
          <w:szCs w:val="24"/>
        </w:rPr>
        <w:t>The</w:t>
      </w:r>
      <w:r w:rsidR="006224DA">
        <w:rPr>
          <w:sz w:val="24"/>
          <w:szCs w:val="24"/>
        </w:rPr>
        <w:t xml:space="preserve"> </w:t>
      </w:r>
      <w:r w:rsidRPr="000B77D2">
        <w:rPr>
          <w:sz w:val="24"/>
          <w:szCs w:val="24"/>
        </w:rPr>
        <w:t>incident I</w:t>
      </w:r>
      <w:r w:rsidR="006224DA">
        <w:rPr>
          <w:sz w:val="24"/>
          <w:szCs w:val="24"/>
        </w:rPr>
        <w:t xml:space="preserve"> am referring to is a concern </w:t>
      </w:r>
      <w:r w:rsidRPr="000B77D2">
        <w:rPr>
          <w:sz w:val="24"/>
          <w:szCs w:val="24"/>
        </w:rPr>
        <w:t xml:space="preserve">for safety. </w:t>
      </w:r>
      <w:r w:rsidR="006224DA">
        <w:rPr>
          <w:sz w:val="24"/>
          <w:szCs w:val="24"/>
        </w:rPr>
        <w:t>A</w:t>
      </w:r>
      <w:r w:rsidRPr="000B77D2">
        <w:rPr>
          <w:sz w:val="24"/>
          <w:szCs w:val="24"/>
        </w:rPr>
        <w:t xml:space="preserve"> vulnerable lady</w:t>
      </w:r>
      <w:r w:rsidR="006224DA">
        <w:rPr>
          <w:sz w:val="24"/>
          <w:szCs w:val="24"/>
        </w:rPr>
        <w:t xml:space="preserve"> </w:t>
      </w:r>
      <w:r w:rsidRPr="000B77D2">
        <w:rPr>
          <w:sz w:val="24"/>
          <w:szCs w:val="24"/>
        </w:rPr>
        <w:t xml:space="preserve">had mental health aliments involving schizophrenia and her negligence to take her medication which deteriorates her mental health condition making her susceptible to alcohol consumption, ant-social behaviour and other related aggravating </w:t>
      </w:r>
      <w:r w:rsidR="006224DA" w:rsidRPr="000B77D2">
        <w:rPr>
          <w:sz w:val="24"/>
          <w:szCs w:val="24"/>
        </w:rPr>
        <w:t>factors</w:t>
      </w:r>
      <w:r w:rsidR="006224DA">
        <w:rPr>
          <w:sz w:val="24"/>
          <w:szCs w:val="24"/>
        </w:rPr>
        <w:t>.</w:t>
      </w:r>
      <w:r w:rsidR="006224DA" w:rsidRPr="000B77D2">
        <w:rPr>
          <w:sz w:val="24"/>
          <w:szCs w:val="24"/>
        </w:rPr>
        <w:t xml:space="preserve"> The</w:t>
      </w:r>
      <w:r w:rsidRPr="000B77D2">
        <w:rPr>
          <w:sz w:val="24"/>
          <w:szCs w:val="24"/>
        </w:rPr>
        <w:t xml:space="preserve"> use of THRIVE was also the basis to determine the risk and how best to make my decisions with the information I was being presented, I will reflect using Borton’s Model of Reflection (1970).</w:t>
      </w:r>
    </w:p>
    <w:p w14:paraId="03C1B583" w14:textId="77777777" w:rsidR="006224DA" w:rsidRDefault="006224DA" w:rsidP="000B77D2">
      <w:pPr>
        <w:ind w:right="237"/>
        <w:jc w:val="both"/>
        <w:rPr>
          <w:sz w:val="24"/>
          <w:szCs w:val="24"/>
        </w:rPr>
      </w:pPr>
    </w:p>
    <w:p w14:paraId="1B69A9BA" w14:textId="409AB913" w:rsidR="000B77D2" w:rsidRPr="000B77D2" w:rsidRDefault="000B77D2" w:rsidP="000B77D2">
      <w:pPr>
        <w:ind w:right="237"/>
        <w:jc w:val="both"/>
        <w:rPr>
          <w:sz w:val="24"/>
          <w:szCs w:val="24"/>
        </w:rPr>
      </w:pPr>
      <w:r w:rsidRPr="000B77D2">
        <w:rPr>
          <w:sz w:val="24"/>
          <w:szCs w:val="24"/>
        </w:rPr>
        <w:t>When I arrived on the scene of the incident, I encounter</w:t>
      </w:r>
      <w:r w:rsidR="006224DA">
        <w:rPr>
          <w:sz w:val="24"/>
          <w:szCs w:val="24"/>
        </w:rPr>
        <w:t>ed</w:t>
      </w:r>
      <w:r w:rsidRPr="000B77D2">
        <w:rPr>
          <w:sz w:val="24"/>
          <w:szCs w:val="24"/>
        </w:rPr>
        <w:t xml:space="preserve"> a single female shouting things which I struggled to make sense of at first. I immediately switch my body worn camera to record the incident for officer’s safety and the general public’s safety as well as building evidence through the use of the camera should it ever be needed a requirement under police policy.</w:t>
      </w:r>
    </w:p>
    <w:p w14:paraId="2DD77487" w14:textId="77777777" w:rsidR="000B77D2" w:rsidRDefault="000B77D2" w:rsidP="000B77D2">
      <w:pPr>
        <w:ind w:right="237"/>
        <w:jc w:val="both"/>
        <w:rPr>
          <w:sz w:val="24"/>
          <w:szCs w:val="24"/>
        </w:rPr>
      </w:pPr>
    </w:p>
    <w:p w14:paraId="3FA10C21" w14:textId="39A94561" w:rsidR="000B77D2" w:rsidRPr="000B77D2" w:rsidRDefault="000B77D2" w:rsidP="000B77D2">
      <w:pPr>
        <w:ind w:right="237"/>
        <w:jc w:val="both"/>
        <w:rPr>
          <w:sz w:val="24"/>
          <w:szCs w:val="24"/>
        </w:rPr>
      </w:pPr>
      <w:r w:rsidRPr="000B77D2">
        <w:rPr>
          <w:sz w:val="24"/>
          <w:szCs w:val="24"/>
        </w:rPr>
        <w:lastRenderedPageBreak/>
        <w:t xml:space="preserve">I began first by directly engaging with the female taking a calm and collected approach using clear and concise communication to grasp her attention. I adjusted my body language by dropping my shoulders, keeping my head up and engaged and maintaining open palms with my hands. I did this to show the female that I was friendly and willing to help her and that I was not a threat. Entrepreneur Europe reinforces this by stating, </w:t>
      </w:r>
    </w:p>
    <w:p w14:paraId="7943EFEB" w14:textId="77777777" w:rsidR="000B77D2" w:rsidRDefault="000B77D2" w:rsidP="000B77D2">
      <w:pPr>
        <w:ind w:right="237"/>
        <w:jc w:val="both"/>
        <w:rPr>
          <w:sz w:val="24"/>
          <w:szCs w:val="24"/>
        </w:rPr>
      </w:pPr>
    </w:p>
    <w:p w14:paraId="205B1360" w14:textId="3D9E3429" w:rsidR="000B77D2" w:rsidRPr="000B77D2" w:rsidRDefault="000B77D2" w:rsidP="000B77D2">
      <w:pPr>
        <w:ind w:left="720" w:right="237"/>
        <w:jc w:val="both"/>
        <w:rPr>
          <w:sz w:val="24"/>
          <w:szCs w:val="24"/>
        </w:rPr>
      </w:pPr>
      <w:r w:rsidRPr="000B77D2">
        <w:rPr>
          <w:sz w:val="24"/>
          <w:szCs w:val="24"/>
        </w:rPr>
        <w:t>“If your body posture is “closed,” such as when your arms are folded or your head is down, people will think you’re not interested in having a conversation. If your posture is “open,” however, with your shoulders back and your head up, you’ll be seen as welcoming and friendly.” (Entrepreneur Europe, 2017).</w:t>
      </w:r>
    </w:p>
    <w:p w14:paraId="51332B64" w14:textId="77777777" w:rsidR="000B77D2" w:rsidRDefault="000B77D2" w:rsidP="000B77D2">
      <w:pPr>
        <w:ind w:right="237"/>
        <w:jc w:val="both"/>
        <w:rPr>
          <w:sz w:val="24"/>
          <w:szCs w:val="24"/>
        </w:rPr>
      </w:pPr>
    </w:p>
    <w:p w14:paraId="610304FE" w14:textId="3E580135" w:rsidR="000B77D2" w:rsidRPr="000B77D2" w:rsidRDefault="000B77D2" w:rsidP="000B77D2">
      <w:pPr>
        <w:ind w:right="237"/>
        <w:jc w:val="both"/>
        <w:rPr>
          <w:sz w:val="24"/>
          <w:szCs w:val="24"/>
        </w:rPr>
      </w:pPr>
      <w:r w:rsidRPr="000B77D2">
        <w:rPr>
          <w:sz w:val="24"/>
          <w:szCs w:val="24"/>
        </w:rPr>
        <w:t>I find body language to be one the best ways to communicate when trying to engage with someone. Once I had the focus of the female, I allowed her to engage with me freely. I allowed her to speak first so I could understand her full side of the events which had taken place and show her that I was actively listening, which allowed me to build a solid rapport. In response to what she began to tell me about her behaviour, I began to use the ‘TED’ (Tell, Explain, Describe) Principle using open and closed questions where appropriate for further understanding, I had also established at this point that there was no present language issues and the language preference was English. A blog by Rachel Wolff summarises open ended information gathered from these types of questions as limitless. Open questions allow for new information gathered to be explored and for the emotions and feelings of the person talking to be heard, (Wolff, 2021).</w:t>
      </w:r>
    </w:p>
    <w:p w14:paraId="319AF2E8" w14:textId="77777777" w:rsidR="000B77D2" w:rsidRDefault="000B77D2" w:rsidP="000B77D2">
      <w:pPr>
        <w:ind w:right="237"/>
        <w:jc w:val="both"/>
        <w:rPr>
          <w:sz w:val="24"/>
          <w:szCs w:val="24"/>
        </w:rPr>
      </w:pPr>
    </w:p>
    <w:p w14:paraId="4BE36A2D" w14:textId="1A95B416" w:rsidR="000B77D2" w:rsidRPr="000B77D2" w:rsidRDefault="000B77D2" w:rsidP="000B77D2">
      <w:pPr>
        <w:ind w:right="237"/>
        <w:jc w:val="both"/>
        <w:rPr>
          <w:sz w:val="24"/>
          <w:szCs w:val="24"/>
        </w:rPr>
      </w:pPr>
      <w:r w:rsidRPr="000B77D2">
        <w:rPr>
          <w:sz w:val="24"/>
          <w:szCs w:val="24"/>
        </w:rPr>
        <w:t>I further then continued to engage with the female using verbal and non-verbal skills which included nodding my head to show that I was actively listening whilst maintaining a neutral facial expression and keeping eye contact at all times. With the situation de-escalating I then asked the female if we could go inside of her property to make the matter more private away from the eyes of the public to prevent any unwanted attention which could have been affecting the behaviour of the female</w:t>
      </w:r>
      <w:r w:rsidR="006224DA">
        <w:rPr>
          <w:sz w:val="24"/>
          <w:szCs w:val="24"/>
        </w:rPr>
        <w:t>, At this point I had to bare in mind Article 8 of the Human Rights Act “Respect  for your private and family life, home and correspondence” due to entering her property and trying to understand the situation, the female has the right of course to this right without government interference, but I was breaching this right lawfully to protect health and prevent crime.</w:t>
      </w:r>
    </w:p>
    <w:p w14:paraId="72DEB686" w14:textId="77777777" w:rsidR="000B77D2" w:rsidRDefault="000B77D2" w:rsidP="000B77D2">
      <w:pPr>
        <w:ind w:right="237"/>
        <w:jc w:val="both"/>
        <w:rPr>
          <w:sz w:val="24"/>
          <w:szCs w:val="24"/>
        </w:rPr>
      </w:pPr>
    </w:p>
    <w:p w14:paraId="6E6D1B62" w14:textId="20658CFE" w:rsidR="000B77D2" w:rsidRPr="000B77D2" w:rsidRDefault="000B77D2" w:rsidP="000B77D2">
      <w:pPr>
        <w:ind w:right="237"/>
        <w:jc w:val="both"/>
        <w:rPr>
          <w:sz w:val="24"/>
          <w:szCs w:val="24"/>
        </w:rPr>
      </w:pPr>
      <w:r w:rsidRPr="000B77D2">
        <w:rPr>
          <w:sz w:val="24"/>
          <w:szCs w:val="24"/>
        </w:rPr>
        <w:t xml:space="preserve">Once inside we spoke about an offence she committed where she had been screaming shouting outside which amounted to a Section 5 Public Order Offence (Public Order Act, 1986) through her disorderly and unusual behaviour. At this time, I utilised officer’s discretion whereby I informed the female that I would not be arresting her for the offence under Section 24 of the (Police and Criminal Evidence Act, 1984). I chose to do this to help the female engage with me to discover is there was any underlying issues and or vulnerabilities which needed to be identified, however, I re-iterated to the female that she had to remain complaint and engage with officers in order for the discretion to continue. Treebold defines discretion as “the power and ability to make decisions. This is somewhat vague, but so is the concept of police discretion.” (Treebold, 2018). He further states that in context officers are given leeway to make their own choices based off of the information </w:t>
      </w:r>
      <w:r w:rsidRPr="000B77D2">
        <w:rPr>
          <w:sz w:val="24"/>
          <w:szCs w:val="24"/>
        </w:rPr>
        <w:lastRenderedPageBreak/>
        <w:t>they have been presented in order to maintain public safety but sometimes discretion must be avoided, and law strictly followed. (Treebold, 2018).</w:t>
      </w:r>
    </w:p>
    <w:p w14:paraId="466E7989" w14:textId="77777777" w:rsidR="000B77D2" w:rsidRDefault="000B77D2" w:rsidP="000B77D2">
      <w:pPr>
        <w:ind w:right="237"/>
        <w:jc w:val="both"/>
        <w:rPr>
          <w:sz w:val="24"/>
          <w:szCs w:val="24"/>
        </w:rPr>
      </w:pPr>
    </w:p>
    <w:p w14:paraId="6AC0730A" w14:textId="650D331B" w:rsidR="000B77D2" w:rsidRPr="000B77D2" w:rsidRDefault="000B77D2" w:rsidP="000B77D2">
      <w:pPr>
        <w:ind w:right="237"/>
        <w:jc w:val="both"/>
        <w:rPr>
          <w:sz w:val="24"/>
          <w:szCs w:val="24"/>
        </w:rPr>
      </w:pPr>
      <w:r w:rsidRPr="000B77D2">
        <w:rPr>
          <w:sz w:val="24"/>
          <w:szCs w:val="24"/>
        </w:rPr>
        <w:t>At this stage the female had openly informed me that she had schizophrenia and she had not been taking her medication to control her behaviour and mood swings. On top of this the female had begun resorting to alcohol as a direct effect of not taking her medication. At this point, I began to resort to the ‘THRIVE’ risk assessment model due to the concerns I was beginning to have for the female and the vulnerabilities I had identified.  The ‘THRIVE’ model is a risk assessment which applies professional discretion which is comprised of 6 components which helps officers to provide safeguarding and identifying risks. These elements are, Threat, Harm, Risk, Investigation, Vulnerability and Evidence.  ‘THRIVE’ as described by West Midlands Police,</w:t>
      </w:r>
    </w:p>
    <w:p w14:paraId="0DE78E68" w14:textId="77777777" w:rsidR="000B77D2" w:rsidRDefault="000B77D2" w:rsidP="000B77D2">
      <w:pPr>
        <w:ind w:right="237"/>
        <w:jc w:val="both"/>
        <w:rPr>
          <w:sz w:val="24"/>
          <w:szCs w:val="24"/>
        </w:rPr>
      </w:pPr>
    </w:p>
    <w:p w14:paraId="740A2AF5" w14:textId="173957BC" w:rsidR="000B77D2" w:rsidRPr="000B77D2" w:rsidRDefault="000B77D2" w:rsidP="000B77D2">
      <w:pPr>
        <w:ind w:left="720" w:right="237"/>
        <w:jc w:val="both"/>
        <w:rPr>
          <w:sz w:val="24"/>
          <w:szCs w:val="24"/>
        </w:rPr>
      </w:pPr>
      <w:r w:rsidRPr="000B77D2">
        <w:rPr>
          <w:sz w:val="24"/>
          <w:szCs w:val="24"/>
        </w:rPr>
        <w:t>“THRIVE is designed so we jointly assess risk and decision making in a consistent way using the National Decision Model. We are professionalising our approach to public need through the revised framework, shaping our response, through the journey to outcomes and closure.” (West Midlands Police, 2021).</w:t>
      </w:r>
    </w:p>
    <w:p w14:paraId="7A027FAF" w14:textId="77777777" w:rsidR="000B77D2" w:rsidRDefault="000B77D2" w:rsidP="000B77D2">
      <w:pPr>
        <w:ind w:right="237"/>
        <w:jc w:val="both"/>
        <w:rPr>
          <w:sz w:val="24"/>
          <w:szCs w:val="24"/>
        </w:rPr>
      </w:pPr>
    </w:p>
    <w:p w14:paraId="451F0186" w14:textId="074EEDB9" w:rsidR="000B77D2" w:rsidRPr="000B77D2" w:rsidRDefault="000B77D2" w:rsidP="000B77D2">
      <w:pPr>
        <w:ind w:right="237"/>
        <w:jc w:val="both"/>
        <w:rPr>
          <w:sz w:val="24"/>
          <w:szCs w:val="24"/>
        </w:rPr>
      </w:pPr>
      <w:r w:rsidRPr="000B77D2">
        <w:rPr>
          <w:sz w:val="24"/>
          <w:szCs w:val="24"/>
        </w:rPr>
        <w:t>Vulnerable people may sometimes find it hard to make rational decisions and this can be persistent depending on the individual’s personal health. University Hospital Southampton defines this as someone “who is or may be for any reason unable to take care of him or herself, or unable to protect him or herself against significant harm or exploitation.” (University Hospital Southampton, 2019).</w:t>
      </w:r>
    </w:p>
    <w:p w14:paraId="31119F2D" w14:textId="77777777" w:rsidR="000B77D2" w:rsidRDefault="000B77D2" w:rsidP="000B77D2">
      <w:pPr>
        <w:ind w:right="237"/>
        <w:jc w:val="both"/>
        <w:rPr>
          <w:sz w:val="24"/>
          <w:szCs w:val="24"/>
        </w:rPr>
      </w:pPr>
    </w:p>
    <w:p w14:paraId="518A49B8" w14:textId="4CE96697" w:rsidR="000B77D2" w:rsidRPr="000B77D2" w:rsidRDefault="000B77D2" w:rsidP="000B77D2">
      <w:pPr>
        <w:ind w:right="237"/>
        <w:jc w:val="both"/>
        <w:rPr>
          <w:sz w:val="24"/>
          <w:szCs w:val="24"/>
        </w:rPr>
      </w:pPr>
      <w:r w:rsidRPr="000B77D2">
        <w:rPr>
          <w:sz w:val="24"/>
          <w:szCs w:val="24"/>
        </w:rPr>
        <w:t>As I identified the female as a vulnerable ‘Adult at risk’ and her mental health been an aggravating factor alongside the alcohol she consumed, I had a duty of care to safeguard her and put measures in place to get her the help she needed before the closure of this incident. The female actively encouraged officers to provide support on her own request as she realised, she was struggling. I asked the ‘Approved Medical Practitioner’ working in the control room for advice to which they advised the best solution moving forward would be to get the female in touch with her local GP for guidance and help. I asked for the number of the GP which I handed to the female and also left in big bold writing on her fridge should she ever forget the details. I had identified that the threat, harm and risk of this situation was low and was happy to deal with incident through referrals to other partner agencies as a means of disposal. I had informed the female should she need anything to contact the police for help and I also asked the females neighbours to routinely check on her welfare.</w:t>
      </w:r>
    </w:p>
    <w:p w14:paraId="7FD661D4" w14:textId="77777777" w:rsidR="000B77D2" w:rsidRDefault="000B77D2" w:rsidP="000B77D2">
      <w:pPr>
        <w:ind w:right="237"/>
        <w:jc w:val="both"/>
        <w:rPr>
          <w:sz w:val="24"/>
          <w:szCs w:val="24"/>
        </w:rPr>
      </w:pPr>
    </w:p>
    <w:p w14:paraId="413B0218" w14:textId="0C143F8B" w:rsidR="000B77D2" w:rsidRPr="000B77D2" w:rsidRDefault="000B77D2" w:rsidP="000B77D2">
      <w:pPr>
        <w:ind w:right="237"/>
        <w:jc w:val="both"/>
        <w:rPr>
          <w:sz w:val="24"/>
          <w:szCs w:val="24"/>
        </w:rPr>
      </w:pPr>
      <w:r w:rsidRPr="000B77D2">
        <w:rPr>
          <w:sz w:val="24"/>
          <w:szCs w:val="24"/>
        </w:rPr>
        <w:t>On returning to station I filled out a ‘PPN’ also known as a Public Protection Notice for the safeguarding over the female’s vulnerabilities so action could be taken as soon as possible. ‘PPN’S’ are usually time critical and must be finished at the end of a shift as mandatory policy. This would be forwarded to Social Services and other relevant partner agencies due to her vulnerabilities and the necessary help would be provided to her as a result of this.</w:t>
      </w:r>
    </w:p>
    <w:p w14:paraId="2160E8B8" w14:textId="77777777" w:rsidR="000B77D2" w:rsidRDefault="000B77D2" w:rsidP="000B77D2">
      <w:pPr>
        <w:ind w:right="237"/>
        <w:jc w:val="both"/>
        <w:rPr>
          <w:sz w:val="24"/>
          <w:szCs w:val="24"/>
        </w:rPr>
      </w:pPr>
    </w:p>
    <w:p w14:paraId="607A0D29" w14:textId="5E73F3E8" w:rsidR="00AA666E" w:rsidRPr="00270EEB" w:rsidRDefault="000B77D2" w:rsidP="000B77D2">
      <w:pPr>
        <w:ind w:right="237"/>
        <w:jc w:val="both"/>
        <w:rPr>
          <w:sz w:val="24"/>
          <w:szCs w:val="24"/>
        </w:rPr>
      </w:pPr>
      <w:r w:rsidRPr="000B77D2">
        <w:rPr>
          <w:sz w:val="24"/>
          <w:szCs w:val="24"/>
        </w:rPr>
        <w:t xml:space="preserve">The response to this incident proved to be one of positivity, the initial incident was dealt with appropriately utilising the correct skills and critically analysed steps to </w:t>
      </w:r>
      <w:r w:rsidRPr="000B77D2">
        <w:rPr>
          <w:sz w:val="24"/>
          <w:szCs w:val="24"/>
        </w:rPr>
        <w:lastRenderedPageBreak/>
        <w:t>mitigate any further risk and place safeguarding of a vulnerable adult at the forefront of this incident. I will further strengthen the approaches highlighted above for incidents of a similar nature in the future. I will be sure to continue to reflect on what I did well and how things can change for next time moving forward.</w:t>
      </w:r>
    </w:p>
    <w:p w14:paraId="4557CCDD" w14:textId="77777777" w:rsidR="008B28E7" w:rsidRPr="00270EEB" w:rsidRDefault="008B28E7" w:rsidP="00340E9A">
      <w:pPr>
        <w:ind w:right="237"/>
        <w:jc w:val="both"/>
        <w:rPr>
          <w:sz w:val="24"/>
          <w:szCs w:val="24"/>
        </w:rPr>
      </w:pPr>
    </w:p>
    <w:p w14:paraId="545B147F" w14:textId="0EED1E1A" w:rsidR="008B28E7" w:rsidRPr="00270EEB" w:rsidRDefault="000B77D2" w:rsidP="00340E9A">
      <w:pPr>
        <w:ind w:right="237"/>
        <w:jc w:val="both"/>
        <w:rPr>
          <w:sz w:val="24"/>
          <w:szCs w:val="24"/>
        </w:rPr>
      </w:pPr>
      <w:r>
        <w:rPr>
          <w:sz w:val="24"/>
          <w:szCs w:val="24"/>
        </w:rPr>
        <w:t>Word count: 13</w:t>
      </w:r>
      <w:r w:rsidR="006224DA">
        <w:rPr>
          <w:sz w:val="24"/>
          <w:szCs w:val="24"/>
        </w:rPr>
        <w:t>60</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53A659B" w14:textId="77777777" w:rsidR="006B4BBC" w:rsidRPr="006B4BBC" w:rsidRDefault="006B4BBC" w:rsidP="006B4BBC">
      <w:pPr>
        <w:ind w:right="237"/>
        <w:jc w:val="both"/>
        <w:rPr>
          <w:sz w:val="24"/>
          <w:szCs w:val="24"/>
        </w:rPr>
      </w:pPr>
      <w:r w:rsidRPr="006B4BBC">
        <w:rPr>
          <w:sz w:val="24"/>
          <w:szCs w:val="24"/>
        </w:rPr>
        <w:t>The incident I will be discussing in a detailed analysis will be a Young offender who had caused criminal damage contrary to Section 1(1) Criminal Damage Act (1971). I will focus on my considerations when preparing and planning with regards to performing an interview and the necessary steps Required and I will then elaborate on the use of the ‘PEACE’ Interview Model in line with the interview process. I will reflect using Gibbs’ Reflective Cycle (1988).</w:t>
      </w:r>
    </w:p>
    <w:p w14:paraId="6ADA3641" w14:textId="77777777" w:rsidR="006B4BBC" w:rsidRDefault="006B4BBC" w:rsidP="006B4BBC">
      <w:pPr>
        <w:ind w:right="237"/>
        <w:jc w:val="both"/>
        <w:rPr>
          <w:sz w:val="24"/>
          <w:szCs w:val="24"/>
        </w:rPr>
      </w:pPr>
    </w:p>
    <w:p w14:paraId="4C58A740" w14:textId="10781C16" w:rsidR="006B4BBC" w:rsidRPr="006B4BBC" w:rsidRDefault="006B4BBC" w:rsidP="006B4BBC">
      <w:pPr>
        <w:ind w:right="237"/>
        <w:jc w:val="both"/>
        <w:rPr>
          <w:sz w:val="24"/>
          <w:szCs w:val="24"/>
        </w:rPr>
      </w:pPr>
      <w:r w:rsidRPr="006B4BBC">
        <w:rPr>
          <w:sz w:val="24"/>
          <w:szCs w:val="24"/>
        </w:rPr>
        <w:t>I was assigned to take on the task of interviewing a Young Offender/Juvenile over Criminal Damage. The male was being held in the Custody suit and the ‘detention clock’ had begun prior to my knowledge of this arrest. The ‘Detention Clock’ means that the moment a suspect who has been arrested for an offence and arrives at Police Custody, they have exactly 24 hours from the ‘relevant time’ to be released under regulations of the Police and Criminal Evidence Act contrary to section 41 (PACE,1984).</w:t>
      </w:r>
    </w:p>
    <w:p w14:paraId="1B5BD680" w14:textId="77777777" w:rsidR="006B4BBC" w:rsidRDefault="006B4BBC" w:rsidP="006B4BBC">
      <w:pPr>
        <w:ind w:right="237"/>
        <w:jc w:val="both"/>
        <w:rPr>
          <w:sz w:val="24"/>
          <w:szCs w:val="24"/>
        </w:rPr>
      </w:pPr>
    </w:p>
    <w:p w14:paraId="00152815" w14:textId="506059A4" w:rsidR="006B4BBC" w:rsidRPr="006B4BBC" w:rsidRDefault="006B4BBC" w:rsidP="006B4BBC">
      <w:pPr>
        <w:ind w:right="237"/>
        <w:jc w:val="both"/>
        <w:rPr>
          <w:sz w:val="24"/>
          <w:szCs w:val="24"/>
        </w:rPr>
      </w:pPr>
      <w:r w:rsidRPr="006B4BBC">
        <w:rPr>
          <w:sz w:val="24"/>
          <w:szCs w:val="24"/>
        </w:rPr>
        <w:t xml:space="preserve">With this in mind I had to prepare and plan my interview to an acceptable standard to prove or disprove the offence the suspect has been arrested for. I Firstly looked at the evidence which had been accumulated, this included body worn video of the arrest, 2 exhibits showing pictures of the damage, the arresting statement of the </w:t>
      </w:r>
      <w:r w:rsidRPr="006B4BBC">
        <w:rPr>
          <w:sz w:val="24"/>
          <w:szCs w:val="24"/>
        </w:rPr>
        <w:lastRenderedPageBreak/>
        <w:t xml:space="preserve">officer who under Section 24 of PACE and the arrest and detention forms from the custody suite to gather critical information about the investigation. This helped me to structure relevant questions that I would eventually ask the suspect during interview surrounding the investigation. I then began to form the solicitors pre-Interview form also known as an (MG06A). I had outlined a brief Description of the circumstances surrounding the arrest, covering the offences, relevant times and the exhibits disclosable at this point under the ‘CPIA’. </w:t>
      </w:r>
    </w:p>
    <w:p w14:paraId="25F50C96" w14:textId="77777777" w:rsidR="006B4BBC" w:rsidRDefault="006B4BBC" w:rsidP="006B4BBC">
      <w:pPr>
        <w:ind w:right="237"/>
        <w:jc w:val="both"/>
        <w:rPr>
          <w:sz w:val="24"/>
          <w:szCs w:val="24"/>
        </w:rPr>
      </w:pPr>
    </w:p>
    <w:p w14:paraId="46AF5B56" w14:textId="2D40B1E3" w:rsidR="006B4BBC" w:rsidRPr="006B4BBC" w:rsidRDefault="006B4BBC" w:rsidP="006B4BBC">
      <w:pPr>
        <w:ind w:left="720" w:right="237"/>
        <w:jc w:val="both"/>
        <w:rPr>
          <w:sz w:val="24"/>
          <w:szCs w:val="24"/>
        </w:rPr>
      </w:pPr>
      <w:r w:rsidRPr="006B4BBC">
        <w:rPr>
          <w:sz w:val="24"/>
          <w:szCs w:val="24"/>
        </w:rPr>
        <w:t xml:space="preserve">“(CPIA) requires investigators to provide a list of unused material to the prosecutor, who will then consider what material might need to be disclosed to the defence out of fairness”. (Bryant et al, 2020, p. 548) </w:t>
      </w:r>
    </w:p>
    <w:p w14:paraId="5CB88BF1" w14:textId="77777777" w:rsidR="006B4BBC" w:rsidRDefault="006B4BBC" w:rsidP="006B4BBC">
      <w:pPr>
        <w:ind w:right="237"/>
        <w:jc w:val="both"/>
        <w:rPr>
          <w:sz w:val="24"/>
          <w:szCs w:val="24"/>
        </w:rPr>
      </w:pPr>
    </w:p>
    <w:p w14:paraId="504FC470" w14:textId="44F09608" w:rsidR="006B4BBC" w:rsidRPr="006B4BBC" w:rsidRDefault="006B4BBC" w:rsidP="006B4BBC">
      <w:pPr>
        <w:ind w:right="237"/>
        <w:jc w:val="both"/>
        <w:rPr>
          <w:sz w:val="24"/>
          <w:szCs w:val="24"/>
        </w:rPr>
      </w:pPr>
      <w:r w:rsidRPr="006B4BBC">
        <w:rPr>
          <w:sz w:val="24"/>
          <w:szCs w:val="24"/>
        </w:rPr>
        <w:t>I had the responsibility to arrange an ‘Appropriate Adult’ to attend for the suspect due to his age and vulnerabilities, this must be provided to a person under the age of 18 in line with PACE ‘CODE C’. National Appropriate Adult Network states that role of the ‘Appropriate Adult’ is to safeguard the entitlements and the child’s welfare by ensuring fair treatment during the interview process. (National Appropriate Adult Network, 2018).</w:t>
      </w:r>
    </w:p>
    <w:p w14:paraId="565F2C93" w14:textId="77777777" w:rsidR="006B4BBC" w:rsidRDefault="006B4BBC" w:rsidP="006B4BBC">
      <w:pPr>
        <w:ind w:right="237"/>
        <w:jc w:val="both"/>
        <w:rPr>
          <w:sz w:val="24"/>
          <w:szCs w:val="24"/>
        </w:rPr>
      </w:pPr>
    </w:p>
    <w:p w14:paraId="1F2FEE22" w14:textId="05101E18" w:rsidR="006B4BBC" w:rsidRPr="006B4BBC" w:rsidRDefault="006B4BBC" w:rsidP="006B4BBC">
      <w:pPr>
        <w:ind w:right="237"/>
        <w:jc w:val="both"/>
        <w:rPr>
          <w:sz w:val="24"/>
          <w:szCs w:val="24"/>
        </w:rPr>
      </w:pPr>
      <w:r w:rsidRPr="006B4BBC">
        <w:rPr>
          <w:sz w:val="24"/>
          <w:szCs w:val="24"/>
        </w:rPr>
        <w:t>I allowed the solicitor and the suspect to freely speak before the interview was to commence as was his right under ‘Free legal advice’. This would have been breach of ‘PACE Code C3.1’ had this not be allowed at any point during the interview process and is an ongoing right. Hewitt’s Solicitors states, “When an arrested person is at the police station they have ‘the right to consult privately with a solicitor and that free independent legal advice is available” (Hewitt’s Solicitors, 2021). This falls hand in hand with the suspects human rights and more specifically Article 6 ‘Right to a Fair Trail’. “everyone is entitled to a fair and public hearing within a reasonable time by an independent and impartial tribunal established by law.” (Human Right Act, 1988).  I made sure that this was adhered to at all times in line with the policing ‘Code of Ethics’, Honesty, Integrity and Fairness. Breach of this would render the process unlawful and could be subject to disciplinary hearings, so I made sure I was very clear with this right to the suspect.</w:t>
      </w:r>
    </w:p>
    <w:p w14:paraId="0D4EDA56" w14:textId="77777777" w:rsidR="006B4BBC" w:rsidRDefault="006B4BBC" w:rsidP="006B4BBC">
      <w:pPr>
        <w:ind w:right="237"/>
        <w:jc w:val="both"/>
        <w:rPr>
          <w:sz w:val="24"/>
          <w:szCs w:val="24"/>
        </w:rPr>
      </w:pPr>
    </w:p>
    <w:p w14:paraId="0CCF41FB" w14:textId="1C3DE38A" w:rsidR="006B4BBC" w:rsidRPr="006B4BBC" w:rsidRDefault="006B4BBC" w:rsidP="006B4BBC">
      <w:pPr>
        <w:ind w:right="237"/>
        <w:jc w:val="both"/>
        <w:rPr>
          <w:sz w:val="24"/>
          <w:szCs w:val="24"/>
        </w:rPr>
      </w:pPr>
      <w:r w:rsidRPr="006B4BBC">
        <w:rPr>
          <w:sz w:val="24"/>
          <w:szCs w:val="24"/>
        </w:rPr>
        <w:t xml:space="preserve">Using the ‘PEACE’ Interview Model, I will now break down the interview I conducted. As stated, the ‘Planning and Preparation’ phase was completed to compliance under ‘PACE CODE C, E and F’. The second stage is ‘Engage and Explain’, I firstly opened up by introducing myself to the suspect using a calm and inviting tone. I maintained eye contact and attempted to build a rapport with the suspect to try and develop co-operation. I explained myself to the suspect stating that he had been arrested for a Criminal Damage offence and further informed him that the interview I was conducting would allow him the chance to explain his actions and responsibilities, the suspect wished to communicate through English and there was no language issues present. I then stated we would be using a turn-based technique through the interview so both myself and the suspect had a chance to speak without interrupting one another. I had to make sure I adjusted the way I spoke due to his age and I actively encouraged the suspect to state if he did not understand the question asked so I could best explain it to him in a different manner. I made sure to slow down the way I spoke, adjusted my posture when sitting so allowing my direct speech to be more direct. Finally, I was mindful of the pitch of my voice. Gwen Morgan states that, slowing down allows for audience comprehension of what is being said. Posture </w:t>
      </w:r>
      <w:r w:rsidRPr="006B4BBC">
        <w:rPr>
          <w:sz w:val="24"/>
          <w:szCs w:val="24"/>
        </w:rPr>
        <w:lastRenderedPageBreak/>
        <w:t>taken can assist in direct engagement and allow for you voice to be more clearly heard and watching the pitch of your voice allows for more effective communication. (Morgan, 2014).</w:t>
      </w:r>
    </w:p>
    <w:p w14:paraId="0F5F4ED9" w14:textId="77777777" w:rsidR="006B4BBC" w:rsidRDefault="006B4BBC" w:rsidP="006B4BBC">
      <w:pPr>
        <w:ind w:right="237"/>
        <w:jc w:val="both"/>
        <w:rPr>
          <w:sz w:val="24"/>
          <w:szCs w:val="24"/>
        </w:rPr>
      </w:pPr>
    </w:p>
    <w:p w14:paraId="0622F36F" w14:textId="251AC75F" w:rsidR="006B4BBC" w:rsidRPr="006B4BBC" w:rsidRDefault="006B4BBC" w:rsidP="006B4BBC">
      <w:pPr>
        <w:ind w:right="237"/>
        <w:jc w:val="both"/>
        <w:rPr>
          <w:sz w:val="24"/>
          <w:szCs w:val="24"/>
        </w:rPr>
      </w:pPr>
      <w:r w:rsidRPr="006B4BBC">
        <w:rPr>
          <w:sz w:val="24"/>
          <w:szCs w:val="24"/>
        </w:rPr>
        <w:t>The next stage of ‘PEACE’ was then Account. “The Interviewer should first seek a ‘Free’ account, without any interruption if possible” (Bryant, R et al, 2020).  Using ‘Tell, Explain and describe’ with as many open questions as possible, I allowed the male to peak about his responsibility of the offence. Straight away he admitted his guilt and stated, “I just got angry, I am sorry, and I should not have damaged the furniture”. After establishing the ‘admission’ from the suspect I decided to work methodically through my questions just to cover the areas of the offence and more specifically the ‘points to prove’.</w:t>
      </w:r>
    </w:p>
    <w:p w14:paraId="50CD438B" w14:textId="77777777" w:rsidR="006B4BBC" w:rsidRDefault="006B4BBC" w:rsidP="006B4BBC">
      <w:pPr>
        <w:ind w:left="720" w:right="237"/>
        <w:jc w:val="both"/>
        <w:rPr>
          <w:sz w:val="24"/>
          <w:szCs w:val="24"/>
        </w:rPr>
      </w:pPr>
    </w:p>
    <w:p w14:paraId="05E1941D" w14:textId="56608B4F" w:rsidR="006B4BBC" w:rsidRPr="006B4BBC" w:rsidRDefault="006B4BBC" w:rsidP="006B4BBC">
      <w:pPr>
        <w:ind w:left="720" w:right="237"/>
        <w:jc w:val="both"/>
        <w:rPr>
          <w:sz w:val="24"/>
          <w:szCs w:val="24"/>
        </w:rPr>
      </w:pPr>
      <w:r w:rsidRPr="006B4BBC">
        <w:rPr>
          <w:sz w:val="24"/>
          <w:szCs w:val="24"/>
        </w:rPr>
        <w:t>The definition of Criminal Damage Section 1(1) Criminal Damage Act (1971) is, “A person who without lawful excuse destroys or damages any property belonging to another intending to destroy or damage such property or being reckless as to whether any such property would be destroyed or damaged shall be guilty of an offence.” (Criminal Damage Act, 1971).</w:t>
      </w:r>
    </w:p>
    <w:p w14:paraId="706E3308" w14:textId="77777777" w:rsidR="006B4BBC" w:rsidRDefault="006B4BBC" w:rsidP="006B4BBC">
      <w:pPr>
        <w:ind w:right="237"/>
        <w:jc w:val="both"/>
        <w:rPr>
          <w:sz w:val="24"/>
          <w:szCs w:val="24"/>
        </w:rPr>
      </w:pPr>
    </w:p>
    <w:p w14:paraId="39FBC526" w14:textId="6DA51046" w:rsidR="006B4BBC" w:rsidRPr="006B4BBC" w:rsidRDefault="006B4BBC" w:rsidP="006B4BBC">
      <w:pPr>
        <w:ind w:right="237"/>
        <w:jc w:val="both"/>
        <w:rPr>
          <w:sz w:val="24"/>
          <w:szCs w:val="24"/>
        </w:rPr>
      </w:pPr>
      <w:r w:rsidRPr="006B4BBC">
        <w:rPr>
          <w:sz w:val="24"/>
          <w:szCs w:val="24"/>
        </w:rPr>
        <w:t>I touched base on ‘Lawful Excuse’, ‘Intent to damage or destroy property’, ‘Recklessness’, and finally ‘belonging to another’. The suspect began to admit his guilt to the offence, and the points to prove were now the main body of producing a positive outcome from the interview. There was no requirement for me to challenge as he felt guilty for his actions and took responsibility, also I made sure to summarise the things he was telling me just in case he misinterpreted what I had said. The final 2 sections of ‘PEACE’ cover closure and evaluation. Summarised Robin Bryant states the interview can now be closed and evaluate the performance in which the officer conducted himself during the interview. (Bryant, R et al, 2020).</w:t>
      </w:r>
    </w:p>
    <w:p w14:paraId="35F943F6" w14:textId="77777777" w:rsidR="006B4BBC" w:rsidRDefault="006B4BBC" w:rsidP="006B4BBC">
      <w:pPr>
        <w:ind w:right="237"/>
        <w:jc w:val="both"/>
        <w:rPr>
          <w:sz w:val="24"/>
          <w:szCs w:val="24"/>
        </w:rPr>
      </w:pPr>
    </w:p>
    <w:p w14:paraId="65800057" w14:textId="1E64A9E5" w:rsidR="00025650" w:rsidRPr="00270EEB" w:rsidRDefault="006B4BBC" w:rsidP="006B4BBC">
      <w:pPr>
        <w:ind w:right="237"/>
        <w:jc w:val="both"/>
        <w:rPr>
          <w:sz w:val="24"/>
          <w:szCs w:val="24"/>
        </w:rPr>
      </w:pPr>
      <w:r w:rsidRPr="006B4BBC">
        <w:rPr>
          <w:sz w:val="24"/>
          <w:szCs w:val="24"/>
        </w:rPr>
        <w:t>After the interview had taken place, I informed the suspect that the process was over. The suspect was ‘Released under investigation and for CPS advice through YOS’. I was happy with my performance and due to this being my first time I was nervous. I established that there is still plenty to learn moving forward and I would have to cater different needs to different interviews. I felt out of my comfort zone in some areas, but I established in order to get better at interviewing this has to be done. “You can’t expect to evolve and reach new heights if you only stick to your normal habits and routine lifestyle.” (Miller, 2017). Breaking down my ‘Evaluation and Analysis’ of my experience, I found that this was something that would come in time, I understood I wouldn’t be the best when I first attempted to interview and that there would always be room for improvement. As Theo Koffler states “Change has the potential to endow us with an immense amount of personal and relational transformation.” (Koffler, 2017). Concluding, I found that interviewing is not easy but with plenty of practice, time and repetition. I will</w:t>
      </w:r>
      <w:r>
        <w:rPr>
          <w:sz w:val="24"/>
          <w:szCs w:val="24"/>
        </w:rPr>
        <w:t xml:space="preserve"> </w:t>
      </w:r>
      <w:r w:rsidRPr="006B4BBC">
        <w:rPr>
          <w:sz w:val="24"/>
          <w:szCs w:val="24"/>
        </w:rPr>
        <w:t xml:space="preserve">inevitably improve on my performance and enhance my skills to perform interviews better. I will take my skills and experience forward into my next interview and broaden my techniques.  </w:t>
      </w:r>
    </w:p>
    <w:p w14:paraId="7A99F832" w14:textId="77777777" w:rsidR="00025650" w:rsidRPr="00270EEB" w:rsidRDefault="00025650" w:rsidP="00340E9A">
      <w:pPr>
        <w:ind w:right="237"/>
        <w:jc w:val="both"/>
        <w:rPr>
          <w:sz w:val="24"/>
          <w:szCs w:val="24"/>
        </w:rPr>
      </w:pPr>
    </w:p>
    <w:p w14:paraId="32933C98" w14:textId="32CB2A6F" w:rsidR="00AA666E" w:rsidRPr="00475647" w:rsidRDefault="006B4BBC" w:rsidP="00475647">
      <w:pPr>
        <w:ind w:right="237"/>
        <w:jc w:val="both"/>
        <w:rPr>
          <w:sz w:val="24"/>
          <w:szCs w:val="24"/>
        </w:rPr>
      </w:pPr>
      <w:r>
        <w:rPr>
          <w:sz w:val="24"/>
          <w:szCs w:val="24"/>
        </w:rPr>
        <w:t>Word Count: 1374</w:t>
      </w:r>
      <w:r w:rsidR="00025650">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3AE3845" w14:textId="77777777" w:rsidR="003C02D6" w:rsidRPr="003C02D6" w:rsidRDefault="003C02D6" w:rsidP="003C02D6">
      <w:pPr>
        <w:ind w:right="237"/>
        <w:jc w:val="both"/>
        <w:rPr>
          <w:sz w:val="24"/>
          <w:szCs w:val="24"/>
        </w:rPr>
      </w:pPr>
      <w:r w:rsidRPr="003C02D6">
        <w:rPr>
          <w:sz w:val="24"/>
          <w:szCs w:val="24"/>
        </w:rPr>
        <w:t xml:space="preserve">In this essay I will talk about a neighbourhood dispute whereby alcohol was involved as an aggravating factor, how Public Order Section 4A was turned into ‘Anti-Social Behaviour’ which police intervention was used for, how this behaviour impacted the overall community, and the steps I took to help reduce the risk of this behaviour continuing. I will highlight my responsibilities and the positive action I took which will include my use of a ‘Community Resolution’ in an attempt to help restore order. ‘Support and Counselling’ which was suggested for the perpetrator for his alcohol consumption and a ‘Verbal Warning/Words of advice’ through my use of discretion </w:t>
      </w:r>
      <w:r w:rsidRPr="003C02D6">
        <w:rPr>
          <w:sz w:val="24"/>
          <w:szCs w:val="24"/>
        </w:rPr>
        <w:lastRenderedPageBreak/>
        <w:t>against the offence committed. I will reflect on my experience using the ‘OSARA’ problem solving model alongside Borton’s Model of Reflection (1970).</w:t>
      </w:r>
    </w:p>
    <w:p w14:paraId="512021A3" w14:textId="77777777" w:rsidR="003C02D6" w:rsidRDefault="003C02D6" w:rsidP="003C02D6">
      <w:pPr>
        <w:ind w:right="237"/>
        <w:jc w:val="both"/>
        <w:rPr>
          <w:sz w:val="24"/>
          <w:szCs w:val="24"/>
        </w:rPr>
      </w:pPr>
    </w:p>
    <w:p w14:paraId="4DB16098" w14:textId="49B21D70" w:rsidR="003C02D6" w:rsidRPr="003C02D6" w:rsidRDefault="003C02D6" w:rsidP="003C02D6">
      <w:pPr>
        <w:ind w:right="237"/>
        <w:jc w:val="both"/>
        <w:rPr>
          <w:sz w:val="24"/>
          <w:szCs w:val="24"/>
        </w:rPr>
      </w:pPr>
      <w:r w:rsidRPr="003C02D6">
        <w:rPr>
          <w:sz w:val="24"/>
          <w:szCs w:val="24"/>
        </w:rPr>
        <w:t>The First Stage of Borton’s Model of Reflection is ‘What’. I was alerted to a call regarding ‘Anti-Social Behaviour’ and Public Order Offence. A male had been seen out in the street acting in a drunk and disorderly manner, banging on other neighbours’ doors and swearing and shouting causing harassment, alarm and distress. I was further informed that neighbours of the perpetrator had attempted to defuse the situation by confronting him, asking him to return to home which unfortunately, did not work. I was informed that this behaviour is common with this male. The victim called the police requesting assistance, and the perpetrator retreated back into his property. When I arrived, I activated my body worn camera, following police policy, and headed straight to the victims address to obtain a more accurate account of the incident. The address was in an area which is renowned for police activity surrounding ‘Anti-Social Behaviour’. The council estate was dilapidated, and it was evident that poverty was contributing to some of the behaviour being observed. According to BBC News,</w:t>
      </w:r>
    </w:p>
    <w:p w14:paraId="08A3CB4E" w14:textId="77777777" w:rsidR="003C02D6" w:rsidRDefault="003C02D6" w:rsidP="003C02D6">
      <w:pPr>
        <w:ind w:right="237"/>
        <w:jc w:val="both"/>
        <w:rPr>
          <w:sz w:val="24"/>
          <w:szCs w:val="24"/>
        </w:rPr>
      </w:pPr>
    </w:p>
    <w:p w14:paraId="28D38388" w14:textId="58B73CC9" w:rsidR="003C02D6" w:rsidRPr="003C02D6" w:rsidRDefault="003C02D6" w:rsidP="003C02D6">
      <w:pPr>
        <w:ind w:left="720" w:right="237"/>
        <w:jc w:val="both"/>
        <w:rPr>
          <w:sz w:val="24"/>
          <w:szCs w:val="24"/>
        </w:rPr>
      </w:pPr>
      <w:r w:rsidRPr="003C02D6">
        <w:rPr>
          <w:sz w:val="24"/>
          <w:szCs w:val="24"/>
        </w:rPr>
        <w:t>“The Crime Survey for England and Wales estimated 37% of adult respondents experienced or witnessed anti-social behaviour in their local area last year, the highest proportion since the question was first asked in 2011-12.” (BBC News, 2019).</w:t>
      </w:r>
    </w:p>
    <w:p w14:paraId="3E8C1C35" w14:textId="77777777" w:rsidR="003C02D6" w:rsidRDefault="003C02D6" w:rsidP="003C02D6">
      <w:pPr>
        <w:ind w:right="237"/>
        <w:jc w:val="both"/>
        <w:rPr>
          <w:sz w:val="24"/>
          <w:szCs w:val="24"/>
        </w:rPr>
      </w:pPr>
    </w:p>
    <w:p w14:paraId="5569C9DA" w14:textId="0EBB327A" w:rsidR="003C02D6" w:rsidRPr="003C02D6" w:rsidRDefault="003C02D6" w:rsidP="003C02D6">
      <w:pPr>
        <w:ind w:right="237"/>
        <w:jc w:val="both"/>
        <w:rPr>
          <w:sz w:val="24"/>
          <w:szCs w:val="24"/>
        </w:rPr>
      </w:pPr>
      <w:r w:rsidRPr="003C02D6">
        <w:rPr>
          <w:sz w:val="24"/>
          <w:szCs w:val="24"/>
        </w:rPr>
        <w:t>When dealing with the victim and perpetrator, they identified as White Welsh, the victim being bilingual which included ‘Cymraeg’. This is the welsh language, but they preferred to communicate by means of English. The perpetrator communicates in English only, with no other language stated. I ensured not to let my unconscious bias effect my decision making when dealing with the call due to the appearance and manner the victim conducted himself in. I originally thought he may have instigated the ordeal. He appeared rough and anti-police because of past experiences. Unconscious bias as defined by Bailey Reiner’s is “the underlying attitudes and stereotypes that people unconsciously attribute to another person or group of people that affect how they understand and engage with a person or group.” (Reiner, 2021). However, I ensured I didn’t let this effect my investigation to maintain the core principles of the ‘Code of Ethics’, Fairness, Respect and selflessness.</w:t>
      </w:r>
    </w:p>
    <w:p w14:paraId="75C4E40A" w14:textId="77777777" w:rsidR="003C02D6" w:rsidRDefault="003C02D6" w:rsidP="003C02D6">
      <w:pPr>
        <w:ind w:right="237"/>
        <w:jc w:val="both"/>
        <w:rPr>
          <w:sz w:val="24"/>
          <w:szCs w:val="24"/>
        </w:rPr>
      </w:pPr>
    </w:p>
    <w:p w14:paraId="56719B0B" w14:textId="2022E556" w:rsidR="003C02D6" w:rsidRPr="003C02D6" w:rsidRDefault="003C02D6" w:rsidP="003C02D6">
      <w:pPr>
        <w:ind w:right="237"/>
        <w:jc w:val="both"/>
        <w:rPr>
          <w:sz w:val="24"/>
          <w:szCs w:val="24"/>
        </w:rPr>
      </w:pPr>
      <w:r w:rsidRPr="003C02D6">
        <w:rPr>
          <w:sz w:val="24"/>
          <w:szCs w:val="24"/>
        </w:rPr>
        <w:t>I obtained a ‘Pocket Notebook’ entry of the victims first account. He mentioned the perpetrator had shouted direct profanities at him, directing to a Public Order Section 4A offence under the Public Order Act 1986. Robin Bryan an author of Blackstone’s Policing handbook defines this as,</w:t>
      </w:r>
    </w:p>
    <w:p w14:paraId="03088F04" w14:textId="77777777" w:rsidR="003C02D6" w:rsidRDefault="003C02D6" w:rsidP="003C02D6">
      <w:pPr>
        <w:ind w:right="237"/>
        <w:jc w:val="both"/>
        <w:rPr>
          <w:sz w:val="24"/>
          <w:szCs w:val="24"/>
        </w:rPr>
      </w:pPr>
    </w:p>
    <w:p w14:paraId="5F55CF95" w14:textId="1D6D3EA2" w:rsidR="003C02D6" w:rsidRPr="003C02D6" w:rsidRDefault="003C02D6" w:rsidP="003C02D6">
      <w:pPr>
        <w:ind w:left="720" w:right="237"/>
        <w:jc w:val="both"/>
        <w:rPr>
          <w:sz w:val="24"/>
          <w:szCs w:val="24"/>
        </w:rPr>
      </w:pPr>
      <w:r w:rsidRPr="003C02D6">
        <w:rPr>
          <w:sz w:val="24"/>
          <w:szCs w:val="24"/>
        </w:rPr>
        <w:t>“A person is guilty of this offence if he/she uses threatening, abusive, or insulting words or behaviour or commits disorderly behaviour, or displays any writing, sign, or other visible representation which is threatening, abusive, or insulting, with intent to cause a person harassment, alarm, or distress thereby causing that or another person harassment, alarm or distress.” (Bryant et al, 2020, P. 312).</w:t>
      </w:r>
    </w:p>
    <w:p w14:paraId="4ED46566" w14:textId="77777777" w:rsidR="003C02D6" w:rsidRDefault="003C02D6" w:rsidP="003C02D6">
      <w:pPr>
        <w:ind w:right="237"/>
        <w:jc w:val="both"/>
        <w:rPr>
          <w:sz w:val="24"/>
          <w:szCs w:val="24"/>
        </w:rPr>
      </w:pPr>
    </w:p>
    <w:p w14:paraId="7A09781E" w14:textId="7A634ED6" w:rsidR="003C02D6" w:rsidRPr="003C02D6" w:rsidRDefault="003C02D6" w:rsidP="003C02D6">
      <w:pPr>
        <w:ind w:right="237"/>
        <w:jc w:val="both"/>
        <w:rPr>
          <w:sz w:val="24"/>
          <w:szCs w:val="24"/>
        </w:rPr>
      </w:pPr>
      <w:r w:rsidRPr="003C02D6">
        <w:rPr>
          <w:sz w:val="24"/>
          <w:szCs w:val="24"/>
        </w:rPr>
        <w:t xml:space="preserve">He stated he wanted to understand the perpetrators issues and didn’t want to make a complaint or pursue action. He informed me this type of behaviour has a ‘knock </w:t>
      </w:r>
      <w:r w:rsidRPr="003C02D6">
        <w:rPr>
          <w:sz w:val="24"/>
          <w:szCs w:val="24"/>
        </w:rPr>
        <w:lastRenderedPageBreak/>
        <w:t>on’ effect to the youths and kids located around the area and he didn’t want them witnessing it, fearing it may further influence their behaviour towards his community. The definition of Anti-Social Behaviour (ASB) is very much like public order, Summarised from Robin Bryant this is behaviour which has caused harassment alarm or distress of any nature and or is likely to do so. (Bryant et al, 2020, P. 301).</w:t>
      </w:r>
    </w:p>
    <w:p w14:paraId="30FE3BE6" w14:textId="77777777" w:rsidR="003C02D6" w:rsidRDefault="003C02D6" w:rsidP="003C02D6">
      <w:pPr>
        <w:ind w:right="237"/>
        <w:jc w:val="both"/>
        <w:rPr>
          <w:sz w:val="24"/>
          <w:szCs w:val="24"/>
        </w:rPr>
      </w:pPr>
    </w:p>
    <w:p w14:paraId="585213CE" w14:textId="4542DBFC" w:rsidR="003C02D6" w:rsidRPr="003C02D6" w:rsidRDefault="003C02D6" w:rsidP="003C02D6">
      <w:pPr>
        <w:ind w:right="237"/>
        <w:jc w:val="both"/>
        <w:rPr>
          <w:sz w:val="24"/>
          <w:szCs w:val="24"/>
        </w:rPr>
      </w:pPr>
      <w:r w:rsidRPr="003C02D6">
        <w:rPr>
          <w:sz w:val="24"/>
          <w:szCs w:val="24"/>
        </w:rPr>
        <w:t xml:space="preserve">Borton’s second stage of reflection is ‘So What’, I knew I had a duty of care to the victim and to the community to address this issue and its recurring problems.  It was clear the recurring behaviour affected the victim greatly. He informed me he was frightened to go outside, he felt unsafe in his own home, he considered moving and he thought he was the problem by victimising himself into submission. </w:t>
      </w:r>
    </w:p>
    <w:p w14:paraId="2BF71CF9" w14:textId="77777777" w:rsidR="003C02D6" w:rsidRDefault="003C02D6" w:rsidP="003C02D6">
      <w:pPr>
        <w:ind w:right="237"/>
        <w:jc w:val="both"/>
        <w:rPr>
          <w:sz w:val="24"/>
          <w:szCs w:val="24"/>
        </w:rPr>
      </w:pPr>
    </w:p>
    <w:p w14:paraId="5FCE97E1" w14:textId="244CA8DE" w:rsidR="003C02D6" w:rsidRPr="003C02D6" w:rsidRDefault="003C02D6" w:rsidP="003C02D6">
      <w:pPr>
        <w:ind w:right="237"/>
        <w:jc w:val="both"/>
        <w:rPr>
          <w:sz w:val="24"/>
          <w:szCs w:val="24"/>
        </w:rPr>
      </w:pPr>
      <w:r w:rsidRPr="003C02D6">
        <w:rPr>
          <w:sz w:val="24"/>
          <w:szCs w:val="24"/>
        </w:rPr>
        <w:t xml:space="preserve"> I utilised ‘OSARA’ problem-solving model which has 5 stages for achieving positive action. Summarised, Sharon Briggs breaks this down as a tool used for identifying issues and developing solutions within the local community (Briggs, 2018).</w:t>
      </w:r>
    </w:p>
    <w:p w14:paraId="45A085E7" w14:textId="77777777" w:rsidR="003C02D6" w:rsidRDefault="003C02D6" w:rsidP="003C02D6">
      <w:pPr>
        <w:ind w:right="237"/>
        <w:jc w:val="both"/>
        <w:rPr>
          <w:sz w:val="24"/>
          <w:szCs w:val="24"/>
        </w:rPr>
      </w:pPr>
    </w:p>
    <w:p w14:paraId="13A58EF9" w14:textId="421F4B82" w:rsidR="003C02D6" w:rsidRPr="003C02D6" w:rsidRDefault="003C02D6" w:rsidP="003C02D6">
      <w:pPr>
        <w:ind w:right="237"/>
        <w:jc w:val="both"/>
        <w:rPr>
          <w:sz w:val="24"/>
          <w:szCs w:val="24"/>
        </w:rPr>
      </w:pPr>
      <w:r w:rsidRPr="003C02D6">
        <w:rPr>
          <w:sz w:val="24"/>
          <w:szCs w:val="24"/>
        </w:rPr>
        <w:t xml:space="preserve"> Firstly, utilising the ‘The Problem Analysis Triangle’ which allows for communities to identify the problem, I established the problem was repeated (ASB) and Public Order.  My objective was to prevent further (ASB) and Public Order in the community and for the victim. The cause was coming from a disorderly neighbour encouraging a ‘Knock on’ effect to the younger generation. The ‘Objective’ was now clear, I wanted to reduce the Anti-Social Behaviour in the community and prevent further incidents happening. Next was ‘Scanning’. I obtained as much information as possible. I related to my own past experiences. I understood a simple warning doesn’t always suffice and more partner agencies would be required to assist in preventing further risk. Dealing with similar previous neighbourhood disputes, I found a ‘Community Resolution’ would be beneficial. It allows offences to be addressed as an out of court disposal, not resulting in a criminal record. It also gives the perpetrator chance to admit his/her guilt and remorse for their actions. Robin Bryant backs this up stating, “Community Resolution: these can be used with both adults and juveniles to help draw up an informal agreement between parties and are a type of restorative Justice” (Bryant et al, 2020, P. 303).</w:t>
      </w:r>
    </w:p>
    <w:p w14:paraId="71EC2DE2" w14:textId="77777777" w:rsidR="003C02D6" w:rsidRDefault="003C02D6" w:rsidP="003C02D6">
      <w:pPr>
        <w:ind w:right="237"/>
        <w:jc w:val="both"/>
        <w:rPr>
          <w:sz w:val="24"/>
          <w:szCs w:val="24"/>
        </w:rPr>
      </w:pPr>
    </w:p>
    <w:p w14:paraId="516AA013" w14:textId="3A3DDA4A" w:rsidR="003C02D6" w:rsidRPr="003C02D6" w:rsidRDefault="003C02D6" w:rsidP="003C02D6">
      <w:pPr>
        <w:ind w:right="237"/>
        <w:jc w:val="both"/>
        <w:rPr>
          <w:sz w:val="24"/>
          <w:szCs w:val="24"/>
        </w:rPr>
      </w:pPr>
      <w:r w:rsidRPr="003C02D6">
        <w:rPr>
          <w:sz w:val="24"/>
          <w:szCs w:val="24"/>
        </w:rPr>
        <w:t xml:space="preserve"> I previously used ‘Verbal Warning’ but didn’t find this as efficient. The previous perpetrator continued her actions, so I learnt this time more action was required. A verbal warning was still considered alongside a ‘Written Warning’ ensuring the perpetrator had opportunity to realise how his actions were impacting the community. As I was unfamiliar with the area, I was unaware of any previous ASB issues and didn’t know the severity until I was informed by the victim.</w:t>
      </w:r>
    </w:p>
    <w:p w14:paraId="51E106E9" w14:textId="77777777" w:rsidR="003C02D6" w:rsidRDefault="003C02D6" w:rsidP="003C02D6">
      <w:pPr>
        <w:ind w:right="237"/>
        <w:jc w:val="both"/>
        <w:rPr>
          <w:sz w:val="24"/>
          <w:szCs w:val="24"/>
        </w:rPr>
      </w:pPr>
    </w:p>
    <w:p w14:paraId="028BECE5" w14:textId="0CA9319D" w:rsidR="003C02D6" w:rsidRPr="003C02D6" w:rsidRDefault="003C02D6" w:rsidP="003C02D6">
      <w:pPr>
        <w:ind w:right="237"/>
        <w:jc w:val="both"/>
        <w:rPr>
          <w:sz w:val="24"/>
          <w:szCs w:val="24"/>
        </w:rPr>
      </w:pPr>
      <w:r w:rsidRPr="003C02D6">
        <w:rPr>
          <w:sz w:val="24"/>
          <w:szCs w:val="24"/>
        </w:rPr>
        <w:t xml:space="preserve">The third stage of ‘OSARA’ is analysis.  I decided once I had spoken to the victim to head to the perpetrators address, to discuss his side of the events and see if there was an explanation for his behaviour. I introduced myself, keeping a calm and composed tone, and asked politely if I was allowed in. I addressed some of the issues that his neighbour was reporting to the police and requested he tell me if there was anything I needed to know. He informed me that he has ‘PTSD’ (Post Traumatic Stress Disorder) from being in the military. NHS summarises that, someone who has PTSD often relives a specific traumatic event and may be experiencing irritability, guilt, isolation and unstable emotion through flashbacks and </w:t>
      </w:r>
      <w:r w:rsidRPr="003C02D6">
        <w:rPr>
          <w:sz w:val="24"/>
          <w:szCs w:val="24"/>
        </w:rPr>
        <w:lastRenderedPageBreak/>
        <w:t>nightmares which has a significant impact on a person’s day to day routine. (NHS, 2021).</w:t>
      </w:r>
    </w:p>
    <w:p w14:paraId="7998DA9A" w14:textId="77777777" w:rsidR="003C02D6" w:rsidRDefault="003C02D6" w:rsidP="003C02D6">
      <w:pPr>
        <w:ind w:right="237"/>
        <w:jc w:val="both"/>
        <w:rPr>
          <w:sz w:val="24"/>
          <w:szCs w:val="24"/>
        </w:rPr>
      </w:pPr>
      <w:r w:rsidRPr="003C02D6">
        <w:rPr>
          <w:sz w:val="24"/>
          <w:szCs w:val="24"/>
        </w:rPr>
        <w:t xml:space="preserve"> </w:t>
      </w:r>
    </w:p>
    <w:p w14:paraId="4D0BC78F" w14:textId="40D2FF4C" w:rsidR="003C02D6" w:rsidRPr="003C02D6" w:rsidRDefault="003C02D6" w:rsidP="003C02D6">
      <w:pPr>
        <w:ind w:right="237"/>
        <w:jc w:val="both"/>
        <w:rPr>
          <w:sz w:val="24"/>
          <w:szCs w:val="24"/>
        </w:rPr>
      </w:pPr>
      <w:r w:rsidRPr="003C02D6">
        <w:rPr>
          <w:sz w:val="24"/>
          <w:szCs w:val="24"/>
        </w:rPr>
        <w:t xml:space="preserve">As a result of his condition, he resorts to alcohol which changes his behaviour when consumed. He further stated he was having issues with children in the neighbourhood causing him Harassment, Alarm and Distress. He clarified earlier he had a PTSD episode when he was consuming alcohol, causing him to enter the street swearing and shouting, sometimes directed at his neighbour. He stated he did this because the youths had been giving him trouble and he assumed they were doing it again. He was remorseful and apologised for his behaviour, becoming upset. It became clear that in his own way, the perpetrator was not the subject at all but a victim in his own right. </w:t>
      </w:r>
    </w:p>
    <w:p w14:paraId="47EA6AB2" w14:textId="77777777" w:rsidR="003C02D6" w:rsidRDefault="003C02D6" w:rsidP="003C02D6">
      <w:pPr>
        <w:ind w:right="237"/>
        <w:jc w:val="both"/>
        <w:rPr>
          <w:sz w:val="24"/>
          <w:szCs w:val="24"/>
        </w:rPr>
      </w:pPr>
    </w:p>
    <w:p w14:paraId="57F3A5E5" w14:textId="78073789" w:rsidR="003C02D6" w:rsidRPr="003C02D6" w:rsidRDefault="003C02D6" w:rsidP="003C02D6">
      <w:pPr>
        <w:ind w:right="237"/>
        <w:jc w:val="both"/>
        <w:rPr>
          <w:sz w:val="24"/>
          <w:szCs w:val="24"/>
        </w:rPr>
      </w:pPr>
      <w:r w:rsidRPr="003C02D6">
        <w:rPr>
          <w:sz w:val="24"/>
          <w:szCs w:val="24"/>
        </w:rPr>
        <w:t xml:space="preserve">This then led me onto my next step which was ‘Response’. I approached the victim again and informed him of the situation and highlighted the perpetrator’s remorse. I also then stated that they had a common issue, the youths which were causing issues to the area and being anti-social. I firstly asked if the victim would be willing to participate in a ‘Community Resolution’ stating to him the benefits of this as an out of court disposal to the Public Order 4A offence. I then further stated to the victim I was going to give the perpetrator ‘Support and Counselling’ for his alcohol dependency to help combat future incidents. The victim agreed to this, which was the first desired step. I then informed the victim that I was going to liaise with victim support so they could contact him. </w:t>
      </w:r>
    </w:p>
    <w:p w14:paraId="735312AC" w14:textId="77777777" w:rsidR="003C02D6" w:rsidRDefault="003C02D6" w:rsidP="003C02D6">
      <w:pPr>
        <w:ind w:right="237"/>
        <w:jc w:val="both"/>
        <w:rPr>
          <w:sz w:val="24"/>
          <w:szCs w:val="24"/>
        </w:rPr>
      </w:pPr>
    </w:p>
    <w:p w14:paraId="39303715" w14:textId="070C061C" w:rsidR="003C02D6" w:rsidRPr="003C02D6" w:rsidRDefault="003C02D6" w:rsidP="003C02D6">
      <w:pPr>
        <w:ind w:left="720" w:right="237"/>
        <w:jc w:val="both"/>
        <w:rPr>
          <w:sz w:val="24"/>
          <w:szCs w:val="24"/>
        </w:rPr>
      </w:pPr>
      <w:r w:rsidRPr="003C02D6">
        <w:rPr>
          <w:sz w:val="24"/>
          <w:szCs w:val="24"/>
        </w:rPr>
        <w:t>This is backed up by victim support confirming they  help by “providing support by phone and face to face – it helps to have someone to talk to, speaking to the different agencies involved on your behalf, reassuring you that they are listening to you and will take action if possible, keeping you up to date with what is being done, helping you understand the process of tackling crime and antisocial behaviour”. (Victim Support, 2021).</w:t>
      </w:r>
    </w:p>
    <w:p w14:paraId="04D727B6" w14:textId="77777777" w:rsidR="003C02D6" w:rsidRDefault="003C02D6" w:rsidP="003C02D6">
      <w:pPr>
        <w:ind w:right="237"/>
        <w:jc w:val="both"/>
        <w:rPr>
          <w:sz w:val="24"/>
          <w:szCs w:val="24"/>
        </w:rPr>
      </w:pPr>
    </w:p>
    <w:p w14:paraId="09BDE1E5" w14:textId="55003AA8" w:rsidR="003C02D6" w:rsidRPr="003C02D6" w:rsidRDefault="003C02D6" w:rsidP="003C02D6">
      <w:pPr>
        <w:ind w:right="237"/>
        <w:jc w:val="both"/>
        <w:rPr>
          <w:sz w:val="24"/>
          <w:szCs w:val="24"/>
        </w:rPr>
      </w:pPr>
      <w:r w:rsidRPr="003C02D6">
        <w:rPr>
          <w:sz w:val="24"/>
          <w:szCs w:val="24"/>
        </w:rPr>
        <w:t>I returned to the perpetrator who accepted the ‘Community Resolution’ and had written a formal letter of apology which was served in the victim.  I also said to the perpetrator that I was going to refer him to ‘GDAS’ (Gwent Drugs and Alcohol Service) for support over his alcohol consumption as a partner agency  for ‘Support and Counselling’ and his local GP for his PTSD conduction to make sure he was getting the help he needed. After I had formally dealt with the matter, I contacted the council to inform them of the presence of ‘ASB’ in the area after the incident due to its ongoing persistence and the negative impact in the residents it was having.</w:t>
      </w:r>
    </w:p>
    <w:p w14:paraId="23EA9D51" w14:textId="77777777" w:rsidR="003C02D6" w:rsidRDefault="003C02D6" w:rsidP="003C02D6">
      <w:pPr>
        <w:ind w:right="237"/>
        <w:jc w:val="both"/>
        <w:rPr>
          <w:sz w:val="24"/>
          <w:szCs w:val="24"/>
        </w:rPr>
      </w:pPr>
    </w:p>
    <w:p w14:paraId="548FC9AF" w14:textId="4D1B1B14" w:rsidR="003C02D6" w:rsidRPr="003C02D6" w:rsidRDefault="003C02D6" w:rsidP="003C02D6">
      <w:pPr>
        <w:ind w:right="237"/>
        <w:jc w:val="both"/>
        <w:rPr>
          <w:sz w:val="24"/>
          <w:szCs w:val="24"/>
        </w:rPr>
      </w:pPr>
      <w:r w:rsidRPr="003C02D6">
        <w:rPr>
          <w:sz w:val="24"/>
          <w:szCs w:val="24"/>
        </w:rPr>
        <w:t>To combat the anti-social behaviour of the youths located around the area I made sure to task Neighbourhood Policing Teams and request Community Support officer to increase patrols in the area to show officer presence and deter the behaviour. This in turn would naturally increase public confidence in the police, show proactive steps being taken to help reduce ‘ASB’.</w:t>
      </w:r>
    </w:p>
    <w:p w14:paraId="32B7E8D2" w14:textId="77777777" w:rsidR="003C02D6" w:rsidRDefault="003C02D6" w:rsidP="003C02D6">
      <w:pPr>
        <w:ind w:right="237"/>
        <w:jc w:val="both"/>
        <w:rPr>
          <w:sz w:val="24"/>
          <w:szCs w:val="24"/>
        </w:rPr>
      </w:pPr>
    </w:p>
    <w:p w14:paraId="4C811AD3" w14:textId="7AA1F81A" w:rsidR="00025650" w:rsidRPr="00270EEB" w:rsidRDefault="003C02D6" w:rsidP="003C02D6">
      <w:pPr>
        <w:ind w:right="237"/>
        <w:jc w:val="both"/>
        <w:rPr>
          <w:sz w:val="24"/>
          <w:szCs w:val="24"/>
        </w:rPr>
      </w:pPr>
      <w:r w:rsidRPr="003C02D6">
        <w:rPr>
          <w:sz w:val="24"/>
          <w:szCs w:val="24"/>
        </w:rPr>
        <w:t xml:space="preserve">The final stage of ‘OSARA’ is ‘Assessment’ and falls directly in line with Borton’s model of reflection ‘Now what’.  I established over time that problems with regards to disorderly behaviour had been significantly reduced. The victim has been provided the help and support he needed, and the perpetrator be refused to relevant </w:t>
      </w:r>
      <w:r w:rsidRPr="003C02D6">
        <w:rPr>
          <w:sz w:val="24"/>
          <w:szCs w:val="24"/>
        </w:rPr>
        <w:lastRenderedPageBreak/>
        <w:t>agencies to assist him with his struggles. I saw an active decrease in crime with officer presence patrolling the local area and ‘ASB’ was only reported in small quantities. I achieved my target for reducing crime in the area, granted there is still work to be done to achieve the full desired outcome. For the future, I will take this forward and tailor my actions into future Anti-Social Behaviour incidents. Much like Evidence Based Policing already mentioned this will allow me to “review and use the best available evidence to inform and challenge policies, practices and decisions.” (College of Policing, 2021). I will take these skills that I am constantly developing forward with me into the future incidents the overall outcome of the incident was something to be positive of and safeguarding was placed on those vulnerable to this behaviour.</w:t>
      </w:r>
    </w:p>
    <w:p w14:paraId="0FEEFB0E" w14:textId="77777777" w:rsidR="00025650" w:rsidRPr="00270EEB" w:rsidRDefault="00025650" w:rsidP="00340E9A">
      <w:pPr>
        <w:ind w:right="237"/>
        <w:jc w:val="both"/>
        <w:rPr>
          <w:sz w:val="24"/>
          <w:szCs w:val="24"/>
        </w:rPr>
      </w:pPr>
    </w:p>
    <w:p w14:paraId="5E21F8DD" w14:textId="7B8F2972" w:rsidR="00025650" w:rsidRPr="00270EEB" w:rsidRDefault="003C02D6" w:rsidP="00340E9A">
      <w:pPr>
        <w:ind w:right="237"/>
        <w:jc w:val="both"/>
        <w:rPr>
          <w:sz w:val="24"/>
          <w:szCs w:val="24"/>
        </w:rPr>
      </w:pPr>
      <w:r>
        <w:rPr>
          <w:sz w:val="24"/>
          <w:szCs w:val="24"/>
        </w:rPr>
        <w:t>Word Count: 1922</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0379A4C" w14:textId="57E5A9CE" w:rsidR="0004357B" w:rsidRDefault="0004357B" w:rsidP="0003379B">
      <w:pPr>
        <w:keepNext/>
        <w:ind w:right="237"/>
        <w:jc w:val="both"/>
        <w:rPr>
          <w:b/>
          <w:bCs/>
          <w:sz w:val="24"/>
          <w:szCs w:val="24"/>
        </w:rPr>
      </w:pPr>
    </w:p>
    <w:p w14:paraId="02DDA9F6" w14:textId="77777777" w:rsidR="00A30255" w:rsidRPr="00A30255" w:rsidRDefault="00A30255" w:rsidP="00A30255">
      <w:pPr>
        <w:keepNext/>
        <w:ind w:right="237"/>
        <w:jc w:val="both"/>
        <w:rPr>
          <w:b/>
          <w:bCs/>
          <w:sz w:val="24"/>
          <w:szCs w:val="24"/>
        </w:rPr>
      </w:pPr>
      <w:r w:rsidRPr="00A30255">
        <w:rPr>
          <w:b/>
          <w:bCs/>
          <w:sz w:val="24"/>
          <w:szCs w:val="24"/>
        </w:rPr>
        <w:t>BBC News (2019) Anti-social behaviour ‘nightmare’ ignored, says report.</w:t>
      </w:r>
    </w:p>
    <w:p w14:paraId="0CCDFED6"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0" w:history="1">
        <w:r w:rsidRPr="00A30255">
          <w:rPr>
            <w:rStyle w:val="Hyperlink"/>
            <w:b/>
            <w:bCs/>
            <w:sz w:val="24"/>
            <w:szCs w:val="24"/>
          </w:rPr>
          <w:t>https://www.bbc.co.uk/news/uk-48096028</w:t>
        </w:r>
      </w:hyperlink>
    </w:p>
    <w:p w14:paraId="55B6219F" w14:textId="77777777" w:rsidR="00A30255" w:rsidRPr="00A30255" w:rsidRDefault="00A30255" w:rsidP="00A30255">
      <w:pPr>
        <w:keepNext/>
        <w:ind w:right="237"/>
        <w:jc w:val="both"/>
        <w:rPr>
          <w:b/>
          <w:bCs/>
          <w:sz w:val="24"/>
          <w:szCs w:val="24"/>
        </w:rPr>
      </w:pPr>
      <w:r w:rsidRPr="00A30255">
        <w:rPr>
          <w:b/>
          <w:bCs/>
          <w:sz w:val="24"/>
          <w:szCs w:val="24"/>
        </w:rPr>
        <w:t>(Accessed: 17 October 2021).</w:t>
      </w:r>
    </w:p>
    <w:p w14:paraId="69A3978D" w14:textId="77777777" w:rsidR="00A30255" w:rsidRDefault="00A30255" w:rsidP="00A30255">
      <w:pPr>
        <w:keepNext/>
        <w:ind w:right="237"/>
        <w:jc w:val="both"/>
        <w:rPr>
          <w:b/>
          <w:bCs/>
          <w:sz w:val="24"/>
          <w:szCs w:val="24"/>
        </w:rPr>
      </w:pPr>
    </w:p>
    <w:p w14:paraId="4734C557" w14:textId="13EC41C3" w:rsidR="00A30255" w:rsidRPr="00A30255" w:rsidRDefault="00A30255" w:rsidP="00A30255">
      <w:pPr>
        <w:keepNext/>
        <w:ind w:right="237"/>
        <w:jc w:val="both"/>
        <w:rPr>
          <w:b/>
          <w:bCs/>
          <w:sz w:val="24"/>
          <w:szCs w:val="24"/>
        </w:rPr>
      </w:pPr>
      <w:r w:rsidRPr="00A30255">
        <w:rPr>
          <w:b/>
          <w:bCs/>
          <w:sz w:val="24"/>
          <w:szCs w:val="24"/>
        </w:rPr>
        <w:t>Briggs, S (2018) West Berkshire Council, Problem Solving for Communities Using the OSARA Model.</w:t>
      </w:r>
    </w:p>
    <w:p w14:paraId="4E837D6F"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1" w:history="1">
        <w:r w:rsidRPr="00A30255">
          <w:rPr>
            <w:rStyle w:val="Hyperlink"/>
            <w:b/>
            <w:bCs/>
            <w:sz w:val="24"/>
            <w:szCs w:val="24"/>
          </w:rPr>
          <w:t>http://info.westberks.gov.uk/CHttpHandler.ashx?id=46272&amp;p=0#:~:text=The%20OSARA%20model%20is%20the%20most%20familiar%20process,stands</w:t>
        </w:r>
        <w:r w:rsidRPr="00A30255">
          <w:rPr>
            <w:rStyle w:val="Hyperlink"/>
            <w:b/>
            <w:bCs/>
            <w:sz w:val="24"/>
            <w:szCs w:val="24"/>
          </w:rPr>
          <w:lastRenderedPageBreak/>
          <w:t>%20for%20objective%2C%20scanning%2C%20analysis%2C%20response%20and%20assessment</w:t>
        </w:r>
      </w:hyperlink>
    </w:p>
    <w:p w14:paraId="256FFB92" w14:textId="77777777" w:rsidR="00A30255" w:rsidRPr="00A30255" w:rsidRDefault="00A30255" w:rsidP="00A30255">
      <w:pPr>
        <w:keepNext/>
        <w:ind w:right="237"/>
        <w:jc w:val="both"/>
        <w:rPr>
          <w:b/>
          <w:bCs/>
          <w:sz w:val="24"/>
          <w:szCs w:val="24"/>
        </w:rPr>
      </w:pPr>
      <w:r w:rsidRPr="00A30255">
        <w:rPr>
          <w:b/>
          <w:bCs/>
          <w:sz w:val="24"/>
          <w:szCs w:val="24"/>
        </w:rPr>
        <w:t>(Accessed: 17 October 2021).</w:t>
      </w:r>
    </w:p>
    <w:p w14:paraId="7F218D0B" w14:textId="77777777" w:rsidR="00A30255" w:rsidRDefault="00A30255" w:rsidP="00A30255">
      <w:pPr>
        <w:keepNext/>
        <w:ind w:right="237"/>
        <w:jc w:val="both"/>
        <w:rPr>
          <w:b/>
          <w:bCs/>
          <w:sz w:val="24"/>
          <w:szCs w:val="24"/>
        </w:rPr>
      </w:pPr>
    </w:p>
    <w:p w14:paraId="5412C743" w14:textId="47D2DAD2" w:rsidR="00A30255" w:rsidRPr="00A30255" w:rsidRDefault="00A30255" w:rsidP="00A30255">
      <w:pPr>
        <w:keepNext/>
        <w:ind w:right="237"/>
        <w:jc w:val="both"/>
        <w:rPr>
          <w:b/>
          <w:bCs/>
          <w:sz w:val="24"/>
          <w:szCs w:val="24"/>
        </w:rPr>
      </w:pPr>
      <w:r w:rsidRPr="00A30255">
        <w:rPr>
          <w:b/>
          <w:bCs/>
          <w:sz w:val="24"/>
          <w:szCs w:val="24"/>
        </w:rPr>
        <w:t>Bryant, R. et al (2020) Blackstone’s Handbook for Policing, Countering Anti-Social Behaviour, P.  301.</w:t>
      </w:r>
    </w:p>
    <w:p w14:paraId="6F732A28" w14:textId="77777777" w:rsidR="00A30255" w:rsidRPr="00A30255" w:rsidRDefault="00A30255" w:rsidP="00A30255">
      <w:pPr>
        <w:keepNext/>
        <w:ind w:right="237"/>
        <w:jc w:val="both"/>
        <w:rPr>
          <w:b/>
          <w:bCs/>
          <w:sz w:val="24"/>
          <w:szCs w:val="24"/>
        </w:rPr>
      </w:pPr>
      <w:r w:rsidRPr="00A30255">
        <w:rPr>
          <w:b/>
          <w:bCs/>
          <w:sz w:val="24"/>
          <w:szCs w:val="24"/>
        </w:rPr>
        <w:t>Oxford University Press.</w:t>
      </w:r>
    </w:p>
    <w:p w14:paraId="68E22C85" w14:textId="77777777" w:rsidR="00A30255" w:rsidRDefault="00A30255" w:rsidP="00A30255">
      <w:pPr>
        <w:keepNext/>
        <w:ind w:right="237"/>
        <w:jc w:val="both"/>
        <w:rPr>
          <w:b/>
          <w:bCs/>
          <w:sz w:val="24"/>
          <w:szCs w:val="24"/>
        </w:rPr>
      </w:pPr>
    </w:p>
    <w:p w14:paraId="3025320D" w14:textId="2ABB275F" w:rsidR="00A30255" w:rsidRPr="00A30255" w:rsidRDefault="00A30255" w:rsidP="00A30255">
      <w:pPr>
        <w:keepNext/>
        <w:ind w:right="237"/>
        <w:jc w:val="both"/>
        <w:rPr>
          <w:b/>
          <w:bCs/>
          <w:sz w:val="24"/>
          <w:szCs w:val="24"/>
        </w:rPr>
      </w:pPr>
      <w:r w:rsidRPr="00A30255">
        <w:rPr>
          <w:b/>
          <w:bCs/>
          <w:sz w:val="24"/>
          <w:szCs w:val="24"/>
        </w:rPr>
        <w:t>Bryant, R. et al (2020) Blackstone’s Handbook for Policing, Out-of-court disposals for young people, P. 303.</w:t>
      </w:r>
    </w:p>
    <w:p w14:paraId="1DFDD765" w14:textId="77777777" w:rsidR="00A30255" w:rsidRPr="00A30255" w:rsidRDefault="00A30255" w:rsidP="00A30255">
      <w:pPr>
        <w:keepNext/>
        <w:ind w:right="237"/>
        <w:jc w:val="both"/>
        <w:rPr>
          <w:b/>
          <w:bCs/>
          <w:sz w:val="24"/>
          <w:szCs w:val="24"/>
        </w:rPr>
      </w:pPr>
      <w:r w:rsidRPr="00A30255">
        <w:rPr>
          <w:b/>
          <w:bCs/>
          <w:sz w:val="24"/>
          <w:szCs w:val="24"/>
        </w:rPr>
        <w:t>Oxford University Press.</w:t>
      </w:r>
    </w:p>
    <w:p w14:paraId="620BE0D9" w14:textId="77777777" w:rsidR="00A30255" w:rsidRDefault="00A30255" w:rsidP="00A30255">
      <w:pPr>
        <w:keepNext/>
        <w:ind w:right="237"/>
        <w:jc w:val="both"/>
        <w:rPr>
          <w:b/>
          <w:bCs/>
          <w:sz w:val="24"/>
          <w:szCs w:val="24"/>
        </w:rPr>
      </w:pPr>
    </w:p>
    <w:p w14:paraId="2E3CF9C9" w14:textId="452CC845" w:rsidR="00A30255" w:rsidRPr="00A30255" w:rsidRDefault="00A30255" w:rsidP="00A30255">
      <w:pPr>
        <w:keepNext/>
        <w:ind w:right="237"/>
        <w:jc w:val="both"/>
        <w:rPr>
          <w:b/>
          <w:bCs/>
          <w:sz w:val="24"/>
          <w:szCs w:val="24"/>
        </w:rPr>
      </w:pPr>
      <w:r w:rsidRPr="00A30255">
        <w:rPr>
          <w:b/>
          <w:bCs/>
          <w:sz w:val="24"/>
          <w:szCs w:val="24"/>
        </w:rPr>
        <w:t>Bryant, R. et al (2020) Blackstone’s Handbook for Policing, PEACE – Account, Clarifications and challenge, P. 567.</w:t>
      </w:r>
    </w:p>
    <w:p w14:paraId="7447616B" w14:textId="77777777" w:rsidR="00A30255" w:rsidRPr="00A30255" w:rsidRDefault="00A30255" w:rsidP="00A30255">
      <w:pPr>
        <w:keepNext/>
        <w:ind w:right="237"/>
        <w:jc w:val="both"/>
        <w:rPr>
          <w:b/>
          <w:bCs/>
          <w:sz w:val="24"/>
          <w:szCs w:val="24"/>
        </w:rPr>
      </w:pPr>
      <w:r w:rsidRPr="00A30255">
        <w:rPr>
          <w:b/>
          <w:bCs/>
          <w:sz w:val="24"/>
          <w:szCs w:val="24"/>
        </w:rPr>
        <w:t>Oxford University Press.</w:t>
      </w:r>
    </w:p>
    <w:p w14:paraId="1684FB71" w14:textId="77777777" w:rsidR="00A30255" w:rsidRDefault="00A30255" w:rsidP="00A30255">
      <w:pPr>
        <w:keepNext/>
        <w:ind w:right="237"/>
        <w:jc w:val="both"/>
        <w:rPr>
          <w:b/>
          <w:bCs/>
          <w:sz w:val="24"/>
          <w:szCs w:val="24"/>
        </w:rPr>
      </w:pPr>
    </w:p>
    <w:p w14:paraId="7171380F" w14:textId="7CBDC03E" w:rsidR="00A30255" w:rsidRPr="00A30255" w:rsidRDefault="00A30255" w:rsidP="00A30255">
      <w:pPr>
        <w:keepNext/>
        <w:ind w:right="237"/>
        <w:jc w:val="both"/>
        <w:rPr>
          <w:b/>
          <w:bCs/>
          <w:sz w:val="24"/>
          <w:szCs w:val="24"/>
        </w:rPr>
      </w:pPr>
      <w:r w:rsidRPr="00A30255">
        <w:rPr>
          <w:b/>
          <w:bCs/>
          <w:sz w:val="24"/>
          <w:szCs w:val="24"/>
        </w:rPr>
        <w:t>Bryant, R. et al (2020) Blackstone’s Handbook for Policing, PEACE – Closure and Evaluation, P. 568.</w:t>
      </w:r>
    </w:p>
    <w:p w14:paraId="1F8090C3" w14:textId="77777777" w:rsidR="00A30255" w:rsidRPr="00A30255" w:rsidRDefault="00A30255" w:rsidP="00A30255">
      <w:pPr>
        <w:keepNext/>
        <w:ind w:right="237"/>
        <w:jc w:val="both"/>
        <w:rPr>
          <w:b/>
          <w:bCs/>
          <w:sz w:val="24"/>
          <w:szCs w:val="24"/>
        </w:rPr>
      </w:pPr>
      <w:r w:rsidRPr="00A30255">
        <w:rPr>
          <w:b/>
          <w:bCs/>
          <w:sz w:val="24"/>
          <w:szCs w:val="24"/>
        </w:rPr>
        <w:t>Oxford University Press.</w:t>
      </w:r>
    </w:p>
    <w:p w14:paraId="7FE1C916" w14:textId="77777777" w:rsidR="00A30255" w:rsidRDefault="00A30255" w:rsidP="00A30255">
      <w:pPr>
        <w:keepNext/>
        <w:ind w:right="237"/>
        <w:jc w:val="both"/>
        <w:rPr>
          <w:b/>
          <w:bCs/>
          <w:sz w:val="24"/>
          <w:szCs w:val="24"/>
        </w:rPr>
      </w:pPr>
    </w:p>
    <w:p w14:paraId="223E3F51" w14:textId="06AEEDB4" w:rsidR="00A30255" w:rsidRPr="00A30255" w:rsidRDefault="00A30255" w:rsidP="00A30255">
      <w:pPr>
        <w:keepNext/>
        <w:ind w:right="237"/>
        <w:jc w:val="both"/>
        <w:rPr>
          <w:b/>
          <w:bCs/>
          <w:sz w:val="24"/>
          <w:szCs w:val="24"/>
        </w:rPr>
      </w:pPr>
      <w:r w:rsidRPr="00A30255">
        <w:rPr>
          <w:b/>
          <w:bCs/>
          <w:sz w:val="24"/>
          <w:szCs w:val="24"/>
        </w:rPr>
        <w:t>Bryant, R. et al (2020) Blackstone’s Handbook for Policing, Section 4A of the Public Order Act 1986, P. 312.</w:t>
      </w:r>
    </w:p>
    <w:p w14:paraId="490FBBED" w14:textId="77777777" w:rsidR="00A30255" w:rsidRPr="00A30255" w:rsidRDefault="00A30255" w:rsidP="00A30255">
      <w:pPr>
        <w:keepNext/>
        <w:ind w:right="237"/>
        <w:jc w:val="both"/>
        <w:rPr>
          <w:b/>
          <w:bCs/>
          <w:sz w:val="24"/>
          <w:szCs w:val="24"/>
        </w:rPr>
      </w:pPr>
      <w:r w:rsidRPr="00A30255">
        <w:rPr>
          <w:b/>
          <w:bCs/>
          <w:sz w:val="24"/>
          <w:szCs w:val="24"/>
        </w:rPr>
        <w:t>Oxford University Press.</w:t>
      </w:r>
    </w:p>
    <w:p w14:paraId="644DC1B2" w14:textId="77777777" w:rsidR="00A30255" w:rsidRDefault="00A30255" w:rsidP="00A30255">
      <w:pPr>
        <w:keepNext/>
        <w:ind w:right="237"/>
        <w:jc w:val="both"/>
        <w:rPr>
          <w:b/>
          <w:bCs/>
          <w:sz w:val="24"/>
          <w:szCs w:val="24"/>
        </w:rPr>
      </w:pPr>
    </w:p>
    <w:p w14:paraId="7BA94118" w14:textId="43F9E187" w:rsidR="00A30255" w:rsidRPr="00A30255" w:rsidRDefault="00A30255" w:rsidP="00A30255">
      <w:pPr>
        <w:keepNext/>
        <w:ind w:right="237"/>
        <w:jc w:val="both"/>
        <w:rPr>
          <w:b/>
          <w:bCs/>
          <w:sz w:val="24"/>
          <w:szCs w:val="24"/>
        </w:rPr>
      </w:pPr>
      <w:r w:rsidRPr="00A30255">
        <w:rPr>
          <w:b/>
          <w:bCs/>
          <w:sz w:val="24"/>
          <w:szCs w:val="24"/>
        </w:rPr>
        <w:t>Bryant, R. et al (2020) Blackstone’s Handbook for Policing, The Criminal Procedure and Investigations Act 1996, P. 548.</w:t>
      </w:r>
    </w:p>
    <w:p w14:paraId="2733394B" w14:textId="77777777" w:rsidR="00A30255" w:rsidRPr="00A30255" w:rsidRDefault="00A30255" w:rsidP="00A30255">
      <w:pPr>
        <w:keepNext/>
        <w:ind w:right="237"/>
        <w:jc w:val="both"/>
        <w:rPr>
          <w:b/>
          <w:bCs/>
          <w:sz w:val="24"/>
          <w:szCs w:val="24"/>
        </w:rPr>
      </w:pPr>
      <w:r w:rsidRPr="00A30255">
        <w:rPr>
          <w:b/>
          <w:bCs/>
          <w:sz w:val="24"/>
          <w:szCs w:val="24"/>
        </w:rPr>
        <w:t>Oxford University Press.</w:t>
      </w:r>
    </w:p>
    <w:p w14:paraId="0116D8F1" w14:textId="77777777" w:rsidR="00A30255" w:rsidRDefault="00A30255" w:rsidP="00A30255">
      <w:pPr>
        <w:keepNext/>
        <w:ind w:right="237"/>
        <w:jc w:val="both"/>
        <w:rPr>
          <w:b/>
          <w:bCs/>
          <w:sz w:val="24"/>
          <w:szCs w:val="24"/>
        </w:rPr>
      </w:pPr>
    </w:p>
    <w:p w14:paraId="7329CA95" w14:textId="160CB8B6" w:rsidR="00A30255" w:rsidRPr="00A30255" w:rsidRDefault="00A30255" w:rsidP="00A30255">
      <w:pPr>
        <w:keepNext/>
        <w:ind w:right="237"/>
        <w:jc w:val="both"/>
        <w:rPr>
          <w:b/>
          <w:bCs/>
          <w:sz w:val="24"/>
          <w:szCs w:val="24"/>
        </w:rPr>
      </w:pPr>
      <w:r w:rsidRPr="00A30255">
        <w:rPr>
          <w:b/>
          <w:bCs/>
          <w:sz w:val="24"/>
          <w:szCs w:val="24"/>
        </w:rPr>
        <w:t>College of Policing (2014) Code of Ethics.</w:t>
      </w:r>
    </w:p>
    <w:p w14:paraId="254DBC41"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2" w:history="1">
        <w:r w:rsidRPr="00A30255">
          <w:rPr>
            <w:rStyle w:val="Hyperlink"/>
            <w:b/>
            <w:bCs/>
            <w:sz w:val="24"/>
            <w:szCs w:val="24"/>
          </w:rPr>
          <w:t>https://assets.college.police.uk/s3fs-public/2021-02/code_of_ethics.pdf</w:t>
        </w:r>
      </w:hyperlink>
    </w:p>
    <w:p w14:paraId="323BC27C" w14:textId="77777777" w:rsidR="00A30255" w:rsidRPr="00A30255" w:rsidRDefault="00A30255" w:rsidP="00A30255">
      <w:pPr>
        <w:keepNext/>
        <w:ind w:right="237"/>
        <w:jc w:val="both"/>
        <w:rPr>
          <w:b/>
          <w:bCs/>
          <w:sz w:val="24"/>
          <w:szCs w:val="24"/>
        </w:rPr>
      </w:pPr>
      <w:r w:rsidRPr="00A30255">
        <w:rPr>
          <w:b/>
          <w:bCs/>
          <w:sz w:val="24"/>
          <w:szCs w:val="24"/>
        </w:rPr>
        <w:t>(Accessed: 11 October 2021).</w:t>
      </w:r>
    </w:p>
    <w:p w14:paraId="18D8DE82" w14:textId="77777777" w:rsidR="00A30255" w:rsidRDefault="00A30255" w:rsidP="00A30255">
      <w:pPr>
        <w:keepNext/>
        <w:ind w:right="237"/>
        <w:jc w:val="both"/>
        <w:rPr>
          <w:b/>
          <w:bCs/>
          <w:sz w:val="24"/>
          <w:szCs w:val="24"/>
        </w:rPr>
      </w:pPr>
    </w:p>
    <w:p w14:paraId="39A0E3B7" w14:textId="648D3937" w:rsidR="00A30255" w:rsidRPr="00A30255" w:rsidRDefault="00A30255" w:rsidP="00A30255">
      <w:pPr>
        <w:keepNext/>
        <w:ind w:right="237"/>
        <w:jc w:val="both"/>
        <w:rPr>
          <w:b/>
          <w:bCs/>
          <w:sz w:val="24"/>
          <w:szCs w:val="24"/>
        </w:rPr>
      </w:pPr>
      <w:r w:rsidRPr="00A30255">
        <w:rPr>
          <w:b/>
          <w:bCs/>
          <w:sz w:val="24"/>
          <w:szCs w:val="24"/>
        </w:rPr>
        <w:t>College of Policing (2021) What Is Evidence Based Policing?</w:t>
      </w:r>
    </w:p>
    <w:p w14:paraId="6C4CC70F"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3" w:history="1">
        <w:r w:rsidRPr="00A30255">
          <w:rPr>
            <w:rStyle w:val="Hyperlink"/>
            <w:b/>
            <w:bCs/>
            <w:sz w:val="24"/>
            <w:szCs w:val="24"/>
          </w:rPr>
          <w:t>https://whatworks.college.police.uk/About/Pages/What-is-EBP.aspx</w:t>
        </w:r>
      </w:hyperlink>
    </w:p>
    <w:p w14:paraId="587D73A6" w14:textId="77777777" w:rsidR="00A30255" w:rsidRPr="00A30255" w:rsidRDefault="00A30255" w:rsidP="00A30255">
      <w:pPr>
        <w:keepNext/>
        <w:ind w:right="237"/>
        <w:jc w:val="both"/>
        <w:rPr>
          <w:b/>
          <w:bCs/>
          <w:sz w:val="24"/>
          <w:szCs w:val="24"/>
        </w:rPr>
      </w:pPr>
      <w:r w:rsidRPr="00A30255">
        <w:rPr>
          <w:b/>
          <w:bCs/>
          <w:sz w:val="24"/>
          <w:szCs w:val="24"/>
        </w:rPr>
        <w:t>(Accessed: 17/10/2021).</w:t>
      </w:r>
    </w:p>
    <w:p w14:paraId="7C93D22A" w14:textId="77777777" w:rsidR="00A30255" w:rsidRDefault="00A30255" w:rsidP="00A30255">
      <w:pPr>
        <w:keepNext/>
        <w:ind w:right="237"/>
        <w:jc w:val="both"/>
        <w:rPr>
          <w:b/>
          <w:bCs/>
          <w:sz w:val="24"/>
          <w:szCs w:val="24"/>
        </w:rPr>
      </w:pPr>
    </w:p>
    <w:p w14:paraId="5FCA820B" w14:textId="52DCD2E7" w:rsidR="00A30255" w:rsidRPr="00A30255" w:rsidRDefault="00A30255" w:rsidP="00A30255">
      <w:pPr>
        <w:keepNext/>
        <w:ind w:right="237"/>
        <w:jc w:val="both"/>
        <w:rPr>
          <w:b/>
          <w:bCs/>
          <w:sz w:val="24"/>
          <w:szCs w:val="24"/>
        </w:rPr>
      </w:pPr>
      <w:r w:rsidRPr="00A30255">
        <w:rPr>
          <w:b/>
          <w:bCs/>
          <w:sz w:val="24"/>
          <w:szCs w:val="24"/>
        </w:rPr>
        <w:t xml:space="preserve">Dabell, J. (2018) Borton’s Model </w:t>
      </w:r>
      <w:proofErr w:type="gramStart"/>
      <w:r w:rsidRPr="00A30255">
        <w:rPr>
          <w:b/>
          <w:bCs/>
          <w:sz w:val="24"/>
          <w:szCs w:val="24"/>
        </w:rPr>
        <w:t>Of</w:t>
      </w:r>
      <w:proofErr w:type="gramEnd"/>
      <w:r w:rsidRPr="00A30255">
        <w:rPr>
          <w:b/>
          <w:bCs/>
          <w:sz w:val="24"/>
          <w:szCs w:val="24"/>
        </w:rPr>
        <w:t xml:space="preserve"> Reflection.</w:t>
      </w:r>
    </w:p>
    <w:p w14:paraId="76EBB88F"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4" w:history="1">
        <w:r w:rsidRPr="00A30255">
          <w:rPr>
            <w:rStyle w:val="Hyperlink"/>
            <w:b/>
            <w:bCs/>
            <w:sz w:val="24"/>
            <w:szCs w:val="24"/>
          </w:rPr>
          <w:t>https://johndabell.com/2018/08/05/models-of-reflection/</w:t>
        </w:r>
      </w:hyperlink>
    </w:p>
    <w:p w14:paraId="4C143A9D" w14:textId="77777777" w:rsidR="00A30255" w:rsidRPr="00A30255" w:rsidRDefault="00A30255" w:rsidP="00A30255">
      <w:pPr>
        <w:keepNext/>
        <w:ind w:right="237"/>
        <w:jc w:val="both"/>
        <w:rPr>
          <w:b/>
          <w:bCs/>
          <w:sz w:val="24"/>
          <w:szCs w:val="24"/>
        </w:rPr>
      </w:pPr>
      <w:r w:rsidRPr="00A30255">
        <w:rPr>
          <w:b/>
          <w:bCs/>
          <w:sz w:val="24"/>
          <w:szCs w:val="24"/>
        </w:rPr>
        <w:t>(Accessed:  11 October 2021).</w:t>
      </w:r>
    </w:p>
    <w:p w14:paraId="6BDE7E52" w14:textId="77777777" w:rsidR="00A30255" w:rsidRDefault="00A30255" w:rsidP="00A30255">
      <w:pPr>
        <w:keepNext/>
        <w:ind w:right="237"/>
        <w:jc w:val="both"/>
        <w:rPr>
          <w:b/>
          <w:bCs/>
          <w:sz w:val="24"/>
          <w:szCs w:val="24"/>
        </w:rPr>
      </w:pPr>
    </w:p>
    <w:p w14:paraId="3F196BD5" w14:textId="4DF284D3" w:rsidR="00A30255" w:rsidRPr="00A30255" w:rsidRDefault="00A30255" w:rsidP="00A30255">
      <w:pPr>
        <w:keepNext/>
        <w:ind w:right="237"/>
        <w:jc w:val="both"/>
        <w:rPr>
          <w:b/>
          <w:bCs/>
          <w:sz w:val="24"/>
          <w:szCs w:val="24"/>
        </w:rPr>
      </w:pPr>
      <w:r w:rsidRPr="00A30255">
        <w:rPr>
          <w:b/>
          <w:bCs/>
          <w:sz w:val="24"/>
          <w:szCs w:val="24"/>
        </w:rPr>
        <w:t>Entrepreneur Europe (2017) 7 Body-Language Hacks to Try When Meeting New People.</w:t>
      </w:r>
    </w:p>
    <w:p w14:paraId="4D4A9934"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5" w:history="1">
        <w:r w:rsidRPr="00A30255">
          <w:rPr>
            <w:rStyle w:val="Hyperlink"/>
            <w:b/>
            <w:bCs/>
            <w:sz w:val="24"/>
            <w:szCs w:val="24"/>
          </w:rPr>
          <w:t>https://www.entrepreneur.com/article/298254</w:t>
        </w:r>
      </w:hyperlink>
    </w:p>
    <w:p w14:paraId="41E43D07" w14:textId="77777777" w:rsidR="00A30255" w:rsidRPr="00A30255" w:rsidRDefault="00A30255" w:rsidP="00A30255">
      <w:pPr>
        <w:keepNext/>
        <w:ind w:right="237"/>
        <w:jc w:val="both"/>
        <w:rPr>
          <w:b/>
          <w:bCs/>
          <w:sz w:val="24"/>
          <w:szCs w:val="24"/>
        </w:rPr>
      </w:pPr>
      <w:r w:rsidRPr="00A30255">
        <w:rPr>
          <w:b/>
          <w:bCs/>
          <w:sz w:val="24"/>
          <w:szCs w:val="24"/>
        </w:rPr>
        <w:t>(Accessed: 12 October 2021).</w:t>
      </w:r>
    </w:p>
    <w:p w14:paraId="2B0933C8" w14:textId="77777777" w:rsidR="00A30255" w:rsidRDefault="00A30255" w:rsidP="00A30255">
      <w:pPr>
        <w:keepNext/>
        <w:ind w:right="237"/>
        <w:jc w:val="both"/>
        <w:rPr>
          <w:b/>
          <w:bCs/>
          <w:sz w:val="24"/>
          <w:szCs w:val="24"/>
        </w:rPr>
      </w:pPr>
    </w:p>
    <w:p w14:paraId="6C0606EA" w14:textId="51A110AA" w:rsidR="00A30255" w:rsidRPr="00A30255" w:rsidRDefault="00A30255" w:rsidP="00A30255">
      <w:pPr>
        <w:keepNext/>
        <w:ind w:right="237"/>
        <w:jc w:val="both"/>
        <w:rPr>
          <w:b/>
          <w:bCs/>
          <w:sz w:val="24"/>
          <w:szCs w:val="24"/>
        </w:rPr>
      </w:pPr>
      <w:r w:rsidRPr="00A30255">
        <w:rPr>
          <w:b/>
          <w:bCs/>
          <w:sz w:val="24"/>
          <w:szCs w:val="24"/>
        </w:rPr>
        <w:t>Hewitt’s Solicitors (2021) Free Legal Advice at the Police Station.</w:t>
      </w:r>
    </w:p>
    <w:p w14:paraId="3E4422E3" w14:textId="77777777" w:rsidR="00A30255" w:rsidRPr="00A30255" w:rsidRDefault="00A30255" w:rsidP="00A30255">
      <w:pPr>
        <w:keepNext/>
        <w:ind w:right="237"/>
        <w:jc w:val="both"/>
        <w:rPr>
          <w:b/>
          <w:bCs/>
          <w:sz w:val="24"/>
          <w:szCs w:val="24"/>
        </w:rPr>
      </w:pPr>
      <w:r w:rsidRPr="00A30255">
        <w:rPr>
          <w:b/>
          <w:bCs/>
          <w:sz w:val="24"/>
          <w:szCs w:val="24"/>
        </w:rPr>
        <w:lastRenderedPageBreak/>
        <w:t xml:space="preserve">Available at: </w:t>
      </w:r>
      <w:hyperlink r:id="rId26" w:history="1">
        <w:r w:rsidRPr="00A30255">
          <w:rPr>
            <w:rStyle w:val="Hyperlink"/>
            <w:b/>
            <w:bCs/>
            <w:sz w:val="24"/>
            <w:szCs w:val="24"/>
          </w:rPr>
          <w:t>https://hewitts.co.uk/free-legal-advice-at-the-police-station/#:~:text=When%20an%20arrested%20person%20is%20at%20the%20police,right%20and%20can%20be%20exercised%20at%20any%20time</w:t>
        </w:r>
      </w:hyperlink>
      <w:r w:rsidRPr="00A30255">
        <w:rPr>
          <w:b/>
          <w:bCs/>
          <w:sz w:val="24"/>
          <w:szCs w:val="24"/>
        </w:rPr>
        <w:t>.</w:t>
      </w:r>
    </w:p>
    <w:p w14:paraId="56FB3D40" w14:textId="77777777" w:rsidR="00A30255" w:rsidRPr="00A30255" w:rsidRDefault="00A30255" w:rsidP="00A30255">
      <w:pPr>
        <w:keepNext/>
        <w:ind w:right="237"/>
        <w:jc w:val="both"/>
        <w:rPr>
          <w:b/>
          <w:bCs/>
          <w:sz w:val="24"/>
          <w:szCs w:val="24"/>
        </w:rPr>
      </w:pPr>
      <w:r w:rsidRPr="00A30255">
        <w:rPr>
          <w:b/>
          <w:bCs/>
          <w:sz w:val="24"/>
          <w:szCs w:val="24"/>
        </w:rPr>
        <w:t>(Accessed: 14 October 2021).</w:t>
      </w:r>
    </w:p>
    <w:p w14:paraId="76D9CD62" w14:textId="77777777" w:rsidR="00A30255" w:rsidRDefault="00A30255" w:rsidP="00A30255">
      <w:pPr>
        <w:keepNext/>
        <w:ind w:right="237"/>
        <w:jc w:val="both"/>
        <w:rPr>
          <w:b/>
          <w:bCs/>
          <w:sz w:val="24"/>
          <w:szCs w:val="24"/>
        </w:rPr>
      </w:pPr>
    </w:p>
    <w:p w14:paraId="7F699178" w14:textId="1B145A52" w:rsidR="00A30255" w:rsidRPr="00A30255" w:rsidRDefault="00A30255" w:rsidP="00A30255">
      <w:pPr>
        <w:keepNext/>
        <w:ind w:right="237"/>
        <w:jc w:val="both"/>
        <w:rPr>
          <w:b/>
          <w:bCs/>
          <w:sz w:val="24"/>
          <w:szCs w:val="24"/>
        </w:rPr>
      </w:pPr>
      <w:r w:rsidRPr="00A30255">
        <w:rPr>
          <w:b/>
          <w:bCs/>
          <w:sz w:val="24"/>
          <w:szCs w:val="24"/>
        </w:rPr>
        <w:t>Koffler, TH. (2017) Art of Easing into change.</w:t>
      </w:r>
    </w:p>
    <w:p w14:paraId="0FFEA4E7"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7" w:history="1">
        <w:r w:rsidRPr="00A30255">
          <w:rPr>
            <w:rStyle w:val="Hyperlink"/>
            <w:b/>
            <w:bCs/>
            <w:sz w:val="24"/>
            <w:szCs w:val="24"/>
          </w:rPr>
          <w:t>https://www.mindful.org/art-easing-change/</w:t>
        </w:r>
      </w:hyperlink>
    </w:p>
    <w:p w14:paraId="3708F295" w14:textId="77777777" w:rsidR="00A30255" w:rsidRPr="00A30255" w:rsidRDefault="00A30255" w:rsidP="00A30255">
      <w:pPr>
        <w:keepNext/>
        <w:ind w:right="237"/>
        <w:jc w:val="both"/>
        <w:rPr>
          <w:b/>
          <w:bCs/>
          <w:sz w:val="24"/>
          <w:szCs w:val="24"/>
        </w:rPr>
      </w:pPr>
      <w:r w:rsidRPr="00A30255">
        <w:rPr>
          <w:b/>
          <w:bCs/>
          <w:sz w:val="24"/>
          <w:szCs w:val="24"/>
        </w:rPr>
        <w:t>(Accessed: 16 October 2021).</w:t>
      </w:r>
    </w:p>
    <w:p w14:paraId="1F72A550" w14:textId="77777777" w:rsidR="00A30255" w:rsidRDefault="00A30255" w:rsidP="00A30255">
      <w:pPr>
        <w:keepNext/>
        <w:ind w:right="237"/>
        <w:jc w:val="both"/>
        <w:rPr>
          <w:b/>
          <w:bCs/>
          <w:sz w:val="24"/>
          <w:szCs w:val="24"/>
        </w:rPr>
      </w:pPr>
    </w:p>
    <w:p w14:paraId="6D4F0E99" w14:textId="1CA92163" w:rsidR="00A30255" w:rsidRPr="00A30255" w:rsidRDefault="00A30255" w:rsidP="00A30255">
      <w:pPr>
        <w:keepNext/>
        <w:ind w:right="237"/>
        <w:jc w:val="both"/>
        <w:rPr>
          <w:b/>
          <w:bCs/>
          <w:sz w:val="24"/>
          <w:szCs w:val="24"/>
        </w:rPr>
      </w:pPr>
      <w:r w:rsidRPr="00A30255">
        <w:rPr>
          <w:b/>
          <w:bCs/>
          <w:sz w:val="24"/>
          <w:szCs w:val="24"/>
        </w:rPr>
        <w:t>Legislation.gov.uk (1991) Criminal Damage Act 1971.</w:t>
      </w:r>
    </w:p>
    <w:p w14:paraId="0CF006EF"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8" w:history="1">
        <w:r w:rsidRPr="00A30255">
          <w:rPr>
            <w:rStyle w:val="Hyperlink"/>
            <w:b/>
            <w:bCs/>
            <w:sz w:val="24"/>
            <w:szCs w:val="24"/>
          </w:rPr>
          <w:t>https://www.legislation.gov.uk/ukpga/1971/48/section/1</w:t>
        </w:r>
      </w:hyperlink>
    </w:p>
    <w:p w14:paraId="6F46C255" w14:textId="77777777" w:rsidR="00A30255" w:rsidRPr="00A30255" w:rsidRDefault="00A30255" w:rsidP="00A30255">
      <w:pPr>
        <w:keepNext/>
        <w:ind w:right="237"/>
        <w:jc w:val="both"/>
        <w:rPr>
          <w:b/>
          <w:bCs/>
          <w:sz w:val="24"/>
          <w:szCs w:val="24"/>
        </w:rPr>
      </w:pPr>
      <w:r w:rsidRPr="00A30255">
        <w:rPr>
          <w:b/>
          <w:bCs/>
          <w:sz w:val="24"/>
          <w:szCs w:val="24"/>
        </w:rPr>
        <w:t>(Accessed: 13 October 2021).</w:t>
      </w:r>
    </w:p>
    <w:p w14:paraId="10A2F38E" w14:textId="77777777" w:rsidR="00A30255" w:rsidRDefault="00A30255" w:rsidP="00A30255">
      <w:pPr>
        <w:keepNext/>
        <w:ind w:right="237"/>
        <w:jc w:val="both"/>
        <w:rPr>
          <w:b/>
          <w:bCs/>
          <w:sz w:val="24"/>
          <w:szCs w:val="24"/>
        </w:rPr>
      </w:pPr>
    </w:p>
    <w:p w14:paraId="089A29F9" w14:textId="0C3CB972" w:rsidR="00A30255" w:rsidRPr="00A30255" w:rsidRDefault="00A30255" w:rsidP="00A30255">
      <w:pPr>
        <w:keepNext/>
        <w:ind w:right="237"/>
        <w:jc w:val="both"/>
        <w:rPr>
          <w:b/>
          <w:bCs/>
          <w:sz w:val="24"/>
          <w:szCs w:val="24"/>
        </w:rPr>
      </w:pPr>
      <w:r w:rsidRPr="00A30255">
        <w:rPr>
          <w:b/>
          <w:bCs/>
          <w:sz w:val="24"/>
          <w:szCs w:val="24"/>
        </w:rPr>
        <w:t>Legislation.gov.uk (2000) Human Rights Act 1998.</w:t>
      </w:r>
    </w:p>
    <w:p w14:paraId="1D48E8EF"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29" w:history="1">
        <w:r w:rsidRPr="00A30255">
          <w:rPr>
            <w:rStyle w:val="Hyperlink"/>
            <w:b/>
            <w:bCs/>
            <w:sz w:val="24"/>
            <w:szCs w:val="24"/>
          </w:rPr>
          <w:t>https://www.legislation.gov.uk/ukpga/1998/42/schedule/1/part/I/chapter/5</w:t>
        </w:r>
      </w:hyperlink>
    </w:p>
    <w:p w14:paraId="111CEA80" w14:textId="77777777" w:rsidR="00A30255" w:rsidRPr="00A30255" w:rsidRDefault="00A30255" w:rsidP="00A30255">
      <w:pPr>
        <w:keepNext/>
        <w:ind w:right="237"/>
        <w:jc w:val="both"/>
        <w:rPr>
          <w:b/>
          <w:bCs/>
          <w:sz w:val="24"/>
          <w:szCs w:val="24"/>
        </w:rPr>
      </w:pPr>
      <w:r w:rsidRPr="00A30255">
        <w:rPr>
          <w:b/>
          <w:bCs/>
          <w:sz w:val="24"/>
          <w:szCs w:val="24"/>
        </w:rPr>
        <w:t>(Accessed: 14 October 2021).</w:t>
      </w:r>
    </w:p>
    <w:p w14:paraId="2A6623FB" w14:textId="77777777" w:rsidR="00A30255" w:rsidRDefault="00A30255" w:rsidP="00A30255">
      <w:pPr>
        <w:keepNext/>
        <w:ind w:right="237"/>
        <w:jc w:val="both"/>
        <w:rPr>
          <w:b/>
          <w:bCs/>
          <w:sz w:val="24"/>
          <w:szCs w:val="24"/>
        </w:rPr>
      </w:pPr>
    </w:p>
    <w:p w14:paraId="1D5CE387" w14:textId="56663759" w:rsidR="00A30255" w:rsidRPr="00A30255" w:rsidRDefault="00A30255" w:rsidP="00A30255">
      <w:pPr>
        <w:keepNext/>
        <w:ind w:right="237"/>
        <w:jc w:val="both"/>
        <w:rPr>
          <w:b/>
          <w:bCs/>
          <w:sz w:val="24"/>
          <w:szCs w:val="24"/>
        </w:rPr>
      </w:pPr>
      <w:r w:rsidRPr="00A30255">
        <w:rPr>
          <w:b/>
          <w:bCs/>
          <w:sz w:val="24"/>
          <w:szCs w:val="24"/>
        </w:rPr>
        <w:t>Legislation.gov.uk (2014) Public Order Act 1986.</w:t>
      </w:r>
    </w:p>
    <w:p w14:paraId="0F918045"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0" w:history="1">
        <w:r w:rsidRPr="00A30255">
          <w:rPr>
            <w:rStyle w:val="Hyperlink"/>
            <w:b/>
            <w:bCs/>
            <w:sz w:val="24"/>
            <w:szCs w:val="24"/>
          </w:rPr>
          <w:t>https://www.legislation.gov.uk/ukpga/1986/64/section/5</w:t>
        </w:r>
      </w:hyperlink>
    </w:p>
    <w:p w14:paraId="5BF2A2D1" w14:textId="77777777" w:rsidR="00A30255" w:rsidRPr="00A30255" w:rsidRDefault="00A30255" w:rsidP="00A30255">
      <w:pPr>
        <w:keepNext/>
        <w:ind w:right="237"/>
        <w:jc w:val="both"/>
        <w:rPr>
          <w:b/>
          <w:bCs/>
          <w:sz w:val="24"/>
          <w:szCs w:val="24"/>
        </w:rPr>
      </w:pPr>
      <w:r w:rsidRPr="00A30255">
        <w:rPr>
          <w:b/>
          <w:bCs/>
          <w:sz w:val="24"/>
          <w:szCs w:val="24"/>
        </w:rPr>
        <w:t>(Accessed: 12 October 2021).</w:t>
      </w:r>
    </w:p>
    <w:p w14:paraId="455838EB" w14:textId="77777777" w:rsidR="00A30255" w:rsidRDefault="00A30255" w:rsidP="00A30255">
      <w:pPr>
        <w:keepNext/>
        <w:ind w:right="237"/>
        <w:jc w:val="both"/>
        <w:rPr>
          <w:b/>
          <w:bCs/>
          <w:sz w:val="24"/>
          <w:szCs w:val="24"/>
        </w:rPr>
      </w:pPr>
    </w:p>
    <w:p w14:paraId="065D1E45" w14:textId="2B7F1513" w:rsidR="00A30255" w:rsidRPr="00A30255" w:rsidRDefault="00A30255" w:rsidP="00A30255">
      <w:pPr>
        <w:keepNext/>
        <w:ind w:right="237"/>
        <w:jc w:val="both"/>
        <w:rPr>
          <w:b/>
          <w:bCs/>
          <w:sz w:val="24"/>
          <w:szCs w:val="24"/>
        </w:rPr>
      </w:pPr>
      <w:r w:rsidRPr="00A30255">
        <w:rPr>
          <w:b/>
          <w:bCs/>
          <w:sz w:val="24"/>
          <w:szCs w:val="24"/>
        </w:rPr>
        <w:t>Legislation.gov.uk (2017) Police and Criminal Evidence Act 1984.</w:t>
      </w:r>
    </w:p>
    <w:p w14:paraId="3D5EF796"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1" w:history="1">
        <w:r w:rsidRPr="00A30255">
          <w:rPr>
            <w:rStyle w:val="Hyperlink"/>
            <w:b/>
            <w:bCs/>
            <w:sz w:val="24"/>
            <w:szCs w:val="24"/>
          </w:rPr>
          <w:t>https://www.legislation.gov.uk/ukpga/1984/60/section/41</w:t>
        </w:r>
      </w:hyperlink>
    </w:p>
    <w:p w14:paraId="7F4D0A02" w14:textId="77777777" w:rsidR="00A30255" w:rsidRPr="00A30255" w:rsidRDefault="00A30255" w:rsidP="00A30255">
      <w:pPr>
        <w:keepNext/>
        <w:ind w:right="237"/>
        <w:jc w:val="both"/>
        <w:rPr>
          <w:b/>
          <w:bCs/>
          <w:sz w:val="24"/>
          <w:szCs w:val="24"/>
        </w:rPr>
      </w:pPr>
      <w:r w:rsidRPr="00A30255">
        <w:rPr>
          <w:b/>
          <w:bCs/>
          <w:sz w:val="24"/>
          <w:szCs w:val="24"/>
        </w:rPr>
        <w:t>(Accessed: 13 October 2021).</w:t>
      </w:r>
    </w:p>
    <w:p w14:paraId="784B7E31" w14:textId="77777777" w:rsidR="00A30255" w:rsidRDefault="00A30255" w:rsidP="00A30255">
      <w:pPr>
        <w:keepNext/>
        <w:ind w:right="237"/>
        <w:jc w:val="both"/>
        <w:rPr>
          <w:b/>
          <w:bCs/>
          <w:sz w:val="24"/>
          <w:szCs w:val="24"/>
        </w:rPr>
      </w:pPr>
    </w:p>
    <w:p w14:paraId="4985EABC" w14:textId="648C5FFE" w:rsidR="00A30255" w:rsidRPr="00A30255" w:rsidRDefault="00A30255" w:rsidP="00A30255">
      <w:pPr>
        <w:keepNext/>
        <w:ind w:right="237"/>
        <w:jc w:val="both"/>
        <w:rPr>
          <w:b/>
          <w:bCs/>
          <w:sz w:val="24"/>
          <w:szCs w:val="24"/>
        </w:rPr>
      </w:pPr>
      <w:r w:rsidRPr="00A30255">
        <w:rPr>
          <w:b/>
          <w:bCs/>
          <w:sz w:val="24"/>
          <w:szCs w:val="24"/>
        </w:rPr>
        <w:t>Legislation.gov.uk (2021) Police and Criminal Evidence Act 1984.</w:t>
      </w:r>
    </w:p>
    <w:p w14:paraId="318AF973"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2" w:history="1">
        <w:r w:rsidRPr="00A30255">
          <w:rPr>
            <w:rStyle w:val="Hyperlink"/>
            <w:b/>
            <w:bCs/>
            <w:sz w:val="24"/>
            <w:szCs w:val="24"/>
          </w:rPr>
          <w:t>https://www.legislation.gov.uk/ukpga/1984/60/section/24</w:t>
        </w:r>
      </w:hyperlink>
    </w:p>
    <w:p w14:paraId="3B9091BC" w14:textId="77777777" w:rsidR="00A30255" w:rsidRPr="00A30255" w:rsidRDefault="00A30255" w:rsidP="00A30255">
      <w:pPr>
        <w:keepNext/>
        <w:ind w:right="237"/>
        <w:jc w:val="both"/>
        <w:rPr>
          <w:b/>
          <w:bCs/>
          <w:sz w:val="24"/>
          <w:szCs w:val="24"/>
        </w:rPr>
      </w:pPr>
      <w:r w:rsidRPr="00A30255">
        <w:rPr>
          <w:b/>
          <w:bCs/>
          <w:sz w:val="24"/>
          <w:szCs w:val="24"/>
        </w:rPr>
        <w:t>(Accessed: 12 October 2021).</w:t>
      </w:r>
    </w:p>
    <w:p w14:paraId="28F4F0DE" w14:textId="77777777" w:rsidR="00A30255" w:rsidRDefault="00A30255" w:rsidP="00A30255">
      <w:pPr>
        <w:keepNext/>
        <w:ind w:right="237"/>
        <w:jc w:val="both"/>
        <w:rPr>
          <w:b/>
          <w:bCs/>
          <w:sz w:val="24"/>
          <w:szCs w:val="24"/>
        </w:rPr>
      </w:pPr>
    </w:p>
    <w:p w14:paraId="3433B4C9" w14:textId="033525BA" w:rsidR="00A30255" w:rsidRPr="00A30255" w:rsidRDefault="00A30255" w:rsidP="00A30255">
      <w:pPr>
        <w:keepNext/>
        <w:ind w:right="237"/>
        <w:jc w:val="both"/>
        <w:rPr>
          <w:b/>
          <w:bCs/>
          <w:sz w:val="24"/>
          <w:szCs w:val="24"/>
        </w:rPr>
      </w:pPr>
      <w:r w:rsidRPr="00A30255">
        <w:rPr>
          <w:b/>
          <w:bCs/>
          <w:sz w:val="24"/>
          <w:szCs w:val="24"/>
        </w:rPr>
        <w:t>Legislation.gov.uk (2021) Police and Criminal Evidence Act 1984.</w:t>
      </w:r>
    </w:p>
    <w:p w14:paraId="3EAB548B"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3" w:history="1">
        <w:r w:rsidRPr="00A30255">
          <w:rPr>
            <w:rStyle w:val="Hyperlink"/>
            <w:b/>
            <w:bCs/>
            <w:sz w:val="24"/>
            <w:szCs w:val="24"/>
          </w:rPr>
          <w:t>https://www.legislation.gov.uk/ukpga/1984/60/section/24</w:t>
        </w:r>
      </w:hyperlink>
    </w:p>
    <w:p w14:paraId="4DD723F3" w14:textId="77777777" w:rsidR="00A30255" w:rsidRPr="00A30255" w:rsidRDefault="00A30255" w:rsidP="00A30255">
      <w:pPr>
        <w:keepNext/>
        <w:ind w:right="237"/>
        <w:jc w:val="both"/>
        <w:rPr>
          <w:b/>
          <w:bCs/>
          <w:sz w:val="24"/>
          <w:szCs w:val="24"/>
        </w:rPr>
      </w:pPr>
      <w:r w:rsidRPr="00A30255">
        <w:rPr>
          <w:b/>
          <w:bCs/>
          <w:sz w:val="24"/>
          <w:szCs w:val="24"/>
        </w:rPr>
        <w:t>(Accessed: 13 October 2021).</w:t>
      </w:r>
    </w:p>
    <w:p w14:paraId="5CBBC94A" w14:textId="77777777" w:rsidR="00A30255" w:rsidRDefault="00A30255" w:rsidP="00A30255">
      <w:pPr>
        <w:keepNext/>
        <w:ind w:right="237"/>
        <w:jc w:val="both"/>
        <w:rPr>
          <w:b/>
          <w:bCs/>
          <w:sz w:val="24"/>
          <w:szCs w:val="24"/>
        </w:rPr>
      </w:pPr>
    </w:p>
    <w:p w14:paraId="518AF7BE" w14:textId="57C93324" w:rsidR="00A30255" w:rsidRPr="00A30255" w:rsidRDefault="00A30255" w:rsidP="00A30255">
      <w:pPr>
        <w:keepNext/>
        <w:ind w:right="237"/>
        <w:jc w:val="both"/>
        <w:rPr>
          <w:b/>
          <w:bCs/>
          <w:sz w:val="24"/>
          <w:szCs w:val="24"/>
        </w:rPr>
      </w:pPr>
      <w:r w:rsidRPr="00A30255">
        <w:rPr>
          <w:b/>
          <w:bCs/>
          <w:sz w:val="24"/>
          <w:szCs w:val="24"/>
        </w:rPr>
        <w:t xml:space="preserve">Miller, J. (2017) 7 Benefits from Stepping Out </w:t>
      </w:r>
      <w:proofErr w:type="gramStart"/>
      <w:r w:rsidRPr="00A30255">
        <w:rPr>
          <w:b/>
          <w:bCs/>
          <w:sz w:val="24"/>
          <w:szCs w:val="24"/>
        </w:rPr>
        <w:t>Of</w:t>
      </w:r>
      <w:proofErr w:type="gramEnd"/>
      <w:r w:rsidRPr="00A30255">
        <w:rPr>
          <w:b/>
          <w:bCs/>
          <w:sz w:val="24"/>
          <w:szCs w:val="24"/>
        </w:rPr>
        <w:t xml:space="preserve"> Your Comfort Zone.</w:t>
      </w:r>
    </w:p>
    <w:p w14:paraId="5B4F2563"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4" w:history="1">
        <w:r w:rsidRPr="00A30255">
          <w:rPr>
            <w:rStyle w:val="Hyperlink"/>
            <w:b/>
            <w:bCs/>
            <w:sz w:val="24"/>
            <w:szCs w:val="24"/>
          </w:rPr>
          <w:t>https://www.linkedin.com/pulse/7-benefits-from-stepping-outside-your-comfort-zone-joshua-miller#:~:text=Stepping%20out%20of%20your%20comfort%20zone%2C%20discovering%20who,uncomfortable%20can%20change%20and%20growth%20really%20take%20place</w:t>
        </w:r>
      </w:hyperlink>
      <w:r w:rsidRPr="00A30255">
        <w:rPr>
          <w:b/>
          <w:bCs/>
          <w:sz w:val="24"/>
          <w:szCs w:val="24"/>
        </w:rPr>
        <w:t>.</w:t>
      </w:r>
    </w:p>
    <w:p w14:paraId="065A405A" w14:textId="77777777" w:rsidR="00A30255" w:rsidRPr="00A30255" w:rsidRDefault="00A30255" w:rsidP="00A30255">
      <w:pPr>
        <w:keepNext/>
        <w:ind w:right="237"/>
        <w:jc w:val="both"/>
        <w:rPr>
          <w:b/>
          <w:bCs/>
          <w:sz w:val="24"/>
          <w:szCs w:val="24"/>
        </w:rPr>
      </w:pPr>
      <w:r w:rsidRPr="00A30255">
        <w:rPr>
          <w:b/>
          <w:bCs/>
          <w:sz w:val="24"/>
          <w:szCs w:val="24"/>
        </w:rPr>
        <w:t>(Accessed: 15 October 2021).</w:t>
      </w:r>
    </w:p>
    <w:p w14:paraId="6A170E77" w14:textId="77777777" w:rsidR="00A30255" w:rsidRDefault="00A30255" w:rsidP="00A30255">
      <w:pPr>
        <w:keepNext/>
        <w:ind w:right="237"/>
        <w:jc w:val="both"/>
        <w:rPr>
          <w:b/>
          <w:bCs/>
          <w:sz w:val="24"/>
          <w:szCs w:val="24"/>
        </w:rPr>
      </w:pPr>
    </w:p>
    <w:p w14:paraId="4F637A10" w14:textId="2B25F43A" w:rsidR="00A30255" w:rsidRPr="00A30255" w:rsidRDefault="00A30255" w:rsidP="00A30255">
      <w:pPr>
        <w:keepNext/>
        <w:ind w:right="237"/>
        <w:jc w:val="both"/>
        <w:rPr>
          <w:b/>
          <w:bCs/>
          <w:sz w:val="24"/>
          <w:szCs w:val="24"/>
        </w:rPr>
      </w:pPr>
      <w:r w:rsidRPr="00A30255">
        <w:rPr>
          <w:b/>
          <w:bCs/>
          <w:sz w:val="24"/>
          <w:szCs w:val="24"/>
        </w:rPr>
        <w:t xml:space="preserve">Morgan, G. (2014) 6 Ways to Improve </w:t>
      </w:r>
      <w:proofErr w:type="gramStart"/>
      <w:r w:rsidRPr="00A30255">
        <w:rPr>
          <w:b/>
          <w:bCs/>
          <w:sz w:val="24"/>
          <w:szCs w:val="24"/>
        </w:rPr>
        <w:t>The</w:t>
      </w:r>
      <w:proofErr w:type="gramEnd"/>
      <w:r w:rsidRPr="00A30255">
        <w:rPr>
          <w:b/>
          <w:bCs/>
          <w:sz w:val="24"/>
          <w:szCs w:val="24"/>
        </w:rPr>
        <w:t xml:space="preserve"> Way You Speak.</w:t>
      </w:r>
    </w:p>
    <w:p w14:paraId="364E8896"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5" w:history="1">
        <w:r w:rsidRPr="00A30255">
          <w:rPr>
            <w:rStyle w:val="Hyperlink"/>
            <w:b/>
            <w:bCs/>
            <w:sz w:val="24"/>
            <w:szCs w:val="24"/>
          </w:rPr>
          <w:t>https://www.fastcompany.com/3035634/6-simple-ways-to-improve-the-way-you-speak</w:t>
        </w:r>
      </w:hyperlink>
    </w:p>
    <w:p w14:paraId="7DDAB4FC" w14:textId="77777777" w:rsidR="00A30255" w:rsidRPr="00A30255" w:rsidRDefault="00A30255" w:rsidP="00A30255">
      <w:pPr>
        <w:keepNext/>
        <w:ind w:right="237"/>
        <w:jc w:val="both"/>
        <w:rPr>
          <w:b/>
          <w:bCs/>
          <w:sz w:val="24"/>
          <w:szCs w:val="24"/>
        </w:rPr>
      </w:pPr>
      <w:r w:rsidRPr="00A30255">
        <w:rPr>
          <w:b/>
          <w:bCs/>
          <w:sz w:val="24"/>
          <w:szCs w:val="24"/>
        </w:rPr>
        <w:t>(Accessed: 15 October 2021).</w:t>
      </w:r>
    </w:p>
    <w:p w14:paraId="47684C28" w14:textId="77777777" w:rsidR="00A30255" w:rsidRDefault="00A30255" w:rsidP="00A30255">
      <w:pPr>
        <w:keepNext/>
        <w:ind w:right="237"/>
        <w:jc w:val="both"/>
        <w:rPr>
          <w:b/>
          <w:bCs/>
          <w:sz w:val="24"/>
          <w:szCs w:val="24"/>
        </w:rPr>
      </w:pPr>
    </w:p>
    <w:p w14:paraId="4A5E2739" w14:textId="1192CA51" w:rsidR="00A30255" w:rsidRPr="00A30255" w:rsidRDefault="00A30255" w:rsidP="00A30255">
      <w:pPr>
        <w:keepNext/>
        <w:ind w:right="237"/>
        <w:jc w:val="both"/>
        <w:rPr>
          <w:b/>
          <w:bCs/>
          <w:sz w:val="24"/>
          <w:szCs w:val="24"/>
        </w:rPr>
      </w:pPr>
      <w:r w:rsidRPr="00A30255">
        <w:rPr>
          <w:b/>
          <w:bCs/>
          <w:sz w:val="24"/>
          <w:szCs w:val="24"/>
        </w:rPr>
        <w:t>National Appropriate Adult Network (2018) About appropriate adults.</w:t>
      </w:r>
    </w:p>
    <w:p w14:paraId="1913A354"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6" w:history="1">
        <w:r w:rsidRPr="00A30255">
          <w:rPr>
            <w:rStyle w:val="Hyperlink"/>
            <w:b/>
            <w:bCs/>
            <w:sz w:val="24"/>
            <w:szCs w:val="24"/>
          </w:rPr>
          <w:t>https://appropriateadult.org.uk/information/what-is-an-appropriate-</w:t>
        </w:r>
        <w:r w:rsidRPr="00A30255">
          <w:rPr>
            <w:rStyle w:val="Hyperlink"/>
            <w:b/>
            <w:bCs/>
            <w:sz w:val="24"/>
            <w:szCs w:val="24"/>
          </w:rPr>
          <w:lastRenderedPageBreak/>
          <w:t>adult#:~:text=Appropriate%20adults%20support%20suspects%20who%20are%20detained%20and%2For,can%20not%20take%20place%20without%20an%20appropriate%20adult</w:t>
        </w:r>
      </w:hyperlink>
      <w:r w:rsidRPr="00A30255">
        <w:rPr>
          <w:b/>
          <w:bCs/>
          <w:sz w:val="24"/>
          <w:szCs w:val="24"/>
        </w:rPr>
        <w:t>.</w:t>
      </w:r>
    </w:p>
    <w:p w14:paraId="216D9D64" w14:textId="77777777" w:rsidR="00A30255" w:rsidRPr="00A30255" w:rsidRDefault="00A30255" w:rsidP="00A30255">
      <w:pPr>
        <w:keepNext/>
        <w:ind w:right="237"/>
        <w:jc w:val="both"/>
        <w:rPr>
          <w:b/>
          <w:bCs/>
          <w:sz w:val="24"/>
          <w:szCs w:val="24"/>
        </w:rPr>
      </w:pPr>
      <w:r w:rsidRPr="00A30255">
        <w:rPr>
          <w:b/>
          <w:bCs/>
          <w:sz w:val="24"/>
          <w:szCs w:val="24"/>
        </w:rPr>
        <w:t>(Accessed: 13 October 2021).</w:t>
      </w:r>
    </w:p>
    <w:p w14:paraId="04B51326" w14:textId="77777777" w:rsidR="00A30255" w:rsidRDefault="00A30255" w:rsidP="00A30255">
      <w:pPr>
        <w:keepNext/>
        <w:ind w:right="237"/>
        <w:jc w:val="both"/>
        <w:rPr>
          <w:b/>
          <w:bCs/>
          <w:sz w:val="24"/>
          <w:szCs w:val="24"/>
        </w:rPr>
      </w:pPr>
    </w:p>
    <w:p w14:paraId="053BD0EF" w14:textId="073E865B" w:rsidR="00A30255" w:rsidRPr="00A30255" w:rsidRDefault="00A30255" w:rsidP="00A30255">
      <w:pPr>
        <w:keepNext/>
        <w:ind w:right="237"/>
        <w:jc w:val="both"/>
        <w:rPr>
          <w:b/>
          <w:bCs/>
          <w:sz w:val="24"/>
          <w:szCs w:val="24"/>
        </w:rPr>
      </w:pPr>
      <w:r w:rsidRPr="00A30255">
        <w:rPr>
          <w:b/>
          <w:bCs/>
          <w:sz w:val="24"/>
          <w:szCs w:val="24"/>
        </w:rPr>
        <w:t>NHS (2021) Overview – Post – Traumatic – Stress – Disorder.</w:t>
      </w:r>
    </w:p>
    <w:p w14:paraId="62CB1EDD"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7" w:history="1">
        <w:r w:rsidRPr="00A30255">
          <w:rPr>
            <w:rStyle w:val="Hyperlink"/>
            <w:b/>
            <w:bCs/>
            <w:sz w:val="24"/>
            <w:szCs w:val="24"/>
          </w:rPr>
          <w:t>https://www.nhs.uk/mental-health/conditions/post-traumatic-stress-disorder-ptsd/overview/</w:t>
        </w:r>
      </w:hyperlink>
    </w:p>
    <w:p w14:paraId="256BED69" w14:textId="77777777" w:rsidR="00A30255" w:rsidRPr="00A30255" w:rsidRDefault="00A30255" w:rsidP="00A30255">
      <w:pPr>
        <w:keepNext/>
        <w:ind w:right="237"/>
        <w:jc w:val="both"/>
        <w:rPr>
          <w:b/>
          <w:bCs/>
          <w:sz w:val="24"/>
          <w:szCs w:val="24"/>
        </w:rPr>
      </w:pPr>
      <w:r w:rsidRPr="00A30255">
        <w:rPr>
          <w:b/>
          <w:bCs/>
          <w:sz w:val="24"/>
          <w:szCs w:val="24"/>
        </w:rPr>
        <w:t>(Accessed: 17/10/2021).</w:t>
      </w:r>
    </w:p>
    <w:p w14:paraId="3B27EA1F" w14:textId="77777777" w:rsidR="00A30255" w:rsidRDefault="00A30255" w:rsidP="00A30255">
      <w:pPr>
        <w:keepNext/>
        <w:ind w:right="237"/>
        <w:jc w:val="both"/>
        <w:rPr>
          <w:b/>
          <w:bCs/>
          <w:sz w:val="24"/>
          <w:szCs w:val="24"/>
        </w:rPr>
      </w:pPr>
    </w:p>
    <w:p w14:paraId="387FA8EA" w14:textId="31AC5439" w:rsidR="00A30255" w:rsidRPr="00A30255" w:rsidRDefault="00A30255" w:rsidP="00A30255">
      <w:pPr>
        <w:keepNext/>
        <w:ind w:right="237"/>
        <w:jc w:val="both"/>
        <w:rPr>
          <w:b/>
          <w:bCs/>
          <w:sz w:val="24"/>
          <w:szCs w:val="24"/>
        </w:rPr>
      </w:pPr>
      <w:r w:rsidRPr="00A30255">
        <w:rPr>
          <w:b/>
          <w:bCs/>
          <w:sz w:val="24"/>
          <w:szCs w:val="24"/>
        </w:rPr>
        <w:t>Reeves, S.L. et al. (2004) The effect of shift-work on food intake and eating habits.</w:t>
      </w:r>
    </w:p>
    <w:p w14:paraId="147FF5B2"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8" w:history="1">
        <w:r w:rsidRPr="00A30255">
          <w:rPr>
            <w:rStyle w:val="Hyperlink"/>
            <w:b/>
            <w:bCs/>
            <w:sz w:val="24"/>
            <w:szCs w:val="24"/>
          </w:rPr>
          <w:t>https://www.emerald.com/insight/content/doi/10.1108/00346650410560398/full/html</w:t>
        </w:r>
      </w:hyperlink>
    </w:p>
    <w:p w14:paraId="0C017B98" w14:textId="77777777" w:rsidR="00A30255" w:rsidRPr="00A30255" w:rsidRDefault="00A30255" w:rsidP="00A30255">
      <w:pPr>
        <w:keepNext/>
        <w:ind w:right="237"/>
        <w:jc w:val="both"/>
        <w:rPr>
          <w:b/>
          <w:bCs/>
          <w:sz w:val="24"/>
          <w:szCs w:val="24"/>
        </w:rPr>
      </w:pPr>
      <w:r w:rsidRPr="00A30255">
        <w:rPr>
          <w:b/>
          <w:bCs/>
          <w:sz w:val="24"/>
          <w:szCs w:val="24"/>
        </w:rPr>
        <w:t>(Accessed: 11 October 2021).</w:t>
      </w:r>
    </w:p>
    <w:p w14:paraId="07142E81" w14:textId="77777777" w:rsidR="00A30255" w:rsidRDefault="00A30255" w:rsidP="00A30255">
      <w:pPr>
        <w:keepNext/>
        <w:ind w:right="237"/>
        <w:jc w:val="both"/>
        <w:rPr>
          <w:b/>
          <w:bCs/>
          <w:sz w:val="24"/>
          <w:szCs w:val="24"/>
        </w:rPr>
      </w:pPr>
    </w:p>
    <w:p w14:paraId="2FEF2619" w14:textId="054D71D2" w:rsidR="00A30255" w:rsidRPr="00A30255" w:rsidRDefault="00A30255" w:rsidP="00A30255">
      <w:pPr>
        <w:keepNext/>
        <w:ind w:right="237"/>
        <w:jc w:val="both"/>
        <w:rPr>
          <w:b/>
          <w:bCs/>
          <w:sz w:val="24"/>
          <w:szCs w:val="24"/>
        </w:rPr>
      </w:pPr>
      <w:r w:rsidRPr="00A30255">
        <w:rPr>
          <w:b/>
          <w:bCs/>
          <w:sz w:val="24"/>
          <w:szCs w:val="24"/>
        </w:rPr>
        <w:t>Reiner’s, B (2021) 16 Unconscious Bias Examples and How to Avoid Them in the Workplace</w:t>
      </w:r>
    </w:p>
    <w:p w14:paraId="0495698C"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39" w:history="1">
        <w:r w:rsidRPr="00A30255">
          <w:rPr>
            <w:rStyle w:val="Hyperlink"/>
            <w:b/>
            <w:bCs/>
            <w:sz w:val="24"/>
            <w:szCs w:val="24"/>
          </w:rPr>
          <w:t>https://builtin.com/diversity-inclusion/unconscious-bias-examples</w:t>
        </w:r>
      </w:hyperlink>
    </w:p>
    <w:p w14:paraId="72FED8E1" w14:textId="77777777" w:rsidR="00A30255" w:rsidRPr="00A30255" w:rsidRDefault="00A30255" w:rsidP="00A30255">
      <w:pPr>
        <w:keepNext/>
        <w:ind w:right="237"/>
        <w:jc w:val="both"/>
        <w:rPr>
          <w:b/>
          <w:bCs/>
          <w:sz w:val="24"/>
          <w:szCs w:val="24"/>
        </w:rPr>
      </w:pPr>
      <w:r w:rsidRPr="00A30255">
        <w:rPr>
          <w:b/>
          <w:bCs/>
          <w:sz w:val="24"/>
          <w:szCs w:val="24"/>
        </w:rPr>
        <w:t>(Accessed: 17/10/2021).</w:t>
      </w:r>
    </w:p>
    <w:p w14:paraId="7D2B27BD" w14:textId="77777777" w:rsidR="00A30255" w:rsidRDefault="00A30255" w:rsidP="00A30255">
      <w:pPr>
        <w:keepNext/>
        <w:ind w:right="237"/>
        <w:jc w:val="both"/>
        <w:rPr>
          <w:b/>
          <w:bCs/>
          <w:sz w:val="24"/>
          <w:szCs w:val="24"/>
        </w:rPr>
      </w:pPr>
    </w:p>
    <w:p w14:paraId="35D31258" w14:textId="2C48BA98" w:rsidR="00A30255" w:rsidRPr="00A30255" w:rsidRDefault="00A30255" w:rsidP="00A30255">
      <w:pPr>
        <w:keepNext/>
        <w:ind w:right="237"/>
        <w:jc w:val="both"/>
        <w:rPr>
          <w:b/>
          <w:bCs/>
          <w:sz w:val="24"/>
          <w:szCs w:val="24"/>
        </w:rPr>
      </w:pPr>
      <w:r w:rsidRPr="00A30255">
        <w:rPr>
          <w:b/>
          <w:bCs/>
          <w:sz w:val="24"/>
          <w:szCs w:val="24"/>
        </w:rPr>
        <w:t>Treebold, J. (2018) Police Discretion Definition.</w:t>
      </w:r>
    </w:p>
    <w:p w14:paraId="7D73954E"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40" w:history="1">
        <w:r w:rsidRPr="00A30255">
          <w:rPr>
            <w:rStyle w:val="Hyperlink"/>
            <w:b/>
            <w:bCs/>
            <w:sz w:val="24"/>
            <w:szCs w:val="24"/>
          </w:rPr>
          <w:t>https://www.encyclopedia.com/articles/police-discretion-definition/</w:t>
        </w:r>
      </w:hyperlink>
    </w:p>
    <w:p w14:paraId="5633BB49" w14:textId="77777777" w:rsidR="00A30255" w:rsidRPr="00A30255" w:rsidRDefault="00A30255" w:rsidP="00A30255">
      <w:pPr>
        <w:keepNext/>
        <w:ind w:right="237"/>
        <w:jc w:val="both"/>
        <w:rPr>
          <w:b/>
          <w:bCs/>
          <w:sz w:val="24"/>
          <w:szCs w:val="24"/>
        </w:rPr>
      </w:pPr>
      <w:r w:rsidRPr="00A30255">
        <w:rPr>
          <w:b/>
          <w:bCs/>
          <w:sz w:val="24"/>
          <w:szCs w:val="24"/>
        </w:rPr>
        <w:t>(Accessed: 12 October 2021).</w:t>
      </w:r>
    </w:p>
    <w:p w14:paraId="591A413C" w14:textId="77777777" w:rsidR="00A30255" w:rsidRDefault="00A30255" w:rsidP="00A30255">
      <w:pPr>
        <w:keepNext/>
        <w:ind w:right="237"/>
        <w:jc w:val="both"/>
        <w:rPr>
          <w:b/>
          <w:bCs/>
          <w:sz w:val="24"/>
          <w:szCs w:val="24"/>
        </w:rPr>
      </w:pPr>
    </w:p>
    <w:p w14:paraId="19A4B35E" w14:textId="7BA08BA5" w:rsidR="00A30255" w:rsidRPr="00A30255" w:rsidRDefault="00A30255" w:rsidP="00A30255">
      <w:pPr>
        <w:keepNext/>
        <w:ind w:right="237"/>
        <w:jc w:val="both"/>
        <w:rPr>
          <w:b/>
          <w:bCs/>
          <w:sz w:val="24"/>
          <w:szCs w:val="24"/>
        </w:rPr>
      </w:pPr>
      <w:r w:rsidRPr="00A30255">
        <w:rPr>
          <w:b/>
          <w:bCs/>
          <w:sz w:val="24"/>
          <w:szCs w:val="24"/>
        </w:rPr>
        <w:t>Truong, K. (2018) Here’s Why Venting About Stress Feels So Good.</w:t>
      </w:r>
    </w:p>
    <w:p w14:paraId="5E81DA70"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41" w:history="1">
        <w:r w:rsidRPr="00A30255">
          <w:rPr>
            <w:rStyle w:val="Hyperlink"/>
            <w:b/>
            <w:bCs/>
            <w:sz w:val="24"/>
            <w:szCs w:val="24"/>
          </w:rPr>
          <w:t>https://www.refinery29.com/en-us/venting-talking-to-someone-benefits</w:t>
        </w:r>
      </w:hyperlink>
    </w:p>
    <w:p w14:paraId="36A5EADB" w14:textId="77777777" w:rsidR="00A30255" w:rsidRPr="00A30255" w:rsidRDefault="00A30255" w:rsidP="00A30255">
      <w:pPr>
        <w:keepNext/>
        <w:ind w:right="237"/>
        <w:jc w:val="both"/>
        <w:rPr>
          <w:b/>
          <w:bCs/>
          <w:sz w:val="24"/>
          <w:szCs w:val="24"/>
        </w:rPr>
      </w:pPr>
      <w:r w:rsidRPr="00A30255">
        <w:rPr>
          <w:b/>
          <w:bCs/>
          <w:sz w:val="24"/>
          <w:szCs w:val="24"/>
        </w:rPr>
        <w:t>(Accessed: 11 October 2021).</w:t>
      </w:r>
    </w:p>
    <w:p w14:paraId="08EE47FE" w14:textId="77777777" w:rsidR="00A30255" w:rsidRDefault="00A30255" w:rsidP="00A30255">
      <w:pPr>
        <w:keepNext/>
        <w:ind w:right="237"/>
        <w:jc w:val="both"/>
        <w:rPr>
          <w:b/>
          <w:bCs/>
          <w:sz w:val="24"/>
          <w:szCs w:val="24"/>
        </w:rPr>
      </w:pPr>
    </w:p>
    <w:p w14:paraId="162FAA2E" w14:textId="5F458438" w:rsidR="00A30255" w:rsidRPr="00A30255" w:rsidRDefault="00A30255" w:rsidP="00A30255">
      <w:pPr>
        <w:keepNext/>
        <w:ind w:right="237"/>
        <w:jc w:val="both"/>
        <w:rPr>
          <w:b/>
          <w:bCs/>
          <w:sz w:val="24"/>
          <w:szCs w:val="24"/>
        </w:rPr>
      </w:pPr>
      <w:r w:rsidRPr="00A30255">
        <w:rPr>
          <w:b/>
          <w:bCs/>
          <w:sz w:val="24"/>
          <w:szCs w:val="24"/>
        </w:rPr>
        <w:t>University Hospital Southampton, NHS, NHS Foundation Trust (2019) What does vulnerable adult mean?</w:t>
      </w:r>
    </w:p>
    <w:p w14:paraId="3DA0594A"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42" w:history="1">
        <w:r w:rsidRPr="00A30255">
          <w:rPr>
            <w:rStyle w:val="Hyperlink"/>
            <w:b/>
            <w:bCs/>
            <w:sz w:val="24"/>
            <w:szCs w:val="24"/>
          </w:rPr>
          <w:t>https://www.uhs.nhs.uk/HealthProfessionals/Clinical-law-updates/Whatismeantbyavulnerableadult.aspx</w:t>
        </w:r>
      </w:hyperlink>
    </w:p>
    <w:p w14:paraId="4B8E36A9" w14:textId="77777777" w:rsidR="00A30255" w:rsidRPr="00A30255" w:rsidRDefault="00A30255" w:rsidP="00A30255">
      <w:pPr>
        <w:keepNext/>
        <w:ind w:right="237"/>
        <w:jc w:val="both"/>
        <w:rPr>
          <w:b/>
          <w:bCs/>
          <w:sz w:val="24"/>
          <w:szCs w:val="24"/>
        </w:rPr>
      </w:pPr>
      <w:r w:rsidRPr="00A30255">
        <w:rPr>
          <w:b/>
          <w:bCs/>
          <w:sz w:val="24"/>
          <w:szCs w:val="24"/>
        </w:rPr>
        <w:t>(Accessed: 12 October 2021).</w:t>
      </w:r>
    </w:p>
    <w:p w14:paraId="6A0204F5" w14:textId="77777777" w:rsidR="00A30255" w:rsidRDefault="00A30255" w:rsidP="00A30255">
      <w:pPr>
        <w:keepNext/>
        <w:ind w:right="237"/>
        <w:jc w:val="both"/>
        <w:rPr>
          <w:b/>
          <w:bCs/>
          <w:sz w:val="24"/>
          <w:szCs w:val="24"/>
        </w:rPr>
      </w:pPr>
    </w:p>
    <w:p w14:paraId="29D3D5E0" w14:textId="384C811D" w:rsidR="00A30255" w:rsidRPr="00A30255" w:rsidRDefault="00A30255" w:rsidP="00A30255">
      <w:pPr>
        <w:keepNext/>
        <w:ind w:right="237"/>
        <w:jc w:val="both"/>
        <w:rPr>
          <w:b/>
          <w:bCs/>
          <w:sz w:val="24"/>
          <w:szCs w:val="24"/>
        </w:rPr>
      </w:pPr>
      <w:r w:rsidRPr="00A30255">
        <w:rPr>
          <w:b/>
          <w:bCs/>
          <w:sz w:val="24"/>
          <w:szCs w:val="24"/>
        </w:rPr>
        <w:t>University of Edinburgh (2020) Gibbs’ Reflective Cycle.</w:t>
      </w:r>
    </w:p>
    <w:p w14:paraId="3EC0BC1B"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43" w:history="1">
        <w:r w:rsidRPr="00A30255">
          <w:rPr>
            <w:rStyle w:val="Hyperlink"/>
            <w:b/>
            <w:bCs/>
            <w:sz w:val="24"/>
            <w:szCs w:val="24"/>
          </w:rPr>
          <w:t>https://www.ed.ac.uk/reflection/reflectors-toolkit/reflecting-on-experience/gibbs-reflective-cycle</w:t>
        </w:r>
      </w:hyperlink>
    </w:p>
    <w:p w14:paraId="02FD2776" w14:textId="77777777" w:rsidR="00A30255" w:rsidRPr="00A30255" w:rsidRDefault="00A30255" w:rsidP="00A30255">
      <w:pPr>
        <w:keepNext/>
        <w:ind w:right="237"/>
        <w:jc w:val="both"/>
        <w:rPr>
          <w:b/>
          <w:bCs/>
          <w:sz w:val="24"/>
          <w:szCs w:val="24"/>
        </w:rPr>
      </w:pPr>
      <w:r w:rsidRPr="00A30255">
        <w:rPr>
          <w:b/>
          <w:bCs/>
          <w:sz w:val="24"/>
          <w:szCs w:val="24"/>
        </w:rPr>
        <w:t>(Accessed: 13 October 2021).</w:t>
      </w:r>
    </w:p>
    <w:p w14:paraId="0F310073" w14:textId="77777777" w:rsidR="00A30255" w:rsidRDefault="00A30255" w:rsidP="00A30255">
      <w:pPr>
        <w:keepNext/>
        <w:ind w:right="237"/>
        <w:jc w:val="both"/>
        <w:rPr>
          <w:b/>
          <w:bCs/>
          <w:sz w:val="24"/>
          <w:szCs w:val="24"/>
        </w:rPr>
      </w:pPr>
    </w:p>
    <w:p w14:paraId="44DF9091" w14:textId="6A851985" w:rsidR="00A30255" w:rsidRPr="00A30255" w:rsidRDefault="00A30255" w:rsidP="00A30255">
      <w:pPr>
        <w:keepNext/>
        <w:ind w:right="237"/>
        <w:jc w:val="both"/>
        <w:rPr>
          <w:b/>
          <w:bCs/>
          <w:sz w:val="24"/>
          <w:szCs w:val="24"/>
        </w:rPr>
      </w:pPr>
      <w:r w:rsidRPr="00A30255">
        <w:rPr>
          <w:b/>
          <w:bCs/>
          <w:sz w:val="24"/>
          <w:szCs w:val="24"/>
        </w:rPr>
        <w:t>Victim Support (2021) Anti-Social Behaviour.</w:t>
      </w:r>
    </w:p>
    <w:p w14:paraId="4FB9D515" w14:textId="77777777" w:rsidR="00A30255" w:rsidRPr="00A30255" w:rsidRDefault="00A30255" w:rsidP="00A30255">
      <w:pPr>
        <w:keepNext/>
        <w:ind w:right="237"/>
        <w:jc w:val="both"/>
        <w:rPr>
          <w:b/>
          <w:bCs/>
          <w:sz w:val="24"/>
          <w:szCs w:val="24"/>
        </w:rPr>
      </w:pPr>
      <w:r w:rsidRPr="00A30255">
        <w:rPr>
          <w:b/>
          <w:bCs/>
          <w:sz w:val="24"/>
          <w:szCs w:val="24"/>
        </w:rPr>
        <w:t xml:space="preserve">Available at: </w:t>
      </w:r>
      <w:hyperlink r:id="rId44" w:history="1">
        <w:r w:rsidRPr="00A30255">
          <w:rPr>
            <w:rStyle w:val="Hyperlink"/>
            <w:b/>
            <w:bCs/>
            <w:sz w:val="24"/>
            <w:szCs w:val="24"/>
          </w:rPr>
          <w:t>https://www.victimsupport.org.uk/crime-info/types-crime/antisocial-behaviour/</w:t>
        </w:r>
      </w:hyperlink>
    </w:p>
    <w:p w14:paraId="27305F45" w14:textId="77777777" w:rsidR="00A30255" w:rsidRPr="00A30255" w:rsidRDefault="00A30255" w:rsidP="00A30255">
      <w:pPr>
        <w:keepNext/>
        <w:ind w:right="237"/>
        <w:jc w:val="both"/>
        <w:rPr>
          <w:b/>
          <w:bCs/>
          <w:sz w:val="24"/>
          <w:szCs w:val="24"/>
        </w:rPr>
      </w:pPr>
      <w:r w:rsidRPr="00A30255">
        <w:rPr>
          <w:b/>
          <w:bCs/>
          <w:sz w:val="24"/>
          <w:szCs w:val="24"/>
        </w:rPr>
        <w:t>(Accessed: 17/10/2021).</w:t>
      </w:r>
    </w:p>
    <w:p w14:paraId="02DD8BC9" w14:textId="77777777" w:rsidR="00A30255" w:rsidRDefault="00A30255" w:rsidP="00A30255">
      <w:pPr>
        <w:keepNext/>
        <w:ind w:right="237"/>
        <w:jc w:val="both"/>
        <w:rPr>
          <w:b/>
          <w:bCs/>
          <w:sz w:val="24"/>
          <w:szCs w:val="24"/>
        </w:rPr>
      </w:pPr>
    </w:p>
    <w:p w14:paraId="05C3AF57" w14:textId="65EAFC4A" w:rsidR="00A30255" w:rsidRPr="00A30255" w:rsidRDefault="00A30255" w:rsidP="00A30255">
      <w:pPr>
        <w:keepNext/>
        <w:ind w:right="237"/>
        <w:jc w:val="both"/>
        <w:rPr>
          <w:b/>
          <w:bCs/>
          <w:sz w:val="24"/>
          <w:szCs w:val="24"/>
        </w:rPr>
      </w:pPr>
      <w:r w:rsidRPr="00A30255">
        <w:rPr>
          <w:b/>
          <w:bCs/>
          <w:sz w:val="24"/>
          <w:szCs w:val="24"/>
        </w:rPr>
        <w:t>West Midlands Police (2021) THRIVE.</w:t>
      </w:r>
    </w:p>
    <w:p w14:paraId="3F2A44D8" w14:textId="77777777" w:rsidR="00A30255" w:rsidRPr="00A30255" w:rsidRDefault="00A30255" w:rsidP="00A30255">
      <w:pPr>
        <w:keepNext/>
        <w:ind w:right="237"/>
        <w:jc w:val="both"/>
        <w:rPr>
          <w:b/>
          <w:bCs/>
          <w:sz w:val="24"/>
          <w:szCs w:val="24"/>
        </w:rPr>
      </w:pPr>
      <w:r w:rsidRPr="00A30255">
        <w:rPr>
          <w:b/>
          <w:bCs/>
          <w:sz w:val="24"/>
          <w:szCs w:val="24"/>
        </w:rPr>
        <w:lastRenderedPageBreak/>
        <w:t xml:space="preserve">Available at: </w:t>
      </w:r>
      <w:hyperlink r:id="rId45" w:history="1">
        <w:r w:rsidRPr="00A30255">
          <w:rPr>
            <w:rStyle w:val="Hyperlink"/>
            <w:b/>
            <w:bCs/>
            <w:sz w:val="24"/>
            <w:szCs w:val="24"/>
          </w:rPr>
          <w:t>https://foi.west-midlands.police.uk/wp-content/uploads/2021/01/THRIVE.pdf</w:t>
        </w:r>
      </w:hyperlink>
    </w:p>
    <w:p w14:paraId="539FDAB3" w14:textId="77777777" w:rsidR="00A30255" w:rsidRPr="00A30255" w:rsidRDefault="00A30255" w:rsidP="00A30255">
      <w:pPr>
        <w:keepNext/>
        <w:ind w:right="237"/>
        <w:jc w:val="both"/>
        <w:rPr>
          <w:b/>
          <w:bCs/>
          <w:sz w:val="24"/>
          <w:szCs w:val="24"/>
        </w:rPr>
      </w:pPr>
      <w:r w:rsidRPr="00A30255">
        <w:rPr>
          <w:b/>
          <w:bCs/>
          <w:sz w:val="24"/>
          <w:szCs w:val="24"/>
        </w:rPr>
        <w:t>(Accessed: 12 October 2021).</w:t>
      </w:r>
    </w:p>
    <w:p w14:paraId="5B203327" w14:textId="77777777" w:rsidR="00A30255" w:rsidRDefault="00A30255" w:rsidP="00A30255">
      <w:pPr>
        <w:keepNext/>
        <w:ind w:right="237"/>
        <w:jc w:val="both"/>
        <w:rPr>
          <w:b/>
          <w:bCs/>
          <w:sz w:val="24"/>
          <w:szCs w:val="24"/>
        </w:rPr>
      </w:pPr>
    </w:p>
    <w:p w14:paraId="3695E2C3" w14:textId="08485CE3" w:rsidR="00A30255" w:rsidRPr="00A30255" w:rsidRDefault="00A30255" w:rsidP="00A30255">
      <w:pPr>
        <w:keepNext/>
        <w:ind w:right="237"/>
        <w:jc w:val="both"/>
        <w:rPr>
          <w:b/>
          <w:bCs/>
          <w:sz w:val="24"/>
          <w:szCs w:val="24"/>
        </w:rPr>
      </w:pPr>
      <w:bookmarkStart w:id="0" w:name="_GoBack"/>
      <w:bookmarkEnd w:id="0"/>
      <w:r w:rsidRPr="00A30255">
        <w:rPr>
          <w:b/>
          <w:bCs/>
          <w:sz w:val="24"/>
          <w:szCs w:val="24"/>
        </w:rPr>
        <w:t>Wolff, R. (2021) ‘What Are Open-Ended Questions? Advantages &amp; Disadvantages’, Rachel Wolff [blog]. 25 January.</w:t>
      </w:r>
    </w:p>
    <w:p w14:paraId="2F293599" w14:textId="77777777" w:rsidR="00A30255" w:rsidRPr="00A30255" w:rsidRDefault="00A30255" w:rsidP="00A30255">
      <w:pPr>
        <w:keepNext/>
        <w:ind w:right="237"/>
        <w:jc w:val="both"/>
        <w:rPr>
          <w:b/>
          <w:bCs/>
          <w:sz w:val="24"/>
          <w:szCs w:val="24"/>
        </w:rPr>
      </w:pPr>
      <w:r w:rsidRPr="00A30255">
        <w:rPr>
          <w:b/>
          <w:bCs/>
          <w:sz w:val="24"/>
          <w:szCs w:val="24"/>
        </w:rPr>
        <w:t xml:space="preserve"> Available at: </w:t>
      </w:r>
      <w:hyperlink r:id="rId46" w:history="1">
        <w:r w:rsidRPr="00A30255">
          <w:rPr>
            <w:rStyle w:val="Hyperlink"/>
            <w:b/>
            <w:bCs/>
            <w:sz w:val="24"/>
            <w:szCs w:val="24"/>
          </w:rPr>
          <w:t>https://monkeylearn.com/blog/advantages-of-open-ended-questions/</w:t>
        </w:r>
      </w:hyperlink>
    </w:p>
    <w:p w14:paraId="5AF9F17E" w14:textId="77777777" w:rsidR="00A30255" w:rsidRPr="00A30255" w:rsidRDefault="00A30255" w:rsidP="00A30255">
      <w:pPr>
        <w:keepNext/>
        <w:ind w:right="237"/>
        <w:jc w:val="both"/>
        <w:rPr>
          <w:b/>
          <w:bCs/>
          <w:sz w:val="24"/>
          <w:szCs w:val="24"/>
        </w:rPr>
      </w:pPr>
      <w:r w:rsidRPr="00A30255">
        <w:rPr>
          <w:b/>
          <w:bCs/>
          <w:sz w:val="24"/>
          <w:szCs w:val="24"/>
        </w:rPr>
        <w:t>(Accessed: 12 October 2021).</w:t>
      </w:r>
    </w:p>
    <w:p w14:paraId="20B021B9" w14:textId="77777777" w:rsidR="00A30255" w:rsidRDefault="00A30255" w:rsidP="0003379B">
      <w:pPr>
        <w:keepNext/>
        <w:ind w:right="237"/>
        <w:jc w:val="both"/>
        <w:rPr>
          <w:b/>
          <w:bCs/>
          <w:sz w:val="24"/>
          <w:szCs w:val="24"/>
        </w:rPr>
      </w:pPr>
    </w:p>
    <w:p w14:paraId="57DE9CC5" w14:textId="77777777" w:rsidR="0004357B" w:rsidRPr="00294868" w:rsidRDefault="0004357B" w:rsidP="0003379B">
      <w:pPr>
        <w:keepNext/>
        <w:ind w:right="237"/>
        <w:jc w:val="both"/>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9058305" w14:textId="5968D42D" w:rsidR="008641F7"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8641F7">
        <w:rPr>
          <w:rFonts w:eastAsia="Arial"/>
          <w:color w:val="000000" w:themeColor="text1"/>
          <w:sz w:val="24"/>
          <w:szCs w:val="24"/>
        </w:rPr>
        <w:t xml:space="preserve"> Jack Ison</w:t>
      </w:r>
      <w:r w:rsidRPr="5848403C">
        <w:rPr>
          <w:rFonts w:eastAsia="Arial"/>
          <w:color w:val="000000" w:themeColor="text1"/>
          <w:sz w:val="24"/>
          <w:szCs w:val="24"/>
        </w:rPr>
        <w:t xml:space="preserve"> (Learner</w:t>
      </w:r>
      <w:r w:rsidR="008641F7">
        <w:rPr>
          <w:rFonts w:eastAsia="Arial"/>
          <w:color w:val="000000" w:themeColor="text1"/>
          <w:sz w:val="24"/>
          <w:szCs w:val="24"/>
        </w:rPr>
        <w:t xml:space="preserve"> – Electronic signature or type name)</w:t>
      </w:r>
    </w:p>
    <w:p w14:paraId="5473B39D" w14:textId="25489F28" w:rsidR="5848403C" w:rsidRDefault="5848403C" w:rsidP="5848403C">
      <w:pPr>
        <w:jc w:val="both"/>
        <w:rPr>
          <w:rFonts w:eastAsia="Arial"/>
          <w:color w:val="000000" w:themeColor="text1"/>
          <w:sz w:val="24"/>
          <w:szCs w:val="24"/>
        </w:rPr>
      </w:pPr>
    </w:p>
    <w:p w14:paraId="4EC5D203" w14:textId="29226FB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67C4D">
        <w:rPr>
          <w:rFonts w:eastAsia="Arial"/>
          <w:color w:val="000000" w:themeColor="text1"/>
          <w:sz w:val="24"/>
          <w:szCs w:val="24"/>
        </w:rPr>
        <w:t>11/10/2021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156562F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6282F">
        <w:rPr>
          <w:rFonts w:eastAsia="Arial"/>
          <w:color w:val="000000" w:themeColor="text1"/>
          <w:sz w:val="24"/>
          <w:szCs w:val="24"/>
        </w:rPr>
        <w:t xml:space="preserve">PC 2291 JACK ISON </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6D3EA58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6282F">
        <w:rPr>
          <w:rFonts w:eastAsia="Arial"/>
          <w:color w:val="000000" w:themeColor="text1"/>
          <w:sz w:val="24"/>
          <w:szCs w:val="24"/>
        </w:rPr>
        <w:t>16/10/2021.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010BC0C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6282F">
        <w:rPr>
          <w:rFonts w:eastAsia="Arial"/>
          <w:color w:val="000000" w:themeColor="text1"/>
          <w:sz w:val="24"/>
          <w:szCs w:val="24"/>
        </w:rPr>
        <w:t xml:space="preserve">PC 1427 STEPHEN RUMSEY </w:t>
      </w:r>
      <w:r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6940926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6282F">
        <w:rPr>
          <w:rFonts w:eastAsia="Arial"/>
          <w:color w:val="000000" w:themeColor="text1"/>
          <w:sz w:val="24"/>
          <w:szCs w:val="24"/>
        </w:rPr>
        <w:t>16/10/2021.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010F8454" w:rsidR="5848403C" w:rsidRDefault="5848403C" w:rsidP="5848403C"/>
    <w:p w14:paraId="4B54452F" w14:textId="4A885D4D" w:rsidR="00C85690" w:rsidRDefault="00C85690" w:rsidP="5848403C">
      <w:r>
        <w:t>SIGN AND TUTOR SIGN FOR 1000 WORDS GRANTED. THE OCP WAS THE REFLECTIONS</w:t>
      </w:r>
    </w:p>
    <w:sectPr w:rsidR="00C8569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7AC2" w14:textId="77777777" w:rsidR="00213E04" w:rsidRDefault="00213E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F1D1D" w14:textId="77777777" w:rsidR="00213E04" w:rsidRDefault="00213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BF138" w14:textId="77777777" w:rsidR="00213E04" w:rsidRDefault="00213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3AF98" w14:textId="77777777" w:rsidR="00213E04" w:rsidRDefault="00213E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BCCE4" w14:textId="77777777" w:rsidR="00213E04" w:rsidRDefault="00213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79B"/>
    <w:rsid w:val="00033C47"/>
    <w:rsid w:val="000372B2"/>
    <w:rsid w:val="0004079F"/>
    <w:rsid w:val="000407DC"/>
    <w:rsid w:val="0004357B"/>
    <w:rsid w:val="00045B87"/>
    <w:rsid w:val="00045C07"/>
    <w:rsid w:val="00051CAB"/>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B77D2"/>
    <w:rsid w:val="000C378F"/>
    <w:rsid w:val="000C6892"/>
    <w:rsid w:val="000C6FFE"/>
    <w:rsid w:val="000D0BB6"/>
    <w:rsid w:val="000D4604"/>
    <w:rsid w:val="000E26B0"/>
    <w:rsid w:val="000E5ACB"/>
    <w:rsid w:val="000F1599"/>
    <w:rsid w:val="000F1769"/>
    <w:rsid w:val="000F6196"/>
    <w:rsid w:val="000F7ECD"/>
    <w:rsid w:val="00102E64"/>
    <w:rsid w:val="0010312C"/>
    <w:rsid w:val="00106DC7"/>
    <w:rsid w:val="0011237D"/>
    <w:rsid w:val="00112391"/>
    <w:rsid w:val="00113DB1"/>
    <w:rsid w:val="00114F52"/>
    <w:rsid w:val="00121069"/>
    <w:rsid w:val="0012135C"/>
    <w:rsid w:val="001347F8"/>
    <w:rsid w:val="00137BB5"/>
    <w:rsid w:val="00137E05"/>
    <w:rsid w:val="001447F6"/>
    <w:rsid w:val="00147DE3"/>
    <w:rsid w:val="00150794"/>
    <w:rsid w:val="001608C4"/>
    <w:rsid w:val="00171418"/>
    <w:rsid w:val="00190913"/>
    <w:rsid w:val="001961CF"/>
    <w:rsid w:val="00197BAF"/>
    <w:rsid w:val="001A59BB"/>
    <w:rsid w:val="001A6A51"/>
    <w:rsid w:val="001A79C4"/>
    <w:rsid w:val="001B331A"/>
    <w:rsid w:val="001C0E74"/>
    <w:rsid w:val="001C6CEC"/>
    <w:rsid w:val="001D1C68"/>
    <w:rsid w:val="001D229F"/>
    <w:rsid w:val="001D6162"/>
    <w:rsid w:val="001D7DFE"/>
    <w:rsid w:val="001E7592"/>
    <w:rsid w:val="001F3878"/>
    <w:rsid w:val="001F4552"/>
    <w:rsid w:val="001F6939"/>
    <w:rsid w:val="002019EB"/>
    <w:rsid w:val="002030F2"/>
    <w:rsid w:val="00205051"/>
    <w:rsid w:val="00211F65"/>
    <w:rsid w:val="00213E04"/>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6A5"/>
    <w:rsid w:val="00354DBE"/>
    <w:rsid w:val="00355210"/>
    <w:rsid w:val="00365D92"/>
    <w:rsid w:val="00365DF9"/>
    <w:rsid w:val="00372DB4"/>
    <w:rsid w:val="0037490C"/>
    <w:rsid w:val="00375AF5"/>
    <w:rsid w:val="003761BD"/>
    <w:rsid w:val="003769F6"/>
    <w:rsid w:val="00385414"/>
    <w:rsid w:val="00390074"/>
    <w:rsid w:val="00395213"/>
    <w:rsid w:val="0039762B"/>
    <w:rsid w:val="003A0C37"/>
    <w:rsid w:val="003A1B6B"/>
    <w:rsid w:val="003A2F82"/>
    <w:rsid w:val="003A46C0"/>
    <w:rsid w:val="003A600E"/>
    <w:rsid w:val="003A6513"/>
    <w:rsid w:val="003B16C7"/>
    <w:rsid w:val="003C02D6"/>
    <w:rsid w:val="003C19F1"/>
    <w:rsid w:val="003C4186"/>
    <w:rsid w:val="003C458C"/>
    <w:rsid w:val="003C6185"/>
    <w:rsid w:val="003D0D2D"/>
    <w:rsid w:val="003D4710"/>
    <w:rsid w:val="003E16D7"/>
    <w:rsid w:val="003E197E"/>
    <w:rsid w:val="004046F0"/>
    <w:rsid w:val="0040668F"/>
    <w:rsid w:val="00412677"/>
    <w:rsid w:val="00417199"/>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5647"/>
    <w:rsid w:val="00482C17"/>
    <w:rsid w:val="004854BD"/>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15E2"/>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13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86FC8"/>
    <w:rsid w:val="005916B8"/>
    <w:rsid w:val="005A1B4C"/>
    <w:rsid w:val="005A1BA3"/>
    <w:rsid w:val="005A3378"/>
    <w:rsid w:val="005A545C"/>
    <w:rsid w:val="005A5616"/>
    <w:rsid w:val="005B4607"/>
    <w:rsid w:val="005C1567"/>
    <w:rsid w:val="005C6CE5"/>
    <w:rsid w:val="005D3F07"/>
    <w:rsid w:val="005D583E"/>
    <w:rsid w:val="005E06BF"/>
    <w:rsid w:val="005E13EA"/>
    <w:rsid w:val="005E1DA0"/>
    <w:rsid w:val="005E53BD"/>
    <w:rsid w:val="00601C05"/>
    <w:rsid w:val="00606E27"/>
    <w:rsid w:val="006108C9"/>
    <w:rsid w:val="00615C7E"/>
    <w:rsid w:val="0062158D"/>
    <w:rsid w:val="006224DA"/>
    <w:rsid w:val="00630F39"/>
    <w:rsid w:val="006326D1"/>
    <w:rsid w:val="00632E0A"/>
    <w:rsid w:val="00633165"/>
    <w:rsid w:val="00636B6C"/>
    <w:rsid w:val="006447DE"/>
    <w:rsid w:val="0065276E"/>
    <w:rsid w:val="00654329"/>
    <w:rsid w:val="00654982"/>
    <w:rsid w:val="00654CEC"/>
    <w:rsid w:val="00655507"/>
    <w:rsid w:val="006712A7"/>
    <w:rsid w:val="006733CC"/>
    <w:rsid w:val="00674FC2"/>
    <w:rsid w:val="00677E42"/>
    <w:rsid w:val="00682334"/>
    <w:rsid w:val="00684453"/>
    <w:rsid w:val="00684B16"/>
    <w:rsid w:val="00696F65"/>
    <w:rsid w:val="006A7A6D"/>
    <w:rsid w:val="006B4BBC"/>
    <w:rsid w:val="006B5E67"/>
    <w:rsid w:val="006C2EB5"/>
    <w:rsid w:val="006D18A3"/>
    <w:rsid w:val="006D5970"/>
    <w:rsid w:val="006E408F"/>
    <w:rsid w:val="006E481E"/>
    <w:rsid w:val="006E7545"/>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67D"/>
    <w:rsid w:val="00743E40"/>
    <w:rsid w:val="00751263"/>
    <w:rsid w:val="0075704F"/>
    <w:rsid w:val="00762BB3"/>
    <w:rsid w:val="00763B2D"/>
    <w:rsid w:val="00772924"/>
    <w:rsid w:val="007730EC"/>
    <w:rsid w:val="00784EC4"/>
    <w:rsid w:val="007872F2"/>
    <w:rsid w:val="007874BC"/>
    <w:rsid w:val="00787DE7"/>
    <w:rsid w:val="007908E0"/>
    <w:rsid w:val="00791A6D"/>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6D38"/>
    <w:rsid w:val="007F0E9F"/>
    <w:rsid w:val="007F3F7E"/>
    <w:rsid w:val="007F5497"/>
    <w:rsid w:val="007F63AC"/>
    <w:rsid w:val="008134D1"/>
    <w:rsid w:val="00813CEC"/>
    <w:rsid w:val="0081534C"/>
    <w:rsid w:val="008171E4"/>
    <w:rsid w:val="0081788E"/>
    <w:rsid w:val="008208EA"/>
    <w:rsid w:val="00824066"/>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41F7"/>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1B44"/>
    <w:rsid w:val="0093212C"/>
    <w:rsid w:val="00932CCA"/>
    <w:rsid w:val="009339E8"/>
    <w:rsid w:val="0094194B"/>
    <w:rsid w:val="009544C0"/>
    <w:rsid w:val="00954FA4"/>
    <w:rsid w:val="00956AE9"/>
    <w:rsid w:val="009571F9"/>
    <w:rsid w:val="00961AB3"/>
    <w:rsid w:val="00964CC6"/>
    <w:rsid w:val="0097045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0255"/>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855E3"/>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0CCD"/>
    <w:rsid w:val="00BA1FFA"/>
    <w:rsid w:val="00BA7FF1"/>
    <w:rsid w:val="00BB06CB"/>
    <w:rsid w:val="00BB16E4"/>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18B5"/>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7C4D"/>
    <w:rsid w:val="00C7108B"/>
    <w:rsid w:val="00C8089F"/>
    <w:rsid w:val="00C836CC"/>
    <w:rsid w:val="00C85690"/>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3E52"/>
    <w:rsid w:val="00D052BC"/>
    <w:rsid w:val="00D07026"/>
    <w:rsid w:val="00D11C62"/>
    <w:rsid w:val="00D22C8F"/>
    <w:rsid w:val="00D33491"/>
    <w:rsid w:val="00D44F8E"/>
    <w:rsid w:val="00D44FD0"/>
    <w:rsid w:val="00D519E0"/>
    <w:rsid w:val="00D5733C"/>
    <w:rsid w:val="00D6037A"/>
    <w:rsid w:val="00D607EF"/>
    <w:rsid w:val="00D60F88"/>
    <w:rsid w:val="00D625E7"/>
    <w:rsid w:val="00D6282F"/>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450E8"/>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8C6"/>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440E"/>
    <w:rsid w:val="00FC51F9"/>
    <w:rsid w:val="00FC5B40"/>
    <w:rsid w:val="00FC5FF8"/>
    <w:rsid w:val="00FC702B"/>
    <w:rsid w:val="00FC722F"/>
    <w:rsid w:val="00FD3D7C"/>
    <w:rsid w:val="00FD4F8F"/>
    <w:rsid w:val="00FE0C16"/>
    <w:rsid w:val="00FE0F27"/>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21069"/>
    <w:rPr>
      <w:color w:val="605E5C"/>
      <w:shd w:val="clear" w:color="auto" w:fill="E1DFDD"/>
    </w:rPr>
  </w:style>
  <w:style w:type="character" w:styleId="FollowedHyperlink">
    <w:name w:val="FollowedHyperlink"/>
    <w:basedOn w:val="DefaultParagraphFont"/>
    <w:uiPriority w:val="99"/>
    <w:semiHidden/>
    <w:unhideWhenUsed/>
    <w:rsid w:val="00931B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hewitts.co.uk/free-legal-advice-at-the-police-station/#:~:text=When%20an%20arrested%20person%20is%20at%20the%20police,right%20and%20can%20be%20exercised%20at%20any%20time" TargetMode="External"/><Relationship Id="rId39" Type="http://schemas.openxmlformats.org/officeDocument/2006/relationships/hyperlink" Target="https://builtin.com/diversity-inclusion/unconscious-bias-examples" TargetMode="External"/><Relationship Id="rId3" Type="http://schemas.openxmlformats.org/officeDocument/2006/relationships/customXml" Target="../customXml/item3.xml"/><Relationship Id="rId21" Type="http://schemas.openxmlformats.org/officeDocument/2006/relationships/hyperlink" Target="http://info.westberks.gov.uk/CHttpHandler.ashx?id=46272&amp;p=0#:~:text=The%20OSARA%20model%20is%20the%20most%20familiar%20process,stands%20for%20objective%2C%20scanning%2C%20analysis%2C%20response%20and%20assessment" TargetMode="External"/><Relationship Id="rId34" Type="http://schemas.openxmlformats.org/officeDocument/2006/relationships/hyperlink" Target="https://www.linkedin.com/pulse/7-benefits-from-stepping-outside-your-comfort-zone-joshua-miller#:~:text=Stepping%20out%20of%20your%20comfort%20zone%2C%20discovering%20who,uncomfortable%20can%20change%20and%20growth%20really%20take%20place" TargetMode="External"/><Relationship Id="rId42" Type="http://schemas.openxmlformats.org/officeDocument/2006/relationships/hyperlink" Target="https://www.uhs.nhs.uk/HealthProfessionals/Clinical-law-updates/Whatismeantbyavulnerableadult.aspx"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entrepreneur.com/article/298254" TargetMode="External"/><Relationship Id="rId33" Type="http://schemas.openxmlformats.org/officeDocument/2006/relationships/hyperlink" Target="https://www.legislation.gov.uk/ukpga/1984/60/section/24" TargetMode="External"/><Relationship Id="rId38" Type="http://schemas.openxmlformats.org/officeDocument/2006/relationships/hyperlink" Target="https://www.emerald.com/insight/content/doi/10.1108/00346650410560398/full/html" TargetMode="External"/><Relationship Id="rId46" Type="http://schemas.openxmlformats.org/officeDocument/2006/relationships/hyperlink" Target="https://monkeylearn.com/blog/advantages-of-open-ended-question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bc.co.uk/news/uk-48096028" TargetMode="External"/><Relationship Id="rId29" Type="http://schemas.openxmlformats.org/officeDocument/2006/relationships/hyperlink" Target="https://www.legislation.gov.uk/ukpga/1998/42/schedule/1/part/I/chapter/5" TargetMode="External"/><Relationship Id="rId41" Type="http://schemas.openxmlformats.org/officeDocument/2006/relationships/hyperlink" Target="https://www.refinery29.com/en-us/venting-talking-to-someone-benefi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hndabell.com/2018/08/05/models-of-reflection/" TargetMode="External"/><Relationship Id="rId32" Type="http://schemas.openxmlformats.org/officeDocument/2006/relationships/hyperlink" Target="https://www.legislation.gov.uk/ukpga/1984/60/section/24" TargetMode="External"/><Relationship Id="rId37" Type="http://schemas.openxmlformats.org/officeDocument/2006/relationships/hyperlink" Target="https://www.nhs.uk/mental-health/conditions/post-traumatic-stress-disorder-ptsd/overview/" TargetMode="External"/><Relationship Id="rId40" Type="http://schemas.openxmlformats.org/officeDocument/2006/relationships/hyperlink" Target="https://www.encyclopedia.com/articles/police-discretion-definition/" TargetMode="External"/><Relationship Id="rId45" Type="http://schemas.openxmlformats.org/officeDocument/2006/relationships/hyperlink" Target="https://foi.west-midlands.police.uk/wp-content/uploads/2021/01/THRIVE.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hatworks.college.police.uk/About/Pages/What-is-EBP.aspx" TargetMode="External"/><Relationship Id="rId28" Type="http://schemas.openxmlformats.org/officeDocument/2006/relationships/hyperlink" Target="https://www.legislation.gov.uk/ukpga/1971/48/section/1" TargetMode="External"/><Relationship Id="rId36" Type="http://schemas.openxmlformats.org/officeDocument/2006/relationships/hyperlink" Target="https://appropriateadult.org.uk/information/what-is-an-appropriate-adult#:~:text=Appropriate%20adults%20support%20suspects%20who%20are%20detained%20and%2For,can%20not%20take%20place%20without%20an%20appropriate%20adul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4/60/section/41" TargetMode="External"/><Relationship Id="rId44" Type="http://schemas.openxmlformats.org/officeDocument/2006/relationships/hyperlink" Target="https://www.victimsupport.org.uk/crime-info/types-crime/antisocial-behaviou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mindful.org/art-easing-change/" TargetMode="External"/><Relationship Id="rId30" Type="http://schemas.openxmlformats.org/officeDocument/2006/relationships/hyperlink" Target="https://www.legislation.gov.uk/ukpga/1986/64/section/5" TargetMode="External"/><Relationship Id="rId35" Type="http://schemas.openxmlformats.org/officeDocument/2006/relationships/hyperlink" Target="https://www.fastcompany.com/3035634/6-simple-ways-to-improve-the-way-you-speak" TargetMode="External"/><Relationship Id="rId43" Type="http://schemas.openxmlformats.org/officeDocument/2006/relationships/hyperlink" Target="https://www.ed.ac.uk/reflection/reflectors-toolkit/reflecting-on-experience/gibbs-reflective-cycle"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2e89cfda-a374-4413-9f0d-8b601eddeb70"/>
    <ds:schemaRef ds:uri="1ecf5648-3750-43f5-867d-bfaa16e6e17e"/>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B27641-4899-4601-99E3-4ECCCD59C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25</Pages>
  <Words>7743</Words>
  <Characters>46461</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Ison, Jack</cp:lastModifiedBy>
  <cp:revision>35</cp:revision>
  <cp:lastPrinted>2019-09-26T14:40:00Z</cp:lastPrinted>
  <dcterms:created xsi:type="dcterms:W3CDTF">2021-09-15T14:07:00Z</dcterms:created>
  <dcterms:modified xsi:type="dcterms:W3CDTF">2021-10-18T21:38:00Z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2021-09-15T13:15:35Z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2d1af8ec-5d72-40a0-a824-30ec9ef1deda</vt:lpwstr>
  </property>
  <property fmtid="{D5CDD505-2E9C-101B-9397-08002B2CF9AE}" pid="9" name="MSIP_Label_f2acd28b-79a3-4a0f-b0ff-4b75658b1549_ContentBits">
    <vt:lpwstr>0</vt:lpwstr>
  </property>
</Properties>
</file>