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15779" w14:textId="77777777" w:rsidR="00A301ED" w:rsidRPr="002F0EBD" w:rsidRDefault="00A301ED" w:rsidP="00A301ED">
      <w:pPr>
        <w:rPr>
          <w:rFonts w:ascii="Arial" w:hAnsi="Arial" w:cs="Arial"/>
          <w:sz w:val="24"/>
          <w:szCs w:val="24"/>
        </w:rPr>
      </w:pPr>
      <w:r w:rsidRPr="002F0EBD">
        <w:rPr>
          <w:rFonts w:ascii="Arial" w:hAnsi="Arial" w:cs="Arial"/>
          <w:sz w:val="24"/>
          <w:szCs w:val="24"/>
        </w:rPr>
        <w:t>The introduction of the Crown Prosecution Service (CPS) in October 1986 led to a major change in the English constitutional system. Before that, the investigation of crime, commencing prosecution, and initiating the case at court have been distributed to the police and different agencies. Recently, the CPS has taken over the prosecution of all criminal cases investigated by the police (Sprack, 2015, p.59). Further, to explain the role of the Crown prosecutors, it is important to outline their duties deriving from legislation and case law and to identify the tests that they use when making charging decisions.</w:t>
      </w:r>
    </w:p>
    <w:p w14:paraId="6BE5BA76" w14:textId="77777777" w:rsidR="00A301ED" w:rsidRPr="002F0EBD" w:rsidRDefault="00A301ED" w:rsidP="00A301ED">
      <w:pPr>
        <w:pStyle w:val="NormalWeb"/>
        <w:shd w:val="clear" w:color="auto" w:fill="FFFFFF"/>
        <w:spacing w:before="240" w:after="240" w:line="360" w:lineRule="atLeast"/>
        <w:rPr>
          <w:rFonts w:ascii="Arial" w:hAnsi="Arial" w:cs="Arial"/>
        </w:rPr>
      </w:pPr>
      <w:r w:rsidRPr="002F0EBD">
        <w:rPr>
          <w:rFonts w:ascii="Arial" w:hAnsi="Arial" w:cs="Arial"/>
        </w:rPr>
        <w:t xml:space="preserve">Section 1 of the </w:t>
      </w:r>
      <w:r w:rsidRPr="002F0EBD">
        <w:rPr>
          <w:rFonts w:ascii="Arial" w:hAnsi="Arial" w:cs="Arial"/>
          <w:i/>
          <w:iCs/>
        </w:rPr>
        <w:t>Prosecution of Offences Act</w:t>
      </w:r>
      <w:r w:rsidRPr="002F0EBD">
        <w:rPr>
          <w:rFonts w:ascii="Arial" w:hAnsi="Arial" w:cs="Arial"/>
        </w:rPr>
        <w:t xml:space="preserve"> (</w:t>
      </w:r>
      <w:r w:rsidRPr="002F0EBD">
        <w:rPr>
          <w:rFonts w:ascii="Arial" w:hAnsi="Arial" w:cs="Arial"/>
          <w:i/>
          <w:iCs/>
        </w:rPr>
        <w:t>POA</w:t>
      </w:r>
      <w:r w:rsidRPr="002F0EBD">
        <w:rPr>
          <w:rFonts w:ascii="Arial" w:hAnsi="Arial" w:cs="Arial"/>
        </w:rPr>
        <w:t xml:space="preserve">) </w:t>
      </w:r>
      <w:r w:rsidRPr="002F0EBD">
        <w:rPr>
          <w:rFonts w:ascii="Arial" w:hAnsi="Arial" w:cs="Arial"/>
          <w:i/>
          <w:iCs/>
        </w:rPr>
        <w:t>1985</w:t>
      </w:r>
      <w:r w:rsidRPr="002F0EBD">
        <w:rPr>
          <w:rFonts w:ascii="Arial" w:hAnsi="Arial" w:cs="Arial"/>
        </w:rPr>
        <w:t xml:space="preserve"> established the CPS. Its chief officer is the Director of Public Prosecutions (DPP), and other employees include Crown Prosecutors, Associate Prosecutors, and support staff. Chief Crown Prosecutors, who sit behind the DPP at the top of the CPS, are each in charge of running the CPS in a certain geographic region. Every region has one or more local branches made up of Crown Prosecutors (CPS Lawyers), non-legally qualified executive officials, and other support personnel. The local branch initiates prosecuting cases before a group of magistrate courts. The Chief Crown Prosecutor oversees the region, while the Crown Prosecutors head the branch. According to Section 1(3) of the </w:t>
      </w:r>
      <w:r w:rsidRPr="002F0EBD">
        <w:rPr>
          <w:rFonts w:ascii="Arial" w:hAnsi="Arial" w:cs="Arial"/>
          <w:i/>
          <w:iCs/>
        </w:rPr>
        <w:t>POA</w:t>
      </w:r>
      <w:r w:rsidRPr="002F0EBD">
        <w:rPr>
          <w:rFonts w:ascii="Arial" w:hAnsi="Arial" w:cs="Arial"/>
        </w:rPr>
        <w:t xml:space="preserve"> </w:t>
      </w:r>
      <w:r w:rsidRPr="002F0EBD">
        <w:rPr>
          <w:rFonts w:ascii="Arial" w:hAnsi="Arial" w:cs="Arial"/>
          <w:i/>
          <w:iCs/>
        </w:rPr>
        <w:t>1985</w:t>
      </w:r>
      <w:r w:rsidRPr="002F0EBD">
        <w:rPr>
          <w:rFonts w:ascii="Arial" w:hAnsi="Arial" w:cs="Arial"/>
        </w:rPr>
        <w:t xml:space="preserve">, all Crown Prosecutors must be either barristers or solicitors appointed as such by the DPP. They have all the powers of the DPP regarding the institution and conduction of proceedings as stated under section 1(6) of the </w:t>
      </w:r>
      <w:r w:rsidRPr="002F0EBD">
        <w:rPr>
          <w:rFonts w:ascii="Arial" w:hAnsi="Arial" w:cs="Arial"/>
          <w:i/>
          <w:iCs/>
        </w:rPr>
        <w:t>POA</w:t>
      </w:r>
      <w:r w:rsidRPr="002F0EBD">
        <w:rPr>
          <w:rFonts w:ascii="Arial" w:hAnsi="Arial" w:cs="Arial"/>
        </w:rPr>
        <w:t xml:space="preserve"> 1985. Although a Crown Prosecutor must act in accordance with the Director's instructions in order to execute Director powers, he is not required to acquire special permission for each auction he participates in on the DPP's behalf as described in the case ‘</w:t>
      </w:r>
      <w:r w:rsidRPr="002F0EBD">
        <w:rPr>
          <w:rFonts w:ascii="Arial" w:hAnsi="Arial" w:cs="Arial"/>
          <w:i/>
          <w:iCs/>
        </w:rPr>
        <w:t xml:space="preserve">Liverpool Crown Court ex </w:t>
      </w:r>
      <w:proofErr w:type="spellStart"/>
      <w:r w:rsidRPr="002F0EBD">
        <w:rPr>
          <w:rFonts w:ascii="Arial" w:hAnsi="Arial" w:cs="Arial"/>
          <w:i/>
          <w:iCs/>
        </w:rPr>
        <w:t>parte</w:t>
      </w:r>
      <w:proofErr w:type="spellEnd"/>
      <w:r w:rsidRPr="002F0EBD">
        <w:rPr>
          <w:rFonts w:ascii="Arial" w:hAnsi="Arial" w:cs="Arial"/>
          <w:i/>
          <w:iCs/>
        </w:rPr>
        <w:t xml:space="preserve"> Bray’ (1987)</w:t>
      </w:r>
      <w:r w:rsidRPr="002F0EBD">
        <w:rPr>
          <w:rFonts w:ascii="Arial" w:hAnsi="Arial" w:cs="Arial"/>
        </w:rPr>
        <w:t xml:space="preserve">. </w:t>
      </w:r>
    </w:p>
    <w:p w14:paraId="672F244C" w14:textId="77777777" w:rsidR="00A301ED" w:rsidRPr="002F0EBD" w:rsidRDefault="00A301ED" w:rsidP="00A301ED">
      <w:pPr>
        <w:pStyle w:val="NormalWeb"/>
        <w:shd w:val="clear" w:color="auto" w:fill="FFFFFF"/>
        <w:spacing w:before="240" w:after="240" w:line="360" w:lineRule="atLeast"/>
        <w:rPr>
          <w:rFonts w:ascii="Arial" w:hAnsi="Arial" w:cs="Arial"/>
        </w:rPr>
      </w:pPr>
      <w:r w:rsidRPr="002F0EBD">
        <w:rPr>
          <w:rFonts w:ascii="Arial" w:hAnsi="Arial" w:cs="Arial"/>
        </w:rPr>
        <w:t xml:space="preserve">The general principles for the Crown prosecutors to follow when they decide whether a prosecution should be brought are set by the DPP in the </w:t>
      </w:r>
      <w:r w:rsidRPr="002F0EBD">
        <w:rPr>
          <w:rFonts w:ascii="Arial" w:eastAsia="Times New Roman" w:hAnsi="Arial" w:cs="Arial"/>
          <w:color w:val="000000" w:themeColor="text1"/>
          <w:kern w:val="0"/>
          <w:lang w:eastAsia="en-GB"/>
          <w14:ligatures w14:val="none"/>
        </w:rPr>
        <w:t xml:space="preserve">Code for Crown Prosecutors </w:t>
      </w:r>
      <w:r w:rsidRPr="002F0EBD">
        <w:rPr>
          <w:rFonts w:ascii="Arial" w:hAnsi="Arial" w:cs="Arial"/>
        </w:rPr>
        <w:t xml:space="preserve">(The Code) (CPS, 2018). Furthermore, the CPS has published policies for prosecuting certain types of offences such as domestic violence, assisted suicide, benefit fraud, human trafficking and others (Hannibal and Mountford, 2018, p. 132). Next, the CPS’s Statement of Ethical Principles for the Public Prosecutors (2009) states that prosecutors must act according to the internal law in a way compatible with the </w:t>
      </w:r>
      <w:r w:rsidRPr="002F0EBD">
        <w:rPr>
          <w:rFonts w:ascii="Arial" w:hAnsi="Arial" w:cs="Arial"/>
          <w:i/>
          <w:iCs/>
        </w:rPr>
        <w:t>Human Rights Act</w:t>
      </w:r>
      <w:r w:rsidRPr="002F0EBD">
        <w:rPr>
          <w:rFonts w:ascii="Arial" w:hAnsi="Arial" w:cs="Arial"/>
        </w:rPr>
        <w:t xml:space="preserve"> 1998. It further notes that they must be fair, independent and unbiased. The prosecution needs to be honest, the service they provide to the public must be clear and their decisions justified. In addition, the prosecutor must prepare and conduct cases under the </w:t>
      </w:r>
      <w:r w:rsidRPr="002F0EBD">
        <w:rPr>
          <w:rFonts w:ascii="Arial" w:hAnsi="Arial" w:cs="Arial"/>
          <w:i/>
          <w:iCs/>
        </w:rPr>
        <w:t>Criminal Procedure Rules</w:t>
      </w:r>
      <w:r w:rsidRPr="002F0EBD">
        <w:rPr>
          <w:rFonts w:ascii="Arial" w:hAnsi="Arial" w:cs="Arial"/>
        </w:rPr>
        <w:t xml:space="preserve"> 2020 always abide by The Code and uphold The CPS Code of Conduct (CPS, 2015). </w:t>
      </w:r>
    </w:p>
    <w:p w14:paraId="169052F3" w14:textId="77777777" w:rsidR="00A301ED" w:rsidRPr="002F0EBD" w:rsidRDefault="00A301ED" w:rsidP="00A301ED">
      <w:pPr>
        <w:pStyle w:val="NormalWeb"/>
        <w:shd w:val="clear" w:color="auto" w:fill="FFFFFF"/>
        <w:spacing w:before="240" w:after="240" w:line="360" w:lineRule="atLeast"/>
        <w:rPr>
          <w:rFonts w:ascii="Arial" w:hAnsi="Arial" w:cs="Arial"/>
        </w:rPr>
      </w:pPr>
      <w:r w:rsidRPr="002F0EBD">
        <w:rPr>
          <w:rFonts w:ascii="Arial" w:hAnsi="Arial" w:cs="Arial"/>
        </w:rPr>
        <w:t xml:space="preserve">The CPS’s main duty is </w:t>
      </w:r>
      <w:r w:rsidRPr="002F0EBD">
        <w:rPr>
          <w:rFonts w:ascii="Arial" w:eastAsia="Times New Roman" w:hAnsi="Arial" w:cs="Arial"/>
          <w:color w:val="000000" w:themeColor="text1"/>
          <w:kern w:val="0"/>
          <w:lang w:eastAsia="en-GB"/>
          <w14:ligatures w14:val="none"/>
        </w:rPr>
        <w:t xml:space="preserve">to prosecute the right individuals or companies charged with committing a criminal offence and bring them to justice. CPS representatives are </w:t>
      </w:r>
      <w:r w:rsidRPr="002F0EBD">
        <w:rPr>
          <w:rFonts w:ascii="Arial" w:eastAsia="Times New Roman" w:hAnsi="Arial" w:cs="Arial"/>
          <w:color w:val="000000" w:themeColor="text1"/>
          <w:kern w:val="0"/>
          <w:lang w:eastAsia="en-GB"/>
          <w14:ligatures w14:val="none"/>
        </w:rPr>
        <w:lastRenderedPageBreak/>
        <w:t>situated in police stations and advise the police during the early investigation stage. When the police have finished their investigation, they give the file to the appropriate CPS representative, who then decides whether to prosecute the suspect and, if so, with what charge.</w:t>
      </w:r>
      <w:r w:rsidRPr="002F0EBD">
        <w:rPr>
          <w:rFonts w:ascii="Arial" w:hAnsi="Arial" w:cs="Arial"/>
        </w:rPr>
        <w:t xml:space="preserve"> </w:t>
      </w:r>
      <w:r w:rsidRPr="002F0EBD">
        <w:rPr>
          <w:rFonts w:ascii="Arial" w:eastAsia="Times New Roman" w:hAnsi="Arial" w:cs="Arial"/>
          <w:color w:val="000000" w:themeColor="text1"/>
          <w:kern w:val="0"/>
          <w:lang w:eastAsia="en-GB"/>
          <w14:ligatures w14:val="none"/>
        </w:rPr>
        <w:t>The CPS, not the police, determines the charge that the suspect will face for all but the most minor offences under section 6 of The Code. The Crown prosecutor retains responsibility for the prosecution of the case after a suspect has been charged. The CPS's solicitors collate the evidence the prosecution intends to use and present it to the court. They also offer information, support and assistance to victims and prosecution witnesses. </w:t>
      </w:r>
      <w:r w:rsidRPr="002F0EBD">
        <w:rPr>
          <w:rFonts w:ascii="Arial" w:hAnsi="Arial" w:cs="Arial"/>
        </w:rPr>
        <w:t xml:space="preserve">Although the CPS works in close cooperation with the police, courts, judiciary and other agencies it is an independent body and not their agent in prosecuting offences </w:t>
      </w:r>
      <w:bookmarkStart w:id="0" w:name="_Hlk141252695"/>
      <w:r w:rsidRPr="002F0EBD">
        <w:rPr>
          <w:rFonts w:ascii="Arial" w:hAnsi="Arial" w:cs="Arial"/>
        </w:rPr>
        <w:t>(Sharpley, 2021, pp.4-5)</w:t>
      </w:r>
      <w:bookmarkEnd w:id="0"/>
      <w:r w:rsidRPr="002F0EBD">
        <w:rPr>
          <w:rFonts w:ascii="Arial" w:hAnsi="Arial" w:cs="Arial"/>
        </w:rPr>
        <w:t>.</w:t>
      </w:r>
    </w:p>
    <w:p w14:paraId="39CAF7DD" w14:textId="77777777" w:rsidR="00A301ED" w:rsidRPr="002F0EBD" w:rsidRDefault="00A301ED" w:rsidP="00A301ED">
      <w:pPr>
        <w:pStyle w:val="NormalWeb"/>
        <w:shd w:val="clear" w:color="auto" w:fill="FFFFFF"/>
        <w:spacing w:before="240" w:after="240" w:line="360" w:lineRule="atLeast"/>
        <w:rPr>
          <w:rFonts w:ascii="Arial" w:hAnsi="Arial" w:cs="Arial"/>
        </w:rPr>
      </w:pPr>
      <w:r w:rsidRPr="002F0EBD">
        <w:rPr>
          <w:rFonts w:ascii="Arial" w:hAnsi="Arial" w:cs="Arial"/>
        </w:rPr>
        <w:t xml:space="preserve">Crown prosecutors, whether they are barristers or solicitors, have the same rights to an audience as practising lawyers. In other words, unless they have been awarded the rights of an advocate in the higher courts, they may appear in magistrates' courts but not in the Crown Court (Sprack, 2015, pp.60-62). The trial starts with the prosecutor's opening speech outlining the facts of the case, the applicable legislation, and the witnesses who will be called. The prosecution has the legal burden of showing beyond a reasonable doubt that the defendant committed the offence charged and to disprove the defence. If the magistrates have exceeded their jurisdiction or made a decision that is wrong in law, the prosecutor has the right to appeal a decision of the magistrates’ court to the Queen’s Bench Division of the High Court. Under section 75 of the </w:t>
      </w:r>
      <w:r w:rsidRPr="002F0EBD">
        <w:rPr>
          <w:rFonts w:ascii="Arial" w:hAnsi="Arial" w:cs="Arial"/>
          <w:i/>
          <w:iCs/>
        </w:rPr>
        <w:t>Criminal Justice Act (CJA) 2003</w:t>
      </w:r>
      <w:r w:rsidRPr="002F0EBD">
        <w:rPr>
          <w:rFonts w:ascii="Arial" w:hAnsi="Arial" w:cs="Arial"/>
        </w:rPr>
        <w:t xml:space="preserve">, the CPS has no right of appeal in the case of a defendant who has been acquitted by a jury following a Crown Court trial. However, sections 58-63 of the </w:t>
      </w:r>
      <w:r w:rsidRPr="002F0EBD">
        <w:rPr>
          <w:rFonts w:ascii="Arial" w:hAnsi="Arial" w:cs="Arial"/>
          <w:i/>
          <w:iCs/>
        </w:rPr>
        <w:t>CJA 2003</w:t>
      </w:r>
      <w:r w:rsidRPr="002F0EBD">
        <w:rPr>
          <w:rFonts w:ascii="Arial" w:hAnsi="Arial" w:cs="Arial"/>
        </w:rPr>
        <w:t xml:space="preserve"> incorporate the CPS the right to appeal to the Court of Appeal in relation to terminations and evidentiary rulings made by a trial judge either before or during the trial. In addition, if the Attorney-General considers that a Crown Court has issued an excessively lenient sentence, the CPS has the right to appeal to the Court of Appeal (Sharpley, 2021, pp.177- 446). </w:t>
      </w:r>
    </w:p>
    <w:p w14:paraId="3A93ACFB" w14:textId="77777777" w:rsidR="00A301ED" w:rsidRPr="002F0EBD" w:rsidRDefault="00A301ED" w:rsidP="00A301ED">
      <w:pPr>
        <w:pStyle w:val="NormalWeb"/>
        <w:shd w:val="clear" w:color="auto" w:fill="FFFFFF"/>
        <w:spacing w:before="240" w:after="240" w:line="360" w:lineRule="atLeast"/>
        <w:rPr>
          <w:rFonts w:ascii="Arial" w:hAnsi="Arial" w:cs="Arial"/>
        </w:rPr>
      </w:pPr>
      <w:r w:rsidRPr="002F0EBD">
        <w:rPr>
          <w:rFonts w:ascii="Arial" w:hAnsi="Arial" w:cs="Arial"/>
        </w:rPr>
        <w:t xml:space="preserve">Furthermore, the CPS was primarily established to provide an independent check on whether police prosecutions were justified and if not to halt them at an early stage. Section 23(3) of the </w:t>
      </w:r>
      <w:r w:rsidRPr="002F0EBD">
        <w:rPr>
          <w:rFonts w:ascii="Arial" w:hAnsi="Arial" w:cs="Arial"/>
          <w:i/>
          <w:iCs/>
        </w:rPr>
        <w:t>POA 1985</w:t>
      </w:r>
      <w:r w:rsidRPr="002F0EBD">
        <w:rPr>
          <w:rFonts w:ascii="Arial" w:hAnsi="Arial" w:cs="Arial"/>
        </w:rPr>
        <w:t xml:space="preserve"> allows the CPS to notify the clerk of the magistrates' court that they do not wish the proceedings for an offence to continue. The notice must be delivered before the prosecution calls witnesses for a summary trial or, in the case of an indictment trial, before the accused is officially committed for trial (section 23(2) of the </w:t>
      </w:r>
      <w:r w:rsidRPr="002F0EBD">
        <w:rPr>
          <w:rFonts w:ascii="Arial" w:hAnsi="Arial" w:cs="Arial"/>
          <w:i/>
          <w:iCs/>
        </w:rPr>
        <w:t>POA 1985</w:t>
      </w:r>
      <w:r w:rsidRPr="002F0EBD">
        <w:rPr>
          <w:rFonts w:ascii="Arial" w:hAnsi="Arial" w:cs="Arial"/>
        </w:rPr>
        <w:t xml:space="preserve">). For indictable-only offences sent for trial in the Crown Court, the prosecution may serve the notice at any time before the indictment </w:t>
      </w:r>
      <w:r w:rsidRPr="002F0EBD">
        <w:rPr>
          <w:rFonts w:ascii="Arial" w:hAnsi="Arial" w:cs="Arial"/>
        </w:rPr>
        <w:lastRenderedPageBreak/>
        <w:t xml:space="preserve">is preferred. Under s. 23(5) of the </w:t>
      </w:r>
      <w:r w:rsidRPr="002F0EBD">
        <w:rPr>
          <w:rFonts w:ascii="Arial" w:hAnsi="Arial" w:cs="Arial"/>
          <w:i/>
          <w:iCs/>
        </w:rPr>
        <w:t>POA 1985</w:t>
      </w:r>
      <w:r w:rsidRPr="002F0EBD">
        <w:rPr>
          <w:rFonts w:ascii="Arial" w:hAnsi="Arial" w:cs="Arial"/>
        </w:rPr>
        <w:t xml:space="preserve"> the notice must include the reason for discontinuing</w:t>
      </w:r>
      <w:r w:rsidRPr="002F0EBD">
        <w:rPr>
          <w:rFonts w:ascii="Arial" w:hAnsi="Arial" w:cs="Arial"/>
          <w:lang w:val="bg-BG"/>
        </w:rPr>
        <w:t xml:space="preserve"> </w:t>
      </w:r>
      <w:r w:rsidRPr="002F0EBD">
        <w:rPr>
          <w:rFonts w:ascii="Arial" w:hAnsi="Arial" w:cs="Arial"/>
        </w:rPr>
        <w:t>(Sprack, 2015, p. 63).</w:t>
      </w:r>
    </w:p>
    <w:p w14:paraId="4E5FEEE7" w14:textId="77777777" w:rsidR="00A301ED" w:rsidRPr="002F0EBD" w:rsidRDefault="00A301ED" w:rsidP="00A301ED">
      <w:pPr>
        <w:rPr>
          <w:rFonts w:ascii="Arial" w:hAnsi="Arial" w:cs="Arial"/>
          <w:sz w:val="24"/>
          <w:szCs w:val="24"/>
        </w:rPr>
      </w:pPr>
      <w:r w:rsidRPr="002F0EBD">
        <w:rPr>
          <w:rFonts w:ascii="Arial" w:hAnsi="Arial" w:cs="Arial"/>
          <w:sz w:val="24"/>
          <w:szCs w:val="24"/>
        </w:rPr>
        <w:t>The Crown Prosecutor uses the Full Code Test under section 4 of The Code to determine whether the evidence reveals a realistic chance of a conviction and if it is in the public interest to prosecute the suspect. The prosecutor must be convinced that the evidence the police have against the defendant can be used in court, in order to pass the evidentiary test (sections 4.6-4.8). This includes determining whether each item of evidence is likely to be admissible, the significance of each piece of evidence to the prosecution case, and the evidence's trustworthiness and credibility. If the evidentiary standard is met based on these criteria, the Crown Prosecutor will then apply the public interest test. The Code requires that the prosecution must be in the public interest. Section 4.9 provides that where there is sufficient evidence to justify a prosecution, prosecutors must go on to explore whether a prosecution is required in the public interest, considering the questions under section 4.14 (a)-(g) of The Code. The more serious the offence, the more probable a prosecution will be necessary. Next, the prosecutor examines what is the level of the suspect’s culpability. The suspect's level of involvement, the degree to which the crime was planned or premeditated, and whether the defendant has a criminal history or was out on bail when the crime was committed, are likely to determine culpability. Furthermore, the prosecutor must find what were the circumstances of and the harm caused to the victim under the Victim’s Code (Ministry of Justice, 2021). The age of the suspect at the time of the criminal offence should be also determined. Additionally, it is important to note what is the impact on the community. Next, the prosecutor should consider the expenses of any prosecution to the CPS and the larger criminal justice system in comparison to any expected sentence when determining whether the prosecution is proportionate to the likely outcome in the case. Another factor to evaluate is whether the case can be prosecuted in accordance with appropriate case management standards. In a trial involving numerous suspects, for example, a prosecution may be saved for the main participants exclusively to prevent lengthy and complex processes. Finally, the prosecutor must consider if the sources of information require protection. When pursuing a case, special care should be taken to avoid disclosing material that might harm the UK's international relations, national security, or sensitive sources of information.</w:t>
      </w:r>
    </w:p>
    <w:p w14:paraId="515CE5F7" w14:textId="77777777" w:rsidR="00A301ED" w:rsidRPr="002F0EBD" w:rsidRDefault="00A301ED" w:rsidP="00A301ED">
      <w:pPr>
        <w:rPr>
          <w:rFonts w:ascii="Arial" w:hAnsi="Arial" w:cs="Arial"/>
          <w:sz w:val="24"/>
          <w:szCs w:val="24"/>
        </w:rPr>
      </w:pPr>
      <w:r w:rsidRPr="002F0EBD">
        <w:rPr>
          <w:rFonts w:ascii="Arial" w:hAnsi="Arial" w:cs="Arial"/>
          <w:sz w:val="24"/>
          <w:szCs w:val="24"/>
        </w:rPr>
        <w:t xml:space="preserve">In cases where suspects should not be released on bail after an arrest because there is such a significant bail risk but not enough evidence for the prosecution to make a charging decision under the Full code test, a prosecutor may apply a Threshold test under section 5 of The Code. First, the prosecutor must be convinced that there is a reasonable suspicion that the person accused, committed the offence and second that more evidence may be acquired to create a realistic possibility of conviction. If both evidence elements of the Threshold Test are met, the prosecutor must next apply the Full Code Test's public interest stage based on the facts available at the time. A decision to charge under the Threshold Test must be reviewed on a regular basis. The evidence must be evaluated frequently to verify that the charge is reasonable and that the continuous objection to providing bail to </w:t>
      </w:r>
      <w:r w:rsidRPr="002F0EBD">
        <w:rPr>
          <w:rFonts w:ascii="Arial" w:hAnsi="Arial" w:cs="Arial"/>
          <w:sz w:val="24"/>
          <w:szCs w:val="24"/>
        </w:rPr>
        <w:lastRenderedPageBreak/>
        <w:t>the defendant is appropriate. As soon as it is practically possible and before the defendant's custody time restriction has passed, the Full Code Test must be applied (section 5.11 of The Code) (Hannibal and Mountford, 2018, pp. 130-133).</w:t>
      </w:r>
    </w:p>
    <w:p w14:paraId="73EF0A98" w14:textId="77777777" w:rsidR="00A301ED" w:rsidRPr="002F0EBD" w:rsidRDefault="00A301ED" w:rsidP="00A301ED">
      <w:pPr>
        <w:rPr>
          <w:rFonts w:ascii="Arial" w:hAnsi="Arial" w:cs="Arial"/>
          <w:sz w:val="24"/>
          <w:szCs w:val="24"/>
        </w:rPr>
      </w:pPr>
      <w:r w:rsidRPr="002F0EBD">
        <w:rPr>
          <w:rFonts w:ascii="Arial" w:hAnsi="Arial" w:cs="Arial"/>
          <w:sz w:val="24"/>
          <w:szCs w:val="24"/>
        </w:rPr>
        <w:t xml:space="preserve">In conclusion, Crown prosecutors play a key role in the criminal justice system. Public prosecutors preserve the rule of law and administer justice for and on behalf of their communities along with the outside attorneys they brief. Their function is crucial to the maintenance of a just, democratic and fair society (CPS, 2009). </w:t>
      </w:r>
    </w:p>
    <w:p w14:paraId="34766F91" w14:textId="77777777" w:rsidR="00A301ED" w:rsidRPr="002F0EBD" w:rsidRDefault="00A301ED" w:rsidP="00A301ED">
      <w:pPr>
        <w:rPr>
          <w:sz w:val="24"/>
          <w:szCs w:val="24"/>
        </w:rPr>
      </w:pPr>
    </w:p>
    <w:p w14:paraId="7F912690" w14:textId="16172421" w:rsidR="00665CA8" w:rsidRPr="002F0EBD" w:rsidRDefault="00276188" w:rsidP="00775BBA">
      <w:pPr>
        <w:rPr>
          <w:rFonts w:ascii="Arial" w:hAnsi="Arial" w:cs="Arial"/>
          <w:sz w:val="24"/>
          <w:szCs w:val="24"/>
        </w:rPr>
      </w:pPr>
      <w:r w:rsidRPr="002F0EBD">
        <w:rPr>
          <w:rFonts w:ascii="Arial" w:hAnsi="Arial" w:cs="Arial"/>
          <w:sz w:val="24"/>
          <w:szCs w:val="24"/>
        </w:rPr>
        <w:t>1649 words</w:t>
      </w:r>
    </w:p>
    <w:p w14:paraId="35451070" w14:textId="77777777" w:rsidR="00276188" w:rsidRPr="002F0EBD" w:rsidRDefault="00276188" w:rsidP="00775BBA">
      <w:pPr>
        <w:rPr>
          <w:rFonts w:ascii="Arial" w:hAnsi="Arial" w:cs="Arial"/>
          <w:sz w:val="24"/>
          <w:szCs w:val="24"/>
        </w:rPr>
      </w:pPr>
    </w:p>
    <w:p w14:paraId="39766BC4" w14:textId="77777777" w:rsidR="0017434E" w:rsidRPr="002F0EBD" w:rsidRDefault="0017434E" w:rsidP="00775BBA">
      <w:pPr>
        <w:rPr>
          <w:rFonts w:ascii="Arial" w:hAnsi="Arial" w:cs="Arial"/>
          <w:sz w:val="24"/>
          <w:szCs w:val="24"/>
        </w:rPr>
      </w:pPr>
    </w:p>
    <w:p w14:paraId="1D55B55C" w14:textId="77777777" w:rsidR="0017434E" w:rsidRPr="002F0EBD" w:rsidRDefault="0017434E" w:rsidP="00775BBA">
      <w:pPr>
        <w:rPr>
          <w:rFonts w:ascii="Arial" w:hAnsi="Arial" w:cs="Arial"/>
          <w:sz w:val="24"/>
          <w:szCs w:val="24"/>
        </w:rPr>
      </w:pPr>
    </w:p>
    <w:p w14:paraId="124FD5FE" w14:textId="77777777" w:rsidR="00276188" w:rsidRPr="002F0EBD" w:rsidRDefault="00276188" w:rsidP="00276188">
      <w:pPr>
        <w:rPr>
          <w:rFonts w:ascii="Arial" w:hAnsi="Arial" w:cs="Arial"/>
          <w:color w:val="000000" w:themeColor="text1"/>
          <w:sz w:val="24"/>
          <w:szCs w:val="24"/>
        </w:rPr>
      </w:pPr>
      <w:r w:rsidRPr="002F0EBD">
        <w:rPr>
          <w:rFonts w:ascii="Arial" w:hAnsi="Arial" w:cs="Arial"/>
          <w:color w:val="000000" w:themeColor="text1"/>
          <w:sz w:val="24"/>
          <w:szCs w:val="24"/>
        </w:rPr>
        <w:t>Reference list</w:t>
      </w:r>
    </w:p>
    <w:p w14:paraId="1BD133E3"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bookmarkStart w:id="1" w:name="_Hlk141505098"/>
      <w:r w:rsidRPr="002F0EBD">
        <w:rPr>
          <w:rFonts w:ascii="Arial" w:eastAsia="Times New Roman" w:hAnsi="Arial" w:cs="Arial"/>
          <w:i/>
          <w:iCs/>
          <w:color w:val="242424"/>
          <w:kern w:val="0"/>
          <w:sz w:val="24"/>
          <w:szCs w:val="24"/>
          <w:lang w:eastAsia="en-GB"/>
          <w14:ligatures w14:val="none"/>
        </w:rPr>
        <w:t>Criminal Justice Act 2003, c. 44</w:t>
      </w:r>
      <w:r w:rsidRPr="002F0EBD">
        <w:rPr>
          <w:rFonts w:ascii="Arial" w:eastAsia="Times New Roman" w:hAnsi="Arial" w:cs="Arial"/>
          <w:color w:val="242424"/>
          <w:kern w:val="0"/>
          <w:sz w:val="24"/>
          <w:szCs w:val="24"/>
          <w:lang w:eastAsia="en-GB"/>
          <w14:ligatures w14:val="none"/>
        </w:rPr>
        <w:t>. Available at: https://www.legislation.gov.uk/ukpga/2003/44/contents (Accessed: 17 July 2023).</w:t>
      </w:r>
      <w:bookmarkEnd w:id="1"/>
    </w:p>
    <w:p w14:paraId="43C0514C"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r w:rsidRPr="002F0EBD">
        <w:rPr>
          <w:rFonts w:ascii="Arial" w:hAnsi="Arial" w:cs="Arial"/>
          <w:i/>
          <w:iCs/>
          <w:sz w:val="24"/>
          <w:szCs w:val="24"/>
        </w:rPr>
        <w:t>Criminal Procedure Rules</w:t>
      </w:r>
      <w:r w:rsidRPr="002F0EBD">
        <w:rPr>
          <w:rFonts w:ascii="Arial" w:hAnsi="Arial" w:cs="Arial"/>
          <w:sz w:val="24"/>
          <w:szCs w:val="24"/>
        </w:rPr>
        <w:t xml:space="preserve"> 2020 (SI 2020/759 (L.19)). </w:t>
      </w:r>
      <w:r w:rsidRPr="002F0EBD">
        <w:rPr>
          <w:rFonts w:ascii="Arial" w:eastAsia="Times New Roman" w:hAnsi="Arial" w:cs="Arial"/>
          <w:color w:val="242424"/>
          <w:kern w:val="0"/>
          <w:sz w:val="24"/>
          <w:szCs w:val="24"/>
          <w:lang w:eastAsia="en-GB"/>
          <w14:ligatures w14:val="none"/>
        </w:rPr>
        <w:t>Available at: https://www.legislation.gov.uk/uksi/2020/759/contents/made (Accessed: 25 July 2023).</w:t>
      </w:r>
    </w:p>
    <w:p w14:paraId="43FBB58A"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r w:rsidRPr="002F0EBD">
        <w:rPr>
          <w:rFonts w:ascii="Arial" w:eastAsia="Times New Roman" w:hAnsi="Arial" w:cs="Arial"/>
          <w:color w:val="242424"/>
          <w:kern w:val="0"/>
          <w:sz w:val="24"/>
          <w:szCs w:val="24"/>
          <w:lang w:eastAsia="en-GB"/>
          <w14:ligatures w14:val="none"/>
        </w:rPr>
        <w:t xml:space="preserve">Crown Prosecution Service (2009) </w:t>
      </w:r>
      <w:r w:rsidRPr="002F0EBD">
        <w:rPr>
          <w:rFonts w:ascii="Arial" w:hAnsi="Arial" w:cs="Arial"/>
          <w:i/>
          <w:iCs/>
          <w:sz w:val="24"/>
          <w:szCs w:val="24"/>
        </w:rPr>
        <w:t>Ethical Principles for the Public Prosecutors: Statement of.</w:t>
      </w:r>
      <w:r w:rsidRPr="002F0EBD">
        <w:rPr>
          <w:rFonts w:ascii="Arial" w:hAnsi="Arial" w:cs="Arial"/>
          <w:sz w:val="24"/>
          <w:szCs w:val="24"/>
        </w:rPr>
        <w:t xml:space="preserve"> Available at: </w:t>
      </w:r>
      <w:r w:rsidRPr="002F0EBD">
        <w:rPr>
          <w:rFonts w:ascii="Arial" w:eastAsia="Times New Roman" w:hAnsi="Arial" w:cs="Arial"/>
          <w:color w:val="242424"/>
          <w:kern w:val="0"/>
          <w:sz w:val="24"/>
          <w:szCs w:val="24"/>
          <w:lang w:eastAsia="en-GB"/>
          <w14:ligatures w14:val="none"/>
        </w:rPr>
        <w:t>https://www.cps.gov.uk/legal-guidance/ethical-principles-public-prosecutor-statement (Accessed: 12 July 2023).</w:t>
      </w:r>
    </w:p>
    <w:p w14:paraId="2A703C50"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r w:rsidRPr="002F0EBD">
        <w:rPr>
          <w:rFonts w:ascii="Arial" w:eastAsia="Times New Roman" w:hAnsi="Arial" w:cs="Arial"/>
          <w:color w:val="242424"/>
          <w:kern w:val="0"/>
          <w:sz w:val="24"/>
          <w:szCs w:val="24"/>
          <w:lang w:eastAsia="en-GB"/>
          <w14:ligatures w14:val="none"/>
        </w:rPr>
        <w:t xml:space="preserve">Crown Prosecution Service (2015) </w:t>
      </w:r>
      <w:r w:rsidRPr="002F0EBD">
        <w:rPr>
          <w:rFonts w:ascii="Arial" w:eastAsia="Times New Roman" w:hAnsi="Arial" w:cs="Arial"/>
          <w:i/>
          <w:iCs/>
          <w:color w:val="242424"/>
          <w:kern w:val="0"/>
          <w:sz w:val="24"/>
          <w:szCs w:val="24"/>
          <w:lang w:eastAsia="en-GB"/>
          <w14:ligatures w14:val="none"/>
        </w:rPr>
        <w:t xml:space="preserve">The CPS Code of Conduct. </w:t>
      </w:r>
      <w:r w:rsidRPr="002F0EBD">
        <w:rPr>
          <w:rFonts w:ascii="Arial" w:eastAsia="Times New Roman" w:hAnsi="Arial" w:cs="Arial"/>
          <w:color w:val="242424"/>
          <w:kern w:val="0"/>
          <w:sz w:val="24"/>
          <w:szCs w:val="24"/>
          <w:lang w:eastAsia="en-GB"/>
          <w14:ligatures w14:val="none"/>
        </w:rPr>
        <w:t>Available at: https://www.cps.gov.uk/sites/default/files/documents/publications/cps-code-of-conduct-2015.pdf (Accessed: 14 July 2023).</w:t>
      </w:r>
    </w:p>
    <w:p w14:paraId="2EC67FFC"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r w:rsidRPr="002F0EBD">
        <w:rPr>
          <w:rFonts w:ascii="Arial" w:eastAsia="Times New Roman" w:hAnsi="Arial" w:cs="Arial"/>
          <w:color w:val="242424"/>
          <w:kern w:val="0"/>
          <w:sz w:val="24"/>
          <w:szCs w:val="24"/>
          <w:lang w:eastAsia="en-GB"/>
          <w14:ligatures w14:val="none"/>
        </w:rPr>
        <w:t xml:space="preserve">Crown Prosecution Service (2018) </w:t>
      </w:r>
      <w:r w:rsidRPr="002F0EBD">
        <w:rPr>
          <w:rFonts w:ascii="Arial" w:eastAsia="Times New Roman" w:hAnsi="Arial" w:cs="Arial"/>
          <w:i/>
          <w:iCs/>
          <w:color w:val="242424"/>
          <w:kern w:val="0"/>
          <w:sz w:val="24"/>
          <w:szCs w:val="24"/>
          <w:lang w:eastAsia="en-GB"/>
          <w14:ligatures w14:val="none"/>
        </w:rPr>
        <w:t xml:space="preserve">The Code for the Crown Prosecutors. </w:t>
      </w:r>
      <w:r w:rsidRPr="002F0EBD">
        <w:rPr>
          <w:rFonts w:ascii="Arial" w:eastAsia="Times New Roman" w:hAnsi="Arial" w:cs="Arial"/>
          <w:color w:val="242424"/>
          <w:kern w:val="0"/>
          <w:sz w:val="24"/>
          <w:szCs w:val="24"/>
          <w:lang w:eastAsia="en-GB"/>
          <w14:ligatures w14:val="none"/>
        </w:rPr>
        <w:t>Available at: https://www.cps.gov.uk/publication/code-crown-prosecutors (Accessed: 10 July 2023).</w:t>
      </w:r>
    </w:p>
    <w:p w14:paraId="1028C5DC" w14:textId="77777777" w:rsidR="00276188" w:rsidRPr="002F0EBD" w:rsidRDefault="00276188" w:rsidP="00276188">
      <w:pPr>
        <w:rPr>
          <w:rFonts w:ascii="Arial" w:hAnsi="Arial" w:cs="Arial"/>
          <w:sz w:val="24"/>
          <w:szCs w:val="24"/>
        </w:rPr>
      </w:pPr>
      <w:r w:rsidRPr="002F0EBD">
        <w:rPr>
          <w:rFonts w:ascii="Arial" w:hAnsi="Arial" w:cs="Arial"/>
          <w:sz w:val="24"/>
          <w:szCs w:val="24"/>
        </w:rPr>
        <w:t xml:space="preserve">Hannibal, M. and Mountford, L. (2018) </w:t>
      </w:r>
      <w:r w:rsidRPr="002F0EBD">
        <w:rPr>
          <w:rFonts w:ascii="Arial" w:hAnsi="Arial" w:cs="Arial"/>
          <w:i/>
          <w:iCs/>
          <w:sz w:val="24"/>
          <w:szCs w:val="24"/>
        </w:rPr>
        <w:t>Criminal Litigation 2018-2019.</w:t>
      </w:r>
      <w:r w:rsidRPr="002F0EBD">
        <w:rPr>
          <w:rFonts w:ascii="Arial" w:hAnsi="Arial" w:cs="Arial"/>
          <w:sz w:val="24"/>
          <w:szCs w:val="24"/>
        </w:rPr>
        <w:t xml:space="preserve"> 14</w:t>
      </w:r>
      <w:r w:rsidRPr="002F0EBD">
        <w:rPr>
          <w:rFonts w:ascii="Arial" w:hAnsi="Arial" w:cs="Arial"/>
          <w:sz w:val="24"/>
          <w:szCs w:val="24"/>
          <w:vertAlign w:val="superscript"/>
        </w:rPr>
        <w:t>th</w:t>
      </w:r>
      <w:r w:rsidRPr="002F0EBD">
        <w:rPr>
          <w:rFonts w:ascii="Arial" w:hAnsi="Arial" w:cs="Arial"/>
          <w:sz w:val="24"/>
          <w:szCs w:val="24"/>
        </w:rPr>
        <w:t xml:space="preserve"> Ed. Oxford: Oxford University Press.</w:t>
      </w:r>
    </w:p>
    <w:p w14:paraId="073B3E33"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r w:rsidRPr="002F0EBD">
        <w:rPr>
          <w:rFonts w:ascii="Arial" w:eastAsia="Times New Roman" w:hAnsi="Arial" w:cs="Arial"/>
          <w:i/>
          <w:iCs/>
          <w:color w:val="242424"/>
          <w:kern w:val="0"/>
          <w:sz w:val="24"/>
          <w:szCs w:val="24"/>
          <w:lang w:eastAsia="en-GB"/>
          <w14:ligatures w14:val="none"/>
        </w:rPr>
        <w:t>Human Rights Act 1998, c. 42</w:t>
      </w:r>
      <w:r w:rsidRPr="002F0EBD">
        <w:rPr>
          <w:rFonts w:ascii="Arial" w:eastAsia="Times New Roman" w:hAnsi="Arial" w:cs="Arial"/>
          <w:color w:val="242424"/>
          <w:kern w:val="0"/>
          <w:sz w:val="24"/>
          <w:szCs w:val="24"/>
          <w:lang w:eastAsia="en-GB"/>
          <w14:ligatures w14:val="none"/>
        </w:rPr>
        <w:t>. Available at: https://www.legislation.gov.uk/ukpga/2003/44/contents (Accessed: 18 July 2023).</w:t>
      </w:r>
    </w:p>
    <w:p w14:paraId="06CDE3A0" w14:textId="77777777" w:rsidR="00276188" w:rsidRPr="002F0EBD" w:rsidRDefault="00276188" w:rsidP="00276188">
      <w:pPr>
        <w:rPr>
          <w:rFonts w:ascii="Arial" w:hAnsi="Arial" w:cs="Arial"/>
          <w:color w:val="000000" w:themeColor="text1"/>
          <w:sz w:val="24"/>
          <w:szCs w:val="24"/>
        </w:rPr>
      </w:pPr>
      <w:r w:rsidRPr="002F0EBD">
        <w:rPr>
          <w:rFonts w:ascii="Arial" w:hAnsi="Arial" w:cs="Arial"/>
          <w:color w:val="000000" w:themeColor="text1"/>
          <w:sz w:val="24"/>
          <w:szCs w:val="24"/>
        </w:rPr>
        <w:t>Ministry of Justice (2021</w:t>
      </w:r>
      <w:r w:rsidRPr="002F0EBD">
        <w:rPr>
          <w:rFonts w:ascii="Arial" w:hAnsi="Arial" w:cs="Arial"/>
          <w:i/>
          <w:iCs/>
          <w:color w:val="000000" w:themeColor="text1"/>
          <w:sz w:val="24"/>
          <w:szCs w:val="24"/>
        </w:rPr>
        <w:t>)</w:t>
      </w:r>
      <w:r w:rsidRPr="002F0EBD">
        <w:rPr>
          <w:rFonts w:ascii="Arial" w:hAnsi="Arial" w:cs="Arial"/>
          <w:i/>
          <w:iCs/>
          <w:sz w:val="24"/>
          <w:szCs w:val="24"/>
        </w:rPr>
        <w:t xml:space="preserve"> Code of Practice for Victims of Crime in England and Wales </w:t>
      </w:r>
      <w:r w:rsidRPr="002F0EBD">
        <w:rPr>
          <w:rFonts w:ascii="Arial" w:hAnsi="Arial" w:cs="Arial"/>
          <w:color w:val="000000" w:themeColor="text1"/>
          <w:sz w:val="24"/>
          <w:szCs w:val="24"/>
        </w:rPr>
        <w:t xml:space="preserve">(Victim’s Code) 2021 Available at: https://www.gov.uk/government/publications/the-code-of-practice-for-victims-of-crime/code-of-practice-for-victims-of-crime-in-england-and-wales-victims-code </w:t>
      </w:r>
      <w:r w:rsidRPr="002F0EBD">
        <w:rPr>
          <w:rFonts w:ascii="Arial" w:hAnsi="Arial" w:cs="Arial"/>
          <w:sz w:val="24"/>
          <w:szCs w:val="24"/>
        </w:rPr>
        <w:t>(Accessed: 20 July 2023).</w:t>
      </w:r>
    </w:p>
    <w:p w14:paraId="23A23456"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r w:rsidRPr="002F0EBD">
        <w:rPr>
          <w:rFonts w:ascii="Arial" w:hAnsi="Arial" w:cs="Arial"/>
          <w:i/>
          <w:iCs/>
          <w:sz w:val="24"/>
          <w:szCs w:val="24"/>
        </w:rPr>
        <w:lastRenderedPageBreak/>
        <w:t>Prosecution of Offences Act</w:t>
      </w:r>
      <w:r w:rsidRPr="002F0EBD">
        <w:rPr>
          <w:rFonts w:ascii="Arial" w:hAnsi="Arial" w:cs="Arial"/>
          <w:sz w:val="24"/>
          <w:szCs w:val="24"/>
        </w:rPr>
        <w:t xml:space="preserve"> </w:t>
      </w:r>
      <w:r w:rsidRPr="002F0EBD">
        <w:rPr>
          <w:rFonts w:ascii="Arial" w:hAnsi="Arial" w:cs="Arial"/>
          <w:i/>
          <w:iCs/>
          <w:sz w:val="24"/>
          <w:szCs w:val="24"/>
        </w:rPr>
        <w:t>1985</w:t>
      </w:r>
      <w:r w:rsidRPr="002F0EBD">
        <w:rPr>
          <w:rFonts w:ascii="Arial" w:eastAsia="Times New Roman" w:hAnsi="Arial" w:cs="Arial"/>
          <w:i/>
          <w:iCs/>
          <w:color w:val="242424"/>
          <w:kern w:val="0"/>
          <w:sz w:val="24"/>
          <w:szCs w:val="24"/>
          <w:lang w:eastAsia="en-GB"/>
          <w14:ligatures w14:val="none"/>
        </w:rPr>
        <w:t>, c. 23</w:t>
      </w:r>
      <w:r w:rsidRPr="002F0EBD">
        <w:rPr>
          <w:rFonts w:ascii="Arial" w:eastAsia="Times New Roman" w:hAnsi="Arial" w:cs="Arial"/>
          <w:color w:val="242424"/>
          <w:kern w:val="0"/>
          <w:sz w:val="24"/>
          <w:szCs w:val="24"/>
          <w:lang w:eastAsia="en-GB"/>
          <w14:ligatures w14:val="none"/>
        </w:rPr>
        <w:t>. Available at: https://www.legislation.gov.uk/ukpga/1985/23 (Accessed: 12 July 2023).</w:t>
      </w:r>
    </w:p>
    <w:p w14:paraId="20BE9E76" w14:textId="77777777" w:rsidR="00276188" w:rsidRPr="002F0EBD" w:rsidRDefault="00276188" w:rsidP="00276188">
      <w:pPr>
        <w:rPr>
          <w:rFonts w:ascii="Arial" w:hAnsi="Arial" w:cs="Arial"/>
          <w:sz w:val="24"/>
          <w:szCs w:val="24"/>
        </w:rPr>
      </w:pPr>
      <w:r w:rsidRPr="002F0EBD">
        <w:rPr>
          <w:rFonts w:ascii="Arial" w:hAnsi="Arial" w:cs="Arial"/>
          <w:color w:val="000000" w:themeColor="text1"/>
          <w:sz w:val="24"/>
          <w:szCs w:val="24"/>
        </w:rPr>
        <w:t>‘</w:t>
      </w:r>
      <w:hyperlink r:id="rId5" w:history="1">
        <w:r w:rsidRPr="002F0EBD">
          <w:rPr>
            <w:rStyle w:val="Hyperlink"/>
            <w:rFonts w:ascii="Arial" w:hAnsi="Arial" w:cs="Arial"/>
            <w:i/>
            <w:iCs/>
            <w:color w:val="000000" w:themeColor="text1"/>
            <w:sz w:val="24"/>
            <w:szCs w:val="24"/>
            <w:u w:val="none"/>
            <w:bdr w:val="none" w:sz="0" w:space="0" w:color="auto" w:frame="1"/>
            <w:shd w:val="clear" w:color="auto" w:fill="FFFFFF"/>
          </w:rPr>
          <w:t>R v Liverpool Crown Court ex parte Bray’</w:t>
        </w:r>
        <w:r w:rsidRPr="002F0EBD">
          <w:rPr>
            <w:rStyle w:val="Hyperlink"/>
            <w:rFonts w:ascii="Arial" w:hAnsi="Arial" w:cs="Arial"/>
            <w:color w:val="000000" w:themeColor="text1"/>
            <w:sz w:val="24"/>
            <w:szCs w:val="24"/>
            <w:u w:val="none"/>
            <w:bdr w:val="none" w:sz="0" w:space="0" w:color="auto" w:frame="1"/>
            <w:shd w:val="clear" w:color="auto" w:fill="FFFFFF"/>
          </w:rPr>
          <w:t> (1986) Quenn’s Bench Division, Crim</w:t>
        </w:r>
      </w:hyperlink>
      <w:r w:rsidRPr="002F0EBD">
        <w:rPr>
          <w:rFonts w:ascii="Arial" w:hAnsi="Arial" w:cs="Arial"/>
          <w:color w:val="000000" w:themeColor="text1"/>
          <w:sz w:val="24"/>
          <w:szCs w:val="24"/>
        </w:rPr>
        <w:t xml:space="preserve"> LR 51</w:t>
      </w:r>
      <w:r w:rsidRPr="002F0EBD">
        <w:rPr>
          <w:rFonts w:ascii="Arial" w:hAnsi="Arial" w:cs="Arial"/>
          <w:sz w:val="24"/>
          <w:szCs w:val="24"/>
        </w:rPr>
        <w:t xml:space="preserve">. </w:t>
      </w:r>
      <w:r w:rsidRPr="002F0EBD">
        <w:rPr>
          <w:rFonts w:ascii="Arial" w:hAnsi="Arial" w:cs="Arial"/>
          <w:i/>
          <w:iCs/>
          <w:sz w:val="24"/>
          <w:szCs w:val="24"/>
        </w:rPr>
        <w:t>Lexis + UK</w:t>
      </w:r>
      <w:r w:rsidRPr="002F0EBD">
        <w:rPr>
          <w:rFonts w:ascii="Arial" w:hAnsi="Arial" w:cs="Arial"/>
          <w:sz w:val="24"/>
          <w:szCs w:val="24"/>
        </w:rPr>
        <w:t xml:space="preserve"> [online] Available at: https://plus-lexis-com.ezproxy.uwtsd.ac.uk/uk/document/documentlink/?pdmfid=1001073&amp;crid=33ca426f-224c-4385-9d44-51967721393b&amp;pddocfullpath=%2Fshared%2Fdocument%2Fcases-uk%2Furn%3AcontentItem%3A4PN7-WVP0-TXX5-50KX-00000-00&amp;pdcontentcomponentid=316560&amp;pdproductcontenttypeid=urn%3Apct%3A286&amp;pdiskwicview=false&amp;pdpinpoint=&amp;prid=ad1054e5-c5f4-481d-bd27-9e567e760554&amp;ecomp=gg4k (Accessed: 15 July 2023).</w:t>
      </w:r>
    </w:p>
    <w:p w14:paraId="4BD1D8D4" w14:textId="77777777" w:rsidR="00276188" w:rsidRPr="002F0EBD" w:rsidRDefault="00276188" w:rsidP="00276188">
      <w:pPr>
        <w:rPr>
          <w:rFonts w:ascii="Arial" w:hAnsi="Arial" w:cs="Arial"/>
          <w:sz w:val="24"/>
          <w:szCs w:val="24"/>
        </w:rPr>
      </w:pPr>
      <w:r w:rsidRPr="002F0EBD">
        <w:rPr>
          <w:rFonts w:ascii="Arial" w:hAnsi="Arial" w:cs="Arial"/>
          <w:sz w:val="24"/>
          <w:szCs w:val="24"/>
        </w:rPr>
        <w:t xml:space="preserve">Sharpley, D. (2021) </w:t>
      </w:r>
      <w:r w:rsidRPr="002F0EBD">
        <w:rPr>
          <w:rFonts w:ascii="Arial" w:hAnsi="Arial" w:cs="Arial"/>
          <w:i/>
          <w:iCs/>
          <w:sz w:val="24"/>
          <w:szCs w:val="24"/>
        </w:rPr>
        <w:t>Criminal Litigation Practice and Procedure 2021/2022.</w:t>
      </w:r>
      <w:r w:rsidRPr="002F0EBD">
        <w:rPr>
          <w:rFonts w:ascii="Arial" w:hAnsi="Arial" w:cs="Arial"/>
          <w:sz w:val="24"/>
          <w:szCs w:val="24"/>
        </w:rPr>
        <w:t xml:space="preserve"> Guildford: College of Law Publishing.</w:t>
      </w:r>
    </w:p>
    <w:p w14:paraId="4C780D30" w14:textId="77777777" w:rsidR="00276188" w:rsidRPr="002F0EBD" w:rsidRDefault="00276188" w:rsidP="00276188">
      <w:pPr>
        <w:rPr>
          <w:rFonts w:ascii="Arial" w:hAnsi="Arial" w:cs="Arial"/>
          <w:sz w:val="24"/>
          <w:szCs w:val="24"/>
        </w:rPr>
      </w:pPr>
      <w:bookmarkStart w:id="2" w:name="_Hlk141507412"/>
      <w:r w:rsidRPr="002F0EBD">
        <w:rPr>
          <w:rFonts w:ascii="Arial" w:hAnsi="Arial" w:cs="Arial"/>
          <w:sz w:val="24"/>
          <w:szCs w:val="24"/>
        </w:rPr>
        <w:t xml:space="preserve">Sprack, J. (2015) </w:t>
      </w:r>
      <w:r w:rsidRPr="002F0EBD">
        <w:rPr>
          <w:rFonts w:ascii="Arial" w:hAnsi="Arial" w:cs="Arial"/>
          <w:i/>
          <w:iCs/>
          <w:sz w:val="24"/>
          <w:szCs w:val="24"/>
        </w:rPr>
        <w:t>Criminal Procedure.</w:t>
      </w:r>
      <w:r w:rsidRPr="002F0EBD">
        <w:rPr>
          <w:rFonts w:ascii="Arial" w:hAnsi="Arial" w:cs="Arial"/>
          <w:sz w:val="24"/>
          <w:szCs w:val="24"/>
        </w:rPr>
        <w:t xml:space="preserve"> 15</w:t>
      </w:r>
      <w:r w:rsidRPr="002F0EBD">
        <w:rPr>
          <w:rFonts w:ascii="Arial" w:hAnsi="Arial" w:cs="Arial"/>
          <w:sz w:val="24"/>
          <w:szCs w:val="24"/>
          <w:vertAlign w:val="superscript"/>
        </w:rPr>
        <w:t>th</w:t>
      </w:r>
      <w:r w:rsidRPr="002F0EBD">
        <w:rPr>
          <w:rFonts w:ascii="Arial" w:hAnsi="Arial" w:cs="Arial"/>
          <w:sz w:val="24"/>
          <w:szCs w:val="24"/>
        </w:rPr>
        <w:t xml:space="preserve"> Ed. Oxford: Oxford University Press.</w:t>
      </w:r>
    </w:p>
    <w:p w14:paraId="349ED1EA" w14:textId="77777777" w:rsidR="00276188" w:rsidRPr="00731435" w:rsidRDefault="00276188" w:rsidP="00276188">
      <w:pPr>
        <w:rPr>
          <w:rFonts w:ascii="Arial" w:hAnsi="Arial" w:cs="Arial"/>
          <w:sz w:val="32"/>
          <w:szCs w:val="32"/>
        </w:rPr>
      </w:pPr>
    </w:p>
    <w:bookmarkEnd w:id="2"/>
    <w:p w14:paraId="4BE7D1ED" w14:textId="77777777" w:rsidR="00276188" w:rsidRPr="00731435" w:rsidRDefault="00276188" w:rsidP="00276188">
      <w:pPr>
        <w:rPr>
          <w:rFonts w:ascii="Arial" w:hAnsi="Arial" w:cs="Arial"/>
          <w:sz w:val="32"/>
          <w:szCs w:val="32"/>
        </w:rPr>
      </w:pPr>
    </w:p>
    <w:p w14:paraId="176D5BB9" w14:textId="77777777" w:rsidR="00276188" w:rsidRPr="00731435" w:rsidRDefault="00276188" w:rsidP="00276188">
      <w:pPr>
        <w:rPr>
          <w:rFonts w:ascii="Arial" w:hAnsi="Arial" w:cs="Arial"/>
          <w:color w:val="000000" w:themeColor="text1"/>
          <w:sz w:val="32"/>
          <w:szCs w:val="32"/>
        </w:rPr>
      </w:pPr>
    </w:p>
    <w:p w14:paraId="59648DE4" w14:textId="77777777" w:rsidR="00276188" w:rsidRPr="00731435" w:rsidRDefault="00276188" w:rsidP="00276188">
      <w:pPr>
        <w:rPr>
          <w:rFonts w:ascii="Arial" w:hAnsi="Arial" w:cs="Arial"/>
          <w:sz w:val="32"/>
          <w:szCs w:val="32"/>
        </w:rPr>
      </w:pPr>
    </w:p>
    <w:p w14:paraId="1A98BB1D" w14:textId="77777777" w:rsidR="00276188" w:rsidRPr="00731435" w:rsidRDefault="00276188" w:rsidP="00775BBA">
      <w:pPr>
        <w:rPr>
          <w:rFonts w:ascii="Arial" w:hAnsi="Arial" w:cs="Arial"/>
          <w:sz w:val="32"/>
          <w:szCs w:val="32"/>
        </w:rPr>
      </w:pPr>
    </w:p>
    <w:sectPr w:rsidR="00276188" w:rsidRPr="00731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D8738D"/>
    <w:multiLevelType w:val="multilevel"/>
    <w:tmpl w:val="8A68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3127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210"/>
    <w:rsid w:val="00004925"/>
    <w:rsid w:val="00004FB0"/>
    <w:rsid w:val="00006300"/>
    <w:rsid w:val="00006FEC"/>
    <w:rsid w:val="00011463"/>
    <w:rsid w:val="00012E0D"/>
    <w:rsid w:val="000133F1"/>
    <w:rsid w:val="00013AAF"/>
    <w:rsid w:val="00013CA0"/>
    <w:rsid w:val="0001477D"/>
    <w:rsid w:val="00020BBC"/>
    <w:rsid w:val="000228AC"/>
    <w:rsid w:val="0002351A"/>
    <w:rsid w:val="000255FC"/>
    <w:rsid w:val="0002641B"/>
    <w:rsid w:val="00027564"/>
    <w:rsid w:val="00030B2D"/>
    <w:rsid w:val="000314AE"/>
    <w:rsid w:val="000326C8"/>
    <w:rsid w:val="00032FD9"/>
    <w:rsid w:val="00035EEF"/>
    <w:rsid w:val="00037659"/>
    <w:rsid w:val="0004615B"/>
    <w:rsid w:val="00046E77"/>
    <w:rsid w:val="000534AD"/>
    <w:rsid w:val="00057D5C"/>
    <w:rsid w:val="00060C1A"/>
    <w:rsid w:val="00063212"/>
    <w:rsid w:val="00077C9D"/>
    <w:rsid w:val="00080FAC"/>
    <w:rsid w:val="00086387"/>
    <w:rsid w:val="00091340"/>
    <w:rsid w:val="00092A28"/>
    <w:rsid w:val="00094415"/>
    <w:rsid w:val="0009530D"/>
    <w:rsid w:val="000961D7"/>
    <w:rsid w:val="00096C48"/>
    <w:rsid w:val="000974F8"/>
    <w:rsid w:val="000A01AF"/>
    <w:rsid w:val="000A1650"/>
    <w:rsid w:val="000A3C80"/>
    <w:rsid w:val="000A3DED"/>
    <w:rsid w:val="000A51B7"/>
    <w:rsid w:val="000A5A88"/>
    <w:rsid w:val="000A629F"/>
    <w:rsid w:val="000B5FB5"/>
    <w:rsid w:val="000C0261"/>
    <w:rsid w:val="000C2498"/>
    <w:rsid w:val="000C47E6"/>
    <w:rsid w:val="000C59F1"/>
    <w:rsid w:val="000D1210"/>
    <w:rsid w:val="000D3742"/>
    <w:rsid w:val="000D4F65"/>
    <w:rsid w:val="000E6285"/>
    <w:rsid w:val="000F19DA"/>
    <w:rsid w:val="000F281B"/>
    <w:rsid w:val="000F41AB"/>
    <w:rsid w:val="000F5C59"/>
    <w:rsid w:val="000F699F"/>
    <w:rsid w:val="000F713C"/>
    <w:rsid w:val="00100FD9"/>
    <w:rsid w:val="00101CDB"/>
    <w:rsid w:val="0010449A"/>
    <w:rsid w:val="00105B31"/>
    <w:rsid w:val="00106D48"/>
    <w:rsid w:val="001162E8"/>
    <w:rsid w:val="00117590"/>
    <w:rsid w:val="0011791C"/>
    <w:rsid w:val="001219A0"/>
    <w:rsid w:val="001227CD"/>
    <w:rsid w:val="00126244"/>
    <w:rsid w:val="0013028B"/>
    <w:rsid w:val="001332E5"/>
    <w:rsid w:val="00133BCA"/>
    <w:rsid w:val="00134E43"/>
    <w:rsid w:val="0014088C"/>
    <w:rsid w:val="001413F3"/>
    <w:rsid w:val="0014183F"/>
    <w:rsid w:val="00143889"/>
    <w:rsid w:val="00151256"/>
    <w:rsid w:val="00157615"/>
    <w:rsid w:val="001641DE"/>
    <w:rsid w:val="00164678"/>
    <w:rsid w:val="00164D40"/>
    <w:rsid w:val="0016520D"/>
    <w:rsid w:val="001674B9"/>
    <w:rsid w:val="00170DBE"/>
    <w:rsid w:val="001716D9"/>
    <w:rsid w:val="001727C0"/>
    <w:rsid w:val="0017434E"/>
    <w:rsid w:val="00175035"/>
    <w:rsid w:val="001806D0"/>
    <w:rsid w:val="001809BF"/>
    <w:rsid w:val="001842B6"/>
    <w:rsid w:val="00187A8C"/>
    <w:rsid w:val="0019043C"/>
    <w:rsid w:val="00190C15"/>
    <w:rsid w:val="00190FE1"/>
    <w:rsid w:val="00192087"/>
    <w:rsid w:val="001958C6"/>
    <w:rsid w:val="001A2706"/>
    <w:rsid w:val="001A3424"/>
    <w:rsid w:val="001A7B77"/>
    <w:rsid w:val="001A7DAF"/>
    <w:rsid w:val="001B05BB"/>
    <w:rsid w:val="001B2BFB"/>
    <w:rsid w:val="001B324F"/>
    <w:rsid w:val="001B752B"/>
    <w:rsid w:val="001B7EBC"/>
    <w:rsid w:val="001C08BC"/>
    <w:rsid w:val="001C3014"/>
    <w:rsid w:val="001C351F"/>
    <w:rsid w:val="001C37AB"/>
    <w:rsid w:val="001C38FF"/>
    <w:rsid w:val="001C4EF7"/>
    <w:rsid w:val="001D3337"/>
    <w:rsid w:val="001D48CA"/>
    <w:rsid w:val="001D7E4D"/>
    <w:rsid w:val="001E06DB"/>
    <w:rsid w:val="001E1477"/>
    <w:rsid w:val="001E227D"/>
    <w:rsid w:val="001E6510"/>
    <w:rsid w:val="001F0B8D"/>
    <w:rsid w:val="001F1E6E"/>
    <w:rsid w:val="001F3C78"/>
    <w:rsid w:val="001F55B2"/>
    <w:rsid w:val="002001D0"/>
    <w:rsid w:val="0020371A"/>
    <w:rsid w:val="002076C5"/>
    <w:rsid w:val="00213EED"/>
    <w:rsid w:val="002145C5"/>
    <w:rsid w:val="00214D34"/>
    <w:rsid w:val="00216BBD"/>
    <w:rsid w:val="00217893"/>
    <w:rsid w:val="0022130F"/>
    <w:rsid w:val="00224F2B"/>
    <w:rsid w:val="002275E0"/>
    <w:rsid w:val="00233FE7"/>
    <w:rsid w:val="00234106"/>
    <w:rsid w:val="00234982"/>
    <w:rsid w:val="002431FD"/>
    <w:rsid w:val="002505EF"/>
    <w:rsid w:val="002528F1"/>
    <w:rsid w:val="00252B92"/>
    <w:rsid w:val="002533E2"/>
    <w:rsid w:val="00253651"/>
    <w:rsid w:val="002538BD"/>
    <w:rsid w:val="002562D5"/>
    <w:rsid w:val="00256D21"/>
    <w:rsid w:val="00260A08"/>
    <w:rsid w:val="00263410"/>
    <w:rsid w:val="002635D8"/>
    <w:rsid w:val="00265230"/>
    <w:rsid w:val="00266D42"/>
    <w:rsid w:val="002678BD"/>
    <w:rsid w:val="0027137B"/>
    <w:rsid w:val="00273518"/>
    <w:rsid w:val="00276188"/>
    <w:rsid w:val="0027734D"/>
    <w:rsid w:val="00282124"/>
    <w:rsid w:val="00284CD6"/>
    <w:rsid w:val="00285CB6"/>
    <w:rsid w:val="0029657B"/>
    <w:rsid w:val="002A2596"/>
    <w:rsid w:val="002A28DE"/>
    <w:rsid w:val="002A29A5"/>
    <w:rsid w:val="002A57FF"/>
    <w:rsid w:val="002A680D"/>
    <w:rsid w:val="002B197E"/>
    <w:rsid w:val="002B1CB6"/>
    <w:rsid w:val="002B2ADA"/>
    <w:rsid w:val="002B3090"/>
    <w:rsid w:val="002B3707"/>
    <w:rsid w:val="002B37BB"/>
    <w:rsid w:val="002B5095"/>
    <w:rsid w:val="002B5E79"/>
    <w:rsid w:val="002B7B1F"/>
    <w:rsid w:val="002C007A"/>
    <w:rsid w:val="002C10DC"/>
    <w:rsid w:val="002C3BE5"/>
    <w:rsid w:val="002C5AF6"/>
    <w:rsid w:val="002C649D"/>
    <w:rsid w:val="002C7C3A"/>
    <w:rsid w:val="002C7F9A"/>
    <w:rsid w:val="002D53C3"/>
    <w:rsid w:val="002E1094"/>
    <w:rsid w:val="002E30DE"/>
    <w:rsid w:val="002F0D0A"/>
    <w:rsid w:val="002F0EBD"/>
    <w:rsid w:val="002F6570"/>
    <w:rsid w:val="002F6B1E"/>
    <w:rsid w:val="002F727D"/>
    <w:rsid w:val="002F7D81"/>
    <w:rsid w:val="00300F9B"/>
    <w:rsid w:val="00301D62"/>
    <w:rsid w:val="0030273A"/>
    <w:rsid w:val="00307A9C"/>
    <w:rsid w:val="00307BD2"/>
    <w:rsid w:val="003126DE"/>
    <w:rsid w:val="00317F43"/>
    <w:rsid w:val="00320EA0"/>
    <w:rsid w:val="003216B3"/>
    <w:rsid w:val="003238FF"/>
    <w:rsid w:val="00323A77"/>
    <w:rsid w:val="00323C2B"/>
    <w:rsid w:val="0032468D"/>
    <w:rsid w:val="0032749D"/>
    <w:rsid w:val="00330F27"/>
    <w:rsid w:val="00334235"/>
    <w:rsid w:val="003347A7"/>
    <w:rsid w:val="00337F5D"/>
    <w:rsid w:val="00340D9E"/>
    <w:rsid w:val="00343922"/>
    <w:rsid w:val="0034523D"/>
    <w:rsid w:val="00345526"/>
    <w:rsid w:val="00345F5E"/>
    <w:rsid w:val="003503FF"/>
    <w:rsid w:val="003504F3"/>
    <w:rsid w:val="00350E7D"/>
    <w:rsid w:val="00353877"/>
    <w:rsid w:val="003547AB"/>
    <w:rsid w:val="00356554"/>
    <w:rsid w:val="003605A3"/>
    <w:rsid w:val="00360F97"/>
    <w:rsid w:val="00363C7E"/>
    <w:rsid w:val="003641A3"/>
    <w:rsid w:val="00370A60"/>
    <w:rsid w:val="00370E7E"/>
    <w:rsid w:val="00372975"/>
    <w:rsid w:val="003746C4"/>
    <w:rsid w:val="0037472A"/>
    <w:rsid w:val="00375481"/>
    <w:rsid w:val="00376FB8"/>
    <w:rsid w:val="003812BC"/>
    <w:rsid w:val="00386229"/>
    <w:rsid w:val="00387EF0"/>
    <w:rsid w:val="00392010"/>
    <w:rsid w:val="00392B63"/>
    <w:rsid w:val="00393E52"/>
    <w:rsid w:val="00395007"/>
    <w:rsid w:val="003A3E93"/>
    <w:rsid w:val="003A59A4"/>
    <w:rsid w:val="003A6C37"/>
    <w:rsid w:val="003B1DE4"/>
    <w:rsid w:val="003B1E8F"/>
    <w:rsid w:val="003B24E4"/>
    <w:rsid w:val="003B5F6A"/>
    <w:rsid w:val="003B6CE0"/>
    <w:rsid w:val="003C3301"/>
    <w:rsid w:val="003D1F71"/>
    <w:rsid w:val="003D5CDC"/>
    <w:rsid w:val="003E2730"/>
    <w:rsid w:val="003E5CBF"/>
    <w:rsid w:val="003E6274"/>
    <w:rsid w:val="003E72D5"/>
    <w:rsid w:val="003F067B"/>
    <w:rsid w:val="003F0B73"/>
    <w:rsid w:val="003F3A53"/>
    <w:rsid w:val="00401A02"/>
    <w:rsid w:val="004043E8"/>
    <w:rsid w:val="004054FE"/>
    <w:rsid w:val="004064AB"/>
    <w:rsid w:val="004073A3"/>
    <w:rsid w:val="00407C28"/>
    <w:rsid w:val="00407C3F"/>
    <w:rsid w:val="00410C84"/>
    <w:rsid w:val="00411BD3"/>
    <w:rsid w:val="00411E81"/>
    <w:rsid w:val="00412152"/>
    <w:rsid w:val="004131F5"/>
    <w:rsid w:val="004136FF"/>
    <w:rsid w:val="004152EC"/>
    <w:rsid w:val="0041564B"/>
    <w:rsid w:val="0042289C"/>
    <w:rsid w:val="004228B0"/>
    <w:rsid w:val="00422ED7"/>
    <w:rsid w:val="00424172"/>
    <w:rsid w:val="004250B4"/>
    <w:rsid w:val="00425700"/>
    <w:rsid w:val="004304B6"/>
    <w:rsid w:val="00431865"/>
    <w:rsid w:val="00431EB1"/>
    <w:rsid w:val="00434AA5"/>
    <w:rsid w:val="00434ACD"/>
    <w:rsid w:val="004362B3"/>
    <w:rsid w:val="00440DC1"/>
    <w:rsid w:val="00444C3F"/>
    <w:rsid w:val="0045102D"/>
    <w:rsid w:val="00451FDD"/>
    <w:rsid w:val="00452384"/>
    <w:rsid w:val="004531B3"/>
    <w:rsid w:val="00454483"/>
    <w:rsid w:val="00454AD7"/>
    <w:rsid w:val="0045539E"/>
    <w:rsid w:val="0045586A"/>
    <w:rsid w:val="0045770A"/>
    <w:rsid w:val="004613B7"/>
    <w:rsid w:val="00461A2B"/>
    <w:rsid w:val="00461F26"/>
    <w:rsid w:val="004623A6"/>
    <w:rsid w:val="0046243E"/>
    <w:rsid w:val="0046342D"/>
    <w:rsid w:val="004635C6"/>
    <w:rsid w:val="00466A39"/>
    <w:rsid w:val="00466E70"/>
    <w:rsid w:val="00467181"/>
    <w:rsid w:val="00467AC6"/>
    <w:rsid w:val="004767D3"/>
    <w:rsid w:val="00480B0E"/>
    <w:rsid w:val="00480DF8"/>
    <w:rsid w:val="00481663"/>
    <w:rsid w:val="0048191E"/>
    <w:rsid w:val="00482FD7"/>
    <w:rsid w:val="0048478D"/>
    <w:rsid w:val="0048502C"/>
    <w:rsid w:val="00485D09"/>
    <w:rsid w:val="00486BC2"/>
    <w:rsid w:val="0048752C"/>
    <w:rsid w:val="00490722"/>
    <w:rsid w:val="00491C6F"/>
    <w:rsid w:val="00492CB0"/>
    <w:rsid w:val="00492EC4"/>
    <w:rsid w:val="00494057"/>
    <w:rsid w:val="004942B3"/>
    <w:rsid w:val="004A3996"/>
    <w:rsid w:val="004A54CB"/>
    <w:rsid w:val="004A5759"/>
    <w:rsid w:val="004B018F"/>
    <w:rsid w:val="004B05D6"/>
    <w:rsid w:val="004B3085"/>
    <w:rsid w:val="004B6835"/>
    <w:rsid w:val="004C16A3"/>
    <w:rsid w:val="004C6026"/>
    <w:rsid w:val="004C643B"/>
    <w:rsid w:val="004D0313"/>
    <w:rsid w:val="004D1D94"/>
    <w:rsid w:val="004D201E"/>
    <w:rsid w:val="004D717E"/>
    <w:rsid w:val="004E11F3"/>
    <w:rsid w:val="004E39BD"/>
    <w:rsid w:val="004E4D3B"/>
    <w:rsid w:val="004F2EFE"/>
    <w:rsid w:val="004F3BEC"/>
    <w:rsid w:val="004F5ABE"/>
    <w:rsid w:val="004F6AB1"/>
    <w:rsid w:val="004F6D05"/>
    <w:rsid w:val="005045FB"/>
    <w:rsid w:val="00512474"/>
    <w:rsid w:val="0052420E"/>
    <w:rsid w:val="00527BCB"/>
    <w:rsid w:val="00530D4D"/>
    <w:rsid w:val="00532493"/>
    <w:rsid w:val="005343B4"/>
    <w:rsid w:val="0053775A"/>
    <w:rsid w:val="00537B30"/>
    <w:rsid w:val="00542100"/>
    <w:rsid w:val="0054214C"/>
    <w:rsid w:val="0054723E"/>
    <w:rsid w:val="005504FB"/>
    <w:rsid w:val="00553CD9"/>
    <w:rsid w:val="00554B44"/>
    <w:rsid w:val="00555E6A"/>
    <w:rsid w:val="00557229"/>
    <w:rsid w:val="00557811"/>
    <w:rsid w:val="00562AA0"/>
    <w:rsid w:val="00565DEB"/>
    <w:rsid w:val="005667B1"/>
    <w:rsid w:val="00571464"/>
    <w:rsid w:val="00572826"/>
    <w:rsid w:val="00573DD5"/>
    <w:rsid w:val="00574DA9"/>
    <w:rsid w:val="0057559D"/>
    <w:rsid w:val="005755C9"/>
    <w:rsid w:val="00581A7C"/>
    <w:rsid w:val="00583B04"/>
    <w:rsid w:val="00586972"/>
    <w:rsid w:val="00586E2F"/>
    <w:rsid w:val="00590238"/>
    <w:rsid w:val="005A5852"/>
    <w:rsid w:val="005A66D7"/>
    <w:rsid w:val="005B01AF"/>
    <w:rsid w:val="005B0D00"/>
    <w:rsid w:val="005B29BC"/>
    <w:rsid w:val="005B44EA"/>
    <w:rsid w:val="005B4851"/>
    <w:rsid w:val="005B52F2"/>
    <w:rsid w:val="005B7767"/>
    <w:rsid w:val="005C3BBF"/>
    <w:rsid w:val="005C4AA5"/>
    <w:rsid w:val="005D1C7A"/>
    <w:rsid w:val="005D321B"/>
    <w:rsid w:val="005D4997"/>
    <w:rsid w:val="005D5191"/>
    <w:rsid w:val="005D55CE"/>
    <w:rsid w:val="005D5EBD"/>
    <w:rsid w:val="005D6FDA"/>
    <w:rsid w:val="005D78F1"/>
    <w:rsid w:val="005E068C"/>
    <w:rsid w:val="005E0A75"/>
    <w:rsid w:val="005E2A24"/>
    <w:rsid w:val="005E38FC"/>
    <w:rsid w:val="005E3FA2"/>
    <w:rsid w:val="005E5521"/>
    <w:rsid w:val="005F4C7B"/>
    <w:rsid w:val="005F543A"/>
    <w:rsid w:val="005F5F09"/>
    <w:rsid w:val="00600CAD"/>
    <w:rsid w:val="00601DD2"/>
    <w:rsid w:val="00604212"/>
    <w:rsid w:val="00604B45"/>
    <w:rsid w:val="00606021"/>
    <w:rsid w:val="00607181"/>
    <w:rsid w:val="00611F5E"/>
    <w:rsid w:val="00612EA2"/>
    <w:rsid w:val="00613499"/>
    <w:rsid w:val="006138DE"/>
    <w:rsid w:val="006139B0"/>
    <w:rsid w:val="006173CE"/>
    <w:rsid w:val="00622E8D"/>
    <w:rsid w:val="00624746"/>
    <w:rsid w:val="00626D51"/>
    <w:rsid w:val="006311EA"/>
    <w:rsid w:val="00632AA7"/>
    <w:rsid w:val="0064245E"/>
    <w:rsid w:val="00642864"/>
    <w:rsid w:val="0064371B"/>
    <w:rsid w:val="00645B64"/>
    <w:rsid w:val="00647985"/>
    <w:rsid w:val="00647D56"/>
    <w:rsid w:val="0065138D"/>
    <w:rsid w:val="00652102"/>
    <w:rsid w:val="006555A5"/>
    <w:rsid w:val="00655C5F"/>
    <w:rsid w:val="00657295"/>
    <w:rsid w:val="00657AFA"/>
    <w:rsid w:val="00657C4E"/>
    <w:rsid w:val="006656DC"/>
    <w:rsid w:val="00665CA8"/>
    <w:rsid w:val="00665FFC"/>
    <w:rsid w:val="00670D84"/>
    <w:rsid w:val="00671F07"/>
    <w:rsid w:val="00672017"/>
    <w:rsid w:val="0067261C"/>
    <w:rsid w:val="00682FC3"/>
    <w:rsid w:val="006877A4"/>
    <w:rsid w:val="0069125E"/>
    <w:rsid w:val="00691669"/>
    <w:rsid w:val="00694C45"/>
    <w:rsid w:val="0069702D"/>
    <w:rsid w:val="006A311C"/>
    <w:rsid w:val="006A501B"/>
    <w:rsid w:val="006A7308"/>
    <w:rsid w:val="006B7265"/>
    <w:rsid w:val="006C3476"/>
    <w:rsid w:val="006C400C"/>
    <w:rsid w:val="006C56A8"/>
    <w:rsid w:val="006C7292"/>
    <w:rsid w:val="006D02E5"/>
    <w:rsid w:val="006D4CE0"/>
    <w:rsid w:val="006D5C51"/>
    <w:rsid w:val="006D7A0E"/>
    <w:rsid w:val="006E01F5"/>
    <w:rsid w:val="006E2A0C"/>
    <w:rsid w:val="006E2FC7"/>
    <w:rsid w:val="006E497E"/>
    <w:rsid w:val="006F2E72"/>
    <w:rsid w:val="006F336E"/>
    <w:rsid w:val="006F510D"/>
    <w:rsid w:val="006F5864"/>
    <w:rsid w:val="00703319"/>
    <w:rsid w:val="00703479"/>
    <w:rsid w:val="00706E60"/>
    <w:rsid w:val="0071130F"/>
    <w:rsid w:val="0071787A"/>
    <w:rsid w:val="007227AA"/>
    <w:rsid w:val="00722EC4"/>
    <w:rsid w:val="00722F32"/>
    <w:rsid w:val="0072312D"/>
    <w:rsid w:val="00723720"/>
    <w:rsid w:val="007239C4"/>
    <w:rsid w:val="00725AE5"/>
    <w:rsid w:val="00726F00"/>
    <w:rsid w:val="00731435"/>
    <w:rsid w:val="00731623"/>
    <w:rsid w:val="00731907"/>
    <w:rsid w:val="00732907"/>
    <w:rsid w:val="007355EF"/>
    <w:rsid w:val="0073798F"/>
    <w:rsid w:val="00737B63"/>
    <w:rsid w:val="00737F7B"/>
    <w:rsid w:val="00742D30"/>
    <w:rsid w:val="00745798"/>
    <w:rsid w:val="00747759"/>
    <w:rsid w:val="007504DD"/>
    <w:rsid w:val="00754EA9"/>
    <w:rsid w:val="00755395"/>
    <w:rsid w:val="00757753"/>
    <w:rsid w:val="0076030A"/>
    <w:rsid w:val="007618A5"/>
    <w:rsid w:val="007623D0"/>
    <w:rsid w:val="0076653A"/>
    <w:rsid w:val="00766849"/>
    <w:rsid w:val="00775BBA"/>
    <w:rsid w:val="00776D2A"/>
    <w:rsid w:val="00781499"/>
    <w:rsid w:val="007823FC"/>
    <w:rsid w:val="00784843"/>
    <w:rsid w:val="00786171"/>
    <w:rsid w:val="007901FC"/>
    <w:rsid w:val="00792ACE"/>
    <w:rsid w:val="007934E2"/>
    <w:rsid w:val="00795CC3"/>
    <w:rsid w:val="007972E7"/>
    <w:rsid w:val="007A03C9"/>
    <w:rsid w:val="007A1A11"/>
    <w:rsid w:val="007A3742"/>
    <w:rsid w:val="007A7A8D"/>
    <w:rsid w:val="007B1F4B"/>
    <w:rsid w:val="007B43D9"/>
    <w:rsid w:val="007B5246"/>
    <w:rsid w:val="007B724F"/>
    <w:rsid w:val="007C2872"/>
    <w:rsid w:val="007C498E"/>
    <w:rsid w:val="007D0D53"/>
    <w:rsid w:val="007D3660"/>
    <w:rsid w:val="007E5A65"/>
    <w:rsid w:val="007F0E96"/>
    <w:rsid w:val="007F57E0"/>
    <w:rsid w:val="007F6D52"/>
    <w:rsid w:val="008026F0"/>
    <w:rsid w:val="0080367C"/>
    <w:rsid w:val="00804D35"/>
    <w:rsid w:val="008072C7"/>
    <w:rsid w:val="0080741D"/>
    <w:rsid w:val="00807B80"/>
    <w:rsid w:val="0081160F"/>
    <w:rsid w:val="00811FE2"/>
    <w:rsid w:val="00812B3F"/>
    <w:rsid w:val="00816863"/>
    <w:rsid w:val="00823445"/>
    <w:rsid w:val="008273E3"/>
    <w:rsid w:val="00832408"/>
    <w:rsid w:val="00832751"/>
    <w:rsid w:val="00832894"/>
    <w:rsid w:val="00832EB2"/>
    <w:rsid w:val="0083306E"/>
    <w:rsid w:val="008341C8"/>
    <w:rsid w:val="0084089A"/>
    <w:rsid w:val="008416D6"/>
    <w:rsid w:val="0084557C"/>
    <w:rsid w:val="0085016E"/>
    <w:rsid w:val="00852683"/>
    <w:rsid w:val="00852A5C"/>
    <w:rsid w:val="00854662"/>
    <w:rsid w:val="0085641C"/>
    <w:rsid w:val="00861B13"/>
    <w:rsid w:val="008626EC"/>
    <w:rsid w:val="00863880"/>
    <w:rsid w:val="0086408F"/>
    <w:rsid w:val="00864429"/>
    <w:rsid w:val="00867CF5"/>
    <w:rsid w:val="00867D8A"/>
    <w:rsid w:val="00870CA7"/>
    <w:rsid w:val="00871EF0"/>
    <w:rsid w:val="00872198"/>
    <w:rsid w:val="008732DF"/>
    <w:rsid w:val="00874F1A"/>
    <w:rsid w:val="008771B0"/>
    <w:rsid w:val="0088234C"/>
    <w:rsid w:val="00883726"/>
    <w:rsid w:val="0088497E"/>
    <w:rsid w:val="008906D7"/>
    <w:rsid w:val="00894003"/>
    <w:rsid w:val="00894861"/>
    <w:rsid w:val="008955F8"/>
    <w:rsid w:val="00896178"/>
    <w:rsid w:val="008B0C35"/>
    <w:rsid w:val="008C5CB9"/>
    <w:rsid w:val="008C622D"/>
    <w:rsid w:val="008C6992"/>
    <w:rsid w:val="008D0A66"/>
    <w:rsid w:val="008D1339"/>
    <w:rsid w:val="008D66DA"/>
    <w:rsid w:val="008D789D"/>
    <w:rsid w:val="008E03D8"/>
    <w:rsid w:val="008E5989"/>
    <w:rsid w:val="008F52C9"/>
    <w:rsid w:val="008F60E9"/>
    <w:rsid w:val="0090139D"/>
    <w:rsid w:val="0090411E"/>
    <w:rsid w:val="00904F4B"/>
    <w:rsid w:val="0090752A"/>
    <w:rsid w:val="0091432E"/>
    <w:rsid w:val="009146DA"/>
    <w:rsid w:val="00915238"/>
    <w:rsid w:val="009165B4"/>
    <w:rsid w:val="0093229C"/>
    <w:rsid w:val="0093404A"/>
    <w:rsid w:val="00934C46"/>
    <w:rsid w:val="00935D9D"/>
    <w:rsid w:val="0094385D"/>
    <w:rsid w:val="00946D9A"/>
    <w:rsid w:val="00954F34"/>
    <w:rsid w:val="009552DF"/>
    <w:rsid w:val="0095547F"/>
    <w:rsid w:val="0095704C"/>
    <w:rsid w:val="009619D9"/>
    <w:rsid w:val="00962418"/>
    <w:rsid w:val="0096272D"/>
    <w:rsid w:val="00963640"/>
    <w:rsid w:val="00965DA4"/>
    <w:rsid w:val="009661F6"/>
    <w:rsid w:val="00966D8E"/>
    <w:rsid w:val="00970B34"/>
    <w:rsid w:val="00971420"/>
    <w:rsid w:val="00973B83"/>
    <w:rsid w:val="00974687"/>
    <w:rsid w:val="0097658A"/>
    <w:rsid w:val="00982B5F"/>
    <w:rsid w:val="0098458D"/>
    <w:rsid w:val="00985E79"/>
    <w:rsid w:val="00986760"/>
    <w:rsid w:val="009919D7"/>
    <w:rsid w:val="0099280E"/>
    <w:rsid w:val="009A1DEC"/>
    <w:rsid w:val="009A273E"/>
    <w:rsid w:val="009A41BC"/>
    <w:rsid w:val="009B1495"/>
    <w:rsid w:val="009B1604"/>
    <w:rsid w:val="009B4DF0"/>
    <w:rsid w:val="009B7431"/>
    <w:rsid w:val="009B798D"/>
    <w:rsid w:val="009B7DB1"/>
    <w:rsid w:val="009C285F"/>
    <w:rsid w:val="009C57CF"/>
    <w:rsid w:val="009D0E15"/>
    <w:rsid w:val="009D2977"/>
    <w:rsid w:val="009D4EF0"/>
    <w:rsid w:val="009D6E41"/>
    <w:rsid w:val="009D6F3A"/>
    <w:rsid w:val="009E09B7"/>
    <w:rsid w:val="009E1882"/>
    <w:rsid w:val="009E36D5"/>
    <w:rsid w:val="009E423A"/>
    <w:rsid w:val="009E4330"/>
    <w:rsid w:val="009E4863"/>
    <w:rsid w:val="009E4C05"/>
    <w:rsid w:val="009F3AFC"/>
    <w:rsid w:val="009F62CF"/>
    <w:rsid w:val="009F6EE4"/>
    <w:rsid w:val="00A00E2E"/>
    <w:rsid w:val="00A01352"/>
    <w:rsid w:val="00A0332C"/>
    <w:rsid w:val="00A034F5"/>
    <w:rsid w:val="00A03567"/>
    <w:rsid w:val="00A0366C"/>
    <w:rsid w:val="00A06A13"/>
    <w:rsid w:val="00A07744"/>
    <w:rsid w:val="00A10942"/>
    <w:rsid w:val="00A122C6"/>
    <w:rsid w:val="00A12A0C"/>
    <w:rsid w:val="00A135F9"/>
    <w:rsid w:val="00A15F4E"/>
    <w:rsid w:val="00A1643B"/>
    <w:rsid w:val="00A301ED"/>
    <w:rsid w:val="00A3229B"/>
    <w:rsid w:val="00A33164"/>
    <w:rsid w:val="00A34E87"/>
    <w:rsid w:val="00A44455"/>
    <w:rsid w:val="00A44DE8"/>
    <w:rsid w:val="00A54AB9"/>
    <w:rsid w:val="00A569BB"/>
    <w:rsid w:val="00A57531"/>
    <w:rsid w:val="00A633C4"/>
    <w:rsid w:val="00A64413"/>
    <w:rsid w:val="00A76265"/>
    <w:rsid w:val="00A7778E"/>
    <w:rsid w:val="00A819D3"/>
    <w:rsid w:val="00A83837"/>
    <w:rsid w:val="00A85ECD"/>
    <w:rsid w:val="00A86007"/>
    <w:rsid w:val="00A9180C"/>
    <w:rsid w:val="00A9531F"/>
    <w:rsid w:val="00AA0FB4"/>
    <w:rsid w:val="00AA124C"/>
    <w:rsid w:val="00AA368B"/>
    <w:rsid w:val="00AA73A4"/>
    <w:rsid w:val="00AB068D"/>
    <w:rsid w:val="00AB5C72"/>
    <w:rsid w:val="00AC2792"/>
    <w:rsid w:val="00AC61A4"/>
    <w:rsid w:val="00AC649C"/>
    <w:rsid w:val="00AC7690"/>
    <w:rsid w:val="00AC7A22"/>
    <w:rsid w:val="00AD2AC9"/>
    <w:rsid w:val="00AD3C04"/>
    <w:rsid w:val="00AD4AF5"/>
    <w:rsid w:val="00AD5337"/>
    <w:rsid w:val="00AD5C10"/>
    <w:rsid w:val="00AD69BE"/>
    <w:rsid w:val="00AE0D18"/>
    <w:rsid w:val="00AF2159"/>
    <w:rsid w:val="00AF24C0"/>
    <w:rsid w:val="00AF6360"/>
    <w:rsid w:val="00B0551F"/>
    <w:rsid w:val="00B1077B"/>
    <w:rsid w:val="00B10C63"/>
    <w:rsid w:val="00B1184D"/>
    <w:rsid w:val="00B1413F"/>
    <w:rsid w:val="00B15CE0"/>
    <w:rsid w:val="00B172EC"/>
    <w:rsid w:val="00B25D39"/>
    <w:rsid w:val="00B31A54"/>
    <w:rsid w:val="00B3675F"/>
    <w:rsid w:val="00B40CB8"/>
    <w:rsid w:val="00B52758"/>
    <w:rsid w:val="00B6109F"/>
    <w:rsid w:val="00B621ED"/>
    <w:rsid w:val="00B67EA3"/>
    <w:rsid w:val="00B70645"/>
    <w:rsid w:val="00B71B41"/>
    <w:rsid w:val="00B71E3C"/>
    <w:rsid w:val="00B737A4"/>
    <w:rsid w:val="00B7448C"/>
    <w:rsid w:val="00B75678"/>
    <w:rsid w:val="00B8210A"/>
    <w:rsid w:val="00B825F8"/>
    <w:rsid w:val="00B8488F"/>
    <w:rsid w:val="00B85EAE"/>
    <w:rsid w:val="00B878FE"/>
    <w:rsid w:val="00B91B9D"/>
    <w:rsid w:val="00B952B4"/>
    <w:rsid w:val="00B95FDD"/>
    <w:rsid w:val="00BA0D22"/>
    <w:rsid w:val="00BA1031"/>
    <w:rsid w:val="00BA4655"/>
    <w:rsid w:val="00BA5FBE"/>
    <w:rsid w:val="00BB13F5"/>
    <w:rsid w:val="00BB224B"/>
    <w:rsid w:val="00BB27D8"/>
    <w:rsid w:val="00BB2AD5"/>
    <w:rsid w:val="00BB2DE6"/>
    <w:rsid w:val="00BB337D"/>
    <w:rsid w:val="00BB7BA7"/>
    <w:rsid w:val="00BC03A0"/>
    <w:rsid w:val="00BC561B"/>
    <w:rsid w:val="00BC7C73"/>
    <w:rsid w:val="00BC7F70"/>
    <w:rsid w:val="00BD0608"/>
    <w:rsid w:val="00BD0791"/>
    <w:rsid w:val="00BD115C"/>
    <w:rsid w:val="00BD72EC"/>
    <w:rsid w:val="00BE0FBF"/>
    <w:rsid w:val="00BE4E10"/>
    <w:rsid w:val="00BE6CBC"/>
    <w:rsid w:val="00BE6CF1"/>
    <w:rsid w:val="00BE7368"/>
    <w:rsid w:val="00BF46EE"/>
    <w:rsid w:val="00BF6E37"/>
    <w:rsid w:val="00BF7093"/>
    <w:rsid w:val="00C0113F"/>
    <w:rsid w:val="00C0115E"/>
    <w:rsid w:val="00C03820"/>
    <w:rsid w:val="00C04B6C"/>
    <w:rsid w:val="00C062E7"/>
    <w:rsid w:val="00C06798"/>
    <w:rsid w:val="00C06833"/>
    <w:rsid w:val="00C06C24"/>
    <w:rsid w:val="00C11F15"/>
    <w:rsid w:val="00C1248C"/>
    <w:rsid w:val="00C12EBB"/>
    <w:rsid w:val="00C14044"/>
    <w:rsid w:val="00C14371"/>
    <w:rsid w:val="00C201AB"/>
    <w:rsid w:val="00C208E4"/>
    <w:rsid w:val="00C22809"/>
    <w:rsid w:val="00C23BDC"/>
    <w:rsid w:val="00C23C28"/>
    <w:rsid w:val="00C23F82"/>
    <w:rsid w:val="00C24278"/>
    <w:rsid w:val="00C24CFF"/>
    <w:rsid w:val="00C24F48"/>
    <w:rsid w:val="00C2602E"/>
    <w:rsid w:val="00C2698E"/>
    <w:rsid w:val="00C32ABF"/>
    <w:rsid w:val="00C34D89"/>
    <w:rsid w:val="00C37474"/>
    <w:rsid w:val="00C4303C"/>
    <w:rsid w:val="00C43178"/>
    <w:rsid w:val="00C4334A"/>
    <w:rsid w:val="00C44DDB"/>
    <w:rsid w:val="00C45F43"/>
    <w:rsid w:val="00C477B8"/>
    <w:rsid w:val="00C479DB"/>
    <w:rsid w:val="00C524B9"/>
    <w:rsid w:val="00C55FDC"/>
    <w:rsid w:val="00C579EA"/>
    <w:rsid w:val="00C6036B"/>
    <w:rsid w:val="00C657DC"/>
    <w:rsid w:val="00C7283E"/>
    <w:rsid w:val="00C73962"/>
    <w:rsid w:val="00C74A6A"/>
    <w:rsid w:val="00C75874"/>
    <w:rsid w:val="00C75E2D"/>
    <w:rsid w:val="00C8168F"/>
    <w:rsid w:val="00C82764"/>
    <w:rsid w:val="00C84749"/>
    <w:rsid w:val="00C917EC"/>
    <w:rsid w:val="00C9481E"/>
    <w:rsid w:val="00C97562"/>
    <w:rsid w:val="00CA67A9"/>
    <w:rsid w:val="00CB0778"/>
    <w:rsid w:val="00CB3EB0"/>
    <w:rsid w:val="00CB4B56"/>
    <w:rsid w:val="00CB555E"/>
    <w:rsid w:val="00CC0CAD"/>
    <w:rsid w:val="00CC2A14"/>
    <w:rsid w:val="00CC4742"/>
    <w:rsid w:val="00CD23BD"/>
    <w:rsid w:val="00CD2959"/>
    <w:rsid w:val="00CD5700"/>
    <w:rsid w:val="00CD5C53"/>
    <w:rsid w:val="00CD6468"/>
    <w:rsid w:val="00CD77EA"/>
    <w:rsid w:val="00CE168B"/>
    <w:rsid w:val="00CE2BA8"/>
    <w:rsid w:val="00CE4E6A"/>
    <w:rsid w:val="00CE5D97"/>
    <w:rsid w:val="00CE64C2"/>
    <w:rsid w:val="00CF04EE"/>
    <w:rsid w:val="00CF1E7C"/>
    <w:rsid w:val="00CF677F"/>
    <w:rsid w:val="00CF6ED7"/>
    <w:rsid w:val="00D00668"/>
    <w:rsid w:val="00D01EDC"/>
    <w:rsid w:val="00D154C8"/>
    <w:rsid w:val="00D21221"/>
    <w:rsid w:val="00D22FB9"/>
    <w:rsid w:val="00D249AE"/>
    <w:rsid w:val="00D27A6F"/>
    <w:rsid w:val="00D30009"/>
    <w:rsid w:val="00D32D1F"/>
    <w:rsid w:val="00D334D7"/>
    <w:rsid w:val="00D336BC"/>
    <w:rsid w:val="00D35CEF"/>
    <w:rsid w:val="00D4012D"/>
    <w:rsid w:val="00D40DD1"/>
    <w:rsid w:val="00D41A59"/>
    <w:rsid w:val="00D45452"/>
    <w:rsid w:val="00D45495"/>
    <w:rsid w:val="00D45622"/>
    <w:rsid w:val="00D50477"/>
    <w:rsid w:val="00D52FD1"/>
    <w:rsid w:val="00D54034"/>
    <w:rsid w:val="00D557D8"/>
    <w:rsid w:val="00D576FD"/>
    <w:rsid w:val="00D57C1E"/>
    <w:rsid w:val="00D60790"/>
    <w:rsid w:val="00D61143"/>
    <w:rsid w:val="00D62410"/>
    <w:rsid w:val="00D6314F"/>
    <w:rsid w:val="00D63A5C"/>
    <w:rsid w:val="00D656DC"/>
    <w:rsid w:val="00D65EE9"/>
    <w:rsid w:val="00D724FA"/>
    <w:rsid w:val="00D734BB"/>
    <w:rsid w:val="00D7589F"/>
    <w:rsid w:val="00D76DA0"/>
    <w:rsid w:val="00D85D56"/>
    <w:rsid w:val="00D86397"/>
    <w:rsid w:val="00D945F9"/>
    <w:rsid w:val="00D97CDB"/>
    <w:rsid w:val="00DA2B37"/>
    <w:rsid w:val="00DA2BB0"/>
    <w:rsid w:val="00DA4CEA"/>
    <w:rsid w:val="00DA5210"/>
    <w:rsid w:val="00DA5879"/>
    <w:rsid w:val="00DB1415"/>
    <w:rsid w:val="00DB729E"/>
    <w:rsid w:val="00DC3D9F"/>
    <w:rsid w:val="00DC6D1F"/>
    <w:rsid w:val="00DD0EBC"/>
    <w:rsid w:val="00DD156C"/>
    <w:rsid w:val="00DD3C15"/>
    <w:rsid w:val="00DD432D"/>
    <w:rsid w:val="00DD4F75"/>
    <w:rsid w:val="00DD5D01"/>
    <w:rsid w:val="00DE79A2"/>
    <w:rsid w:val="00DF290E"/>
    <w:rsid w:val="00DF4502"/>
    <w:rsid w:val="00DF5CAF"/>
    <w:rsid w:val="00DF6FD9"/>
    <w:rsid w:val="00DF784D"/>
    <w:rsid w:val="00DF7F11"/>
    <w:rsid w:val="00E01FE5"/>
    <w:rsid w:val="00E03B6C"/>
    <w:rsid w:val="00E04A53"/>
    <w:rsid w:val="00E13FC2"/>
    <w:rsid w:val="00E14129"/>
    <w:rsid w:val="00E14C0E"/>
    <w:rsid w:val="00E1590F"/>
    <w:rsid w:val="00E17452"/>
    <w:rsid w:val="00E200B2"/>
    <w:rsid w:val="00E225DE"/>
    <w:rsid w:val="00E23492"/>
    <w:rsid w:val="00E26F8D"/>
    <w:rsid w:val="00E30154"/>
    <w:rsid w:val="00E328A0"/>
    <w:rsid w:val="00E36517"/>
    <w:rsid w:val="00E40376"/>
    <w:rsid w:val="00E4095C"/>
    <w:rsid w:val="00E42979"/>
    <w:rsid w:val="00E45D18"/>
    <w:rsid w:val="00E4613C"/>
    <w:rsid w:val="00E47457"/>
    <w:rsid w:val="00E47A2A"/>
    <w:rsid w:val="00E5289B"/>
    <w:rsid w:val="00E53F80"/>
    <w:rsid w:val="00E6085C"/>
    <w:rsid w:val="00E60E2B"/>
    <w:rsid w:val="00E6277C"/>
    <w:rsid w:val="00E71455"/>
    <w:rsid w:val="00E72173"/>
    <w:rsid w:val="00E722FA"/>
    <w:rsid w:val="00E80014"/>
    <w:rsid w:val="00E811C3"/>
    <w:rsid w:val="00E866D9"/>
    <w:rsid w:val="00E87E2F"/>
    <w:rsid w:val="00E90FA7"/>
    <w:rsid w:val="00E91568"/>
    <w:rsid w:val="00E91A0D"/>
    <w:rsid w:val="00E938E9"/>
    <w:rsid w:val="00E94F7F"/>
    <w:rsid w:val="00E95993"/>
    <w:rsid w:val="00EA5BD1"/>
    <w:rsid w:val="00EB0055"/>
    <w:rsid w:val="00EB0066"/>
    <w:rsid w:val="00EB1BD3"/>
    <w:rsid w:val="00EB368E"/>
    <w:rsid w:val="00EB5A9D"/>
    <w:rsid w:val="00EC2BA6"/>
    <w:rsid w:val="00EC4BEB"/>
    <w:rsid w:val="00EC5B92"/>
    <w:rsid w:val="00EC7F9C"/>
    <w:rsid w:val="00ED0A3F"/>
    <w:rsid w:val="00ED3312"/>
    <w:rsid w:val="00ED4243"/>
    <w:rsid w:val="00ED49AC"/>
    <w:rsid w:val="00ED52BF"/>
    <w:rsid w:val="00EE34AE"/>
    <w:rsid w:val="00EE3CED"/>
    <w:rsid w:val="00EE77E9"/>
    <w:rsid w:val="00EF67EC"/>
    <w:rsid w:val="00EF6B68"/>
    <w:rsid w:val="00F008B9"/>
    <w:rsid w:val="00F02D00"/>
    <w:rsid w:val="00F06B64"/>
    <w:rsid w:val="00F07EE6"/>
    <w:rsid w:val="00F10617"/>
    <w:rsid w:val="00F13DD3"/>
    <w:rsid w:val="00F16D8C"/>
    <w:rsid w:val="00F23A18"/>
    <w:rsid w:val="00F24CC1"/>
    <w:rsid w:val="00F25390"/>
    <w:rsid w:val="00F26D71"/>
    <w:rsid w:val="00F314BF"/>
    <w:rsid w:val="00F31BEA"/>
    <w:rsid w:val="00F3336C"/>
    <w:rsid w:val="00F34867"/>
    <w:rsid w:val="00F34FE9"/>
    <w:rsid w:val="00F404D5"/>
    <w:rsid w:val="00F438FE"/>
    <w:rsid w:val="00F46DB0"/>
    <w:rsid w:val="00F52835"/>
    <w:rsid w:val="00F5294B"/>
    <w:rsid w:val="00F52D2B"/>
    <w:rsid w:val="00F6054E"/>
    <w:rsid w:val="00F623D3"/>
    <w:rsid w:val="00F63277"/>
    <w:rsid w:val="00F63F36"/>
    <w:rsid w:val="00F6482E"/>
    <w:rsid w:val="00F66E68"/>
    <w:rsid w:val="00F70E53"/>
    <w:rsid w:val="00F73395"/>
    <w:rsid w:val="00F77EE8"/>
    <w:rsid w:val="00F8241C"/>
    <w:rsid w:val="00F855FB"/>
    <w:rsid w:val="00F90291"/>
    <w:rsid w:val="00F903CB"/>
    <w:rsid w:val="00F93266"/>
    <w:rsid w:val="00F940B8"/>
    <w:rsid w:val="00F957C2"/>
    <w:rsid w:val="00F95ECE"/>
    <w:rsid w:val="00F97245"/>
    <w:rsid w:val="00FA03BE"/>
    <w:rsid w:val="00FA4DFA"/>
    <w:rsid w:val="00FA6686"/>
    <w:rsid w:val="00FA6C1D"/>
    <w:rsid w:val="00FA709B"/>
    <w:rsid w:val="00FB2321"/>
    <w:rsid w:val="00FB5725"/>
    <w:rsid w:val="00FB577D"/>
    <w:rsid w:val="00FB70DD"/>
    <w:rsid w:val="00FB781A"/>
    <w:rsid w:val="00FC074C"/>
    <w:rsid w:val="00FC0DE9"/>
    <w:rsid w:val="00FC750C"/>
    <w:rsid w:val="00FC7DD6"/>
    <w:rsid w:val="00FD00A2"/>
    <w:rsid w:val="00FD1052"/>
    <w:rsid w:val="00FD1400"/>
    <w:rsid w:val="00FD240B"/>
    <w:rsid w:val="00FD34A9"/>
    <w:rsid w:val="00FD6ECB"/>
    <w:rsid w:val="00FD7488"/>
    <w:rsid w:val="00FE0771"/>
    <w:rsid w:val="00FE2B19"/>
    <w:rsid w:val="00FE32C5"/>
    <w:rsid w:val="00FE4749"/>
    <w:rsid w:val="00FE5FA7"/>
    <w:rsid w:val="00FF45C4"/>
    <w:rsid w:val="00FF7C2F"/>
    <w:rsid w:val="00FF7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659FA"/>
  <w15:chartTrackingRefBased/>
  <w15:docId w15:val="{833DB580-BCE8-4DB2-A241-88AD1B62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0D9E"/>
    <w:rPr>
      <w:rFonts w:ascii="Times New Roman" w:hAnsi="Times New Roman" w:cs="Times New Roman"/>
      <w:sz w:val="24"/>
      <w:szCs w:val="24"/>
    </w:rPr>
  </w:style>
  <w:style w:type="character" w:customStyle="1" w:styleId="css-0">
    <w:name w:val="css-0"/>
    <w:basedOn w:val="DefaultParagraphFont"/>
    <w:rsid w:val="004D201E"/>
  </w:style>
  <w:style w:type="character" w:customStyle="1" w:styleId="css-rh820s">
    <w:name w:val="css-rh820s"/>
    <w:basedOn w:val="DefaultParagraphFont"/>
    <w:rsid w:val="004D201E"/>
  </w:style>
  <w:style w:type="character" w:customStyle="1" w:styleId="css-15iwe0d">
    <w:name w:val="css-15iwe0d"/>
    <w:basedOn w:val="DefaultParagraphFont"/>
    <w:rsid w:val="004D201E"/>
  </w:style>
  <w:style w:type="character" w:customStyle="1" w:styleId="css-2yp7ui">
    <w:name w:val="css-2yp7ui"/>
    <w:basedOn w:val="DefaultParagraphFont"/>
    <w:rsid w:val="004D201E"/>
  </w:style>
  <w:style w:type="character" w:customStyle="1" w:styleId="css-1ber87j">
    <w:name w:val="css-1ber87j"/>
    <w:basedOn w:val="DefaultParagraphFont"/>
    <w:rsid w:val="004D201E"/>
  </w:style>
  <w:style w:type="character" w:customStyle="1" w:styleId="css-1eh0vfs">
    <w:name w:val="css-1eh0vfs"/>
    <w:basedOn w:val="DefaultParagraphFont"/>
    <w:rsid w:val="004D201E"/>
  </w:style>
  <w:style w:type="character" w:styleId="Hyperlink">
    <w:name w:val="Hyperlink"/>
    <w:basedOn w:val="DefaultParagraphFont"/>
    <w:uiPriority w:val="99"/>
    <w:unhideWhenUsed/>
    <w:rsid w:val="002761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18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lus-lexis-com.ezproxy.uwtsd.ac.uk/api/document/collection/cases-uk/id/4PN7-WVP0-TXX5-50KX-00000-00?cite=R%20v%20Liverpool%20Crown%20Court%20ex%20%20%20parte%20Bray%2C%20%5B1986%5D%20Lexis%20Citation%20480&amp;context=100107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10098</TotalTime>
  <Pages>5</Pages>
  <Words>1890</Words>
  <Characters>10775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Dragostinova</dc:creator>
  <cp:keywords/>
  <dc:description/>
  <cp:lastModifiedBy>Ralitsa Dragostinova</cp:lastModifiedBy>
  <cp:revision>1027</cp:revision>
  <dcterms:created xsi:type="dcterms:W3CDTF">2023-07-19T06:02:00Z</dcterms:created>
  <dcterms:modified xsi:type="dcterms:W3CDTF">2023-07-29T16:43:00Z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e35d32db7dc60466daf2218ca608f8937462f23ddf2a061a1c7b630b592427ab</vt:lpwstr>
  </property>
</Properties>
</file>