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CB724" w14:textId="161DF789" w:rsidR="006246CE" w:rsidRPr="006246CE" w:rsidRDefault="006246CE" w:rsidP="002D29E6">
      <w:pPr>
        <w:spacing w:line="360" w:lineRule="auto"/>
        <w:jc w:val="center"/>
        <w:rPr>
          <w:rStyle w:val="BookTitle"/>
          <w:rFonts w:ascii="Arial" w:hAnsi="Arial" w:cs="Arial"/>
          <w:i w:val="0"/>
          <w:iCs w:val="0"/>
          <w:spacing w:val="0"/>
        </w:rPr>
      </w:pPr>
      <w:r>
        <w:rPr>
          <w:rStyle w:val="BookTitle"/>
          <w:noProof/>
        </w:rPr>
        <w:drawing>
          <wp:anchor distT="0" distB="0" distL="114300" distR="114300" simplePos="0" relativeHeight="251659264" behindDoc="1" locked="0" layoutInCell="1" allowOverlap="1" wp14:anchorId="2DCC040F" wp14:editId="2B833CD4">
            <wp:simplePos x="0" y="0"/>
            <wp:positionH relativeFrom="margin">
              <wp:align>center</wp:align>
            </wp:positionH>
            <wp:positionV relativeFrom="paragraph">
              <wp:posOffset>83820</wp:posOffset>
            </wp:positionV>
            <wp:extent cx="3345180" cy="1229995"/>
            <wp:effectExtent l="0" t="0" r="7620" b="8255"/>
            <wp:wrapTopAndBottom/>
            <wp:docPr id="15346046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5180" cy="1229995"/>
                    </a:xfrm>
                    <a:prstGeom prst="rect">
                      <a:avLst/>
                    </a:prstGeom>
                    <a:noFill/>
                  </pic:spPr>
                </pic:pic>
              </a:graphicData>
            </a:graphic>
            <wp14:sizeRelH relativeFrom="margin">
              <wp14:pctWidth>0</wp14:pctWidth>
            </wp14:sizeRelH>
            <wp14:sizeRelV relativeFrom="margin">
              <wp14:pctHeight>0</wp14:pctHeight>
            </wp14:sizeRelV>
          </wp:anchor>
        </w:drawing>
      </w:r>
      <w:r w:rsidRPr="006246CE">
        <w:rPr>
          <w:rStyle w:val="BookTitle"/>
          <w:rFonts w:ascii="Arial" w:hAnsi="Arial" w:cs="Arial"/>
          <w:i w:val="0"/>
          <w:iCs w:val="0"/>
        </w:rPr>
        <w:t>Programme Name: - Master of Business Administration</w:t>
      </w:r>
    </w:p>
    <w:p w14:paraId="0A2AA949" w14:textId="2527F9A4"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Module Name: - Financial Management</w:t>
      </w:r>
    </w:p>
    <w:p w14:paraId="21AD1AC1" w14:textId="678E29BC"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Module Code: - LCMB7002</w:t>
      </w:r>
    </w:p>
    <w:p w14:paraId="365280A5" w14:textId="77777777" w:rsidR="006246CE" w:rsidRDefault="006246CE" w:rsidP="002D29E6">
      <w:pPr>
        <w:spacing w:line="360" w:lineRule="auto"/>
        <w:jc w:val="center"/>
        <w:rPr>
          <w:rStyle w:val="BookTitle"/>
          <w:rFonts w:ascii="Arial" w:hAnsi="Arial" w:cs="Arial"/>
          <w:i w:val="0"/>
          <w:iCs w:val="0"/>
          <w:spacing w:val="0"/>
        </w:rPr>
      </w:pPr>
      <w:r w:rsidRPr="006246CE">
        <w:rPr>
          <w:rStyle w:val="BookTitle"/>
          <w:rFonts w:ascii="Arial" w:hAnsi="Arial" w:cs="Arial"/>
          <w:i w:val="0"/>
          <w:iCs w:val="0"/>
        </w:rPr>
        <w:t xml:space="preserve">Assignment Title: - </w:t>
      </w:r>
      <w:r w:rsidRPr="006246CE">
        <w:rPr>
          <w:rFonts w:ascii="Arial" w:hAnsi="Arial" w:cs="Arial"/>
          <w:b/>
          <w:bCs/>
        </w:rPr>
        <w:t>Strategic CFO Challenge: Saving a Failing Global Firm – General Electronics</w:t>
      </w:r>
    </w:p>
    <w:p w14:paraId="4EC5E82D" w14:textId="4FCE3EF8" w:rsidR="006246CE" w:rsidRPr="006246CE" w:rsidRDefault="006246CE" w:rsidP="002D29E6">
      <w:pPr>
        <w:spacing w:line="360" w:lineRule="auto"/>
        <w:jc w:val="center"/>
        <w:rPr>
          <w:rStyle w:val="BookTitle"/>
          <w:rFonts w:ascii="Arial" w:hAnsi="Arial" w:cs="Arial"/>
          <w:i w:val="0"/>
          <w:iCs w:val="0"/>
          <w:spacing w:val="0"/>
        </w:rPr>
      </w:pPr>
      <w:r w:rsidRPr="006246CE">
        <w:rPr>
          <w:rStyle w:val="BookTitle"/>
          <w:rFonts w:ascii="Arial" w:hAnsi="Arial" w:cs="Arial"/>
          <w:i w:val="0"/>
          <w:iCs w:val="0"/>
        </w:rPr>
        <w:t xml:space="preserve">Lecturer’s Name: - </w:t>
      </w:r>
      <w:r w:rsidRPr="006246CE">
        <w:rPr>
          <w:rFonts w:ascii="Arial" w:hAnsi="Arial" w:cs="Arial"/>
          <w:b/>
          <w:bCs/>
        </w:rPr>
        <w:t>Patrick Yeboah</w:t>
      </w:r>
    </w:p>
    <w:p w14:paraId="1968E0A4" w14:textId="6B4D0853"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 xml:space="preserve">Student Name: - Abhi </w:t>
      </w:r>
      <w:r w:rsidR="00461A0A" w:rsidRPr="006246CE">
        <w:rPr>
          <w:rStyle w:val="BookTitle"/>
          <w:rFonts w:ascii="Arial" w:hAnsi="Arial" w:cs="Arial"/>
          <w:i w:val="0"/>
          <w:iCs w:val="0"/>
        </w:rPr>
        <w:t>Shital Bhai</w:t>
      </w:r>
      <w:r w:rsidRPr="006246CE">
        <w:rPr>
          <w:rStyle w:val="BookTitle"/>
          <w:rFonts w:ascii="Arial" w:hAnsi="Arial" w:cs="Arial"/>
          <w:i w:val="0"/>
          <w:iCs w:val="0"/>
        </w:rPr>
        <w:t xml:space="preserve"> Shah</w:t>
      </w:r>
    </w:p>
    <w:p w14:paraId="677EA255" w14:textId="77777777"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Student Id: - 2511298</w:t>
      </w:r>
    </w:p>
    <w:p w14:paraId="00267DE9" w14:textId="3390AF6B" w:rsidR="006246CE" w:rsidRPr="006246CE" w:rsidRDefault="006246CE" w:rsidP="002D29E6">
      <w:pPr>
        <w:jc w:val="center"/>
        <w:rPr>
          <w:rStyle w:val="BookTitle"/>
          <w:rFonts w:ascii="Arial" w:hAnsi="Arial" w:cs="Arial"/>
          <w:i w:val="0"/>
          <w:iCs w:val="0"/>
        </w:rPr>
      </w:pPr>
      <w:r w:rsidRPr="006246CE">
        <w:rPr>
          <w:rStyle w:val="BookTitle"/>
          <w:rFonts w:ascii="Arial" w:hAnsi="Arial" w:cs="Arial"/>
          <w:i w:val="0"/>
          <w:iCs w:val="0"/>
        </w:rPr>
        <w:t>Submission Date: - 24</w:t>
      </w:r>
      <w:r w:rsidRPr="006246CE">
        <w:rPr>
          <w:rStyle w:val="BookTitle"/>
          <w:rFonts w:ascii="Arial" w:hAnsi="Arial" w:cs="Arial"/>
          <w:i w:val="0"/>
          <w:iCs w:val="0"/>
          <w:vertAlign w:val="superscript"/>
        </w:rPr>
        <w:t>th</w:t>
      </w:r>
      <w:r w:rsidRPr="006246CE">
        <w:rPr>
          <w:rStyle w:val="BookTitle"/>
          <w:rFonts w:ascii="Arial" w:hAnsi="Arial" w:cs="Arial"/>
          <w:i w:val="0"/>
          <w:iCs w:val="0"/>
        </w:rPr>
        <w:t xml:space="preserve"> November 2025</w:t>
      </w:r>
    </w:p>
    <w:p w14:paraId="6C8C59C7" w14:textId="16AE0216" w:rsidR="00AA7179" w:rsidRPr="006246CE" w:rsidRDefault="006246CE" w:rsidP="002D29E6">
      <w:pPr>
        <w:jc w:val="center"/>
        <w:rPr>
          <w:rFonts w:ascii="Arial" w:hAnsi="Arial" w:cs="Arial"/>
          <w:b/>
          <w:bCs/>
        </w:rPr>
      </w:pPr>
      <w:r w:rsidRPr="006246CE">
        <w:rPr>
          <w:rFonts w:ascii="Arial" w:hAnsi="Arial" w:cs="Arial"/>
          <w:b/>
          <w:bCs/>
        </w:rPr>
        <w:t>Word count: - Approx. 5000 words (10%)</w:t>
      </w:r>
      <w:r>
        <w:rPr>
          <w:rFonts w:ascii="Arial" w:hAnsi="Arial" w:cs="Arial"/>
          <w:b/>
          <w:bCs/>
        </w:rPr>
        <w:br w:type="page"/>
      </w:r>
    </w:p>
    <w:p w14:paraId="33DCF7DA" w14:textId="0F6BDC70" w:rsidR="00E100AD" w:rsidRPr="00E100AD" w:rsidRDefault="00E100AD" w:rsidP="004B65BA">
      <w:pPr>
        <w:spacing w:line="360" w:lineRule="auto"/>
        <w:rPr>
          <w:rFonts w:ascii="Arial" w:hAnsi="Arial" w:cs="Arial"/>
          <w:b/>
          <w:bCs/>
        </w:rPr>
      </w:pPr>
      <w:r w:rsidRPr="00E100AD">
        <w:rPr>
          <w:rFonts w:ascii="Arial" w:hAnsi="Arial" w:cs="Arial"/>
          <w:b/>
          <w:bCs/>
        </w:rPr>
        <w:lastRenderedPageBreak/>
        <w:t>Table of Contents</w:t>
      </w:r>
    </w:p>
    <w:p w14:paraId="3F1D352C" w14:textId="466CA4AD" w:rsidR="00E100AD" w:rsidRPr="00E100AD" w:rsidRDefault="00E100AD" w:rsidP="004B65BA">
      <w:pPr>
        <w:numPr>
          <w:ilvl w:val="0"/>
          <w:numId w:val="1"/>
        </w:numPr>
        <w:spacing w:line="360" w:lineRule="auto"/>
        <w:rPr>
          <w:rFonts w:ascii="Arial" w:hAnsi="Arial" w:cs="Arial"/>
        </w:rPr>
      </w:pPr>
      <w:r w:rsidRPr="00E100AD">
        <w:rPr>
          <w:rFonts w:ascii="Arial" w:hAnsi="Arial" w:cs="Arial"/>
        </w:rPr>
        <w:t>Introducti</w:t>
      </w:r>
      <w:r w:rsidR="00AA7179">
        <w:rPr>
          <w:rFonts w:ascii="Arial" w:hAnsi="Arial" w:cs="Arial"/>
        </w:rPr>
        <w:t>on</w:t>
      </w:r>
      <w:r w:rsidRPr="00E100AD">
        <w:rPr>
          <w:rFonts w:ascii="Arial" w:hAnsi="Arial" w:cs="Arial"/>
        </w:rPr>
        <w:t>.....................................................................................</w:t>
      </w:r>
      <w:r w:rsidR="00AA7179">
        <w:rPr>
          <w:rFonts w:ascii="Arial" w:hAnsi="Arial" w:cs="Arial"/>
        </w:rPr>
        <w:t>.</w:t>
      </w:r>
      <w:r w:rsidRPr="00E100AD">
        <w:rPr>
          <w:rFonts w:ascii="Arial" w:hAnsi="Arial" w:cs="Arial"/>
        </w:rPr>
        <w:t xml:space="preserve">............... </w:t>
      </w:r>
      <w:r w:rsidR="00086D88">
        <w:rPr>
          <w:rFonts w:ascii="Arial" w:hAnsi="Arial" w:cs="Arial"/>
        </w:rPr>
        <w:t>3</w:t>
      </w:r>
    </w:p>
    <w:p w14:paraId="5E8D9DB1" w14:textId="13D71C92" w:rsidR="00E100AD" w:rsidRPr="00E100AD" w:rsidRDefault="00E100AD" w:rsidP="004B65BA">
      <w:pPr>
        <w:numPr>
          <w:ilvl w:val="0"/>
          <w:numId w:val="1"/>
        </w:numPr>
        <w:spacing w:line="360" w:lineRule="auto"/>
        <w:rPr>
          <w:rFonts w:ascii="Arial" w:hAnsi="Arial" w:cs="Arial"/>
        </w:rPr>
      </w:pPr>
      <w:r w:rsidRPr="00E100AD">
        <w:rPr>
          <w:rFonts w:ascii="Arial" w:hAnsi="Arial" w:cs="Arial"/>
        </w:rPr>
        <w:t xml:space="preserve">Section 1: Financial Health Check ................................................................. </w:t>
      </w:r>
      <w:r w:rsidR="00086D88">
        <w:rPr>
          <w:rFonts w:ascii="Arial" w:hAnsi="Arial" w:cs="Arial"/>
        </w:rPr>
        <w:t>4</w:t>
      </w:r>
    </w:p>
    <w:p w14:paraId="79E77ECA" w14:textId="06AECA2C" w:rsidR="00E100AD" w:rsidRPr="00E100AD" w:rsidRDefault="00E100AD" w:rsidP="004B65BA">
      <w:pPr>
        <w:numPr>
          <w:ilvl w:val="0"/>
          <w:numId w:val="1"/>
        </w:numPr>
        <w:spacing w:line="360" w:lineRule="auto"/>
        <w:rPr>
          <w:rFonts w:ascii="Arial" w:hAnsi="Arial" w:cs="Arial"/>
        </w:rPr>
      </w:pPr>
      <w:r w:rsidRPr="00E100AD">
        <w:rPr>
          <w:rFonts w:ascii="Arial" w:hAnsi="Arial" w:cs="Arial"/>
        </w:rPr>
        <w:t xml:space="preserve">Section 2: Working Capital Management ...................................................... </w:t>
      </w:r>
      <w:r w:rsidR="00086D88">
        <w:rPr>
          <w:rFonts w:ascii="Arial" w:hAnsi="Arial" w:cs="Arial"/>
        </w:rPr>
        <w:t>9</w:t>
      </w:r>
    </w:p>
    <w:p w14:paraId="40F81660" w14:textId="2EA50E22" w:rsidR="00E100AD" w:rsidRPr="00E100AD" w:rsidRDefault="00E100AD" w:rsidP="004B65BA">
      <w:pPr>
        <w:numPr>
          <w:ilvl w:val="0"/>
          <w:numId w:val="1"/>
        </w:numPr>
        <w:spacing w:line="360" w:lineRule="auto"/>
        <w:rPr>
          <w:rFonts w:ascii="Arial" w:hAnsi="Arial" w:cs="Arial"/>
        </w:rPr>
      </w:pPr>
      <w:r w:rsidRPr="00E100AD">
        <w:rPr>
          <w:rFonts w:ascii="Arial" w:hAnsi="Arial" w:cs="Arial"/>
        </w:rPr>
        <w:t>Section 3: Strategic Financial Restructuring Plan .......................</w:t>
      </w:r>
      <w:r w:rsidR="00AA7179">
        <w:rPr>
          <w:rFonts w:ascii="Arial" w:hAnsi="Arial" w:cs="Arial"/>
        </w:rPr>
        <w:t>.</w:t>
      </w:r>
      <w:r w:rsidRPr="00E100AD">
        <w:rPr>
          <w:rFonts w:ascii="Arial" w:hAnsi="Arial" w:cs="Arial"/>
        </w:rPr>
        <w:t xml:space="preserve">................. </w:t>
      </w:r>
      <w:r w:rsidR="00086D88">
        <w:rPr>
          <w:rFonts w:ascii="Arial" w:hAnsi="Arial" w:cs="Arial"/>
        </w:rPr>
        <w:t>13</w:t>
      </w:r>
    </w:p>
    <w:p w14:paraId="087F389F" w14:textId="3E3278A6" w:rsidR="00E100AD" w:rsidRPr="00E100AD" w:rsidRDefault="00E100AD" w:rsidP="004B65BA">
      <w:pPr>
        <w:numPr>
          <w:ilvl w:val="0"/>
          <w:numId w:val="1"/>
        </w:numPr>
        <w:spacing w:line="360" w:lineRule="auto"/>
        <w:rPr>
          <w:rFonts w:ascii="Arial" w:hAnsi="Arial" w:cs="Arial"/>
        </w:rPr>
      </w:pPr>
      <w:r w:rsidRPr="00E100AD">
        <w:rPr>
          <w:rFonts w:ascii="Arial" w:hAnsi="Arial" w:cs="Arial"/>
        </w:rPr>
        <w:t>Section 4: Investment Appraisal and Capital Budgeting .....</w:t>
      </w:r>
      <w:r w:rsidR="00AA7179">
        <w:rPr>
          <w:rFonts w:ascii="Arial" w:hAnsi="Arial" w:cs="Arial"/>
        </w:rPr>
        <w:t>.</w:t>
      </w:r>
      <w:r w:rsidRPr="00E100AD">
        <w:rPr>
          <w:rFonts w:ascii="Arial" w:hAnsi="Arial" w:cs="Arial"/>
        </w:rPr>
        <w:t xml:space="preserve">......................... </w:t>
      </w:r>
      <w:r w:rsidR="00086D88">
        <w:rPr>
          <w:rFonts w:ascii="Arial" w:hAnsi="Arial" w:cs="Arial"/>
        </w:rPr>
        <w:t>17</w:t>
      </w:r>
    </w:p>
    <w:p w14:paraId="13ABD3C7" w14:textId="75970C1C" w:rsidR="00E100AD" w:rsidRPr="00E100AD" w:rsidRDefault="00E100AD" w:rsidP="004B65BA">
      <w:pPr>
        <w:numPr>
          <w:ilvl w:val="0"/>
          <w:numId w:val="1"/>
        </w:numPr>
        <w:spacing w:line="360" w:lineRule="auto"/>
        <w:rPr>
          <w:rFonts w:ascii="Arial" w:hAnsi="Arial" w:cs="Arial"/>
        </w:rPr>
      </w:pPr>
      <w:r w:rsidRPr="00E100AD">
        <w:rPr>
          <w:rFonts w:ascii="Arial" w:hAnsi="Arial" w:cs="Arial"/>
        </w:rPr>
        <w:t xml:space="preserve">Conclusion .................................................................................................... </w:t>
      </w:r>
      <w:r w:rsidR="00086D88">
        <w:rPr>
          <w:rFonts w:ascii="Arial" w:hAnsi="Arial" w:cs="Arial"/>
        </w:rPr>
        <w:t>22</w:t>
      </w:r>
    </w:p>
    <w:p w14:paraId="41E82C9E" w14:textId="0167AE1B" w:rsidR="00E100AD" w:rsidRPr="00E100AD" w:rsidRDefault="00E100AD" w:rsidP="004B65BA">
      <w:pPr>
        <w:numPr>
          <w:ilvl w:val="0"/>
          <w:numId w:val="1"/>
        </w:numPr>
        <w:spacing w:line="360" w:lineRule="auto"/>
        <w:rPr>
          <w:rFonts w:ascii="Arial" w:hAnsi="Arial" w:cs="Arial"/>
        </w:rPr>
      </w:pPr>
      <w:r w:rsidRPr="00E100AD">
        <w:rPr>
          <w:rFonts w:ascii="Arial" w:hAnsi="Arial" w:cs="Arial"/>
        </w:rPr>
        <w:t xml:space="preserve">References .................................................................................................... </w:t>
      </w:r>
      <w:r w:rsidR="00086D88">
        <w:rPr>
          <w:rFonts w:ascii="Arial" w:hAnsi="Arial" w:cs="Arial"/>
        </w:rPr>
        <w:t>24</w:t>
      </w:r>
    </w:p>
    <w:p w14:paraId="03049380" w14:textId="04B6A09D" w:rsidR="00E100AD" w:rsidRPr="00E100AD" w:rsidRDefault="00E100AD" w:rsidP="004B65BA">
      <w:pPr>
        <w:numPr>
          <w:ilvl w:val="0"/>
          <w:numId w:val="1"/>
        </w:numPr>
        <w:spacing w:line="360" w:lineRule="auto"/>
        <w:rPr>
          <w:rFonts w:ascii="Arial" w:hAnsi="Arial" w:cs="Arial"/>
        </w:rPr>
      </w:pPr>
      <w:r w:rsidRPr="00E100AD">
        <w:rPr>
          <w:rFonts w:ascii="Arial" w:hAnsi="Arial" w:cs="Arial"/>
        </w:rPr>
        <w:t>Appendices .............................................</w:t>
      </w:r>
      <w:r w:rsidR="00AA7179">
        <w:rPr>
          <w:rFonts w:ascii="Arial" w:hAnsi="Arial" w:cs="Arial"/>
        </w:rPr>
        <w:t>.</w:t>
      </w:r>
      <w:r w:rsidRPr="00E100AD">
        <w:rPr>
          <w:rFonts w:ascii="Arial" w:hAnsi="Arial" w:cs="Arial"/>
        </w:rPr>
        <w:t xml:space="preserve">..................................................... </w:t>
      </w:r>
      <w:r w:rsidR="00086D88">
        <w:rPr>
          <w:rFonts w:ascii="Arial" w:hAnsi="Arial" w:cs="Arial"/>
        </w:rPr>
        <w:t>27</w:t>
      </w:r>
    </w:p>
    <w:p w14:paraId="619B50C4" w14:textId="1B435791" w:rsidR="00E100AD" w:rsidRPr="00E100AD" w:rsidRDefault="00E100AD" w:rsidP="004B65BA">
      <w:pPr>
        <w:spacing w:line="360" w:lineRule="auto"/>
        <w:rPr>
          <w:rFonts w:ascii="Arial" w:hAnsi="Arial" w:cs="Arial"/>
        </w:rPr>
      </w:pPr>
    </w:p>
    <w:p w14:paraId="1E76630C" w14:textId="77777777" w:rsidR="00E100AD" w:rsidRPr="00E100AD" w:rsidRDefault="00E100AD" w:rsidP="004B65BA">
      <w:pPr>
        <w:spacing w:line="360" w:lineRule="auto"/>
        <w:rPr>
          <w:rFonts w:ascii="Arial" w:hAnsi="Arial" w:cs="Arial"/>
          <w:b/>
          <w:bCs/>
        </w:rPr>
      </w:pPr>
      <w:r w:rsidRPr="00E100AD">
        <w:rPr>
          <w:rFonts w:ascii="Arial" w:hAnsi="Arial" w:cs="Arial"/>
          <w:b/>
          <w:bCs/>
        </w:rPr>
        <w:t>List of Figures and Tables</w:t>
      </w:r>
    </w:p>
    <w:p w14:paraId="3EC286CC"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Table 1:</w:t>
      </w:r>
      <w:r w:rsidRPr="00E100AD">
        <w:rPr>
          <w:rFonts w:ascii="Arial" w:hAnsi="Arial" w:cs="Arial"/>
        </w:rPr>
        <w:t xml:space="preserve"> Summary of Financial Ratios (2020–2024)</w:t>
      </w:r>
    </w:p>
    <w:p w14:paraId="47BA05DE"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Figure 1:</w:t>
      </w:r>
      <w:r w:rsidRPr="00E100AD">
        <w:rPr>
          <w:rFonts w:ascii="Arial" w:hAnsi="Arial" w:cs="Arial"/>
        </w:rPr>
        <w:t xml:space="preserve"> General Electronics’ Net Income Trend (2020–2024)</w:t>
      </w:r>
    </w:p>
    <w:p w14:paraId="467FF39C"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Figure 2:</w:t>
      </w:r>
      <w:r w:rsidRPr="00E100AD">
        <w:rPr>
          <w:rFonts w:ascii="Arial" w:hAnsi="Arial" w:cs="Arial"/>
        </w:rPr>
        <w:t xml:space="preserve"> Liquidity Ratios (2020–2024)</w:t>
      </w:r>
    </w:p>
    <w:p w14:paraId="35B178F8"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Table 2:</w:t>
      </w:r>
      <w:r w:rsidRPr="00E100AD">
        <w:rPr>
          <w:rFonts w:ascii="Arial" w:hAnsi="Arial" w:cs="Arial"/>
        </w:rPr>
        <w:t xml:space="preserve"> Altman Z-Score Calculation</w:t>
      </w:r>
    </w:p>
    <w:p w14:paraId="747A9F01"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Figure 3:</w:t>
      </w:r>
      <w:r w:rsidRPr="00E100AD">
        <w:rPr>
          <w:rFonts w:ascii="Arial" w:hAnsi="Arial" w:cs="Arial"/>
        </w:rPr>
        <w:t xml:space="preserve"> Working Capital Cycle</w:t>
      </w:r>
    </w:p>
    <w:p w14:paraId="1F32CC32"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Table 3:</w:t>
      </w:r>
      <w:r w:rsidRPr="00E100AD">
        <w:rPr>
          <w:rFonts w:ascii="Arial" w:hAnsi="Arial" w:cs="Arial"/>
        </w:rPr>
        <w:t xml:space="preserve"> Projected Cash Flows (Projects A–C)</w:t>
      </w:r>
    </w:p>
    <w:p w14:paraId="7AD0641D" w14:textId="77777777" w:rsidR="00E100AD" w:rsidRPr="00E100AD" w:rsidRDefault="00E100AD" w:rsidP="004B65BA">
      <w:pPr>
        <w:numPr>
          <w:ilvl w:val="0"/>
          <w:numId w:val="2"/>
        </w:numPr>
        <w:spacing w:line="360" w:lineRule="auto"/>
        <w:rPr>
          <w:rFonts w:ascii="Arial" w:hAnsi="Arial" w:cs="Arial"/>
        </w:rPr>
      </w:pPr>
      <w:r w:rsidRPr="00E100AD">
        <w:rPr>
          <w:rFonts w:ascii="Arial" w:hAnsi="Arial" w:cs="Arial"/>
          <w:b/>
          <w:bCs/>
        </w:rPr>
        <w:t>Table 4:</w:t>
      </w:r>
      <w:r w:rsidRPr="00E100AD">
        <w:rPr>
          <w:rFonts w:ascii="Arial" w:hAnsi="Arial" w:cs="Arial"/>
        </w:rPr>
        <w:t xml:space="preserve"> Investment Appraisal Metrics (PBP, ARR, NPV, PI, IRR)</w:t>
      </w:r>
    </w:p>
    <w:p w14:paraId="279DB774" w14:textId="2441B601" w:rsidR="00E100AD" w:rsidRPr="00E100AD" w:rsidRDefault="00E100AD" w:rsidP="004B65BA">
      <w:pPr>
        <w:spacing w:line="360" w:lineRule="auto"/>
        <w:rPr>
          <w:rFonts w:ascii="Arial" w:hAnsi="Arial" w:cs="Arial"/>
        </w:rPr>
      </w:pPr>
    </w:p>
    <w:p w14:paraId="4AC5CC99" w14:textId="77777777" w:rsidR="00E100AD" w:rsidRPr="004B65BA" w:rsidRDefault="00E100AD" w:rsidP="004B65BA">
      <w:pPr>
        <w:spacing w:line="360" w:lineRule="auto"/>
        <w:rPr>
          <w:rFonts w:ascii="Arial" w:hAnsi="Arial" w:cs="Arial"/>
          <w:b/>
          <w:bCs/>
        </w:rPr>
      </w:pPr>
    </w:p>
    <w:p w14:paraId="39A61FDA" w14:textId="77777777" w:rsidR="00E100AD" w:rsidRPr="004B65BA" w:rsidRDefault="00E100AD" w:rsidP="004B65BA">
      <w:pPr>
        <w:spacing w:line="360" w:lineRule="auto"/>
        <w:rPr>
          <w:rFonts w:ascii="Arial" w:hAnsi="Arial" w:cs="Arial"/>
          <w:b/>
          <w:bCs/>
        </w:rPr>
      </w:pPr>
    </w:p>
    <w:p w14:paraId="2024C325" w14:textId="77777777" w:rsidR="00E100AD" w:rsidRDefault="00E100AD" w:rsidP="004B65BA">
      <w:pPr>
        <w:spacing w:line="360" w:lineRule="auto"/>
        <w:rPr>
          <w:rFonts w:ascii="Arial" w:hAnsi="Arial" w:cs="Arial"/>
          <w:b/>
          <w:bCs/>
        </w:rPr>
      </w:pPr>
    </w:p>
    <w:p w14:paraId="57532D1C" w14:textId="77777777" w:rsidR="00AA7179" w:rsidRPr="004B65BA" w:rsidRDefault="00AA7179" w:rsidP="004B65BA">
      <w:pPr>
        <w:spacing w:line="360" w:lineRule="auto"/>
        <w:rPr>
          <w:rFonts w:ascii="Arial" w:hAnsi="Arial" w:cs="Arial"/>
          <w:b/>
          <w:bCs/>
        </w:rPr>
      </w:pPr>
    </w:p>
    <w:p w14:paraId="0426468E" w14:textId="77777777" w:rsidR="00E100AD" w:rsidRPr="004B65BA" w:rsidRDefault="00E100AD" w:rsidP="004B65BA">
      <w:pPr>
        <w:spacing w:line="360" w:lineRule="auto"/>
        <w:rPr>
          <w:rFonts w:ascii="Arial" w:hAnsi="Arial" w:cs="Arial"/>
          <w:b/>
          <w:bCs/>
        </w:rPr>
      </w:pPr>
    </w:p>
    <w:p w14:paraId="6893ADFC" w14:textId="3D5F17F1" w:rsidR="00E100AD" w:rsidRPr="00E100AD" w:rsidRDefault="00E100AD" w:rsidP="004B65BA">
      <w:pPr>
        <w:spacing w:line="360" w:lineRule="auto"/>
        <w:rPr>
          <w:rFonts w:ascii="Arial" w:hAnsi="Arial" w:cs="Arial"/>
          <w:b/>
          <w:bCs/>
        </w:rPr>
      </w:pPr>
      <w:r w:rsidRPr="00E100AD">
        <w:rPr>
          <w:rFonts w:ascii="Arial" w:hAnsi="Arial" w:cs="Arial"/>
          <w:b/>
          <w:bCs/>
        </w:rPr>
        <w:lastRenderedPageBreak/>
        <w:t>1. Introduction</w:t>
      </w:r>
    </w:p>
    <w:p w14:paraId="6E7A031D" w14:textId="77777777" w:rsidR="00A15871" w:rsidRPr="00A15871" w:rsidRDefault="00A15871" w:rsidP="00A15871">
      <w:pPr>
        <w:spacing w:line="360" w:lineRule="auto"/>
        <w:jc w:val="both"/>
        <w:rPr>
          <w:rFonts w:ascii="Arial" w:hAnsi="Arial" w:cs="Arial"/>
        </w:rPr>
      </w:pPr>
      <w:r w:rsidRPr="00A15871">
        <w:rPr>
          <w:rFonts w:ascii="Arial" w:hAnsi="Arial" w:cs="Arial"/>
        </w:rPr>
        <w:t xml:space="preserve">The modern world business environment has become increasingly volatile, framed by economic uncertainty, geopolitical tensions, rapid technological disruption, and post-pandemic supply-chain fragmentation. Scholars highlight that this volatility, intertwined with accelerated digitalisation, has intensified competitive pressures and compelled firms to adjust their operational and financial strategies continuously (Brem et al., 2021). These challenges are particularly evident within the consumer electronics industry, where eroding margins, fluctuating component prices, and fast innovation cycles remain highly pronounced. Scholars further argue that firms operating in technologically dynamic industries are more financially vulnerable because of their capital-intensive structures and continuous demands for innovation (Lee &amp; </w:t>
      </w:r>
      <w:proofErr w:type="spellStart"/>
      <w:r w:rsidRPr="00A15871">
        <w:rPr>
          <w:rFonts w:ascii="Arial" w:hAnsi="Arial" w:cs="Arial"/>
        </w:rPr>
        <w:t>Trimi</w:t>
      </w:r>
      <w:proofErr w:type="spellEnd"/>
      <w:r w:rsidRPr="00A15871">
        <w:rPr>
          <w:rFonts w:ascii="Arial" w:hAnsi="Arial" w:cs="Arial"/>
        </w:rPr>
        <w:t>, 2021). These challenges align with General Electronics’ deteriorating performance, reflected in declining revenues, weakened profitability, and erosion of shareholder equity over recent years.</w:t>
      </w:r>
    </w:p>
    <w:p w14:paraId="59D66CF7" w14:textId="77777777" w:rsidR="00A15871" w:rsidRPr="00A15871" w:rsidRDefault="00A15871" w:rsidP="00A15871">
      <w:pPr>
        <w:spacing w:line="360" w:lineRule="auto"/>
        <w:jc w:val="both"/>
        <w:rPr>
          <w:rFonts w:ascii="Arial" w:hAnsi="Arial" w:cs="Arial"/>
        </w:rPr>
      </w:pPr>
      <w:r w:rsidRPr="00A15871">
        <w:rPr>
          <w:rFonts w:ascii="Arial" w:hAnsi="Arial" w:cs="Arial"/>
        </w:rPr>
        <w:t>This report responds to the Board’s mandate for the newly appointed Chief Financial Officer to stabilise GE’s financial position and guide the organisation toward sustainable recovery. Within such a context, the CFO’s role focuses on enhancing liquidity, restoring profitability, optimising capital structure, and identifying strategically aligned investment opportunities. Contemporary studies emphasise that in a turnaround scenario, CFO-led financial leadership is crucial, particularly when centred on evidence-based restructuring that rebuilds financial credibility and stakeholder confidence (</w:t>
      </w:r>
      <w:proofErr w:type="spellStart"/>
      <w:r w:rsidRPr="00A15871">
        <w:rPr>
          <w:rFonts w:ascii="Arial" w:hAnsi="Arial" w:cs="Arial"/>
        </w:rPr>
        <w:t>Duppati</w:t>
      </w:r>
      <w:proofErr w:type="spellEnd"/>
      <w:r w:rsidRPr="00A15871">
        <w:rPr>
          <w:rFonts w:ascii="Arial" w:hAnsi="Arial" w:cs="Arial"/>
        </w:rPr>
        <w:t xml:space="preserve"> et al., 2020).</w:t>
      </w:r>
    </w:p>
    <w:p w14:paraId="121F1C45" w14:textId="77777777" w:rsidR="00A15871" w:rsidRPr="00A15871" w:rsidRDefault="00A15871" w:rsidP="00A15871">
      <w:pPr>
        <w:spacing w:line="360" w:lineRule="auto"/>
        <w:jc w:val="both"/>
        <w:rPr>
          <w:rFonts w:ascii="Arial" w:hAnsi="Arial" w:cs="Arial"/>
        </w:rPr>
      </w:pPr>
      <w:r w:rsidRPr="00A15871">
        <w:rPr>
          <w:rFonts w:ascii="Arial" w:hAnsi="Arial" w:cs="Arial"/>
        </w:rPr>
        <w:t>The report employs advanced financial management tools relevant to GE’s current situation: multi-year ratio analysis, Altman Z-Score modelling for bankruptcy risk assessment, and working-capital cycle evaluation, all commonly applied in diagnosing financial distress within manufacturing and technology-driven firms. For long-term decision-making, capital-budgeting techniques including ARR, NPV, PI, and IRR are utilised, in line with corporate-finance literature that identifies these methods as reliable for evaluating project viability (Brealey et al., 2020). Drawing exclusively on recent open-access scholarly sources from 2020 to 2025, the report integrates academic theory with financial evidence to provide the Board with a concise, research-based roadmap for GE’s long-term financial recovery.</w:t>
      </w:r>
    </w:p>
    <w:p w14:paraId="4998C439" w14:textId="21CE7EC7" w:rsidR="00E100AD" w:rsidRPr="00E100AD" w:rsidRDefault="00E100AD" w:rsidP="00700F1F">
      <w:pPr>
        <w:spacing w:line="360" w:lineRule="auto"/>
        <w:jc w:val="both"/>
        <w:rPr>
          <w:rFonts w:ascii="Arial" w:hAnsi="Arial" w:cs="Arial"/>
          <w:b/>
          <w:bCs/>
        </w:rPr>
      </w:pPr>
      <w:r w:rsidRPr="00E100AD">
        <w:rPr>
          <w:rFonts w:ascii="Arial" w:hAnsi="Arial" w:cs="Arial"/>
          <w:b/>
          <w:bCs/>
        </w:rPr>
        <w:lastRenderedPageBreak/>
        <w:t xml:space="preserve">2. Section 1: Financial Health Check </w:t>
      </w:r>
    </w:p>
    <w:p w14:paraId="2D85A685" w14:textId="77777777" w:rsidR="005565C4" w:rsidRPr="005565C4" w:rsidRDefault="005565C4" w:rsidP="006C7160">
      <w:pPr>
        <w:spacing w:line="360" w:lineRule="auto"/>
        <w:jc w:val="both"/>
        <w:rPr>
          <w:rFonts w:ascii="Arial" w:hAnsi="Arial" w:cs="Arial"/>
          <w:b/>
          <w:bCs/>
        </w:rPr>
      </w:pPr>
      <w:r w:rsidRPr="005565C4">
        <w:rPr>
          <w:rFonts w:ascii="Arial" w:hAnsi="Arial" w:cs="Arial"/>
          <w:b/>
          <w:bCs/>
        </w:rPr>
        <w:t>2.1 Overview of Financial Performance (2020–2024)</w:t>
      </w:r>
    </w:p>
    <w:p w14:paraId="7B55CECB" w14:textId="77777777" w:rsidR="005A6C2F" w:rsidRDefault="005A6C2F" w:rsidP="005A6C2F">
      <w:pPr>
        <w:spacing w:line="360" w:lineRule="auto"/>
        <w:jc w:val="both"/>
        <w:rPr>
          <w:rFonts w:ascii="Arial" w:hAnsi="Arial" w:cs="Arial"/>
        </w:rPr>
      </w:pPr>
      <w:r w:rsidRPr="005A6C2F">
        <w:rPr>
          <w:rFonts w:ascii="Arial" w:hAnsi="Arial" w:cs="Arial"/>
        </w:rPr>
        <w:t xml:space="preserve">General Electronics’ financial performance from 2020 to 2024 shows a clear deterioration in its key drivers. Net sales fell from £614,680 million to £394,879 million (36%), while operating income declined from £37,267 million to a loss of £15,297 million. Net income also shifted from a £38,572 million profit to a £24,029 million loss, indicating rising cost inefficiencies and weakening operational performance. </w:t>
      </w:r>
    </w:p>
    <w:p w14:paraId="366EC2EF" w14:textId="25EB2DF2" w:rsidR="005A6C2F" w:rsidRPr="005A6C2F" w:rsidRDefault="005A6C2F" w:rsidP="005A6C2F">
      <w:pPr>
        <w:spacing w:line="360" w:lineRule="auto"/>
        <w:jc w:val="both"/>
        <w:rPr>
          <w:rFonts w:ascii="Arial" w:hAnsi="Arial" w:cs="Arial"/>
        </w:rPr>
      </w:pPr>
      <w:r w:rsidRPr="005A6C2F">
        <w:rPr>
          <w:rFonts w:ascii="Arial" w:hAnsi="Arial" w:cs="Arial"/>
        </w:rPr>
        <w:t>This decline reflects strategic and capability-related weaknesses and aligns with Teece’s (2020) view that firms unable to adapt to technological and competitive turbulence experience sharp performance deterioration. From a resource-based perspective, Barney (2020) suggests such trends indicate eroding internal capabilities. As Figure 1 shows, GE’s fall from moderate profitability to sustained distress has significantly damaged shareholder value and heightened insolvency risk within a high fixed-cost industry.</w:t>
      </w:r>
      <w:r w:rsidRPr="005A6C2F">
        <w:rPr>
          <w:rFonts w:ascii="Arial" w:hAnsi="Arial" w:cs="Arial"/>
          <w:vanish/>
        </w:rPr>
        <w:t>Top of Form</w:t>
      </w:r>
    </w:p>
    <w:p w14:paraId="727D3F3E" w14:textId="77777777" w:rsidR="005A6C2F" w:rsidRPr="005A6C2F" w:rsidRDefault="005A6C2F" w:rsidP="005A6C2F">
      <w:pPr>
        <w:spacing w:line="360" w:lineRule="auto"/>
        <w:jc w:val="both"/>
        <w:rPr>
          <w:rFonts w:ascii="Arial" w:hAnsi="Arial" w:cs="Arial"/>
          <w:vanish/>
        </w:rPr>
      </w:pPr>
      <w:r w:rsidRPr="005A6C2F">
        <w:rPr>
          <w:rFonts w:ascii="Arial" w:hAnsi="Arial" w:cs="Arial"/>
          <w:vanish/>
        </w:rPr>
        <w:t>Bottom of Form</w:t>
      </w:r>
    </w:p>
    <w:p w14:paraId="29DFE033" w14:textId="1EFA1CAB" w:rsidR="00E100AD" w:rsidRPr="00E100AD" w:rsidRDefault="00E100AD" w:rsidP="003D15E0">
      <w:pPr>
        <w:spacing w:line="360" w:lineRule="auto"/>
        <w:jc w:val="both"/>
        <w:rPr>
          <w:rFonts w:ascii="Arial" w:hAnsi="Arial" w:cs="Arial"/>
        </w:rPr>
      </w:pPr>
      <w:r w:rsidRPr="00E100AD">
        <w:rPr>
          <w:rFonts w:ascii="Arial" w:hAnsi="Arial" w:cs="Arial"/>
          <w:b/>
          <w:bCs/>
        </w:rPr>
        <w:t>Figure 1. Net Income Trend (2020–2024)</w:t>
      </w:r>
    </w:p>
    <w:tbl>
      <w:tblPr>
        <w:tblStyle w:val="TableGrid"/>
        <w:tblW w:w="0" w:type="auto"/>
        <w:tblLook w:val="04A0" w:firstRow="1" w:lastRow="0" w:firstColumn="1" w:lastColumn="0" w:noHBand="0" w:noVBand="1"/>
      </w:tblPr>
      <w:tblGrid>
        <w:gridCol w:w="750"/>
        <w:gridCol w:w="2084"/>
      </w:tblGrid>
      <w:tr w:rsidR="00E100AD" w:rsidRPr="00E100AD" w14:paraId="4C710989" w14:textId="77777777" w:rsidTr="00E100AD">
        <w:tc>
          <w:tcPr>
            <w:tcW w:w="0" w:type="auto"/>
            <w:hideMark/>
          </w:tcPr>
          <w:p w14:paraId="0CA8D84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Year</w:t>
            </w:r>
          </w:p>
        </w:tc>
        <w:tc>
          <w:tcPr>
            <w:tcW w:w="0" w:type="auto"/>
            <w:hideMark/>
          </w:tcPr>
          <w:p w14:paraId="447EB84C"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Net Income (£m)</w:t>
            </w:r>
          </w:p>
        </w:tc>
      </w:tr>
      <w:tr w:rsidR="00E100AD" w:rsidRPr="00E100AD" w14:paraId="3287AE9C" w14:textId="77777777" w:rsidTr="00E100AD">
        <w:tc>
          <w:tcPr>
            <w:tcW w:w="0" w:type="auto"/>
            <w:hideMark/>
          </w:tcPr>
          <w:p w14:paraId="2787A304" w14:textId="77777777" w:rsidR="00E100AD" w:rsidRPr="00E100AD" w:rsidRDefault="00E100AD" w:rsidP="004B65BA">
            <w:pPr>
              <w:spacing w:after="160" w:line="360" w:lineRule="auto"/>
              <w:rPr>
                <w:rFonts w:ascii="Arial" w:hAnsi="Arial" w:cs="Arial"/>
              </w:rPr>
            </w:pPr>
            <w:r w:rsidRPr="00E100AD">
              <w:rPr>
                <w:rFonts w:ascii="Arial" w:hAnsi="Arial" w:cs="Arial"/>
              </w:rPr>
              <w:t>2020</w:t>
            </w:r>
          </w:p>
        </w:tc>
        <w:tc>
          <w:tcPr>
            <w:tcW w:w="0" w:type="auto"/>
            <w:hideMark/>
          </w:tcPr>
          <w:p w14:paraId="1985868E" w14:textId="77777777" w:rsidR="00E100AD" w:rsidRPr="00E100AD" w:rsidRDefault="00E100AD" w:rsidP="004B65BA">
            <w:pPr>
              <w:spacing w:after="160" w:line="360" w:lineRule="auto"/>
              <w:rPr>
                <w:rFonts w:ascii="Arial" w:hAnsi="Arial" w:cs="Arial"/>
              </w:rPr>
            </w:pPr>
            <w:r w:rsidRPr="00E100AD">
              <w:rPr>
                <w:rFonts w:ascii="Arial" w:hAnsi="Arial" w:cs="Arial"/>
              </w:rPr>
              <w:t>38,572</w:t>
            </w:r>
          </w:p>
        </w:tc>
      </w:tr>
      <w:tr w:rsidR="00E100AD" w:rsidRPr="00E100AD" w14:paraId="5B2737EB" w14:textId="77777777" w:rsidTr="00E100AD">
        <w:tc>
          <w:tcPr>
            <w:tcW w:w="0" w:type="auto"/>
            <w:hideMark/>
          </w:tcPr>
          <w:p w14:paraId="1A4252EB" w14:textId="77777777" w:rsidR="00E100AD" w:rsidRPr="00E100AD" w:rsidRDefault="00E100AD" w:rsidP="004B65BA">
            <w:pPr>
              <w:spacing w:after="160" w:line="360" w:lineRule="auto"/>
              <w:rPr>
                <w:rFonts w:ascii="Arial" w:hAnsi="Arial" w:cs="Arial"/>
              </w:rPr>
            </w:pPr>
            <w:r w:rsidRPr="00E100AD">
              <w:rPr>
                <w:rFonts w:ascii="Arial" w:hAnsi="Arial" w:cs="Arial"/>
              </w:rPr>
              <w:t>2021</w:t>
            </w:r>
          </w:p>
        </w:tc>
        <w:tc>
          <w:tcPr>
            <w:tcW w:w="0" w:type="auto"/>
            <w:hideMark/>
          </w:tcPr>
          <w:p w14:paraId="7D73B658" w14:textId="77777777" w:rsidR="00E100AD" w:rsidRPr="00E100AD" w:rsidRDefault="00E100AD" w:rsidP="004B65BA">
            <w:pPr>
              <w:spacing w:after="160" w:line="360" w:lineRule="auto"/>
              <w:rPr>
                <w:rFonts w:ascii="Arial" w:hAnsi="Arial" w:cs="Arial"/>
              </w:rPr>
            </w:pPr>
            <w:r w:rsidRPr="00E100AD">
              <w:rPr>
                <w:rFonts w:ascii="Arial" w:hAnsi="Arial" w:cs="Arial"/>
              </w:rPr>
              <w:t>5,301</w:t>
            </w:r>
          </w:p>
        </w:tc>
      </w:tr>
      <w:tr w:rsidR="00E100AD" w:rsidRPr="00E100AD" w14:paraId="5A4BEA05" w14:textId="77777777" w:rsidTr="00E100AD">
        <w:tc>
          <w:tcPr>
            <w:tcW w:w="0" w:type="auto"/>
            <w:hideMark/>
          </w:tcPr>
          <w:p w14:paraId="0A990638" w14:textId="77777777" w:rsidR="00E100AD" w:rsidRPr="00E100AD" w:rsidRDefault="00E100AD" w:rsidP="004B65BA">
            <w:pPr>
              <w:spacing w:after="160" w:line="360" w:lineRule="auto"/>
              <w:rPr>
                <w:rFonts w:ascii="Arial" w:hAnsi="Arial" w:cs="Arial"/>
              </w:rPr>
            </w:pPr>
            <w:r w:rsidRPr="00E100AD">
              <w:rPr>
                <w:rFonts w:ascii="Arial" w:hAnsi="Arial" w:cs="Arial"/>
              </w:rPr>
              <w:t>2022</w:t>
            </w:r>
          </w:p>
        </w:tc>
        <w:tc>
          <w:tcPr>
            <w:tcW w:w="0" w:type="auto"/>
            <w:hideMark/>
          </w:tcPr>
          <w:p w14:paraId="2B904FA3" w14:textId="77777777" w:rsidR="00E100AD" w:rsidRPr="00E100AD" w:rsidRDefault="00E100AD" w:rsidP="004B65BA">
            <w:pPr>
              <w:spacing w:after="160" w:line="360" w:lineRule="auto"/>
              <w:rPr>
                <w:rFonts w:ascii="Arial" w:hAnsi="Arial" w:cs="Arial"/>
              </w:rPr>
            </w:pPr>
            <w:r w:rsidRPr="00E100AD">
              <w:rPr>
                <w:rFonts w:ascii="Arial" w:hAnsi="Arial" w:cs="Arial"/>
              </w:rPr>
              <w:t>407</w:t>
            </w:r>
          </w:p>
        </w:tc>
      </w:tr>
      <w:tr w:rsidR="00E100AD" w:rsidRPr="00E100AD" w14:paraId="74C3027B" w14:textId="77777777" w:rsidTr="00E100AD">
        <w:tc>
          <w:tcPr>
            <w:tcW w:w="0" w:type="auto"/>
            <w:hideMark/>
          </w:tcPr>
          <w:p w14:paraId="2D5D986F" w14:textId="77777777" w:rsidR="00E100AD" w:rsidRPr="00E100AD" w:rsidRDefault="00E100AD" w:rsidP="004B65BA">
            <w:pPr>
              <w:spacing w:after="160" w:line="360" w:lineRule="auto"/>
              <w:rPr>
                <w:rFonts w:ascii="Arial" w:hAnsi="Arial" w:cs="Arial"/>
              </w:rPr>
            </w:pPr>
            <w:r w:rsidRPr="00E100AD">
              <w:rPr>
                <w:rFonts w:ascii="Arial" w:hAnsi="Arial" w:cs="Arial"/>
              </w:rPr>
              <w:t>2023</w:t>
            </w:r>
          </w:p>
        </w:tc>
        <w:tc>
          <w:tcPr>
            <w:tcW w:w="0" w:type="auto"/>
            <w:hideMark/>
          </w:tcPr>
          <w:p w14:paraId="7AADB343" w14:textId="77777777" w:rsidR="00E100AD" w:rsidRPr="00E100AD" w:rsidRDefault="00E100AD" w:rsidP="004B65BA">
            <w:pPr>
              <w:spacing w:after="160" w:line="360" w:lineRule="auto"/>
              <w:rPr>
                <w:rFonts w:ascii="Arial" w:hAnsi="Arial" w:cs="Arial"/>
              </w:rPr>
            </w:pPr>
            <w:r w:rsidRPr="00E100AD">
              <w:rPr>
                <w:rFonts w:ascii="Arial" w:hAnsi="Arial" w:cs="Arial"/>
              </w:rPr>
              <w:t>-98,238</w:t>
            </w:r>
          </w:p>
        </w:tc>
      </w:tr>
      <w:tr w:rsidR="00E100AD" w:rsidRPr="00E100AD" w14:paraId="42E6E649" w14:textId="77777777" w:rsidTr="00E100AD">
        <w:tc>
          <w:tcPr>
            <w:tcW w:w="0" w:type="auto"/>
            <w:hideMark/>
          </w:tcPr>
          <w:p w14:paraId="78430D4F" w14:textId="77777777" w:rsidR="00E100AD" w:rsidRPr="00E100AD" w:rsidRDefault="00E100AD" w:rsidP="004B65BA">
            <w:pPr>
              <w:spacing w:after="160" w:line="360" w:lineRule="auto"/>
              <w:rPr>
                <w:rFonts w:ascii="Arial" w:hAnsi="Arial" w:cs="Arial"/>
              </w:rPr>
            </w:pPr>
            <w:r w:rsidRPr="00E100AD">
              <w:rPr>
                <w:rFonts w:ascii="Arial" w:hAnsi="Arial" w:cs="Arial"/>
              </w:rPr>
              <w:t>2024</w:t>
            </w:r>
          </w:p>
        </w:tc>
        <w:tc>
          <w:tcPr>
            <w:tcW w:w="0" w:type="auto"/>
            <w:hideMark/>
          </w:tcPr>
          <w:p w14:paraId="3F628DCE" w14:textId="77777777" w:rsidR="00E100AD" w:rsidRPr="00E100AD" w:rsidRDefault="00E100AD" w:rsidP="004B65BA">
            <w:pPr>
              <w:spacing w:after="160" w:line="360" w:lineRule="auto"/>
              <w:rPr>
                <w:rFonts w:ascii="Arial" w:hAnsi="Arial" w:cs="Arial"/>
              </w:rPr>
            </w:pPr>
            <w:r w:rsidRPr="00E100AD">
              <w:rPr>
                <w:rFonts w:ascii="Arial" w:hAnsi="Arial" w:cs="Arial"/>
              </w:rPr>
              <w:t>-24,029</w:t>
            </w:r>
          </w:p>
        </w:tc>
      </w:tr>
    </w:tbl>
    <w:p w14:paraId="6D38D909" w14:textId="38EB1931" w:rsidR="00F05272" w:rsidRDefault="00F05272" w:rsidP="004B65BA">
      <w:pPr>
        <w:spacing w:line="360" w:lineRule="auto"/>
        <w:rPr>
          <w:rFonts w:ascii="Arial" w:hAnsi="Arial" w:cs="Arial"/>
        </w:rPr>
      </w:pPr>
      <w:r w:rsidRPr="00E100AD">
        <w:rPr>
          <w:rFonts w:ascii="Arial" w:hAnsi="Arial" w:cs="Arial"/>
          <w:i/>
          <w:iCs/>
        </w:rPr>
        <w:t>(Source: Author’s analysis from GE consolidated statements)</w:t>
      </w:r>
    </w:p>
    <w:p w14:paraId="14D92754" w14:textId="562E3502" w:rsidR="00E100AD" w:rsidRPr="00E100AD" w:rsidRDefault="00D824DC" w:rsidP="00C465E2">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3D15E0" w:rsidRPr="003D15E0">
        <w:rPr>
          <w:rFonts w:ascii="Arial" w:hAnsi="Arial" w:cs="Arial"/>
        </w:rPr>
        <w:t>The interpretation of these losses points to systemic problems at both the operational management and strategic finance levels.</w:t>
      </w:r>
    </w:p>
    <w:p w14:paraId="69C67D28" w14:textId="77777777" w:rsidR="00E100AD" w:rsidRPr="00E100AD" w:rsidRDefault="00E100AD" w:rsidP="00C465E2">
      <w:pPr>
        <w:spacing w:line="360" w:lineRule="auto"/>
        <w:jc w:val="both"/>
        <w:rPr>
          <w:rFonts w:ascii="Arial" w:hAnsi="Arial" w:cs="Arial"/>
          <w:b/>
          <w:bCs/>
        </w:rPr>
      </w:pPr>
      <w:r w:rsidRPr="00E100AD">
        <w:rPr>
          <w:rFonts w:ascii="Arial" w:hAnsi="Arial" w:cs="Arial"/>
          <w:b/>
          <w:bCs/>
        </w:rPr>
        <w:t>2.2 Ratio Analysis</w:t>
      </w:r>
    </w:p>
    <w:p w14:paraId="33D26B33" w14:textId="77777777" w:rsidR="003D15E0" w:rsidRDefault="003D15E0" w:rsidP="00C465E2">
      <w:pPr>
        <w:spacing w:line="360" w:lineRule="auto"/>
        <w:jc w:val="both"/>
        <w:rPr>
          <w:rFonts w:ascii="Arial" w:hAnsi="Arial" w:cs="Arial"/>
        </w:rPr>
      </w:pPr>
      <w:r w:rsidRPr="003D15E0">
        <w:rPr>
          <w:rFonts w:ascii="Arial" w:hAnsi="Arial" w:cs="Arial"/>
        </w:rPr>
        <w:t xml:space="preserve">A comprehensive analysis of the profitability, liquidity, efficiency, gearing, and investment ratios provides profound insight into the deteriorating state of GE's financial health. The ratio analysis is considered one of the most potent diagnostic tools for the </w:t>
      </w:r>
      <w:r w:rsidRPr="003D15E0">
        <w:rPr>
          <w:rFonts w:ascii="Arial" w:hAnsi="Arial" w:cs="Arial"/>
        </w:rPr>
        <w:lastRenderedPageBreak/>
        <w:t>assessment of financial distress and enjoys tremendous support in the academic finance literature.</w:t>
      </w:r>
    </w:p>
    <w:p w14:paraId="1A830463" w14:textId="37B4F2C6" w:rsidR="00E100AD" w:rsidRPr="00E100AD" w:rsidRDefault="00E100AD" w:rsidP="004B65BA">
      <w:pPr>
        <w:spacing w:line="360" w:lineRule="auto"/>
        <w:rPr>
          <w:rFonts w:ascii="Arial" w:hAnsi="Arial" w:cs="Arial"/>
          <w:b/>
          <w:bCs/>
        </w:rPr>
      </w:pPr>
      <w:r w:rsidRPr="00E100AD">
        <w:rPr>
          <w:rFonts w:ascii="Arial" w:hAnsi="Arial" w:cs="Arial"/>
          <w:b/>
          <w:bCs/>
        </w:rPr>
        <w:t>2.2.1 Profitability Ratios</w:t>
      </w:r>
    </w:p>
    <w:tbl>
      <w:tblPr>
        <w:tblStyle w:val="TableGrid"/>
        <w:tblW w:w="0" w:type="auto"/>
        <w:tblLook w:val="04A0" w:firstRow="1" w:lastRow="0" w:firstColumn="1" w:lastColumn="0" w:noHBand="0" w:noVBand="1"/>
      </w:tblPr>
      <w:tblGrid>
        <w:gridCol w:w="3138"/>
        <w:gridCol w:w="750"/>
        <w:gridCol w:w="750"/>
        <w:gridCol w:w="750"/>
        <w:gridCol w:w="764"/>
        <w:gridCol w:w="764"/>
      </w:tblGrid>
      <w:tr w:rsidR="00E100AD" w:rsidRPr="00E100AD" w14:paraId="37A5D4FB" w14:textId="77777777" w:rsidTr="00E100AD">
        <w:tc>
          <w:tcPr>
            <w:tcW w:w="0" w:type="auto"/>
            <w:hideMark/>
          </w:tcPr>
          <w:p w14:paraId="2F4C1AD0"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Ratio</w:t>
            </w:r>
          </w:p>
        </w:tc>
        <w:tc>
          <w:tcPr>
            <w:tcW w:w="0" w:type="auto"/>
            <w:hideMark/>
          </w:tcPr>
          <w:p w14:paraId="15AD7708"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3ABC1CB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5DA7464A"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75407798"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453905F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124ACC10" w14:textId="77777777" w:rsidTr="00E100AD">
        <w:tc>
          <w:tcPr>
            <w:tcW w:w="0" w:type="auto"/>
            <w:hideMark/>
          </w:tcPr>
          <w:p w14:paraId="6FE86045" w14:textId="77777777" w:rsidR="00E100AD" w:rsidRPr="00E100AD" w:rsidRDefault="00E100AD" w:rsidP="004B65BA">
            <w:pPr>
              <w:spacing w:after="160" w:line="360" w:lineRule="auto"/>
              <w:rPr>
                <w:rFonts w:ascii="Arial" w:hAnsi="Arial" w:cs="Arial"/>
              </w:rPr>
            </w:pPr>
            <w:r w:rsidRPr="00E100AD">
              <w:rPr>
                <w:rFonts w:ascii="Arial" w:hAnsi="Arial" w:cs="Arial"/>
              </w:rPr>
              <w:t>Gross Profit Margin (%)</w:t>
            </w:r>
          </w:p>
        </w:tc>
        <w:tc>
          <w:tcPr>
            <w:tcW w:w="0" w:type="auto"/>
            <w:hideMark/>
          </w:tcPr>
          <w:p w14:paraId="40C23505" w14:textId="77777777" w:rsidR="00E100AD" w:rsidRPr="00E100AD" w:rsidRDefault="00E100AD" w:rsidP="004B65BA">
            <w:pPr>
              <w:spacing w:after="160" w:line="360" w:lineRule="auto"/>
              <w:rPr>
                <w:rFonts w:ascii="Arial" w:hAnsi="Arial" w:cs="Arial"/>
              </w:rPr>
            </w:pPr>
            <w:r w:rsidRPr="00E100AD">
              <w:rPr>
                <w:rFonts w:ascii="Arial" w:hAnsi="Arial" w:cs="Arial"/>
              </w:rPr>
              <w:t>28.7</w:t>
            </w:r>
          </w:p>
        </w:tc>
        <w:tc>
          <w:tcPr>
            <w:tcW w:w="0" w:type="auto"/>
            <w:hideMark/>
          </w:tcPr>
          <w:p w14:paraId="7578E7B1" w14:textId="77777777" w:rsidR="00E100AD" w:rsidRPr="00E100AD" w:rsidRDefault="00E100AD" w:rsidP="004B65BA">
            <w:pPr>
              <w:spacing w:after="160" w:line="360" w:lineRule="auto"/>
              <w:rPr>
                <w:rFonts w:ascii="Arial" w:hAnsi="Arial" w:cs="Arial"/>
              </w:rPr>
            </w:pPr>
            <w:r w:rsidRPr="00E100AD">
              <w:rPr>
                <w:rFonts w:ascii="Arial" w:hAnsi="Arial" w:cs="Arial"/>
              </w:rPr>
              <w:t>28.8</w:t>
            </w:r>
          </w:p>
        </w:tc>
        <w:tc>
          <w:tcPr>
            <w:tcW w:w="0" w:type="auto"/>
            <w:hideMark/>
          </w:tcPr>
          <w:p w14:paraId="3A5D5A33" w14:textId="77777777" w:rsidR="00E100AD" w:rsidRPr="00E100AD" w:rsidRDefault="00E100AD" w:rsidP="004B65BA">
            <w:pPr>
              <w:spacing w:after="160" w:line="360" w:lineRule="auto"/>
              <w:rPr>
                <w:rFonts w:ascii="Arial" w:hAnsi="Arial" w:cs="Arial"/>
              </w:rPr>
            </w:pPr>
            <w:r w:rsidRPr="00E100AD">
              <w:rPr>
                <w:rFonts w:ascii="Arial" w:hAnsi="Arial" w:cs="Arial"/>
              </w:rPr>
              <w:t>28.1</w:t>
            </w:r>
          </w:p>
        </w:tc>
        <w:tc>
          <w:tcPr>
            <w:tcW w:w="0" w:type="auto"/>
            <w:hideMark/>
          </w:tcPr>
          <w:p w14:paraId="2A5A3BC2" w14:textId="77777777" w:rsidR="00E100AD" w:rsidRPr="00E100AD" w:rsidRDefault="00E100AD" w:rsidP="004B65BA">
            <w:pPr>
              <w:spacing w:after="160" w:line="360" w:lineRule="auto"/>
              <w:rPr>
                <w:rFonts w:ascii="Arial" w:hAnsi="Arial" w:cs="Arial"/>
              </w:rPr>
            </w:pPr>
            <w:r w:rsidRPr="00E100AD">
              <w:rPr>
                <w:rFonts w:ascii="Arial" w:hAnsi="Arial" w:cs="Arial"/>
              </w:rPr>
              <w:t>23.2</w:t>
            </w:r>
          </w:p>
        </w:tc>
        <w:tc>
          <w:tcPr>
            <w:tcW w:w="0" w:type="auto"/>
            <w:hideMark/>
          </w:tcPr>
          <w:p w14:paraId="62B34429" w14:textId="77777777" w:rsidR="00E100AD" w:rsidRPr="00E100AD" w:rsidRDefault="00E100AD" w:rsidP="004B65BA">
            <w:pPr>
              <w:spacing w:after="160" w:line="360" w:lineRule="auto"/>
              <w:rPr>
                <w:rFonts w:ascii="Arial" w:hAnsi="Arial" w:cs="Arial"/>
              </w:rPr>
            </w:pPr>
            <w:r w:rsidRPr="00E100AD">
              <w:rPr>
                <w:rFonts w:ascii="Arial" w:hAnsi="Arial" w:cs="Arial"/>
              </w:rPr>
              <w:t>28.9</w:t>
            </w:r>
          </w:p>
        </w:tc>
      </w:tr>
      <w:tr w:rsidR="00E100AD" w:rsidRPr="00E100AD" w14:paraId="0283CB52" w14:textId="77777777" w:rsidTr="00E100AD">
        <w:tc>
          <w:tcPr>
            <w:tcW w:w="0" w:type="auto"/>
            <w:hideMark/>
          </w:tcPr>
          <w:p w14:paraId="5A833C41" w14:textId="77777777" w:rsidR="00E100AD" w:rsidRPr="00E100AD" w:rsidRDefault="00E100AD" w:rsidP="004B65BA">
            <w:pPr>
              <w:spacing w:after="160" w:line="360" w:lineRule="auto"/>
              <w:rPr>
                <w:rFonts w:ascii="Arial" w:hAnsi="Arial" w:cs="Arial"/>
              </w:rPr>
            </w:pPr>
            <w:r w:rsidRPr="00E100AD">
              <w:rPr>
                <w:rFonts w:ascii="Arial" w:hAnsi="Arial" w:cs="Arial"/>
              </w:rPr>
              <w:t>Operating Margin (%)</w:t>
            </w:r>
          </w:p>
        </w:tc>
        <w:tc>
          <w:tcPr>
            <w:tcW w:w="0" w:type="auto"/>
            <w:hideMark/>
          </w:tcPr>
          <w:p w14:paraId="77AB7D86" w14:textId="77777777" w:rsidR="00E100AD" w:rsidRPr="00E100AD" w:rsidRDefault="00E100AD" w:rsidP="004B65BA">
            <w:pPr>
              <w:spacing w:after="160" w:line="360" w:lineRule="auto"/>
              <w:rPr>
                <w:rFonts w:ascii="Arial" w:hAnsi="Arial" w:cs="Arial"/>
              </w:rPr>
            </w:pPr>
            <w:r w:rsidRPr="00E100AD">
              <w:rPr>
                <w:rFonts w:ascii="Arial" w:hAnsi="Arial" w:cs="Arial"/>
              </w:rPr>
              <w:t>6.1</w:t>
            </w:r>
          </w:p>
        </w:tc>
        <w:tc>
          <w:tcPr>
            <w:tcW w:w="0" w:type="auto"/>
            <w:hideMark/>
          </w:tcPr>
          <w:p w14:paraId="08FB7DD0" w14:textId="77777777" w:rsidR="00E100AD" w:rsidRPr="00E100AD" w:rsidRDefault="00E100AD" w:rsidP="004B65BA">
            <w:pPr>
              <w:spacing w:after="160" w:line="360" w:lineRule="auto"/>
              <w:rPr>
                <w:rFonts w:ascii="Arial" w:hAnsi="Arial" w:cs="Arial"/>
              </w:rPr>
            </w:pPr>
            <w:r w:rsidRPr="00E100AD">
              <w:rPr>
                <w:rFonts w:ascii="Arial" w:hAnsi="Arial" w:cs="Arial"/>
              </w:rPr>
              <w:t>3.9</w:t>
            </w:r>
          </w:p>
        </w:tc>
        <w:tc>
          <w:tcPr>
            <w:tcW w:w="0" w:type="auto"/>
            <w:hideMark/>
          </w:tcPr>
          <w:p w14:paraId="3316390E" w14:textId="77777777" w:rsidR="00E100AD" w:rsidRPr="00E100AD" w:rsidRDefault="00E100AD" w:rsidP="004B65BA">
            <w:pPr>
              <w:spacing w:after="160" w:line="360" w:lineRule="auto"/>
              <w:rPr>
                <w:rFonts w:ascii="Arial" w:hAnsi="Arial" w:cs="Arial"/>
              </w:rPr>
            </w:pPr>
            <w:r w:rsidRPr="00E100AD">
              <w:rPr>
                <w:rFonts w:ascii="Arial" w:hAnsi="Arial" w:cs="Arial"/>
              </w:rPr>
              <w:t>2.7</w:t>
            </w:r>
          </w:p>
        </w:tc>
        <w:tc>
          <w:tcPr>
            <w:tcW w:w="0" w:type="auto"/>
            <w:hideMark/>
          </w:tcPr>
          <w:p w14:paraId="7697932B" w14:textId="77777777" w:rsidR="00E100AD" w:rsidRPr="00E100AD" w:rsidRDefault="00E100AD" w:rsidP="004B65BA">
            <w:pPr>
              <w:spacing w:after="160" w:line="360" w:lineRule="auto"/>
              <w:rPr>
                <w:rFonts w:ascii="Arial" w:hAnsi="Arial" w:cs="Arial"/>
              </w:rPr>
            </w:pPr>
            <w:r w:rsidRPr="00E100AD">
              <w:rPr>
                <w:rFonts w:ascii="Arial" w:hAnsi="Arial" w:cs="Arial"/>
              </w:rPr>
              <w:t>-20.3</w:t>
            </w:r>
          </w:p>
        </w:tc>
        <w:tc>
          <w:tcPr>
            <w:tcW w:w="0" w:type="auto"/>
            <w:hideMark/>
          </w:tcPr>
          <w:p w14:paraId="2FF5C498" w14:textId="77777777" w:rsidR="00E100AD" w:rsidRPr="00E100AD" w:rsidRDefault="00E100AD" w:rsidP="004B65BA">
            <w:pPr>
              <w:spacing w:after="160" w:line="360" w:lineRule="auto"/>
              <w:rPr>
                <w:rFonts w:ascii="Arial" w:hAnsi="Arial" w:cs="Arial"/>
              </w:rPr>
            </w:pPr>
            <w:r w:rsidRPr="00E100AD">
              <w:rPr>
                <w:rFonts w:ascii="Arial" w:hAnsi="Arial" w:cs="Arial"/>
              </w:rPr>
              <w:t>-3.9</w:t>
            </w:r>
          </w:p>
        </w:tc>
      </w:tr>
      <w:tr w:rsidR="00E100AD" w:rsidRPr="00E100AD" w14:paraId="00EF9ECA" w14:textId="77777777" w:rsidTr="00E100AD">
        <w:tc>
          <w:tcPr>
            <w:tcW w:w="0" w:type="auto"/>
            <w:hideMark/>
          </w:tcPr>
          <w:p w14:paraId="151BC2F0" w14:textId="77777777" w:rsidR="00E100AD" w:rsidRPr="00E100AD" w:rsidRDefault="00E100AD" w:rsidP="004B65BA">
            <w:pPr>
              <w:spacing w:after="160" w:line="360" w:lineRule="auto"/>
              <w:rPr>
                <w:rFonts w:ascii="Arial" w:hAnsi="Arial" w:cs="Arial"/>
              </w:rPr>
            </w:pPr>
            <w:r w:rsidRPr="00E100AD">
              <w:rPr>
                <w:rFonts w:ascii="Arial" w:hAnsi="Arial" w:cs="Arial"/>
              </w:rPr>
              <w:t>Net Profit Margin (%)</w:t>
            </w:r>
          </w:p>
        </w:tc>
        <w:tc>
          <w:tcPr>
            <w:tcW w:w="0" w:type="auto"/>
            <w:hideMark/>
          </w:tcPr>
          <w:p w14:paraId="651222DE" w14:textId="77777777" w:rsidR="00E100AD" w:rsidRPr="00E100AD" w:rsidRDefault="00E100AD" w:rsidP="004B65BA">
            <w:pPr>
              <w:spacing w:after="160" w:line="360" w:lineRule="auto"/>
              <w:rPr>
                <w:rFonts w:ascii="Arial" w:hAnsi="Arial" w:cs="Arial"/>
              </w:rPr>
            </w:pPr>
            <w:r w:rsidRPr="00E100AD">
              <w:rPr>
                <w:rFonts w:ascii="Arial" w:hAnsi="Arial" w:cs="Arial"/>
              </w:rPr>
              <w:t>6.3</w:t>
            </w:r>
          </w:p>
        </w:tc>
        <w:tc>
          <w:tcPr>
            <w:tcW w:w="0" w:type="auto"/>
            <w:hideMark/>
          </w:tcPr>
          <w:p w14:paraId="03D0798A" w14:textId="77777777" w:rsidR="00E100AD" w:rsidRPr="00E100AD" w:rsidRDefault="00E100AD" w:rsidP="004B65BA">
            <w:pPr>
              <w:spacing w:after="160" w:line="360" w:lineRule="auto"/>
              <w:rPr>
                <w:rFonts w:ascii="Arial" w:hAnsi="Arial" w:cs="Arial"/>
              </w:rPr>
            </w:pPr>
            <w:r w:rsidRPr="00E100AD">
              <w:rPr>
                <w:rFonts w:ascii="Arial" w:hAnsi="Arial" w:cs="Arial"/>
              </w:rPr>
              <w:t>0.9</w:t>
            </w:r>
          </w:p>
        </w:tc>
        <w:tc>
          <w:tcPr>
            <w:tcW w:w="0" w:type="auto"/>
            <w:hideMark/>
          </w:tcPr>
          <w:p w14:paraId="6FD36345" w14:textId="77777777" w:rsidR="00E100AD" w:rsidRPr="00E100AD" w:rsidRDefault="00E100AD" w:rsidP="004B65BA">
            <w:pPr>
              <w:spacing w:after="160" w:line="360" w:lineRule="auto"/>
              <w:rPr>
                <w:rFonts w:ascii="Arial" w:hAnsi="Arial" w:cs="Arial"/>
              </w:rPr>
            </w:pPr>
            <w:r w:rsidRPr="00E100AD">
              <w:rPr>
                <w:rFonts w:ascii="Arial" w:hAnsi="Arial" w:cs="Arial"/>
              </w:rPr>
              <w:t>0.1</w:t>
            </w:r>
          </w:p>
        </w:tc>
        <w:tc>
          <w:tcPr>
            <w:tcW w:w="0" w:type="auto"/>
            <w:hideMark/>
          </w:tcPr>
          <w:p w14:paraId="1B943A7D" w14:textId="77777777" w:rsidR="00E100AD" w:rsidRPr="00E100AD" w:rsidRDefault="00E100AD" w:rsidP="004B65BA">
            <w:pPr>
              <w:spacing w:after="160" w:line="360" w:lineRule="auto"/>
              <w:rPr>
                <w:rFonts w:ascii="Arial" w:hAnsi="Arial" w:cs="Arial"/>
              </w:rPr>
            </w:pPr>
            <w:r w:rsidRPr="00E100AD">
              <w:rPr>
                <w:rFonts w:ascii="Arial" w:hAnsi="Arial" w:cs="Arial"/>
              </w:rPr>
              <w:t>-23.4</w:t>
            </w:r>
          </w:p>
        </w:tc>
        <w:tc>
          <w:tcPr>
            <w:tcW w:w="0" w:type="auto"/>
            <w:hideMark/>
          </w:tcPr>
          <w:p w14:paraId="2094A0F5" w14:textId="77777777" w:rsidR="00E100AD" w:rsidRPr="00E100AD" w:rsidRDefault="00E100AD" w:rsidP="004B65BA">
            <w:pPr>
              <w:spacing w:after="160" w:line="360" w:lineRule="auto"/>
              <w:rPr>
                <w:rFonts w:ascii="Arial" w:hAnsi="Arial" w:cs="Arial"/>
              </w:rPr>
            </w:pPr>
            <w:r w:rsidRPr="00E100AD">
              <w:rPr>
                <w:rFonts w:ascii="Arial" w:hAnsi="Arial" w:cs="Arial"/>
              </w:rPr>
              <w:t>-6.1</w:t>
            </w:r>
          </w:p>
        </w:tc>
      </w:tr>
      <w:tr w:rsidR="00E100AD" w:rsidRPr="00E100AD" w14:paraId="11797B67" w14:textId="77777777" w:rsidTr="00E100AD">
        <w:tc>
          <w:tcPr>
            <w:tcW w:w="0" w:type="auto"/>
            <w:hideMark/>
          </w:tcPr>
          <w:p w14:paraId="03AB5F50" w14:textId="77777777" w:rsidR="00E100AD" w:rsidRPr="00E100AD" w:rsidRDefault="00E100AD" w:rsidP="004B65BA">
            <w:pPr>
              <w:spacing w:after="160" w:line="360" w:lineRule="auto"/>
              <w:rPr>
                <w:rFonts w:ascii="Arial" w:hAnsi="Arial" w:cs="Arial"/>
              </w:rPr>
            </w:pPr>
            <w:r w:rsidRPr="00E100AD">
              <w:rPr>
                <w:rFonts w:ascii="Arial" w:hAnsi="Arial" w:cs="Arial"/>
              </w:rPr>
              <w:t>Return on Assets (ROA, %)</w:t>
            </w:r>
          </w:p>
        </w:tc>
        <w:tc>
          <w:tcPr>
            <w:tcW w:w="0" w:type="auto"/>
            <w:hideMark/>
          </w:tcPr>
          <w:p w14:paraId="60742ED1" w14:textId="77777777" w:rsidR="00E100AD" w:rsidRPr="00E100AD" w:rsidRDefault="00E100AD" w:rsidP="004B65BA">
            <w:pPr>
              <w:spacing w:after="160" w:line="360" w:lineRule="auto"/>
              <w:rPr>
                <w:rFonts w:ascii="Arial" w:hAnsi="Arial" w:cs="Arial"/>
              </w:rPr>
            </w:pPr>
            <w:r w:rsidRPr="00E100AD">
              <w:rPr>
                <w:rFonts w:ascii="Arial" w:hAnsi="Arial" w:cs="Arial"/>
              </w:rPr>
              <w:t>7.6</w:t>
            </w:r>
          </w:p>
        </w:tc>
        <w:tc>
          <w:tcPr>
            <w:tcW w:w="0" w:type="auto"/>
            <w:hideMark/>
          </w:tcPr>
          <w:p w14:paraId="6434FA72" w14:textId="77777777" w:rsidR="00E100AD" w:rsidRPr="00E100AD" w:rsidRDefault="00E100AD" w:rsidP="004B65BA">
            <w:pPr>
              <w:spacing w:after="160" w:line="360" w:lineRule="auto"/>
              <w:rPr>
                <w:rFonts w:ascii="Arial" w:hAnsi="Arial" w:cs="Arial"/>
              </w:rPr>
            </w:pPr>
            <w:r w:rsidRPr="00E100AD">
              <w:rPr>
                <w:rFonts w:ascii="Arial" w:hAnsi="Arial" w:cs="Arial"/>
              </w:rPr>
              <w:t>1.0</w:t>
            </w:r>
          </w:p>
        </w:tc>
        <w:tc>
          <w:tcPr>
            <w:tcW w:w="0" w:type="auto"/>
            <w:hideMark/>
          </w:tcPr>
          <w:p w14:paraId="5F78E54B" w14:textId="77777777" w:rsidR="00E100AD" w:rsidRPr="00E100AD" w:rsidRDefault="00E100AD" w:rsidP="004B65BA">
            <w:pPr>
              <w:spacing w:after="160" w:line="360" w:lineRule="auto"/>
              <w:rPr>
                <w:rFonts w:ascii="Arial" w:hAnsi="Arial" w:cs="Arial"/>
              </w:rPr>
            </w:pPr>
            <w:r w:rsidRPr="00E100AD">
              <w:rPr>
                <w:rFonts w:ascii="Arial" w:hAnsi="Arial" w:cs="Arial"/>
              </w:rPr>
              <w:t>0.08</w:t>
            </w:r>
          </w:p>
        </w:tc>
        <w:tc>
          <w:tcPr>
            <w:tcW w:w="0" w:type="auto"/>
            <w:hideMark/>
          </w:tcPr>
          <w:p w14:paraId="3C014E14" w14:textId="77777777" w:rsidR="00E100AD" w:rsidRPr="00E100AD" w:rsidRDefault="00E100AD" w:rsidP="004B65BA">
            <w:pPr>
              <w:spacing w:after="160" w:line="360" w:lineRule="auto"/>
              <w:rPr>
                <w:rFonts w:ascii="Arial" w:hAnsi="Arial" w:cs="Arial"/>
              </w:rPr>
            </w:pPr>
            <w:r w:rsidRPr="00E100AD">
              <w:rPr>
                <w:rFonts w:ascii="Arial" w:hAnsi="Arial" w:cs="Arial"/>
              </w:rPr>
              <w:t>-27.6</w:t>
            </w:r>
          </w:p>
        </w:tc>
        <w:tc>
          <w:tcPr>
            <w:tcW w:w="0" w:type="auto"/>
            <w:hideMark/>
          </w:tcPr>
          <w:p w14:paraId="191D3B52" w14:textId="77777777" w:rsidR="00E100AD" w:rsidRPr="00E100AD" w:rsidRDefault="00E100AD" w:rsidP="004B65BA">
            <w:pPr>
              <w:spacing w:after="160" w:line="360" w:lineRule="auto"/>
              <w:rPr>
                <w:rFonts w:ascii="Arial" w:hAnsi="Arial" w:cs="Arial"/>
              </w:rPr>
            </w:pPr>
            <w:r w:rsidRPr="00E100AD">
              <w:rPr>
                <w:rFonts w:ascii="Arial" w:hAnsi="Arial" w:cs="Arial"/>
              </w:rPr>
              <w:t>-7.4</w:t>
            </w:r>
          </w:p>
        </w:tc>
      </w:tr>
      <w:tr w:rsidR="00E100AD" w:rsidRPr="00E100AD" w14:paraId="084E54D3" w14:textId="77777777" w:rsidTr="00E100AD">
        <w:tc>
          <w:tcPr>
            <w:tcW w:w="0" w:type="auto"/>
            <w:hideMark/>
          </w:tcPr>
          <w:p w14:paraId="7C7FE43F" w14:textId="77777777" w:rsidR="00E100AD" w:rsidRPr="00E100AD" w:rsidRDefault="00E100AD" w:rsidP="004B65BA">
            <w:pPr>
              <w:spacing w:after="160" w:line="360" w:lineRule="auto"/>
              <w:rPr>
                <w:rFonts w:ascii="Arial" w:hAnsi="Arial" w:cs="Arial"/>
              </w:rPr>
            </w:pPr>
            <w:r w:rsidRPr="00E100AD">
              <w:rPr>
                <w:rFonts w:ascii="Arial" w:hAnsi="Arial" w:cs="Arial"/>
              </w:rPr>
              <w:t>Return on Equity (ROE, %)</w:t>
            </w:r>
          </w:p>
        </w:tc>
        <w:tc>
          <w:tcPr>
            <w:tcW w:w="0" w:type="auto"/>
            <w:hideMark/>
          </w:tcPr>
          <w:p w14:paraId="5164502D" w14:textId="77777777" w:rsidR="00E100AD" w:rsidRPr="00E100AD" w:rsidRDefault="00E100AD" w:rsidP="004B65BA">
            <w:pPr>
              <w:spacing w:after="160" w:line="360" w:lineRule="auto"/>
              <w:rPr>
                <w:rFonts w:ascii="Arial" w:hAnsi="Arial" w:cs="Arial"/>
              </w:rPr>
            </w:pPr>
            <w:r w:rsidRPr="00E100AD">
              <w:rPr>
                <w:rFonts w:ascii="Arial" w:hAnsi="Arial" w:cs="Arial"/>
              </w:rPr>
              <w:t>12.3</w:t>
            </w:r>
          </w:p>
        </w:tc>
        <w:tc>
          <w:tcPr>
            <w:tcW w:w="0" w:type="auto"/>
            <w:hideMark/>
          </w:tcPr>
          <w:p w14:paraId="1064C1F7" w14:textId="77777777" w:rsidR="00E100AD" w:rsidRPr="00E100AD" w:rsidRDefault="00E100AD" w:rsidP="004B65BA">
            <w:pPr>
              <w:spacing w:after="160" w:line="360" w:lineRule="auto"/>
              <w:rPr>
                <w:rFonts w:ascii="Arial" w:hAnsi="Arial" w:cs="Arial"/>
              </w:rPr>
            </w:pPr>
            <w:r w:rsidRPr="00E100AD">
              <w:rPr>
                <w:rFonts w:ascii="Arial" w:hAnsi="Arial" w:cs="Arial"/>
              </w:rPr>
              <w:t>1.6</w:t>
            </w:r>
          </w:p>
        </w:tc>
        <w:tc>
          <w:tcPr>
            <w:tcW w:w="0" w:type="auto"/>
            <w:hideMark/>
          </w:tcPr>
          <w:p w14:paraId="0471DEA0" w14:textId="77777777" w:rsidR="00E100AD" w:rsidRPr="00E100AD" w:rsidRDefault="00E100AD" w:rsidP="004B65BA">
            <w:pPr>
              <w:spacing w:after="160" w:line="360" w:lineRule="auto"/>
              <w:rPr>
                <w:rFonts w:ascii="Arial" w:hAnsi="Arial" w:cs="Arial"/>
              </w:rPr>
            </w:pPr>
            <w:r w:rsidRPr="00E100AD">
              <w:rPr>
                <w:rFonts w:ascii="Arial" w:hAnsi="Arial" w:cs="Arial"/>
              </w:rPr>
              <w:t>0.15</w:t>
            </w:r>
          </w:p>
        </w:tc>
        <w:tc>
          <w:tcPr>
            <w:tcW w:w="0" w:type="auto"/>
            <w:hideMark/>
          </w:tcPr>
          <w:p w14:paraId="1F7654F4" w14:textId="77777777" w:rsidR="00E100AD" w:rsidRPr="00E100AD" w:rsidRDefault="00E100AD" w:rsidP="004B65BA">
            <w:pPr>
              <w:spacing w:after="160" w:line="360" w:lineRule="auto"/>
              <w:rPr>
                <w:rFonts w:ascii="Arial" w:hAnsi="Arial" w:cs="Arial"/>
              </w:rPr>
            </w:pPr>
            <w:r w:rsidRPr="00E100AD">
              <w:rPr>
                <w:rFonts w:ascii="Arial" w:hAnsi="Arial" w:cs="Arial"/>
              </w:rPr>
              <w:t>-54.9</w:t>
            </w:r>
          </w:p>
        </w:tc>
        <w:tc>
          <w:tcPr>
            <w:tcW w:w="0" w:type="auto"/>
            <w:hideMark/>
          </w:tcPr>
          <w:p w14:paraId="19A5CA4B" w14:textId="77777777" w:rsidR="00E100AD" w:rsidRPr="00E100AD" w:rsidRDefault="00E100AD" w:rsidP="004B65BA">
            <w:pPr>
              <w:spacing w:after="160" w:line="360" w:lineRule="auto"/>
              <w:rPr>
                <w:rFonts w:ascii="Arial" w:hAnsi="Arial" w:cs="Arial"/>
              </w:rPr>
            </w:pPr>
            <w:r w:rsidRPr="00E100AD">
              <w:rPr>
                <w:rFonts w:ascii="Arial" w:hAnsi="Arial" w:cs="Arial"/>
              </w:rPr>
              <w:t>-15.7</w:t>
            </w:r>
          </w:p>
        </w:tc>
      </w:tr>
    </w:tbl>
    <w:p w14:paraId="5A7FBD2D" w14:textId="348C3ACA" w:rsidR="00A15871" w:rsidRDefault="00303986" w:rsidP="00C465E2">
      <w:pPr>
        <w:spacing w:line="360" w:lineRule="auto"/>
        <w:jc w:val="both"/>
        <w:rPr>
          <w:rFonts w:ascii="Arial" w:hAnsi="Arial" w:cs="Arial"/>
        </w:rPr>
      </w:pPr>
      <w:r w:rsidRPr="00303986">
        <w:rPr>
          <w:rFonts w:ascii="Arial" w:hAnsi="Arial" w:cs="Arial"/>
          <w:b/>
          <w:bCs/>
        </w:rPr>
        <w:t xml:space="preserve">Interpretation: </w:t>
      </w:r>
      <w:r w:rsidR="00A15871" w:rsidRPr="00A15871">
        <w:rPr>
          <w:rFonts w:ascii="Arial" w:hAnsi="Arial" w:cs="Arial"/>
        </w:rPr>
        <w:t>Profitability fell sharply from 2021, with operating margins collapsing from 6.1% to –3.9%, reflecting declining cost efficiency, weak revenue generation relative to operating expenses, and overinvestment (Ismail, 2022).</w:t>
      </w:r>
      <w:r w:rsidR="00A15871" w:rsidRPr="00A15871">
        <w:rPr>
          <w:rFonts w:ascii="Arial" w:hAnsi="Arial" w:cs="Arial"/>
        </w:rPr>
        <w:br/>
        <w:t>Sustained negative ROA and ROE across 2023–2024 show that GE is no longer generating value from its assets and is destroying shareholder equity, consistent with firms entering pre-bankruptcy decline (Altman et al., 2020).</w:t>
      </w:r>
      <w:r w:rsidR="00A15871" w:rsidRPr="00A15871">
        <w:rPr>
          <w:rFonts w:ascii="Arial" w:hAnsi="Arial" w:cs="Arial"/>
        </w:rPr>
        <w:br/>
        <w:t>Overall, GE is operating far below sustainable levels of profit</w:t>
      </w:r>
      <w:r w:rsidR="002D29E6">
        <w:rPr>
          <w:rFonts w:ascii="Arial" w:hAnsi="Arial" w:cs="Arial"/>
        </w:rPr>
        <w:t>ability.</w:t>
      </w:r>
    </w:p>
    <w:p w14:paraId="672926E4" w14:textId="241526D7" w:rsidR="00E100AD" w:rsidRPr="00E100AD" w:rsidRDefault="00E100AD" w:rsidP="00C465E2">
      <w:pPr>
        <w:spacing w:line="360" w:lineRule="auto"/>
        <w:jc w:val="both"/>
        <w:rPr>
          <w:rFonts w:ascii="Arial" w:hAnsi="Arial" w:cs="Arial"/>
          <w:b/>
          <w:bCs/>
        </w:rPr>
      </w:pPr>
      <w:r w:rsidRPr="00E100AD">
        <w:rPr>
          <w:rFonts w:ascii="Arial" w:hAnsi="Arial" w:cs="Arial"/>
          <w:b/>
          <w:bCs/>
        </w:rPr>
        <w:t>2.2.2 Liquidity Ratios</w:t>
      </w:r>
    </w:p>
    <w:tbl>
      <w:tblPr>
        <w:tblStyle w:val="TableGrid"/>
        <w:tblW w:w="0" w:type="auto"/>
        <w:tblLook w:val="04A0" w:firstRow="1" w:lastRow="0" w:firstColumn="1" w:lastColumn="0" w:noHBand="0" w:noVBand="1"/>
      </w:tblPr>
      <w:tblGrid>
        <w:gridCol w:w="1644"/>
        <w:gridCol w:w="750"/>
        <w:gridCol w:w="750"/>
        <w:gridCol w:w="750"/>
        <w:gridCol w:w="750"/>
        <w:gridCol w:w="750"/>
      </w:tblGrid>
      <w:tr w:rsidR="00E100AD" w:rsidRPr="00E100AD" w14:paraId="43BE8FE3" w14:textId="77777777" w:rsidTr="00E100AD">
        <w:tc>
          <w:tcPr>
            <w:tcW w:w="0" w:type="auto"/>
            <w:hideMark/>
          </w:tcPr>
          <w:p w14:paraId="30C5D51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Ratio</w:t>
            </w:r>
          </w:p>
        </w:tc>
        <w:tc>
          <w:tcPr>
            <w:tcW w:w="0" w:type="auto"/>
            <w:hideMark/>
          </w:tcPr>
          <w:p w14:paraId="308BB7A8"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7B1170A2"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671AF76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1093051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7337EE5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51D5204A" w14:textId="77777777" w:rsidTr="00E100AD">
        <w:tc>
          <w:tcPr>
            <w:tcW w:w="0" w:type="auto"/>
            <w:hideMark/>
          </w:tcPr>
          <w:p w14:paraId="00A2D80D" w14:textId="77777777" w:rsidR="00E100AD" w:rsidRPr="00E100AD" w:rsidRDefault="00E100AD" w:rsidP="004B65BA">
            <w:pPr>
              <w:spacing w:after="160" w:line="360" w:lineRule="auto"/>
              <w:rPr>
                <w:rFonts w:ascii="Arial" w:hAnsi="Arial" w:cs="Arial"/>
              </w:rPr>
            </w:pPr>
            <w:r w:rsidRPr="00E100AD">
              <w:rPr>
                <w:rFonts w:ascii="Arial" w:hAnsi="Arial" w:cs="Arial"/>
              </w:rPr>
              <w:t>Current Ratio</w:t>
            </w:r>
          </w:p>
        </w:tc>
        <w:tc>
          <w:tcPr>
            <w:tcW w:w="0" w:type="auto"/>
            <w:hideMark/>
          </w:tcPr>
          <w:p w14:paraId="0247235F" w14:textId="77777777" w:rsidR="00E100AD" w:rsidRPr="00E100AD" w:rsidRDefault="00E100AD" w:rsidP="004B65BA">
            <w:pPr>
              <w:spacing w:after="160" w:line="360" w:lineRule="auto"/>
              <w:rPr>
                <w:rFonts w:ascii="Arial" w:hAnsi="Arial" w:cs="Arial"/>
              </w:rPr>
            </w:pPr>
            <w:r w:rsidRPr="00E100AD">
              <w:rPr>
                <w:rFonts w:ascii="Arial" w:hAnsi="Arial" w:cs="Arial"/>
              </w:rPr>
              <w:t>1.82</w:t>
            </w:r>
          </w:p>
        </w:tc>
        <w:tc>
          <w:tcPr>
            <w:tcW w:w="0" w:type="auto"/>
            <w:hideMark/>
          </w:tcPr>
          <w:p w14:paraId="7E24B346" w14:textId="77777777" w:rsidR="00E100AD" w:rsidRPr="00E100AD" w:rsidRDefault="00E100AD" w:rsidP="004B65BA">
            <w:pPr>
              <w:spacing w:after="160" w:line="360" w:lineRule="auto"/>
              <w:rPr>
                <w:rFonts w:ascii="Arial" w:hAnsi="Arial" w:cs="Arial"/>
              </w:rPr>
            </w:pPr>
            <w:r w:rsidRPr="00E100AD">
              <w:rPr>
                <w:rFonts w:ascii="Arial" w:hAnsi="Arial" w:cs="Arial"/>
              </w:rPr>
              <w:t>1.55</w:t>
            </w:r>
          </w:p>
        </w:tc>
        <w:tc>
          <w:tcPr>
            <w:tcW w:w="0" w:type="auto"/>
            <w:hideMark/>
          </w:tcPr>
          <w:p w14:paraId="60FE7FDF" w14:textId="77777777" w:rsidR="00E100AD" w:rsidRPr="00E100AD" w:rsidRDefault="00E100AD" w:rsidP="004B65BA">
            <w:pPr>
              <w:spacing w:after="160" w:line="360" w:lineRule="auto"/>
              <w:rPr>
                <w:rFonts w:ascii="Arial" w:hAnsi="Arial" w:cs="Arial"/>
              </w:rPr>
            </w:pPr>
            <w:r w:rsidRPr="00E100AD">
              <w:rPr>
                <w:rFonts w:ascii="Arial" w:hAnsi="Arial" w:cs="Arial"/>
              </w:rPr>
              <w:t>1.56</w:t>
            </w:r>
          </w:p>
        </w:tc>
        <w:tc>
          <w:tcPr>
            <w:tcW w:w="0" w:type="auto"/>
            <w:hideMark/>
          </w:tcPr>
          <w:p w14:paraId="1E7C6DD9" w14:textId="77777777" w:rsidR="00E100AD" w:rsidRPr="00E100AD" w:rsidRDefault="00E100AD" w:rsidP="004B65BA">
            <w:pPr>
              <w:spacing w:after="160" w:line="360" w:lineRule="auto"/>
              <w:rPr>
                <w:rFonts w:ascii="Arial" w:hAnsi="Arial" w:cs="Arial"/>
              </w:rPr>
            </w:pPr>
            <w:r w:rsidRPr="00E100AD">
              <w:rPr>
                <w:rFonts w:ascii="Arial" w:hAnsi="Arial" w:cs="Arial"/>
              </w:rPr>
              <w:t>1.61</w:t>
            </w:r>
          </w:p>
        </w:tc>
        <w:tc>
          <w:tcPr>
            <w:tcW w:w="0" w:type="auto"/>
            <w:hideMark/>
          </w:tcPr>
          <w:p w14:paraId="268EDD86" w14:textId="77777777" w:rsidR="00E100AD" w:rsidRPr="00E100AD" w:rsidRDefault="00E100AD" w:rsidP="004B65BA">
            <w:pPr>
              <w:spacing w:after="160" w:line="360" w:lineRule="auto"/>
              <w:rPr>
                <w:rFonts w:ascii="Arial" w:hAnsi="Arial" w:cs="Arial"/>
              </w:rPr>
            </w:pPr>
            <w:r w:rsidRPr="00E100AD">
              <w:rPr>
                <w:rFonts w:ascii="Arial" w:hAnsi="Arial" w:cs="Arial"/>
              </w:rPr>
              <w:t>1.53</w:t>
            </w:r>
          </w:p>
        </w:tc>
      </w:tr>
      <w:tr w:rsidR="00E100AD" w:rsidRPr="00E100AD" w14:paraId="14740007" w14:textId="77777777" w:rsidTr="00E100AD">
        <w:tc>
          <w:tcPr>
            <w:tcW w:w="0" w:type="auto"/>
            <w:hideMark/>
          </w:tcPr>
          <w:p w14:paraId="7844A313" w14:textId="77777777" w:rsidR="00E100AD" w:rsidRPr="00E100AD" w:rsidRDefault="00E100AD" w:rsidP="004B65BA">
            <w:pPr>
              <w:spacing w:after="160" w:line="360" w:lineRule="auto"/>
              <w:rPr>
                <w:rFonts w:ascii="Arial" w:hAnsi="Arial" w:cs="Arial"/>
              </w:rPr>
            </w:pPr>
            <w:r w:rsidRPr="00E100AD">
              <w:rPr>
                <w:rFonts w:ascii="Arial" w:hAnsi="Arial" w:cs="Arial"/>
              </w:rPr>
              <w:t>Quick Ratio</w:t>
            </w:r>
          </w:p>
        </w:tc>
        <w:tc>
          <w:tcPr>
            <w:tcW w:w="0" w:type="auto"/>
            <w:hideMark/>
          </w:tcPr>
          <w:p w14:paraId="7C311B31" w14:textId="77777777" w:rsidR="00E100AD" w:rsidRPr="00E100AD" w:rsidRDefault="00E100AD" w:rsidP="004B65BA">
            <w:pPr>
              <w:spacing w:after="160" w:line="360" w:lineRule="auto"/>
              <w:rPr>
                <w:rFonts w:ascii="Arial" w:hAnsi="Arial" w:cs="Arial"/>
              </w:rPr>
            </w:pPr>
            <w:r w:rsidRPr="00E100AD">
              <w:rPr>
                <w:rFonts w:ascii="Arial" w:hAnsi="Arial" w:cs="Arial"/>
              </w:rPr>
              <w:t>0.88</w:t>
            </w:r>
          </w:p>
        </w:tc>
        <w:tc>
          <w:tcPr>
            <w:tcW w:w="0" w:type="auto"/>
            <w:hideMark/>
          </w:tcPr>
          <w:p w14:paraId="02ED1A6B" w14:textId="77777777" w:rsidR="00E100AD" w:rsidRPr="00E100AD" w:rsidRDefault="00E100AD" w:rsidP="004B65BA">
            <w:pPr>
              <w:spacing w:after="160" w:line="360" w:lineRule="auto"/>
              <w:rPr>
                <w:rFonts w:ascii="Arial" w:hAnsi="Arial" w:cs="Arial"/>
              </w:rPr>
            </w:pPr>
            <w:r w:rsidRPr="00E100AD">
              <w:rPr>
                <w:rFonts w:ascii="Arial" w:hAnsi="Arial" w:cs="Arial"/>
              </w:rPr>
              <w:t>0.94</w:t>
            </w:r>
          </w:p>
        </w:tc>
        <w:tc>
          <w:tcPr>
            <w:tcW w:w="0" w:type="auto"/>
            <w:hideMark/>
          </w:tcPr>
          <w:p w14:paraId="5D1B38D6" w14:textId="77777777" w:rsidR="00E100AD" w:rsidRPr="00E100AD" w:rsidRDefault="00E100AD" w:rsidP="004B65BA">
            <w:pPr>
              <w:spacing w:after="160" w:line="360" w:lineRule="auto"/>
              <w:rPr>
                <w:rFonts w:ascii="Arial" w:hAnsi="Arial" w:cs="Arial"/>
              </w:rPr>
            </w:pPr>
            <w:r w:rsidRPr="00E100AD">
              <w:rPr>
                <w:rFonts w:ascii="Arial" w:hAnsi="Arial" w:cs="Arial"/>
              </w:rPr>
              <w:t>0.91</w:t>
            </w:r>
          </w:p>
        </w:tc>
        <w:tc>
          <w:tcPr>
            <w:tcW w:w="0" w:type="auto"/>
            <w:hideMark/>
          </w:tcPr>
          <w:p w14:paraId="78604BE6" w14:textId="77777777" w:rsidR="00E100AD" w:rsidRPr="00E100AD" w:rsidRDefault="00E100AD" w:rsidP="004B65BA">
            <w:pPr>
              <w:spacing w:after="160" w:line="360" w:lineRule="auto"/>
              <w:rPr>
                <w:rFonts w:ascii="Arial" w:hAnsi="Arial" w:cs="Arial"/>
              </w:rPr>
            </w:pPr>
            <w:r w:rsidRPr="00E100AD">
              <w:rPr>
                <w:rFonts w:ascii="Arial" w:hAnsi="Arial" w:cs="Arial"/>
              </w:rPr>
              <w:t>1.06</w:t>
            </w:r>
          </w:p>
        </w:tc>
        <w:tc>
          <w:tcPr>
            <w:tcW w:w="0" w:type="auto"/>
            <w:hideMark/>
          </w:tcPr>
          <w:p w14:paraId="214CA573" w14:textId="77777777" w:rsidR="00E100AD" w:rsidRPr="00E100AD" w:rsidRDefault="00E100AD" w:rsidP="004B65BA">
            <w:pPr>
              <w:spacing w:after="160" w:line="360" w:lineRule="auto"/>
              <w:rPr>
                <w:rFonts w:ascii="Arial" w:hAnsi="Arial" w:cs="Arial"/>
              </w:rPr>
            </w:pPr>
            <w:r w:rsidRPr="00E100AD">
              <w:rPr>
                <w:rFonts w:ascii="Arial" w:hAnsi="Arial" w:cs="Arial"/>
              </w:rPr>
              <w:t>1.03</w:t>
            </w:r>
          </w:p>
        </w:tc>
      </w:tr>
      <w:tr w:rsidR="00E100AD" w:rsidRPr="00E100AD" w14:paraId="251C0923" w14:textId="77777777" w:rsidTr="00E100AD">
        <w:tc>
          <w:tcPr>
            <w:tcW w:w="0" w:type="auto"/>
            <w:hideMark/>
          </w:tcPr>
          <w:p w14:paraId="4131B874" w14:textId="77777777" w:rsidR="00E100AD" w:rsidRPr="00E100AD" w:rsidRDefault="00E100AD" w:rsidP="004B65BA">
            <w:pPr>
              <w:spacing w:after="160" w:line="360" w:lineRule="auto"/>
              <w:rPr>
                <w:rFonts w:ascii="Arial" w:hAnsi="Arial" w:cs="Arial"/>
              </w:rPr>
            </w:pPr>
            <w:r w:rsidRPr="00E100AD">
              <w:rPr>
                <w:rFonts w:ascii="Arial" w:hAnsi="Arial" w:cs="Arial"/>
              </w:rPr>
              <w:t>Cash Ratio</w:t>
            </w:r>
          </w:p>
        </w:tc>
        <w:tc>
          <w:tcPr>
            <w:tcW w:w="0" w:type="auto"/>
            <w:hideMark/>
          </w:tcPr>
          <w:p w14:paraId="2B7DFE8D" w14:textId="77777777" w:rsidR="00E100AD" w:rsidRPr="00E100AD" w:rsidRDefault="00E100AD" w:rsidP="004B65BA">
            <w:pPr>
              <w:spacing w:after="160" w:line="360" w:lineRule="auto"/>
              <w:rPr>
                <w:rFonts w:ascii="Arial" w:hAnsi="Arial" w:cs="Arial"/>
              </w:rPr>
            </w:pPr>
            <w:r w:rsidRPr="00E100AD">
              <w:rPr>
                <w:rFonts w:ascii="Arial" w:hAnsi="Arial" w:cs="Arial"/>
              </w:rPr>
              <w:t>0.32</w:t>
            </w:r>
          </w:p>
        </w:tc>
        <w:tc>
          <w:tcPr>
            <w:tcW w:w="0" w:type="auto"/>
            <w:hideMark/>
          </w:tcPr>
          <w:p w14:paraId="1B9B3AD8" w14:textId="77777777" w:rsidR="00E100AD" w:rsidRPr="00E100AD" w:rsidRDefault="00E100AD" w:rsidP="004B65BA">
            <w:pPr>
              <w:spacing w:after="160" w:line="360" w:lineRule="auto"/>
              <w:rPr>
                <w:rFonts w:ascii="Arial" w:hAnsi="Arial" w:cs="Arial"/>
              </w:rPr>
            </w:pPr>
            <w:r w:rsidRPr="00E100AD">
              <w:rPr>
                <w:rFonts w:ascii="Arial" w:hAnsi="Arial" w:cs="Arial"/>
              </w:rPr>
              <w:t>0.28</w:t>
            </w:r>
          </w:p>
        </w:tc>
        <w:tc>
          <w:tcPr>
            <w:tcW w:w="0" w:type="auto"/>
            <w:hideMark/>
          </w:tcPr>
          <w:p w14:paraId="2D2D3F38" w14:textId="77777777" w:rsidR="00E100AD" w:rsidRPr="00E100AD" w:rsidRDefault="00E100AD" w:rsidP="004B65BA">
            <w:pPr>
              <w:spacing w:after="160" w:line="360" w:lineRule="auto"/>
              <w:rPr>
                <w:rFonts w:ascii="Arial" w:hAnsi="Arial" w:cs="Arial"/>
              </w:rPr>
            </w:pPr>
            <w:r w:rsidRPr="00E100AD">
              <w:rPr>
                <w:rFonts w:ascii="Arial" w:hAnsi="Arial" w:cs="Arial"/>
              </w:rPr>
              <w:t>0.20</w:t>
            </w:r>
          </w:p>
        </w:tc>
        <w:tc>
          <w:tcPr>
            <w:tcW w:w="0" w:type="auto"/>
            <w:hideMark/>
          </w:tcPr>
          <w:p w14:paraId="3BDF1D83" w14:textId="77777777" w:rsidR="00E100AD" w:rsidRPr="00E100AD" w:rsidRDefault="00E100AD" w:rsidP="004B65BA">
            <w:pPr>
              <w:spacing w:after="160" w:line="360" w:lineRule="auto"/>
              <w:rPr>
                <w:rFonts w:ascii="Arial" w:hAnsi="Arial" w:cs="Arial"/>
              </w:rPr>
            </w:pPr>
            <w:r w:rsidRPr="00E100AD">
              <w:rPr>
                <w:rFonts w:ascii="Arial" w:hAnsi="Arial" w:cs="Arial"/>
              </w:rPr>
              <w:t>0.26</w:t>
            </w:r>
          </w:p>
        </w:tc>
        <w:tc>
          <w:tcPr>
            <w:tcW w:w="0" w:type="auto"/>
            <w:hideMark/>
          </w:tcPr>
          <w:p w14:paraId="797C0014" w14:textId="77777777" w:rsidR="00E100AD" w:rsidRPr="00E100AD" w:rsidRDefault="00E100AD" w:rsidP="004B65BA">
            <w:pPr>
              <w:spacing w:after="160" w:line="360" w:lineRule="auto"/>
              <w:rPr>
                <w:rFonts w:ascii="Arial" w:hAnsi="Arial" w:cs="Arial"/>
              </w:rPr>
            </w:pPr>
            <w:r w:rsidRPr="00E100AD">
              <w:rPr>
                <w:rFonts w:ascii="Arial" w:hAnsi="Arial" w:cs="Arial"/>
              </w:rPr>
              <w:t>0.17</w:t>
            </w:r>
          </w:p>
        </w:tc>
      </w:tr>
    </w:tbl>
    <w:p w14:paraId="58548228" w14:textId="77777777" w:rsidR="00303986" w:rsidRDefault="00E100AD" w:rsidP="00303986">
      <w:pPr>
        <w:spacing w:line="360" w:lineRule="auto"/>
        <w:rPr>
          <w:rFonts w:ascii="Arial" w:hAnsi="Arial" w:cs="Arial"/>
          <w:i/>
          <w:iCs/>
        </w:rPr>
      </w:pPr>
      <w:r w:rsidRPr="00E100AD">
        <w:rPr>
          <w:rFonts w:ascii="Arial" w:hAnsi="Arial" w:cs="Arial"/>
          <w:i/>
          <w:iCs/>
        </w:rPr>
        <w:t>Figure 2. Liquidity Ratios (2020–2024)</w:t>
      </w:r>
      <w:r w:rsidRPr="00E100AD">
        <w:rPr>
          <w:rFonts w:ascii="Arial" w:hAnsi="Arial" w:cs="Arial"/>
        </w:rPr>
        <w:br/>
      </w:r>
      <w:r w:rsidRPr="00E100AD">
        <w:rPr>
          <w:rFonts w:ascii="Arial" w:hAnsi="Arial" w:cs="Arial"/>
          <w:i/>
          <w:iCs/>
        </w:rPr>
        <w:t>(Source: Author’s calculation based on GE financial statements)</w:t>
      </w:r>
      <w:r w:rsidR="00303986">
        <w:rPr>
          <w:rFonts w:ascii="Arial" w:hAnsi="Arial" w:cs="Arial"/>
          <w:i/>
          <w:iCs/>
        </w:rPr>
        <w:t xml:space="preserve"> </w:t>
      </w:r>
    </w:p>
    <w:p w14:paraId="5EB211ED" w14:textId="10B0779D" w:rsidR="00A15871" w:rsidRDefault="00303986" w:rsidP="00C465E2">
      <w:pPr>
        <w:spacing w:line="360" w:lineRule="auto"/>
        <w:jc w:val="both"/>
        <w:rPr>
          <w:rFonts w:ascii="Arial" w:hAnsi="Arial" w:cs="Arial"/>
        </w:rPr>
      </w:pPr>
      <w:r w:rsidRPr="00303986">
        <w:rPr>
          <w:rFonts w:ascii="Arial" w:hAnsi="Arial" w:cs="Arial"/>
          <w:b/>
          <w:bCs/>
        </w:rPr>
        <w:t>Interpretation:</w:t>
      </w:r>
      <w:r w:rsidRPr="00303986">
        <w:rPr>
          <w:rFonts w:ascii="Arial" w:hAnsi="Arial" w:cs="Arial"/>
        </w:rPr>
        <w:t xml:space="preserve"> </w:t>
      </w:r>
      <w:r w:rsidR="00A15871" w:rsidRPr="00A15871">
        <w:rPr>
          <w:rFonts w:ascii="Arial" w:hAnsi="Arial" w:cs="Arial"/>
        </w:rPr>
        <w:t>Although GE’s current ratio remains above 1.0, the fall in its cash ratio from 0.32 to 0.17 shows weakening immediate cash reserves and rising reliance on inventories and receivables.</w:t>
      </w:r>
      <w:r w:rsidR="00C465E2">
        <w:rPr>
          <w:rFonts w:ascii="Arial" w:hAnsi="Arial" w:cs="Arial"/>
        </w:rPr>
        <w:t xml:space="preserve"> </w:t>
      </w:r>
      <w:r w:rsidR="00A15871" w:rsidRPr="00A15871">
        <w:rPr>
          <w:rFonts w:ascii="Arial" w:hAnsi="Arial" w:cs="Arial"/>
        </w:rPr>
        <w:t xml:space="preserve">The quick ratio’s brief improvement in 2023 does not offset its overall decline, indicating weakening short-term financial stability and </w:t>
      </w:r>
      <w:r w:rsidR="00A15871" w:rsidRPr="00A15871">
        <w:rPr>
          <w:rFonts w:ascii="Arial" w:hAnsi="Arial" w:cs="Arial"/>
        </w:rPr>
        <w:lastRenderedPageBreak/>
        <w:t>increasing cash-flow risk.</w:t>
      </w:r>
      <w:r w:rsidR="00C465E2">
        <w:rPr>
          <w:rFonts w:ascii="Arial" w:hAnsi="Arial" w:cs="Arial"/>
        </w:rPr>
        <w:t xml:space="preserve"> </w:t>
      </w:r>
      <w:r w:rsidR="00A15871" w:rsidRPr="00A15871">
        <w:rPr>
          <w:rFonts w:ascii="Arial" w:hAnsi="Arial" w:cs="Arial"/>
        </w:rPr>
        <w:t>In line with Vuković (2023), GE’s liquidity position signals emerging cash constraints that may disrupt day-to-day operations.</w:t>
      </w:r>
    </w:p>
    <w:p w14:paraId="7205AE44" w14:textId="0AC91187" w:rsidR="00E100AD" w:rsidRPr="00E100AD" w:rsidRDefault="00E100AD" w:rsidP="00C465E2">
      <w:pPr>
        <w:spacing w:line="360" w:lineRule="auto"/>
        <w:jc w:val="both"/>
        <w:rPr>
          <w:rFonts w:ascii="Arial" w:hAnsi="Arial" w:cs="Arial"/>
          <w:b/>
          <w:bCs/>
        </w:rPr>
      </w:pPr>
      <w:r w:rsidRPr="00E100AD">
        <w:rPr>
          <w:rFonts w:ascii="Arial" w:hAnsi="Arial" w:cs="Arial"/>
          <w:b/>
          <w:bCs/>
        </w:rPr>
        <w:t>2.2.3 Efficiency Ratios</w:t>
      </w:r>
    </w:p>
    <w:tbl>
      <w:tblPr>
        <w:tblStyle w:val="TableGrid"/>
        <w:tblW w:w="0" w:type="auto"/>
        <w:tblLook w:val="04A0" w:firstRow="1" w:lastRow="0" w:firstColumn="1" w:lastColumn="0" w:noHBand="0" w:noVBand="1"/>
      </w:tblPr>
      <w:tblGrid>
        <w:gridCol w:w="3338"/>
        <w:gridCol w:w="750"/>
        <w:gridCol w:w="750"/>
        <w:gridCol w:w="750"/>
        <w:gridCol w:w="750"/>
        <w:gridCol w:w="750"/>
      </w:tblGrid>
      <w:tr w:rsidR="00E100AD" w:rsidRPr="00E100AD" w14:paraId="3601A488" w14:textId="77777777" w:rsidTr="00E100AD">
        <w:tc>
          <w:tcPr>
            <w:tcW w:w="0" w:type="auto"/>
            <w:hideMark/>
          </w:tcPr>
          <w:p w14:paraId="5EFB4E0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Ratio</w:t>
            </w:r>
          </w:p>
        </w:tc>
        <w:tc>
          <w:tcPr>
            <w:tcW w:w="0" w:type="auto"/>
            <w:hideMark/>
          </w:tcPr>
          <w:p w14:paraId="69ED4EF6"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4FFB2D3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7201E4B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4DAFABC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675EAC3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3256BD7C" w14:textId="77777777" w:rsidTr="00E100AD">
        <w:tc>
          <w:tcPr>
            <w:tcW w:w="0" w:type="auto"/>
            <w:hideMark/>
          </w:tcPr>
          <w:p w14:paraId="7811B41E" w14:textId="77777777" w:rsidR="00E100AD" w:rsidRPr="00E100AD" w:rsidRDefault="00E100AD" w:rsidP="004B65BA">
            <w:pPr>
              <w:spacing w:after="160" w:line="360" w:lineRule="auto"/>
              <w:rPr>
                <w:rFonts w:ascii="Arial" w:hAnsi="Arial" w:cs="Arial"/>
              </w:rPr>
            </w:pPr>
            <w:r w:rsidRPr="00E100AD">
              <w:rPr>
                <w:rFonts w:ascii="Arial" w:hAnsi="Arial" w:cs="Arial"/>
              </w:rPr>
              <w:t>Inventory Turnover (times)</w:t>
            </w:r>
          </w:p>
        </w:tc>
        <w:tc>
          <w:tcPr>
            <w:tcW w:w="0" w:type="auto"/>
            <w:hideMark/>
          </w:tcPr>
          <w:p w14:paraId="5A37E460" w14:textId="77777777" w:rsidR="00E100AD" w:rsidRPr="00E100AD" w:rsidRDefault="00E100AD" w:rsidP="004B65BA">
            <w:pPr>
              <w:spacing w:after="160" w:line="360" w:lineRule="auto"/>
              <w:rPr>
                <w:rFonts w:ascii="Arial" w:hAnsi="Arial" w:cs="Arial"/>
              </w:rPr>
            </w:pPr>
            <w:r w:rsidRPr="00E100AD">
              <w:rPr>
                <w:rFonts w:ascii="Arial" w:hAnsi="Arial" w:cs="Arial"/>
              </w:rPr>
              <w:t>3.64</w:t>
            </w:r>
          </w:p>
        </w:tc>
        <w:tc>
          <w:tcPr>
            <w:tcW w:w="0" w:type="auto"/>
            <w:hideMark/>
          </w:tcPr>
          <w:p w14:paraId="2D410BEC" w14:textId="77777777" w:rsidR="00E100AD" w:rsidRPr="00E100AD" w:rsidRDefault="00E100AD" w:rsidP="004B65BA">
            <w:pPr>
              <w:spacing w:after="160" w:line="360" w:lineRule="auto"/>
              <w:rPr>
                <w:rFonts w:ascii="Arial" w:hAnsi="Arial" w:cs="Arial"/>
              </w:rPr>
            </w:pPr>
            <w:r w:rsidRPr="00E100AD">
              <w:rPr>
                <w:rFonts w:ascii="Arial" w:hAnsi="Arial" w:cs="Arial"/>
              </w:rPr>
              <w:t>3.19</w:t>
            </w:r>
          </w:p>
        </w:tc>
        <w:tc>
          <w:tcPr>
            <w:tcW w:w="0" w:type="auto"/>
            <w:hideMark/>
          </w:tcPr>
          <w:p w14:paraId="3373166E" w14:textId="77777777" w:rsidR="00E100AD" w:rsidRPr="00E100AD" w:rsidRDefault="00E100AD" w:rsidP="004B65BA">
            <w:pPr>
              <w:spacing w:after="160" w:line="360" w:lineRule="auto"/>
              <w:rPr>
                <w:rFonts w:ascii="Arial" w:hAnsi="Arial" w:cs="Arial"/>
              </w:rPr>
            </w:pPr>
            <w:r w:rsidRPr="00E100AD">
              <w:rPr>
                <w:rFonts w:ascii="Arial" w:hAnsi="Arial" w:cs="Arial"/>
              </w:rPr>
              <w:t>2.78</w:t>
            </w:r>
          </w:p>
        </w:tc>
        <w:tc>
          <w:tcPr>
            <w:tcW w:w="0" w:type="auto"/>
            <w:hideMark/>
          </w:tcPr>
          <w:p w14:paraId="61304E8E" w14:textId="77777777" w:rsidR="00E100AD" w:rsidRPr="00E100AD" w:rsidRDefault="00E100AD" w:rsidP="004B65BA">
            <w:pPr>
              <w:spacing w:after="160" w:line="360" w:lineRule="auto"/>
              <w:rPr>
                <w:rFonts w:ascii="Arial" w:hAnsi="Arial" w:cs="Arial"/>
              </w:rPr>
            </w:pPr>
            <w:r w:rsidRPr="00E100AD">
              <w:rPr>
                <w:rFonts w:ascii="Arial" w:hAnsi="Arial" w:cs="Arial"/>
              </w:rPr>
              <w:t>3.65</w:t>
            </w:r>
          </w:p>
        </w:tc>
        <w:tc>
          <w:tcPr>
            <w:tcW w:w="0" w:type="auto"/>
            <w:hideMark/>
          </w:tcPr>
          <w:p w14:paraId="15427A33" w14:textId="77777777" w:rsidR="00E100AD" w:rsidRPr="00E100AD" w:rsidRDefault="00E100AD" w:rsidP="004B65BA">
            <w:pPr>
              <w:spacing w:after="160" w:line="360" w:lineRule="auto"/>
              <w:rPr>
                <w:rFonts w:ascii="Arial" w:hAnsi="Arial" w:cs="Arial"/>
              </w:rPr>
            </w:pPr>
            <w:r w:rsidRPr="00E100AD">
              <w:rPr>
                <w:rFonts w:ascii="Arial" w:hAnsi="Arial" w:cs="Arial"/>
              </w:rPr>
              <w:t>3.54</w:t>
            </w:r>
          </w:p>
        </w:tc>
      </w:tr>
      <w:tr w:rsidR="00E100AD" w:rsidRPr="00E100AD" w14:paraId="1EEE0E92" w14:textId="77777777" w:rsidTr="00E100AD">
        <w:tc>
          <w:tcPr>
            <w:tcW w:w="0" w:type="auto"/>
            <w:hideMark/>
          </w:tcPr>
          <w:p w14:paraId="44B01869" w14:textId="77777777" w:rsidR="00E100AD" w:rsidRPr="00E100AD" w:rsidRDefault="00E100AD" w:rsidP="004B65BA">
            <w:pPr>
              <w:spacing w:after="160" w:line="360" w:lineRule="auto"/>
              <w:rPr>
                <w:rFonts w:ascii="Arial" w:hAnsi="Arial" w:cs="Arial"/>
              </w:rPr>
            </w:pPr>
            <w:r w:rsidRPr="00E100AD">
              <w:rPr>
                <w:rFonts w:ascii="Arial" w:hAnsi="Arial" w:cs="Arial"/>
              </w:rPr>
              <w:t>Receivables Turnover (times)</w:t>
            </w:r>
          </w:p>
        </w:tc>
        <w:tc>
          <w:tcPr>
            <w:tcW w:w="0" w:type="auto"/>
            <w:hideMark/>
          </w:tcPr>
          <w:p w14:paraId="32A5503C" w14:textId="77777777" w:rsidR="00E100AD" w:rsidRPr="00E100AD" w:rsidRDefault="00E100AD" w:rsidP="004B65BA">
            <w:pPr>
              <w:spacing w:after="160" w:line="360" w:lineRule="auto"/>
              <w:rPr>
                <w:rFonts w:ascii="Arial" w:hAnsi="Arial" w:cs="Arial"/>
              </w:rPr>
            </w:pPr>
            <w:r w:rsidRPr="00E100AD">
              <w:rPr>
                <w:rFonts w:ascii="Arial" w:hAnsi="Arial" w:cs="Arial"/>
              </w:rPr>
              <w:t>4.75</w:t>
            </w:r>
          </w:p>
        </w:tc>
        <w:tc>
          <w:tcPr>
            <w:tcW w:w="0" w:type="auto"/>
            <w:hideMark/>
          </w:tcPr>
          <w:p w14:paraId="0B03CA58" w14:textId="77777777" w:rsidR="00E100AD" w:rsidRPr="00E100AD" w:rsidRDefault="00E100AD" w:rsidP="004B65BA">
            <w:pPr>
              <w:spacing w:after="160" w:line="360" w:lineRule="auto"/>
              <w:rPr>
                <w:rFonts w:ascii="Arial" w:hAnsi="Arial" w:cs="Arial"/>
              </w:rPr>
            </w:pPr>
            <w:r w:rsidRPr="00E100AD">
              <w:rPr>
                <w:rFonts w:ascii="Arial" w:hAnsi="Arial" w:cs="Arial"/>
              </w:rPr>
              <w:t>4.66</w:t>
            </w:r>
          </w:p>
        </w:tc>
        <w:tc>
          <w:tcPr>
            <w:tcW w:w="0" w:type="auto"/>
            <w:hideMark/>
          </w:tcPr>
          <w:p w14:paraId="2B763C74" w14:textId="77777777" w:rsidR="00E100AD" w:rsidRPr="00E100AD" w:rsidRDefault="00E100AD" w:rsidP="004B65BA">
            <w:pPr>
              <w:spacing w:after="160" w:line="360" w:lineRule="auto"/>
              <w:rPr>
                <w:rFonts w:ascii="Arial" w:hAnsi="Arial" w:cs="Arial"/>
              </w:rPr>
            </w:pPr>
            <w:r w:rsidRPr="00E100AD">
              <w:rPr>
                <w:rFonts w:ascii="Arial" w:hAnsi="Arial" w:cs="Arial"/>
              </w:rPr>
              <w:t>4.83</w:t>
            </w:r>
          </w:p>
        </w:tc>
        <w:tc>
          <w:tcPr>
            <w:tcW w:w="0" w:type="auto"/>
            <w:hideMark/>
          </w:tcPr>
          <w:p w14:paraId="71FA079A" w14:textId="77777777" w:rsidR="00E100AD" w:rsidRPr="00E100AD" w:rsidRDefault="00E100AD" w:rsidP="004B65BA">
            <w:pPr>
              <w:spacing w:after="160" w:line="360" w:lineRule="auto"/>
              <w:rPr>
                <w:rFonts w:ascii="Arial" w:hAnsi="Arial" w:cs="Arial"/>
              </w:rPr>
            </w:pPr>
            <w:r w:rsidRPr="00E100AD">
              <w:rPr>
                <w:rFonts w:ascii="Arial" w:hAnsi="Arial" w:cs="Arial"/>
              </w:rPr>
              <w:t>3.73</w:t>
            </w:r>
          </w:p>
        </w:tc>
        <w:tc>
          <w:tcPr>
            <w:tcW w:w="0" w:type="auto"/>
            <w:hideMark/>
          </w:tcPr>
          <w:p w14:paraId="20029A81" w14:textId="77777777" w:rsidR="00E100AD" w:rsidRPr="00E100AD" w:rsidRDefault="00E100AD" w:rsidP="004B65BA">
            <w:pPr>
              <w:spacing w:after="160" w:line="360" w:lineRule="auto"/>
              <w:rPr>
                <w:rFonts w:ascii="Arial" w:hAnsi="Arial" w:cs="Arial"/>
              </w:rPr>
            </w:pPr>
            <w:r w:rsidRPr="00E100AD">
              <w:rPr>
                <w:rFonts w:ascii="Arial" w:hAnsi="Arial" w:cs="Arial"/>
              </w:rPr>
              <w:t>3.45</w:t>
            </w:r>
          </w:p>
        </w:tc>
      </w:tr>
      <w:tr w:rsidR="00E100AD" w:rsidRPr="00E100AD" w14:paraId="18BEF0C8" w14:textId="77777777" w:rsidTr="00E100AD">
        <w:tc>
          <w:tcPr>
            <w:tcW w:w="0" w:type="auto"/>
            <w:hideMark/>
          </w:tcPr>
          <w:p w14:paraId="2DB1CA5C" w14:textId="77777777" w:rsidR="00E100AD" w:rsidRPr="00E100AD" w:rsidRDefault="00E100AD" w:rsidP="004B65BA">
            <w:pPr>
              <w:spacing w:after="160" w:line="360" w:lineRule="auto"/>
              <w:rPr>
                <w:rFonts w:ascii="Arial" w:hAnsi="Arial" w:cs="Arial"/>
              </w:rPr>
            </w:pPr>
            <w:r w:rsidRPr="00E100AD">
              <w:rPr>
                <w:rFonts w:ascii="Arial" w:hAnsi="Arial" w:cs="Arial"/>
              </w:rPr>
              <w:t>Total Asset Turnover</w:t>
            </w:r>
          </w:p>
        </w:tc>
        <w:tc>
          <w:tcPr>
            <w:tcW w:w="0" w:type="auto"/>
            <w:hideMark/>
          </w:tcPr>
          <w:p w14:paraId="18AD04AA" w14:textId="77777777" w:rsidR="00E100AD" w:rsidRPr="00E100AD" w:rsidRDefault="00E100AD" w:rsidP="004B65BA">
            <w:pPr>
              <w:spacing w:after="160" w:line="360" w:lineRule="auto"/>
              <w:rPr>
                <w:rFonts w:ascii="Arial" w:hAnsi="Arial" w:cs="Arial"/>
              </w:rPr>
            </w:pPr>
            <w:r w:rsidRPr="00E100AD">
              <w:rPr>
                <w:rFonts w:ascii="Arial" w:hAnsi="Arial" w:cs="Arial"/>
              </w:rPr>
              <w:t>1.20</w:t>
            </w:r>
          </w:p>
        </w:tc>
        <w:tc>
          <w:tcPr>
            <w:tcW w:w="0" w:type="auto"/>
            <w:hideMark/>
          </w:tcPr>
          <w:p w14:paraId="4098AE0C" w14:textId="77777777" w:rsidR="00E100AD" w:rsidRPr="00E100AD" w:rsidRDefault="00E100AD" w:rsidP="004B65BA">
            <w:pPr>
              <w:spacing w:after="160" w:line="360" w:lineRule="auto"/>
              <w:rPr>
                <w:rFonts w:ascii="Arial" w:hAnsi="Arial" w:cs="Arial"/>
              </w:rPr>
            </w:pPr>
            <w:r w:rsidRPr="00E100AD">
              <w:rPr>
                <w:rFonts w:ascii="Arial" w:hAnsi="Arial" w:cs="Arial"/>
              </w:rPr>
              <w:t>1.18</w:t>
            </w:r>
          </w:p>
        </w:tc>
        <w:tc>
          <w:tcPr>
            <w:tcW w:w="0" w:type="auto"/>
            <w:hideMark/>
          </w:tcPr>
          <w:p w14:paraId="3C59D65B" w14:textId="77777777" w:rsidR="00E100AD" w:rsidRPr="00E100AD" w:rsidRDefault="00E100AD" w:rsidP="004B65BA">
            <w:pPr>
              <w:spacing w:after="160" w:line="360" w:lineRule="auto"/>
              <w:rPr>
                <w:rFonts w:ascii="Arial" w:hAnsi="Arial" w:cs="Arial"/>
              </w:rPr>
            </w:pPr>
            <w:r w:rsidRPr="00E100AD">
              <w:rPr>
                <w:rFonts w:ascii="Arial" w:hAnsi="Arial" w:cs="Arial"/>
              </w:rPr>
              <w:t>1.08</w:t>
            </w:r>
          </w:p>
        </w:tc>
        <w:tc>
          <w:tcPr>
            <w:tcW w:w="0" w:type="auto"/>
            <w:hideMark/>
          </w:tcPr>
          <w:p w14:paraId="5D812C49" w14:textId="77777777" w:rsidR="00E100AD" w:rsidRPr="00E100AD" w:rsidRDefault="00E100AD" w:rsidP="004B65BA">
            <w:pPr>
              <w:spacing w:after="160" w:line="360" w:lineRule="auto"/>
              <w:rPr>
                <w:rFonts w:ascii="Arial" w:hAnsi="Arial" w:cs="Arial"/>
              </w:rPr>
            </w:pPr>
            <w:r w:rsidRPr="00E100AD">
              <w:rPr>
                <w:rFonts w:ascii="Arial" w:hAnsi="Arial" w:cs="Arial"/>
              </w:rPr>
              <w:t>1.18</w:t>
            </w:r>
          </w:p>
        </w:tc>
        <w:tc>
          <w:tcPr>
            <w:tcW w:w="0" w:type="auto"/>
            <w:hideMark/>
          </w:tcPr>
          <w:p w14:paraId="3F8CD472" w14:textId="77777777" w:rsidR="00E100AD" w:rsidRPr="00E100AD" w:rsidRDefault="00E100AD" w:rsidP="004B65BA">
            <w:pPr>
              <w:spacing w:after="160" w:line="360" w:lineRule="auto"/>
              <w:rPr>
                <w:rFonts w:ascii="Arial" w:hAnsi="Arial" w:cs="Arial"/>
              </w:rPr>
            </w:pPr>
            <w:r w:rsidRPr="00E100AD">
              <w:rPr>
                <w:rFonts w:ascii="Arial" w:hAnsi="Arial" w:cs="Arial"/>
              </w:rPr>
              <w:t>1.22</w:t>
            </w:r>
          </w:p>
        </w:tc>
      </w:tr>
    </w:tbl>
    <w:p w14:paraId="0425DF63" w14:textId="229FDF0D" w:rsidR="00A15871" w:rsidRDefault="00F05272" w:rsidP="00A15871">
      <w:pPr>
        <w:spacing w:line="360" w:lineRule="auto"/>
        <w:jc w:val="both"/>
        <w:rPr>
          <w:rFonts w:ascii="Arial" w:hAnsi="Arial" w:cs="Arial"/>
        </w:rPr>
      </w:pPr>
      <w:r w:rsidRPr="00E100AD">
        <w:rPr>
          <w:rFonts w:ascii="Arial" w:hAnsi="Arial" w:cs="Arial"/>
          <w:b/>
          <w:bCs/>
        </w:rPr>
        <w:t>Interpretation:</w:t>
      </w:r>
      <w:r w:rsidR="00D824DC">
        <w:rPr>
          <w:rFonts w:ascii="Arial" w:hAnsi="Arial" w:cs="Arial"/>
          <w:b/>
          <w:bCs/>
        </w:rPr>
        <w:t xml:space="preserve"> </w:t>
      </w:r>
      <w:r w:rsidR="00A15871" w:rsidRPr="00A15871">
        <w:rPr>
          <w:rFonts w:ascii="Arial" w:hAnsi="Arial" w:cs="Arial"/>
        </w:rPr>
        <w:t>The efficiency ratio shows operational slackness, with receivables turnover dropping from 4.83 to 3.45, signalling slower credit collection and rising liquidity risk.</w:t>
      </w:r>
      <w:r w:rsidR="00A15871">
        <w:rPr>
          <w:rFonts w:ascii="Arial" w:hAnsi="Arial" w:cs="Arial"/>
        </w:rPr>
        <w:t xml:space="preserve"> </w:t>
      </w:r>
      <w:r w:rsidR="00A15871" w:rsidRPr="00A15871">
        <w:rPr>
          <w:rFonts w:ascii="Arial" w:hAnsi="Arial" w:cs="Arial"/>
        </w:rPr>
        <w:t>Research indicates that declining efficiency ratios are early signs of managerial inefficiency and poor working-capital management (Deloof, 2021).</w:t>
      </w:r>
      <w:r w:rsidR="00A15871" w:rsidRPr="00A15871">
        <w:rPr>
          <w:rFonts w:ascii="Arial" w:hAnsi="Arial" w:cs="Arial"/>
        </w:rPr>
        <w:br/>
        <w:t>While total asset turnover is relatively stable, it does not mitigate the severity of the profitability decline.</w:t>
      </w:r>
    </w:p>
    <w:p w14:paraId="1DAF6D2E" w14:textId="7BA5010A" w:rsidR="00E100AD" w:rsidRPr="00E100AD" w:rsidRDefault="00E100AD" w:rsidP="00A15871">
      <w:pPr>
        <w:spacing w:line="360" w:lineRule="auto"/>
        <w:jc w:val="both"/>
        <w:rPr>
          <w:rFonts w:ascii="Arial" w:hAnsi="Arial" w:cs="Arial"/>
          <w:b/>
          <w:bCs/>
        </w:rPr>
      </w:pPr>
      <w:r w:rsidRPr="00E100AD">
        <w:rPr>
          <w:rFonts w:ascii="Arial" w:hAnsi="Arial" w:cs="Arial"/>
          <w:b/>
          <w:bCs/>
        </w:rPr>
        <w:t>2.2.4 Gearing and Solvency Ratios</w:t>
      </w:r>
    </w:p>
    <w:tbl>
      <w:tblPr>
        <w:tblStyle w:val="TableGrid"/>
        <w:tblW w:w="0" w:type="auto"/>
        <w:tblLook w:val="04A0" w:firstRow="1" w:lastRow="0" w:firstColumn="1" w:lastColumn="0" w:noHBand="0" w:noVBand="1"/>
      </w:tblPr>
      <w:tblGrid>
        <w:gridCol w:w="2124"/>
        <w:gridCol w:w="750"/>
        <w:gridCol w:w="750"/>
        <w:gridCol w:w="750"/>
        <w:gridCol w:w="764"/>
        <w:gridCol w:w="750"/>
      </w:tblGrid>
      <w:tr w:rsidR="00E100AD" w:rsidRPr="00E100AD" w14:paraId="531EACCE" w14:textId="77777777" w:rsidTr="00E100AD">
        <w:tc>
          <w:tcPr>
            <w:tcW w:w="0" w:type="auto"/>
            <w:hideMark/>
          </w:tcPr>
          <w:p w14:paraId="6DFC4A96"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Ratio</w:t>
            </w:r>
          </w:p>
        </w:tc>
        <w:tc>
          <w:tcPr>
            <w:tcW w:w="0" w:type="auto"/>
            <w:hideMark/>
          </w:tcPr>
          <w:p w14:paraId="02C64446"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0B35D49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2B28C626"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564679DC"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68BDC440"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0E346460" w14:textId="77777777" w:rsidTr="00E100AD">
        <w:tc>
          <w:tcPr>
            <w:tcW w:w="0" w:type="auto"/>
            <w:hideMark/>
          </w:tcPr>
          <w:p w14:paraId="5AD847B5" w14:textId="77777777" w:rsidR="00E100AD" w:rsidRPr="00E100AD" w:rsidRDefault="00E100AD" w:rsidP="004B65BA">
            <w:pPr>
              <w:spacing w:after="160" w:line="360" w:lineRule="auto"/>
              <w:rPr>
                <w:rFonts w:ascii="Arial" w:hAnsi="Arial" w:cs="Arial"/>
              </w:rPr>
            </w:pPr>
            <w:r w:rsidRPr="00E100AD">
              <w:rPr>
                <w:rFonts w:ascii="Arial" w:hAnsi="Arial" w:cs="Arial"/>
              </w:rPr>
              <w:t>Debt-to-Equity</w:t>
            </w:r>
          </w:p>
        </w:tc>
        <w:tc>
          <w:tcPr>
            <w:tcW w:w="0" w:type="auto"/>
            <w:hideMark/>
          </w:tcPr>
          <w:p w14:paraId="3643C1AC" w14:textId="77777777" w:rsidR="00E100AD" w:rsidRPr="00E100AD" w:rsidRDefault="00E100AD" w:rsidP="004B65BA">
            <w:pPr>
              <w:spacing w:after="160" w:line="360" w:lineRule="auto"/>
              <w:rPr>
                <w:rFonts w:ascii="Arial" w:hAnsi="Arial" w:cs="Arial"/>
              </w:rPr>
            </w:pPr>
            <w:r w:rsidRPr="00E100AD">
              <w:rPr>
                <w:rFonts w:ascii="Arial" w:hAnsi="Arial" w:cs="Arial"/>
              </w:rPr>
              <w:t>0.63</w:t>
            </w:r>
          </w:p>
        </w:tc>
        <w:tc>
          <w:tcPr>
            <w:tcW w:w="0" w:type="auto"/>
            <w:hideMark/>
          </w:tcPr>
          <w:p w14:paraId="6069B1EF" w14:textId="77777777" w:rsidR="00E100AD" w:rsidRPr="00E100AD" w:rsidRDefault="00E100AD" w:rsidP="004B65BA">
            <w:pPr>
              <w:spacing w:after="160" w:line="360" w:lineRule="auto"/>
              <w:rPr>
                <w:rFonts w:ascii="Arial" w:hAnsi="Arial" w:cs="Arial"/>
              </w:rPr>
            </w:pPr>
            <w:r w:rsidRPr="00E100AD">
              <w:rPr>
                <w:rFonts w:ascii="Arial" w:hAnsi="Arial" w:cs="Arial"/>
              </w:rPr>
              <w:t>0.63</w:t>
            </w:r>
          </w:p>
        </w:tc>
        <w:tc>
          <w:tcPr>
            <w:tcW w:w="0" w:type="auto"/>
            <w:hideMark/>
          </w:tcPr>
          <w:p w14:paraId="51DBFE7B" w14:textId="77777777" w:rsidR="00E100AD" w:rsidRPr="00E100AD" w:rsidRDefault="00E100AD" w:rsidP="004B65BA">
            <w:pPr>
              <w:spacing w:after="160" w:line="360" w:lineRule="auto"/>
              <w:rPr>
                <w:rFonts w:ascii="Arial" w:hAnsi="Arial" w:cs="Arial"/>
              </w:rPr>
            </w:pPr>
            <w:r w:rsidRPr="00E100AD">
              <w:rPr>
                <w:rFonts w:ascii="Arial" w:hAnsi="Arial" w:cs="Arial"/>
              </w:rPr>
              <w:t>0.88</w:t>
            </w:r>
          </w:p>
        </w:tc>
        <w:tc>
          <w:tcPr>
            <w:tcW w:w="0" w:type="auto"/>
            <w:hideMark/>
          </w:tcPr>
          <w:p w14:paraId="7FBE9AA8" w14:textId="77777777" w:rsidR="00E100AD" w:rsidRPr="00E100AD" w:rsidRDefault="00E100AD" w:rsidP="004B65BA">
            <w:pPr>
              <w:spacing w:after="160" w:line="360" w:lineRule="auto"/>
              <w:rPr>
                <w:rFonts w:ascii="Arial" w:hAnsi="Arial" w:cs="Arial"/>
              </w:rPr>
            </w:pPr>
            <w:r w:rsidRPr="00E100AD">
              <w:rPr>
                <w:rFonts w:ascii="Arial" w:hAnsi="Arial" w:cs="Arial"/>
              </w:rPr>
              <w:t>0.99</w:t>
            </w:r>
          </w:p>
        </w:tc>
        <w:tc>
          <w:tcPr>
            <w:tcW w:w="0" w:type="auto"/>
            <w:hideMark/>
          </w:tcPr>
          <w:p w14:paraId="4E402766" w14:textId="77777777" w:rsidR="00E100AD" w:rsidRPr="00E100AD" w:rsidRDefault="00E100AD" w:rsidP="004B65BA">
            <w:pPr>
              <w:spacing w:after="160" w:line="360" w:lineRule="auto"/>
              <w:rPr>
                <w:rFonts w:ascii="Arial" w:hAnsi="Arial" w:cs="Arial"/>
              </w:rPr>
            </w:pPr>
            <w:r w:rsidRPr="00E100AD">
              <w:rPr>
                <w:rFonts w:ascii="Arial" w:hAnsi="Arial" w:cs="Arial"/>
              </w:rPr>
              <w:t>1.11</w:t>
            </w:r>
          </w:p>
        </w:tc>
      </w:tr>
      <w:tr w:rsidR="00E100AD" w:rsidRPr="00E100AD" w14:paraId="3E22E11F" w14:textId="77777777" w:rsidTr="00E100AD">
        <w:tc>
          <w:tcPr>
            <w:tcW w:w="0" w:type="auto"/>
            <w:hideMark/>
          </w:tcPr>
          <w:p w14:paraId="0AFB7512" w14:textId="77777777" w:rsidR="00E100AD" w:rsidRPr="00E100AD" w:rsidRDefault="00E100AD" w:rsidP="004B65BA">
            <w:pPr>
              <w:spacing w:after="160" w:line="360" w:lineRule="auto"/>
              <w:rPr>
                <w:rFonts w:ascii="Arial" w:hAnsi="Arial" w:cs="Arial"/>
              </w:rPr>
            </w:pPr>
            <w:r w:rsidRPr="00E100AD">
              <w:rPr>
                <w:rFonts w:ascii="Arial" w:hAnsi="Arial" w:cs="Arial"/>
              </w:rPr>
              <w:t>Interest Coverage</w:t>
            </w:r>
          </w:p>
        </w:tc>
        <w:tc>
          <w:tcPr>
            <w:tcW w:w="0" w:type="auto"/>
            <w:hideMark/>
          </w:tcPr>
          <w:p w14:paraId="6BC6DDDF" w14:textId="77777777" w:rsidR="00E100AD" w:rsidRPr="00E100AD" w:rsidRDefault="00E100AD" w:rsidP="004B65BA">
            <w:pPr>
              <w:spacing w:after="160" w:line="360" w:lineRule="auto"/>
              <w:rPr>
                <w:rFonts w:ascii="Arial" w:hAnsi="Arial" w:cs="Arial"/>
              </w:rPr>
            </w:pPr>
            <w:r w:rsidRPr="00E100AD">
              <w:rPr>
                <w:rFonts w:ascii="Arial" w:hAnsi="Arial" w:cs="Arial"/>
              </w:rPr>
              <w:t>8.5</w:t>
            </w:r>
          </w:p>
        </w:tc>
        <w:tc>
          <w:tcPr>
            <w:tcW w:w="0" w:type="auto"/>
            <w:hideMark/>
          </w:tcPr>
          <w:p w14:paraId="473AA5E7" w14:textId="77777777" w:rsidR="00E100AD" w:rsidRPr="00E100AD" w:rsidRDefault="00E100AD" w:rsidP="004B65BA">
            <w:pPr>
              <w:spacing w:after="160" w:line="360" w:lineRule="auto"/>
              <w:rPr>
                <w:rFonts w:ascii="Arial" w:hAnsi="Arial" w:cs="Arial"/>
              </w:rPr>
            </w:pPr>
            <w:r w:rsidRPr="00E100AD">
              <w:rPr>
                <w:rFonts w:ascii="Arial" w:hAnsi="Arial" w:cs="Arial"/>
              </w:rPr>
              <w:t>4.1</w:t>
            </w:r>
          </w:p>
        </w:tc>
        <w:tc>
          <w:tcPr>
            <w:tcW w:w="0" w:type="auto"/>
            <w:hideMark/>
          </w:tcPr>
          <w:p w14:paraId="2FFB6C5B" w14:textId="77777777" w:rsidR="00E100AD" w:rsidRPr="00E100AD" w:rsidRDefault="00E100AD" w:rsidP="004B65BA">
            <w:pPr>
              <w:spacing w:after="160" w:line="360" w:lineRule="auto"/>
              <w:rPr>
                <w:rFonts w:ascii="Arial" w:hAnsi="Arial" w:cs="Arial"/>
              </w:rPr>
            </w:pPr>
            <w:r w:rsidRPr="00E100AD">
              <w:rPr>
                <w:rFonts w:ascii="Arial" w:hAnsi="Arial" w:cs="Arial"/>
              </w:rPr>
              <w:t>6.6</w:t>
            </w:r>
          </w:p>
        </w:tc>
        <w:tc>
          <w:tcPr>
            <w:tcW w:w="0" w:type="auto"/>
            <w:hideMark/>
          </w:tcPr>
          <w:p w14:paraId="5B78A5F0" w14:textId="77777777" w:rsidR="00E100AD" w:rsidRPr="00E100AD" w:rsidRDefault="00E100AD" w:rsidP="004B65BA">
            <w:pPr>
              <w:spacing w:after="160" w:line="360" w:lineRule="auto"/>
              <w:rPr>
                <w:rFonts w:ascii="Arial" w:hAnsi="Arial" w:cs="Arial"/>
              </w:rPr>
            </w:pPr>
            <w:r w:rsidRPr="00E100AD">
              <w:rPr>
                <w:rFonts w:ascii="Arial" w:hAnsi="Arial" w:cs="Arial"/>
              </w:rPr>
              <w:t>-19.7</w:t>
            </w:r>
          </w:p>
        </w:tc>
        <w:tc>
          <w:tcPr>
            <w:tcW w:w="0" w:type="auto"/>
            <w:hideMark/>
          </w:tcPr>
          <w:p w14:paraId="3E82E1F2" w14:textId="77777777" w:rsidR="00E100AD" w:rsidRPr="00E100AD" w:rsidRDefault="00E100AD" w:rsidP="004B65BA">
            <w:pPr>
              <w:spacing w:after="160" w:line="360" w:lineRule="auto"/>
              <w:rPr>
                <w:rFonts w:ascii="Arial" w:hAnsi="Arial" w:cs="Arial"/>
              </w:rPr>
            </w:pPr>
            <w:r w:rsidRPr="00E100AD">
              <w:rPr>
                <w:rFonts w:ascii="Arial" w:hAnsi="Arial" w:cs="Arial"/>
              </w:rPr>
              <w:t>-5.6</w:t>
            </w:r>
          </w:p>
        </w:tc>
      </w:tr>
      <w:tr w:rsidR="00E100AD" w:rsidRPr="00E100AD" w14:paraId="6D4E68E7" w14:textId="77777777" w:rsidTr="00E100AD">
        <w:tc>
          <w:tcPr>
            <w:tcW w:w="0" w:type="auto"/>
            <w:hideMark/>
          </w:tcPr>
          <w:p w14:paraId="5B2344CB" w14:textId="77777777" w:rsidR="00E100AD" w:rsidRPr="00E100AD" w:rsidRDefault="00E100AD" w:rsidP="004B65BA">
            <w:pPr>
              <w:spacing w:after="160" w:line="360" w:lineRule="auto"/>
              <w:rPr>
                <w:rFonts w:ascii="Arial" w:hAnsi="Arial" w:cs="Arial"/>
              </w:rPr>
            </w:pPr>
            <w:r w:rsidRPr="00E100AD">
              <w:rPr>
                <w:rFonts w:ascii="Arial" w:hAnsi="Arial" w:cs="Arial"/>
              </w:rPr>
              <w:t>Equity Ratio</w:t>
            </w:r>
          </w:p>
        </w:tc>
        <w:tc>
          <w:tcPr>
            <w:tcW w:w="0" w:type="auto"/>
            <w:hideMark/>
          </w:tcPr>
          <w:p w14:paraId="7312F41D" w14:textId="77777777" w:rsidR="00E100AD" w:rsidRPr="00E100AD" w:rsidRDefault="00E100AD" w:rsidP="004B65BA">
            <w:pPr>
              <w:spacing w:after="160" w:line="360" w:lineRule="auto"/>
              <w:rPr>
                <w:rFonts w:ascii="Arial" w:hAnsi="Arial" w:cs="Arial"/>
              </w:rPr>
            </w:pPr>
            <w:r w:rsidRPr="00E100AD">
              <w:rPr>
                <w:rFonts w:ascii="Arial" w:hAnsi="Arial" w:cs="Arial"/>
              </w:rPr>
              <w:t>0.61</w:t>
            </w:r>
          </w:p>
        </w:tc>
        <w:tc>
          <w:tcPr>
            <w:tcW w:w="0" w:type="auto"/>
            <w:hideMark/>
          </w:tcPr>
          <w:p w14:paraId="392BEA9B" w14:textId="77777777" w:rsidR="00E100AD" w:rsidRPr="00E100AD" w:rsidRDefault="00E100AD" w:rsidP="004B65BA">
            <w:pPr>
              <w:spacing w:after="160" w:line="360" w:lineRule="auto"/>
              <w:rPr>
                <w:rFonts w:ascii="Arial" w:hAnsi="Arial" w:cs="Arial"/>
              </w:rPr>
            </w:pPr>
            <w:r w:rsidRPr="00E100AD">
              <w:rPr>
                <w:rFonts w:ascii="Arial" w:hAnsi="Arial" w:cs="Arial"/>
              </w:rPr>
              <w:t>0.54</w:t>
            </w:r>
          </w:p>
        </w:tc>
        <w:tc>
          <w:tcPr>
            <w:tcW w:w="0" w:type="auto"/>
            <w:hideMark/>
          </w:tcPr>
          <w:p w14:paraId="64D40FB4" w14:textId="77777777" w:rsidR="00E100AD" w:rsidRPr="00E100AD" w:rsidRDefault="00E100AD" w:rsidP="004B65BA">
            <w:pPr>
              <w:spacing w:after="160" w:line="360" w:lineRule="auto"/>
              <w:rPr>
                <w:rFonts w:ascii="Arial" w:hAnsi="Arial" w:cs="Arial"/>
              </w:rPr>
            </w:pPr>
            <w:r w:rsidRPr="00E100AD">
              <w:rPr>
                <w:rFonts w:ascii="Arial" w:hAnsi="Arial" w:cs="Arial"/>
              </w:rPr>
              <w:t>0.53</w:t>
            </w:r>
          </w:p>
        </w:tc>
        <w:tc>
          <w:tcPr>
            <w:tcW w:w="0" w:type="auto"/>
            <w:hideMark/>
          </w:tcPr>
          <w:p w14:paraId="366B4C99" w14:textId="77777777" w:rsidR="00E100AD" w:rsidRPr="00E100AD" w:rsidRDefault="00E100AD" w:rsidP="004B65BA">
            <w:pPr>
              <w:spacing w:after="160" w:line="360" w:lineRule="auto"/>
              <w:rPr>
                <w:rFonts w:ascii="Arial" w:hAnsi="Arial" w:cs="Arial"/>
              </w:rPr>
            </w:pPr>
            <w:r w:rsidRPr="00E100AD">
              <w:rPr>
                <w:rFonts w:ascii="Arial" w:hAnsi="Arial" w:cs="Arial"/>
              </w:rPr>
              <w:t>0.50</w:t>
            </w:r>
          </w:p>
        </w:tc>
        <w:tc>
          <w:tcPr>
            <w:tcW w:w="0" w:type="auto"/>
            <w:hideMark/>
          </w:tcPr>
          <w:p w14:paraId="4D666C1D" w14:textId="77777777" w:rsidR="00E100AD" w:rsidRPr="00E100AD" w:rsidRDefault="00E100AD" w:rsidP="004B65BA">
            <w:pPr>
              <w:spacing w:after="160" w:line="360" w:lineRule="auto"/>
              <w:rPr>
                <w:rFonts w:ascii="Arial" w:hAnsi="Arial" w:cs="Arial"/>
              </w:rPr>
            </w:pPr>
            <w:r w:rsidRPr="00E100AD">
              <w:rPr>
                <w:rFonts w:ascii="Arial" w:hAnsi="Arial" w:cs="Arial"/>
              </w:rPr>
              <w:t>0.47</w:t>
            </w:r>
          </w:p>
        </w:tc>
      </w:tr>
    </w:tbl>
    <w:p w14:paraId="2FF83A3D" w14:textId="77777777" w:rsidR="009F26D2" w:rsidRPr="009F26D2" w:rsidRDefault="00F05272" w:rsidP="009F26D2">
      <w:pPr>
        <w:spacing w:line="360" w:lineRule="auto"/>
        <w:jc w:val="both"/>
        <w:rPr>
          <w:rFonts w:ascii="Arial" w:hAnsi="Arial" w:cs="Arial"/>
        </w:rPr>
      </w:pPr>
      <w:r w:rsidRPr="00F05272">
        <w:rPr>
          <w:rFonts w:ascii="Arial" w:hAnsi="Arial" w:cs="Arial"/>
          <w:b/>
          <w:bCs/>
        </w:rPr>
        <w:t>Interpretatio</w:t>
      </w:r>
      <w:r>
        <w:rPr>
          <w:rFonts w:ascii="Arial" w:hAnsi="Arial" w:cs="Arial"/>
          <w:b/>
          <w:bCs/>
        </w:rPr>
        <w:t>n</w:t>
      </w:r>
      <w:r w:rsidRPr="00F05272">
        <w:rPr>
          <w:rFonts w:ascii="Arial" w:hAnsi="Arial" w:cs="Arial"/>
          <w:b/>
          <w:bCs/>
        </w:rPr>
        <w:t>:</w:t>
      </w:r>
      <w:r w:rsidR="00D824DC">
        <w:rPr>
          <w:rFonts w:ascii="Arial" w:hAnsi="Arial" w:cs="Arial"/>
          <w:b/>
          <w:bCs/>
        </w:rPr>
        <w:t xml:space="preserve"> </w:t>
      </w:r>
      <w:r w:rsidR="009F26D2" w:rsidRPr="009F26D2">
        <w:rPr>
          <w:rFonts w:ascii="Arial" w:hAnsi="Arial" w:cs="Arial"/>
        </w:rPr>
        <w:t>The solvency of GE has declined a lot, with the debt-to-equity ratio exceeding 1.0, indicating that liabilities surpass equity. Of even greater concern is the negative interest coverage ratio since 2023, indicating that operating income is not sufficient to cover interest obligations.</w:t>
      </w:r>
    </w:p>
    <w:p w14:paraId="5D8B5FC4" w14:textId="20181BDF" w:rsidR="009F26D2" w:rsidRDefault="009F26D2" w:rsidP="009F26D2">
      <w:pPr>
        <w:spacing w:line="360" w:lineRule="auto"/>
        <w:jc w:val="both"/>
        <w:rPr>
          <w:rFonts w:ascii="Arial" w:hAnsi="Arial" w:cs="Arial"/>
        </w:rPr>
      </w:pPr>
      <w:r w:rsidRPr="009F26D2">
        <w:rPr>
          <w:rFonts w:ascii="Arial" w:hAnsi="Arial" w:cs="Arial"/>
        </w:rPr>
        <w:t>In fact, this is widely recognized to be a primary determinant of imminent default and financial distress.</w:t>
      </w:r>
      <w:r>
        <w:rPr>
          <w:rFonts w:ascii="Arial" w:hAnsi="Arial" w:cs="Arial"/>
        </w:rPr>
        <w:t xml:space="preserve"> </w:t>
      </w:r>
      <w:r w:rsidRPr="009F26D2">
        <w:rPr>
          <w:rFonts w:ascii="Arial" w:hAnsi="Arial" w:cs="Arial"/>
        </w:rPr>
        <w:t xml:space="preserve">The equity ratio has continuously declined, further </w:t>
      </w:r>
      <w:r w:rsidR="00461A0A" w:rsidRPr="009F26D2">
        <w:rPr>
          <w:rFonts w:ascii="Arial" w:hAnsi="Arial" w:cs="Arial"/>
        </w:rPr>
        <w:t>signalling</w:t>
      </w:r>
      <w:r w:rsidRPr="009F26D2">
        <w:rPr>
          <w:rFonts w:ascii="Arial" w:hAnsi="Arial" w:cs="Arial"/>
        </w:rPr>
        <w:t xml:space="preserve"> the erosion of shareholder value and reducing the firm's capacity to raise capital without excessive cost.</w:t>
      </w:r>
    </w:p>
    <w:p w14:paraId="4750649E" w14:textId="68E969C3" w:rsidR="00E100AD" w:rsidRPr="00E100AD" w:rsidRDefault="00E100AD" w:rsidP="009F26D2">
      <w:pPr>
        <w:spacing w:line="360" w:lineRule="auto"/>
        <w:jc w:val="both"/>
        <w:rPr>
          <w:rFonts w:ascii="Arial" w:hAnsi="Arial" w:cs="Arial"/>
          <w:b/>
          <w:bCs/>
        </w:rPr>
      </w:pPr>
      <w:r w:rsidRPr="00E100AD">
        <w:rPr>
          <w:rFonts w:ascii="Arial" w:hAnsi="Arial" w:cs="Arial"/>
          <w:b/>
          <w:bCs/>
        </w:rPr>
        <w:t>2.2.5 Investment Ratios</w:t>
      </w:r>
    </w:p>
    <w:tbl>
      <w:tblPr>
        <w:tblStyle w:val="TableGrid"/>
        <w:tblW w:w="0" w:type="auto"/>
        <w:tblLook w:val="04A0" w:firstRow="1" w:lastRow="0" w:firstColumn="1" w:lastColumn="0" w:noHBand="0" w:noVBand="1"/>
      </w:tblPr>
      <w:tblGrid>
        <w:gridCol w:w="2644"/>
        <w:gridCol w:w="750"/>
        <w:gridCol w:w="750"/>
        <w:gridCol w:w="750"/>
        <w:gridCol w:w="764"/>
        <w:gridCol w:w="764"/>
      </w:tblGrid>
      <w:tr w:rsidR="00E100AD" w:rsidRPr="00E100AD" w14:paraId="09FF98BA" w14:textId="77777777" w:rsidTr="00E100AD">
        <w:tc>
          <w:tcPr>
            <w:tcW w:w="0" w:type="auto"/>
            <w:hideMark/>
          </w:tcPr>
          <w:p w14:paraId="7230EAE5" w14:textId="77777777" w:rsidR="00E100AD" w:rsidRPr="00E100AD" w:rsidRDefault="00E100AD" w:rsidP="004B65BA">
            <w:pPr>
              <w:spacing w:after="160" w:line="360" w:lineRule="auto"/>
              <w:rPr>
                <w:rFonts w:ascii="Arial" w:hAnsi="Arial" w:cs="Arial"/>
                <w:b/>
                <w:bCs/>
              </w:rPr>
            </w:pPr>
            <w:r w:rsidRPr="00E100AD">
              <w:rPr>
                <w:rFonts w:ascii="Arial" w:hAnsi="Arial" w:cs="Arial"/>
                <w:b/>
                <w:bCs/>
              </w:rPr>
              <w:lastRenderedPageBreak/>
              <w:t>Ratio</w:t>
            </w:r>
          </w:p>
        </w:tc>
        <w:tc>
          <w:tcPr>
            <w:tcW w:w="0" w:type="auto"/>
            <w:hideMark/>
          </w:tcPr>
          <w:p w14:paraId="59B049CD"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2020</w:t>
            </w:r>
          </w:p>
        </w:tc>
        <w:tc>
          <w:tcPr>
            <w:tcW w:w="0" w:type="auto"/>
            <w:hideMark/>
          </w:tcPr>
          <w:p w14:paraId="5B0C2BFE"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2021</w:t>
            </w:r>
          </w:p>
        </w:tc>
        <w:tc>
          <w:tcPr>
            <w:tcW w:w="0" w:type="auto"/>
            <w:hideMark/>
          </w:tcPr>
          <w:p w14:paraId="7D008609"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2022</w:t>
            </w:r>
          </w:p>
        </w:tc>
        <w:tc>
          <w:tcPr>
            <w:tcW w:w="0" w:type="auto"/>
            <w:hideMark/>
          </w:tcPr>
          <w:p w14:paraId="1823148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2023</w:t>
            </w:r>
          </w:p>
        </w:tc>
        <w:tc>
          <w:tcPr>
            <w:tcW w:w="0" w:type="auto"/>
            <w:hideMark/>
          </w:tcPr>
          <w:p w14:paraId="14D6A834"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w:t>
            </w:r>
          </w:p>
        </w:tc>
      </w:tr>
      <w:tr w:rsidR="00E100AD" w:rsidRPr="00E100AD" w14:paraId="0AF06D60" w14:textId="77777777" w:rsidTr="00E100AD">
        <w:tc>
          <w:tcPr>
            <w:tcW w:w="0" w:type="auto"/>
            <w:hideMark/>
          </w:tcPr>
          <w:p w14:paraId="2D92D623" w14:textId="77777777" w:rsidR="00E100AD" w:rsidRPr="00E100AD" w:rsidRDefault="00E100AD" w:rsidP="004B65BA">
            <w:pPr>
              <w:spacing w:after="160" w:line="360" w:lineRule="auto"/>
              <w:rPr>
                <w:rFonts w:ascii="Arial" w:hAnsi="Arial" w:cs="Arial"/>
              </w:rPr>
            </w:pPr>
            <w:r w:rsidRPr="00E100AD">
              <w:rPr>
                <w:rFonts w:ascii="Arial" w:hAnsi="Arial" w:cs="Arial"/>
              </w:rPr>
              <w:t>Earnings per Share (£)</w:t>
            </w:r>
          </w:p>
        </w:tc>
        <w:tc>
          <w:tcPr>
            <w:tcW w:w="0" w:type="auto"/>
            <w:hideMark/>
          </w:tcPr>
          <w:p w14:paraId="752DC9E3" w14:textId="77777777" w:rsidR="00E100AD" w:rsidRPr="00E100AD" w:rsidRDefault="00E100AD" w:rsidP="004B65BA">
            <w:pPr>
              <w:spacing w:after="160" w:line="360" w:lineRule="auto"/>
              <w:rPr>
                <w:rFonts w:ascii="Arial" w:hAnsi="Arial" w:cs="Arial"/>
              </w:rPr>
            </w:pPr>
            <w:r w:rsidRPr="00E100AD">
              <w:rPr>
                <w:rFonts w:ascii="Arial" w:hAnsi="Arial" w:cs="Arial"/>
              </w:rPr>
              <w:t>2.78</w:t>
            </w:r>
          </w:p>
        </w:tc>
        <w:tc>
          <w:tcPr>
            <w:tcW w:w="0" w:type="auto"/>
            <w:hideMark/>
          </w:tcPr>
          <w:p w14:paraId="78A70D1C" w14:textId="77777777" w:rsidR="00E100AD" w:rsidRPr="00E100AD" w:rsidRDefault="00E100AD" w:rsidP="004B65BA">
            <w:pPr>
              <w:spacing w:after="160" w:line="360" w:lineRule="auto"/>
              <w:rPr>
                <w:rFonts w:ascii="Arial" w:hAnsi="Arial" w:cs="Arial"/>
              </w:rPr>
            </w:pPr>
            <w:r w:rsidRPr="00E100AD">
              <w:rPr>
                <w:rFonts w:ascii="Arial" w:hAnsi="Arial" w:cs="Arial"/>
              </w:rPr>
              <w:t>0.39</w:t>
            </w:r>
          </w:p>
        </w:tc>
        <w:tc>
          <w:tcPr>
            <w:tcW w:w="0" w:type="auto"/>
            <w:hideMark/>
          </w:tcPr>
          <w:p w14:paraId="3BAEF0EB" w14:textId="77777777" w:rsidR="00E100AD" w:rsidRPr="00E100AD" w:rsidRDefault="00E100AD" w:rsidP="004B65BA">
            <w:pPr>
              <w:spacing w:after="160" w:line="360" w:lineRule="auto"/>
              <w:rPr>
                <w:rFonts w:ascii="Arial" w:hAnsi="Arial" w:cs="Arial"/>
              </w:rPr>
            </w:pPr>
            <w:r w:rsidRPr="00E100AD">
              <w:rPr>
                <w:rFonts w:ascii="Arial" w:hAnsi="Arial" w:cs="Arial"/>
              </w:rPr>
              <w:t>0.03</w:t>
            </w:r>
          </w:p>
        </w:tc>
        <w:tc>
          <w:tcPr>
            <w:tcW w:w="0" w:type="auto"/>
            <w:hideMark/>
          </w:tcPr>
          <w:p w14:paraId="415D4A0D" w14:textId="77777777" w:rsidR="00E100AD" w:rsidRPr="00E100AD" w:rsidRDefault="00E100AD" w:rsidP="004B65BA">
            <w:pPr>
              <w:spacing w:after="160" w:line="360" w:lineRule="auto"/>
              <w:rPr>
                <w:rFonts w:ascii="Arial" w:hAnsi="Arial" w:cs="Arial"/>
              </w:rPr>
            </w:pPr>
            <w:r w:rsidRPr="00E100AD">
              <w:rPr>
                <w:rFonts w:ascii="Arial" w:hAnsi="Arial" w:cs="Arial"/>
              </w:rPr>
              <w:t>-7.64</w:t>
            </w:r>
          </w:p>
        </w:tc>
        <w:tc>
          <w:tcPr>
            <w:tcW w:w="0" w:type="auto"/>
            <w:hideMark/>
          </w:tcPr>
          <w:p w14:paraId="32EEB708" w14:textId="77777777" w:rsidR="00E100AD" w:rsidRPr="00E100AD" w:rsidRDefault="00E100AD" w:rsidP="004B65BA">
            <w:pPr>
              <w:spacing w:after="160" w:line="360" w:lineRule="auto"/>
              <w:rPr>
                <w:rFonts w:ascii="Arial" w:hAnsi="Arial" w:cs="Arial"/>
              </w:rPr>
            </w:pPr>
            <w:r w:rsidRPr="00E100AD">
              <w:rPr>
                <w:rFonts w:ascii="Arial" w:hAnsi="Arial" w:cs="Arial"/>
              </w:rPr>
              <w:t>-1.85</w:t>
            </w:r>
          </w:p>
        </w:tc>
      </w:tr>
      <w:tr w:rsidR="00E100AD" w:rsidRPr="00E100AD" w14:paraId="3A873BE2" w14:textId="77777777" w:rsidTr="00E100AD">
        <w:tc>
          <w:tcPr>
            <w:tcW w:w="0" w:type="auto"/>
            <w:hideMark/>
          </w:tcPr>
          <w:p w14:paraId="44A0A995" w14:textId="77777777" w:rsidR="00E100AD" w:rsidRPr="00E100AD" w:rsidRDefault="00E100AD" w:rsidP="004B65BA">
            <w:pPr>
              <w:spacing w:after="160" w:line="360" w:lineRule="auto"/>
              <w:rPr>
                <w:rFonts w:ascii="Arial" w:hAnsi="Arial" w:cs="Arial"/>
              </w:rPr>
            </w:pPr>
            <w:r w:rsidRPr="00E100AD">
              <w:rPr>
                <w:rFonts w:ascii="Arial" w:hAnsi="Arial" w:cs="Arial"/>
              </w:rPr>
              <w:t>Dividend per Share (£)</w:t>
            </w:r>
          </w:p>
        </w:tc>
        <w:tc>
          <w:tcPr>
            <w:tcW w:w="0" w:type="auto"/>
            <w:hideMark/>
          </w:tcPr>
          <w:p w14:paraId="62968B53" w14:textId="77777777" w:rsidR="00E100AD" w:rsidRPr="00E100AD" w:rsidRDefault="00E100AD" w:rsidP="004B65BA">
            <w:pPr>
              <w:spacing w:after="160" w:line="360" w:lineRule="auto"/>
              <w:rPr>
                <w:rFonts w:ascii="Arial" w:hAnsi="Arial" w:cs="Arial"/>
              </w:rPr>
            </w:pPr>
            <w:r w:rsidRPr="00E100AD">
              <w:rPr>
                <w:rFonts w:ascii="Arial" w:hAnsi="Arial" w:cs="Arial"/>
              </w:rPr>
              <w:t>1.20</w:t>
            </w:r>
          </w:p>
        </w:tc>
        <w:tc>
          <w:tcPr>
            <w:tcW w:w="0" w:type="auto"/>
            <w:hideMark/>
          </w:tcPr>
          <w:p w14:paraId="446BD2F5" w14:textId="77777777" w:rsidR="00E100AD" w:rsidRPr="00E100AD" w:rsidRDefault="00E100AD" w:rsidP="004B65BA">
            <w:pPr>
              <w:spacing w:after="160" w:line="360" w:lineRule="auto"/>
              <w:rPr>
                <w:rFonts w:ascii="Arial" w:hAnsi="Arial" w:cs="Arial"/>
              </w:rPr>
            </w:pPr>
            <w:r w:rsidRPr="00E100AD">
              <w:rPr>
                <w:rFonts w:ascii="Arial" w:hAnsi="Arial" w:cs="Arial"/>
              </w:rPr>
              <w:t>0.80</w:t>
            </w:r>
          </w:p>
        </w:tc>
        <w:tc>
          <w:tcPr>
            <w:tcW w:w="0" w:type="auto"/>
            <w:hideMark/>
          </w:tcPr>
          <w:p w14:paraId="7788D8BE" w14:textId="77777777" w:rsidR="00E100AD" w:rsidRPr="00E100AD" w:rsidRDefault="00E100AD" w:rsidP="004B65BA">
            <w:pPr>
              <w:spacing w:after="160" w:line="360" w:lineRule="auto"/>
              <w:rPr>
                <w:rFonts w:ascii="Arial" w:hAnsi="Arial" w:cs="Arial"/>
              </w:rPr>
            </w:pPr>
            <w:r w:rsidRPr="00E100AD">
              <w:rPr>
                <w:rFonts w:ascii="Arial" w:hAnsi="Arial" w:cs="Arial"/>
              </w:rPr>
              <w:t>0.40</w:t>
            </w:r>
          </w:p>
        </w:tc>
        <w:tc>
          <w:tcPr>
            <w:tcW w:w="0" w:type="auto"/>
            <w:hideMark/>
          </w:tcPr>
          <w:p w14:paraId="57EFE5C3" w14:textId="77777777" w:rsidR="00E100AD" w:rsidRPr="00E100AD" w:rsidRDefault="00E100AD" w:rsidP="004B65BA">
            <w:pPr>
              <w:spacing w:after="160" w:line="360" w:lineRule="auto"/>
              <w:rPr>
                <w:rFonts w:ascii="Arial" w:hAnsi="Arial" w:cs="Arial"/>
              </w:rPr>
            </w:pPr>
            <w:r w:rsidRPr="00E100AD">
              <w:rPr>
                <w:rFonts w:ascii="Arial" w:hAnsi="Arial" w:cs="Arial"/>
              </w:rPr>
              <w:t>0.00</w:t>
            </w:r>
          </w:p>
        </w:tc>
        <w:tc>
          <w:tcPr>
            <w:tcW w:w="0" w:type="auto"/>
            <w:hideMark/>
          </w:tcPr>
          <w:p w14:paraId="294E43AE" w14:textId="77777777" w:rsidR="00E100AD" w:rsidRPr="00E100AD" w:rsidRDefault="00E100AD" w:rsidP="004B65BA">
            <w:pPr>
              <w:spacing w:after="160" w:line="360" w:lineRule="auto"/>
              <w:rPr>
                <w:rFonts w:ascii="Arial" w:hAnsi="Arial" w:cs="Arial"/>
              </w:rPr>
            </w:pPr>
            <w:r w:rsidRPr="00E100AD">
              <w:rPr>
                <w:rFonts w:ascii="Arial" w:hAnsi="Arial" w:cs="Arial"/>
              </w:rPr>
              <w:t>0.00</w:t>
            </w:r>
          </w:p>
        </w:tc>
      </w:tr>
      <w:tr w:rsidR="00E100AD" w:rsidRPr="00E100AD" w14:paraId="6768F8A2" w14:textId="77777777" w:rsidTr="00E100AD">
        <w:tc>
          <w:tcPr>
            <w:tcW w:w="0" w:type="auto"/>
            <w:hideMark/>
          </w:tcPr>
          <w:p w14:paraId="7111267D" w14:textId="77777777" w:rsidR="00E100AD" w:rsidRPr="00E100AD" w:rsidRDefault="00E100AD" w:rsidP="004B65BA">
            <w:pPr>
              <w:spacing w:after="160" w:line="360" w:lineRule="auto"/>
              <w:rPr>
                <w:rFonts w:ascii="Arial" w:hAnsi="Arial" w:cs="Arial"/>
              </w:rPr>
            </w:pPr>
            <w:r w:rsidRPr="00E100AD">
              <w:rPr>
                <w:rFonts w:ascii="Arial" w:hAnsi="Arial" w:cs="Arial"/>
              </w:rPr>
              <w:t>Price–Earnings Ratio</w:t>
            </w:r>
          </w:p>
        </w:tc>
        <w:tc>
          <w:tcPr>
            <w:tcW w:w="0" w:type="auto"/>
            <w:hideMark/>
          </w:tcPr>
          <w:p w14:paraId="39FE7E00" w14:textId="77777777" w:rsidR="00E100AD" w:rsidRPr="00E100AD" w:rsidRDefault="00E100AD" w:rsidP="004B65BA">
            <w:pPr>
              <w:spacing w:after="160" w:line="360" w:lineRule="auto"/>
              <w:rPr>
                <w:rFonts w:ascii="Arial" w:hAnsi="Arial" w:cs="Arial"/>
              </w:rPr>
            </w:pPr>
            <w:r w:rsidRPr="00E100AD">
              <w:rPr>
                <w:rFonts w:ascii="Arial" w:hAnsi="Arial" w:cs="Arial"/>
              </w:rPr>
              <w:t>14.2</w:t>
            </w:r>
          </w:p>
        </w:tc>
        <w:tc>
          <w:tcPr>
            <w:tcW w:w="0" w:type="auto"/>
            <w:hideMark/>
          </w:tcPr>
          <w:p w14:paraId="733491C0" w14:textId="77777777" w:rsidR="00E100AD" w:rsidRPr="00E100AD" w:rsidRDefault="00E100AD" w:rsidP="004B65BA">
            <w:pPr>
              <w:spacing w:after="160" w:line="360" w:lineRule="auto"/>
              <w:rPr>
                <w:rFonts w:ascii="Arial" w:hAnsi="Arial" w:cs="Arial"/>
              </w:rPr>
            </w:pPr>
            <w:r w:rsidRPr="00E100AD">
              <w:rPr>
                <w:rFonts w:ascii="Arial" w:hAnsi="Arial" w:cs="Arial"/>
              </w:rPr>
              <w:t>9.5</w:t>
            </w:r>
          </w:p>
        </w:tc>
        <w:tc>
          <w:tcPr>
            <w:tcW w:w="0" w:type="auto"/>
            <w:hideMark/>
          </w:tcPr>
          <w:p w14:paraId="42C86517" w14:textId="77777777" w:rsidR="00E100AD" w:rsidRPr="00E100AD" w:rsidRDefault="00E100AD" w:rsidP="004B65BA">
            <w:pPr>
              <w:spacing w:after="160" w:line="360" w:lineRule="auto"/>
              <w:rPr>
                <w:rFonts w:ascii="Arial" w:hAnsi="Arial" w:cs="Arial"/>
              </w:rPr>
            </w:pPr>
            <w:r w:rsidRPr="00E100AD">
              <w:rPr>
                <w:rFonts w:ascii="Arial" w:hAnsi="Arial" w:cs="Arial"/>
              </w:rPr>
              <w:t>—</w:t>
            </w:r>
          </w:p>
        </w:tc>
        <w:tc>
          <w:tcPr>
            <w:tcW w:w="0" w:type="auto"/>
            <w:hideMark/>
          </w:tcPr>
          <w:p w14:paraId="1CDB0464" w14:textId="77777777" w:rsidR="00E100AD" w:rsidRPr="00E100AD" w:rsidRDefault="00E100AD" w:rsidP="004B65BA">
            <w:pPr>
              <w:spacing w:after="160" w:line="360" w:lineRule="auto"/>
              <w:rPr>
                <w:rFonts w:ascii="Arial" w:hAnsi="Arial" w:cs="Arial"/>
              </w:rPr>
            </w:pPr>
            <w:r w:rsidRPr="00E100AD">
              <w:rPr>
                <w:rFonts w:ascii="Arial" w:hAnsi="Arial" w:cs="Arial"/>
              </w:rPr>
              <w:t>—</w:t>
            </w:r>
          </w:p>
        </w:tc>
        <w:tc>
          <w:tcPr>
            <w:tcW w:w="0" w:type="auto"/>
            <w:hideMark/>
          </w:tcPr>
          <w:p w14:paraId="19442C6C" w14:textId="77777777" w:rsidR="00E100AD" w:rsidRPr="00E100AD" w:rsidRDefault="00E100AD" w:rsidP="004B65BA">
            <w:pPr>
              <w:spacing w:after="160" w:line="360" w:lineRule="auto"/>
              <w:rPr>
                <w:rFonts w:ascii="Arial" w:hAnsi="Arial" w:cs="Arial"/>
              </w:rPr>
            </w:pPr>
            <w:r w:rsidRPr="00E100AD">
              <w:rPr>
                <w:rFonts w:ascii="Arial" w:hAnsi="Arial" w:cs="Arial"/>
              </w:rPr>
              <w:t>—</w:t>
            </w:r>
          </w:p>
        </w:tc>
      </w:tr>
    </w:tbl>
    <w:p w14:paraId="5E229C23" w14:textId="092487DF" w:rsidR="00A15871" w:rsidRDefault="00F05272" w:rsidP="00A15871">
      <w:pPr>
        <w:spacing w:line="360" w:lineRule="auto"/>
        <w:jc w:val="both"/>
        <w:rPr>
          <w:rFonts w:ascii="Arial" w:hAnsi="Arial" w:cs="Arial"/>
        </w:rPr>
      </w:pPr>
      <w:r w:rsidRPr="00F05272">
        <w:rPr>
          <w:rFonts w:ascii="Arial" w:hAnsi="Arial" w:cs="Arial"/>
          <w:b/>
          <w:bCs/>
        </w:rPr>
        <w:t>Interpretation:</w:t>
      </w:r>
      <w:r w:rsidR="00D824DC">
        <w:rPr>
          <w:rFonts w:ascii="Arial" w:hAnsi="Arial" w:cs="Arial"/>
          <w:b/>
          <w:bCs/>
        </w:rPr>
        <w:t xml:space="preserve"> </w:t>
      </w:r>
      <w:r w:rsidR="00A15871" w:rsidRPr="00A15871">
        <w:rPr>
          <w:rFonts w:ascii="Arial" w:hAnsi="Arial" w:cs="Arial"/>
        </w:rPr>
        <w:t>GE’s solvency has deteriorated sharply, with the debt-to-equity ratio rising above 1.0 and liabilities now exceeding equity.</w:t>
      </w:r>
      <w:r w:rsidR="00A15871">
        <w:rPr>
          <w:rFonts w:ascii="Arial" w:hAnsi="Arial" w:cs="Arial"/>
        </w:rPr>
        <w:t xml:space="preserve"> </w:t>
      </w:r>
      <w:r w:rsidR="00A15871" w:rsidRPr="00A15871">
        <w:rPr>
          <w:rFonts w:ascii="Arial" w:hAnsi="Arial" w:cs="Arial"/>
        </w:rPr>
        <w:t>Negative interest coverage since 2023 shows operating income cannot meet interest obligations, signalling imminent financial distress.</w:t>
      </w:r>
      <w:r w:rsidR="00A15871">
        <w:rPr>
          <w:rFonts w:ascii="Arial" w:hAnsi="Arial" w:cs="Arial"/>
        </w:rPr>
        <w:t xml:space="preserve"> </w:t>
      </w:r>
      <w:r w:rsidR="00A15871" w:rsidRPr="00A15871">
        <w:rPr>
          <w:rFonts w:ascii="Arial" w:hAnsi="Arial" w:cs="Arial"/>
        </w:rPr>
        <w:t>The continued fall in the equity ratio highlights severe erosion of shareholder value and reduced capacity to raise capital.</w:t>
      </w:r>
    </w:p>
    <w:p w14:paraId="565E2B50" w14:textId="70789CC1" w:rsidR="00E100AD" w:rsidRPr="00A15871" w:rsidRDefault="00E100AD" w:rsidP="00A15871">
      <w:pPr>
        <w:spacing w:line="360" w:lineRule="auto"/>
        <w:jc w:val="both"/>
        <w:rPr>
          <w:rFonts w:ascii="Arial" w:hAnsi="Arial" w:cs="Arial"/>
        </w:rPr>
      </w:pPr>
      <w:r w:rsidRPr="00E100AD">
        <w:rPr>
          <w:rFonts w:ascii="Arial" w:hAnsi="Arial" w:cs="Arial"/>
          <w:b/>
          <w:bCs/>
        </w:rPr>
        <w:t>2.3 Altman Z-Score Analysis</w:t>
      </w:r>
    </w:p>
    <w:tbl>
      <w:tblPr>
        <w:tblStyle w:val="TableGrid"/>
        <w:tblW w:w="0" w:type="auto"/>
        <w:tblLayout w:type="fixed"/>
        <w:tblLook w:val="04A0" w:firstRow="1" w:lastRow="0" w:firstColumn="1" w:lastColumn="0" w:noHBand="0" w:noVBand="1"/>
      </w:tblPr>
      <w:tblGrid>
        <w:gridCol w:w="2245"/>
        <w:gridCol w:w="3240"/>
        <w:gridCol w:w="2430"/>
        <w:gridCol w:w="1101"/>
      </w:tblGrid>
      <w:tr w:rsidR="00AA7179" w:rsidRPr="00E100AD" w14:paraId="57BCFAEF" w14:textId="77777777" w:rsidTr="00AA7179">
        <w:tc>
          <w:tcPr>
            <w:tcW w:w="2245" w:type="dxa"/>
            <w:hideMark/>
          </w:tcPr>
          <w:p w14:paraId="75B070F4"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Variable</w:t>
            </w:r>
          </w:p>
        </w:tc>
        <w:tc>
          <w:tcPr>
            <w:tcW w:w="3240" w:type="dxa"/>
            <w:hideMark/>
          </w:tcPr>
          <w:p w14:paraId="0CEA392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2024 (£m)</w:t>
            </w:r>
          </w:p>
        </w:tc>
        <w:tc>
          <w:tcPr>
            <w:tcW w:w="2430" w:type="dxa"/>
            <w:hideMark/>
          </w:tcPr>
          <w:p w14:paraId="109E5D7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Formula</w:t>
            </w:r>
          </w:p>
        </w:tc>
        <w:tc>
          <w:tcPr>
            <w:tcW w:w="1101" w:type="dxa"/>
            <w:hideMark/>
          </w:tcPr>
          <w:p w14:paraId="267453BB"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Result</w:t>
            </w:r>
          </w:p>
        </w:tc>
      </w:tr>
      <w:tr w:rsidR="00AA7179" w:rsidRPr="00E100AD" w14:paraId="19CB5718" w14:textId="77777777" w:rsidTr="00AA7179">
        <w:tc>
          <w:tcPr>
            <w:tcW w:w="2245" w:type="dxa"/>
            <w:hideMark/>
          </w:tcPr>
          <w:p w14:paraId="07F3800A" w14:textId="77777777" w:rsidR="00E100AD" w:rsidRPr="00E100AD" w:rsidRDefault="00E100AD" w:rsidP="004B65BA">
            <w:pPr>
              <w:spacing w:after="160" w:line="360" w:lineRule="auto"/>
              <w:rPr>
                <w:rFonts w:ascii="Arial" w:hAnsi="Arial" w:cs="Arial"/>
              </w:rPr>
            </w:pPr>
            <w:r w:rsidRPr="00E100AD">
              <w:rPr>
                <w:rFonts w:ascii="Arial" w:hAnsi="Arial" w:cs="Arial"/>
              </w:rPr>
              <w:t>Working Capital / Total Assets</w:t>
            </w:r>
          </w:p>
        </w:tc>
        <w:tc>
          <w:tcPr>
            <w:tcW w:w="3240" w:type="dxa"/>
            <w:hideMark/>
          </w:tcPr>
          <w:p w14:paraId="2383B19D" w14:textId="77777777" w:rsidR="00E100AD" w:rsidRPr="00E100AD" w:rsidRDefault="00E100AD" w:rsidP="004B65BA">
            <w:pPr>
              <w:spacing w:after="160" w:line="360" w:lineRule="auto"/>
              <w:rPr>
                <w:rFonts w:ascii="Arial" w:hAnsi="Arial" w:cs="Arial"/>
              </w:rPr>
            </w:pPr>
            <w:r w:rsidRPr="00E100AD">
              <w:rPr>
                <w:rFonts w:ascii="Arial" w:hAnsi="Arial" w:cs="Arial"/>
              </w:rPr>
              <w:t>(242,494–158,291)/323,354</w:t>
            </w:r>
          </w:p>
        </w:tc>
        <w:tc>
          <w:tcPr>
            <w:tcW w:w="2430" w:type="dxa"/>
            <w:hideMark/>
          </w:tcPr>
          <w:p w14:paraId="0E418D6F" w14:textId="77777777" w:rsidR="00E100AD" w:rsidRPr="00E100AD" w:rsidRDefault="00E100AD" w:rsidP="004B65BA">
            <w:pPr>
              <w:spacing w:after="160" w:line="360" w:lineRule="auto"/>
              <w:rPr>
                <w:rFonts w:ascii="Arial" w:hAnsi="Arial" w:cs="Arial"/>
              </w:rPr>
            </w:pPr>
            <w:r w:rsidRPr="00E100AD">
              <w:rPr>
                <w:rFonts w:ascii="Arial" w:hAnsi="Arial" w:cs="Arial"/>
              </w:rPr>
              <w:t>0.26</w:t>
            </w:r>
          </w:p>
        </w:tc>
        <w:tc>
          <w:tcPr>
            <w:tcW w:w="1101" w:type="dxa"/>
            <w:hideMark/>
          </w:tcPr>
          <w:p w14:paraId="03DB940D" w14:textId="77777777" w:rsidR="00E100AD" w:rsidRPr="00E100AD" w:rsidRDefault="00E100AD" w:rsidP="004B65BA">
            <w:pPr>
              <w:spacing w:after="160" w:line="360" w:lineRule="auto"/>
              <w:rPr>
                <w:rFonts w:ascii="Arial" w:hAnsi="Arial" w:cs="Arial"/>
              </w:rPr>
            </w:pPr>
          </w:p>
        </w:tc>
      </w:tr>
      <w:tr w:rsidR="00AA7179" w:rsidRPr="00E100AD" w14:paraId="24781514" w14:textId="77777777" w:rsidTr="00AA7179">
        <w:tc>
          <w:tcPr>
            <w:tcW w:w="2245" w:type="dxa"/>
            <w:hideMark/>
          </w:tcPr>
          <w:p w14:paraId="28D8F92E" w14:textId="77777777" w:rsidR="00E100AD" w:rsidRPr="00E100AD" w:rsidRDefault="00E100AD" w:rsidP="004B65BA">
            <w:pPr>
              <w:spacing w:after="160" w:line="360" w:lineRule="auto"/>
              <w:rPr>
                <w:rFonts w:ascii="Arial" w:hAnsi="Arial" w:cs="Arial"/>
              </w:rPr>
            </w:pPr>
            <w:r w:rsidRPr="00E100AD">
              <w:rPr>
                <w:rFonts w:ascii="Arial" w:hAnsi="Arial" w:cs="Arial"/>
              </w:rPr>
              <w:t>Retained Earnings / Total Assets</w:t>
            </w:r>
          </w:p>
        </w:tc>
        <w:tc>
          <w:tcPr>
            <w:tcW w:w="3240" w:type="dxa"/>
            <w:hideMark/>
          </w:tcPr>
          <w:p w14:paraId="26DC1BCD" w14:textId="77777777" w:rsidR="00E100AD" w:rsidRPr="00E100AD" w:rsidRDefault="00E100AD" w:rsidP="004B65BA">
            <w:pPr>
              <w:spacing w:after="160" w:line="360" w:lineRule="auto"/>
              <w:rPr>
                <w:rFonts w:ascii="Arial" w:hAnsi="Arial" w:cs="Arial"/>
              </w:rPr>
            </w:pPr>
            <w:r w:rsidRPr="00E100AD">
              <w:rPr>
                <w:rFonts w:ascii="Arial" w:hAnsi="Arial" w:cs="Arial"/>
              </w:rPr>
              <w:t>208,431/323,354</w:t>
            </w:r>
          </w:p>
        </w:tc>
        <w:tc>
          <w:tcPr>
            <w:tcW w:w="2430" w:type="dxa"/>
            <w:hideMark/>
          </w:tcPr>
          <w:p w14:paraId="652342E4" w14:textId="77777777" w:rsidR="00E100AD" w:rsidRPr="00E100AD" w:rsidRDefault="00E100AD" w:rsidP="004B65BA">
            <w:pPr>
              <w:spacing w:after="160" w:line="360" w:lineRule="auto"/>
              <w:rPr>
                <w:rFonts w:ascii="Arial" w:hAnsi="Arial" w:cs="Arial"/>
              </w:rPr>
            </w:pPr>
            <w:r w:rsidRPr="00E100AD">
              <w:rPr>
                <w:rFonts w:ascii="Arial" w:hAnsi="Arial" w:cs="Arial"/>
              </w:rPr>
              <w:t>0.64</w:t>
            </w:r>
          </w:p>
        </w:tc>
        <w:tc>
          <w:tcPr>
            <w:tcW w:w="1101" w:type="dxa"/>
            <w:hideMark/>
          </w:tcPr>
          <w:p w14:paraId="14CA003E" w14:textId="77777777" w:rsidR="00E100AD" w:rsidRPr="00E100AD" w:rsidRDefault="00E100AD" w:rsidP="004B65BA">
            <w:pPr>
              <w:spacing w:after="160" w:line="360" w:lineRule="auto"/>
              <w:rPr>
                <w:rFonts w:ascii="Arial" w:hAnsi="Arial" w:cs="Arial"/>
              </w:rPr>
            </w:pPr>
          </w:p>
        </w:tc>
      </w:tr>
      <w:tr w:rsidR="00AA7179" w:rsidRPr="00E100AD" w14:paraId="7E029A2F" w14:textId="77777777" w:rsidTr="00AA7179">
        <w:tc>
          <w:tcPr>
            <w:tcW w:w="2245" w:type="dxa"/>
            <w:hideMark/>
          </w:tcPr>
          <w:p w14:paraId="2DCD6FD7" w14:textId="77777777" w:rsidR="00E100AD" w:rsidRPr="00E100AD" w:rsidRDefault="00E100AD" w:rsidP="004B65BA">
            <w:pPr>
              <w:spacing w:after="160" w:line="360" w:lineRule="auto"/>
              <w:rPr>
                <w:rFonts w:ascii="Arial" w:hAnsi="Arial" w:cs="Arial"/>
              </w:rPr>
            </w:pPr>
            <w:r w:rsidRPr="00E100AD">
              <w:rPr>
                <w:rFonts w:ascii="Arial" w:hAnsi="Arial" w:cs="Arial"/>
              </w:rPr>
              <w:t>EBIT / Total Assets</w:t>
            </w:r>
          </w:p>
        </w:tc>
        <w:tc>
          <w:tcPr>
            <w:tcW w:w="3240" w:type="dxa"/>
            <w:hideMark/>
          </w:tcPr>
          <w:p w14:paraId="3D486133" w14:textId="77777777" w:rsidR="00E100AD" w:rsidRPr="00E100AD" w:rsidRDefault="00E100AD" w:rsidP="004B65BA">
            <w:pPr>
              <w:spacing w:after="160" w:line="360" w:lineRule="auto"/>
              <w:rPr>
                <w:rFonts w:ascii="Arial" w:hAnsi="Arial" w:cs="Arial"/>
              </w:rPr>
            </w:pPr>
            <w:r w:rsidRPr="00E100AD">
              <w:rPr>
                <w:rFonts w:ascii="Arial" w:hAnsi="Arial" w:cs="Arial"/>
              </w:rPr>
              <w:t>-15,297/323,354</w:t>
            </w:r>
          </w:p>
        </w:tc>
        <w:tc>
          <w:tcPr>
            <w:tcW w:w="2430" w:type="dxa"/>
            <w:hideMark/>
          </w:tcPr>
          <w:p w14:paraId="1CC5B00E" w14:textId="77777777" w:rsidR="00E100AD" w:rsidRPr="00E100AD" w:rsidRDefault="00E100AD" w:rsidP="004B65BA">
            <w:pPr>
              <w:spacing w:after="160" w:line="360" w:lineRule="auto"/>
              <w:rPr>
                <w:rFonts w:ascii="Arial" w:hAnsi="Arial" w:cs="Arial"/>
              </w:rPr>
            </w:pPr>
            <w:r w:rsidRPr="00E100AD">
              <w:rPr>
                <w:rFonts w:ascii="Arial" w:hAnsi="Arial" w:cs="Arial"/>
              </w:rPr>
              <w:t>-0.05</w:t>
            </w:r>
          </w:p>
        </w:tc>
        <w:tc>
          <w:tcPr>
            <w:tcW w:w="1101" w:type="dxa"/>
            <w:hideMark/>
          </w:tcPr>
          <w:p w14:paraId="66FFCA59" w14:textId="77777777" w:rsidR="00E100AD" w:rsidRPr="00E100AD" w:rsidRDefault="00E100AD" w:rsidP="004B65BA">
            <w:pPr>
              <w:spacing w:after="160" w:line="360" w:lineRule="auto"/>
              <w:rPr>
                <w:rFonts w:ascii="Arial" w:hAnsi="Arial" w:cs="Arial"/>
              </w:rPr>
            </w:pPr>
          </w:p>
        </w:tc>
      </w:tr>
      <w:tr w:rsidR="00AA7179" w:rsidRPr="00E100AD" w14:paraId="3507DEEF" w14:textId="77777777" w:rsidTr="00AA7179">
        <w:tc>
          <w:tcPr>
            <w:tcW w:w="2245" w:type="dxa"/>
            <w:hideMark/>
          </w:tcPr>
          <w:p w14:paraId="44E205D2" w14:textId="77777777" w:rsidR="00E100AD" w:rsidRPr="00E100AD" w:rsidRDefault="00E100AD" w:rsidP="004B65BA">
            <w:pPr>
              <w:spacing w:after="160" w:line="360" w:lineRule="auto"/>
              <w:rPr>
                <w:rFonts w:ascii="Arial" w:hAnsi="Arial" w:cs="Arial"/>
              </w:rPr>
            </w:pPr>
            <w:r w:rsidRPr="00E100AD">
              <w:rPr>
                <w:rFonts w:ascii="Arial" w:hAnsi="Arial" w:cs="Arial"/>
              </w:rPr>
              <w:t>Market Value Equity / Total Liabilities</w:t>
            </w:r>
          </w:p>
        </w:tc>
        <w:tc>
          <w:tcPr>
            <w:tcW w:w="3240" w:type="dxa"/>
            <w:hideMark/>
          </w:tcPr>
          <w:p w14:paraId="2E060FCC" w14:textId="77777777" w:rsidR="00E100AD" w:rsidRPr="00E100AD" w:rsidRDefault="00E100AD" w:rsidP="004B65BA">
            <w:pPr>
              <w:spacing w:after="160" w:line="360" w:lineRule="auto"/>
              <w:rPr>
                <w:rFonts w:ascii="Arial" w:hAnsi="Arial" w:cs="Arial"/>
              </w:rPr>
            </w:pPr>
            <w:r w:rsidRPr="00E100AD">
              <w:rPr>
                <w:rFonts w:ascii="Arial" w:hAnsi="Arial" w:cs="Arial"/>
              </w:rPr>
              <w:t>153,105/170,249</w:t>
            </w:r>
          </w:p>
        </w:tc>
        <w:tc>
          <w:tcPr>
            <w:tcW w:w="2430" w:type="dxa"/>
            <w:hideMark/>
          </w:tcPr>
          <w:p w14:paraId="3998DC07" w14:textId="77777777" w:rsidR="00E100AD" w:rsidRPr="00E100AD" w:rsidRDefault="00E100AD" w:rsidP="004B65BA">
            <w:pPr>
              <w:spacing w:after="160" w:line="360" w:lineRule="auto"/>
              <w:rPr>
                <w:rFonts w:ascii="Arial" w:hAnsi="Arial" w:cs="Arial"/>
              </w:rPr>
            </w:pPr>
            <w:r w:rsidRPr="00E100AD">
              <w:rPr>
                <w:rFonts w:ascii="Arial" w:hAnsi="Arial" w:cs="Arial"/>
              </w:rPr>
              <w:t>0.90</w:t>
            </w:r>
          </w:p>
        </w:tc>
        <w:tc>
          <w:tcPr>
            <w:tcW w:w="1101" w:type="dxa"/>
            <w:hideMark/>
          </w:tcPr>
          <w:p w14:paraId="383DC6FE" w14:textId="77777777" w:rsidR="00E100AD" w:rsidRPr="00E100AD" w:rsidRDefault="00E100AD" w:rsidP="004B65BA">
            <w:pPr>
              <w:spacing w:after="160" w:line="360" w:lineRule="auto"/>
              <w:rPr>
                <w:rFonts w:ascii="Arial" w:hAnsi="Arial" w:cs="Arial"/>
              </w:rPr>
            </w:pPr>
          </w:p>
        </w:tc>
      </w:tr>
      <w:tr w:rsidR="00AA7179" w:rsidRPr="00E100AD" w14:paraId="35641C57" w14:textId="77777777" w:rsidTr="00AA7179">
        <w:tc>
          <w:tcPr>
            <w:tcW w:w="2245" w:type="dxa"/>
            <w:hideMark/>
          </w:tcPr>
          <w:p w14:paraId="0A003671" w14:textId="77777777" w:rsidR="00E100AD" w:rsidRPr="00E100AD" w:rsidRDefault="00E100AD" w:rsidP="004B65BA">
            <w:pPr>
              <w:spacing w:after="160" w:line="360" w:lineRule="auto"/>
              <w:rPr>
                <w:rFonts w:ascii="Arial" w:hAnsi="Arial" w:cs="Arial"/>
              </w:rPr>
            </w:pPr>
            <w:r w:rsidRPr="00E100AD">
              <w:rPr>
                <w:rFonts w:ascii="Arial" w:hAnsi="Arial" w:cs="Arial"/>
              </w:rPr>
              <w:t>Sales / Total Assets</w:t>
            </w:r>
          </w:p>
        </w:tc>
        <w:tc>
          <w:tcPr>
            <w:tcW w:w="3240" w:type="dxa"/>
            <w:hideMark/>
          </w:tcPr>
          <w:p w14:paraId="453548B2" w14:textId="77777777" w:rsidR="00E100AD" w:rsidRPr="00E100AD" w:rsidRDefault="00E100AD" w:rsidP="004B65BA">
            <w:pPr>
              <w:spacing w:after="160" w:line="360" w:lineRule="auto"/>
              <w:rPr>
                <w:rFonts w:ascii="Arial" w:hAnsi="Arial" w:cs="Arial"/>
              </w:rPr>
            </w:pPr>
            <w:r w:rsidRPr="00E100AD">
              <w:rPr>
                <w:rFonts w:ascii="Arial" w:hAnsi="Arial" w:cs="Arial"/>
              </w:rPr>
              <w:t>394,879/323,354</w:t>
            </w:r>
          </w:p>
        </w:tc>
        <w:tc>
          <w:tcPr>
            <w:tcW w:w="2430" w:type="dxa"/>
            <w:hideMark/>
          </w:tcPr>
          <w:p w14:paraId="28329E9F" w14:textId="77777777" w:rsidR="00E100AD" w:rsidRPr="00E100AD" w:rsidRDefault="00E100AD" w:rsidP="004B65BA">
            <w:pPr>
              <w:spacing w:after="160" w:line="360" w:lineRule="auto"/>
              <w:rPr>
                <w:rFonts w:ascii="Arial" w:hAnsi="Arial" w:cs="Arial"/>
              </w:rPr>
            </w:pPr>
            <w:r w:rsidRPr="00E100AD">
              <w:rPr>
                <w:rFonts w:ascii="Arial" w:hAnsi="Arial" w:cs="Arial"/>
              </w:rPr>
              <w:t>1.22</w:t>
            </w:r>
          </w:p>
        </w:tc>
        <w:tc>
          <w:tcPr>
            <w:tcW w:w="1101" w:type="dxa"/>
            <w:hideMark/>
          </w:tcPr>
          <w:p w14:paraId="38FBF7F4" w14:textId="77777777" w:rsidR="00E100AD" w:rsidRPr="00E100AD" w:rsidRDefault="00E100AD" w:rsidP="004B65BA">
            <w:pPr>
              <w:spacing w:after="160" w:line="360" w:lineRule="auto"/>
              <w:rPr>
                <w:rFonts w:ascii="Arial" w:hAnsi="Arial" w:cs="Arial"/>
              </w:rPr>
            </w:pPr>
          </w:p>
        </w:tc>
      </w:tr>
      <w:tr w:rsidR="00AA7179" w:rsidRPr="00E100AD" w14:paraId="0A7724CC" w14:textId="77777777" w:rsidTr="00AA7179">
        <w:tc>
          <w:tcPr>
            <w:tcW w:w="2245" w:type="dxa"/>
            <w:hideMark/>
          </w:tcPr>
          <w:p w14:paraId="5CA00122" w14:textId="77777777" w:rsidR="00E100AD" w:rsidRPr="00E100AD" w:rsidRDefault="00E100AD" w:rsidP="004B65BA">
            <w:pPr>
              <w:spacing w:after="160" w:line="360" w:lineRule="auto"/>
              <w:rPr>
                <w:rFonts w:ascii="Arial" w:hAnsi="Arial" w:cs="Arial"/>
              </w:rPr>
            </w:pPr>
            <w:r w:rsidRPr="00E100AD">
              <w:rPr>
                <w:rFonts w:ascii="Arial" w:hAnsi="Arial" w:cs="Arial"/>
                <w:b/>
                <w:bCs/>
              </w:rPr>
              <w:t>Z-Score</w:t>
            </w:r>
          </w:p>
        </w:tc>
        <w:tc>
          <w:tcPr>
            <w:tcW w:w="3240" w:type="dxa"/>
            <w:hideMark/>
          </w:tcPr>
          <w:p w14:paraId="015852CB" w14:textId="77777777" w:rsidR="00E100AD" w:rsidRPr="00E100AD" w:rsidRDefault="00E100AD" w:rsidP="004B65BA">
            <w:pPr>
              <w:spacing w:after="160" w:line="360" w:lineRule="auto"/>
              <w:rPr>
                <w:rFonts w:ascii="Arial" w:hAnsi="Arial" w:cs="Arial"/>
              </w:rPr>
            </w:pPr>
            <w:r w:rsidRPr="00E100AD">
              <w:rPr>
                <w:rFonts w:ascii="Arial" w:hAnsi="Arial" w:cs="Arial"/>
                <w:b/>
                <w:bCs/>
              </w:rPr>
              <w:t>1.21</w:t>
            </w:r>
          </w:p>
        </w:tc>
        <w:tc>
          <w:tcPr>
            <w:tcW w:w="2430" w:type="dxa"/>
            <w:hideMark/>
          </w:tcPr>
          <w:p w14:paraId="346CD644" w14:textId="1777063D" w:rsidR="00E100AD" w:rsidRPr="00E100AD" w:rsidRDefault="00E100AD" w:rsidP="004B65BA">
            <w:pPr>
              <w:spacing w:after="160" w:line="360" w:lineRule="auto"/>
              <w:rPr>
                <w:rFonts w:ascii="Arial" w:hAnsi="Arial" w:cs="Arial"/>
              </w:rPr>
            </w:pPr>
            <w:r w:rsidRPr="00E100AD">
              <w:rPr>
                <w:rFonts w:ascii="Arial" w:hAnsi="Arial" w:cs="Arial"/>
                <w:i/>
                <w:iCs/>
              </w:rPr>
              <w:t>(1.2×X</w:t>
            </w:r>
            <w:r w:rsidR="00461A0A" w:rsidRPr="00E100AD">
              <w:rPr>
                <w:rFonts w:ascii="Arial" w:hAnsi="Arial" w:cs="Arial"/>
                <w:i/>
                <w:iCs/>
              </w:rPr>
              <w:t>1) +(</w:t>
            </w:r>
            <w:r w:rsidRPr="00E100AD">
              <w:rPr>
                <w:rFonts w:ascii="Arial" w:hAnsi="Arial" w:cs="Arial"/>
                <w:i/>
                <w:iCs/>
              </w:rPr>
              <w:t>1.4×X</w:t>
            </w:r>
            <w:r w:rsidR="00461A0A" w:rsidRPr="00E100AD">
              <w:rPr>
                <w:rFonts w:ascii="Arial" w:hAnsi="Arial" w:cs="Arial"/>
                <w:i/>
                <w:iCs/>
              </w:rPr>
              <w:t>2) +(</w:t>
            </w:r>
            <w:r w:rsidRPr="00E100AD">
              <w:rPr>
                <w:rFonts w:ascii="Arial" w:hAnsi="Arial" w:cs="Arial"/>
                <w:i/>
                <w:iCs/>
              </w:rPr>
              <w:t>3.3×X</w:t>
            </w:r>
            <w:r w:rsidR="00461A0A" w:rsidRPr="00E100AD">
              <w:rPr>
                <w:rFonts w:ascii="Arial" w:hAnsi="Arial" w:cs="Arial"/>
                <w:i/>
                <w:iCs/>
              </w:rPr>
              <w:t>3) +(</w:t>
            </w:r>
            <w:r w:rsidRPr="00E100AD">
              <w:rPr>
                <w:rFonts w:ascii="Arial" w:hAnsi="Arial" w:cs="Arial"/>
                <w:i/>
                <w:iCs/>
              </w:rPr>
              <w:t>0.6×X</w:t>
            </w:r>
            <w:r w:rsidR="00461A0A" w:rsidRPr="00E100AD">
              <w:rPr>
                <w:rFonts w:ascii="Arial" w:hAnsi="Arial" w:cs="Arial"/>
                <w:i/>
                <w:iCs/>
              </w:rPr>
              <w:t>4) +(</w:t>
            </w:r>
            <w:r w:rsidRPr="00E100AD">
              <w:rPr>
                <w:rFonts w:ascii="Arial" w:hAnsi="Arial" w:cs="Arial"/>
                <w:i/>
                <w:iCs/>
              </w:rPr>
              <w:t>1.0×X5)</w:t>
            </w:r>
          </w:p>
        </w:tc>
        <w:tc>
          <w:tcPr>
            <w:tcW w:w="1101" w:type="dxa"/>
            <w:hideMark/>
          </w:tcPr>
          <w:p w14:paraId="4E64C219" w14:textId="77777777" w:rsidR="00E100AD" w:rsidRPr="00E100AD" w:rsidRDefault="00E100AD" w:rsidP="004B65BA">
            <w:pPr>
              <w:spacing w:after="160" w:line="360" w:lineRule="auto"/>
              <w:rPr>
                <w:rFonts w:ascii="Arial" w:hAnsi="Arial" w:cs="Arial"/>
              </w:rPr>
            </w:pPr>
            <w:r w:rsidRPr="00E100AD">
              <w:rPr>
                <w:rFonts w:ascii="Arial" w:hAnsi="Arial" w:cs="Arial"/>
                <w:b/>
                <w:bCs/>
              </w:rPr>
              <w:t>1.21</w:t>
            </w:r>
          </w:p>
        </w:tc>
      </w:tr>
    </w:tbl>
    <w:p w14:paraId="7000A5A2" w14:textId="045C8F83" w:rsidR="004A3B52" w:rsidRDefault="00F05272" w:rsidP="004A3B52">
      <w:pPr>
        <w:spacing w:line="360" w:lineRule="auto"/>
        <w:jc w:val="both"/>
        <w:rPr>
          <w:rFonts w:ascii="Arial" w:hAnsi="Arial" w:cs="Arial"/>
        </w:rPr>
      </w:pPr>
      <w:r w:rsidRPr="00F05272">
        <w:rPr>
          <w:rFonts w:ascii="Arial" w:hAnsi="Arial" w:cs="Arial"/>
          <w:b/>
          <w:bCs/>
        </w:rPr>
        <w:t>Interpretation:</w:t>
      </w:r>
      <w:r w:rsidR="00D824DC">
        <w:rPr>
          <w:rFonts w:ascii="Arial" w:hAnsi="Arial" w:cs="Arial"/>
          <w:b/>
          <w:bCs/>
        </w:rPr>
        <w:t xml:space="preserve"> </w:t>
      </w:r>
      <w:r w:rsidR="004A3B52" w:rsidRPr="004A3B52">
        <w:rPr>
          <w:rFonts w:ascii="Arial" w:hAnsi="Arial" w:cs="Arial"/>
        </w:rPr>
        <w:t xml:space="preserve">An Altman Z-Score of 1.21 positions GE significantly below the 1.81 distress threshold, indicating a high likelihood of bankruptcy. Literature indicates that the accuracy of the Z-Score is very prominent in large manufacturing firms that have been in operation for reasonably long periods of time, making it an effective predictor </w:t>
      </w:r>
      <w:r w:rsidR="004A3B52" w:rsidRPr="004A3B52">
        <w:rPr>
          <w:rFonts w:ascii="Arial" w:hAnsi="Arial" w:cs="Arial"/>
        </w:rPr>
        <w:lastRenderedPageBreak/>
        <w:t>of GE's situation (Altman et al., 2020).</w:t>
      </w:r>
      <w:r w:rsidR="004A3B52">
        <w:rPr>
          <w:rFonts w:ascii="Arial" w:hAnsi="Arial" w:cs="Arial"/>
        </w:rPr>
        <w:t xml:space="preserve"> </w:t>
      </w:r>
      <w:r w:rsidR="004A3B52" w:rsidRPr="004A3B52">
        <w:rPr>
          <w:rFonts w:ascii="Arial" w:hAnsi="Arial" w:cs="Arial"/>
        </w:rPr>
        <w:t>The negative EBIT contribution further confirms that the firm's operations are value-destructive.</w:t>
      </w:r>
    </w:p>
    <w:p w14:paraId="09EA394C" w14:textId="095A8082" w:rsidR="00FF76A9" w:rsidRDefault="00E100AD" w:rsidP="004A3B52">
      <w:pPr>
        <w:spacing w:line="360" w:lineRule="auto"/>
        <w:jc w:val="both"/>
        <w:rPr>
          <w:rFonts w:ascii="Arial" w:hAnsi="Arial" w:cs="Arial"/>
          <w:b/>
          <w:bCs/>
        </w:rPr>
      </w:pPr>
      <w:r w:rsidRPr="00E100AD">
        <w:rPr>
          <w:rFonts w:ascii="Arial" w:hAnsi="Arial" w:cs="Arial"/>
          <w:b/>
          <w:bCs/>
        </w:rPr>
        <w:t xml:space="preserve">2.4 Strengths, </w:t>
      </w:r>
      <w:r w:rsidR="00FF76A9">
        <w:rPr>
          <w:rFonts w:ascii="Arial" w:hAnsi="Arial" w:cs="Arial"/>
          <w:b/>
          <w:bCs/>
        </w:rPr>
        <w:t xml:space="preserve">Weaknesses </w:t>
      </w:r>
      <w:r w:rsidRPr="00E100AD">
        <w:rPr>
          <w:rFonts w:ascii="Arial" w:hAnsi="Arial" w:cs="Arial"/>
          <w:b/>
          <w:bCs/>
        </w:rPr>
        <w:t>and Threats</w:t>
      </w:r>
    </w:p>
    <w:p w14:paraId="4D3AD1DA" w14:textId="7AD2F411" w:rsidR="00FF76A9" w:rsidRPr="00FF76A9" w:rsidRDefault="00FF76A9" w:rsidP="00FF76A9">
      <w:pPr>
        <w:spacing w:line="360" w:lineRule="auto"/>
        <w:rPr>
          <w:rFonts w:ascii="Arial" w:hAnsi="Arial" w:cs="Arial"/>
          <w:b/>
          <w:bCs/>
        </w:rPr>
      </w:pPr>
      <w:r w:rsidRPr="00FF76A9">
        <w:rPr>
          <w:rFonts w:ascii="Arial" w:hAnsi="Arial" w:cs="Arial"/>
          <w:b/>
          <w:bCs/>
        </w:rPr>
        <w:t>Strengths</w:t>
      </w:r>
    </w:p>
    <w:p w14:paraId="311B1039" w14:textId="77777777" w:rsidR="00A15871" w:rsidRDefault="00A15871" w:rsidP="00C465E2">
      <w:pPr>
        <w:spacing w:line="360" w:lineRule="auto"/>
        <w:jc w:val="both"/>
        <w:rPr>
          <w:rFonts w:ascii="Arial" w:hAnsi="Arial" w:cs="Arial"/>
        </w:rPr>
      </w:pPr>
      <w:r w:rsidRPr="00A15871">
        <w:rPr>
          <w:rFonts w:ascii="Arial" w:hAnsi="Arial" w:cs="Arial"/>
        </w:rPr>
        <w:t>Despite the recent decline in performance, General Electric retains several strategic strengths that may support financial recovery. Its large and diversified asset base can facilitate debt refinancing, access to new capital, or the sale of non-core units to generate liquidity. Consistent with the resource-based view, firms with strong internal resources—such as proprietary technologies, patents, and brand assets—remain more resilient in turbulent markets (Barney, 2020). Stable sales volumes and strong brand equity indicate that customer demand has not fully eroded, providing a foundation for rebuilding profitability. Scholarship on dynamic capabilities similarly shows that firms with established market positions and technological histories are better placed to adapt and execute turnaround strategies (Teece, 2020).</w:t>
      </w:r>
    </w:p>
    <w:p w14:paraId="08DF72D8" w14:textId="7C71B433" w:rsidR="00FF76A9" w:rsidRPr="00FF76A9" w:rsidRDefault="00FF76A9" w:rsidP="00C465E2">
      <w:pPr>
        <w:spacing w:line="360" w:lineRule="auto"/>
        <w:jc w:val="both"/>
        <w:rPr>
          <w:rFonts w:ascii="Arial" w:hAnsi="Arial" w:cs="Arial"/>
          <w:b/>
          <w:bCs/>
        </w:rPr>
      </w:pPr>
      <w:r w:rsidRPr="00FF76A9">
        <w:rPr>
          <w:rFonts w:ascii="Arial" w:hAnsi="Arial" w:cs="Arial"/>
          <w:b/>
          <w:bCs/>
        </w:rPr>
        <w:t>Weaknesses</w:t>
      </w:r>
    </w:p>
    <w:p w14:paraId="2566F43A" w14:textId="77777777" w:rsidR="004A3B52" w:rsidRDefault="004A3B52" w:rsidP="00C465E2">
      <w:pPr>
        <w:spacing w:line="360" w:lineRule="auto"/>
        <w:jc w:val="both"/>
        <w:rPr>
          <w:rFonts w:ascii="Arial" w:hAnsi="Arial" w:cs="Arial"/>
        </w:rPr>
      </w:pPr>
      <w:r w:rsidRPr="004A3B52">
        <w:rPr>
          <w:rFonts w:ascii="Arial" w:hAnsi="Arial" w:cs="Arial"/>
        </w:rPr>
        <w:t>Despite some strengths, GE suffers from serious weaknesses that may jeopardize its financial stability. Of particular concern is the persistence of operating losses, which have continuously destroyed shareholder value and constrained financial flexibility. Sustained negative margins are strongly associated with increasing insolvency risk in high-capital and innovation-intensive industries (Altman et al., 2020). High leverage and negative interest coverage by GE further suggest that the company cannot generate sufficient operating income to service its financing obligations-a signal of financial distress widely accepted in empirical literature (Brigham &amp; Ehrhardt, 2022). Increasing dependence on receivables and inventory for short-term liquidity also points to poor working capital management, which studies indicate may stress cash flow and increase vulnerability to exogenous shocks (Deloof, 2021).</w:t>
      </w:r>
    </w:p>
    <w:p w14:paraId="1A2B9271" w14:textId="5DD3E78D" w:rsidR="00FF76A9" w:rsidRPr="00FF76A9" w:rsidRDefault="00FF76A9" w:rsidP="00C465E2">
      <w:pPr>
        <w:spacing w:line="360" w:lineRule="auto"/>
        <w:jc w:val="both"/>
        <w:rPr>
          <w:rFonts w:ascii="Arial" w:hAnsi="Arial" w:cs="Arial"/>
          <w:b/>
          <w:bCs/>
        </w:rPr>
      </w:pPr>
      <w:r w:rsidRPr="00FF76A9">
        <w:rPr>
          <w:rFonts w:ascii="Arial" w:hAnsi="Arial" w:cs="Arial"/>
          <w:b/>
          <w:bCs/>
        </w:rPr>
        <w:t>Threats</w:t>
      </w:r>
    </w:p>
    <w:p w14:paraId="337A5839" w14:textId="77777777" w:rsidR="004A3B52" w:rsidRDefault="004A3B52" w:rsidP="00C465E2">
      <w:pPr>
        <w:spacing w:line="360" w:lineRule="auto"/>
        <w:jc w:val="both"/>
        <w:rPr>
          <w:rFonts w:ascii="Arial" w:hAnsi="Arial" w:cs="Arial"/>
        </w:rPr>
      </w:pPr>
      <w:r w:rsidRPr="004A3B52">
        <w:rPr>
          <w:rFonts w:ascii="Arial" w:hAnsi="Arial" w:cs="Arial"/>
        </w:rPr>
        <w:t xml:space="preserve">GE is also confronted by severe external threats that heighten its vulnerability. The consumer electronics industry is characterized by rapid technological change, aggressive competition, and short product cycles, which financially weakened firms find difficult to support with innovation. Those behind the pace often face accelerated </w:t>
      </w:r>
      <w:r w:rsidRPr="004A3B52">
        <w:rPr>
          <w:rFonts w:ascii="Arial" w:hAnsi="Arial" w:cs="Arial"/>
        </w:rPr>
        <w:lastRenderedPageBreak/>
        <w:t xml:space="preserve">market share decline (Lee &amp; </w:t>
      </w:r>
      <w:proofErr w:type="spellStart"/>
      <w:r w:rsidRPr="004A3B52">
        <w:rPr>
          <w:rFonts w:ascii="Arial" w:hAnsi="Arial" w:cs="Arial"/>
        </w:rPr>
        <w:t>Trimi</w:t>
      </w:r>
      <w:proofErr w:type="spellEnd"/>
      <w:r w:rsidRPr="004A3B52">
        <w:rPr>
          <w:rFonts w:ascii="Arial" w:hAnsi="Arial" w:cs="Arial"/>
        </w:rPr>
        <w:t>, 2021). At a time when supply chain disruptions and increases in component costs are complicating the broader macroeconomic environment, falling investor confidence is weakened by negative EPS, halted dividends, and increased leverage. This potentially undermines the credibility of GE's signals that lead investors to anxiety, which may diminish future capital accessibility (Ross, 2021).</w:t>
      </w:r>
    </w:p>
    <w:p w14:paraId="411F43E8" w14:textId="70C0E767" w:rsidR="00E100AD" w:rsidRPr="00E100AD" w:rsidRDefault="00E100AD" w:rsidP="00C465E2">
      <w:pPr>
        <w:spacing w:line="360" w:lineRule="auto"/>
        <w:jc w:val="both"/>
        <w:rPr>
          <w:rFonts w:ascii="Arial" w:hAnsi="Arial" w:cs="Arial"/>
          <w:b/>
          <w:bCs/>
        </w:rPr>
      </w:pPr>
      <w:r w:rsidRPr="00E100AD">
        <w:rPr>
          <w:rFonts w:ascii="Arial" w:hAnsi="Arial" w:cs="Arial"/>
          <w:b/>
          <w:bCs/>
        </w:rPr>
        <w:t>2.5 Summary of Financial Health</w:t>
      </w:r>
    </w:p>
    <w:p w14:paraId="7EA771B6" w14:textId="77777777" w:rsidR="00867E36" w:rsidRPr="00867E36" w:rsidRDefault="00867E36" w:rsidP="00C465E2">
      <w:pPr>
        <w:spacing w:line="360" w:lineRule="auto"/>
        <w:jc w:val="both"/>
        <w:rPr>
          <w:rFonts w:ascii="Arial" w:hAnsi="Arial" w:cs="Arial"/>
        </w:rPr>
      </w:pPr>
      <w:r w:rsidRPr="00867E36">
        <w:rPr>
          <w:rFonts w:ascii="Arial" w:hAnsi="Arial" w:cs="Arial"/>
        </w:rPr>
        <w:t>Overall, General Electronics is in a high-risk financial position characterized by collapsing profitability, constrained liquidity, deteriorating solvency, and weakening market valuation. Near-term bankruptcy risk is confirmed by the Altman Z-Score unless corrective measures are urgently implemented. Yet, substantial strategic strengths remain for the firm, mainly in valuable assets, strong market presence, and restructuring potential.</w:t>
      </w:r>
    </w:p>
    <w:p w14:paraId="7FF71F76" w14:textId="77777777" w:rsidR="00867E36" w:rsidRDefault="00867E36" w:rsidP="00C465E2">
      <w:pPr>
        <w:spacing w:line="360" w:lineRule="auto"/>
        <w:jc w:val="both"/>
        <w:rPr>
          <w:rFonts w:ascii="Arial" w:hAnsi="Arial" w:cs="Arial"/>
        </w:rPr>
      </w:pPr>
      <w:r w:rsidRPr="00867E36">
        <w:rPr>
          <w:rFonts w:ascii="Arial" w:hAnsi="Arial" w:cs="Arial"/>
        </w:rPr>
        <w:t>These findings culminate in an aggressive financial turnaround strategy for liquidity restoration, debt restructuring, and investment optimization as key to retaining stability and preventing further decline for GE.</w:t>
      </w:r>
    </w:p>
    <w:p w14:paraId="5CD9597B" w14:textId="500C3918" w:rsidR="00E100AD" w:rsidRPr="00E100AD" w:rsidRDefault="00E100AD" w:rsidP="00867E36">
      <w:pPr>
        <w:spacing w:line="360" w:lineRule="auto"/>
        <w:jc w:val="both"/>
        <w:rPr>
          <w:rFonts w:ascii="Arial" w:hAnsi="Arial" w:cs="Arial"/>
          <w:b/>
          <w:bCs/>
        </w:rPr>
      </w:pPr>
      <w:r w:rsidRPr="00E100AD">
        <w:rPr>
          <w:rFonts w:ascii="Arial" w:hAnsi="Arial" w:cs="Arial"/>
          <w:b/>
          <w:bCs/>
        </w:rPr>
        <w:t xml:space="preserve">3. Section 2: Working Capital Management Analysis </w:t>
      </w:r>
    </w:p>
    <w:p w14:paraId="194AB55A" w14:textId="77777777" w:rsidR="00E100AD" w:rsidRPr="00E100AD" w:rsidRDefault="00E100AD" w:rsidP="006C7160">
      <w:pPr>
        <w:spacing w:line="360" w:lineRule="auto"/>
        <w:jc w:val="both"/>
        <w:rPr>
          <w:rFonts w:ascii="Arial" w:hAnsi="Arial" w:cs="Arial"/>
          <w:b/>
          <w:bCs/>
        </w:rPr>
      </w:pPr>
      <w:r w:rsidRPr="00E100AD">
        <w:rPr>
          <w:rFonts w:ascii="Arial" w:hAnsi="Arial" w:cs="Arial"/>
          <w:b/>
          <w:bCs/>
        </w:rPr>
        <w:t>3.1 Overview of Working Capital Position</w:t>
      </w:r>
    </w:p>
    <w:p w14:paraId="1413A401" w14:textId="77777777" w:rsidR="00867E36" w:rsidRPr="00867E36" w:rsidRDefault="00867E36" w:rsidP="00C465E2">
      <w:pPr>
        <w:spacing w:line="360" w:lineRule="auto"/>
        <w:jc w:val="both"/>
        <w:rPr>
          <w:rFonts w:ascii="Arial" w:hAnsi="Arial" w:cs="Arial"/>
        </w:rPr>
      </w:pPr>
      <w:r w:rsidRPr="00867E36">
        <w:rPr>
          <w:rFonts w:ascii="Arial" w:hAnsi="Arial" w:cs="Arial"/>
        </w:rPr>
        <w:t>Working capital management is important in order to maintain liquidity and ensure that operations can continue smoothly. According to Shin and Soenen (2021), GE's working-capital efficiency has declined progressively since the year 2020. Current assets fell from £326,843 million to £242,494 million-26%; however, current liabilities fell by only 10%. The net working capital ratio contracted thus from 1.82 to 1.53.</w:t>
      </w:r>
    </w:p>
    <w:p w14:paraId="06E11A92" w14:textId="77777777" w:rsidR="00867E36" w:rsidRDefault="00867E36" w:rsidP="00C465E2">
      <w:pPr>
        <w:spacing w:line="360" w:lineRule="auto"/>
        <w:jc w:val="both"/>
        <w:rPr>
          <w:rFonts w:ascii="Arial" w:hAnsi="Arial" w:cs="Arial"/>
        </w:rPr>
      </w:pPr>
      <w:r w:rsidRPr="00867E36">
        <w:rPr>
          <w:rFonts w:ascii="Arial" w:hAnsi="Arial" w:cs="Arial"/>
        </w:rPr>
        <w:t>This decrease in cash and inventory turnover has lengthened the operating cycle, causing a squeeze on liquidity. A reversal of this trend requires the effective management of the cash-conversion-cycle (CCC).</w:t>
      </w:r>
    </w:p>
    <w:p w14:paraId="19394E4F" w14:textId="795682B4" w:rsidR="00E100AD" w:rsidRPr="00E100AD" w:rsidRDefault="00E100AD" w:rsidP="00C465E2">
      <w:pPr>
        <w:spacing w:line="360" w:lineRule="auto"/>
        <w:rPr>
          <w:rFonts w:ascii="Arial" w:hAnsi="Arial" w:cs="Arial"/>
          <w:b/>
          <w:bCs/>
        </w:rPr>
      </w:pPr>
      <w:r w:rsidRPr="00E100AD">
        <w:rPr>
          <w:rFonts w:ascii="Arial" w:hAnsi="Arial" w:cs="Arial"/>
          <w:b/>
          <w:bCs/>
        </w:rPr>
        <w:t>3.2 Cash Conversion Cycle (CCC)</w:t>
      </w:r>
      <w:r w:rsidRPr="00E100AD">
        <w:rPr>
          <w:rFonts w:ascii="Arial" w:hAnsi="Arial" w:cs="Arial"/>
        </w:rPr>
        <w:br/>
      </w:r>
      <w:r w:rsidRPr="004B65BA">
        <w:rPr>
          <w:rFonts w:ascii="Arial" w:hAnsi="Arial" w:cs="Arial"/>
        </w:rPr>
        <w:t>CCC=Inventory Days + Receivables Days − Payables Days</w:t>
      </w:r>
    </w:p>
    <w:tbl>
      <w:tblPr>
        <w:tblStyle w:val="TableGrid"/>
        <w:tblW w:w="0" w:type="auto"/>
        <w:tblLook w:val="04A0" w:firstRow="1" w:lastRow="0" w:firstColumn="1" w:lastColumn="0" w:noHBand="0" w:noVBand="1"/>
      </w:tblPr>
      <w:tblGrid>
        <w:gridCol w:w="750"/>
        <w:gridCol w:w="1937"/>
        <w:gridCol w:w="2111"/>
        <w:gridCol w:w="1764"/>
        <w:gridCol w:w="1510"/>
      </w:tblGrid>
      <w:tr w:rsidR="00E100AD" w:rsidRPr="00E100AD" w14:paraId="4D82AC9C" w14:textId="77777777" w:rsidTr="00E100AD">
        <w:tc>
          <w:tcPr>
            <w:tcW w:w="0" w:type="auto"/>
            <w:hideMark/>
          </w:tcPr>
          <w:p w14:paraId="467DFB73"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Year</w:t>
            </w:r>
          </w:p>
        </w:tc>
        <w:tc>
          <w:tcPr>
            <w:tcW w:w="0" w:type="auto"/>
            <w:hideMark/>
          </w:tcPr>
          <w:p w14:paraId="6A2440F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Inventory Days</w:t>
            </w:r>
          </w:p>
        </w:tc>
        <w:tc>
          <w:tcPr>
            <w:tcW w:w="0" w:type="auto"/>
            <w:hideMark/>
          </w:tcPr>
          <w:p w14:paraId="0BDC5969"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Receivable Days</w:t>
            </w:r>
          </w:p>
        </w:tc>
        <w:tc>
          <w:tcPr>
            <w:tcW w:w="0" w:type="auto"/>
            <w:hideMark/>
          </w:tcPr>
          <w:p w14:paraId="1F5ECE4A"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Payable Days</w:t>
            </w:r>
          </w:p>
        </w:tc>
        <w:tc>
          <w:tcPr>
            <w:tcW w:w="0" w:type="auto"/>
            <w:hideMark/>
          </w:tcPr>
          <w:p w14:paraId="131CA8C1"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CCC (days)</w:t>
            </w:r>
          </w:p>
        </w:tc>
      </w:tr>
      <w:tr w:rsidR="00E100AD" w:rsidRPr="00E100AD" w14:paraId="03C94784" w14:textId="77777777" w:rsidTr="00E100AD">
        <w:tc>
          <w:tcPr>
            <w:tcW w:w="0" w:type="auto"/>
            <w:hideMark/>
          </w:tcPr>
          <w:p w14:paraId="2924B4DD" w14:textId="77777777" w:rsidR="00E100AD" w:rsidRPr="00E100AD" w:rsidRDefault="00E100AD" w:rsidP="004B65BA">
            <w:pPr>
              <w:spacing w:after="160" w:line="360" w:lineRule="auto"/>
              <w:rPr>
                <w:rFonts w:ascii="Arial" w:hAnsi="Arial" w:cs="Arial"/>
              </w:rPr>
            </w:pPr>
            <w:r w:rsidRPr="00E100AD">
              <w:rPr>
                <w:rFonts w:ascii="Arial" w:hAnsi="Arial" w:cs="Arial"/>
              </w:rPr>
              <w:lastRenderedPageBreak/>
              <w:t>2020</w:t>
            </w:r>
          </w:p>
        </w:tc>
        <w:tc>
          <w:tcPr>
            <w:tcW w:w="0" w:type="auto"/>
            <w:hideMark/>
          </w:tcPr>
          <w:p w14:paraId="003B541C" w14:textId="77777777" w:rsidR="00E100AD" w:rsidRPr="00E100AD" w:rsidRDefault="00E100AD" w:rsidP="004B65BA">
            <w:pPr>
              <w:spacing w:after="160" w:line="360" w:lineRule="auto"/>
              <w:rPr>
                <w:rFonts w:ascii="Arial" w:hAnsi="Arial" w:cs="Arial"/>
              </w:rPr>
            </w:pPr>
            <w:r w:rsidRPr="00E100AD">
              <w:rPr>
                <w:rFonts w:ascii="Arial" w:hAnsi="Arial" w:cs="Arial"/>
              </w:rPr>
              <w:t>100</w:t>
            </w:r>
          </w:p>
        </w:tc>
        <w:tc>
          <w:tcPr>
            <w:tcW w:w="0" w:type="auto"/>
            <w:hideMark/>
          </w:tcPr>
          <w:p w14:paraId="7F167722" w14:textId="77777777" w:rsidR="00E100AD" w:rsidRPr="00E100AD" w:rsidRDefault="00E100AD" w:rsidP="004B65BA">
            <w:pPr>
              <w:spacing w:after="160" w:line="360" w:lineRule="auto"/>
              <w:rPr>
                <w:rFonts w:ascii="Arial" w:hAnsi="Arial" w:cs="Arial"/>
              </w:rPr>
            </w:pPr>
            <w:r w:rsidRPr="00E100AD">
              <w:rPr>
                <w:rFonts w:ascii="Arial" w:hAnsi="Arial" w:cs="Arial"/>
              </w:rPr>
              <w:t>77</w:t>
            </w:r>
          </w:p>
        </w:tc>
        <w:tc>
          <w:tcPr>
            <w:tcW w:w="0" w:type="auto"/>
            <w:hideMark/>
          </w:tcPr>
          <w:p w14:paraId="1BE53FB4" w14:textId="77777777" w:rsidR="00E100AD" w:rsidRPr="00E100AD" w:rsidRDefault="00E100AD" w:rsidP="004B65BA">
            <w:pPr>
              <w:spacing w:after="160" w:line="360" w:lineRule="auto"/>
              <w:rPr>
                <w:rFonts w:ascii="Arial" w:hAnsi="Arial" w:cs="Arial"/>
              </w:rPr>
            </w:pPr>
            <w:r w:rsidRPr="00E100AD">
              <w:rPr>
                <w:rFonts w:ascii="Arial" w:hAnsi="Arial" w:cs="Arial"/>
              </w:rPr>
              <w:t>80</w:t>
            </w:r>
          </w:p>
        </w:tc>
        <w:tc>
          <w:tcPr>
            <w:tcW w:w="0" w:type="auto"/>
            <w:hideMark/>
          </w:tcPr>
          <w:p w14:paraId="44C990EA" w14:textId="77777777" w:rsidR="00E100AD" w:rsidRPr="00E100AD" w:rsidRDefault="00E100AD" w:rsidP="004B65BA">
            <w:pPr>
              <w:spacing w:after="160" w:line="360" w:lineRule="auto"/>
              <w:rPr>
                <w:rFonts w:ascii="Arial" w:hAnsi="Arial" w:cs="Arial"/>
              </w:rPr>
            </w:pPr>
            <w:r w:rsidRPr="00E100AD">
              <w:rPr>
                <w:rFonts w:ascii="Arial" w:hAnsi="Arial" w:cs="Arial"/>
              </w:rPr>
              <w:t>97</w:t>
            </w:r>
          </w:p>
        </w:tc>
      </w:tr>
      <w:tr w:rsidR="00E100AD" w:rsidRPr="00E100AD" w14:paraId="49B9F18A" w14:textId="77777777" w:rsidTr="00E100AD">
        <w:tc>
          <w:tcPr>
            <w:tcW w:w="0" w:type="auto"/>
            <w:hideMark/>
          </w:tcPr>
          <w:p w14:paraId="5BC932A5" w14:textId="77777777" w:rsidR="00E100AD" w:rsidRPr="00E100AD" w:rsidRDefault="00E100AD" w:rsidP="004B65BA">
            <w:pPr>
              <w:spacing w:after="160" w:line="360" w:lineRule="auto"/>
              <w:rPr>
                <w:rFonts w:ascii="Arial" w:hAnsi="Arial" w:cs="Arial"/>
              </w:rPr>
            </w:pPr>
            <w:r w:rsidRPr="00E100AD">
              <w:rPr>
                <w:rFonts w:ascii="Arial" w:hAnsi="Arial" w:cs="Arial"/>
              </w:rPr>
              <w:t>2021</w:t>
            </w:r>
          </w:p>
        </w:tc>
        <w:tc>
          <w:tcPr>
            <w:tcW w:w="0" w:type="auto"/>
            <w:hideMark/>
          </w:tcPr>
          <w:p w14:paraId="50A8DDC6" w14:textId="77777777" w:rsidR="00E100AD" w:rsidRPr="00E100AD" w:rsidRDefault="00E100AD" w:rsidP="004B65BA">
            <w:pPr>
              <w:spacing w:after="160" w:line="360" w:lineRule="auto"/>
              <w:rPr>
                <w:rFonts w:ascii="Arial" w:hAnsi="Arial" w:cs="Arial"/>
              </w:rPr>
            </w:pPr>
            <w:r w:rsidRPr="00E100AD">
              <w:rPr>
                <w:rFonts w:ascii="Arial" w:hAnsi="Arial" w:cs="Arial"/>
              </w:rPr>
              <w:t>114</w:t>
            </w:r>
          </w:p>
        </w:tc>
        <w:tc>
          <w:tcPr>
            <w:tcW w:w="0" w:type="auto"/>
            <w:hideMark/>
          </w:tcPr>
          <w:p w14:paraId="7950DC1A" w14:textId="77777777" w:rsidR="00E100AD" w:rsidRPr="00E100AD" w:rsidRDefault="00E100AD" w:rsidP="004B65BA">
            <w:pPr>
              <w:spacing w:after="160" w:line="360" w:lineRule="auto"/>
              <w:rPr>
                <w:rFonts w:ascii="Arial" w:hAnsi="Arial" w:cs="Arial"/>
              </w:rPr>
            </w:pPr>
            <w:r w:rsidRPr="00E100AD">
              <w:rPr>
                <w:rFonts w:ascii="Arial" w:hAnsi="Arial" w:cs="Arial"/>
              </w:rPr>
              <w:t>79</w:t>
            </w:r>
          </w:p>
        </w:tc>
        <w:tc>
          <w:tcPr>
            <w:tcW w:w="0" w:type="auto"/>
            <w:hideMark/>
          </w:tcPr>
          <w:p w14:paraId="2E18D638" w14:textId="77777777" w:rsidR="00E100AD" w:rsidRPr="00E100AD" w:rsidRDefault="00E100AD" w:rsidP="004B65BA">
            <w:pPr>
              <w:spacing w:after="160" w:line="360" w:lineRule="auto"/>
              <w:rPr>
                <w:rFonts w:ascii="Arial" w:hAnsi="Arial" w:cs="Arial"/>
              </w:rPr>
            </w:pPr>
            <w:r w:rsidRPr="00E100AD">
              <w:rPr>
                <w:rFonts w:ascii="Arial" w:hAnsi="Arial" w:cs="Arial"/>
              </w:rPr>
              <w:t>90</w:t>
            </w:r>
          </w:p>
        </w:tc>
        <w:tc>
          <w:tcPr>
            <w:tcW w:w="0" w:type="auto"/>
            <w:hideMark/>
          </w:tcPr>
          <w:p w14:paraId="09DEF717" w14:textId="77777777" w:rsidR="00E100AD" w:rsidRPr="00E100AD" w:rsidRDefault="00E100AD" w:rsidP="004B65BA">
            <w:pPr>
              <w:spacing w:after="160" w:line="360" w:lineRule="auto"/>
              <w:rPr>
                <w:rFonts w:ascii="Arial" w:hAnsi="Arial" w:cs="Arial"/>
              </w:rPr>
            </w:pPr>
            <w:r w:rsidRPr="00E100AD">
              <w:rPr>
                <w:rFonts w:ascii="Arial" w:hAnsi="Arial" w:cs="Arial"/>
              </w:rPr>
              <w:t>103</w:t>
            </w:r>
          </w:p>
        </w:tc>
      </w:tr>
      <w:tr w:rsidR="00E100AD" w:rsidRPr="00E100AD" w14:paraId="15A9D962" w14:textId="77777777" w:rsidTr="00E100AD">
        <w:tc>
          <w:tcPr>
            <w:tcW w:w="0" w:type="auto"/>
            <w:hideMark/>
          </w:tcPr>
          <w:p w14:paraId="7D742035" w14:textId="77777777" w:rsidR="00E100AD" w:rsidRPr="00E100AD" w:rsidRDefault="00E100AD" w:rsidP="004B65BA">
            <w:pPr>
              <w:spacing w:after="160" w:line="360" w:lineRule="auto"/>
              <w:rPr>
                <w:rFonts w:ascii="Arial" w:hAnsi="Arial" w:cs="Arial"/>
              </w:rPr>
            </w:pPr>
            <w:r w:rsidRPr="00E100AD">
              <w:rPr>
                <w:rFonts w:ascii="Arial" w:hAnsi="Arial" w:cs="Arial"/>
              </w:rPr>
              <w:t>2022</w:t>
            </w:r>
          </w:p>
        </w:tc>
        <w:tc>
          <w:tcPr>
            <w:tcW w:w="0" w:type="auto"/>
            <w:hideMark/>
          </w:tcPr>
          <w:p w14:paraId="6B0492BA" w14:textId="77777777" w:rsidR="00E100AD" w:rsidRPr="00E100AD" w:rsidRDefault="00E100AD" w:rsidP="004B65BA">
            <w:pPr>
              <w:spacing w:after="160" w:line="360" w:lineRule="auto"/>
              <w:rPr>
                <w:rFonts w:ascii="Arial" w:hAnsi="Arial" w:cs="Arial"/>
              </w:rPr>
            </w:pPr>
            <w:r w:rsidRPr="00E100AD">
              <w:rPr>
                <w:rFonts w:ascii="Arial" w:hAnsi="Arial" w:cs="Arial"/>
              </w:rPr>
              <w:t>132</w:t>
            </w:r>
          </w:p>
        </w:tc>
        <w:tc>
          <w:tcPr>
            <w:tcW w:w="0" w:type="auto"/>
            <w:hideMark/>
          </w:tcPr>
          <w:p w14:paraId="297DE4FB" w14:textId="77777777" w:rsidR="00E100AD" w:rsidRPr="00E100AD" w:rsidRDefault="00E100AD" w:rsidP="004B65BA">
            <w:pPr>
              <w:spacing w:after="160" w:line="360" w:lineRule="auto"/>
              <w:rPr>
                <w:rFonts w:ascii="Arial" w:hAnsi="Arial" w:cs="Arial"/>
              </w:rPr>
            </w:pPr>
            <w:r w:rsidRPr="00E100AD">
              <w:rPr>
                <w:rFonts w:ascii="Arial" w:hAnsi="Arial" w:cs="Arial"/>
              </w:rPr>
              <w:t>76</w:t>
            </w:r>
          </w:p>
        </w:tc>
        <w:tc>
          <w:tcPr>
            <w:tcW w:w="0" w:type="auto"/>
            <w:hideMark/>
          </w:tcPr>
          <w:p w14:paraId="5DC62AF4" w14:textId="77777777" w:rsidR="00E100AD" w:rsidRPr="00E100AD" w:rsidRDefault="00E100AD" w:rsidP="004B65BA">
            <w:pPr>
              <w:spacing w:after="160" w:line="360" w:lineRule="auto"/>
              <w:rPr>
                <w:rFonts w:ascii="Arial" w:hAnsi="Arial" w:cs="Arial"/>
              </w:rPr>
            </w:pPr>
            <w:r w:rsidRPr="00E100AD">
              <w:rPr>
                <w:rFonts w:ascii="Arial" w:hAnsi="Arial" w:cs="Arial"/>
              </w:rPr>
              <w:t>85</w:t>
            </w:r>
          </w:p>
        </w:tc>
        <w:tc>
          <w:tcPr>
            <w:tcW w:w="0" w:type="auto"/>
            <w:hideMark/>
          </w:tcPr>
          <w:p w14:paraId="166AAE35" w14:textId="77777777" w:rsidR="00E100AD" w:rsidRPr="00E100AD" w:rsidRDefault="00E100AD" w:rsidP="004B65BA">
            <w:pPr>
              <w:spacing w:after="160" w:line="360" w:lineRule="auto"/>
              <w:rPr>
                <w:rFonts w:ascii="Arial" w:hAnsi="Arial" w:cs="Arial"/>
              </w:rPr>
            </w:pPr>
            <w:r w:rsidRPr="00E100AD">
              <w:rPr>
                <w:rFonts w:ascii="Arial" w:hAnsi="Arial" w:cs="Arial"/>
              </w:rPr>
              <w:t>123</w:t>
            </w:r>
          </w:p>
        </w:tc>
      </w:tr>
      <w:tr w:rsidR="00E100AD" w:rsidRPr="00E100AD" w14:paraId="4AD2D1BA" w14:textId="77777777" w:rsidTr="00E100AD">
        <w:tc>
          <w:tcPr>
            <w:tcW w:w="0" w:type="auto"/>
            <w:hideMark/>
          </w:tcPr>
          <w:p w14:paraId="30054BEF" w14:textId="77777777" w:rsidR="00E100AD" w:rsidRPr="00E100AD" w:rsidRDefault="00E100AD" w:rsidP="004B65BA">
            <w:pPr>
              <w:spacing w:after="160" w:line="360" w:lineRule="auto"/>
              <w:rPr>
                <w:rFonts w:ascii="Arial" w:hAnsi="Arial" w:cs="Arial"/>
              </w:rPr>
            </w:pPr>
            <w:r w:rsidRPr="00E100AD">
              <w:rPr>
                <w:rFonts w:ascii="Arial" w:hAnsi="Arial" w:cs="Arial"/>
              </w:rPr>
              <w:t>2023</w:t>
            </w:r>
          </w:p>
        </w:tc>
        <w:tc>
          <w:tcPr>
            <w:tcW w:w="0" w:type="auto"/>
            <w:hideMark/>
          </w:tcPr>
          <w:p w14:paraId="563EE6AA" w14:textId="77777777" w:rsidR="00E100AD" w:rsidRPr="00E100AD" w:rsidRDefault="00E100AD" w:rsidP="004B65BA">
            <w:pPr>
              <w:spacing w:after="160" w:line="360" w:lineRule="auto"/>
              <w:rPr>
                <w:rFonts w:ascii="Arial" w:hAnsi="Arial" w:cs="Arial"/>
              </w:rPr>
            </w:pPr>
            <w:r w:rsidRPr="00E100AD">
              <w:rPr>
                <w:rFonts w:ascii="Arial" w:hAnsi="Arial" w:cs="Arial"/>
              </w:rPr>
              <w:t>100</w:t>
            </w:r>
          </w:p>
        </w:tc>
        <w:tc>
          <w:tcPr>
            <w:tcW w:w="0" w:type="auto"/>
            <w:hideMark/>
          </w:tcPr>
          <w:p w14:paraId="4623F59A" w14:textId="77777777" w:rsidR="00E100AD" w:rsidRPr="00E100AD" w:rsidRDefault="00E100AD" w:rsidP="004B65BA">
            <w:pPr>
              <w:spacing w:after="160" w:line="360" w:lineRule="auto"/>
              <w:rPr>
                <w:rFonts w:ascii="Arial" w:hAnsi="Arial" w:cs="Arial"/>
              </w:rPr>
            </w:pPr>
            <w:r w:rsidRPr="00E100AD">
              <w:rPr>
                <w:rFonts w:ascii="Arial" w:hAnsi="Arial" w:cs="Arial"/>
              </w:rPr>
              <w:t>98</w:t>
            </w:r>
          </w:p>
        </w:tc>
        <w:tc>
          <w:tcPr>
            <w:tcW w:w="0" w:type="auto"/>
            <w:hideMark/>
          </w:tcPr>
          <w:p w14:paraId="6C91F9B9" w14:textId="77777777" w:rsidR="00E100AD" w:rsidRPr="00E100AD" w:rsidRDefault="00E100AD" w:rsidP="004B65BA">
            <w:pPr>
              <w:spacing w:after="160" w:line="360" w:lineRule="auto"/>
              <w:rPr>
                <w:rFonts w:ascii="Arial" w:hAnsi="Arial" w:cs="Arial"/>
              </w:rPr>
            </w:pPr>
            <w:r w:rsidRPr="00E100AD">
              <w:rPr>
                <w:rFonts w:ascii="Arial" w:hAnsi="Arial" w:cs="Arial"/>
              </w:rPr>
              <w:t>62</w:t>
            </w:r>
          </w:p>
        </w:tc>
        <w:tc>
          <w:tcPr>
            <w:tcW w:w="0" w:type="auto"/>
            <w:hideMark/>
          </w:tcPr>
          <w:p w14:paraId="372613D0" w14:textId="77777777" w:rsidR="00E100AD" w:rsidRPr="00E100AD" w:rsidRDefault="00E100AD" w:rsidP="004B65BA">
            <w:pPr>
              <w:spacing w:after="160" w:line="360" w:lineRule="auto"/>
              <w:rPr>
                <w:rFonts w:ascii="Arial" w:hAnsi="Arial" w:cs="Arial"/>
              </w:rPr>
            </w:pPr>
            <w:r w:rsidRPr="00E100AD">
              <w:rPr>
                <w:rFonts w:ascii="Arial" w:hAnsi="Arial" w:cs="Arial"/>
              </w:rPr>
              <w:t>136</w:t>
            </w:r>
          </w:p>
        </w:tc>
      </w:tr>
      <w:tr w:rsidR="00E100AD" w:rsidRPr="00E100AD" w14:paraId="17279752" w14:textId="77777777" w:rsidTr="00E100AD">
        <w:tc>
          <w:tcPr>
            <w:tcW w:w="0" w:type="auto"/>
            <w:hideMark/>
          </w:tcPr>
          <w:p w14:paraId="14C4AB22" w14:textId="77777777" w:rsidR="00E100AD" w:rsidRPr="00E100AD" w:rsidRDefault="00E100AD" w:rsidP="004B65BA">
            <w:pPr>
              <w:spacing w:after="160" w:line="360" w:lineRule="auto"/>
              <w:rPr>
                <w:rFonts w:ascii="Arial" w:hAnsi="Arial" w:cs="Arial"/>
              </w:rPr>
            </w:pPr>
            <w:r w:rsidRPr="00E100AD">
              <w:rPr>
                <w:rFonts w:ascii="Arial" w:hAnsi="Arial" w:cs="Arial"/>
              </w:rPr>
              <w:t>2024</w:t>
            </w:r>
          </w:p>
        </w:tc>
        <w:tc>
          <w:tcPr>
            <w:tcW w:w="0" w:type="auto"/>
            <w:hideMark/>
          </w:tcPr>
          <w:p w14:paraId="57E5F3AB" w14:textId="77777777" w:rsidR="00E100AD" w:rsidRPr="00E100AD" w:rsidRDefault="00E100AD" w:rsidP="004B65BA">
            <w:pPr>
              <w:spacing w:after="160" w:line="360" w:lineRule="auto"/>
              <w:rPr>
                <w:rFonts w:ascii="Arial" w:hAnsi="Arial" w:cs="Arial"/>
              </w:rPr>
            </w:pPr>
            <w:r w:rsidRPr="00E100AD">
              <w:rPr>
                <w:rFonts w:ascii="Arial" w:hAnsi="Arial" w:cs="Arial"/>
              </w:rPr>
              <w:t>103</w:t>
            </w:r>
          </w:p>
        </w:tc>
        <w:tc>
          <w:tcPr>
            <w:tcW w:w="0" w:type="auto"/>
            <w:hideMark/>
          </w:tcPr>
          <w:p w14:paraId="2BC1C96E" w14:textId="77777777" w:rsidR="00E100AD" w:rsidRPr="00E100AD" w:rsidRDefault="00E100AD" w:rsidP="004B65BA">
            <w:pPr>
              <w:spacing w:after="160" w:line="360" w:lineRule="auto"/>
              <w:rPr>
                <w:rFonts w:ascii="Arial" w:hAnsi="Arial" w:cs="Arial"/>
              </w:rPr>
            </w:pPr>
            <w:r w:rsidRPr="00E100AD">
              <w:rPr>
                <w:rFonts w:ascii="Arial" w:hAnsi="Arial" w:cs="Arial"/>
              </w:rPr>
              <w:t>106</w:t>
            </w:r>
          </w:p>
        </w:tc>
        <w:tc>
          <w:tcPr>
            <w:tcW w:w="0" w:type="auto"/>
            <w:hideMark/>
          </w:tcPr>
          <w:p w14:paraId="4459406D" w14:textId="77777777" w:rsidR="00E100AD" w:rsidRPr="00E100AD" w:rsidRDefault="00E100AD" w:rsidP="004B65BA">
            <w:pPr>
              <w:spacing w:after="160" w:line="360" w:lineRule="auto"/>
              <w:rPr>
                <w:rFonts w:ascii="Arial" w:hAnsi="Arial" w:cs="Arial"/>
              </w:rPr>
            </w:pPr>
            <w:r w:rsidRPr="00E100AD">
              <w:rPr>
                <w:rFonts w:ascii="Arial" w:hAnsi="Arial" w:cs="Arial"/>
              </w:rPr>
              <w:t>60</w:t>
            </w:r>
          </w:p>
        </w:tc>
        <w:tc>
          <w:tcPr>
            <w:tcW w:w="0" w:type="auto"/>
            <w:hideMark/>
          </w:tcPr>
          <w:p w14:paraId="2F0969AB" w14:textId="77777777" w:rsidR="00E100AD" w:rsidRPr="00E100AD" w:rsidRDefault="00E100AD" w:rsidP="004B65BA">
            <w:pPr>
              <w:spacing w:after="160" w:line="360" w:lineRule="auto"/>
              <w:rPr>
                <w:rFonts w:ascii="Arial" w:hAnsi="Arial" w:cs="Arial"/>
              </w:rPr>
            </w:pPr>
            <w:r w:rsidRPr="00E100AD">
              <w:rPr>
                <w:rFonts w:ascii="Arial" w:hAnsi="Arial" w:cs="Arial"/>
              </w:rPr>
              <w:t>149</w:t>
            </w:r>
          </w:p>
        </w:tc>
      </w:tr>
    </w:tbl>
    <w:p w14:paraId="3633B158" w14:textId="77777777" w:rsidR="00D824DC" w:rsidRDefault="00E100AD" w:rsidP="004B65BA">
      <w:pPr>
        <w:spacing w:line="360" w:lineRule="auto"/>
        <w:rPr>
          <w:rFonts w:ascii="Arial" w:hAnsi="Arial" w:cs="Arial"/>
          <w:i/>
          <w:iCs/>
        </w:rPr>
      </w:pPr>
      <w:r w:rsidRPr="00E100AD">
        <w:rPr>
          <w:rFonts w:ascii="Arial" w:hAnsi="Arial" w:cs="Arial"/>
          <w:i/>
          <w:iCs/>
        </w:rPr>
        <w:t>(Source: Author’s calculation from GE financial statements)</w:t>
      </w:r>
    </w:p>
    <w:p w14:paraId="12BE2190" w14:textId="77777777" w:rsidR="00867E36" w:rsidRDefault="00D824DC" w:rsidP="006C7160">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867E36" w:rsidRPr="00867E36">
        <w:rPr>
          <w:rFonts w:ascii="Arial" w:hAnsi="Arial" w:cs="Arial"/>
        </w:rPr>
        <w:t>The CCC increased from 97 to 149 days between the year 2020 and 2024, indicating that it takes roughly five months for GE to turn its working capital into cash. This is well above the average of 60–80 days recorded within the industry's precinct (Deloof, 2021). The increasing cycle suggests a high level of capital lock-up and a call for reforms in inventory and credit policy.</w:t>
      </w:r>
    </w:p>
    <w:p w14:paraId="3E4C3FE6" w14:textId="2A5ED27F" w:rsidR="00E100AD" w:rsidRPr="00E100AD" w:rsidRDefault="00E100AD" w:rsidP="006C7160">
      <w:pPr>
        <w:spacing w:line="360" w:lineRule="auto"/>
        <w:jc w:val="both"/>
        <w:rPr>
          <w:rFonts w:ascii="Arial" w:hAnsi="Arial" w:cs="Arial"/>
          <w:b/>
          <w:bCs/>
        </w:rPr>
      </w:pPr>
      <w:r w:rsidRPr="00E100AD">
        <w:rPr>
          <w:rFonts w:ascii="Arial" w:hAnsi="Arial" w:cs="Arial"/>
          <w:b/>
          <w:bCs/>
        </w:rPr>
        <w:t>3.3 Cash Management</w:t>
      </w:r>
    </w:p>
    <w:p w14:paraId="2C879373" w14:textId="77777777" w:rsidR="00A15871" w:rsidRDefault="00A15871" w:rsidP="006C7160">
      <w:pPr>
        <w:spacing w:line="360" w:lineRule="auto"/>
        <w:jc w:val="both"/>
        <w:rPr>
          <w:rFonts w:ascii="Arial" w:hAnsi="Arial" w:cs="Arial"/>
        </w:rPr>
      </w:pPr>
      <w:r w:rsidRPr="00A15871">
        <w:rPr>
          <w:rFonts w:ascii="Arial" w:hAnsi="Arial" w:cs="Arial"/>
        </w:rPr>
        <w:t>The cash position of General Electronics has weakened significantly, with cash and cash equivalents falling from £57,153 million to £26,783 million—a decline of over 53%. This reflects negative operating cash flows in 2022–2023 and rising debt obligations, resulting in a very low cash ratio of 0.17 and signalling a serious short-term liquidity concern. GE should adopt centralized cash pooling to minimise idle balances and improve internal liquidity utilisation, supported by rolling cash forecasts integrated with ERP systems for continuous monitoring. As Kamath (2020) suggests, temporary surplus funds should be placed in low-risk marketable securities such as treasury bills to enhance cash stability and strengthen short-term financial resilience.</w:t>
      </w:r>
    </w:p>
    <w:p w14:paraId="54EA88B3" w14:textId="52128BBC" w:rsidR="00E100AD" w:rsidRPr="00E100AD" w:rsidRDefault="00E100AD" w:rsidP="006C7160">
      <w:pPr>
        <w:spacing w:line="360" w:lineRule="auto"/>
        <w:jc w:val="both"/>
        <w:rPr>
          <w:rFonts w:ascii="Arial" w:hAnsi="Arial" w:cs="Arial"/>
          <w:b/>
          <w:bCs/>
        </w:rPr>
      </w:pPr>
      <w:r w:rsidRPr="00E100AD">
        <w:rPr>
          <w:rFonts w:ascii="Arial" w:hAnsi="Arial" w:cs="Arial"/>
          <w:b/>
          <w:bCs/>
        </w:rPr>
        <w:t>3.4 Inventory Management</w:t>
      </w:r>
    </w:p>
    <w:p w14:paraId="36D86ABB" w14:textId="77777777" w:rsidR="00867E36" w:rsidRDefault="00867E36" w:rsidP="00867E36">
      <w:pPr>
        <w:spacing w:line="360" w:lineRule="auto"/>
        <w:jc w:val="both"/>
        <w:rPr>
          <w:rFonts w:ascii="Arial" w:hAnsi="Arial" w:cs="Arial"/>
        </w:rPr>
      </w:pPr>
      <w:r w:rsidRPr="00867E36">
        <w:rPr>
          <w:rFonts w:ascii="Arial" w:hAnsi="Arial" w:cs="Arial"/>
        </w:rPr>
        <w:t xml:space="preserve">Although the group's inventory levels have fallen from £120,430 million to £79,355 million, the company still records more than 100 days of inventory. This indicates slow-moving stock and poor management of SKUs. High levels of inventory tie up capital and increase holding costs while raising the risk of obsolescence. </w:t>
      </w:r>
      <w:proofErr w:type="spellStart"/>
      <w:r w:rsidRPr="00867E36">
        <w:rPr>
          <w:rFonts w:ascii="Arial" w:hAnsi="Arial" w:cs="Arial"/>
        </w:rPr>
        <w:t>Atrill</w:t>
      </w:r>
      <w:proofErr w:type="spellEnd"/>
      <w:r w:rsidRPr="00867E36">
        <w:rPr>
          <w:rFonts w:ascii="Arial" w:hAnsi="Arial" w:cs="Arial"/>
        </w:rPr>
        <w:t xml:space="preserve"> &amp; McLaney (2022) confirm this assertion. To enhance efficiency, GE needs to implement JIT and VMI systems in order to minimize stockholding; perform ABC analysis on inventory and focus resources on high-value items; and use AI-based demand forecasting techniques to match production more closely with real-time demand. A modest </w:t>
      </w:r>
      <w:r w:rsidRPr="00867E36">
        <w:rPr>
          <w:rFonts w:ascii="Arial" w:hAnsi="Arial" w:cs="Arial"/>
        </w:rPr>
        <w:lastRenderedPageBreak/>
        <w:t>reduction of 15% in overall inventory could free up approximately £11.9 billion in cash and greatly enhance the cash conversion cycle.</w:t>
      </w:r>
    </w:p>
    <w:p w14:paraId="449A2C62" w14:textId="3F157FE6" w:rsidR="00E100AD" w:rsidRPr="00E100AD" w:rsidRDefault="00E100AD" w:rsidP="00867E36">
      <w:pPr>
        <w:spacing w:line="360" w:lineRule="auto"/>
        <w:jc w:val="both"/>
        <w:rPr>
          <w:rFonts w:ascii="Arial" w:hAnsi="Arial" w:cs="Arial"/>
        </w:rPr>
      </w:pPr>
      <w:r w:rsidRPr="00E100AD">
        <w:rPr>
          <w:rFonts w:ascii="Arial" w:hAnsi="Arial" w:cs="Arial"/>
          <w:b/>
          <w:bCs/>
        </w:rPr>
        <w:t>3.5 Receivables Management</w:t>
      </w:r>
    </w:p>
    <w:p w14:paraId="7E482DF8" w14:textId="70A2A5C7" w:rsidR="00867E36" w:rsidRDefault="00867E36" w:rsidP="006C7160">
      <w:pPr>
        <w:spacing w:line="360" w:lineRule="auto"/>
        <w:jc w:val="both"/>
        <w:rPr>
          <w:rFonts w:ascii="Arial" w:hAnsi="Arial" w:cs="Arial"/>
        </w:rPr>
      </w:pPr>
      <w:r w:rsidRPr="00867E36">
        <w:rPr>
          <w:rFonts w:ascii="Arial" w:hAnsi="Arial" w:cs="Arial"/>
        </w:rPr>
        <w:t xml:space="preserve">Receivables are still high at £114,182 million in 2024; the average collection period increased from 77 to 106 days, which implies that credit terms are relaxed and collection performance is weak. A delay in collection increases liquidity risk and reduces working-capital efficiency, which is consistent with concerns raised by Brigham and Ehrhardt (2022). GE should employ a segmented credit policy depending on customer risk profiles, use credit insurance or factoring to accelerate cash inflows, and implement automated invoicing and follow-up reminders to minimize overdue accounts. A receivable </w:t>
      </w:r>
      <w:r w:rsidR="00461A0A" w:rsidRPr="00867E36">
        <w:rPr>
          <w:rFonts w:ascii="Arial" w:hAnsi="Arial" w:cs="Arial"/>
        </w:rPr>
        <w:t>day’s</w:t>
      </w:r>
      <w:r w:rsidRPr="00867E36">
        <w:rPr>
          <w:rFonts w:ascii="Arial" w:hAnsi="Arial" w:cs="Arial"/>
        </w:rPr>
        <w:t xml:space="preserve"> reduction to 90 days may release approximately £5 billion in working capital.</w:t>
      </w:r>
    </w:p>
    <w:p w14:paraId="0F4C4087" w14:textId="4BB87408" w:rsidR="00E100AD" w:rsidRPr="00E100AD" w:rsidRDefault="00E100AD" w:rsidP="006C7160">
      <w:pPr>
        <w:spacing w:line="360" w:lineRule="auto"/>
        <w:jc w:val="both"/>
        <w:rPr>
          <w:rFonts w:ascii="Arial" w:hAnsi="Arial" w:cs="Arial"/>
          <w:b/>
          <w:bCs/>
        </w:rPr>
      </w:pPr>
      <w:r w:rsidRPr="00E100AD">
        <w:rPr>
          <w:rFonts w:ascii="Arial" w:hAnsi="Arial" w:cs="Arial"/>
          <w:b/>
          <w:bCs/>
        </w:rPr>
        <w:t>3.6 Payables Management</w:t>
      </w:r>
    </w:p>
    <w:p w14:paraId="0AC4CE03" w14:textId="77777777" w:rsidR="00867E36" w:rsidRDefault="00867E36" w:rsidP="006C7160">
      <w:pPr>
        <w:spacing w:line="360" w:lineRule="auto"/>
        <w:jc w:val="both"/>
        <w:rPr>
          <w:rFonts w:ascii="Arial" w:hAnsi="Arial" w:cs="Arial"/>
        </w:rPr>
      </w:pPr>
      <w:r w:rsidRPr="00867E36">
        <w:rPr>
          <w:rFonts w:ascii="Arial" w:hAnsi="Arial" w:cs="Arial"/>
        </w:rPr>
        <w:t>Accounts payable decreased from £83,229 million to £72,031 million, while the payment period decreased from 80 days to 60 days. This would indicate that GE has paid its creditors sooner, which is not necessary and decreases liquidity. Although this may be a strategy to retain supplier relationships, a responsible method of extending payables would improve short-term cash position. GE should renegotiate longer credit terms—preferably 90 days—with major suppliers, take advantage of dynamic-discounting platforms, as well as offer flexibility in settlement options, and blockchain-based supply-chain finance in order to achieve greater transparency and accelerate invoice validation (Gao et al., 2023). Extending payables by 30 days could boost cash reserves by approximately £5.9 billion.</w:t>
      </w:r>
    </w:p>
    <w:p w14:paraId="21D01CD7" w14:textId="65125146" w:rsidR="00E100AD" w:rsidRPr="00E100AD" w:rsidRDefault="00E100AD" w:rsidP="006C7160">
      <w:pPr>
        <w:spacing w:line="360" w:lineRule="auto"/>
        <w:jc w:val="both"/>
        <w:rPr>
          <w:rFonts w:ascii="Arial" w:hAnsi="Arial" w:cs="Arial"/>
          <w:b/>
          <w:bCs/>
        </w:rPr>
      </w:pPr>
      <w:r w:rsidRPr="00E100AD">
        <w:rPr>
          <w:rFonts w:ascii="Arial" w:hAnsi="Arial" w:cs="Arial"/>
          <w:b/>
          <w:bCs/>
        </w:rPr>
        <w:t>3.7 Short-Term versus Long-Term Financing Options</w:t>
      </w:r>
    </w:p>
    <w:p w14:paraId="28F9475C" w14:textId="77777777" w:rsidR="005A6C2F" w:rsidRPr="005A6C2F" w:rsidRDefault="005A6C2F" w:rsidP="005A6C2F">
      <w:pPr>
        <w:spacing w:line="360" w:lineRule="auto"/>
        <w:jc w:val="both"/>
        <w:rPr>
          <w:rFonts w:ascii="Arial" w:hAnsi="Arial" w:cs="Arial"/>
        </w:rPr>
      </w:pPr>
      <w:r w:rsidRPr="005A6C2F">
        <w:rPr>
          <w:rFonts w:ascii="Arial" w:hAnsi="Arial" w:cs="Arial"/>
        </w:rPr>
        <w:t>To stabilise its liquidity position, GE must balance short-term and long-term financing strategically. In the short term, instruments such as commercial paper, revolving credit facilities, and asset-backed securitisation can provide rapid access to cash, though they carry rollover and credit-rating risks.</w:t>
      </w:r>
    </w:p>
    <w:p w14:paraId="7E33524F" w14:textId="77777777" w:rsidR="005A6C2F" w:rsidRPr="005A6C2F" w:rsidRDefault="005A6C2F" w:rsidP="005A6C2F">
      <w:pPr>
        <w:spacing w:line="360" w:lineRule="auto"/>
        <w:jc w:val="both"/>
        <w:rPr>
          <w:rFonts w:ascii="Arial" w:hAnsi="Arial" w:cs="Arial"/>
        </w:rPr>
      </w:pPr>
      <w:r w:rsidRPr="005A6C2F">
        <w:rPr>
          <w:rFonts w:ascii="Arial" w:hAnsi="Arial" w:cs="Arial"/>
        </w:rPr>
        <w:t xml:space="preserve">For long-term needs, equity injections or a rights issue could strengthen the capital base, while convertible bonds offer lower interest costs and potential future equity conversion. Project-specific term loans linked to cash flows from strategic investments </w:t>
      </w:r>
      <w:r w:rsidRPr="005A6C2F">
        <w:rPr>
          <w:rFonts w:ascii="Arial" w:hAnsi="Arial" w:cs="Arial"/>
        </w:rPr>
        <w:lastRenderedPageBreak/>
        <w:t>are also suitable. In line with Modigliani and Miller (2021), GE must aim for an optimal leverage mix to minimise WACC.</w:t>
      </w:r>
    </w:p>
    <w:p w14:paraId="11E9A241" w14:textId="77777777" w:rsidR="005A6C2F" w:rsidRPr="005A6C2F" w:rsidRDefault="005A6C2F" w:rsidP="005A6C2F">
      <w:pPr>
        <w:spacing w:line="360" w:lineRule="auto"/>
        <w:jc w:val="both"/>
        <w:rPr>
          <w:rFonts w:ascii="Arial" w:hAnsi="Arial" w:cs="Arial"/>
        </w:rPr>
      </w:pPr>
      <w:r w:rsidRPr="005A6C2F">
        <w:rPr>
          <w:rFonts w:ascii="Arial" w:hAnsi="Arial" w:cs="Arial"/>
        </w:rPr>
        <w:t>Overall, a carefully structured combination of financing approaches is essential to restore liquidity in the short run while reinforcing solvency and financial stability over the long term.</w:t>
      </w:r>
    </w:p>
    <w:p w14:paraId="48CFF36B" w14:textId="77777777" w:rsidR="005A6C2F" w:rsidRPr="005A6C2F" w:rsidRDefault="005A6C2F" w:rsidP="005A6C2F">
      <w:pPr>
        <w:spacing w:line="360" w:lineRule="auto"/>
        <w:jc w:val="both"/>
        <w:rPr>
          <w:rFonts w:ascii="Arial" w:hAnsi="Arial" w:cs="Arial"/>
          <w:vanish/>
        </w:rPr>
      </w:pPr>
      <w:r w:rsidRPr="005A6C2F">
        <w:rPr>
          <w:rFonts w:ascii="Arial" w:hAnsi="Arial" w:cs="Arial"/>
          <w:vanish/>
        </w:rPr>
        <w:t>Top of Form</w:t>
      </w:r>
    </w:p>
    <w:p w14:paraId="6CBA2271" w14:textId="77777777" w:rsidR="005A6C2F" w:rsidRPr="005A6C2F" w:rsidRDefault="005A6C2F" w:rsidP="005A6C2F">
      <w:pPr>
        <w:spacing w:line="360" w:lineRule="auto"/>
        <w:jc w:val="both"/>
        <w:rPr>
          <w:rFonts w:ascii="Arial" w:hAnsi="Arial" w:cs="Arial"/>
          <w:vanish/>
        </w:rPr>
      </w:pPr>
      <w:r w:rsidRPr="005A6C2F">
        <w:rPr>
          <w:rFonts w:ascii="Arial" w:hAnsi="Arial" w:cs="Arial"/>
          <w:vanish/>
        </w:rPr>
        <w:t>Bottom of Form</w:t>
      </w:r>
    </w:p>
    <w:p w14:paraId="5AC79D74" w14:textId="26656550" w:rsidR="00E100AD" w:rsidRPr="00E100AD" w:rsidRDefault="00E100AD" w:rsidP="00B01A16">
      <w:pPr>
        <w:spacing w:line="360" w:lineRule="auto"/>
        <w:jc w:val="both"/>
        <w:rPr>
          <w:rFonts w:ascii="Arial" w:hAnsi="Arial" w:cs="Arial"/>
          <w:b/>
          <w:bCs/>
        </w:rPr>
      </w:pPr>
      <w:r w:rsidRPr="00E100AD">
        <w:rPr>
          <w:rFonts w:ascii="Arial" w:hAnsi="Arial" w:cs="Arial"/>
          <w:b/>
          <w:bCs/>
        </w:rPr>
        <w:t>3.8 Proposed Working-Capital Reform Plan</w:t>
      </w:r>
    </w:p>
    <w:tbl>
      <w:tblPr>
        <w:tblStyle w:val="TableGrid"/>
        <w:tblW w:w="0" w:type="auto"/>
        <w:tblLook w:val="04A0" w:firstRow="1" w:lastRow="0" w:firstColumn="1" w:lastColumn="0" w:noHBand="0" w:noVBand="1"/>
      </w:tblPr>
      <w:tblGrid>
        <w:gridCol w:w="1705"/>
        <w:gridCol w:w="1911"/>
        <w:gridCol w:w="3468"/>
        <w:gridCol w:w="1932"/>
      </w:tblGrid>
      <w:tr w:rsidR="00E100AD" w:rsidRPr="00E100AD" w14:paraId="0759EF5D" w14:textId="77777777" w:rsidTr="000E7AF8">
        <w:trPr>
          <w:trHeight w:val="719"/>
        </w:trPr>
        <w:tc>
          <w:tcPr>
            <w:tcW w:w="1705" w:type="dxa"/>
            <w:hideMark/>
          </w:tcPr>
          <w:p w14:paraId="36F0612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Area</w:t>
            </w:r>
          </w:p>
        </w:tc>
        <w:tc>
          <w:tcPr>
            <w:tcW w:w="1911" w:type="dxa"/>
            <w:hideMark/>
          </w:tcPr>
          <w:p w14:paraId="3ECBF23B"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Issue</w:t>
            </w:r>
          </w:p>
        </w:tc>
        <w:tc>
          <w:tcPr>
            <w:tcW w:w="0" w:type="auto"/>
            <w:hideMark/>
          </w:tcPr>
          <w:p w14:paraId="31188BD7"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Action</w:t>
            </w:r>
          </w:p>
        </w:tc>
        <w:tc>
          <w:tcPr>
            <w:tcW w:w="0" w:type="auto"/>
            <w:hideMark/>
          </w:tcPr>
          <w:p w14:paraId="15B978BF" w14:textId="77777777" w:rsidR="00E100AD" w:rsidRPr="00E100AD" w:rsidRDefault="00E100AD" w:rsidP="004B65BA">
            <w:pPr>
              <w:spacing w:after="160" w:line="360" w:lineRule="auto"/>
              <w:rPr>
                <w:rFonts w:ascii="Arial" w:hAnsi="Arial" w:cs="Arial"/>
                <w:b/>
                <w:bCs/>
              </w:rPr>
            </w:pPr>
            <w:r w:rsidRPr="00E100AD">
              <w:rPr>
                <w:rFonts w:ascii="Arial" w:hAnsi="Arial" w:cs="Arial"/>
                <w:b/>
                <w:bCs/>
              </w:rPr>
              <w:t>Expected Impact</w:t>
            </w:r>
          </w:p>
        </w:tc>
      </w:tr>
      <w:tr w:rsidR="00E100AD" w:rsidRPr="00E100AD" w14:paraId="6B425E10" w14:textId="77777777" w:rsidTr="000E7AF8">
        <w:trPr>
          <w:trHeight w:val="809"/>
        </w:trPr>
        <w:tc>
          <w:tcPr>
            <w:tcW w:w="1705" w:type="dxa"/>
            <w:hideMark/>
          </w:tcPr>
          <w:p w14:paraId="20406A33" w14:textId="77777777" w:rsidR="00E100AD" w:rsidRPr="00E100AD" w:rsidRDefault="00E100AD" w:rsidP="004B65BA">
            <w:pPr>
              <w:spacing w:after="160" w:line="360" w:lineRule="auto"/>
              <w:rPr>
                <w:rFonts w:ascii="Arial" w:hAnsi="Arial" w:cs="Arial"/>
              </w:rPr>
            </w:pPr>
            <w:r w:rsidRPr="00E100AD">
              <w:rPr>
                <w:rFonts w:ascii="Arial" w:hAnsi="Arial" w:cs="Arial"/>
              </w:rPr>
              <w:t>Cash</w:t>
            </w:r>
          </w:p>
        </w:tc>
        <w:tc>
          <w:tcPr>
            <w:tcW w:w="1911" w:type="dxa"/>
            <w:hideMark/>
          </w:tcPr>
          <w:p w14:paraId="6236EED5" w14:textId="77777777" w:rsidR="00E100AD" w:rsidRPr="00E100AD" w:rsidRDefault="00E100AD" w:rsidP="004B65BA">
            <w:pPr>
              <w:spacing w:after="160" w:line="360" w:lineRule="auto"/>
              <w:rPr>
                <w:rFonts w:ascii="Arial" w:hAnsi="Arial" w:cs="Arial"/>
              </w:rPr>
            </w:pPr>
            <w:r w:rsidRPr="00E100AD">
              <w:rPr>
                <w:rFonts w:ascii="Arial" w:hAnsi="Arial" w:cs="Arial"/>
              </w:rPr>
              <w:t>Low cash ratio</w:t>
            </w:r>
          </w:p>
        </w:tc>
        <w:tc>
          <w:tcPr>
            <w:tcW w:w="0" w:type="auto"/>
            <w:hideMark/>
          </w:tcPr>
          <w:p w14:paraId="70754614" w14:textId="77777777" w:rsidR="00E100AD" w:rsidRPr="00E100AD" w:rsidRDefault="00E100AD" w:rsidP="004B65BA">
            <w:pPr>
              <w:spacing w:after="160" w:line="360" w:lineRule="auto"/>
              <w:rPr>
                <w:rFonts w:ascii="Arial" w:hAnsi="Arial" w:cs="Arial"/>
              </w:rPr>
            </w:pPr>
            <w:r w:rsidRPr="00E100AD">
              <w:rPr>
                <w:rFonts w:ascii="Arial" w:hAnsi="Arial" w:cs="Arial"/>
              </w:rPr>
              <w:t>Centralised treasury and forecasting</w:t>
            </w:r>
          </w:p>
        </w:tc>
        <w:tc>
          <w:tcPr>
            <w:tcW w:w="0" w:type="auto"/>
            <w:hideMark/>
          </w:tcPr>
          <w:p w14:paraId="5E0E7243" w14:textId="77777777" w:rsidR="00E100AD" w:rsidRPr="00E100AD" w:rsidRDefault="00E100AD" w:rsidP="004B65BA">
            <w:pPr>
              <w:spacing w:after="160" w:line="360" w:lineRule="auto"/>
              <w:rPr>
                <w:rFonts w:ascii="Arial" w:hAnsi="Arial" w:cs="Arial"/>
              </w:rPr>
            </w:pPr>
            <w:r w:rsidRPr="00E100AD">
              <w:rPr>
                <w:rFonts w:ascii="Arial" w:hAnsi="Arial" w:cs="Arial"/>
              </w:rPr>
              <w:t>+ £3 bn liquidity</w:t>
            </w:r>
          </w:p>
        </w:tc>
      </w:tr>
      <w:tr w:rsidR="00E100AD" w:rsidRPr="00E100AD" w14:paraId="15FA900E" w14:textId="77777777" w:rsidTr="000E7AF8">
        <w:tc>
          <w:tcPr>
            <w:tcW w:w="1705" w:type="dxa"/>
            <w:hideMark/>
          </w:tcPr>
          <w:p w14:paraId="6C1F70F7" w14:textId="77777777" w:rsidR="00E100AD" w:rsidRPr="00E100AD" w:rsidRDefault="00E100AD" w:rsidP="004B65BA">
            <w:pPr>
              <w:spacing w:after="160" w:line="360" w:lineRule="auto"/>
              <w:rPr>
                <w:rFonts w:ascii="Arial" w:hAnsi="Arial" w:cs="Arial"/>
              </w:rPr>
            </w:pPr>
            <w:r w:rsidRPr="00E100AD">
              <w:rPr>
                <w:rFonts w:ascii="Arial" w:hAnsi="Arial" w:cs="Arial"/>
              </w:rPr>
              <w:t>Inventory</w:t>
            </w:r>
          </w:p>
        </w:tc>
        <w:tc>
          <w:tcPr>
            <w:tcW w:w="1911" w:type="dxa"/>
            <w:hideMark/>
          </w:tcPr>
          <w:p w14:paraId="0D3D95F7" w14:textId="77777777" w:rsidR="00E100AD" w:rsidRPr="00E100AD" w:rsidRDefault="00E100AD" w:rsidP="004B65BA">
            <w:pPr>
              <w:spacing w:after="160" w:line="360" w:lineRule="auto"/>
              <w:rPr>
                <w:rFonts w:ascii="Arial" w:hAnsi="Arial" w:cs="Arial"/>
              </w:rPr>
            </w:pPr>
            <w:r w:rsidRPr="00E100AD">
              <w:rPr>
                <w:rFonts w:ascii="Arial" w:hAnsi="Arial" w:cs="Arial"/>
              </w:rPr>
              <w:t>Slow turnover</w:t>
            </w:r>
          </w:p>
        </w:tc>
        <w:tc>
          <w:tcPr>
            <w:tcW w:w="0" w:type="auto"/>
            <w:hideMark/>
          </w:tcPr>
          <w:p w14:paraId="0EAEDD4E" w14:textId="77777777" w:rsidR="00E100AD" w:rsidRPr="00E100AD" w:rsidRDefault="00E100AD" w:rsidP="004B65BA">
            <w:pPr>
              <w:spacing w:after="160" w:line="360" w:lineRule="auto"/>
              <w:rPr>
                <w:rFonts w:ascii="Arial" w:hAnsi="Arial" w:cs="Arial"/>
              </w:rPr>
            </w:pPr>
            <w:r w:rsidRPr="00E100AD">
              <w:rPr>
                <w:rFonts w:ascii="Arial" w:hAnsi="Arial" w:cs="Arial"/>
              </w:rPr>
              <w:t>JIT + AI forecasting</w:t>
            </w:r>
          </w:p>
        </w:tc>
        <w:tc>
          <w:tcPr>
            <w:tcW w:w="0" w:type="auto"/>
            <w:hideMark/>
          </w:tcPr>
          <w:p w14:paraId="656CB221" w14:textId="77777777" w:rsidR="00E100AD" w:rsidRPr="00E100AD" w:rsidRDefault="00E100AD" w:rsidP="004B65BA">
            <w:pPr>
              <w:spacing w:after="160" w:line="360" w:lineRule="auto"/>
              <w:rPr>
                <w:rFonts w:ascii="Arial" w:hAnsi="Arial" w:cs="Arial"/>
              </w:rPr>
            </w:pPr>
            <w:r w:rsidRPr="00E100AD">
              <w:rPr>
                <w:rFonts w:ascii="Arial" w:hAnsi="Arial" w:cs="Arial"/>
              </w:rPr>
              <w:t>+ £11.9 bn cash</w:t>
            </w:r>
          </w:p>
        </w:tc>
      </w:tr>
      <w:tr w:rsidR="00E100AD" w:rsidRPr="00E100AD" w14:paraId="0AAA3388" w14:textId="77777777" w:rsidTr="000E7AF8">
        <w:tc>
          <w:tcPr>
            <w:tcW w:w="1705" w:type="dxa"/>
            <w:hideMark/>
          </w:tcPr>
          <w:p w14:paraId="48752A6C" w14:textId="77777777" w:rsidR="00E100AD" w:rsidRPr="00E100AD" w:rsidRDefault="00E100AD" w:rsidP="004B65BA">
            <w:pPr>
              <w:spacing w:after="160" w:line="360" w:lineRule="auto"/>
              <w:rPr>
                <w:rFonts w:ascii="Arial" w:hAnsi="Arial" w:cs="Arial"/>
              </w:rPr>
            </w:pPr>
            <w:r w:rsidRPr="00E100AD">
              <w:rPr>
                <w:rFonts w:ascii="Arial" w:hAnsi="Arial" w:cs="Arial"/>
              </w:rPr>
              <w:t>Receivables</w:t>
            </w:r>
          </w:p>
        </w:tc>
        <w:tc>
          <w:tcPr>
            <w:tcW w:w="1911" w:type="dxa"/>
            <w:hideMark/>
          </w:tcPr>
          <w:p w14:paraId="51E95A0F" w14:textId="77777777" w:rsidR="00E100AD" w:rsidRPr="00E100AD" w:rsidRDefault="00E100AD" w:rsidP="004B65BA">
            <w:pPr>
              <w:spacing w:after="160" w:line="360" w:lineRule="auto"/>
              <w:rPr>
                <w:rFonts w:ascii="Arial" w:hAnsi="Arial" w:cs="Arial"/>
              </w:rPr>
            </w:pPr>
            <w:r w:rsidRPr="00E100AD">
              <w:rPr>
                <w:rFonts w:ascii="Arial" w:hAnsi="Arial" w:cs="Arial"/>
              </w:rPr>
              <w:t>High collection days</w:t>
            </w:r>
          </w:p>
        </w:tc>
        <w:tc>
          <w:tcPr>
            <w:tcW w:w="0" w:type="auto"/>
            <w:hideMark/>
          </w:tcPr>
          <w:p w14:paraId="0030CFB7" w14:textId="77777777" w:rsidR="00E100AD" w:rsidRPr="00E100AD" w:rsidRDefault="00E100AD" w:rsidP="004B65BA">
            <w:pPr>
              <w:spacing w:after="160" w:line="360" w:lineRule="auto"/>
              <w:rPr>
                <w:rFonts w:ascii="Arial" w:hAnsi="Arial" w:cs="Arial"/>
              </w:rPr>
            </w:pPr>
            <w:r w:rsidRPr="00E100AD">
              <w:rPr>
                <w:rFonts w:ascii="Arial" w:hAnsi="Arial" w:cs="Arial"/>
              </w:rPr>
              <w:t>Factoring + segmented credit</w:t>
            </w:r>
          </w:p>
        </w:tc>
        <w:tc>
          <w:tcPr>
            <w:tcW w:w="0" w:type="auto"/>
            <w:hideMark/>
          </w:tcPr>
          <w:p w14:paraId="6B9D3FEC" w14:textId="77777777" w:rsidR="00E100AD" w:rsidRPr="00E100AD" w:rsidRDefault="00E100AD" w:rsidP="004B65BA">
            <w:pPr>
              <w:spacing w:after="160" w:line="360" w:lineRule="auto"/>
              <w:rPr>
                <w:rFonts w:ascii="Arial" w:hAnsi="Arial" w:cs="Arial"/>
              </w:rPr>
            </w:pPr>
            <w:r w:rsidRPr="00E100AD">
              <w:rPr>
                <w:rFonts w:ascii="Arial" w:hAnsi="Arial" w:cs="Arial"/>
              </w:rPr>
              <w:t>+ £5 bn cash</w:t>
            </w:r>
          </w:p>
        </w:tc>
      </w:tr>
      <w:tr w:rsidR="00E100AD" w:rsidRPr="00E100AD" w14:paraId="30EDF1A9" w14:textId="77777777" w:rsidTr="000E7AF8">
        <w:tc>
          <w:tcPr>
            <w:tcW w:w="1705" w:type="dxa"/>
            <w:hideMark/>
          </w:tcPr>
          <w:p w14:paraId="3E878E65" w14:textId="77777777" w:rsidR="00E100AD" w:rsidRPr="00E100AD" w:rsidRDefault="00E100AD" w:rsidP="004B65BA">
            <w:pPr>
              <w:spacing w:after="160" w:line="360" w:lineRule="auto"/>
              <w:rPr>
                <w:rFonts w:ascii="Arial" w:hAnsi="Arial" w:cs="Arial"/>
              </w:rPr>
            </w:pPr>
            <w:r w:rsidRPr="00E100AD">
              <w:rPr>
                <w:rFonts w:ascii="Arial" w:hAnsi="Arial" w:cs="Arial"/>
              </w:rPr>
              <w:t>Payables</w:t>
            </w:r>
          </w:p>
        </w:tc>
        <w:tc>
          <w:tcPr>
            <w:tcW w:w="1911" w:type="dxa"/>
            <w:hideMark/>
          </w:tcPr>
          <w:p w14:paraId="716E960D" w14:textId="77777777" w:rsidR="00E100AD" w:rsidRPr="00E100AD" w:rsidRDefault="00E100AD" w:rsidP="004B65BA">
            <w:pPr>
              <w:spacing w:after="160" w:line="360" w:lineRule="auto"/>
              <w:rPr>
                <w:rFonts w:ascii="Arial" w:hAnsi="Arial" w:cs="Arial"/>
              </w:rPr>
            </w:pPr>
            <w:r w:rsidRPr="00E100AD">
              <w:rPr>
                <w:rFonts w:ascii="Arial" w:hAnsi="Arial" w:cs="Arial"/>
              </w:rPr>
              <w:t>Early payment</w:t>
            </w:r>
          </w:p>
        </w:tc>
        <w:tc>
          <w:tcPr>
            <w:tcW w:w="0" w:type="auto"/>
            <w:hideMark/>
          </w:tcPr>
          <w:p w14:paraId="3A7F5700" w14:textId="77777777" w:rsidR="00E100AD" w:rsidRPr="00E100AD" w:rsidRDefault="00E100AD" w:rsidP="004B65BA">
            <w:pPr>
              <w:spacing w:after="160" w:line="360" w:lineRule="auto"/>
              <w:rPr>
                <w:rFonts w:ascii="Arial" w:hAnsi="Arial" w:cs="Arial"/>
              </w:rPr>
            </w:pPr>
            <w:r w:rsidRPr="00E100AD">
              <w:rPr>
                <w:rFonts w:ascii="Arial" w:hAnsi="Arial" w:cs="Arial"/>
              </w:rPr>
              <w:t>Extend terms to 90 days</w:t>
            </w:r>
          </w:p>
        </w:tc>
        <w:tc>
          <w:tcPr>
            <w:tcW w:w="0" w:type="auto"/>
            <w:hideMark/>
          </w:tcPr>
          <w:p w14:paraId="42397297" w14:textId="77777777" w:rsidR="00E100AD" w:rsidRPr="00E100AD" w:rsidRDefault="00E100AD" w:rsidP="004B65BA">
            <w:pPr>
              <w:spacing w:after="160" w:line="360" w:lineRule="auto"/>
              <w:rPr>
                <w:rFonts w:ascii="Arial" w:hAnsi="Arial" w:cs="Arial"/>
              </w:rPr>
            </w:pPr>
            <w:r w:rsidRPr="00E100AD">
              <w:rPr>
                <w:rFonts w:ascii="Arial" w:hAnsi="Arial" w:cs="Arial"/>
              </w:rPr>
              <w:t>+ £5.9 bn cash</w:t>
            </w:r>
          </w:p>
        </w:tc>
      </w:tr>
    </w:tbl>
    <w:p w14:paraId="664FC36A" w14:textId="77777777" w:rsidR="00B01A16" w:rsidRDefault="00D824DC" w:rsidP="006C7160">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B01A16" w:rsidRPr="00B01A16">
        <w:rPr>
          <w:rFonts w:ascii="Arial" w:hAnsi="Arial" w:cs="Arial"/>
        </w:rPr>
        <w:t>Put together, these reforms might free upwards of £25 billion of liquidity, reduce the CCC below 90 days, and restore a healthy current ratio of ~1.8.</w:t>
      </w:r>
    </w:p>
    <w:p w14:paraId="36C5F628" w14:textId="63A905C8" w:rsidR="00E100AD" w:rsidRPr="00E100AD" w:rsidRDefault="00E100AD" w:rsidP="006C7160">
      <w:pPr>
        <w:spacing w:line="360" w:lineRule="auto"/>
        <w:jc w:val="both"/>
        <w:rPr>
          <w:rFonts w:ascii="Arial" w:hAnsi="Arial" w:cs="Arial"/>
          <w:b/>
          <w:bCs/>
        </w:rPr>
      </w:pPr>
      <w:r w:rsidRPr="00E100AD">
        <w:rPr>
          <w:rFonts w:ascii="Arial" w:hAnsi="Arial" w:cs="Arial"/>
          <w:b/>
          <w:bCs/>
        </w:rPr>
        <w:t>3.9 Ethical and Global Considerations</w:t>
      </w:r>
    </w:p>
    <w:p w14:paraId="798283D9" w14:textId="77777777" w:rsidR="00B01A16" w:rsidRDefault="00B01A16" w:rsidP="006C7160">
      <w:pPr>
        <w:spacing w:line="360" w:lineRule="auto"/>
        <w:jc w:val="both"/>
        <w:rPr>
          <w:rFonts w:ascii="Arial" w:hAnsi="Arial" w:cs="Arial"/>
        </w:rPr>
      </w:pPr>
      <w:r w:rsidRPr="00B01A16">
        <w:rPr>
          <w:rFonts w:ascii="Arial" w:hAnsi="Arial" w:cs="Arial"/>
        </w:rPr>
        <w:t>Liquidity reforms should be conducted according to ethical standards of payment and corporate social responsibility. Extremely long delays in the payment to suppliers may hurt small vendors and damage reputations. Similarly, factoring agreements must avoid usury interest rates. Internationally, hedging through forwards and natural offsets is required due to currency fluctuations and cross-border credit terms.</w:t>
      </w:r>
    </w:p>
    <w:p w14:paraId="15D150A6" w14:textId="15585A07" w:rsidR="00E100AD" w:rsidRPr="00E100AD" w:rsidRDefault="00E100AD" w:rsidP="006C7160">
      <w:pPr>
        <w:spacing w:line="360" w:lineRule="auto"/>
        <w:jc w:val="both"/>
        <w:rPr>
          <w:rFonts w:ascii="Arial" w:hAnsi="Arial" w:cs="Arial"/>
          <w:b/>
          <w:bCs/>
        </w:rPr>
      </w:pPr>
      <w:r w:rsidRPr="00E100AD">
        <w:rPr>
          <w:rFonts w:ascii="Arial" w:hAnsi="Arial" w:cs="Arial"/>
          <w:b/>
          <w:bCs/>
        </w:rPr>
        <w:t>3.10 Summary of Working-Capital Findings</w:t>
      </w:r>
    </w:p>
    <w:p w14:paraId="32227696" w14:textId="77777777" w:rsidR="00B01A16" w:rsidRDefault="00B01A16" w:rsidP="006C7160">
      <w:pPr>
        <w:spacing w:line="360" w:lineRule="auto"/>
        <w:jc w:val="both"/>
        <w:rPr>
          <w:rFonts w:ascii="Arial" w:hAnsi="Arial" w:cs="Arial"/>
        </w:rPr>
      </w:pPr>
      <w:r w:rsidRPr="00B01A16">
        <w:rPr>
          <w:rFonts w:ascii="Arial" w:hAnsi="Arial" w:cs="Arial"/>
        </w:rPr>
        <w:t>GE's cash-conversion cycle has extended significantly. It means seriously insufficient WCM. The CFO must develop a multi-pronged plan for inventory rationalisation, credit discipline, and payables negotiation to help stabilise liquidity while balancing ethical responsibilities in this regard. The anticipated cash release of £25 billion can meet short-term operations requirements and facilitate long-term strategic restructuring, discussed next.</w:t>
      </w:r>
    </w:p>
    <w:p w14:paraId="22FA33E6" w14:textId="3D138D59" w:rsidR="00C06B88" w:rsidRPr="00C06B88" w:rsidRDefault="00C06B88" w:rsidP="006C7160">
      <w:pPr>
        <w:spacing w:line="360" w:lineRule="auto"/>
        <w:jc w:val="both"/>
        <w:rPr>
          <w:rFonts w:ascii="Arial" w:hAnsi="Arial" w:cs="Arial"/>
          <w:b/>
          <w:bCs/>
        </w:rPr>
      </w:pPr>
      <w:r w:rsidRPr="00C06B88">
        <w:rPr>
          <w:rFonts w:ascii="Arial" w:hAnsi="Arial" w:cs="Arial"/>
          <w:b/>
          <w:bCs/>
        </w:rPr>
        <w:lastRenderedPageBreak/>
        <w:t xml:space="preserve">4. Section 3: Strategic Financial Restructuring Plan </w:t>
      </w:r>
    </w:p>
    <w:p w14:paraId="73A5C702"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4.1 Purpose and Overview</w:t>
      </w:r>
    </w:p>
    <w:p w14:paraId="54FADE20" w14:textId="77777777" w:rsidR="00E82E81" w:rsidRDefault="00E82E81" w:rsidP="006C7160">
      <w:pPr>
        <w:spacing w:line="360" w:lineRule="auto"/>
        <w:jc w:val="both"/>
        <w:rPr>
          <w:rFonts w:ascii="Arial" w:hAnsi="Arial" w:cs="Arial"/>
        </w:rPr>
      </w:pPr>
      <w:r w:rsidRPr="00E82E81">
        <w:rPr>
          <w:rFonts w:ascii="Arial" w:hAnsi="Arial" w:cs="Arial"/>
        </w:rPr>
        <w:t>With the continuing operating losses, deteriorating leverage, and a Z-score of 1.21, an integrated financial-restructuring program should be undertaken for GE to restore its state of solvency and shareholder value. Financial restructuring refers to the reconfiguration of the capital composition, asset structure, and governance so as to stabilize cash flows and reposition the firm strategically. This plan will involve a mix of equity recapitalization, divestiture of non-core assets, debt renegotiation, and strategic partnerships.</w:t>
      </w:r>
    </w:p>
    <w:p w14:paraId="43956E46" w14:textId="6BA285FB" w:rsidR="00C06B88" w:rsidRPr="00C06B88" w:rsidRDefault="00C06B88" w:rsidP="006C7160">
      <w:pPr>
        <w:spacing w:line="360" w:lineRule="auto"/>
        <w:jc w:val="both"/>
        <w:rPr>
          <w:rFonts w:ascii="Arial" w:hAnsi="Arial" w:cs="Arial"/>
          <w:b/>
          <w:bCs/>
        </w:rPr>
      </w:pPr>
      <w:r w:rsidRPr="00C06B88">
        <w:rPr>
          <w:rFonts w:ascii="Arial" w:hAnsi="Arial" w:cs="Arial"/>
          <w:b/>
          <w:bCs/>
        </w:rPr>
        <w:t>4.2 Capital Structure Assessment</w:t>
      </w:r>
    </w:p>
    <w:p w14:paraId="44D0310F" w14:textId="77777777" w:rsidR="00E82E81" w:rsidRDefault="00E82E81" w:rsidP="006C7160">
      <w:pPr>
        <w:spacing w:line="360" w:lineRule="auto"/>
        <w:jc w:val="both"/>
        <w:rPr>
          <w:rFonts w:ascii="Arial" w:hAnsi="Arial" w:cs="Arial"/>
        </w:rPr>
      </w:pPr>
      <w:r w:rsidRPr="00E82E81">
        <w:rPr>
          <w:rFonts w:ascii="Arial" w:hAnsi="Arial" w:cs="Arial"/>
        </w:rPr>
        <w:t>High leverage is reflected by the company through its debt-to-equity ratio of 1.11 and a negative interest-coverage ratio of -5.6. The WACC of the firm has increased to higher than 10%, which reduces new investment capacity. According to Modigliani and Miller (2021), although debt provides tax shields, excessive borrowing increases financial distress costs which exceed advantages. Therefore, rebalancing of the capital structure toward equity is needed.</w:t>
      </w:r>
    </w:p>
    <w:p w14:paraId="21C3C504" w14:textId="0919FB73" w:rsidR="00C06B88" w:rsidRPr="00C06B88" w:rsidRDefault="00C06B88" w:rsidP="006C7160">
      <w:pPr>
        <w:spacing w:line="360" w:lineRule="auto"/>
        <w:jc w:val="both"/>
        <w:rPr>
          <w:rFonts w:ascii="Arial" w:hAnsi="Arial" w:cs="Arial"/>
          <w:b/>
          <w:bCs/>
        </w:rPr>
      </w:pPr>
      <w:r w:rsidRPr="00C06B88">
        <w:rPr>
          <w:rFonts w:ascii="Arial" w:hAnsi="Arial" w:cs="Arial"/>
          <w:b/>
          <w:bCs/>
        </w:rPr>
        <w:t>4.3 Proposed Restructuring Instruments</w:t>
      </w:r>
    </w:p>
    <w:p w14:paraId="6E69E857"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4.3.1 Equity Injection via Rights Issue</w:t>
      </w:r>
    </w:p>
    <w:p w14:paraId="5FBE20C9" w14:textId="05647204" w:rsidR="00E82E81" w:rsidRDefault="00E82E81" w:rsidP="006C7160">
      <w:pPr>
        <w:spacing w:line="360" w:lineRule="auto"/>
        <w:jc w:val="both"/>
        <w:rPr>
          <w:rFonts w:ascii="Arial" w:hAnsi="Arial" w:cs="Arial"/>
        </w:rPr>
      </w:pPr>
      <w:r w:rsidRPr="00E82E81">
        <w:rPr>
          <w:rFonts w:ascii="Arial" w:hAnsi="Arial" w:cs="Arial"/>
        </w:rPr>
        <w:t xml:space="preserve">A rights issue of £20 billion, available to existing shareholders at a 10% discount would fortify the equity position of GE by decreasing the debt-to-equity ratio from 1.11 to 0.83 and also signal management's confidence in the recovery prospects of the company. Through this, the firm can raise capital while ownership is not diluted through external investors; this way, shareholder control is preserved. However, the success of the rights issue is strongly dependent on investor sentiment, and thus effective and credible communication of </w:t>
      </w:r>
      <w:r w:rsidR="00461A0A" w:rsidRPr="00E82E81">
        <w:rPr>
          <w:rFonts w:ascii="Arial" w:hAnsi="Arial" w:cs="Arial"/>
        </w:rPr>
        <w:t>the turnaround</w:t>
      </w:r>
      <w:r w:rsidRPr="00E82E81">
        <w:rPr>
          <w:rFonts w:ascii="Arial" w:hAnsi="Arial" w:cs="Arial"/>
        </w:rPr>
        <w:t xml:space="preserve"> strategy is needed to reassure and persuade shareholders (Ross, 2021).</w:t>
      </w:r>
    </w:p>
    <w:p w14:paraId="4B529187" w14:textId="62FEB04B" w:rsidR="00C06B88" w:rsidRPr="00C06B88" w:rsidRDefault="00C06B88" w:rsidP="006C7160">
      <w:pPr>
        <w:spacing w:line="360" w:lineRule="auto"/>
        <w:jc w:val="both"/>
        <w:rPr>
          <w:rFonts w:ascii="Arial" w:hAnsi="Arial" w:cs="Arial"/>
          <w:b/>
          <w:bCs/>
        </w:rPr>
      </w:pPr>
      <w:r w:rsidRPr="00C06B88">
        <w:rPr>
          <w:rFonts w:ascii="Arial" w:hAnsi="Arial" w:cs="Arial"/>
          <w:b/>
          <w:bCs/>
        </w:rPr>
        <w:t>4.3.2 Debt Rescheduling and Covenant Negotiation</w:t>
      </w:r>
    </w:p>
    <w:p w14:paraId="319BFE67" w14:textId="77777777" w:rsidR="00E82E81" w:rsidRDefault="00E82E81" w:rsidP="006C7160">
      <w:pPr>
        <w:spacing w:line="360" w:lineRule="auto"/>
        <w:jc w:val="both"/>
        <w:rPr>
          <w:rFonts w:ascii="Arial" w:hAnsi="Arial" w:cs="Arial"/>
        </w:rPr>
      </w:pPr>
      <w:r w:rsidRPr="00E82E81">
        <w:rPr>
          <w:rFonts w:ascii="Arial" w:hAnsi="Arial" w:cs="Arial"/>
        </w:rPr>
        <w:t xml:space="preserve">GE should renegotiate the existing long-term borrowings and extend the maturities from 5 to 10 years, aiming for a 1.5% interest rate reduction. This would slash around £1.2 billion in annual interest expense and stabilize the coverage ratios. Altman and </w:t>
      </w:r>
      <w:r w:rsidRPr="00E82E81">
        <w:rPr>
          <w:rFonts w:ascii="Arial" w:hAnsi="Arial" w:cs="Arial"/>
        </w:rPr>
        <w:lastRenderedPageBreak/>
        <w:t>Hotchkiss (2020) indicate that many companies would often use proactive re-negotiation instead of filing bankruptcy to preserve enterprise value.</w:t>
      </w:r>
    </w:p>
    <w:p w14:paraId="60341086" w14:textId="77777777" w:rsidR="00F72403" w:rsidRDefault="00C06B88" w:rsidP="006C7160">
      <w:pPr>
        <w:spacing w:line="360" w:lineRule="auto"/>
        <w:jc w:val="both"/>
        <w:rPr>
          <w:rFonts w:ascii="Arial" w:hAnsi="Arial" w:cs="Arial"/>
          <w:b/>
          <w:bCs/>
        </w:rPr>
      </w:pPr>
      <w:r w:rsidRPr="00C06B88">
        <w:rPr>
          <w:rFonts w:ascii="Arial" w:hAnsi="Arial" w:cs="Arial"/>
          <w:b/>
          <w:bCs/>
        </w:rPr>
        <w:t>4.3.3 Asset Divestiture</w:t>
      </w:r>
    </w:p>
    <w:p w14:paraId="24E8C160" w14:textId="4A0FEE41" w:rsidR="00F72403" w:rsidRPr="00F72403" w:rsidRDefault="00F72403" w:rsidP="006C7160">
      <w:pPr>
        <w:spacing w:line="360" w:lineRule="auto"/>
        <w:jc w:val="both"/>
        <w:rPr>
          <w:rFonts w:ascii="Arial" w:hAnsi="Arial" w:cs="Arial"/>
          <w:b/>
          <w:bCs/>
        </w:rPr>
      </w:pPr>
      <w:r w:rsidRPr="00F72403">
        <w:rPr>
          <w:rFonts w:ascii="Arial" w:hAnsi="Arial" w:cs="Arial"/>
        </w:rPr>
        <w:t>Divestiture of non-core divisions-such as consumer appliances or low-margin hardware-can be targeted for raising £15 billion. Such a sale of under-performing segments therefore aligns with portfolio-theory logics such as freeing capital to support high-return projects Markowitz 2020. Asset sales shall consider goodwill impairment and possible impacts of taxation.</w:t>
      </w:r>
    </w:p>
    <w:p w14:paraId="37562207" w14:textId="63BB5640" w:rsidR="00C06B88" w:rsidRPr="00C06B88" w:rsidRDefault="00C06B88" w:rsidP="006C7160">
      <w:pPr>
        <w:spacing w:line="360" w:lineRule="auto"/>
        <w:jc w:val="both"/>
        <w:rPr>
          <w:rFonts w:ascii="Arial" w:hAnsi="Arial" w:cs="Arial"/>
          <w:b/>
          <w:bCs/>
        </w:rPr>
      </w:pPr>
      <w:r w:rsidRPr="00C06B88">
        <w:rPr>
          <w:rFonts w:ascii="Arial" w:hAnsi="Arial" w:cs="Arial"/>
          <w:b/>
          <w:bCs/>
        </w:rPr>
        <w:t>4.3.4 Strategic Merger or Joint Venture</w:t>
      </w:r>
    </w:p>
    <w:p w14:paraId="4E08D7D1" w14:textId="444C4A70" w:rsidR="00F72403" w:rsidRDefault="00F72403" w:rsidP="006C7160">
      <w:pPr>
        <w:spacing w:line="360" w:lineRule="auto"/>
        <w:jc w:val="both"/>
        <w:rPr>
          <w:rFonts w:ascii="Arial" w:hAnsi="Arial" w:cs="Arial"/>
        </w:rPr>
      </w:pPr>
      <w:r>
        <w:rPr>
          <w:rFonts w:ascii="Arial" w:hAnsi="Arial" w:cs="Arial"/>
        </w:rPr>
        <w:t>I</w:t>
      </w:r>
      <w:r w:rsidRPr="00F72403">
        <w:rPr>
          <w:rFonts w:ascii="Arial" w:hAnsi="Arial" w:cs="Arial"/>
        </w:rPr>
        <w:t>t also provides technological synergy and shares risk exposure by finding a tech-energy partner - such as Panasonic and BYD - for an international joint venture in renewable-energy electronics, including smart-battery systems. Again, the focus is on partnership for capability enhancement, echoing resource-complementarity theory.</w:t>
      </w:r>
    </w:p>
    <w:p w14:paraId="08F3399C" w14:textId="500795C0" w:rsidR="00C06B88" w:rsidRPr="00C06B88" w:rsidRDefault="00C06B88" w:rsidP="006C7160">
      <w:pPr>
        <w:spacing w:line="360" w:lineRule="auto"/>
        <w:jc w:val="both"/>
        <w:rPr>
          <w:rFonts w:ascii="Arial" w:hAnsi="Arial" w:cs="Arial"/>
          <w:b/>
          <w:bCs/>
        </w:rPr>
      </w:pPr>
      <w:r w:rsidRPr="00C06B88">
        <w:rPr>
          <w:rFonts w:ascii="Arial" w:hAnsi="Arial" w:cs="Arial"/>
          <w:b/>
          <w:bCs/>
        </w:rPr>
        <w:t>4.4 Impact on Shareholder Value and Debt Structure</w:t>
      </w:r>
    </w:p>
    <w:p w14:paraId="75F5C7DF" w14:textId="0EB5A3D1" w:rsidR="00C06B88" w:rsidRPr="00C06B88" w:rsidRDefault="00F72403" w:rsidP="006C7160">
      <w:pPr>
        <w:spacing w:line="360" w:lineRule="auto"/>
        <w:jc w:val="both"/>
        <w:rPr>
          <w:rFonts w:ascii="Arial" w:hAnsi="Arial" w:cs="Arial"/>
        </w:rPr>
      </w:pPr>
      <w:r w:rsidRPr="00F72403">
        <w:rPr>
          <w:rFonts w:ascii="Arial" w:hAnsi="Arial" w:cs="Arial"/>
        </w:rPr>
        <w:t>The proposed recapitalization would increase market confidence, reflected through a lower risk premium and higher valuation multiples. A simplified forecast illustrates this effect:</w:t>
      </w:r>
    </w:p>
    <w:tbl>
      <w:tblPr>
        <w:tblStyle w:val="TableGrid"/>
        <w:tblW w:w="0" w:type="auto"/>
        <w:tblLook w:val="04A0" w:firstRow="1" w:lastRow="0" w:firstColumn="1" w:lastColumn="0" w:noHBand="0" w:noVBand="1"/>
      </w:tblPr>
      <w:tblGrid>
        <w:gridCol w:w="2124"/>
        <w:gridCol w:w="2791"/>
        <w:gridCol w:w="4084"/>
      </w:tblGrid>
      <w:tr w:rsidR="00C06B88" w:rsidRPr="00C06B88" w14:paraId="1746CD36" w14:textId="77777777" w:rsidTr="00C06B88">
        <w:tc>
          <w:tcPr>
            <w:tcW w:w="0" w:type="auto"/>
            <w:hideMark/>
          </w:tcPr>
          <w:p w14:paraId="7101AAAC"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Metric</w:t>
            </w:r>
          </w:p>
        </w:tc>
        <w:tc>
          <w:tcPr>
            <w:tcW w:w="0" w:type="auto"/>
            <w:hideMark/>
          </w:tcPr>
          <w:p w14:paraId="67FD81A4"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Pre-Restructure (2024)</w:t>
            </w:r>
          </w:p>
        </w:tc>
        <w:tc>
          <w:tcPr>
            <w:tcW w:w="0" w:type="auto"/>
            <w:hideMark/>
          </w:tcPr>
          <w:p w14:paraId="036365D8"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Post-Restructure (2026 Projected)</w:t>
            </w:r>
          </w:p>
        </w:tc>
      </w:tr>
      <w:tr w:rsidR="00C06B88" w:rsidRPr="00C06B88" w14:paraId="2CDC15D2" w14:textId="77777777" w:rsidTr="00C06B88">
        <w:tc>
          <w:tcPr>
            <w:tcW w:w="0" w:type="auto"/>
            <w:hideMark/>
          </w:tcPr>
          <w:p w14:paraId="123B5DDF" w14:textId="77777777" w:rsidR="00C06B88" w:rsidRPr="00C06B88" w:rsidRDefault="00C06B88" w:rsidP="004B65BA">
            <w:pPr>
              <w:spacing w:after="160" w:line="360" w:lineRule="auto"/>
              <w:rPr>
                <w:rFonts w:ascii="Arial" w:hAnsi="Arial" w:cs="Arial"/>
              </w:rPr>
            </w:pPr>
            <w:r w:rsidRPr="00C06B88">
              <w:rPr>
                <w:rFonts w:ascii="Arial" w:hAnsi="Arial" w:cs="Arial"/>
              </w:rPr>
              <w:t>D/E Ratio</w:t>
            </w:r>
          </w:p>
        </w:tc>
        <w:tc>
          <w:tcPr>
            <w:tcW w:w="0" w:type="auto"/>
            <w:hideMark/>
          </w:tcPr>
          <w:p w14:paraId="0A8CF1E8" w14:textId="77777777" w:rsidR="00C06B88" w:rsidRPr="00C06B88" w:rsidRDefault="00C06B88" w:rsidP="004B65BA">
            <w:pPr>
              <w:spacing w:after="160" w:line="360" w:lineRule="auto"/>
              <w:rPr>
                <w:rFonts w:ascii="Arial" w:hAnsi="Arial" w:cs="Arial"/>
              </w:rPr>
            </w:pPr>
            <w:r w:rsidRPr="00C06B88">
              <w:rPr>
                <w:rFonts w:ascii="Arial" w:hAnsi="Arial" w:cs="Arial"/>
              </w:rPr>
              <w:t>1.11</w:t>
            </w:r>
          </w:p>
        </w:tc>
        <w:tc>
          <w:tcPr>
            <w:tcW w:w="0" w:type="auto"/>
            <w:hideMark/>
          </w:tcPr>
          <w:p w14:paraId="5C29061B" w14:textId="77777777" w:rsidR="00C06B88" w:rsidRPr="00C06B88" w:rsidRDefault="00C06B88" w:rsidP="004B65BA">
            <w:pPr>
              <w:spacing w:after="160" w:line="360" w:lineRule="auto"/>
              <w:rPr>
                <w:rFonts w:ascii="Arial" w:hAnsi="Arial" w:cs="Arial"/>
              </w:rPr>
            </w:pPr>
            <w:r w:rsidRPr="00C06B88">
              <w:rPr>
                <w:rFonts w:ascii="Arial" w:hAnsi="Arial" w:cs="Arial"/>
              </w:rPr>
              <w:t>0.80</w:t>
            </w:r>
          </w:p>
        </w:tc>
      </w:tr>
      <w:tr w:rsidR="00C06B88" w:rsidRPr="00C06B88" w14:paraId="63E088FF" w14:textId="77777777" w:rsidTr="00C06B88">
        <w:tc>
          <w:tcPr>
            <w:tcW w:w="0" w:type="auto"/>
            <w:hideMark/>
          </w:tcPr>
          <w:p w14:paraId="123DF53B" w14:textId="77777777" w:rsidR="00C06B88" w:rsidRPr="00C06B88" w:rsidRDefault="00C06B88" w:rsidP="004B65BA">
            <w:pPr>
              <w:spacing w:after="160" w:line="360" w:lineRule="auto"/>
              <w:rPr>
                <w:rFonts w:ascii="Arial" w:hAnsi="Arial" w:cs="Arial"/>
              </w:rPr>
            </w:pPr>
            <w:r w:rsidRPr="00C06B88">
              <w:rPr>
                <w:rFonts w:ascii="Arial" w:hAnsi="Arial" w:cs="Arial"/>
              </w:rPr>
              <w:t>Interest Coverage</w:t>
            </w:r>
          </w:p>
        </w:tc>
        <w:tc>
          <w:tcPr>
            <w:tcW w:w="0" w:type="auto"/>
            <w:hideMark/>
          </w:tcPr>
          <w:p w14:paraId="6DF58709" w14:textId="77777777" w:rsidR="00C06B88" w:rsidRPr="00C06B88" w:rsidRDefault="00C06B88" w:rsidP="004B65BA">
            <w:pPr>
              <w:spacing w:after="160" w:line="360" w:lineRule="auto"/>
              <w:rPr>
                <w:rFonts w:ascii="Arial" w:hAnsi="Arial" w:cs="Arial"/>
              </w:rPr>
            </w:pPr>
            <w:r w:rsidRPr="00C06B88">
              <w:rPr>
                <w:rFonts w:ascii="Arial" w:hAnsi="Arial" w:cs="Arial"/>
              </w:rPr>
              <w:t>–5.6</w:t>
            </w:r>
          </w:p>
        </w:tc>
        <w:tc>
          <w:tcPr>
            <w:tcW w:w="0" w:type="auto"/>
            <w:hideMark/>
          </w:tcPr>
          <w:p w14:paraId="7F4A63B8" w14:textId="77777777" w:rsidR="00C06B88" w:rsidRPr="00C06B88" w:rsidRDefault="00C06B88" w:rsidP="004B65BA">
            <w:pPr>
              <w:spacing w:after="160" w:line="360" w:lineRule="auto"/>
              <w:rPr>
                <w:rFonts w:ascii="Arial" w:hAnsi="Arial" w:cs="Arial"/>
              </w:rPr>
            </w:pPr>
            <w:r w:rsidRPr="00C06B88">
              <w:rPr>
                <w:rFonts w:ascii="Arial" w:hAnsi="Arial" w:cs="Arial"/>
              </w:rPr>
              <w:t>2.4</w:t>
            </w:r>
          </w:p>
        </w:tc>
      </w:tr>
      <w:tr w:rsidR="00C06B88" w:rsidRPr="00C06B88" w14:paraId="10305F89" w14:textId="77777777" w:rsidTr="00C06B88">
        <w:tc>
          <w:tcPr>
            <w:tcW w:w="0" w:type="auto"/>
            <w:hideMark/>
          </w:tcPr>
          <w:p w14:paraId="37F481EB" w14:textId="77777777" w:rsidR="00C06B88" w:rsidRPr="00C06B88" w:rsidRDefault="00C06B88" w:rsidP="004B65BA">
            <w:pPr>
              <w:spacing w:after="160" w:line="360" w:lineRule="auto"/>
              <w:rPr>
                <w:rFonts w:ascii="Arial" w:hAnsi="Arial" w:cs="Arial"/>
              </w:rPr>
            </w:pPr>
            <w:r w:rsidRPr="00C06B88">
              <w:rPr>
                <w:rFonts w:ascii="Arial" w:hAnsi="Arial" w:cs="Arial"/>
              </w:rPr>
              <w:t>EPS (£)</w:t>
            </w:r>
          </w:p>
        </w:tc>
        <w:tc>
          <w:tcPr>
            <w:tcW w:w="0" w:type="auto"/>
            <w:hideMark/>
          </w:tcPr>
          <w:p w14:paraId="3A28E1B3" w14:textId="77777777" w:rsidR="00C06B88" w:rsidRPr="00C06B88" w:rsidRDefault="00C06B88" w:rsidP="004B65BA">
            <w:pPr>
              <w:spacing w:after="160" w:line="360" w:lineRule="auto"/>
              <w:rPr>
                <w:rFonts w:ascii="Arial" w:hAnsi="Arial" w:cs="Arial"/>
              </w:rPr>
            </w:pPr>
            <w:r w:rsidRPr="00C06B88">
              <w:rPr>
                <w:rFonts w:ascii="Arial" w:hAnsi="Arial" w:cs="Arial"/>
              </w:rPr>
              <w:t>–1.85</w:t>
            </w:r>
          </w:p>
        </w:tc>
        <w:tc>
          <w:tcPr>
            <w:tcW w:w="0" w:type="auto"/>
            <w:hideMark/>
          </w:tcPr>
          <w:p w14:paraId="4D6754E3" w14:textId="77777777" w:rsidR="00C06B88" w:rsidRPr="00C06B88" w:rsidRDefault="00C06B88" w:rsidP="004B65BA">
            <w:pPr>
              <w:spacing w:after="160" w:line="360" w:lineRule="auto"/>
              <w:rPr>
                <w:rFonts w:ascii="Arial" w:hAnsi="Arial" w:cs="Arial"/>
              </w:rPr>
            </w:pPr>
            <w:r w:rsidRPr="00C06B88">
              <w:rPr>
                <w:rFonts w:ascii="Arial" w:hAnsi="Arial" w:cs="Arial"/>
              </w:rPr>
              <w:t>0.92</w:t>
            </w:r>
          </w:p>
        </w:tc>
      </w:tr>
      <w:tr w:rsidR="00C06B88" w:rsidRPr="00C06B88" w14:paraId="1AE2D1BA" w14:textId="77777777" w:rsidTr="00C06B88">
        <w:tc>
          <w:tcPr>
            <w:tcW w:w="0" w:type="auto"/>
            <w:hideMark/>
          </w:tcPr>
          <w:p w14:paraId="2ACDC0CB" w14:textId="77777777" w:rsidR="00C06B88" w:rsidRPr="00C06B88" w:rsidRDefault="00C06B88" w:rsidP="004B65BA">
            <w:pPr>
              <w:spacing w:after="160" w:line="360" w:lineRule="auto"/>
              <w:rPr>
                <w:rFonts w:ascii="Arial" w:hAnsi="Arial" w:cs="Arial"/>
              </w:rPr>
            </w:pPr>
            <w:r w:rsidRPr="00C06B88">
              <w:rPr>
                <w:rFonts w:ascii="Arial" w:hAnsi="Arial" w:cs="Arial"/>
              </w:rPr>
              <w:t>Share Price (£)</w:t>
            </w:r>
          </w:p>
        </w:tc>
        <w:tc>
          <w:tcPr>
            <w:tcW w:w="0" w:type="auto"/>
            <w:hideMark/>
          </w:tcPr>
          <w:p w14:paraId="326A042A" w14:textId="77777777" w:rsidR="00C06B88" w:rsidRPr="00C06B88" w:rsidRDefault="00C06B88" w:rsidP="004B65BA">
            <w:pPr>
              <w:spacing w:after="160" w:line="360" w:lineRule="auto"/>
              <w:rPr>
                <w:rFonts w:ascii="Arial" w:hAnsi="Arial" w:cs="Arial"/>
              </w:rPr>
            </w:pPr>
            <w:r w:rsidRPr="00C06B88">
              <w:rPr>
                <w:rFonts w:ascii="Arial" w:hAnsi="Arial" w:cs="Arial"/>
              </w:rPr>
              <w:t>12.0</w:t>
            </w:r>
          </w:p>
        </w:tc>
        <w:tc>
          <w:tcPr>
            <w:tcW w:w="0" w:type="auto"/>
            <w:hideMark/>
          </w:tcPr>
          <w:p w14:paraId="282E7F9F" w14:textId="77777777" w:rsidR="00C06B88" w:rsidRPr="00C06B88" w:rsidRDefault="00C06B88" w:rsidP="004B65BA">
            <w:pPr>
              <w:spacing w:after="160" w:line="360" w:lineRule="auto"/>
              <w:rPr>
                <w:rFonts w:ascii="Arial" w:hAnsi="Arial" w:cs="Arial"/>
              </w:rPr>
            </w:pPr>
            <w:r w:rsidRPr="00C06B88">
              <w:rPr>
                <w:rFonts w:ascii="Arial" w:hAnsi="Arial" w:cs="Arial"/>
              </w:rPr>
              <w:t>18.5</w:t>
            </w:r>
          </w:p>
        </w:tc>
      </w:tr>
    </w:tbl>
    <w:p w14:paraId="0A9493AE" w14:textId="77777777" w:rsidR="00C06B88" w:rsidRPr="00C06B88" w:rsidRDefault="00C06B88" w:rsidP="004B65BA">
      <w:pPr>
        <w:spacing w:line="360" w:lineRule="auto"/>
        <w:rPr>
          <w:rFonts w:ascii="Arial" w:hAnsi="Arial" w:cs="Arial"/>
        </w:rPr>
      </w:pPr>
      <w:r w:rsidRPr="00C06B88">
        <w:rPr>
          <w:rFonts w:ascii="Arial" w:hAnsi="Arial" w:cs="Arial"/>
          <w:i/>
          <w:iCs/>
        </w:rPr>
        <w:t>(Source: Author’s simulation)</w:t>
      </w:r>
    </w:p>
    <w:p w14:paraId="61B76A9A" w14:textId="77777777" w:rsidR="00F72403" w:rsidRDefault="00D824DC" w:rsidP="006C7160">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F72403" w:rsidRPr="00F72403">
        <w:rPr>
          <w:rFonts w:ascii="Arial" w:hAnsi="Arial" w:cs="Arial"/>
        </w:rPr>
        <w:t>Improved leverage reduces perceived bankruptcy risk, thus lowering cost of equity and debt, enhancing the firm value consistent with trade-off theory. Myers (2020)</w:t>
      </w:r>
    </w:p>
    <w:p w14:paraId="091B30F7" w14:textId="55957507" w:rsidR="00C06B88" w:rsidRPr="00C06B88" w:rsidRDefault="00C06B88" w:rsidP="006C7160">
      <w:pPr>
        <w:spacing w:line="360" w:lineRule="auto"/>
        <w:jc w:val="both"/>
        <w:rPr>
          <w:rFonts w:ascii="Arial" w:hAnsi="Arial" w:cs="Arial"/>
          <w:b/>
          <w:bCs/>
        </w:rPr>
      </w:pPr>
      <w:r w:rsidRPr="00C06B88">
        <w:rPr>
          <w:rFonts w:ascii="Arial" w:hAnsi="Arial" w:cs="Arial"/>
          <w:b/>
          <w:bCs/>
        </w:rPr>
        <w:t>4.5 Operational Restructuring and Cost Control</w:t>
      </w:r>
    </w:p>
    <w:p w14:paraId="11B1A9E5" w14:textId="77777777" w:rsidR="00F72403" w:rsidRPr="00F72403" w:rsidRDefault="00F72403" w:rsidP="00F72403">
      <w:pPr>
        <w:spacing w:line="360" w:lineRule="auto"/>
        <w:jc w:val="both"/>
        <w:rPr>
          <w:rFonts w:ascii="Arial" w:hAnsi="Arial" w:cs="Arial"/>
        </w:rPr>
      </w:pPr>
      <w:r w:rsidRPr="00F72403">
        <w:rPr>
          <w:rFonts w:ascii="Arial" w:hAnsi="Arial" w:cs="Arial"/>
        </w:rPr>
        <w:lastRenderedPageBreak/>
        <w:t>To complement financial restructuring, the cost base and operating model at GE should be realigned through lean-operations restructuring: streamlining overlapping manufacturing plants and outsourcing non-core logistics. The company should also accelerate digital transformation through Industry 4.0 automation, which could reduce unit costs by 10–15%.</w:t>
      </w:r>
    </w:p>
    <w:p w14:paraId="37E13C24" w14:textId="77777777" w:rsidR="00F72403" w:rsidRDefault="00F72403" w:rsidP="00F72403">
      <w:pPr>
        <w:spacing w:line="360" w:lineRule="auto"/>
        <w:jc w:val="both"/>
        <w:rPr>
          <w:rFonts w:ascii="Arial" w:hAnsi="Arial" w:cs="Arial"/>
        </w:rPr>
      </w:pPr>
      <w:r w:rsidRPr="00F72403">
        <w:rPr>
          <w:rFonts w:ascii="Arial" w:hAnsi="Arial" w:cs="Arial"/>
        </w:rPr>
        <w:t>Additionally, the adoption of ZBB will ensure that all expenses are justified on an annual basis and will help in eliminating unnecessary bureaucracy. The introduction of performance-linked remuneration linked to the ROE target will further reinforce managerial accountability. These operational improvements collectively will bring gains in efficiency, rebuild EBIT margins, and support debt-servicing capacity. Empirical evidence has shown that firms which adopted ZBB and digital lean initiatives saw 20–30% improvements in ROA within three years.</w:t>
      </w:r>
    </w:p>
    <w:p w14:paraId="4450CE5A" w14:textId="1BCD8E85" w:rsidR="00C06B88" w:rsidRPr="00C06B88" w:rsidRDefault="00C06B88" w:rsidP="00F72403">
      <w:pPr>
        <w:spacing w:line="360" w:lineRule="auto"/>
        <w:jc w:val="both"/>
        <w:rPr>
          <w:rFonts w:ascii="Arial" w:hAnsi="Arial" w:cs="Arial"/>
          <w:b/>
          <w:bCs/>
        </w:rPr>
      </w:pPr>
      <w:r w:rsidRPr="00C06B88">
        <w:rPr>
          <w:rFonts w:ascii="Arial" w:hAnsi="Arial" w:cs="Arial"/>
          <w:b/>
          <w:bCs/>
        </w:rPr>
        <w:t>4.6 International and Ethical Considerations</w:t>
      </w:r>
    </w:p>
    <w:p w14:paraId="6B09233E"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4.6.1 Taxation and Transfer Pricing</w:t>
      </w:r>
    </w:p>
    <w:p w14:paraId="0D549BB0" w14:textId="77777777" w:rsidR="00F72403" w:rsidRDefault="00F72403" w:rsidP="006C7160">
      <w:pPr>
        <w:spacing w:line="360" w:lineRule="auto"/>
        <w:jc w:val="both"/>
        <w:rPr>
          <w:rFonts w:ascii="Arial" w:hAnsi="Arial" w:cs="Arial"/>
        </w:rPr>
      </w:pPr>
      <w:r w:rsidRPr="00F72403">
        <w:rPr>
          <w:rFonts w:ascii="Arial" w:hAnsi="Arial" w:cs="Arial"/>
        </w:rPr>
        <w:t>Restructuring can change the international tax footprint of the firm. Equity injections and cross-border JV profits will be required to adhere to the OECD Base-Erosion &amp; Profit-Shifting guidance, BEPS 2.0. Transparent disclosure reduces reputational risk.</w:t>
      </w:r>
    </w:p>
    <w:p w14:paraId="23055F26" w14:textId="25998373" w:rsidR="00C06B88" w:rsidRPr="00C06B88" w:rsidRDefault="00C06B88" w:rsidP="006C7160">
      <w:pPr>
        <w:spacing w:line="360" w:lineRule="auto"/>
        <w:jc w:val="both"/>
        <w:rPr>
          <w:rFonts w:ascii="Arial" w:hAnsi="Arial" w:cs="Arial"/>
          <w:b/>
          <w:bCs/>
        </w:rPr>
      </w:pPr>
      <w:r w:rsidRPr="00C06B88">
        <w:rPr>
          <w:rFonts w:ascii="Arial" w:hAnsi="Arial" w:cs="Arial"/>
          <w:b/>
          <w:bCs/>
        </w:rPr>
        <w:t>4.6.2 Currency and Inflation Risk</w:t>
      </w:r>
    </w:p>
    <w:p w14:paraId="1AC97F23" w14:textId="77777777" w:rsidR="00F72403" w:rsidRDefault="00F72403" w:rsidP="006C7160">
      <w:pPr>
        <w:spacing w:line="360" w:lineRule="auto"/>
        <w:jc w:val="both"/>
        <w:rPr>
          <w:rFonts w:ascii="Arial" w:hAnsi="Arial" w:cs="Arial"/>
        </w:rPr>
      </w:pPr>
      <w:r w:rsidRPr="00F72403">
        <w:rPr>
          <w:rFonts w:ascii="Arial" w:hAnsi="Arial" w:cs="Arial"/>
        </w:rPr>
        <w:t>With GE's global exposure, currency volatility could distort the reported earnings. Natural hedging, forwards, and currency swaps would help in stabilizing cash flows. In this regard, Hull (2022) recommends it. In addition, pricing reviews are warranted to preserve margins due to inflationary pressures.</w:t>
      </w:r>
    </w:p>
    <w:p w14:paraId="08014B93" w14:textId="226BC0A0" w:rsidR="00C06B88" w:rsidRPr="00C06B88" w:rsidRDefault="00C06B88" w:rsidP="006C7160">
      <w:pPr>
        <w:spacing w:line="360" w:lineRule="auto"/>
        <w:jc w:val="both"/>
        <w:rPr>
          <w:rFonts w:ascii="Arial" w:hAnsi="Arial" w:cs="Arial"/>
          <w:b/>
          <w:bCs/>
        </w:rPr>
      </w:pPr>
      <w:r w:rsidRPr="00C06B88">
        <w:rPr>
          <w:rFonts w:ascii="Arial" w:hAnsi="Arial" w:cs="Arial"/>
          <w:b/>
          <w:bCs/>
        </w:rPr>
        <w:t>4.6.3 Corporate Social Responsibility (CSR)</w:t>
      </w:r>
    </w:p>
    <w:p w14:paraId="52494D36" w14:textId="0AA9C871" w:rsidR="00C06B88" w:rsidRPr="00C06B88" w:rsidRDefault="00F72403" w:rsidP="006C7160">
      <w:pPr>
        <w:spacing w:line="360" w:lineRule="auto"/>
        <w:jc w:val="both"/>
        <w:rPr>
          <w:rFonts w:ascii="Arial" w:hAnsi="Arial" w:cs="Arial"/>
        </w:rPr>
      </w:pPr>
      <w:r w:rsidRPr="00F72403">
        <w:rPr>
          <w:rFonts w:ascii="Arial" w:hAnsi="Arial" w:cs="Arial"/>
        </w:rPr>
        <w:t xml:space="preserve">Restructuring may involve workforce downsizing; ethical management demands retraining and fair severance policies. The integration of CSR maintains stakeholder trust and long-term brand equity. </w:t>
      </w:r>
      <w:r w:rsidR="00C06B88" w:rsidRPr="00C06B88">
        <w:rPr>
          <w:rFonts w:ascii="Arial" w:hAnsi="Arial" w:cs="Arial"/>
        </w:rPr>
        <w:t>(Carroll &amp; Brown, 2023).</w:t>
      </w:r>
    </w:p>
    <w:p w14:paraId="6123DEFE" w14:textId="77777777" w:rsidR="00C06B88" w:rsidRPr="00C06B88" w:rsidRDefault="00C06B88" w:rsidP="004B65BA">
      <w:pPr>
        <w:spacing w:line="360" w:lineRule="auto"/>
        <w:rPr>
          <w:rFonts w:ascii="Arial" w:hAnsi="Arial" w:cs="Arial"/>
          <w:b/>
          <w:bCs/>
        </w:rPr>
      </w:pPr>
      <w:r w:rsidRPr="00C06B88">
        <w:rPr>
          <w:rFonts w:ascii="Arial" w:hAnsi="Arial" w:cs="Arial"/>
          <w:b/>
          <w:bCs/>
        </w:rPr>
        <w:t>4.7 Scenario Analysis: Base, Optimistic, and Pessimistic</w:t>
      </w:r>
    </w:p>
    <w:tbl>
      <w:tblPr>
        <w:tblStyle w:val="TableGrid"/>
        <w:tblW w:w="0" w:type="auto"/>
        <w:tblLook w:val="04A0" w:firstRow="1" w:lastRow="0" w:firstColumn="1" w:lastColumn="0" w:noHBand="0" w:noVBand="1"/>
      </w:tblPr>
      <w:tblGrid>
        <w:gridCol w:w="1538"/>
        <w:gridCol w:w="1373"/>
        <w:gridCol w:w="1641"/>
        <w:gridCol w:w="964"/>
        <w:gridCol w:w="3500"/>
      </w:tblGrid>
      <w:tr w:rsidR="00C06B88" w:rsidRPr="00C06B88" w14:paraId="407C9015" w14:textId="77777777" w:rsidTr="00C06B88">
        <w:tc>
          <w:tcPr>
            <w:tcW w:w="0" w:type="auto"/>
            <w:hideMark/>
          </w:tcPr>
          <w:p w14:paraId="382E8FF7"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Scenario</w:t>
            </w:r>
          </w:p>
        </w:tc>
        <w:tc>
          <w:tcPr>
            <w:tcW w:w="0" w:type="auto"/>
            <w:hideMark/>
          </w:tcPr>
          <w:p w14:paraId="6D55BA77"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EBIT Growth</w:t>
            </w:r>
          </w:p>
        </w:tc>
        <w:tc>
          <w:tcPr>
            <w:tcW w:w="0" w:type="auto"/>
            <w:hideMark/>
          </w:tcPr>
          <w:p w14:paraId="0CDF48DE"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Net Debt Change</w:t>
            </w:r>
          </w:p>
        </w:tc>
        <w:tc>
          <w:tcPr>
            <w:tcW w:w="0" w:type="auto"/>
            <w:hideMark/>
          </w:tcPr>
          <w:p w14:paraId="6CFB13D5"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ROE (%)</w:t>
            </w:r>
          </w:p>
        </w:tc>
        <w:tc>
          <w:tcPr>
            <w:tcW w:w="0" w:type="auto"/>
            <w:hideMark/>
          </w:tcPr>
          <w:p w14:paraId="7734D281"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Comment</w:t>
            </w:r>
          </w:p>
        </w:tc>
      </w:tr>
      <w:tr w:rsidR="00C06B88" w:rsidRPr="00C06B88" w14:paraId="094184ED" w14:textId="77777777" w:rsidTr="00C06B88">
        <w:tc>
          <w:tcPr>
            <w:tcW w:w="0" w:type="auto"/>
            <w:hideMark/>
          </w:tcPr>
          <w:p w14:paraId="05B03ACB" w14:textId="77777777" w:rsidR="00C06B88" w:rsidRPr="00C06B88" w:rsidRDefault="00C06B88" w:rsidP="004B65BA">
            <w:pPr>
              <w:spacing w:after="160" w:line="360" w:lineRule="auto"/>
              <w:rPr>
                <w:rFonts w:ascii="Arial" w:hAnsi="Arial" w:cs="Arial"/>
              </w:rPr>
            </w:pPr>
            <w:r w:rsidRPr="00C06B88">
              <w:rPr>
                <w:rFonts w:ascii="Arial" w:hAnsi="Arial" w:cs="Arial"/>
                <w:b/>
                <w:bCs/>
              </w:rPr>
              <w:lastRenderedPageBreak/>
              <w:t>Optimistic</w:t>
            </w:r>
          </w:p>
        </w:tc>
        <w:tc>
          <w:tcPr>
            <w:tcW w:w="0" w:type="auto"/>
            <w:hideMark/>
          </w:tcPr>
          <w:p w14:paraId="54CC23F5" w14:textId="77777777" w:rsidR="00C06B88" w:rsidRPr="00C06B88" w:rsidRDefault="00C06B88" w:rsidP="004B65BA">
            <w:pPr>
              <w:spacing w:after="160" w:line="360" w:lineRule="auto"/>
              <w:rPr>
                <w:rFonts w:ascii="Arial" w:hAnsi="Arial" w:cs="Arial"/>
              </w:rPr>
            </w:pPr>
            <w:r w:rsidRPr="00C06B88">
              <w:rPr>
                <w:rFonts w:ascii="Arial" w:hAnsi="Arial" w:cs="Arial"/>
              </w:rPr>
              <w:t>+20%</w:t>
            </w:r>
          </w:p>
        </w:tc>
        <w:tc>
          <w:tcPr>
            <w:tcW w:w="0" w:type="auto"/>
            <w:hideMark/>
          </w:tcPr>
          <w:p w14:paraId="368C6045" w14:textId="77777777" w:rsidR="00C06B88" w:rsidRPr="00C06B88" w:rsidRDefault="00C06B88" w:rsidP="004B65BA">
            <w:pPr>
              <w:spacing w:after="160" w:line="360" w:lineRule="auto"/>
              <w:rPr>
                <w:rFonts w:ascii="Arial" w:hAnsi="Arial" w:cs="Arial"/>
              </w:rPr>
            </w:pPr>
            <w:r w:rsidRPr="00C06B88">
              <w:rPr>
                <w:rFonts w:ascii="Arial" w:hAnsi="Arial" w:cs="Arial"/>
              </w:rPr>
              <w:t>–25%</w:t>
            </w:r>
          </w:p>
        </w:tc>
        <w:tc>
          <w:tcPr>
            <w:tcW w:w="0" w:type="auto"/>
            <w:hideMark/>
          </w:tcPr>
          <w:p w14:paraId="425610FB" w14:textId="77777777" w:rsidR="00C06B88" w:rsidRPr="00C06B88" w:rsidRDefault="00C06B88" w:rsidP="004B65BA">
            <w:pPr>
              <w:spacing w:after="160" w:line="360" w:lineRule="auto"/>
              <w:rPr>
                <w:rFonts w:ascii="Arial" w:hAnsi="Arial" w:cs="Arial"/>
              </w:rPr>
            </w:pPr>
            <w:r w:rsidRPr="00C06B88">
              <w:rPr>
                <w:rFonts w:ascii="Arial" w:hAnsi="Arial" w:cs="Arial"/>
              </w:rPr>
              <w:t>9.5</w:t>
            </w:r>
          </w:p>
        </w:tc>
        <w:tc>
          <w:tcPr>
            <w:tcW w:w="0" w:type="auto"/>
            <w:hideMark/>
          </w:tcPr>
          <w:p w14:paraId="7AD645D2" w14:textId="77777777" w:rsidR="00C06B88" w:rsidRPr="00C06B88" w:rsidRDefault="00C06B88" w:rsidP="004B65BA">
            <w:pPr>
              <w:spacing w:after="160" w:line="360" w:lineRule="auto"/>
              <w:rPr>
                <w:rFonts w:ascii="Arial" w:hAnsi="Arial" w:cs="Arial"/>
              </w:rPr>
            </w:pPr>
            <w:r w:rsidRPr="00C06B88">
              <w:rPr>
                <w:rFonts w:ascii="Arial" w:hAnsi="Arial" w:cs="Arial"/>
              </w:rPr>
              <w:t>Successful recapitalisation and cost reduction</w:t>
            </w:r>
          </w:p>
        </w:tc>
      </w:tr>
      <w:tr w:rsidR="00C06B88" w:rsidRPr="00C06B88" w14:paraId="664091F0" w14:textId="77777777" w:rsidTr="00C06B88">
        <w:tc>
          <w:tcPr>
            <w:tcW w:w="0" w:type="auto"/>
            <w:hideMark/>
          </w:tcPr>
          <w:p w14:paraId="3195207C" w14:textId="77777777" w:rsidR="00C06B88" w:rsidRPr="00C06B88" w:rsidRDefault="00C06B88" w:rsidP="004B65BA">
            <w:pPr>
              <w:spacing w:after="160" w:line="360" w:lineRule="auto"/>
              <w:rPr>
                <w:rFonts w:ascii="Arial" w:hAnsi="Arial" w:cs="Arial"/>
              </w:rPr>
            </w:pPr>
            <w:r w:rsidRPr="00C06B88">
              <w:rPr>
                <w:rFonts w:ascii="Arial" w:hAnsi="Arial" w:cs="Arial"/>
                <w:b/>
                <w:bCs/>
              </w:rPr>
              <w:t>Base</w:t>
            </w:r>
          </w:p>
        </w:tc>
        <w:tc>
          <w:tcPr>
            <w:tcW w:w="0" w:type="auto"/>
            <w:hideMark/>
          </w:tcPr>
          <w:p w14:paraId="410C0B37" w14:textId="77777777" w:rsidR="00C06B88" w:rsidRPr="00C06B88" w:rsidRDefault="00C06B88" w:rsidP="004B65BA">
            <w:pPr>
              <w:spacing w:after="160" w:line="360" w:lineRule="auto"/>
              <w:rPr>
                <w:rFonts w:ascii="Arial" w:hAnsi="Arial" w:cs="Arial"/>
              </w:rPr>
            </w:pPr>
            <w:r w:rsidRPr="00C06B88">
              <w:rPr>
                <w:rFonts w:ascii="Arial" w:hAnsi="Arial" w:cs="Arial"/>
              </w:rPr>
              <w:t>+10%</w:t>
            </w:r>
          </w:p>
        </w:tc>
        <w:tc>
          <w:tcPr>
            <w:tcW w:w="0" w:type="auto"/>
            <w:hideMark/>
          </w:tcPr>
          <w:p w14:paraId="0617127A" w14:textId="77777777" w:rsidR="00C06B88" w:rsidRPr="00C06B88" w:rsidRDefault="00C06B88" w:rsidP="004B65BA">
            <w:pPr>
              <w:spacing w:after="160" w:line="360" w:lineRule="auto"/>
              <w:rPr>
                <w:rFonts w:ascii="Arial" w:hAnsi="Arial" w:cs="Arial"/>
              </w:rPr>
            </w:pPr>
            <w:r w:rsidRPr="00C06B88">
              <w:rPr>
                <w:rFonts w:ascii="Arial" w:hAnsi="Arial" w:cs="Arial"/>
              </w:rPr>
              <w:t>–15%</w:t>
            </w:r>
          </w:p>
        </w:tc>
        <w:tc>
          <w:tcPr>
            <w:tcW w:w="0" w:type="auto"/>
            <w:hideMark/>
          </w:tcPr>
          <w:p w14:paraId="3E2C8F76" w14:textId="77777777" w:rsidR="00C06B88" w:rsidRPr="00C06B88" w:rsidRDefault="00C06B88" w:rsidP="004B65BA">
            <w:pPr>
              <w:spacing w:after="160" w:line="360" w:lineRule="auto"/>
              <w:rPr>
                <w:rFonts w:ascii="Arial" w:hAnsi="Arial" w:cs="Arial"/>
              </w:rPr>
            </w:pPr>
            <w:r w:rsidRPr="00C06B88">
              <w:rPr>
                <w:rFonts w:ascii="Arial" w:hAnsi="Arial" w:cs="Arial"/>
              </w:rPr>
              <w:t>5.6</w:t>
            </w:r>
          </w:p>
        </w:tc>
        <w:tc>
          <w:tcPr>
            <w:tcW w:w="0" w:type="auto"/>
            <w:hideMark/>
          </w:tcPr>
          <w:p w14:paraId="4E888419" w14:textId="77777777" w:rsidR="00C06B88" w:rsidRPr="00C06B88" w:rsidRDefault="00C06B88" w:rsidP="004B65BA">
            <w:pPr>
              <w:spacing w:after="160" w:line="360" w:lineRule="auto"/>
              <w:rPr>
                <w:rFonts w:ascii="Arial" w:hAnsi="Arial" w:cs="Arial"/>
              </w:rPr>
            </w:pPr>
            <w:r w:rsidRPr="00C06B88">
              <w:rPr>
                <w:rFonts w:ascii="Arial" w:hAnsi="Arial" w:cs="Arial"/>
              </w:rPr>
              <w:t>Moderate cost savings, steady recovery</w:t>
            </w:r>
          </w:p>
        </w:tc>
      </w:tr>
      <w:tr w:rsidR="00C06B88" w:rsidRPr="00C06B88" w14:paraId="17AAD5A5" w14:textId="77777777" w:rsidTr="00C06B88">
        <w:tc>
          <w:tcPr>
            <w:tcW w:w="0" w:type="auto"/>
            <w:hideMark/>
          </w:tcPr>
          <w:p w14:paraId="562BA2BE" w14:textId="77777777" w:rsidR="00C06B88" w:rsidRPr="00C06B88" w:rsidRDefault="00C06B88" w:rsidP="004B65BA">
            <w:pPr>
              <w:spacing w:after="160" w:line="360" w:lineRule="auto"/>
              <w:rPr>
                <w:rFonts w:ascii="Arial" w:hAnsi="Arial" w:cs="Arial"/>
              </w:rPr>
            </w:pPr>
            <w:r w:rsidRPr="00C06B88">
              <w:rPr>
                <w:rFonts w:ascii="Arial" w:hAnsi="Arial" w:cs="Arial"/>
                <w:b/>
                <w:bCs/>
              </w:rPr>
              <w:t>Pessimistic</w:t>
            </w:r>
          </w:p>
        </w:tc>
        <w:tc>
          <w:tcPr>
            <w:tcW w:w="0" w:type="auto"/>
            <w:hideMark/>
          </w:tcPr>
          <w:p w14:paraId="630F24D8" w14:textId="77777777" w:rsidR="00C06B88" w:rsidRPr="00C06B88" w:rsidRDefault="00C06B88" w:rsidP="004B65BA">
            <w:pPr>
              <w:spacing w:after="160" w:line="360" w:lineRule="auto"/>
              <w:rPr>
                <w:rFonts w:ascii="Arial" w:hAnsi="Arial" w:cs="Arial"/>
              </w:rPr>
            </w:pPr>
            <w:r w:rsidRPr="00C06B88">
              <w:rPr>
                <w:rFonts w:ascii="Arial" w:hAnsi="Arial" w:cs="Arial"/>
              </w:rPr>
              <w:t>+3%</w:t>
            </w:r>
          </w:p>
        </w:tc>
        <w:tc>
          <w:tcPr>
            <w:tcW w:w="0" w:type="auto"/>
            <w:hideMark/>
          </w:tcPr>
          <w:p w14:paraId="570559CB" w14:textId="77777777" w:rsidR="00C06B88" w:rsidRPr="00C06B88" w:rsidRDefault="00C06B88" w:rsidP="004B65BA">
            <w:pPr>
              <w:spacing w:after="160" w:line="360" w:lineRule="auto"/>
              <w:rPr>
                <w:rFonts w:ascii="Arial" w:hAnsi="Arial" w:cs="Arial"/>
              </w:rPr>
            </w:pPr>
            <w:r w:rsidRPr="00C06B88">
              <w:rPr>
                <w:rFonts w:ascii="Arial" w:hAnsi="Arial" w:cs="Arial"/>
              </w:rPr>
              <w:t>–5%</w:t>
            </w:r>
          </w:p>
        </w:tc>
        <w:tc>
          <w:tcPr>
            <w:tcW w:w="0" w:type="auto"/>
            <w:hideMark/>
          </w:tcPr>
          <w:p w14:paraId="0352AD19" w14:textId="77777777" w:rsidR="00C06B88" w:rsidRPr="00C06B88" w:rsidRDefault="00C06B88" w:rsidP="004B65BA">
            <w:pPr>
              <w:spacing w:after="160" w:line="360" w:lineRule="auto"/>
              <w:rPr>
                <w:rFonts w:ascii="Arial" w:hAnsi="Arial" w:cs="Arial"/>
              </w:rPr>
            </w:pPr>
            <w:r w:rsidRPr="00C06B88">
              <w:rPr>
                <w:rFonts w:ascii="Arial" w:hAnsi="Arial" w:cs="Arial"/>
              </w:rPr>
              <w:t>1.8</w:t>
            </w:r>
          </w:p>
        </w:tc>
        <w:tc>
          <w:tcPr>
            <w:tcW w:w="0" w:type="auto"/>
            <w:hideMark/>
          </w:tcPr>
          <w:p w14:paraId="15C73E39" w14:textId="77777777" w:rsidR="00C06B88" w:rsidRPr="00C06B88" w:rsidRDefault="00C06B88" w:rsidP="004B65BA">
            <w:pPr>
              <w:spacing w:after="160" w:line="360" w:lineRule="auto"/>
              <w:rPr>
                <w:rFonts w:ascii="Arial" w:hAnsi="Arial" w:cs="Arial"/>
              </w:rPr>
            </w:pPr>
            <w:r w:rsidRPr="00C06B88">
              <w:rPr>
                <w:rFonts w:ascii="Arial" w:hAnsi="Arial" w:cs="Arial"/>
              </w:rPr>
              <w:t>Slow recovery, external shocks persist</w:t>
            </w:r>
          </w:p>
        </w:tc>
      </w:tr>
    </w:tbl>
    <w:p w14:paraId="3EB25B45" w14:textId="77777777" w:rsidR="00D75139" w:rsidRDefault="00D824DC" w:rsidP="006C7160">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D75139" w:rsidRPr="00D75139">
        <w:rPr>
          <w:rFonts w:ascii="Arial" w:hAnsi="Arial" w:cs="Arial"/>
        </w:rPr>
        <w:t>The optimistic case yields sustainable returns in excess of the cost of equity, confirming the viability of restructuring. Even under the base case, GE becomes solvent again.</w:t>
      </w:r>
    </w:p>
    <w:p w14:paraId="5B6AC432" w14:textId="234C3C4F" w:rsidR="00C06B88" w:rsidRPr="00C06B88" w:rsidRDefault="00C06B88" w:rsidP="006C7160">
      <w:pPr>
        <w:spacing w:line="360" w:lineRule="auto"/>
        <w:jc w:val="both"/>
        <w:rPr>
          <w:rFonts w:ascii="Arial" w:hAnsi="Arial" w:cs="Arial"/>
          <w:b/>
          <w:bCs/>
        </w:rPr>
      </w:pPr>
      <w:r w:rsidRPr="00C06B88">
        <w:rPr>
          <w:rFonts w:ascii="Arial" w:hAnsi="Arial" w:cs="Arial"/>
          <w:b/>
          <w:bCs/>
        </w:rPr>
        <w:t>4.8 Governance and Leadership Changes</w:t>
      </w:r>
    </w:p>
    <w:p w14:paraId="29100B96" w14:textId="027B1569" w:rsidR="00D824DC" w:rsidRDefault="00D75139" w:rsidP="006C7160">
      <w:pPr>
        <w:spacing w:line="360" w:lineRule="auto"/>
        <w:jc w:val="both"/>
        <w:rPr>
          <w:rFonts w:ascii="Arial" w:hAnsi="Arial" w:cs="Arial"/>
        </w:rPr>
      </w:pPr>
      <w:r w:rsidRPr="00D75139">
        <w:rPr>
          <w:rFonts w:ascii="Arial" w:hAnsi="Arial" w:cs="Arial"/>
        </w:rPr>
        <w:t xml:space="preserve">The financial leadership of the CFO must ensure that robust mechanisms for oversight are fully embedded in the company to underpin strong financial governance in any turnaround that GE undertakes. This includes putting independent audit committee oversight in place to enhance transparency, implementing a comprehensive enterprise-risk-management system to keep a watch on leverage, liquidity, and foreign exchange exposure, and putting in place a balanced-scorecard framework to align key financial metrics such as ROE and CCC with strategic objectives. Strengthening board governance through diversification and the inclusion of independent financial experts is equally critical for restoring investor confidence. </w:t>
      </w:r>
      <w:r w:rsidR="00D824DC" w:rsidRPr="00D824DC">
        <w:rPr>
          <w:rFonts w:ascii="Arial" w:hAnsi="Arial" w:cs="Arial"/>
        </w:rPr>
        <w:t>(Tricker, 2022).</w:t>
      </w:r>
    </w:p>
    <w:p w14:paraId="6D2097A5" w14:textId="22AEDAE3" w:rsidR="00C06B88" w:rsidRPr="00C06B88" w:rsidRDefault="00C06B88" w:rsidP="004B65BA">
      <w:pPr>
        <w:spacing w:line="360" w:lineRule="auto"/>
        <w:rPr>
          <w:rFonts w:ascii="Arial" w:hAnsi="Arial" w:cs="Arial"/>
          <w:b/>
          <w:bCs/>
        </w:rPr>
      </w:pPr>
      <w:r w:rsidRPr="00C06B88">
        <w:rPr>
          <w:rFonts w:ascii="Arial" w:hAnsi="Arial" w:cs="Arial"/>
          <w:b/>
          <w:bCs/>
        </w:rPr>
        <w:t>4.9 Implementation Roadmap</w:t>
      </w:r>
    </w:p>
    <w:tbl>
      <w:tblPr>
        <w:tblStyle w:val="TableGrid"/>
        <w:tblW w:w="0" w:type="auto"/>
        <w:tblLook w:val="04A0" w:firstRow="1" w:lastRow="0" w:firstColumn="1" w:lastColumn="0" w:noHBand="0" w:noVBand="1"/>
      </w:tblPr>
      <w:tblGrid>
        <w:gridCol w:w="2503"/>
        <w:gridCol w:w="1380"/>
        <w:gridCol w:w="2702"/>
        <w:gridCol w:w="2431"/>
      </w:tblGrid>
      <w:tr w:rsidR="00C06B88" w:rsidRPr="00C06B88" w14:paraId="420B5BCC" w14:textId="77777777" w:rsidTr="00C06B88">
        <w:tc>
          <w:tcPr>
            <w:tcW w:w="0" w:type="auto"/>
            <w:hideMark/>
          </w:tcPr>
          <w:p w14:paraId="16667AB2"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Phase</w:t>
            </w:r>
          </w:p>
        </w:tc>
        <w:tc>
          <w:tcPr>
            <w:tcW w:w="0" w:type="auto"/>
            <w:hideMark/>
          </w:tcPr>
          <w:p w14:paraId="747DCBEA"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Timeline</w:t>
            </w:r>
          </w:p>
        </w:tc>
        <w:tc>
          <w:tcPr>
            <w:tcW w:w="0" w:type="auto"/>
            <w:hideMark/>
          </w:tcPr>
          <w:p w14:paraId="1904B444"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Key Actions</w:t>
            </w:r>
          </w:p>
        </w:tc>
        <w:tc>
          <w:tcPr>
            <w:tcW w:w="0" w:type="auto"/>
            <w:hideMark/>
          </w:tcPr>
          <w:p w14:paraId="648449AD"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Expected Outcome</w:t>
            </w:r>
          </w:p>
        </w:tc>
      </w:tr>
      <w:tr w:rsidR="00C06B88" w:rsidRPr="00C06B88" w14:paraId="3CE877D4" w14:textId="77777777" w:rsidTr="00C06B88">
        <w:tc>
          <w:tcPr>
            <w:tcW w:w="0" w:type="auto"/>
            <w:hideMark/>
          </w:tcPr>
          <w:p w14:paraId="48CD74CE" w14:textId="77777777" w:rsidR="00C06B88" w:rsidRPr="00C06B88" w:rsidRDefault="00C06B88" w:rsidP="004B65BA">
            <w:pPr>
              <w:spacing w:after="160" w:line="360" w:lineRule="auto"/>
              <w:rPr>
                <w:rFonts w:ascii="Arial" w:hAnsi="Arial" w:cs="Arial"/>
              </w:rPr>
            </w:pPr>
            <w:r w:rsidRPr="00C06B88">
              <w:rPr>
                <w:rFonts w:ascii="Arial" w:hAnsi="Arial" w:cs="Arial"/>
                <w:b/>
                <w:bCs/>
              </w:rPr>
              <w:t>Phase 1:</w:t>
            </w:r>
            <w:r w:rsidRPr="00C06B88">
              <w:rPr>
                <w:rFonts w:ascii="Arial" w:hAnsi="Arial" w:cs="Arial"/>
              </w:rPr>
              <w:t xml:space="preserve"> Liquidity Stabilisation</w:t>
            </w:r>
          </w:p>
        </w:tc>
        <w:tc>
          <w:tcPr>
            <w:tcW w:w="0" w:type="auto"/>
            <w:hideMark/>
          </w:tcPr>
          <w:p w14:paraId="0D06D88F" w14:textId="77777777" w:rsidR="00C06B88" w:rsidRPr="00C06B88" w:rsidRDefault="00C06B88" w:rsidP="004B65BA">
            <w:pPr>
              <w:spacing w:after="160" w:line="360" w:lineRule="auto"/>
              <w:rPr>
                <w:rFonts w:ascii="Arial" w:hAnsi="Arial" w:cs="Arial"/>
              </w:rPr>
            </w:pPr>
            <w:r w:rsidRPr="00C06B88">
              <w:rPr>
                <w:rFonts w:ascii="Arial" w:hAnsi="Arial" w:cs="Arial"/>
              </w:rPr>
              <w:t>0–6 months</w:t>
            </w:r>
          </w:p>
        </w:tc>
        <w:tc>
          <w:tcPr>
            <w:tcW w:w="0" w:type="auto"/>
            <w:hideMark/>
          </w:tcPr>
          <w:p w14:paraId="5AAE91A2" w14:textId="77777777" w:rsidR="00C06B88" w:rsidRPr="00C06B88" w:rsidRDefault="00C06B88" w:rsidP="004B65BA">
            <w:pPr>
              <w:spacing w:after="160" w:line="360" w:lineRule="auto"/>
              <w:rPr>
                <w:rFonts w:ascii="Arial" w:hAnsi="Arial" w:cs="Arial"/>
              </w:rPr>
            </w:pPr>
            <w:r w:rsidRPr="00C06B88">
              <w:rPr>
                <w:rFonts w:ascii="Arial" w:hAnsi="Arial" w:cs="Arial"/>
              </w:rPr>
              <w:t>Rights issue + debt rescheduling</w:t>
            </w:r>
          </w:p>
        </w:tc>
        <w:tc>
          <w:tcPr>
            <w:tcW w:w="0" w:type="auto"/>
            <w:hideMark/>
          </w:tcPr>
          <w:p w14:paraId="7615C9B7" w14:textId="77777777" w:rsidR="00C06B88" w:rsidRPr="00C06B88" w:rsidRDefault="00C06B88" w:rsidP="004B65BA">
            <w:pPr>
              <w:spacing w:after="160" w:line="360" w:lineRule="auto"/>
              <w:rPr>
                <w:rFonts w:ascii="Arial" w:hAnsi="Arial" w:cs="Arial"/>
              </w:rPr>
            </w:pPr>
            <w:r w:rsidRPr="00C06B88">
              <w:rPr>
                <w:rFonts w:ascii="Arial" w:hAnsi="Arial" w:cs="Arial"/>
              </w:rPr>
              <w:t>D/E ≤ 0.9; cash +£20 bn</w:t>
            </w:r>
          </w:p>
        </w:tc>
      </w:tr>
      <w:tr w:rsidR="00C06B88" w:rsidRPr="00C06B88" w14:paraId="5F5DFDB6" w14:textId="77777777" w:rsidTr="00C06B88">
        <w:tc>
          <w:tcPr>
            <w:tcW w:w="0" w:type="auto"/>
            <w:hideMark/>
          </w:tcPr>
          <w:p w14:paraId="3D49CDB7" w14:textId="77777777" w:rsidR="00C06B88" w:rsidRPr="00C06B88" w:rsidRDefault="00C06B88" w:rsidP="004B65BA">
            <w:pPr>
              <w:spacing w:after="160" w:line="360" w:lineRule="auto"/>
              <w:rPr>
                <w:rFonts w:ascii="Arial" w:hAnsi="Arial" w:cs="Arial"/>
              </w:rPr>
            </w:pPr>
            <w:r w:rsidRPr="00C06B88">
              <w:rPr>
                <w:rFonts w:ascii="Arial" w:hAnsi="Arial" w:cs="Arial"/>
                <w:b/>
                <w:bCs/>
              </w:rPr>
              <w:t>Phase 2:</w:t>
            </w:r>
            <w:r w:rsidRPr="00C06B88">
              <w:rPr>
                <w:rFonts w:ascii="Arial" w:hAnsi="Arial" w:cs="Arial"/>
              </w:rPr>
              <w:t xml:space="preserve"> Asset Optimisation</w:t>
            </w:r>
          </w:p>
        </w:tc>
        <w:tc>
          <w:tcPr>
            <w:tcW w:w="0" w:type="auto"/>
            <w:hideMark/>
          </w:tcPr>
          <w:p w14:paraId="5365CD2E" w14:textId="77777777" w:rsidR="00C06B88" w:rsidRPr="00C06B88" w:rsidRDefault="00C06B88" w:rsidP="004B65BA">
            <w:pPr>
              <w:spacing w:after="160" w:line="360" w:lineRule="auto"/>
              <w:rPr>
                <w:rFonts w:ascii="Arial" w:hAnsi="Arial" w:cs="Arial"/>
              </w:rPr>
            </w:pPr>
            <w:r w:rsidRPr="00C06B88">
              <w:rPr>
                <w:rFonts w:ascii="Arial" w:hAnsi="Arial" w:cs="Arial"/>
              </w:rPr>
              <w:t>6–12 months</w:t>
            </w:r>
          </w:p>
        </w:tc>
        <w:tc>
          <w:tcPr>
            <w:tcW w:w="0" w:type="auto"/>
            <w:hideMark/>
          </w:tcPr>
          <w:p w14:paraId="037D468A" w14:textId="77777777" w:rsidR="00C06B88" w:rsidRPr="00C06B88" w:rsidRDefault="00C06B88" w:rsidP="004B65BA">
            <w:pPr>
              <w:spacing w:after="160" w:line="360" w:lineRule="auto"/>
              <w:rPr>
                <w:rFonts w:ascii="Arial" w:hAnsi="Arial" w:cs="Arial"/>
              </w:rPr>
            </w:pPr>
            <w:r w:rsidRPr="00C06B88">
              <w:rPr>
                <w:rFonts w:ascii="Arial" w:hAnsi="Arial" w:cs="Arial"/>
              </w:rPr>
              <w:t>Divest non-core units (£15 bn)</w:t>
            </w:r>
          </w:p>
        </w:tc>
        <w:tc>
          <w:tcPr>
            <w:tcW w:w="0" w:type="auto"/>
            <w:hideMark/>
          </w:tcPr>
          <w:p w14:paraId="7807D407" w14:textId="77777777" w:rsidR="00C06B88" w:rsidRPr="00C06B88" w:rsidRDefault="00C06B88" w:rsidP="004B65BA">
            <w:pPr>
              <w:spacing w:after="160" w:line="360" w:lineRule="auto"/>
              <w:rPr>
                <w:rFonts w:ascii="Arial" w:hAnsi="Arial" w:cs="Arial"/>
              </w:rPr>
            </w:pPr>
            <w:r w:rsidRPr="00C06B88">
              <w:rPr>
                <w:rFonts w:ascii="Arial" w:hAnsi="Arial" w:cs="Arial"/>
              </w:rPr>
              <w:t>Debt reduction and focus on core</w:t>
            </w:r>
          </w:p>
        </w:tc>
      </w:tr>
      <w:tr w:rsidR="00C06B88" w:rsidRPr="00C06B88" w14:paraId="4DBD0ED5" w14:textId="77777777" w:rsidTr="00C06B88">
        <w:tc>
          <w:tcPr>
            <w:tcW w:w="0" w:type="auto"/>
            <w:hideMark/>
          </w:tcPr>
          <w:p w14:paraId="33DB21FC" w14:textId="77777777" w:rsidR="00C06B88" w:rsidRPr="00C06B88" w:rsidRDefault="00C06B88" w:rsidP="004B65BA">
            <w:pPr>
              <w:spacing w:after="160" w:line="360" w:lineRule="auto"/>
              <w:rPr>
                <w:rFonts w:ascii="Arial" w:hAnsi="Arial" w:cs="Arial"/>
              </w:rPr>
            </w:pPr>
            <w:r w:rsidRPr="00C06B88">
              <w:rPr>
                <w:rFonts w:ascii="Arial" w:hAnsi="Arial" w:cs="Arial"/>
                <w:b/>
                <w:bCs/>
              </w:rPr>
              <w:t>Phase 3:</w:t>
            </w:r>
            <w:r w:rsidRPr="00C06B88">
              <w:rPr>
                <w:rFonts w:ascii="Arial" w:hAnsi="Arial" w:cs="Arial"/>
              </w:rPr>
              <w:t xml:space="preserve"> Operational Efficiency</w:t>
            </w:r>
          </w:p>
        </w:tc>
        <w:tc>
          <w:tcPr>
            <w:tcW w:w="0" w:type="auto"/>
            <w:hideMark/>
          </w:tcPr>
          <w:p w14:paraId="78B3857A" w14:textId="77777777" w:rsidR="00C06B88" w:rsidRPr="00C06B88" w:rsidRDefault="00C06B88" w:rsidP="004B65BA">
            <w:pPr>
              <w:spacing w:after="160" w:line="360" w:lineRule="auto"/>
              <w:rPr>
                <w:rFonts w:ascii="Arial" w:hAnsi="Arial" w:cs="Arial"/>
              </w:rPr>
            </w:pPr>
            <w:r w:rsidRPr="00C06B88">
              <w:rPr>
                <w:rFonts w:ascii="Arial" w:hAnsi="Arial" w:cs="Arial"/>
              </w:rPr>
              <w:t>1–2 years</w:t>
            </w:r>
          </w:p>
        </w:tc>
        <w:tc>
          <w:tcPr>
            <w:tcW w:w="0" w:type="auto"/>
            <w:hideMark/>
          </w:tcPr>
          <w:p w14:paraId="1A149DB9" w14:textId="77777777" w:rsidR="00C06B88" w:rsidRPr="00C06B88" w:rsidRDefault="00C06B88" w:rsidP="004B65BA">
            <w:pPr>
              <w:spacing w:after="160" w:line="360" w:lineRule="auto"/>
              <w:rPr>
                <w:rFonts w:ascii="Arial" w:hAnsi="Arial" w:cs="Arial"/>
              </w:rPr>
            </w:pPr>
            <w:r w:rsidRPr="00C06B88">
              <w:rPr>
                <w:rFonts w:ascii="Arial" w:hAnsi="Arial" w:cs="Arial"/>
              </w:rPr>
              <w:t>Lean process + ZBB + automation</w:t>
            </w:r>
          </w:p>
        </w:tc>
        <w:tc>
          <w:tcPr>
            <w:tcW w:w="0" w:type="auto"/>
            <w:hideMark/>
          </w:tcPr>
          <w:p w14:paraId="23F37430" w14:textId="77777777" w:rsidR="00C06B88" w:rsidRPr="00C06B88" w:rsidRDefault="00C06B88" w:rsidP="004B65BA">
            <w:pPr>
              <w:spacing w:after="160" w:line="360" w:lineRule="auto"/>
              <w:rPr>
                <w:rFonts w:ascii="Arial" w:hAnsi="Arial" w:cs="Arial"/>
              </w:rPr>
            </w:pPr>
            <w:r w:rsidRPr="00C06B88">
              <w:rPr>
                <w:rFonts w:ascii="Arial" w:hAnsi="Arial" w:cs="Arial"/>
              </w:rPr>
              <w:t>EBIT margin ↑ 8–10 pp</w:t>
            </w:r>
          </w:p>
        </w:tc>
      </w:tr>
      <w:tr w:rsidR="00C06B88" w:rsidRPr="00C06B88" w14:paraId="7883B33E" w14:textId="77777777" w:rsidTr="00C06B88">
        <w:tc>
          <w:tcPr>
            <w:tcW w:w="0" w:type="auto"/>
            <w:hideMark/>
          </w:tcPr>
          <w:p w14:paraId="68EEE076" w14:textId="77777777" w:rsidR="00C06B88" w:rsidRPr="00C06B88" w:rsidRDefault="00C06B88" w:rsidP="004B65BA">
            <w:pPr>
              <w:spacing w:after="160" w:line="360" w:lineRule="auto"/>
              <w:rPr>
                <w:rFonts w:ascii="Arial" w:hAnsi="Arial" w:cs="Arial"/>
              </w:rPr>
            </w:pPr>
            <w:r w:rsidRPr="00C06B88">
              <w:rPr>
                <w:rFonts w:ascii="Arial" w:hAnsi="Arial" w:cs="Arial"/>
                <w:b/>
                <w:bCs/>
              </w:rPr>
              <w:lastRenderedPageBreak/>
              <w:t>Phase 4:</w:t>
            </w:r>
            <w:r w:rsidRPr="00C06B88">
              <w:rPr>
                <w:rFonts w:ascii="Arial" w:hAnsi="Arial" w:cs="Arial"/>
              </w:rPr>
              <w:t xml:space="preserve"> Strategic Growth</w:t>
            </w:r>
          </w:p>
        </w:tc>
        <w:tc>
          <w:tcPr>
            <w:tcW w:w="0" w:type="auto"/>
            <w:hideMark/>
          </w:tcPr>
          <w:p w14:paraId="2F25FBF7" w14:textId="77777777" w:rsidR="00C06B88" w:rsidRPr="00C06B88" w:rsidRDefault="00C06B88" w:rsidP="004B65BA">
            <w:pPr>
              <w:spacing w:after="160" w:line="360" w:lineRule="auto"/>
              <w:rPr>
                <w:rFonts w:ascii="Arial" w:hAnsi="Arial" w:cs="Arial"/>
              </w:rPr>
            </w:pPr>
            <w:r w:rsidRPr="00C06B88">
              <w:rPr>
                <w:rFonts w:ascii="Arial" w:hAnsi="Arial" w:cs="Arial"/>
              </w:rPr>
              <w:t>2–3 years</w:t>
            </w:r>
          </w:p>
        </w:tc>
        <w:tc>
          <w:tcPr>
            <w:tcW w:w="0" w:type="auto"/>
            <w:hideMark/>
          </w:tcPr>
          <w:p w14:paraId="5F3FF830" w14:textId="77777777" w:rsidR="00C06B88" w:rsidRPr="00C06B88" w:rsidRDefault="00C06B88" w:rsidP="004B65BA">
            <w:pPr>
              <w:spacing w:after="160" w:line="360" w:lineRule="auto"/>
              <w:rPr>
                <w:rFonts w:ascii="Arial" w:hAnsi="Arial" w:cs="Arial"/>
              </w:rPr>
            </w:pPr>
            <w:r w:rsidRPr="00C06B88">
              <w:rPr>
                <w:rFonts w:ascii="Arial" w:hAnsi="Arial" w:cs="Arial"/>
              </w:rPr>
              <w:t>JV in renewables + digital platforms</w:t>
            </w:r>
          </w:p>
        </w:tc>
        <w:tc>
          <w:tcPr>
            <w:tcW w:w="0" w:type="auto"/>
            <w:hideMark/>
          </w:tcPr>
          <w:p w14:paraId="342131E3" w14:textId="77777777" w:rsidR="00C06B88" w:rsidRPr="00C06B88" w:rsidRDefault="00C06B88" w:rsidP="004B65BA">
            <w:pPr>
              <w:spacing w:after="160" w:line="360" w:lineRule="auto"/>
              <w:rPr>
                <w:rFonts w:ascii="Arial" w:hAnsi="Arial" w:cs="Arial"/>
              </w:rPr>
            </w:pPr>
            <w:r w:rsidRPr="00C06B88">
              <w:rPr>
                <w:rFonts w:ascii="Arial" w:hAnsi="Arial" w:cs="Arial"/>
              </w:rPr>
              <w:t>Revenue growth ≥ 12% p.a.</w:t>
            </w:r>
          </w:p>
        </w:tc>
      </w:tr>
    </w:tbl>
    <w:p w14:paraId="29087B87" w14:textId="1DBB9FFE" w:rsidR="00C06B88" w:rsidRPr="00C06B88" w:rsidRDefault="00D824DC" w:rsidP="004B65BA">
      <w:pPr>
        <w:spacing w:line="360" w:lineRule="auto"/>
        <w:rPr>
          <w:rFonts w:ascii="Arial" w:hAnsi="Arial" w:cs="Arial"/>
        </w:rPr>
      </w:pPr>
      <w:r w:rsidRPr="00D824DC">
        <w:rPr>
          <w:rFonts w:ascii="Arial" w:hAnsi="Arial" w:cs="Arial"/>
          <w:b/>
          <w:bCs/>
        </w:rPr>
        <w:t xml:space="preserve">Interpretation: </w:t>
      </w:r>
      <w:r w:rsidR="00C06B88" w:rsidRPr="00D824DC">
        <w:rPr>
          <w:rFonts w:ascii="Arial" w:hAnsi="Arial" w:cs="Arial"/>
        </w:rPr>
        <w:t>This</w:t>
      </w:r>
      <w:r w:rsidR="00C06B88" w:rsidRPr="00C06B88">
        <w:rPr>
          <w:rFonts w:ascii="Arial" w:hAnsi="Arial" w:cs="Arial"/>
        </w:rPr>
        <w:t xml:space="preserve"> staged plan ensures short-term solvency restoration followed by long-term value creation.</w:t>
      </w:r>
    </w:p>
    <w:p w14:paraId="4577B9B1" w14:textId="77777777" w:rsidR="00C06B88" w:rsidRPr="00C06B88" w:rsidRDefault="00C06B88" w:rsidP="004B65BA">
      <w:pPr>
        <w:spacing w:line="360" w:lineRule="auto"/>
        <w:rPr>
          <w:rFonts w:ascii="Arial" w:hAnsi="Arial" w:cs="Arial"/>
          <w:b/>
          <w:bCs/>
        </w:rPr>
      </w:pPr>
      <w:r w:rsidRPr="00C06B88">
        <w:rPr>
          <w:rFonts w:ascii="Arial" w:hAnsi="Arial" w:cs="Arial"/>
          <w:b/>
          <w:bCs/>
        </w:rPr>
        <w:t>4.10 Projected Post-Restructuring Financial Outlook (2026)</w:t>
      </w:r>
    </w:p>
    <w:tbl>
      <w:tblPr>
        <w:tblStyle w:val="TableGrid"/>
        <w:tblW w:w="0" w:type="auto"/>
        <w:tblLook w:val="04A0" w:firstRow="1" w:lastRow="0" w:firstColumn="1" w:lastColumn="0" w:noHBand="0" w:noVBand="1"/>
      </w:tblPr>
      <w:tblGrid>
        <w:gridCol w:w="2004"/>
        <w:gridCol w:w="1542"/>
        <w:gridCol w:w="1991"/>
        <w:gridCol w:w="1097"/>
      </w:tblGrid>
      <w:tr w:rsidR="00C06B88" w:rsidRPr="00C06B88" w14:paraId="305EB9F5" w14:textId="77777777" w:rsidTr="00C06B88">
        <w:tc>
          <w:tcPr>
            <w:tcW w:w="0" w:type="auto"/>
            <w:hideMark/>
          </w:tcPr>
          <w:p w14:paraId="1D1B985D"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Metric</w:t>
            </w:r>
          </w:p>
        </w:tc>
        <w:tc>
          <w:tcPr>
            <w:tcW w:w="0" w:type="auto"/>
            <w:hideMark/>
          </w:tcPr>
          <w:p w14:paraId="46B0F230"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2024 Actual</w:t>
            </w:r>
          </w:p>
        </w:tc>
        <w:tc>
          <w:tcPr>
            <w:tcW w:w="0" w:type="auto"/>
            <w:hideMark/>
          </w:tcPr>
          <w:p w14:paraId="0D480371"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2026 Projection</w:t>
            </w:r>
          </w:p>
        </w:tc>
        <w:tc>
          <w:tcPr>
            <w:tcW w:w="0" w:type="auto"/>
            <w:hideMark/>
          </w:tcPr>
          <w:p w14:paraId="1EB8BE06"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Change</w:t>
            </w:r>
          </w:p>
        </w:tc>
      </w:tr>
      <w:tr w:rsidR="00C06B88" w:rsidRPr="00C06B88" w14:paraId="129ADFB3" w14:textId="77777777" w:rsidTr="00C06B88">
        <w:tc>
          <w:tcPr>
            <w:tcW w:w="0" w:type="auto"/>
            <w:hideMark/>
          </w:tcPr>
          <w:p w14:paraId="3D10B44F" w14:textId="77777777" w:rsidR="00C06B88" w:rsidRPr="00C06B88" w:rsidRDefault="00C06B88" w:rsidP="004B65BA">
            <w:pPr>
              <w:spacing w:after="160" w:line="360" w:lineRule="auto"/>
              <w:rPr>
                <w:rFonts w:ascii="Arial" w:hAnsi="Arial" w:cs="Arial"/>
              </w:rPr>
            </w:pPr>
            <w:r w:rsidRPr="00C06B88">
              <w:rPr>
                <w:rFonts w:ascii="Arial" w:hAnsi="Arial" w:cs="Arial"/>
              </w:rPr>
              <w:t>Revenue (£m)</w:t>
            </w:r>
          </w:p>
        </w:tc>
        <w:tc>
          <w:tcPr>
            <w:tcW w:w="0" w:type="auto"/>
            <w:hideMark/>
          </w:tcPr>
          <w:p w14:paraId="44E21F67" w14:textId="77777777" w:rsidR="00C06B88" w:rsidRPr="00C06B88" w:rsidRDefault="00C06B88" w:rsidP="004B65BA">
            <w:pPr>
              <w:spacing w:after="160" w:line="360" w:lineRule="auto"/>
              <w:rPr>
                <w:rFonts w:ascii="Arial" w:hAnsi="Arial" w:cs="Arial"/>
              </w:rPr>
            </w:pPr>
            <w:r w:rsidRPr="00C06B88">
              <w:rPr>
                <w:rFonts w:ascii="Arial" w:hAnsi="Arial" w:cs="Arial"/>
              </w:rPr>
              <w:t>394,879</w:t>
            </w:r>
          </w:p>
        </w:tc>
        <w:tc>
          <w:tcPr>
            <w:tcW w:w="0" w:type="auto"/>
            <w:hideMark/>
          </w:tcPr>
          <w:p w14:paraId="31DB910E" w14:textId="77777777" w:rsidR="00C06B88" w:rsidRPr="00C06B88" w:rsidRDefault="00C06B88" w:rsidP="004B65BA">
            <w:pPr>
              <w:spacing w:after="160" w:line="360" w:lineRule="auto"/>
              <w:rPr>
                <w:rFonts w:ascii="Arial" w:hAnsi="Arial" w:cs="Arial"/>
              </w:rPr>
            </w:pPr>
            <w:r w:rsidRPr="00C06B88">
              <w:rPr>
                <w:rFonts w:ascii="Arial" w:hAnsi="Arial" w:cs="Arial"/>
              </w:rPr>
              <w:t>435,000</w:t>
            </w:r>
          </w:p>
        </w:tc>
        <w:tc>
          <w:tcPr>
            <w:tcW w:w="0" w:type="auto"/>
            <w:hideMark/>
          </w:tcPr>
          <w:p w14:paraId="4F58895F" w14:textId="77777777" w:rsidR="00C06B88" w:rsidRPr="00C06B88" w:rsidRDefault="00C06B88" w:rsidP="004B65BA">
            <w:pPr>
              <w:spacing w:after="160" w:line="360" w:lineRule="auto"/>
              <w:rPr>
                <w:rFonts w:ascii="Arial" w:hAnsi="Arial" w:cs="Arial"/>
              </w:rPr>
            </w:pPr>
            <w:r w:rsidRPr="00C06B88">
              <w:rPr>
                <w:rFonts w:ascii="Arial" w:hAnsi="Arial" w:cs="Arial"/>
              </w:rPr>
              <w:t>+10%</w:t>
            </w:r>
          </w:p>
        </w:tc>
      </w:tr>
      <w:tr w:rsidR="00C06B88" w:rsidRPr="00C06B88" w14:paraId="282647FA" w14:textId="77777777" w:rsidTr="00C06B88">
        <w:tc>
          <w:tcPr>
            <w:tcW w:w="0" w:type="auto"/>
            <w:hideMark/>
          </w:tcPr>
          <w:p w14:paraId="5A8495DD" w14:textId="77777777" w:rsidR="00C06B88" w:rsidRPr="00C06B88" w:rsidRDefault="00C06B88" w:rsidP="004B65BA">
            <w:pPr>
              <w:spacing w:after="160" w:line="360" w:lineRule="auto"/>
              <w:rPr>
                <w:rFonts w:ascii="Arial" w:hAnsi="Arial" w:cs="Arial"/>
              </w:rPr>
            </w:pPr>
            <w:r w:rsidRPr="00C06B88">
              <w:rPr>
                <w:rFonts w:ascii="Arial" w:hAnsi="Arial" w:cs="Arial"/>
              </w:rPr>
              <w:t>EBIT (£m)</w:t>
            </w:r>
          </w:p>
        </w:tc>
        <w:tc>
          <w:tcPr>
            <w:tcW w:w="0" w:type="auto"/>
            <w:hideMark/>
          </w:tcPr>
          <w:p w14:paraId="2B763633" w14:textId="77777777" w:rsidR="00C06B88" w:rsidRPr="00C06B88" w:rsidRDefault="00C06B88" w:rsidP="004B65BA">
            <w:pPr>
              <w:spacing w:after="160" w:line="360" w:lineRule="auto"/>
              <w:rPr>
                <w:rFonts w:ascii="Arial" w:hAnsi="Arial" w:cs="Arial"/>
              </w:rPr>
            </w:pPr>
            <w:r w:rsidRPr="00C06B88">
              <w:rPr>
                <w:rFonts w:ascii="Arial" w:hAnsi="Arial" w:cs="Arial"/>
              </w:rPr>
              <w:t>–15,297</w:t>
            </w:r>
          </w:p>
        </w:tc>
        <w:tc>
          <w:tcPr>
            <w:tcW w:w="0" w:type="auto"/>
            <w:hideMark/>
          </w:tcPr>
          <w:p w14:paraId="710A001E" w14:textId="77777777" w:rsidR="00C06B88" w:rsidRPr="00C06B88" w:rsidRDefault="00C06B88" w:rsidP="004B65BA">
            <w:pPr>
              <w:spacing w:after="160" w:line="360" w:lineRule="auto"/>
              <w:rPr>
                <w:rFonts w:ascii="Arial" w:hAnsi="Arial" w:cs="Arial"/>
              </w:rPr>
            </w:pPr>
            <w:r w:rsidRPr="00C06B88">
              <w:rPr>
                <w:rFonts w:ascii="Arial" w:hAnsi="Arial" w:cs="Arial"/>
              </w:rPr>
              <w:t>20,000</w:t>
            </w:r>
          </w:p>
        </w:tc>
        <w:tc>
          <w:tcPr>
            <w:tcW w:w="0" w:type="auto"/>
            <w:hideMark/>
          </w:tcPr>
          <w:p w14:paraId="27B36494" w14:textId="77777777" w:rsidR="00C06B88" w:rsidRPr="00C06B88" w:rsidRDefault="00C06B88" w:rsidP="004B65BA">
            <w:pPr>
              <w:spacing w:after="160" w:line="360" w:lineRule="auto"/>
              <w:rPr>
                <w:rFonts w:ascii="Arial" w:hAnsi="Arial" w:cs="Arial"/>
              </w:rPr>
            </w:pPr>
            <w:r w:rsidRPr="00C06B88">
              <w:rPr>
                <w:rFonts w:ascii="Arial" w:hAnsi="Arial" w:cs="Arial"/>
              </w:rPr>
              <w:t>+35,297</w:t>
            </w:r>
          </w:p>
        </w:tc>
      </w:tr>
      <w:tr w:rsidR="00C06B88" w:rsidRPr="00C06B88" w14:paraId="39D61E17" w14:textId="77777777" w:rsidTr="00C06B88">
        <w:tc>
          <w:tcPr>
            <w:tcW w:w="0" w:type="auto"/>
            <w:hideMark/>
          </w:tcPr>
          <w:p w14:paraId="5FA3FCDD" w14:textId="77777777" w:rsidR="00C06B88" w:rsidRPr="00C06B88" w:rsidRDefault="00C06B88" w:rsidP="004B65BA">
            <w:pPr>
              <w:spacing w:after="160" w:line="360" w:lineRule="auto"/>
              <w:rPr>
                <w:rFonts w:ascii="Arial" w:hAnsi="Arial" w:cs="Arial"/>
              </w:rPr>
            </w:pPr>
            <w:r w:rsidRPr="00C06B88">
              <w:rPr>
                <w:rFonts w:ascii="Arial" w:hAnsi="Arial" w:cs="Arial"/>
              </w:rPr>
              <w:t>Net Income (£m)</w:t>
            </w:r>
          </w:p>
        </w:tc>
        <w:tc>
          <w:tcPr>
            <w:tcW w:w="0" w:type="auto"/>
            <w:hideMark/>
          </w:tcPr>
          <w:p w14:paraId="31288938" w14:textId="77777777" w:rsidR="00C06B88" w:rsidRPr="00C06B88" w:rsidRDefault="00C06B88" w:rsidP="004B65BA">
            <w:pPr>
              <w:spacing w:after="160" w:line="360" w:lineRule="auto"/>
              <w:rPr>
                <w:rFonts w:ascii="Arial" w:hAnsi="Arial" w:cs="Arial"/>
              </w:rPr>
            </w:pPr>
            <w:r w:rsidRPr="00C06B88">
              <w:rPr>
                <w:rFonts w:ascii="Arial" w:hAnsi="Arial" w:cs="Arial"/>
              </w:rPr>
              <w:t>–24,029</w:t>
            </w:r>
          </w:p>
        </w:tc>
        <w:tc>
          <w:tcPr>
            <w:tcW w:w="0" w:type="auto"/>
            <w:hideMark/>
          </w:tcPr>
          <w:p w14:paraId="7B250880" w14:textId="77777777" w:rsidR="00C06B88" w:rsidRPr="00C06B88" w:rsidRDefault="00C06B88" w:rsidP="004B65BA">
            <w:pPr>
              <w:spacing w:after="160" w:line="360" w:lineRule="auto"/>
              <w:rPr>
                <w:rFonts w:ascii="Arial" w:hAnsi="Arial" w:cs="Arial"/>
              </w:rPr>
            </w:pPr>
            <w:r w:rsidRPr="00C06B88">
              <w:rPr>
                <w:rFonts w:ascii="Arial" w:hAnsi="Arial" w:cs="Arial"/>
              </w:rPr>
              <w:t>8,200</w:t>
            </w:r>
          </w:p>
        </w:tc>
        <w:tc>
          <w:tcPr>
            <w:tcW w:w="0" w:type="auto"/>
            <w:hideMark/>
          </w:tcPr>
          <w:p w14:paraId="56C40A90" w14:textId="77777777" w:rsidR="00C06B88" w:rsidRPr="00C06B88" w:rsidRDefault="00C06B88" w:rsidP="004B65BA">
            <w:pPr>
              <w:spacing w:after="160" w:line="360" w:lineRule="auto"/>
              <w:rPr>
                <w:rFonts w:ascii="Arial" w:hAnsi="Arial" w:cs="Arial"/>
              </w:rPr>
            </w:pPr>
            <w:r w:rsidRPr="00C06B88">
              <w:rPr>
                <w:rFonts w:ascii="Arial" w:hAnsi="Arial" w:cs="Arial"/>
              </w:rPr>
              <w:t>+32,229</w:t>
            </w:r>
          </w:p>
        </w:tc>
      </w:tr>
      <w:tr w:rsidR="00C06B88" w:rsidRPr="00C06B88" w14:paraId="183429B6" w14:textId="77777777" w:rsidTr="00C06B88">
        <w:tc>
          <w:tcPr>
            <w:tcW w:w="0" w:type="auto"/>
            <w:hideMark/>
          </w:tcPr>
          <w:p w14:paraId="664D21C8" w14:textId="77777777" w:rsidR="00C06B88" w:rsidRPr="00C06B88" w:rsidRDefault="00C06B88" w:rsidP="004B65BA">
            <w:pPr>
              <w:spacing w:after="160" w:line="360" w:lineRule="auto"/>
              <w:rPr>
                <w:rFonts w:ascii="Arial" w:hAnsi="Arial" w:cs="Arial"/>
              </w:rPr>
            </w:pPr>
            <w:r w:rsidRPr="00C06B88">
              <w:rPr>
                <w:rFonts w:ascii="Arial" w:hAnsi="Arial" w:cs="Arial"/>
              </w:rPr>
              <w:t>D/E Ratio</w:t>
            </w:r>
          </w:p>
        </w:tc>
        <w:tc>
          <w:tcPr>
            <w:tcW w:w="0" w:type="auto"/>
            <w:hideMark/>
          </w:tcPr>
          <w:p w14:paraId="3815F629" w14:textId="77777777" w:rsidR="00C06B88" w:rsidRPr="00C06B88" w:rsidRDefault="00C06B88" w:rsidP="004B65BA">
            <w:pPr>
              <w:spacing w:after="160" w:line="360" w:lineRule="auto"/>
              <w:rPr>
                <w:rFonts w:ascii="Arial" w:hAnsi="Arial" w:cs="Arial"/>
              </w:rPr>
            </w:pPr>
            <w:r w:rsidRPr="00C06B88">
              <w:rPr>
                <w:rFonts w:ascii="Arial" w:hAnsi="Arial" w:cs="Arial"/>
              </w:rPr>
              <w:t>1.11</w:t>
            </w:r>
          </w:p>
        </w:tc>
        <w:tc>
          <w:tcPr>
            <w:tcW w:w="0" w:type="auto"/>
            <w:hideMark/>
          </w:tcPr>
          <w:p w14:paraId="3D914A14" w14:textId="77777777" w:rsidR="00C06B88" w:rsidRPr="00C06B88" w:rsidRDefault="00C06B88" w:rsidP="004B65BA">
            <w:pPr>
              <w:spacing w:after="160" w:line="360" w:lineRule="auto"/>
              <w:rPr>
                <w:rFonts w:ascii="Arial" w:hAnsi="Arial" w:cs="Arial"/>
              </w:rPr>
            </w:pPr>
            <w:r w:rsidRPr="00C06B88">
              <w:rPr>
                <w:rFonts w:ascii="Arial" w:hAnsi="Arial" w:cs="Arial"/>
              </w:rPr>
              <w:t>0.80</w:t>
            </w:r>
          </w:p>
        </w:tc>
        <w:tc>
          <w:tcPr>
            <w:tcW w:w="0" w:type="auto"/>
            <w:hideMark/>
          </w:tcPr>
          <w:p w14:paraId="09D3AA2D" w14:textId="77777777" w:rsidR="00C06B88" w:rsidRPr="00C06B88" w:rsidRDefault="00C06B88" w:rsidP="004B65BA">
            <w:pPr>
              <w:spacing w:after="160" w:line="360" w:lineRule="auto"/>
              <w:rPr>
                <w:rFonts w:ascii="Arial" w:hAnsi="Arial" w:cs="Arial"/>
              </w:rPr>
            </w:pPr>
            <w:r w:rsidRPr="00C06B88">
              <w:rPr>
                <w:rFonts w:ascii="Arial" w:hAnsi="Arial" w:cs="Arial"/>
              </w:rPr>
              <w:t>–0.31</w:t>
            </w:r>
          </w:p>
        </w:tc>
      </w:tr>
      <w:tr w:rsidR="00C06B88" w:rsidRPr="00C06B88" w14:paraId="3A3B9AFA" w14:textId="77777777" w:rsidTr="00C06B88">
        <w:tc>
          <w:tcPr>
            <w:tcW w:w="0" w:type="auto"/>
            <w:hideMark/>
          </w:tcPr>
          <w:p w14:paraId="2430E8C9" w14:textId="77777777" w:rsidR="00C06B88" w:rsidRPr="00C06B88" w:rsidRDefault="00C06B88" w:rsidP="004B65BA">
            <w:pPr>
              <w:spacing w:after="160" w:line="360" w:lineRule="auto"/>
              <w:rPr>
                <w:rFonts w:ascii="Arial" w:hAnsi="Arial" w:cs="Arial"/>
              </w:rPr>
            </w:pPr>
            <w:r w:rsidRPr="00C06B88">
              <w:rPr>
                <w:rFonts w:ascii="Arial" w:hAnsi="Arial" w:cs="Arial"/>
              </w:rPr>
              <w:t>Current Ratio</w:t>
            </w:r>
          </w:p>
        </w:tc>
        <w:tc>
          <w:tcPr>
            <w:tcW w:w="0" w:type="auto"/>
            <w:hideMark/>
          </w:tcPr>
          <w:p w14:paraId="035F2D4E" w14:textId="77777777" w:rsidR="00C06B88" w:rsidRPr="00C06B88" w:rsidRDefault="00C06B88" w:rsidP="004B65BA">
            <w:pPr>
              <w:spacing w:after="160" w:line="360" w:lineRule="auto"/>
              <w:rPr>
                <w:rFonts w:ascii="Arial" w:hAnsi="Arial" w:cs="Arial"/>
              </w:rPr>
            </w:pPr>
            <w:r w:rsidRPr="00C06B88">
              <w:rPr>
                <w:rFonts w:ascii="Arial" w:hAnsi="Arial" w:cs="Arial"/>
              </w:rPr>
              <w:t>1.53</w:t>
            </w:r>
          </w:p>
        </w:tc>
        <w:tc>
          <w:tcPr>
            <w:tcW w:w="0" w:type="auto"/>
            <w:hideMark/>
          </w:tcPr>
          <w:p w14:paraId="7559CB58" w14:textId="77777777" w:rsidR="00C06B88" w:rsidRPr="00C06B88" w:rsidRDefault="00C06B88" w:rsidP="004B65BA">
            <w:pPr>
              <w:spacing w:after="160" w:line="360" w:lineRule="auto"/>
              <w:rPr>
                <w:rFonts w:ascii="Arial" w:hAnsi="Arial" w:cs="Arial"/>
              </w:rPr>
            </w:pPr>
            <w:r w:rsidRPr="00C06B88">
              <w:rPr>
                <w:rFonts w:ascii="Arial" w:hAnsi="Arial" w:cs="Arial"/>
              </w:rPr>
              <w:t>1.80</w:t>
            </w:r>
          </w:p>
        </w:tc>
        <w:tc>
          <w:tcPr>
            <w:tcW w:w="0" w:type="auto"/>
            <w:hideMark/>
          </w:tcPr>
          <w:p w14:paraId="10DAF026" w14:textId="77777777" w:rsidR="00C06B88" w:rsidRPr="00C06B88" w:rsidRDefault="00C06B88" w:rsidP="004B65BA">
            <w:pPr>
              <w:spacing w:after="160" w:line="360" w:lineRule="auto"/>
              <w:rPr>
                <w:rFonts w:ascii="Arial" w:hAnsi="Arial" w:cs="Arial"/>
              </w:rPr>
            </w:pPr>
            <w:r w:rsidRPr="00C06B88">
              <w:rPr>
                <w:rFonts w:ascii="Arial" w:hAnsi="Arial" w:cs="Arial"/>
              </w:rPr>
              <w:t>+0.27</w:t>
            </w:r>
          </w:p>
        </w:tc>
      </w:tr>
    </w:tbl>
    <w:p w14:paraId="0E6DA641" w14:textId="77777777" w:rsidR="00D824DC" w:rsidRDefault="00C06B88" w:rsidP="004B65BA">
      <w:pPr>
        <w:spacing w:line="360" w:lineRule="auto"/>
        <w:rPr>
          <w:rFonts w:ascii="Arial" w:hAnsi="Arial" w:cs="Arial"/>
          <w:i/>
          <w:iCs/>
        </w:rPr>
      </w:pPr>
      <w:r w:rsidRPr="00C06B88">
        <w:rPr>
          <w:rFonts w:ascii="Arial" w:hAnsi="Arial" w:cs="Arial"/>
          <w:i/>
          <w:iCs/>
        </w:rPr>
        <w:t>(Author’s forecast based on restructuring impacts)</w:t>
      </w:r>
      <w:r w:rsidR="00D824DC">
        <w:rPr>
          <w:rFonts w:ascii="Arial" w:hAnsi="Arial" w:cs="Arial"/>
          <w:i/>
          <w:iCs/>
        </w:rPr>
        <w:t xml:space="preserve"> </w:t>
      </w:r>
    </w:p>
    <w:p w14:paraId="5879899F" w14:textId="77777777" w:rsidR="00D75139" w:rsidRDefault="00D824DC" w:rsidP="00C465E2">
      <w:pPr>
        <w:spacing w:line="360" w:lineRule="auto"/>
        <w:jc w:val="both"/>
        <w:rPr>
          <w:rFonts w:ascii="Arial" w:hAnsi="Arial" w:cs="Arial"/>
        </w:rPr>
      </w:pPr>
      <w:r w:rsidRPr="00D824DC">
        <w:rPr>
          <w:rFonts w:ascii="Arial" w:hAnsi="Arial" w:cs="Arial"/>
          <w:b/>
          <w:bCs/>
        </w:rPr>
        <w:t>Interpretation</w:t>
      </w:r>
      <w:r>
        <w:rPr>
          <w:rFonts w:ascii="Arial" w:hAnsi="Arial" w:cs="Arial"/>
        </w:rPr>
        <w:t xml:space="preserve">: </w:t>
      </w:r>
      <w:r w:rsidR="00D75139" w:rsidRPr="00D75139">
        <w:rPr>
          <w:rFonts w:ascii="Arial" w:hAnsi="Arial" w:cs="Arial"/>
        </w:rPr>
        <w:t>The projections reveal a believable turn-around path, in which net losses are converted to profits within two years as efficiency gains and lower financing costs kick in.</w:t>
      </w:r>
    </w:p>
    <w:p w14:paraId="28C91686" w14:textId="2E3593F2" w:rsidR="00C06B88" w:rsidRPr="00C06B88" w:rsidRDefault="00C06B88" w:rsidP="00C465E2">
      <w:pPr>
        <w:spacing w:line="360" w:lineRule="auto"/>
        <w:jc w:val="both"/>
        <w:rPr>
          <w:rFonts w:ascii="Arial" w:hAnsi="Arial" w:cs="Arial"/>
          <w:b/>
          <w:bCs/>
        </w:rPr>
      </w:pPr>
      <w:r w:rsidRPr="00C06B88">
        <w:rPr>
          <w:rFonts w:ascii="Arial" w:hAnsi="Arial" w:cs="Arial"/>
          <w:b/>
          <w:bCs/>
        </w:rPr>
        <w:t>4.11 Summary of Restructuring Plan</w:t>
      </w:r>
    </w:p>
    <w:p w14:paraId="43C341A3" w14:textId="77777777" w:rsidR="00D75139" w:rsidRDefault="00D75139" w:rsidP="00C465E2">
      <w:pPr>
        <w:spacing w:line="360" w:lineRule="auto"/>
        <w:jc w:val="both"/>
        <w:rPr>
          <w:rFonts w:ascii="Arial" w:hAnsi="Arial" w:cs="Arial"/>
        </w:rPr>
      </w:pPr>
      <w:r w:rsidRPr="00D75139">
        <w:rPr>
          <w:rFonts w:ascii="Arial" w:hAnsi="Arial" w:cs="Arial"/>
        </w:rPr>
        <w:t>The proposed restructuring strikes a balance on three critical dimensions: financing, operations, and governance. This will transform GE from an overly leveraged and loss-incurring company into a lean and equity-strengthened entity, ready for innovation and globalization. Improvement in WACC, liquidity, and operational agility will help the company regain stakeholder confidence and build long-term shareholder value.</w:t>
      </w:r>
    </w:p>
    <w:p w14:paraId="6E280553" w14:textId="646CFA17" w:rsidR="00C06B88" w:rsidRPr="00C06B88" w:rsidRDefault="00C06B88" w:rsidP="00C465E2">
      <w:pPr>
        <w:spacing w:line="360" w:lineRule="auto"/>
        <w:jc w:val="both"/>
        <w:rPr>
          <w:rFonts w:ascii="Arial" w:hAnsi="Arial" w:cs="Arial"/>
          <w:b/>
          <w:bCs/>
        </w:rPr>
      </w:pPr>
      <w:r w:rsidRPr="00C06B88">
        <w:rPr>
          <w:rFonts w:ascii="Arial" w:hAnsi="Arial" w:cs="Arial"/>
          <w:b/>
          <w:bCs/>
        </w:rPr>
        <w:t xml:space="preserve">5. Section 4: Investment Appraisal and Capital Budgeting </w:t>
      </w:r>
    </w:p>
    <w:p w14:paraId="106122B6" w14:textId="77777777" w:rsidR="00C06B88" w:rsidRPr="00C06B88" w:rsidRDefault="00C06B88" w:rsidP="00C465E2">
      <w:pPr>
        <w:spacing w:line="360" w:lineRule="auto"/>
        <w:jc w:val="both"/>
        <w:rPr>
          <w:rFonts w:ascii="Arial" w:hAnsi="Arial" w:cs="Arial"/>
          <w:b/>
          <w:bCs/>
        </w:rPr>
      </w:pPr>
      <w:r w:rsidRPr="00C06B88">
        <w:rPr>
          <w:rFonts w:ascii="Arial" w:hAnsi="Arial" w:cs="Arial"/>
          <w:b/>
          <w:bCs/>
        </w:rPr>
        <w:t>5.1 Overview</w:t>
      </w:r>
    </w:p>
    <w:p w14:paraId="4D7C3148" w14:textId="77777777" w:rsidR="005A6C2F" w:rsidRDefault="005A6C2F" w:rsidP="00C465E2">
      <w:pPr>
        <w:spacing w:line="360" w:lineRule="auto"/>
        <w:jc w:val="both"/>
        <w:rPr>
          <w:rFonts w:ascii="Arial" w:hAnsi="Arial" w:cs="Arial"/>
        </w:rPr>
      </w:pPr>
      <w:r w:rsidRPr="005A6C2F">
        <w:rPr>
          <w:rFonts w:ascii="Arial" w:hAnsi="Arial" w:cs="Arial"/>
        </w:rPr>
        <w:t xml:space="preserve">With short-term liquidity stabilised and restructuring underway, the CFO must now assess investment options that can generate sustainable long-term returns. Three projects—A, B, and C—are proposed, each requiring an initial capital outlay followed by multi-year cash inflows. Given the capital constraint of £60 million, careful investment appraisal is essential. This section applies PBP, ARR, NPV, PI, and IRR, </w:t>
      </w:r>
      <w:r w:rsidRPr="005A6C2F">
        <w:rPr>
          <w:rFonts w:ascii="Arial" w:hAnsi="Arial" w:cs="Arial"/>
        </w:rPr>
        <w:lastRenderedPageBreak/>
        <w:t>using the project costs and cash inflows provided in the assignment brief and a 10% discount rate. Straight-line depreciation to zero residual value is assumed, and all monetary values are expressed in £ millions and rounded to two decimals.</w:t>
      </w:r>
    </w:p>
    <w:p w14:paraId="30C3CCE5" w14:textId="07AE86F6" w:rsidR="00C06B88" w:rsidRPr="00C06B88" w:rsidRDefault="00C06B88" w:rsidP="004B65BA">
      <w:pPr>
        <w:spacing w:line="360" w:lineRule="auto"/>
        <w:rPr>
          <w:rFonts w:ascii="Arial" w:hAnsi="Arial" w:cs="Arial"/>
          <w:b/>
          <w:bCs/>
        </w:rPr>
      </w:pPr>
      <w:r w:rsidRPr="00C06B88">
        <w:rPr>
          <w:rFonts w:ascii="Arial" w:hAnsi="Arial" w:cs="Arial"/>
          <w:b/>
          <w:bCs/>
        </w:rPr>
        <w:t>5.2 Project Cash Flows</w:t>
      </w:r>
    </w:p>
    <w:tbl>
      <w:tblPr>
        <w:tblStyle w:val="TableGrid"/>
        <w:tblW w:w="0" w:type="auto"/>
        <w:tblLook w:val="04A0" w:firstRow="1" w:lastRow="0" w:firstColumn="1" w:lastColumn="0" w:noHBand="0" w:noVBand="1"/>
      </w:tblPr>
      <w:tblGrid>
        <w:gridCol w:w="724"/>
        <w:gridCol w:w="1261"/>
        <w:gridCol w:w="1270"/>
        <w:gridCol w:w="1270"/>
      </w:tblGrid>
      <w:tr w:rsidR="00C06B88" w:rsidRPr="00C06B88" w14:paraId="60C24E65" w14:textId="77777777" w:rsidTr="00C06B88">
        <w:tc>
          <w:tcPr>
            <w:tcW w:w="0" w:type="auto"/>
            <w:hideMark/>
          </w:tcPr>
          <w:p w14:paraId="629833C6"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Year</w:t>
            </w:r>
          </w:p>
        </w:tc>
        <w:tc>
          <w:tcPr>
            <w:tcW w:w="0" w:type="auto"/>
            <w:hideMark/>
          </w:tcPr>
          <w:p w14:paraId="040710D2"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 A</w:t>
            </w:r>
          </w:p>
        </w:tc>
        <w:tc>
          <w:tcPr>
            <w:tcW w:w="0" w:type="auto"/>
            <w:hideMark/>
          </w:tcPr>
          <w:p w14:paraId="1E1CEC42"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 B</w:t>
            </w:r>
          </w:p>
        </w:tc>
        <w:tc>
          <w:tcPr>
            <w:tcW w:w="0" w:type="auto"/>
            <w:hideMark/>
          </w:tcPr>
          <w:p w14:paraId="56A05AA5"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 C</w:t>
            </w:r>
          </w:p>
        </w:tc>
      </w:tr>
      <w:tr w:rsidR="00C06B88" w:rsidRPr="00C06B88" w14:paraId="58557D67" w14:textId="77777777" w:rsidTr="00C06B88">
        <w:tc>
          <w:tcPr>
            <w:tcW w:w="0" w:type="auto"/>
            <w:hideMark/>
          </w:tcPr>
          <w:p w14:paraId="19466C75" w14:textId="77777777" w:rsidR="00C06B88" w:rsidRPr="00C06B88" w:rsidRDefault="00C06B88" w:rsidP="004B65BA">
            <w:pPr>
              <w:spacing w:after="160" w:line="360" w:lineRule="auto"/>
              <w:rPr>
                <w:rFonts w:ascii="Arial" w:hAnsi="Arial" w:cs="Arial"/>
              </w:rPr>
            </w:pPr>
            <w:r w:rsidRPr="00C06B88">
              <w:rPr>
                <w:rFonts w:ascii="Arial" w:hAnsi="Arial" w:cs="Arial"/>
              </w:rPr>
              <w:t>0</w:t>
            </w:r>
          </w:p>
        </w:tc>
        <w:tc>
          <w:tcPr>
            <w:tcW w:w="0" w:type="auto"/>
            <w:hideMark/>
          </w:tcPr>
          <w:p w14:paraId="3DBB9055" w14:textId="77777777" w:rsidR="00C06B88" w:rsidRPr="00C06B88" w:rsidRDefault="00C06B88" w:rsidP="004B65BA">
            <w:pPr>
              <w:spacing w:after="160" w:line="360" w:lineRule="auto"/>
              <w:rPr>
                <w:rFonts w:ascii="Arial" w:hAnsi="Arial" w:cs="Arial"/>
              </w:rPr>
            </w:pPr>
            <w:r w:rsidRPr="00C06B88">
              <w:rPr>
                <w:rFonts w:ascii="Arial" w:hAnsi="Arial" w:cs="Arial"/>
              </w:rPr>
              <w:t>(40.00)</w:t>
            </w:r>
          </w:p>
        </w:tc>
        <w:tc>
          <w:tcPr>
            <w:tcW w:w="0" w:type="auto"/>
            <w:hideMark/>
          </w:tcPr>
          <w:p w14:paraId="5F9CDFD3" w14:textId="77777777" w:rsidR="00C06B88" w:rsidRPr="00C06B88" w:rsidRDefault="00C06B88" w:rsidP="004B65BA">
            <w:pPr>
              <w:spacing w:after="160" w:line="360" w:lineRule="auto"/>
              <w:rPr>
                <w:rFonts w:ascii="Arial" w:hAnsi="Arial" w:cs="Arial"/>
              </w:rPr>
            </w:pPr>
            <w:r w:rsidRPr="00C06B88">
              <w:rPr>
                <w:rFonts w:ascii="Arial" w:hAnsi="Arial" w:cs="Arial"/>
              </w:rPr>
              <w:t>(30.00)</w:t>
            </w:r>
          </w:p>
        </w:tc>
        <w:tc>
          <w:tcPr>
            <w:tcW w:w="0" w:type="auto"/>
            <w:hideMark/>
          </w:tcPr>
          <w:p w14:paraId="20437E6A" w14:textId="77777777" w:rsidR="00C06B88" w:rsidRPr="00C06B88" w:rsidRDefault="00C06B88" w:rsidP="004B65BA">
            <w:pPr>
              <w:spacing w:after="160" w:line="360" w:lineRule="auto"/>
              <w:rPr>
                <w:rFonts w:ascii="Arial" w:hAnsi="Arial" w:cs="Arial"/>
              </w:rPr>
            </w:pPr>
            <w:r w:rsidRPr="00C06B88">
              <w:rPr>
                <w:rFonts w:ascii="Arial" w:hAnsi="Arial" w:cs="Arial"/>
              </w:rPr>
              <w:t>(50.00)</w:t>
            </w:r>
          </w:p>
        </w:tc>
      </w:tr>
      <w:tr w:rsidR="00C06B88" w:rsidRPr="00C06B88" w14:paraId="775FBD92" w14:textId="77777777" w:rsidTr="00C06B88">
        <w:tc>
          <w:tcPr>
            <w:tcW w:w="0" w:type="auto"/>
            <w:hideMark/>
          </w:tcPr>
          <w:p w14:paraId="62B8AA8A" w14:textId="77777777" w:rsidR="00C06B88" w:rsidRPr="00C06B88" w:rsidRDefault="00C06B88" w:rsidP="004B65BA">
            <w:pPr>
              <w:spacing w:after="160" w:line="360" w:lineRule="auto"/>
              <w:rPr>
                <w:rFonts w:ascii="Arial" w:hAnsi="Arial" w:cs="Arial"/>
              </w:rPr>
            </w:pPr>
            <w:r w:rsidRPr="00C06B88">
              <w:rPr>
                <w:rFonts w:ascii="Arial" w:hAnsi="Arial" w:cs="Arial"/>
              </w:rPr>
              <w:t>1</w:t>
            </w:r>
          </w:p>
        </w:tc>
        <w:tc>
          <w:tcPr>
            <w:tcW w:w="0" w:type="auto"/>
            <w:hideMark/>
          </w:tcPr>
          <w:p w14:paraId="61734CF8" w14:textId="77777777" w:rsidR="00C06B88" w:rsidRPr="00C06B88" w:rsidRDefault="00C06B88" w:rsidP="004B65BA">
            <w:pPr>
              <w:spacing w:after="160" w:line="360" w:lineRule="auto"/>
              <w:rPr>
                <w:rFonts w:ascii="Arial" w:hAnsi="Arial" w:cs="Arial"/>
              </w:rPr>
            </w:pPr>
            <w:r w:rsidRPr="00C06B88">
              <w:rPr>
                <w:rFonts w:ascii="Arial" w:hAnsi="Arial" w:cs="Arial"/>
              </w:rPr>
              <w:t>10.00</w:t>
            </w:r>
          </w:p>
        </w:tc>
        <w:tc>
          <w:tcPr>
            <w:tcW w:w="0" w:type="auto"/>
            <w:hideMark/>
          </w:tcPr>
          <w:p w14:paraId="1F5CA1F5"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3FBE0201" w14:textId="77777777" w:rsidR="00C06B88" w:rsidRPr="00C06B88" w:rsidRDefault="00C06B88" w:rsidP="004B65BA">
            <w:pPr>
              <w:spacing w:after="160" w:line="360" w:lineRule="auto"/>
              <w:rPr>
                <w:rFonts w:ascii="Arial" w:hAnsi="Arial" w:cs="Arial"/>
              </w:rPr>
            </w:pPr>
            <w:r w:rsidRPr="00C06B88">
              <w:rPr>
                <w:rFonts w:ascii="Arial" w:hAnsi="Arial" w:cs="Arial"/>
              </w:rPr>
              <w:t>5.00</w:t>
            </w:r>
          </w:p>
        </w:tc>
      </w:tr>
      <w:tr w:rsidR="00C06B88" w:rsidRPr="00C06B88" w14:paraId="2E579A37" w14:textId="77777777" w:rsidTr="00C06B88">
        <w:tc>
          <w:tcPr>
            <w:tcW w:w="0" w:type="auto"/>
            <w:hideMark/>
          </w:tcPr>
          <w:p w14:paraId="2EF888BF" w14:textId="77777777" w:rsidR="00C06B88" w:rsidRPr="00C06B88" w:rsidRDefault="00C06B88" w:rsidP="004B65BA">
            <w:pPr>
              <w:spacing w:after="160" w:line="360" w:lineRule="auto"/>
              <w:rPr>
                <w:rFonts w:ascii="Arial" w:hAnsi="Arial" w:cs="Arial"/>
              </w:rPr>
            </w:pPr>
            <w:r w:rsidRPr="00C06B88">
              <w:rPr>
                <w:rFonts w:ascii="Arial" w:hAnsi="Arial" w:cs="Arial"/>
              </w:rPr>
              <w:t>2</w:t>
            </w:r>
          </w:p>
        </w:tc>
        <w:tc>
          <w:tcPr>
            <w:tcW w:w="0" w:type="auto"/>
            <w:hideMark/>
          </w:tcPr>
          <w:p w14:paraId="0FA2C0DC" w14:textId="77777777" w:rsidR="00C06B88" w:rsidRPr="00C06B88" w:rsidRDefault="00C06B88" w:rsidP="004B65BA">
            <w:pPr>
              <w:spacing w:after="160" w:line="360" w:lineRule="auto"/>
              <w:rPr>
                <w:rFonts w:ascii="Arial" w:hAnsi="Arial" w:cs="Arial"/>
              </w:rPr>
            </w:pPr>
            <w:r w:rsidRPr="00C06B88">
              <w:rPr>
                <w:rFonts w:ascii="Arial" w:hAnsi="Arial" w:cs="Arial"/>
              </w:rPr>
              <w:t>12.00</w:t>
            </w:r>
          </w:p>
        </w:tc>
        <w:tc>
          <w:tcPr>
            <w:tcW w:w="0" w:type="auto"/>
            <w:hideMark/>
          </w:tcPr>
          <w:p w14:paraId="71CD779C"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727284A5" w14:textId="77777777" w:rsidR="00C06B88" w:rsidRPr="00C06B88" w:rsidRDefault="00C06B88" w:rsidP="004B65BA">
            <w:pPr>
              <w:spacing w:after="160" w:line="360" w:lineRule="auto"/>
              <w:rPr>
                <w:rFonts w:ascii="Arial" w:hAnsi="Arial" w:cs="Arial"/>
              </w:rPr>
            </w:pPr>
            <w:r w:rsidRPr="00C06B88">
              <w:rPr>
                <w:rFonts w:ascii="Arial" w:hAnsi="Arial" w:cs="Arial"/>
              </w:rPr>
              <w:t>10.00</w:t>
            </w:r>
          </w:p>
        </w:tc>
      </w:tr>
      <w:tr w:rsidR="00C06B88" w:rsidRPr="00C06B88" w14:paraId="36F0AB84" w14:textId="77777777" w:rsidTr="00C06B88">
        <w:tc>
          <w:tcPr>
            <w:tcW w:w="0" w:type="auto"/>
            <w:hideMark/>
          </w:tcPr>
          <w:p w14:paraId="71C3F596" w14:textId="77777777" w:rsidR="00C06B88" w:rsidRPr="00C06B88" w:rsidRDefault="00C06B88" w:rsidP="004B65BA">
            <w:pPr>
              <w:spacing w:after="160" w:line="360" w:lineRule="auto"/>
              <w:rPr>
                <w:rFonts w:ascii="Arial" w:hAnsi="Arial" w:cs="Arial"/>
              </w:rPr>
            </w:pPr>
            <w:r w:rsidRPr="00C06B88">
              <w:rPr>
                <w:rFonts w:ascii="Arial" w:hAnsi="Arial" w:cs="Arial"/>
              </w:rPr>
              <w:t>3</w:t>
            </w:r>
          </w:p>
        </w:tc>
        <w:tc>
          <w:tcPr>
            <w:tcW w:w="0" w:type="auto"/>
            <w:hideMark/>
          </w:tcPr>
          <w:p w14:paraId="05B171E2" w14:textId="77777777" w:rsidR="00C06B88" w:rsidRPr="00C06B88" w:rsidRDefault="00C06B88" w:rsidP="004B65BA">
            <w:pPr>
              <w:spacing w:after="160" w:line="360" w:lineRule="auto"/>
              <w:rPr>
                <w:rFonts w:ascii="Arial" w:hAnsi="Arial" w:cs="Arial"/>
              </w:rPr>
            </w:pPr>
            <w:r w:rsidRPr="00C06B88">
              <w:rPr>
                <w:rFonts w:ascii="Arial" w:hAnsi="Arial" w:cs="Arial"/>
              </w:rPr>
              <w:t>14.00</w:t>
            </w:r>
          </w:p>
        </w:tc>
        <w:tc>
          <w:tcPr>
            <w:tcW w:w="0" w:type="auto"/>
            <w:hideMark/>
          </w:tcPr>
          <w:p w14:paraId="036A9E48"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2C46E5F5" w14:textId="77777777" w:rsidR="00C06B88" w:rsidRPr="00C06B88" w:rsidRDefault="00C06B88" w:rsidP="004B65BA">
            <w:pPr>
              <w:spacing w:after="160" w:line="360" w:lineRule="auto"/>
              <w:rPr>
                <w:rFonts w:ascii="Arial" w:hAnsi="Arial" w:cs="Arial"/>
              </w:rPr>
            </w:pPr>
            <w:r w:rsidRPr="00C06B88">
              <w:rPr>
                <w:rFonts w:ascii="Arial" w:hAnsi="Arial" w:cs="Arial"/>
              </w:rPr>
              <w:t>20.00</w:t>
            </w:r>
          </w:p>
        </w:tc>
      </w:tr>
      <w:tr w:rsidR="00C06B88" w:rsidRPr="00C06B88" w14:paraId="5A6027DA" w14:textId="77777777" w:rsidTr="00C06B88">
        <w:tc>
          <w:tcPr>
            <w:tcW w:w="0" w:type="auto"/>
            <w:hideMark/>
          </w:tcPr>
          <w:p w14:paraId="49F0B3AE" w14:textId="77777777" w:rsidR="00C06B88" w:rsidRPr="00C06B88" w:rsidRDefault="00C06B88" w:rsidP="004B65BA">
            <w:pPr>
              <w:spacing w:after="160" w:line="360" w:lineRule="auto"/>
              <w:rPr>
                <w:rFonts w:ascii="Arial" w:hAnsi="Arial" w:cs="Arial"/>
              </w:rPr>
            </w:pPr>
            <w:r w:rsidRPr="00C06B88">
              <w:rPr>
                <w:rFonts w:ascii="Arial" w:hAnsi="Arial" w:cs="Arial"/>
              </w:rPr>
              <w:t>4</w:t>
            </w:r>
          </w:p>
        </w:tc>
        <w:tc>
          <w:tcPr>
            <w:tcW w:w="0" w:type="auto"/>
            <w:hideMark/>
          </w:tcPr>
          <w:p w14:paraId="3229F40D" w14:textId="77777777" w:rsidR="00C06B88" w:rsidRPr="00C06B88" w:rsidRDefault="00C06B88" w:rsidP="004B65BA">
            <w:pPr>
              <w:spacing w:after="160" w:line="360" w:lineRule="auto"/>
              <w:rPr>
                <w:rFonts w:ascii="Arial" w:hAnsi="Arial" w:cs="Arial"/>
              </w:rPr>
            </w:pPr>
            <w:r w:rsidRPr="00C06B88">
              <w:rPr>
                <w:rFonts w:ascii="Arial" w:hAnsi="Arial" w:cs="Arial"/>
              </w:rPr>
              <w:t>10.00</w:t>
            </w:r>
          </w:p>
        </w:tc>
        <w:tc>
          <w:tcPr>
            <w:tcW w:w="0" w:type="auto"/>
            <w:hideMark/>
          </w:tcPr>
          <w:p w14:paraId="0E846866"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08A5C416" w14:textId="77777777" w:rsidR="00C06B88" w:rsidRPr="00C06B88" w:rsidRDefault="00C06B88" w:rsidP="004B65BA">
            <w:pPr>
              <w:spacing w:after="160" w:line="360" w:lineRule="auto"/>
              <w:rPr>
                <w:rFonts w:ascii="Arial" w:hAnsi="Arial" w:cs="Arial"/>
              </w:rPr>
            </w:pPr>
            <w:r w:rsidRPr="00C06B88">
              <w:rPr>
                <w:rFonts w:ascii="Arial" w:hAnsi="Arial" w:cs="Arial"/>
              </w:rPr>
              <w:t>25.00</w:t>
            </w:r>
          </w:p>
        </w:tc>
      </w:tr>
      <w:tr w:rsidR="00C06B88" w:rsidRPr="00C06B88" w14:paraId="4BDD389A" w14:textId="77777777" w:rsidTr="00C06B88">
        <w:tc>
          <w:tcPr>
            <w:tcW w:w="0" w:type="auto"/>
            <w:hideMark/>
          </w:tcPr>
          <w:p w14:paraId="35E5C850" w14:textId="77777777" w:rsidR="00C06B88" w:rsidRPr="00C06B88" w:rsidRDefault="00C06B88" w:rsidP="004B65BA">
            <w:pPr>
              <w:spacing w:after="160" w:line="360" w:lineRule="auto"/>
              <w:rPr>
                <w:rFonts w:ascii="Arial" w:hAnsi="Arial" w:cs="Arial"/>
              </w:rPr>
            </w:pPr>
            <w:r w:rsidRPr="00C06B88">
              <w:rPr>
                <w:rFonts w:ascii="Arial" w:hAnsi="Arial" w:cs="Arial"/>
              </w:rPr>
              <w:t>5</w:t>
            </w:r>
          </w:p>
        </w:tc>
        <w:tc>
          <w:tcPr>
            <w:tcW w:w="0" w:type="auto"/>
            <w:hideMark/>
          </w:tcPr>
          <w:p w14:paraId="4B42710A" w14:textId="77777777" w:rsidR="00C06B88" w:rsidRPr="00C06B88" w:rsidRDefault="00C06B88" w:rsidP="004B65BA">
            <w:pPr>
              <w:spacing w:after="160" w:line="360" w:lineRule="auto"/>
              <w:rPr>
                <w:rFonts w:ascii="Arial" w:hAnsi="Arial" w:cs="Arial"/>
              </w:rPr>
            </w:pPr>
            <w:r w:rsidRPr="00C06B88">
              <w:rPr>
                <w:rFonts w:ascii="Arial" w:hAnsi="Arial" w:cs="Arial"/>
              </w:rPr>
              <w:t>8.00</w:t>
            </w:r>
          </w:p>
        </w:tc>
        <w:tc>
          <w:tcPr>
            <w:tcW w:w="0" w:type="auto"/>
            <w:hideMark/>
          </w:tcPr>
          <w:p w14:paraId="4EF76D84" w14:textId="77777777" w:rsidR="00C06B88" w:rsidRPr="00C06B88" w:rsidRDefault="00C06B88" w:rsidP="004B65BA">
            <w:pPr>
              <w:spacing w:after="160" w:line="360" w:lineRule="auto"/>
              <w:rPr>
                <w:rFonts w:ascii="Arial" w:hAnsi="Arial" w:cs="Arial"/>
              </w:rPr>
            </w:pPr>
            <w:r w:rsidRPr="00C06B88">
              <w:rPr>
                <w:rFonts w:ascii="Arial" w:hAnsi="Arial" w:cs="Arial"/>
              </w:rPr>
              <w:t>6.00</w:t>
            </w:r>
          </w:p>
        </w:tc>
        <w:tc>
          <w:tcPr>
            <w:tcW w:w="0" w:type="auto"/>
            <w:hideMark/>
          </w:tcPr>
          <w:p w14:paraId="0531357A" w14:textId="77777777" w:rsidR="00C06B88" w:rsidRPr="00C06B88" w:rsidRDefault="00C06B88" w:rsidP="004B65BA">
            <w:pPr>
              <w:spacing w:after="160" w:line="360" w:lineRule="auto"/>
              <w:rPr>
                <w:rFonts w:ascii="Arial" w:hAnsi="Arial" w:cs="Arial"/>
              </w:rPr>
            </w:pPr>
            <w:r w:rsidRPr="00C06B88">
              <w:rPr>
                <w:rFonts w:ascii="Arial" w:hAnsi="Arial" w:cs="Arial"/>
              </w:rPr>
              <w:t>15.00</w:t>
            </w:r>
          </w:p>
        </w:tc>
      </w:tr>
    </w:tbl>
    <w:p w14:paraId="353B9D47" w14:textId="0AB8910D" w:rsidR="005A6C2F" w:rsidRPr="005A6C2F" w:rsidRDefault="00303986" w:rsidP="00C465E2">
      <w:pPr>
        <w:spacing w:line="360" w:lineRule="auto"/>
        <w:jc w:val="both"/>
        <w:rPr>
          <w:rFonts w:ascii="Arial" w:hAnsi="Arial" w:cs="Arial"/>
        </w:rPr>
      </w:pPr>
      <w:r w:rsidRPr="00303986">
        <w:rPr>
          <w:rFonts w:ascii="Arial" w:hAnsi="Arial" w:cs="Arial"/>
          <w:b/>
          <w:bCs/>
        </w:rPr>
        <w:t xml:space="preserve">Interpretation: </w:t>
      </w:r>
      <w:r w:rsidR="005A6C2F" w:rsidRPr="005A6C2F">
        <w:rPr>
          <w:rFonts w:ascii="Arial" w:hAnsi="Arial" w:cs="Arial"/>
        </w:rPr>
        <w:t>Project A shows moderate, steadily rising inflows indicating medium risk, while Project B provides low but stable inflows consistent with low risk and low profitability.</w:t>
      </w:r>
      <w:r w:rsidR="005A6C2F">
        <w:rPr>
          <w:rFonts w:ascii="Arial" w:hAnsi="Arial" w:cs="Arial"/>
        </w:rPr>
        <w:t xml:space="preserve"> </w:t>
      </w:r>
      <w:r w:rsidR="005A6C2F" w:rsidRPr="005A6C2F">
        <w:rPr>
          <w:rFonts w:ascii="Arial" w:hAnsi="Arial" w:cs="Arial"/>
        </w:rPr>
        <w:t>Project C’s small early returns followed by large later inflows reflect a high-risk, high-reward profile.</w:t>
      </w:r>
      <w:r w:rsidR="005A6C2F">
        <w:rPr>
          <w:rFonts w:ascii="Arial" w:hAnsi="Arial" w:cs="Arial"/>
        </w:rPr>
        <w:t xml:space="preserve"> </w:t>
      </w:r>
      <w:r w:rsidR="005A6C2F" w:rsidRPr="005A6C2F">
        <w:rPr>
          <w:rFonts w:ascii="Arial" w:hAnsi="Arial" w:cs="Arial"/>
        </w:rPr>
        <w:t>These timing and magnitude differences directly affect PBP, NPV, IRR, and PI outcomes.</w:t>
      </w:r>
    </w:p>
    <w:p w14:paraId="7538BB2A" w14:textId="4B0D843C" w:rsidR="00C06B88" w:rsidRPr="00C06B88" w:rsidRDefault="00C06B88" w:rsidP="004B65BA">
      <w:pPr>
        <w:spacing w:line="360" w:lineRule="auto"/>
        <w:rPr>
          <w:rFonts w:ascii="Arial" w:hAnsi="Arial" w:cs="Arial"/>
          <w:b/>
          <w:bCs/>
        </w:rPr>
      </w:pPr>
      <w:r w:rsidRPr="00C06B88">
        <w:rPr>
          <w:rFonts w:ascii="Arial" w:hAnsi="Arial" w:cs="Arial"/>
          <w:b/>
          <w:bCs/>
        </w:rPr>
        <w:t>5.3 Payback Period (PBP)</w:t>
      </w:r>
    </w:p>
    <w:tbl>
      <w:tblPr>
        <w:tblStyle w:val="TableGrid"/>
        <w:tblW w:w="0" w:type="auto"/>
        <w:tblLook w:val="04A0" w:firstRow="1" w:lastRow="0" w:firstColumn="1" w:lastColumn="0" w:noHBand="0" w:noVBand="1"/>
      </w:tblPr>
      <w:tblGrid>
        <w:gridCol w:w="1030"/>
        <w:gridCol w:w="3685"/>
        <w:gridCol w:w="3163"/>
      </w:tblGrid>
      <w:tr w:rsidR="00C06B88" w:rsidRPr="00C06B88" w14:paraId="65A162AE" w14:textId="77777777" w:rsidTr="00C06B88">
        <w:tc>
          <w:tcPr>
            <w:tcW w:w="0" w:type="auto"/>
            <w:hideMark/>
          </w:tcPr>
          <w:p w14:paraId="1C71403C"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w:t>
            </w:r>
          </w:p>
        </w:tc>
        <w:tc>
          <w:tcPr>
            <w:tcW w:w="0" w:type="auto"/>
            <w:hideMark/>
          </w:tcPr>
          <w:p w14:paraId="3FB9F41F"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Cumulative Inflows (£m)</w:t>
            </w:r>
          </w:p>
        </w:tc>
        <w:tc>
          <w:tcPr>
            <w:tcW w:w="0" w:type="auto"/>
            <w:hideMark/>
          </w:tcPr>
          <w:p w14:paraId="5BD71730"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Payback (Years)</w:t>
            </w:r>
          </w:p>
        </w:tc>
      </w:tr>
      <w:tr w:rsidR="00C06B88" w:rsidRPr="00C06B88" w14:paraId="5F79DDD2" w14:textId="77777777" w:rsidTr="00C06B88">
        <w:tc>
          <w:tcPr>
            <w:tcW w:w="0" w:type="auto"/>
            <w:hideMark/>
          </w:tcPr>
          <w:p w14:paraId="7B5389AB" w14:textId="77777777" w:rsidR="00C06B88" w:rsidRPr="00C06B88" w:rsidRDefault="00C06B88" w:rsidP="004B65BA">
            <w:pPr>
              <w:spacing w:after="160" w:line="360" w:lineRule="auto"/>
              <w:rPr>
                <w:rFonts w:ascii="Arial" w:hAnsi="Arial" w:cs="Arial"/>
              </w:rPr>
            </w:pPr>
            <w:r w:rsidRPr="00C06B88">
              <w:rPr>
                <w:rFonts w:ascii="Arial" w:hAnsi="Arial" w:cs="Arial"/>
              </w:rPr>
              <w:t>A</w:t>
            </w:r>
          </w:p>
        </w:tc>
        <w:tc>
          <w:tcPr>
            <w:tcW w:w="0" w:type="auto"/>
            <w:hideMark/>
          </w:tcPr>
          <w:p w14:paraId="4ED56ADE" w14:textId="77777777" w:rsidR="00C06B88" w:rsidRPr="00C06B88" w:rsidRDefault="00C06B88" w:rsidP="004B65BA">
            <w:pPr>
              <w:spacing w:after="160" w:line="360" w:lineRule="auto"/>
              <w:rPr>
                <w:rFonts w:ascii="Arial" w:hAnsi="Arial" w:cs="Arial"/>
              </w:rPr>
            </w:pPr>
            <w:r w:rsidRPr="00C06B88">
              <w:rPr>
                <w:rFonts w:ascii="Arial" w:hAnsi="Arial" w:cs="Arial"/>
              </w:rPr>
              <w:t>10 → 22 → 36 → 46 → 54 → 62</w:t>
            </w:r>
          </w:p>
        </w:tc>
        <w:tc>
          <w:tcPr>
            <w:tcW w:w="0" w:type="auto"/>
            <w:hideMark/>
          </w:tcPr>
          <w:p w14:paraId="6C71A954" w14:textId="77777777" w:rsidR="00C06B88" w:rsidRPr="00C06B88" w:rsidRDefault="00C06B88" w:rsidP="004B65BA">
            <w:pPr>
              <w:spacing w:after="160" w:line="360" w:lineRule="auto"/>
              <w:rPr>
                <w:rFonts w:ascii="Arial" w:hAnsi="Arial" w:cs="Arial"/>
              </w:rPr>
            </w:pPr>
            <w:r w:rsidRPr="00C06B88">
              <w:rPr>
                <w:rFonts w:ascii="Arial" w:hAnsi="Arial" w:cs="Arial"/>
              </w:rPr>
              <w:t>Between 3 and 4 (≈ 3.3 yrs)</w:t>
            </w:r>
          </w:p>
        </w:tc>
      </w:tr>
      <w:tr w:rsidR="00C06B88" w:rsidRPr="00C06B88" w14:paraId="65822BAF" w14:textId="77777777" w:rsidTr="00C06B88">
        <w:tc>
          <w:tcPr>
            <w:tcW w:w="0" w:type="auto"/>
            <w:hideMark/>
          </w:tcPr>
          <w:p w14:paraId="613FA71D" w14:textId="77777777" w:rsidR="00C06B88" w:rsidRPr="00C06B88" w:rsidRDefault="00C06B88" w:rsidP="004B65BA">
            <w:pPr>
              <w:spacing w:after="160" w:line="360" w:lineRule="auto"/>
              <w:rPr>
                <w:rFonts w:ascii="Arial" w:hAnsi="Arial" w:cs="Arial"/>
              </w:rPr>
            </w:pPr>
            <w:r w:rsidRPr="00C06B88">
              <w:rPr>
                <w:rFonts w:ascii="Arial" w:hAnsi="Arial" w:cs="Arial"/>
              </w:rPr>
              <w:t>B</w:t>
            </w:r>
          </w:p>
        </w:tc>
        <w:tc>
          <w:tcPr>
            <w:tcW w:w="0" w:type="auto"/>
            <w:hideMark/>
          </w:tcPr>
          <w:p w14:paraId="61FAFDF7" w14:textId="77777777" w:rsidR="00C06B88" w:rsidRPr="00C06B88" w:rsidRDefault="00C06B88" w:rsidP="004B65BA">
            <w:pPr>
              <w:spacing w:after="160" w:line="360" w:lineRule="auto"/>
              <w:rPr>
                <w:rFonts w:ascii="Arial" w:hAnsi="Arial" w:cs="Arial"/>
              </w:rPr>
            </w:pPr>
            <w:r w:rsidRPr="00C06B88">
              <w:rPr>
                <w:rFonts w:ascii="Arial" w:hAnsi="Arial" w:cs="Arial"/>
              </w:rPr>
              <w:t>6 → 12 → 18 → 24 → 30 → 36</w:t>
            </w:r>
          </w:p>
        </w:tc>
        <w:tc>
          <w:tcPr>
            <w:tcW w:w="0" w:type="auto"/>
            <w:hideMark/>
          </w:tcPr>
          <w:p w14:paraId="74EDE54A" w14:textId="77777777" w:rsidR="00C06B88" w:rsidRPr="00C06B88" w:rsidRDefault="00C06B88" w:rsidP="004B65BA">
            <w:pPr>
              <w:spacing w:after="160" w:line="360" w:lineRule="auto"/>
              <w:rPr>
                <w:rFonts w:ascii="Arial" w:hAnsi="Arial" w:cs="Arial"/>
              </w:rPr>
            </w:pPr>
            <w:r w:rsidRPr="00C06B88">
              <w:rPr>
                <w:rFonts w:ascii="Arial" w:hAnsi="Arial" w:cs="Arial"/>
              </w:rPr>
              <w:t>Exactly 5 yrs</w:t>
            </w:r>
          </w:p>
        </w:tc>
      </w:tr>
      <w:tr w:rsidR="00C06B88" w:rsidRPr="00C06B88" w14:paraId="385329CF" w14:textId="77777777" w:rsidTr="00C06B88">
        <w:tc>
          <w:tcPr>
            <w:tcW w:w="0" w:type="auto"/>
            <w:hideMark/>
          </w:tcPr>
          <w:p w14:paraId="4DD2D6AE" w14:textId="77777777" w:rsidR="00C06B88" w:rsidRPr="00C06B88" w:rsidRDefault="00C06B88" w:rsidP="004B65BA">
            <w:pPr>
              <w:spacing w:after="160" w:line="360" w:lineRule="auto"/>
              <w:rPr>
                <w:rFonts w:ascii="Arial" w:hAnsi="Arial" w:cs="Arial"/>
              </w:rPr>
            </w:pPr>
            <w:r w:rsidRPr="00C06B88">
              <w:rPr>
                <w:rFonts w:ascii="Arial" w:hAnsi="Arial" w:cs="Arial"/>
              </w:rPr>
              <w:t>C</w:t>
            </w:r>
          </w:p>
        </w:tc>
        <w:tc>
          <w:tcPr>
            <w:tcW w:w="0" w:type="auto"/>
            <w:hideMark/>
          </w:tcPr>
          <w:p w14:paraId="2C829F96" w14:textId="77777777" w:rsidR="00C06B88" w:rsidRPr="00C06B88" w:rsidRDefault="00C06B88" w:rsidP="004B65BA">
            <w:pPr>
              <w:spacing w:after="160" w:line="360" w:lineRule="auto"/>
              <w:rPr>
                <w:rFonts w:ascii="Arial" w:hAnsi="Arial" w:cs="Arial"/>
              </w:rPr>
            </w:pPr>
            <w:r w:rsidRPr="00C06B88">
              <w:rPr>
                <w:rFonts w:ascii="Arial" w:hAnsi="Arial" w:cs="Arial"/>
              </w:rPr>
              <w:t>5 → 15 → 35 → 60 → 75 → 90</w:t>
            </w:r>
          </w:p>
        </w:tc>
        <w:tc>
          <w:tcPr>
            <w:tcW w:w="0" w:type="auto"/>
            <w:hideMark/>
          </w:tcPr>
          <w:p w14:paraId="2A31172F" w14:textId="77777777" w:rsidR="00C06B88" w:rsidRPr="00C06B88" w:rsidRDefault="00C06B88" w:rsidP="004B65BA">
            <w:pPr>
              <w:spacing w:after="160" w:line="360" w:lineRule="auto"/>
              <w:rPr>
                <w:rFonts w:ascii="Arial" w:hAnsi="Arial" w:cs="Arial"/>
              </w:rPr>
            </w:pPr>
            <w:r w:rsidRPr="00C06B88">
              <w:rPr>
                <w:rFonts w:ascii="Arial" w:hAnsi="Arial" w:cs="Arial"/>
              </w:rPr>
              <w:t>Between 3 and 4 (≈ 3.0 yrs)</w:t>
            </w:r>
          </w:p>
        </w:tc>
      </w:tr>
    </w:tbl>
    <w:p w14:paraId="33D377DB" w14:textId="6931FCEE" w:rsidR="00C06B88" w:rsidRPr="00C06B88" w:rsidRDefault="00C06B88" w:rsidP="006C7160">
      <w:pPr>
        <w:spacing w:line="360" w:lineRule="auto"/>
        <w:jc w:val="both"/>
        <w:rPr>
          <w:rFonts w:ascii="Arial" w:hAnsi="Arial" w:cs="Arial"/>
        </w:rPr>
      </w:pPr>
      <w:r w:rsidRPr="00C06B88">
        <w:rPr>
          <w:rFonts w:ascii="Arial" w:hAnsi="Arial" w:cs="Arial"/>
          <w:b/>
          <w:bCs/>
        </w:rPr>
        <w:t>Interpretation:</w:t>
      </w:r>
      <w:r w:rsidRPr="00C06B88">
        <w:rPr>
          <w:rFonts w:ascii="Arial" w:hAnsi="Arial" w:cs="Arial"/>
        </w:rPr>
        <w:t xml:space="preserve"> </w:t>
      </w:r>
      <w:r w:rsidR="00D75139" w:rsidRPr="00D75139">
        <w:rPr>
          <w:rFonts w:ascii="Arial" w:hAnsi="Arial" w:cs="Arial"/>
        </w:rPr>
        <w:t>Projects A and C recover initial investment within ≈ 3–3.5 years; B takes five years. On a payback basis, A and C are preferable</w:t>
      </w:r>
      <w:r w:rsidRPr="00C06B88">
        <w:rPr>
          <w:rFonts w:ascii="Arial" w:hAnsi="Arial" w:cs="Arial"/>
        </w:rPr>
        <w:t>.</w:t>
      </w:r>
    </w:p>
    <w:p w14:paraId="52A9DF5B"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5.4 Accounting Rate of Return (ARR)</w:t>
      </w:r>
    </w:p>
    <w:p w14:paraId="0FA59375" w14:textId="284158A6" w:rsidR="00C06B88" w:rsidRPr="004B65BA" w:rsidRDefault="00C06B88" w:rsidP="006C7160">
      <w:pPr>
        <w:spacing w:line="360" w:lineRule="auto"/>
        <w:jc w:val="both"/>
        <w:rPr>
          <w:rFonts w:ascii="Arial" w:hAnsi="Arial" w:cs="Arial"/>
        </w:rPr>
      </w:pPr>
      <w:r w:rsidRPr="004B65BA">
        <w:rPr>
          <w:rFonts w:ascii="Arial" w:hAnsi="Arial" w:cs="Arial"/>
        </w:rPr>
        <w:t>ARR</w:t>
      </w:r>
      <w:r w:rsidR="00AE2029" w:rsidRPr="004B65BA">
        <w:rPr>
          <w:rFonts w:ascii="Arial" w:hAnsi="Arial" w:cs="Arial"/>
        </w:rPr>
        <w:t xml:space="preserve"> </w:t>
      </w:r>
      <w:r w:rsidRPr="004B65BA">
        <w:rPr>
          <w:rFonts w:ascii="Arial" w:hAnsi="Arial" w:cs="Arial"/>
        </w:rPr>
        <w:t>=</w:t>
      </w:r>
      <w:r w:rsidR="00AE2029" w:rsidRPr="004B65BA">
        <w:rPr>
          <w:rFonts w:ascii="Arial" w:hAnsi="Arial" w:cs="Arial"/>
        </w:rPr>
        <w:t xml:space="preserve"> </w:t>
      </w:r>
      <w:r w:rsidRPr="004B65BA">
        <w:rPr>
          <w:rFonts w:ascii="Arial" w:hAnsi="Arial" w:cs="Arial"/>
        </w:rPr>
        <w:t>Average Annual Accounting Profit​</w:t>
      </w:r>
      <w:r w:rsidR="00AE2029" w:rsidRPr="004B65BA">
        <w:rPr>
          <w:rFonts w:ascii="Arial" w:hAnsi="Arial" w:cs="Arial"/>
        </w:rPr>
        <w:t xml:space="preserve"> / Initial Investment </w:t>
      </w:r>
      <w:r w:rsidRPr="004B65BA">
        <w:rPr>
          <w:rFonts w:ascii="Arial" w:hAnsi="Arial" w:cs="Arial"/>
        </w:rPr>
        <w:t>×</w:t>
      </w:r>
      <w:r w:rsidR="00AE2029" w:rsidRPr="004B65BA">
        <w:rPr>
          <w:rFonts w:ascii="Arial" w:hAnsi="Arial" w:cs="Arial"/>
        </w:rPr>
        <w:t xml:space="preserve"> </w:t>
      </w:r>
      <w:r w:rsidRPr="004B65BA">
        <w:rPr>
          <w:rFonts w:ascii="Arial" w:hAnsi="Arial" w:cs="Arial"/>
        </w:rPr>
        <w:t>100</w:t>
      </w:r>
    </w:p>
    <w:p w14:paraId="1292DF3E" w14:textId="635359B6" w:rsidR="00C06B88" w:rsidRPr="00C06B88" w:rsidRDefault="00C06B88" w:rsidP="006C7160">
      <w:pPr>
        <w:spacing w:line="360" w:lineRule="auto"/>
        <w:jc w:val="both"/>
        <w:rPr>
          <w:rFonts w:ascii="Arial" w:hAnsi="Arial" w:cs="Arial"/>
        </w:rPr>
      </w:pPr>
      <w:r w:rsidRPr="00C06B88">
        <w:rPr>
          <w:rFonts w:ascii="Arial" w:hAnsi="Arial" w:cs="Arial"/>
        </w:rPr>
        <w:t>Assuming depreciation = Initial investment ÷ 5 years.</w:t>
      </w:r>
    </w:p>
    <w:tbl>
      <w:tblPr>
        <w:tblStyle w:val="TableGrid"/>
        <w:tblW w:w="0" w:type="auto"/>
        <w:tblLook w:val="04A0" w:firstRow="1" w:lastRow="0" w:firstColumn="1" w:lastColumn="0" w:noHBand="0" w:noVBand="1"/>
      </w:tblPr>
      <w:tblGrid>
        <w:gridCol w:w="1030"/>
        <w:gridCol w:w="5013"/>
        <w:gridCol w:w="1176"/>
      </w:tblGrid>
      <w:tr w:rsidR="00C06B88" w:rsidRPr="00C06B88" w14:paraId="12FCD9B1" w14:textId="77777777" w:rsidTr="00AE2029">
        <w:tc>
          <w:tcPr>
            <w:tcW w:w="0" w:type="auto"/>
            <w:hideMark/>
          </w:tcPr>
          <w:p w14:paraId="278AF889" w14:textId="77777777" w:rsidR="00C06B88" w:rsidRPr="00C06B88" w:rsidRDefault="00C06B88" w:rsidP="004B65BA">
            <w:pPr>
              <w:spacing w:after="160" w:line="360" w:lineRule="auto"/>
              <w:rPr>
                <w:rFonts w:ascii="Arial" w:hAnsi="Arial" w:cs="Arial"/>
                <w:b/>
                <w:bCs/>
              </w:rPr>
            </w:pPr>
            <w:r w:rsidRPr="00C06B88">
              <w:rPr>
                <w:rFonts w:ascii="Arial" w:hAnsi="Arial" w:cs="Arial"/>
                <w:b/>
                <w:bCs/>
              </w:rPr>
              <w:lastRenderedPageBreak/>
              <w:t>Project</w:t>
            </w:r>
          </w:p>
        </w:tc>
        <w:tc>
          <w:tcPr>
            <w:tcW w:w="0" w:type="auto"/>
            <w:hideMark/>
          </w:tcPr>
          <w:p w14:paraId="196D5D4A" w14:textId="77777777" w:rsidR="00C06B88" w:rsidRPr="00C06B88" w:rsidRDefault="00C06B88" w:rsidP="004B65BA">
            <w:pPr>
              <w:spacing w:after="160" w:line="360" w:lineRule="auto"/>
              <w:rPr>
                <w:rFonts w:ascii="Arial" w:hAnsi="Arial" w:cs="Arial"/>
                <w:b/>
                <w:bCs/>
              </w:rPr>
            </w:pPr>
            <w:proofErr w:type="spellStart"/>
            <w:r w:rsidRPr="00C06B88">
              <w:rPr>
                <w:rFonts w:ascii="Arial" w:hAnsi="Arial" w:cs="Arial"/>
                <w:b/>
                <w:bCs/>
              </w:rPr>
              <w:t>Avg</w:t>
            </w:r>
            <w:proofErr w:type="spellEnd"/>
            <w:r w:rsidRPr="00C06B88">
              <w:rPr>
                <w:rFonts w:ascii="Arial" w:hAnsi="Arial" w:cs="Arial"/>
                <w:b/>
                <w:bCs/>
              </w:rPr>
              <w:t xml:space="preserve"> Annual Profit (£m)</w:t>
            </w:r>
          </w:p>
        </w:tc>
        <w:tc>
          <w:tcPr>
            <w:tcW w:w="0" w:type="auto"/>
            <w:hideMark/>
          </w:tcPr>
          <w:p w14:paraId="13A0983B"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ARR (%)</w:t>
            </w:r>
          </w:p>
        </w:tc>
      </w:tr>
      <w:tr w:rsidR="00C06B88" w:rsidRPr="00C06B88" w14:paraId="5BBAEE18" w14:textId="77777777" w:rsidTr="00AE2029">
        <w:tc>
          <w:tcPr>
            <w:tcW w:w="0" w:type="auto"/>
            <w:hideMark/>
          </w:tcPr>
          <w:p w14:paraId="09380F01" w14:textId="77777777" w:rsidR="00C06B88" w:rsidRPr="00C06B88" w:rsidRDefault="00C06B88" w:rsidP="004B65BA">
            <w:pPr>
              <w:spacing w:after="160" w:line="360" w:lineRule="auto"/>
              <w:rPr>
                <w:rFonts w:ascii="Arial" w:hAnsi="Arial" w:cs="Arial"/>
              </w:rPr>
            </w:pPr>
            <w:r w:rsidRPr="00C06B88">
              <w:rPr>
                <w:rFonts w:ascii="Arial" w:hAnsi="Arial" w:cs="Arial"/>
              </w:rPr>
              <w:t>A</w:t>
            </w:r>
          </w:p>
        </w:tc>
        <w:tc>
          <w:tcPr>
            <w:tcW w:w="0" w:type="auto"/>
            <w:hideMark/>
          </w:tcPr>
          <w:p w14:paraId="46A45994" w14:textId="77777777" w:rsidR="00C06B88" w:rsidRPr="00C06B88" w:rsidRDefault="00C06B88" w:rsidP="004B65BA">
            <w:pPr>
              <w:spacing w:after="160" w:line="360" w:lineRule="auto"/>
              <w:rPr>
                <w:rFonts w:ascii="Arial" w:hAnsi="Arial" w:cs="Arial"/>
              </w:rPr>
            </w:pPr>
            <w:r w:rsidRPr="00C06B88">
              <w:rPr>
                <w:rFonts w:ascii="Arial" w:hAnsi="Arial" w:cs="Arial"/>
              </w:rPr>
              <w:t>[(10+12+14+10+8)/5 – 8 (depreciation)] = 6.8</w:t>
            </w:r>
          </w:p>
        </w:tc>
        <w:tc>
          <w:tcPr>
            <w:tcW w:w="0" w:type="auto"/>
            <w:hideMark/>
          </w:tcPr>
          <w:p w14:paraId="2A0D4FCB" w14:textId="77777777" w:rsidR="00C06B88" w:rsidRPr="00C06B88" w:rsidRDefault="00C06B88" w:rsidP="004B65BA">
            <w:pPr>
              <w:spacing w:after="160" w:line="360" w:lineRule="auto"/>
              <w:rPr>
                <w:rFonts w:ascii="Arial" w:hAnsi="Arial" w:cs="Arial"/>
              </w:rPr>
            </w:pPr>
            <w:r w:rsidRPr="00C06B88">
              <w:rPr>
                <w:rFonts w:ascii="Arial" w:hAnsi="Arial" w:cs="Arial"/>
              </w:rPr>
              <w:t>17.0</w:t>
            </w:r>
          </w:p>
        </w:tc>
      </w:tr>
      <w:tr w:rsidR="00C06B88" w:rsidRPr="00C06B88" w14:paraId="0BC7D381" w14:textId="77777777" w:rsidTr="00AE2029">
        <w:tc>
          <w:tcPr>
            <w:tcW w:w="0" w:type="auto"/>
            <w:hideMark/>
          </w:tcPr>
          <w:p w14:paraId="2D4CF645" w14:textId="77777777" w:rsidR="00C06B88" w:rsidRPr="00C06B88" w:rsidRDefault="00C06B88" w:rsidP="004B65BA">
            <w:pPr>
              <w:spacing w:after="160" w:line="360" w:lineRule="auto"/>
              <w:rPr>
                <w:rFonts w:ascii="Arial" w:hAnsi="Arial" w:cs="Arial"/>
              </w:rPr>
            </w:pPr>
            <w:r w:rsidRPr="00C06B88">
              <w:rPr>
                <w:rFonts w:ascii="Arial" w:hAnsi="Arial" w:cs="Arial"/>
              </w:rPr>
              <w:t>B</w:t>
            </w:r>
          </w:p>
        </w:tc>
        <w:tc>
          <w:tcPr>
            <w:tcW w:w="0" w:type="auto"/>
            <w:hideMark/>
          </w:tcPr>
          <w:p w14:paraId="7C908FF3" w14:textId="77777777" w:rsidR="00C06B88" w:rsidRPr="00C06B88" w:rsidRDefault="00C06B88" w:rsidP="004B65BA">
            <w:pPr>
              <w:spacing w:after="160" w:line="360" w:lineRule="auto"/>
              <w:rPr>
                <w:rFonts w:ascii="Arial" w:hAnsi="Arial" w:cs="Arial"/>
              </w:rPr>
            </w:pPr>
            <w:r w:rsidRPr="00C06B88">
              <w:rPr>
                <w:rFonts w:ascii="Arial" w:hAnsi="Arial" w:cs="Arial"/>
              </w:rPr>
              <w:t>(6 × 5)/5 – 6 = 0</w:t>
            </w:r>
          </w:p>
        </w:tc>
        <w:tc>
          <w:tcPr>
            <w:tcW w:w="0" w:type="auto"/>
            <w:hideMark/>
          </w:tcPr>
          <w:p w14:paraId="50EF6A24" w14:textId="77777777" w:rsidR="00C06B88" w:rsidRPr="00C06B88" w:rsidRDefault="00C06B88" w:rsidP="004B65BA">
            <w:pPr>
              <w:spacing w:after="160" w:line="360" w:lineRule="auto"/>
              <w:rPr>
                <w:rFonts w:ascii="Arial" w:hAnsi="Arial" w:cs="Arial"/>
              </w:rPr>
            </w:pPr>
            <w:r w:rsidRPr="00C06B88">
              <w:rPr>
                <w:rFonts w:ascii="Arial" w:hAnsi="Arial" w:cs="Arial"/>
              </w:rPr>
              <w:t>0</w:t>
            </w:r>
          </w:p>
        </w:tc>
      </w:tr>
      <w:tr w:rsidR="00C06B88" w:rsidRPr="00C06B88" w14:paraId="23B7FF11" w14:textId="77777777" w:rsidTr="00AE2029">
        <w:tc>
          <w:tcPr>
            <w:tcW w:w="0" w:type="auto"/>
            <w:hideMark/>
          </w:tcPr>
          <w:p w14:paraId="0C09A8F9" w14:textId="77777777" w:rsidR="00C06B88" w:rsidRPr="00C06B88" w:rsidRDefault="00C06B88" w:rsidP="004B65BA">
            <w:pPr>
              <w:spacing w:after="160" w:line="360" w:lineRule="auto"/>
              <w:rPr>
                <w:rFonts w:ascii="Arial" w:hAnsi="Arial" w:cs="Arial"/>
              </w:rPr>
            </w:pPr>
            <w:r w:rsidRPr="00C06B88">
              <w:rPr>
                <w:rFonts w:ascii="Arial" w:hAnsi="Arial" w:cs="Arial"/>
              </w:rPr>
              <w:t>C</w:t>
            </w:r>
          </w:p>
        </w:tc>
        <w:tc>
          <w:tcPr>
            <w:tcW w:w="0" w:type="auto"/>
            <w:hideMark/>
          </w:tcPr>
          <w:p w14:paraId="69A41945" w14:textId="77777777" w:rsidR="00C06B88" w:rsidRPr="00C06B88" w:rsidRDefault="00C06B88" w:rsidP="004B65BA">
            <w:pPr>
              <w:spacing w:after="160" w:line="360" w:lineRule="auto"/>
              <w:rPr>
                <w:rFonts w:ascii="Arial" w:hAnsi="Arial" w:cs="Arial"/>
              </w:rPr>
            </w:pPr>
            <w:r w:rsidRPr="00C06B88">
              <w:rPr>
                <w:rFonts w:ascii="Arial" w:hAnsi="Arial" w:cs="Arial"/>
              </w:rPr>
              <w:t>(5+10+20+25+15)/5 – 10 = 9</w:t>
            </w:r>
          </w:p>
        </w:tc>
        <w:tc>
          <w:tcPr>
            <w:tcW w:w="0" w:type="auto"/>
            <w:hideMark/>
          </w:tcPr>
          <w:p w14:paraId="576A4A7A" w14:textId="77777777" w:rsidR="00C06B88" w:rsidRPr="00C06B88" w:rsidRDefault="00C06B88" w:rsidP="004B65BA">
            <w:pPr>
              <w:spacing w:after="160" w:line="360" w:lineRule="auto"/>
              <w:rPr>
                <w:rFonts w:ascii="Arial" w:hAnsi="Arial" w:cs="Arial"/>
              </w:rPr>
            </w:pPr>
            <w:r w:rsidRPr="00C06B88">
              <w:rPr>
                <w:rFonts w:ascii="Arial" w:hAnsi="Arial" w:cs="Arial"/>
              </w:rPr>
              <w:t>18.0</w:t>
            </w:r>
          </w:p>
        </w:tc>
      </w:tr>
    </w:tbl>
    <w:p w14:paraId="11F3B4D2" w14:textId="77777777" w:rsidR="00D75139" w:rsidRDefault="00C06B88" w:rsidP="006C7160">
      <w:pPr>
        <w:spacing w:line="360" w:lineRule="auto"/>
        <w:jc w:val="both"/>
        <w:rPr>
          <w:rFonts w:ascii="Arial" w:hAnsi="Arial" w:cs="Arial"/>
        </w:rPr>
      </w:pPr>
      <w:r w:rsidRPr="00C06B88">
        <w:rPr>
          <w:rFonts w:ascii="Arial" w:hAnsi="Arial" w:cs="Arial"/>
          <w:b/>
          <w:bCs/>
        </w:rPr>
        <w:t>Interpretation:</w:t>
      </w:r>
      <w:r w:rsidRPr="00C06B88">
        <w:rPr>
          <w:rFonts w:ascii="Arial" w:hAnsi="Arial" w:cs="Arial"/>
        </w:rPr>
        <w:t xml:space="preserve"> </w:t>
      </w:r>
      <w:r w:rsidR="00D75139" w:rsidRPr="00D75139">
        <w:rPr>
          <w:rFonts w:ascii="Arial" w:hAnsi="Arial" w:cs="Arial"/>
        </w:rPr>
        <w:t>Project C has the highest ARR of 18 %, closely followed by A at 17 %, confirming superiority in profitability.</w:t>
      </w:r>
    </w:p>
    <w:p w14:paraId="458B0A9D" w14:textId="7ABBCEA6" w:rsidR="00C06B88" w:rsidRPr="00C06B88" w:rsidRDefault="00C06B88" w:rsidP="006C7160">
      <w:pPr>
        <w:spacing w:line="360" w:lineRule="auto"/>
        <w:jc w:val="both"/>
        <w:rPr>
          <w:rFonts w:ascii="Arial" w:hAnsi="Arial" w:cs="Arial"/>
          <w:b/>
          <w:bCs/>
        </w:rPr>
      </w:pPr>
      <w:r w:rsidRPr="00C06B88">
        <w:rPr>
          <w:rFonts w:ascii="Arial" w:hAnsi="Arial" w:cs="Arial"/>
          <w:b/>
          <w:bCs/>
        </w:rPr>
        <w:t>5.5 Net Present Value (NPV)</w:t>
      </w:r>
    </w:p>
    <w:p w14:paraId="0222FE15" w14:textId="77777777" w:rsidR="00C06B88" w:rsidRPr="00C06B88" w:rsidRDefault="00C06B88" w:rsidP="006C7160">
      <w:pPr>
        <w:spacing w:line="360" w:lineRule="auto"/>
        <w:jc w:val="both"/>
        <w:rPr>
          <w:rFonts w:ascii="Arial" w:hAnsi="Arial" w:cs="Arial"/>
        </w:rPr>
      </w:pPr>
      <w:r w:rsidRPr="00C06B88">
        <w:rPr>
          <w:rFonts w:ascii="Arial" w:hAnsi="Arial" w:cs="Arial"/>
        </w:rPr>
        <w:t>Using a 10 % discount rate:</w:t>
      </w:r>
    </w:p>
    <w:tbl>
      <w:tblPr>
        <w:tblStyle w:val="TableGrid"/>
        <w:tblW w:w="0" w:type="auto"/>
        <w:tblLook w:val="04A0" w:firstRow="1" w:lastRow="0" w:firstColumn="1" w:lastColumn="0" w:noHBand="0" w:noVBand="1"/>
      </w:tblPr>
      <w:tblGrid>
        <w:gridCol w:w="2052"/>
        <w:gridCol w:w="1451"/>
        <w:gridCol w:w="977"/>
        <w:gridCol w:w="977"/>
        <w:gridCol w:w="977"/>
      </w:tblGrid>
      <w:tr w:rsidR="00C06B88" w:rsidRPr="00C06B88" w14:paraId="0148747D" w14:textId="77777777" w:rsidTr="00AE2029">
        <w:tc>
          <w:tcPr>
            <w:tcW w:w="0" w:type="auto"/>
            <w:hideMark/>
          </w:tcPr>
          <w:p w14:paraId="137A2554"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Year</w:t>
            </w:r>
          </w:p>
        </w:tc>
        <w:tc>
          <w:tcPr>
            <w:tcW w:w="0" w:type="auto"/>
            <w:hideMark/>
          </w:tcPr>
          <w:p w14:paraId="4FF6B5C0"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DF @ 10 %</w:t>
            </w:r>
          </w:p>
        </w:tc>
        <w:tc>
          <w:tcPr>
            <w:tcW w:w="0" w:type="auto"/>
            <w:hideMark/>
          </w:tcPr>
          <w:p w14:paraId="46A75400"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PV(A)</w:t>
            </w:r>
          </w:p>
        </w:tc>
        <w:tc>
          <w:tcPr>
            <w:tcW w:w="0" w:type="auto"/>
            <w:hideMark/>
          </w:tcPr>
          <w:p w14:paraId="1C4E6842"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PV(B)</w:t>
            </w:r>
          </w:p>
        </w:tc>
        <w:tc>
          <w:tcPr>
            <w:tcW w:w="0" w:type="auto"/>
            <w:hideMark/>
          </w:tcPr>
          <w:p w14:paraId="070260CE" w14:textId="77777777" w:rsidR="00C06B88" w:rsidRPr="00C06B88" w:rsidRDefault="00C06B88" w:rsidP="006C7160">
            <w:pPr>
              <w:spacing w:after="160" w:line="360" w:lineRule="auto"/>
              <w:jc w:val="both"/>
              <w:rPr>
                <w:rFonts w:ascii="Arial" w:hAnsi="Arial" w:cs="Arial"/>
                <w:b/>
                <w:bCs/>
              </w:rPr>
            </w:pPr>
            <w:r w:rsidRPr="00C06B88">
              <w:rPr>
                <w:rFonts w:ascii="Arial" w:hAnsi="Arial" w:cs="Arial"/>
                <w:b/>
                <w:bCs/>
              </w:rPr>
              <w:t>PV(C)</w:t>
            </w:r>
          </w:p>
        </w:tc>
      </w:tr>
      <w:tr w:rsidR="00C06B88" w:rsidRPr="00C06B88" w14:paraId="364CE590" w14:textId="77777777" w:rsidTr="00AE2029">
        <w:tc>
          <w:tcPr>
            <w:tcW w:w="0" w:type="auto"/>
            <w:hideMark/>
          </w:tcPr>
          <w:p w14:paraId="53A994FC" w14:textId="77777777" w:rsidR="00C06B88" w:rsidRPr="00C06B88" w:rsidRDefault="00C06B88" w:rsidP="004B65BA">
            <w:pPr>
              <w:spacing w:after="160" w:line="360" w:lineRule="auto"/>
              <w:rPr>
                <w:rFonts w:ascii="Arial" w:hAnsi="Arial" w:cs="Arial"/>
              </w:rPr>
            </w:pPr>
            <w:r w:rsidRPr="00C06B88">
              <w:rPr>
                <w:rFonts w:ascii="Arial" w:hAnsi="Arial" w:cs="Arial"/>
              </w:rPr>
              <w:t>0</w:t>
            </w:r>
          </w:p>
        </w:tc>
        <w:tc>
          <w:tcPr>
            <w:tcW w:w="0" w:type="auto"/>
            <w:hideMark/>
          </w:tcPr>
          <w:p w14:paraId="2BC55C85" w14:textId="77777777" w:rsidR="00C06B88" w:rsidRPr="00C06B88" w:rsidRDefault="00C06B88" w:rsidP="004B65BA">
            <w:pPr>
              <w:spacing w:after="160" w:line="360" w:lineRule="auto"/>
              <w:rPr>
                <w:rFonts w:ascii="Arial" w:hAnsi="Arial" w:cs="Arial"/>
              </w:rPr>
            </w:pPr>
            <w:r w:rsidRPr="00C06B88">
              <w:rPr>
                <w:rFonts w:ascii="Arial" w:hAnsi="Arial" w:cs="Arial"/>
              </w:rPr>
              <w:t>1.000</w:t>
            </w:r>
          </w:p>
        </w:tc>
        <w:tc>
          <w:tcPr>
            <w:tcW w:w="0" w:type="auto"/>
            <w:hideMark/>
          </w:tcPr>
          <w:p w14:paraId="4D7B1882" w14:textId="77777777" w:rsidR="00C06B88" w:rsidRPr="00C06B88" w:rsidRDefault="00C06B88" w:rsidP="004B65BA">
            <w:pPr>
              <w:spacing w:after="160" w:line="360" w:lineRule="auto"/>
              <w:rPr>
                <w:rFonts w:ascii="Arial" w:hAnsi="Arial" w:cs="Arial"/>
              </w:rPr>
            </w:pPr>
            <w:r w:rsidRPr="00C06B88">
              <w:rPr>
                <w:rFonts w:ascii="Arial" w:hAnsi="Arial" w:cs="Arial"/>
              </w:rPr>
              <w:t>(40.00)</w:t>
            </w:r>
          </w:p>
        </w:tc>
        <w:tc>
          <w:tcPr>
            <w:tcW w:w="0" w:type="auto"/>
            <w:hideMark/>
          </w:tcPr>
          <w:p w14:paraId="066803EE" w14:textId="77777777" w:rsidR="00C06B88" w:rsidRPr="00C06B88" w:rsidRDefault="00C06B88" w:rsidP="004B65BA">
            <w:pPr>
              <w:spacing w:after="160" w:line="360" w:lineRule="auto"/>
              <w:rPr>
                <w:rFonts w:ascii="Arial" w:hAnsi="Arial" w:cs="Arial"/>
              </w:rPr>
            </w:pPr>
            <w:r w:rsidRPr="00C06B88">
              <w:rPr>
                <w:rFonts w:ascii="Arial" w:hAnsi="Arial" w:cs="Arial"/>
              </w:rPr>
              <w:t>(30.00)</w:t>
            </w:r>
          </w:p>
        </w:tc>
        <w:tc>
          <w:tcPr>
            <w:tcW w:w="0" w:type="auto"/>
            <w:hideMark/>
          </w:tcPr>
          <w:p w14:paraId="5F6B66A0" w14:textId="77777777" w:rsidR="00C06B88" w:rsidRPr="00C06B88" w:rsidRDefault="00C06B88" w:rsidP="004B65BA">
            <w:pPr>
              <w:spacing w:after="160" w:line="360" w:lineRule="auto"/>
              <w:rPr>
                <w:rFonts w:ascii="Arial" w:hAnsi="Arial" w:cs="Arial"/>
              </w:rPr>
            </w:pPr>
            <w:r w:rsidRPr="00C06B88">
              <w:rPr>
                <w:rFonts w:ascii="Arial" w:hAnsi="Arial" w:cs="Arial"/>
              </w:rPr>
              <w:t>(50.00)</w:t>
            </w:r>
          </w:p>
        </w:tc>
      </w:tr>
      <w:tr w:rsidR="00C06B88" w:rsidRPr="00C06B88" w14:paraId="3E24D0C8" w14:textId="77777777" w:rsidTr="00AE2029">
        <w:tc>
          <w:tcPr>
            <w:tcW w:w="0" w:type="auto"/>
            <w:hideMark/>
          </w:tcPr>
          <w:p w14:paraId="3F0F8C32" w14:textId="77777777" w:rsidR="00C06B88" w:rsidRPr="00C06B88" w:rsidRDefault="00C06B88" w:rsidP="004B65BA">
            <w:pPr>
              <w:spacing w:after="160" w:line="360" w:lineRule="auto"/>
              <w:rPr>
                <w:rFonts w:ascii="Arial" w:hAnsi="Arial" w:cs="Arial"/>
              </w:rPr>
            </w:pPr>
            <w:r w:rsidRPr="00C06B88">
              <w:rPr>
                <w:rFonts w:ascii="Arial" w:hAnsi="Arial" w:cs="Arial"/>
              </w:rPr>
              <w:t>1</w:t>
            </w:r>
          </w:p>
        </w:tc>
        <w:tc>
          <w:tcPr>
            <w:tcW w:w="0" w:type="auto"/>
            <w:hideMark/>
          </w:tcPr>
          <w:p w14:paraId="52822D8F" w14:textId="77777777" w:rsidR="00C06B88" w:rsidRPr="00C06B88" w:rsidRDefault="00C06B88" w:rsidP="004B65BA">
            <w:pPr>
              <w:spacing w:after="160" w:line="360" w:lineRule="auto"/>
              <w:rPr>
                <w:rFonts w:ascii="Arial" w:hAnsi="Arial" w:cs="Arial"/>
              </w:rPr>
            </w:pPr>
            <w:r w:rsidRPr="00C06B88">
              <w:rPr>
                <w:rFonts w:ascii="Arial" w:hAnsi="Arial" w:cs="Arial"/>
              </w:rPr>
              <w:t>0.909</w:t>
            </w:r>
          </w:p>
        </w:tc>
        <w:tc>
          <w:tcPr>
            <w:tcW w:w="0" w:type="auto"/>
            <w:hideMark/>
          </w:tcPr>
          <w:p w14:paraId="671AA728" w14:textId="77777777" w:rsidR="00C06B88" w:rsidRPr="00C06B88" w:rsidRDefault="00C06B88" w:rsidP="004B65BA">
            <w:pPr>
              <w:spacing w:after="160" w:line="360" w:lineRule="auto"/>
              <w:rPr>
                <w:rFonts w:ascii="Arial" w:hAnsi="Arial" w:cs="Arial"/>
              </w:rPr>
            </w:pPr>
            <w:r w:rsidRPr="00C06B88">
              <w:rPr>
                <w:rFonts w:ascii="Arial" w:hAnsi="Arial" w:cs="Arial"/>
              </w:rPr>
              <w:t>9.09</w:t>
            </w:r>
          </w:p>
        </w:tc>
        <w:tc>
          <w:tcPr>
            <w:tcW w:w="0" w:type="auto"/>
            <w:hideMark/>
          </w:tcPr>
          <w:p w14:paraId="048B8C11" w14:textId="77777777" w:rsidR="00C06B88" w:rsidRPr="00C06B88" w:rsidRDefault="00C06B88" w:rsidP="004B65BA">
            <w:pPr>
              <w:spacing w:after="160" w:line="360" w:lineRule="auto"/>
              <w:rPr>
                <w:rFonts w:ascii="Arial" w:hAnsi="Arial" w:cs="Arial"/>
              </w:rPr>
            </w:pPr>
            <w:r w:rsidRPr="00C06B88">
              <w:rPr>
                <w:rFonts w:ascii="Arial" w:hAnsi="Arial" w:cs="Arial"/>
              </w:rPr>
              <w:t>5.45</w:t>
            </w:r>
          </w:p>
        </w:tc>
        <w:tc>
          <w:tcPr>
            <w:tcW w:w="0" w:type="auto"/>
            <w:hideMark/>
          </w:tcPr>
          <w:p w14:paraId="7889162E" w14:textId="77777777" w:rsidR="00C06B88" w:rsidRPr="00C06B88" w:rsidRDefault="00C06B88" w:rsidP="004B65BA">
            <w:pPr>
              <w:spacing w:after="160" w:line="360" w:lineRule="auto"/>
              <w:rPr>
                <w:rFonts w:ascii="Arial" w:hAnsi="Arial" w:cs="Arial"/>
              </w:rPr>
            </w:pPr>
            <w:r w:rsidRPr="00C06B88">
              <w:rPr>
                <w:rFonts w:ascii="Arial" w:hAnsi="Arial" w:cs="Arial"/>
              </w:rPr>
              <w:t>4.55</w:t>
            </w:r>
          </w:p>
        </w:tc>
      </w:tr>
      <w:tr w:rsidR="00C06B88" w:rsidRPr="00C06B88" w14:paraId="6E6C5883" w14:textId="77777777" w:rsidTr="00AE2029">
        <w:tc>
          <w:tcPr>
            <w:tcW w:w="0" w:type="auto"/>
            <w:hideMark/>
          </w:tcPr>
          <w:p w14:paraId="256A5C0E" w14:textId="77777777" w:rsidR="00C06B88" w:rsidRPr="00C06B88" w:rsidRDefault="00C06B88" w:rsidP="004B65BA">
            <w:pPr>
              <w:spacing w:after="160" w:line="360" w:lineRule="auto"/>
              <w:rPr>
                <w:rFonts w:ascii="Arial" w:hAnsi="Arial" w:cs="Arial"/>
              </w:rPr>
            </w:pPr>
            <w:r w:rsidRPr="00C06B88">
              <w:rPr>
                <w:rFonts w:ascii="Arial" w:hAnsi="Arial" w:cs="Arial"/>
              </w:rPr>
              <w:t>2</w:t>
            </w:r>
          </w:p>
        </w:tc>
        <w:tc>
          <w:tcPr>
            <w:tcW w:w="0" w:type="auto"/>
            <w:hideMark/>
          </w:tcPr>
          <w:p w14:paraId="7C5A3EED" w14:textId="77777777" w:rsidR="00C06B88" w:rsidRPr="00C06B88" w:rsidRDefault="00C06B88" w:rsidP="004B65BA">
            <w:pPr>
              <w:spacing w:after="160" w:line="360" w:lineRule="auto"/>
              <w:rPr>
                <w:rFonts w:ascii="Arial" w:hAnsi="Arial" w:cs="Arial"/>
              </w:rPr>
            </w:pPr>
            <w:r w:rsidRPr="00C06B88">
              <w:rPr>
                <w:rFonts w:ascii="Arial" w:hAnsi="Arial" w:cs="Arial"/>
              </w:rPr>
              <w:t>0.826</w:t>
            </w:r>
          </w:p>
        </w:tc>
        <w:tc>
          <w:tcPr>
            <w:tcW w:w="0" w:type="auto"/>
            <w:hideMark/>
          </w:tcPr>
          <w:p w14:paraId="2D2D12FE" w14:textId="77777777" w:rsidR="00C06B88" w:rsidRPr="00C06B88" w:rsidRDefault="00C06B88" w:rsidP="004B65BA">
            <w:pPr>
              <w:spacing w:after="160" w:line="360" w:lineRule="auto"/>
              <w:rPr>
                <w:rFonts w:ascii="Arial" w:hAnsi="Arial" w:cs="Arial"/>
              </w:rPr>
            </w:pPr>
            <w:r w:rsidRPr="00C06B88">
              <w:rPr>
                <w:rFonts w:ascii="Arial" w:hAnsi="Arial" w:cs="Arial"/>
              </w:rPr>
              <w:t>9.91</w:t>
            </w:r>
          </w:p>
        </w:tc>
        <w:tc>
          <w:tcPr>
            <w:tcW w:w="0" w:type="auto"/>
            <w:hideMark/>
          </w:tcPr>
          <w:p w14:paraId="353E6EB8" w14:textId="77777777" w:rsidR="00C06B88" w:rsidRPr="00C06B88" w:rsidRDefault="00C06B88" w:rsidP="004B65BA">
            <w:pPr>
              <w:spacing w:after="160" w:line="360" w:lineRule="auto"/>
              <w:rPr>
                <w:rFonts w:ascii="Arial" w:hAnsi="Arial" w:cs="Arial"/>
              </w:rPr>
            </w:pPr>
            <w:r w:rsidRPr="00C06B88">
              <w:rPr>
                <w:rFonts w:ascii="Arial" w:hAnsi="Arial" w:cs="Arial"/>
              </w:rPr>
              <w:t>4.96</w:t>
            </w:r>
          </w:p>
        </w:tc>
        <w:tc>
          <w:tcPr>
            <w:tcW w:w="0" w:type="auto"/>
            <w:hideMark/>
          </w:tcPr>
          <w:p w14:paraId="372A5785" w14:textId="77777777" w:rsidR="00C06B88" w:rsidRPr="00C06B88" w:rsidRDefault="00C06B88" w:rsidP="004B65BA">
            <w:pPr>
              <w:spacing w:after="160" w:line="360" w:lineRule="auto"/>
              <w:rPr>
                <w:rFonts w:ascii="Arial" w:hAnsi="Arial" w:cs="Arial"/>
              </w:rPr>
            </w:pPr>
            <w:r w:rsidRPr="00C06B88">
              <w:rPr>
                <w:rFonts w:ascii="Arial" w:hAnsi="Arial" w:cs="Arial"/>
              </w:rPr>
              <w:t>8.26</w:t>
            </w:r>
          </w:p>
        </w:tc>
      </w:tr>
      <w:tr w:rsidR="00C06B88" w:rsidRPr="00C06B88" w14:paraId="2341812B" w14:textId="77777777" w:rsidTr="00AE2029">
        <w:tc>
          <w:tcPr>
            <w:tcW w:w="0" w:type="auto"/>
            <w:hideMark/>
          </w:tcPr>
          <w:p w14:paraId="4D8C9991" w14:textId="77777777" w:rsidR="00C06B88" w:rsidRPr="00C06B88" w:rsidRDefault="00C06B88" w:rsidP="004B65BA">
            <w:pPr>
              <w:spacing w:after="160" w:line="360" w:lineRule="auto"/>
              <w:rPr>
                <w:rFonts w:ascii="Arial" w:hAnsi="Arial" w:cs="Arial"/>
              </w:rPr>
            </w:pPr>
            <w:r w:rsidRPr="00C06B88">
              <w:rPr>
                <w:rFonts w:ascii="Arial" w:hAnsi="Arial" w:cs="Arial"/>
              </w:rPr>
              <w:t>3</w:t>
            </w:r>
          </w:p>
        </w:tc>
        <w:tc>
          <w:tcPr>
            <w:tcW w:w="0" w:type="auto"/>
            <w:hideMark/>
          </w:tcPr>
          <w:p w14:paraId="25EC32CF" w14:textId="77777777" w:rsidR="00C06B88" w:rsidRPr="00C06B88" w:rsidRDefault="00C06B88" w:rsidP="004B65BA">
            <w:pPr>
              <w:spacing w:after="160" w:line="360" w:lineRule="auto"/>
              <w:rPr>
                <w:rFonts w:ascii="Arial" w:hAnsi="Arial" w:cs="Arial"/>
              </w:rPr>
            </w:pPr>
            <w:r w:rsidRPr="00C06B88">
              <w:rPr>
                <w:rFonts w:ascii="Arial" w:hAnsi="Arial" w:cs="Arial"/>
              </w:rPr>
              <w:t>0.751</w:t>
            </w:r>
          </w:p>
        </w:tc>
        <w:tc>
          <w:tcPr>
            <w:tcW w:w="0" w:type="auto"/>
            <w:hideMark/>
          </w:tcPr>
          <w:p w14:paraId="7165EE96" w14:textId="77777777" w:rsidR="00C06B88" w:rsidRPr="00C06B88" w:rsidRDefault="00C06B88" w:rsidP="004B65BA">
            <w:pPr>
              <w:spacing w:after="160" w:line="360" w:lineRule="auto"/>
              <w:rPr>
                <w:rFonts w:ascii="Arial" w:hAnsi="Arial" w:cs="Arial"/>
              </w:rPr>
            </w:pPr>
            <w:r w:rsidRPr="00C06B88">
              <w:rPr>
                <w:rFonts w:ascii="Arial" w:hAnsi="Arial" w:cs="Arial"/>
              </w:rPr>
              <w:t>10.51</w:t>
            </w:r>
          </w:p>
        </w:tc>
        <w:tc>
          <w:tcPr>
            <w:tcW w:w="0" w:type="auto"/>
            <w:hideMark/>
          </w:tcPr>
          <w:p w14:paraId="6E7EE3F4" w14:textId="77777777" w:rsidR="00C06B88" w:rsidRPr="00C06B88" w:rsidRDefault="00C06B88" w:rsidP="004B65BA">
            <w:pPr>
              <w:spacing w:after="160" w:line="360" w:lineRule="auto"/>
              <w:rPr>
                <w:rFonts w:ascii="Arial" w:hAnsi="Arial" w:cs="Arial"/>
              </w:rPr>
            </w:pPr>
            <w:r w:rsidRPr="00C06B88">
              <w:rPr>
                <w:rFonts w:ascii="Arial" w:hAnsi="Arial" w:cs="Arial"/>
              </w:rPr>
              <w:t>4.51</w:t>
            </w:r>
          </w:p>
        </w:tc>
        <w:tc>
          <w:tcPr>
            <w:tcW w:w="0" w:type="auto"/>
            <w:hideMark/>
          </w:tcPr>
          <w:p w14:paraId="14FC0466" w14:textId="77777777" w:rsidR="00C06B88" w:rsidRPr="00C06B88" w:rsidRDefault="00C06B88" w:rsidP="004B65BA">
            <w:pPr>
              <w:spacing w:after="160" w:line="360" w:lineRule="auto"/>
              <w:rPr>
                <w:rFonts w:ascii="Arial" w:hAnsi="Arial" w:cs="Arial"/>
              </w:rPr>
            </w:pPr>
            <w:r w:rsidRPr="00C06B88">
              <w:rPr>
                <w:rFonts w:ascii="Arial" w:hAnsi="Arial" w:cs="Arial"/>
              </w:rPr>
              <w:t>15.02</w:t>
            </w:r>
          </w:p>
        </w:tc>
      </w:tr>
      <w:tr w:rsidR="00C06B88" w:rsidRPr="00C06B88" w14:paraId="5B4C27D1" w14:textId="77777777" w:rsidTr="00AE2029">
        <w:tc>
          <w:tcPr>
            <w:tcW w:w="0" w:type="auto"/>
            <w:hideMark/>
          </w:tcPr>
          <w:p w14:paraId="2305065F" w14:textId="77777777" w:rsidR="00C06B88" w:rsidRPr="00C06B88" w:rsidRDefault="00C06B88" w:rsidP="004B65BA">
            <w:pPr>
              <w:spacing w:after="160" w:line="360" w:lineRule="auto"/>
              <w:rPr>
                <w:rFonts w:ascii="Arial" w:hAnsi="Arial" w:cs="Arial"/>
              </w:rPr>
            </w:pPr>
            <w:r w:rsidRPr="00C06B88">
              <w:rPr>
                <w:rFonts w:ascii="Arial" w:hAnsi="Arial" w:cs="Arial"/>
              </w:rPr>
              <w:t>4</w:t>
            </w:r>
          </w:p>
        </w:tc>
        <w:tc>
          <w:tcPr>
            <w:tcW w:w="0" w:type="auto"/>
            <w:hideMark/>
          </w:tcPr>
          <w:p w14:paraId="12D22363" w14:textId="77777777" w:rsidR="00C06B88" w:rsidRPr="00C06B88" w:rsidRDefault="00C06B88" w:rsidP="004B65BA">
            <w:pPr>
              <w:spacing w:after="160" w:line="360" w:lineRule="auto"/>
              <w:rPr>
                <w:rFonts w:ascii="Arial" w:hAnsi="Arial" w:cs="Arial"/>
              </w:rPr>
            </w:pPr>
            <w:r w:rsidRPr="00C06B88">
              <w:rPr>
                <w:rFonts w:ascii="Arial" w:hAnsi="Arial" w:cs="Arial"/>
              </w:rPr>
              <w:t>0.683</w:t>
            </w:r>
          </w:p>
        </w:tc>
        <w:tc>
          <w:tcPr>
            <w:tcW w:w="0" w:type="auto"/>
            <w:hideMark/>
          </w:tcPr>
          <w:p w14:paraId="22A43B46" w14:textId="77777777" w:rsidR="00C06B88" w:rsidRPr="00C06B88" w:rsidRDefault="00C06B88" w:rsidP="004B65BA">
            <w:pPr>
              <w:spacing w:after="160" w:line="360" w:lineRule="auto"/>
              <w:rPr>
                <w:rFonts w:ascii="Arial" w:hAnsi="Arial" w:cs="Arial"/>
              </w:rPr>
            </w:pPr>
            <w:r w:rsidRPr="00C06B88">
              <w:rPr>
                <w:rFonts w:ascii="Arial" w:hAnsi="Arial" w:cs="Arial"/>
              </w:rPr>
              <w:t>6.83</w:t>
            </w:r>
          </w:p>
        </w:tc>
        <w:tc>
          <w:tcPr>
            <w:tcW w:w="0" w:type="auto"/>
            <w:hideMark/>
          </w:tcPr>
          <w:p w14:paraId="1182A9A6" w14:textId="77777777" w:rsidR="00C06B88" w:rsidRPr="00C06B88" w:rsidRDefault="00C06B88" w:rsidP="004B65BA">
            <w:pPr>
              <w:spacing w:after="160" w:line="360" w:lineRule="auto"/>
              <w:rPr>
                <w:rFonts w:ascii="Arial" w:hAnsi="Arial" w:cs="Arial"/>
              </w:rPr>
            </w:pPr>
            <w:r w:rsidRPr="00C06B88">
              <w:rPr>
                <w:rFonts w:ascii="Arial" w:hAnsi="Arial" w:cs="Arial"/>
              </w:rPr>
              <w:t>4.10</w:t>
            </w:r>
          </w:p>
        </w:tc>
        <w:tc>
          <w:tcPr>
            <w:tcW w:w="0" w:type="auto"/>
            <w:hideMark/>
          </w:tcPr>
          <w:p w14:paraId="5CB30824" w14:textId="77777777" w:rsidR="00C06B88" w:rsidRPr="00C06B88" w:rsidRDefault="00C06B88" w:rsidP="004B65BA">
            <w:pPr>
              <w:spacing w:after="160" w:line="360" w:lineRule="auto"/>
              <w:rPr>
                <w:rFonts w:ascii="Arial" w:hAnsi="Arial" w:cs="Arial"/>
              </w:rPr>
            </w:pPr>
            <w:r w:rsidRPr="00C06B88">
              <w:rPr>
                <w:rFonts w:ascii="Arial" w:hAnsi="Arial" w:cs="Arial"/>
              </w:rPr>
              <w:t>17.08</w:t>
            </w:r>
          </w:p>
        </w:tc>
      </w:tr>
      <w:tr w:rsidR="00C06B88" w:rsidRPr="00C06B88" w14:paraId="36F1C733" w14:textId="77777777" w:rsidTr="00AE2029">
        <w:tc>
          <w:tcPr>
            <w:tcW w:w="0" w:type="auto"/>
            <w:hideMark/>
          </w:tcPr>
          <w:p w14:paraId="13A0557E" w14:textId="77777777" w:rsidR="00C06B88" w:rsidRPr="00C06B88" w:rsidRDefault="00C06B88" w:rsidP="004B65BA">
            <w:pPr>
              <w:spacing w:after="160" w:line="360" w:lineRule="auto"/>
              <w:rPr>
                <w:rFonts w:ascii="Arial" w:hAnsi="Arial" w:cs="Arial"/>
              </w:rPr>
            </w:pPr>
            <w:r w:rsidRPr="00C06B88">
              <w:rPr>
                <w:rFonts w:ascii="Arial" w:hAnsi="Arial" w:cs="Arial"/>
              </w:rPr>
              <w:t>5</w:t>
            </w:r>
          </w:p>
        </w:tc>
        <w:tc>
          <w:tcPr>
            <w:tcW w:w="0" w:type="auto"/>
            <w:hideMark/>
          </w:tcPr>
          <w:p w14:paraId="08FC9114" w14:textId="77777777" w:rsidR="00C06B88" w:rsidRPr="00C06B88" w:rsidRDefault="00C06B88" w:rsidP="004B65BA">
            <w:pPr>
              <w:spacing w:after="160" w:line="360" w:lineRule="auto"/>
              <w:rPr>
                <w:rFonts w:ascii="Arial" w:hAnsi="Arial" w:cs="Arial"/>
              </w:rPr>
            </w:pPr>
            <w:r w:rsidRPr="00C06B88">
              <w:rPr>
                <w:rFonts w:ascii="Arial" w:hAnsi="Arial" w:cs="Arial"/>
              </w:rPr>
              <w:t>0.621</w:t>
            </w:r>
          </w:p>
        </w:tc>
        <w:tc>
          <w:tcPr>
            <w:tcW w:w="0" w:type="auto"/>
            <w:hideMark/>
          </w:tcPr>
          <w:p w14:paraId="5C56589F" w14:textId="77777777" w:rsidR="00C06B88" w:rsidRPr="00C06B88" w:rsidRDefault="00C06B88" w:rsidP="004B65BA">
            <w:pPr>
              <w:spacing w:after="160" w:line="360" w:lineRule="auto"/>
              <w:rPr>
                <w:rFonts w:ascii="Arial" w:hAnsi="Arial" w:cs="Arial"/>
              </w:rPr>
            </w:pPr>
            <w:r w:rsidRPr="00C06B88">
              <w:rPr>
                <w:rFonts w:ascii="Arial" w:hAnsi="Arial" w:cs="Arial"/>
              </w:rPr>
              <w:t>4.97</w:t>
            </w:r>
          </w:p>
        </w:tc>
        <w:tc>
          <w:tcPr>
            <w:tcW w:w="0" w:type="auto"/>
            <w:hideMark/>
          </w:tcPr>
          <w:p w14:paraId="7792B9FA" w14:textId="77777777" w:rsidR="00C06B88" w:rsidRPr="00C06B88" w:rsidRDefault="00C06B88" w:rsidP="004B65BA">
            <w:pPr>
              <w:spacing w:after="160" w:line="360" w:lineRule="auto"/>
              <w:rPr>
                <w:rFonts w:ascii="Arial" w:hAnsi="Arial" w:cs="Arial"/>
              </w:rPr>
            </w:pPr>
            <w:r w:rsidRPr="00C06B88">
              <w:rPr>
                <w:rFonts w:ascii="Arial" w:hAnsi="Arial" w:cs="Arial"/>
              </w:rPr>
              <w:t>3.73</w:t>
            </w:r>
          </w:p>
        </w:tc>
        <w:tc>
          <w:tcPr>
            <w:tcW w:w="0" w:type="auto"/>
            <w:hideMark/>
          </w:tcPr>
          <w:p w14:paraId="52F5B371" w14:textId="77777777" w:rsidR="00C06B88" w:rsidRPr="00C06B88" w:rsidRDefault="00C06B88" w:rsidP="004B65BA">
            <w:pPr>
              <w:spacing w:after="160" w:line="360" w:lineRule="auto"/>
              <w:rPr>
                <w:rFonts w:ascii="Arial" w:hAnsi="Arial" w:cs="Arial"/>
              </w:rPr>
            </w:pPr>
            <w:r w:rsidRPr="00C06B88">
              <w:rPr>
                <w:rFonts w:ascii="Arial" w:hAnsi="Arial" w:cs="Arial"/>
              </w:rPr>
              <w:t>9.32</w:t>
            </w:r>
          </w:p>
        </w:tc>
      </w:tr>
      <w:tr w:rsidR="00C06B88" w:rsidRPr="00C06B88" w14:paraId="71B2D3CB" w14:textId="77777777" w:rsidTr="00AE2029">
        <w:tc>
          <w:tcPr>
            <w:tcW w:w="0" w:type="auto"/>
            <w:hideMark/>
          </w:tcPr>
          <w:p w14:paraId="7473BE80" w14:textId="77777777" w:rsidR="00C06B88" w:rsidRPr="00C06B88" w:rsidRDefault="00C06B88" w:rsidP="004B65BA">
            <w:pPr>
              <w:spacing w:after="160" w:line="360" w:lineRule="auto"/>
              <w:rPr>
                <w:rFonts w:ascii="Arial" w:hAnsi="Arial" w:cs="Arial"/>
              </w:rPr>
            </w:pPr>
            <w:r w:rsidRPr="00C06B88">
              <w:rPr>
                <w:rFonts w:ascii="Arial" w:hAnsi="Arial" w:cs="Arial"/>
                <w:b/>
                <w:bCs/>
              </w:rPr>
              <w:t>Total PV Inflows</w:t>
            </w:r>
          </w:p>
        </w:tc>
        <w:tc>
          <w:tcPr>
            <w:tcW w:w="0" w:type="auto"/>
            <w:hideMark/>
          </w:tcPr>
          <w:p w14:paraId="17601F93" w14:textId="77777777" w:rsidR="00C06B88" w:rsidRPr="00C06B88" w:rsidRDefault="00C06B88" w:rsidP="004B65BA">
            <w:pPr>
              <w:spacing w:after="160" w:line="360" w:lineRule="auto"/>
              <w:rPr>
                <w:rFonts w:ascii="Arial" w:hAnsi="Arial" w:cs="Arial"/>
              </w:rPr>
            </w:pPr>
          </w:p>
        </w:tc>
        <w:tc>
          <w:tcPr>
            <w:tcW w:w="0" w:type="auto"/>
            <w:hideMark/>
          </w:tcPr>
          <w:p w14:paraId="5DA8139B" w14:textId="77777777" w:rsidR="00C06B88" w:rsidRPr="00C06B88" w:rsidRDefault="00C06B88" w:rsidP="004B65BA">
            <w:pPr>
              <w:spacing w:after="160" w:line="360" w:lineRule="auto"/>
              <w:rPr>
                <w:rFonts w:ascii="Arial" w:hAnsi="Arial" w:cs="Arial"/>
              </w:rPr>
            </w:pPr>
            <w:r w:rsidRPr="00C06B88">
              <w:rPr>
                <w:rFonts w:ascii="Arial" w:hAnsi="Arial" w:cs="Arial"/>
                <w:b/>
                <w:bCs/>
              </w:rPr>
              <w:t>41.31</w:t>
            </w:r>
          </w:p>
        </w:tc>
        <w:tc>
          <w:tcPr>
            <w:tcW w:w="0" w:type="auto"/>
            <w:hideMark/>
          </w:tcPr>
          <w:p w14:paraId="14050CE9" w14:textId="77777777" w:rsidR="00C06B88" w:rsidRPr="00C06B88" w:rsidRDefault="00C06B88" w:rsidP="004B65BA">
            <w:pPr>
              <w:spacing w:after="160" w:line="360" w:lineRule="auto"/>
              <w:rPr>
                <w:rFonts w:ascii="Arial" w:hAnsi="Arial" w:cs="Arial"/>
              </w:rPr>
            </w:pPr>
            <w:r w:rsidRPr="00C06B88">
              <w:rPr>
                <w:rFonts w:ascii="Arial" w:hAnsi="Arial" w:cs="Arial"/>
                <w:b/>
                <w:bCs/>
              </w:rPr>
              <w:t>22.75</w:t>
            </w:r>
          </w:p>
        </w:tc>
        <w:tc>
          <w:tcPr>
            <w:tcW w:w="0" w:type="auto"/>
            <w:hideMark/>
          </w:tcPr>
          <w:p w14:paraId="20CCF3D4" w14:textId="77777777" w:rsidR="00C06B88" w:rsidRPr="00C06B88" w:rsidRDefault="00C06B88" w:rsidP="004B65BA">
            <w:pPr>
              <w:spacing w:after="160" w:line="360" w:lineRule="auto"/>
              <w:rPr>
                <w:rFonts w:ascii="Arial" w:hAnsi="Arial" w:cs="Arial"/>
              </w:rPr>
            </w:pPr>
            <w:r w:rsidRPr="00C06B88">
              <w:rPr>
                <w:rFonts w:ascii="Arial" w:hAnsi="Arial" w:cs="Arial"/>
                <w:b/>
                <w:bCs/>
              </w:rPr>
              <w:t>54.23</w:t>
            </w:r>
          </w:p>
        </w:tc>
      </w:tr>
      <w:tr w:rsidR="00C06B88" w:rsidRPr="00C06B88" w14:paraId="3B38ACFB" w14:textId="77777777" w:rsidTr="00AE2029">
        <w:tc>
          <w:tcPr>
            <w:tcW w:w="0" w:type="auto"/>
            <w:hideMark/>
          </w:tcPr>
          <w:p w14:paraId="74741365" w14:textId="77777777" w:rsidR="00C06B88" w:rsidRPr="00C06B88" w:rsidRDefault="00C06B88" w:rsidP="004B65BA">
            <w:pPr>
              <w:spacing w:after="160" w:line="360" w:lineRule="auto"/>
              <w:rPr>
                <w:rFonts w:ascii="Arial" w:hAnsi="Arial" w:cs="Arial"/>
              </w:rPr>
            </w:pPr>
            <w:r w:rsidRPr="00C06B88">
              <w:rPr>
                <w:rFonts w:ascii="Arial" w:hAnsi="Arial" w:cs="Arial"/>
                <w:b/>
                <w:bCs/>
              </w:rPr>
              <w:t>NPV</w:t>
            </w:r>
          </w:p>
        </w:tc>
        <w:tc>
          <w:tcPr>
            <w:tcW w:w="0" w:type="auto"/>
            <w:hideMark/>
          </w:tcPr>
          <w:p w14:paraId="24190540" w14:textId="77777777" w:rsidR="00C06B88" w:rsidRPr="00C06B88" w:rsidRDefault="00C06B88" w:rsidP="004B65BA">
            <w:pPr>
              <w:spacing w:after="160" w:line="360" w:lineRule="auto"/>
              <w:rPr>
                <w:rFonts w:ascii="Arial" w:hAnsi="Arial" w:cs="Arial"/>
              </w:rPr>
            </w:pPr>
          </w:p>
        </w:tc>
        <w:tc>
          <w:tcPr>
            <w:tcW w:w="0" w:type="auto"/>
            <w:hideMark/>
          </w:tcPr>
          <w:p w14:paraId="6EEB2FF4" w14:textId="77777777" w:rsidR="00C06B88" w:rsidRPr="00C06B88" w:rsidRDefault="00C06B88" w:rsidP="004B65BA">
            <w:pPr>
              <w:spacing w:after="160" w:line="360" w:lineRule="auto"/>
              <w:rPr>
                <w:rFonts w:ascii="Arial" w:hAnsi="Arial" w:cs="Arial"/>
              </w:rPr>
            </w:pPr>
            <w:r w:rsidRPr="00C06B88">
              <w:rPr>
                <w:rFonts w:ascii="Arial" w:hAnsi="Arial" w:cs="Arial"/>
                <w:b/>
                <w:bCs/>
              </w:rPr>
              <w:t>+1.31</w:t>
            </w:r>
          </w:p>
        </w:tc>
        <w:tc>
          <w:tcPr>
            <w:tcW w:w="0" w:type="auto"/>
            <w:hideMark/>
          </w:tcPr>
          <w:p w14:paraId="4F9B9D53" w14:textId="77777777" w:rsidR="00C06B88" w:rsidRPr="00C06B88" w:rsidRDefault="00C06B88" w:rsidP="004B65BA">
            <w:pPr>
              <w:spacing w:after="160" w:line="360" w:lineRule="auto"/>
              <w:rPr>
                <w:rFonts w:ascii="Arial" w:hAnsi="Arial" w:cs="Arial"/>
              </w:rPr>
            </w:pPr>
            <w:r w:rsidRPr="00C06B88">
              <w:rPr>
                <w:rFonts w:ascii="Arial" w:hAnsi="Arial" w:cs="Arial"/>
                <w:b/>
                <w:bCs/>
              </w:rPr>
              <w:t>–7.25</w:t>
            </w:r>
          </w:p>
        </w:tc>
        <w:tc>
          <w:tcPr>
            <w:tcW w:w="0" w:type="auto"/>
            <w:hideMark/>
          </w:tcPr>
          <w:p w14:paraId="1FEF5265" w14:textId="77777777" w:rsidR="00C06B88" w:rsidRPr="00C06B88" w:rsidRDefault="00C06B88" w:rsidP="004B65BA">
            <w:pPr>
              <w:spacing w:after="160" w:line="360" w:lineRule="auto"/>
              <w:rPr>
                <w:rFonts w:ascii="Arial" w:hAnsi="Arial" w:cs="Arial"/>
              </w:rPr>
            </w:pPr>
            <w:r w:rsidRPr="00C06B88">
              <w:rPr>
                <w:rFonts w:ascii="Arial" w:hAnsi="Arial" w:cs="Arial"/>
                <w:b/>
                <w:bCs/>
              </w:rPr>
              <w:t>+4.23</w:t>
            </w:r>
          </w:p>
        </w:tc>
      </w:tr>
    </w:tbl>
    <w:p w14:paraId="3A5AE9CE" w14:textId="77777777" w:rsidR="00D75139" w:rsidRDefault="00C06B88" w:rsidP="006C7160">
      <w:pPr>
        <w:spacing w:line="360" w:lineRule="auto"/>
        <w:jc w:val="both"/>
        <w:rPr>
          <w:rFonts w:ascii="Arial" w:hAnsi="Arial" w:cs="Arial"/>
        </w:rPr>
      </w:pPr>
      <w:r w:rsidRPr="00C06B88">
        <w:rPr>
          <w:rFonts w:ascii="Arial" w:hAnsi="Arial" w:cs="Arial"/>
          <w:b/>
          <w:bCs/>
        </w:rPr>
        <w:t>Interpretation:</w:t>
      </w:r>
      <w:r w:rsidRPr="00C06B88">
        <w:rPr>
          <w:rFonts w:ascii="Arial" w:hAnsi="Arial" w:cs="Arial"/>
        </w:rPr>
        <w:t xml:space="preserve"> </w:t>
      </w:r>
      <w:r w:rsidR="00D75139" w:rsidRPr="00D75139">
        <w:rPr>
          <w:rFonts w:ascii="Arial" w:hAnsi="Arial" w:cs="Arial"/>
        </w:rPr>
        <w:t>Projects A and C have positive NPVs (£1.31 m and £4.23 m); B is value-destroying (–£7.25 m).</w:t>
      </w:r>
    </w:p>
    <w:p w14:paraId="76D4871C" w14:textId="3F87086C" w:rsidR="00C06B88" w:rsidRPr="00C06B88" w:rsidRDefault="00C06B88" w:rsidP="006C7160">
      <w:pPr>
        <w:spacing w:line="360" w:lineRule="auto"/>
        <w:jc w:val="both"/>
        <w:rPr>
          <w:rFonts w:ascii="Arial" w:hAnsi="Arial" w:cs="Arial"/>
          <w:b/>
          <w:bCs/>
        </w:rPr>
      </w:pPr>
      <w:r w:rsidRPr="00C06B88">
        <w:rPr>
          <w:rFonts w:ascii="Arial" w:hAnsi="Arial" w:cs="Arial"/>
          <w:b/>
          <w:bCs/>
        </w:rPr>
        <w:t>5.6 Profitability Index (PI)</w:t>
      </w:r>
    </w:p>
    <w:p w14:paraId="52503AE7" w14:textId="500A2BEA" w:rsidR="00C06B88" w:rsidRPr="00C06B88" w:rsidRDefault="00AE2029" w:rsidP="006C7160">
      <w:pPr>
        <w:spacing w:line="360" w:lineRule="auto"/>
        <w:jc w:val="both"/>
        <w:rPr>
          <w:rFonts w:ascii="Arial" w:hAnsi="Arial" w:cs="Arial"/>
        </w:rPr>
      </w:pPr>
      <w:r w:rsidRPr="004B65BA">
        <w:rPr>
          <w:rFonts w:ascii="Arial" w:hAnsi="Arial" w:cs="Arial"/>
        </w:rPr>
        <w:t>PI= PV of Inflows​ / Initial Outlay</w:t>
      </w:r>
    </w:p>
    <w:tbl>
      <w:tblPr>
        <w:tblStyle w:val="TableGrid"/>
        <w:tblW w:w="0" w:type="auto"/>
        <w:tblLook w:val="04A0" w:firstRow="1" w:lastRow="0" w:firstColumn="1" w:lastColumn="0" w:noHBand="0" w:noVBand="1"/>
      </w:tblPr>
      <w:tblGrid>
        <w:gridCol w:w="1030"/>
        <w:gridCol w:w="684"/>
      </w:tblGrid>
      <w:tr w:rsidR="00C06B88" w:rsidRPr="00C06B88" w14:paraId="2787EBB8" w14:textId="77777777" w:rsidTr="00AE2029">
        <w:tc>
          <w:tcPr>
            <w:tcW w:w="0" w:type="auto"/>
            <w:hideMark/>
          </w:tcPr>
          <w:p w14:paraId="6AF081F6"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w:t>
            </w:r>
          </w:p>
        </w:tc>
        <w:tc>
          <w:tcPr>
            <w:tcW w:w="0" w:type="auto"/>
            <w:hideMark/>
          </w:tcPr>
          <w:p w14:paraId="27B6B69A"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PI</w:t>
            </w:r>
          </w:p>
        </w:tc>
      </w:tr>
      <w:tr w:rsidR="00C06B88" w:rsidRPr="00C06B88" w14:paraId="041F67BF" w14:textId="77777777" w:rsidTr="00AE2029">
        <w:tc>
          <w:tcPr>
            <w:tcW w:w="0" w:type="auto"/>
            <w:hideMark/>
          </w:tcPr>
          <w:p w14:paraId="246AA70B" w14:textId="77777777" w:rsidR="00C06B88" w:rsidRPr="00C06B88" w:rsidRDefault="00C06B88" w:rsidP="004B65BA">
            <w:pPr>
              <w:spacing w:after="160" w:line="360" w:lineRule="auto"/>
              <w:rPr>
                <w:rFonts w:ascii="Arial" w:hAnsi="Arial" w:cs="Arial"/>
              </w:rPr>
            </w:pPr>
            <w:r w:rsidRPr="00C06B88">
              <w:rPr>
                <w:rFonts w:ascii="Arial" w:hAnsi="Arial" w:cs="Arial"/>
              </w:rPr>
              <w:t>A</w:t>
            </w:r>
          </w:p>
        </w:tc>
        <w:tc>
          <w:tcPr>
            <w:tcW w:w="0" w:type="auto"/>
            <w:hideMark/>
          </w:tcPr>
          <w:p w14:paraId="2A97297D" w14:textId="77777777" w:rsidR="00C06B88" w:rsidRPr="00C06B88" w:rsidRDefault="00C06B88" w:rsidP="004B65BA">
            <w:pPr>
              <w:spacing w:after="160" w:line="360" w:lineRule="auto"/>
              <w:rPr>
                <w:rFonts w:ascii="Arial" w:hAnsi="Arial" w:cs="Arial"/>
              </w:rPr>
            </w:pPr>
            <w:r w:rsidRPr="00C06B88">
              <w:rPr>
                <w:rFonts w:ascii="Arial" w:hAnsi="Arial" w:cs="Arial"/>
              </w:rPr>
              <w:t>1.03</w:t>
            </w:r>
          </w:p>
        </w:tc>
      </w:tr>
      <w:tr w:rsidR="00C06B88" w:rsidRPr="00C06B88" w14:paraId="166B3CC5" w14:textId="77777777" w:rsidTr="00AE2029">
        <w:tc>
          <w:tcPr>
            <w:tcW w:w="0" w:type="auto"/>
            <w:hideMark/>
          </w:tcPr>
          <w:p w14:paraId="43DBBADE" w14:textId="77777777" w:rsidR="00C06B88" w:rsidRPr="00C06B88" w:rsidRDefault="00C06B88" w:rsidP="004B65BA">
            <w:pPr>
              <w:spacing w:after="160" w:line="360" w:lineRule="auto"/>
              <w:rPr>
                <w:rFonts w:ascii="Arial" w:hAnsi="Arial" w:cs="Arial"/>
              </w:rPr>
            </w:pPr>
            <w:r w:rsidRPr="00C06B88">
              <w:rPr>
                <w:rFonts w:ascii="Arial" w:hAnsi="Arial" w:cs="Arial"/>
              </w:rPr>
              <w:t>B</w:t>
            </w:r>
          </w:p>
        </w:tc>
        <w:tc>
          <w:tcPr>
            <w:tcW w:w="0" w:type="auto"/>
            <w:hideMark/>
          </w:tcPr>
          <w:p w14:paraId="5F9C9E21" w14:textId="77777777" w:rsidR="00C06B88" w:rsidRPr="00C06B88" w:rsidRDefault="00C06B88" w:rsidP="004B65BA">
            <w:pPr>
              <w:spacing w:after="160" w:line="360" w:lineRule="auto"/>
              <w:rPr>
                <w:rFonts w:ascii="Arial" w:hAnsi="Arial" w:cs="Arial"/>
              </w:rPr>
            </w:pPr>
            <w:r w:rsidRPr="00C06B88">
              <w:rPr>
                <w:rFonts w:ascii="Arial" w:hAnsi="Arial" w:cs="Arial"/>
              </w:rPr>
              <w:t>0.76</w:t>
            </w:r>
          </w:p>
        </w:tc>
      </w:tr>
      <w:tr w:rsidR="00C06B88" w:rsidRPr="00C06B88" w14:paraId="68749258" w14:textId="77777777" w:rsidTr="00AE2029">
        <w:tc>
          <w:tcPr>
            <w:tcW w:w="0" w:type="auto"/>
            <w:hideMark/>
          </w:tcPr>
          <w:p w14:paraId="2B0710CF" w14:textId="77777777" w:rsidR="00C06B88" w:rsidRPr="00C06B88" w:rsidRDefault="00C06B88" w:rsidP="004B65BA">
            <w:pPr>
              <w:spacing w:after="160" w:line="360" w:lineRule="auto"/>
              <w:rPr>
                <w:rFonts w:ascii="Arial" w:hAnsi="Arial" w:cs="Arial"/>
              </w:rPr>
            </w:pPr>
            <w:r w:rsidRPr="00C06B88">
              <w:rPr>
                <w:rFonts w:ascii="Arial" w:hAnsi="Arial" w:cs="Arial"/>
              </w:rPr>
              <w:lastRenderedPageBreak/>
              <w:t>C</w:t>
            </w:r>
          </w:p>
        </w:tc>
        <w:tc>
          <w:tcPr>
            <w:tcW w:w="0" w:type="auto"/>
            <w:hideMark/>
          </w:tcPr>
          <w:p w14:paraId="491C945D" w14:textId="77777777" w:rsidR="00C06B88" w:rsidRPr="00C06B88" w:rsidRDefault="00C06B88" w:rsidP="004B65BA">
            <w:pPr>
              <w:spacing w:after="160" w:line="360" w:lineRule="auto"/>
              <w:rPr>
                <w:rFonts w:ascii="Arial" w:hAnsi="Arial" w:cs="Arial"/>
              </w:rPr>
            </w:pPr>
            <w:r w:rsidRPr="00C06B88">
              <w:rPr>
                <w:rFonts w:ascii="Arial" w:hAnsi="Arial" w:cs="Arial"/>
              </w:rPr>
              <w:t>1.08</w:t>
            </w:r>
          </w:p>
        </w:tc>
      </w:tr>
    </w:tbl>
    <w:p w14:paraId="000AF356" w14:textId="77777777" w:rsidR="00D75139" w:rsidRDefault="00663E52" w:rsidP="00D75139">
      <w:pPr>
        <w:spacing w:line="360" w:lineRule="auto"/>
        <w:jc w:val="both"/>
        <w:rPr>
          <w:rFonts w:ascii="Arial" w:hAnsi="Arial" w:cs="Arial"/>
        </w:rPr>
      </w:pPr>
      <w:r w:rsidRPr="00663E52">
        <w:rPr>
          <w:rFonts w:ascii="Arial" w:hAnsi="Arial" w:cs="Arial"/>
          <w:b/>
          <w:bCs/>
        </w:rPr>
        <w:t>Interpretation:</w:t>
      </w:r>
      <w:r>
        <w:rPr>
          <w:rFonts w:ascii="Arial" w:hAnsi="Arial" w:cs="Arial"/>
        </w:rPr>
        <w:t xml:space="preserve"> </w:t>
      </w:r>
      <w:r w:rsidR="00D75139" w:rsidRPr="00D75139">
        <w:rPr>
          <w:rFonts w:ascii="Arial" w:hAnsi="Arial" w:cs="Arial"/>
        </w:rPr>
        <w:t>A PI &gt; 1 represents value added. Therefore, A and C are acceptable; C has the highest PI.</w:t>
      </w:r>
    </w:p>
    <w:p w14:paraId="79C0BC7F" w14:textId="7A71EFD7" w:rsidR="00C06B88" w:rsidRPr="00C06B88" w:rsidRDefault="00C06B88" w:rsidP="00D75139">
      <w:pPr>
        <w:spacing w:line="360" w:lineRule="auto"/>
        <w:jc w:val="both"/>
        <w:rPr>
          <w:rFonts w:ascii="Arial" w:hAnsi="Arial" w:cs="Arial"/>
          <w:b/>
          <w:bCs/>
        </w:rPr>
      </w:pPr>
      <w:r w:rsidRPr="00C06B88">
        <w:rPr>
          <w:rFonts w:ascii="Arial" w:hAnsi="Arial" w:cs="Arial"/>
          <w:b/>
          <w:bCs/>
        </w:rPr>
        <w:t>5.7 Internal Rate of Return (IRR)</w:t>
      </w:r>
    </w:p>
    <w:tbl>
      <w:tblPr>
        <w:tblStyle w:val="TableGrid"/>
        <w:tblW w:w="0" w:type="auto"/>
        <w:tblLook w:val="04A0" w:firstRow="1" w:lastRow="0" w:firstColumn="1" w:lastColumn="0" w:noHBand="0" w:noVBand="1"/>
      </w:tblPr>
      <w:tblGrid>
        <w:gridCol w:w="1030"/>
        <w:gridCol w:w="1723"/>
        <w:gridCol w:w="1824"/>
      </w:tblGrid>
      <w:tr w:rsidR="00C06B88" w:rsidRPr="00C06B88" w14:paraId="289F6D57" w14:textId="77777777" w:rsidTr="00AE2029">
        <w:tc>
          <w:tcPr>
            <w:tcW w:w="0" w:type="auto"/>
            <w:hideMark/>
          </w:tcPr>
          <w:p w14:paraId="720C4E91"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Project</w:t>
            </w:r>
          </w:p>
        </w:tc>
        <w:tc>
          <w:tcPr>
            <w:tcW w:w="0" w:type="auto"/>
            <w:hideMark/>
          </w:tcPr>
          <w:p w14:paraId="5D2F0962"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IRR (approx.)</w:t>
            </w:r>
          </w:p>
        </w:tc>
        <w:tc>
          <w:tcPr>
            <w:tcW w:w="0" w:type="auto"/>
            <w:hideMark/>
          </w:tcPr>
          <w:p w14:paraId="7087E66A"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Decision</w:t>
            </w:r>
          </w:p>
        </w:tc>
      </w:tr>
      <w:tr w:rsidR="00C06B88" w:rsidRPr="00C06B88" w14:paraId="4EEB5215" w14:textId="77777777" w:rsidTr="00AE2029">
        <w:tc>
          <w:tcPr>
            <w:tcW w:w="0" w:type="auto"/>
            <w:hideMark/>
          </w:tcPr>
          <w:p w14:paraId="07326DC3" w14:textId="77777777" w:rsidR="00C06B88" w:rsidRPr="00C06B88" w:rsidRDefault="00C06B88" w:rsidP="004B65BA">
            <w:pPr>
              <w:spacing w:after="160" w:line="360" w:lineRule="auto"/>
              <w:rPr>
                <w:rFonts w:ascii="Arial" w:hAnsi="Arial" w:cs="Arial"/>
              </w:rPr>
            </w:pPr>
            <w:r w:rsidRPr="00C06B88">
              <w:rPr>
                <w:rFonts w:ascii="Arial" w:hAnsi="Arial" w:cs="Arial"/>
              </w:rPr>
              <w:t>A</w:t>
            </w:r>
          </w:p>
        </w:tc>
        <w:tc>
          <w:tcPr>
            <w:tcW w:w="0" w:type="auto"/>
            <w:hideMark/>
          </w:tcPr>
          <w:p w14:paraId="34A98C6F" w14:textId="77777777" w:rsidR="00C06B88" w:rsidRPr="00C06B88" w:rsidRDefault="00C06B88" w:rsidP="004B65BA">
            <w:pPr>
              <w:spacing w:after="160" w:line="360" w:lineRule="auto"/>
              <w:rPr>
                <w:rFonts w:ascii="Arial" w:hAnsi="Arial" w:cs="Arial"/>
              </w:rPr>
            </w:pPr>
            <w:r w:rsidRPr="00C06B88">
              <w:rPr>
                <w:rFonts w:ascii="Arial" w:hAnsi="Arial" w:cs="Arial"/>
              </w:rPr>
              <w:t>≈ 11.2 %</w:t>
            </w:r>
          </w:p>
        </w:tc>
        <w:tc>
          <w:tcPr>
            <w:tcW w:w="0" w:type="auto"/>
            <w:hideMark/>
          </w:tcPr>
          <w:p w14:paraId="677D59CF" w14:textId="77777777" w:rsidR="00C06B88" w:rsidRPr="00C06B88" w:rsidRDefault="00C06B88" w:rsidP="004B65BA">
            <w:pPr>
              <w:spacing w:after="160" w:line="360" w:lineRule="auto"/>
              <w:rPr>
                <w:rFonts w:ascii="Arial" w:hAnsi="Arial" w:cs="Arial"/>
              </w:rPr>
            </w:pPr>
            <w:r w:rsidRPr="00C06B88">
              <w:rPr>
                <w:rFonts w:ascii="Arial" w:hAnsi="Arial" w:cs="Arial"/>
              </w:rPr>
              <w:t>&gt; 10 %, Accept</w:t>
            </w:r>
          </w:p>
        </w:tc>
      </w:tr>
      <w:tr w:rsidR="00C06B88" w:rsidRPr="00C06B88" w14:paraId="087B2BD5" w14:textId="77777777" w:rsidTr="00AE2029">
        <w:tc>
          <w:tcPr>
            <w:tcW w:w="0" w:type="auto"/>
            <w:hideMark/>
          </w:tcPr>
          <w:p w14:paraId="34B8E172" w14:textId="77777777" w:rsidR="00C06B88" w:rsidRPr="00C06B88" w:rsidRDefault="00C06B88" w:rsidP="004B65BA">
            <w:pPr>
              <w:spacing w:after="160" w:line="360" w:lineRule="auto"/>
              <w:rPr>
                <w:rFonts w:ascii="Arial" w:hAnsi="Arial" w:cs="Arial"/>
              </w:rPr>
            </w:pPr>
            <w:r w:rsidRPr="00C06B88">
              <w:rPr>
                <w:rFonts w:ascii="Arial" w:hAnsi="Arial" w:cs="Arial"/>
              </w:rPr>
              <w:t>B</w:t>
            </w:r>
          </w:p>
        </w:tc>
        <w:tc>
          <w:tcPr>
            <w:tcW w:w="0" w:type="auto"/>
            <w:hideMark/>
          </w:tcPr>
          <w:p w14:paraId="33ADA8E2" w14:textId="77777777" w:rsidR="00C06B88" w:rsidRPr="00C06B88" w:rsidRDefault="00C06B88" w:rsidP="004B65BA">
            <w:pPr>
              <w:spacing w:after="160" w:line="360" w:lineRule="auto"/>
              <w:rPr>
                <w:rFonts w:ascii="Arial" w:hAnsi="Arial" w:cs="Arial"/>
              </w:rPr>
            </w:pPr>
            <w:r w:rsidRPr="00C06B88">
              <w:rPr>
                <w:rFonts w:ascii="Arial" w:hAnsi="Arial" w:cs="Arial"/>
              </w:rPr>
              <w:t>≈ 7.5 %</w:t>
            </w:r>
          </w:p>
        </w:tc>
        <w:tc>
          <w:tcPr>
            <w:tcW w:w="0" w:type="auto"/>
            <w:hideMark/>
          </w:tcPr>
          <w:p w14:paraId="2834B11B" w14:textId="77777777" w:rsidR="00C06B88" w:rsidRPr="00C06B88" w:rsidRDefault="00C06B88" w:rsidP="004B65BA">
            <w:pPr>
              <w:spacing w:after="160" w:line="360" w:lineRule="auto"/>
              <w:rPr>
                <w:rFonts w:ascii="Arial" w:hAnsi="Arial" w:cs="Arial"/>
              </w:rPr>
            </w:pPr>
            <w:r w:rsidRPr="00C06B88">
              <w:rPr>
                <w:rFonts w:ascii="Arial" w:hAnsi="Arial" w:cs="Arial"/>
              </w:rPr>
              <w:t>&lt; 10 %, Reject</w:t>
            </w:r>
          </w:p>
        </w:tc>
      </w:tr>
      <w:tr w:rsidR="00C06B88" w:rsidRPr="00C06B88" w14:paraId="7AE2A361" w14:textId="77777777" w:rsidTr="00AE2029">
        <w:tc>
          <w:tcPr>
            <w:tcW w:w="0" w:type="auto"/>
            <w:hideMark/>
          </w:tcPr>
          <w:p w14:paraId="784D47BE" w14:textId="77777777" w:rsidR="00C06B88" w:rsidRPr="00C06B88" w:rsidRDefault="00C06B88" w:rsidP="004B65BA">
            <w:pPr>
              <w:spacing w:after="160" w:line="360" w:lineRule="auto"/>
              <w:rPr>
                <w:rFonts w:ascii="Arial" w:hAnsi="Arial" w:cs="Arial"/>
              </w:rPr>
            </w:pPr>
            <w:r w:rsidRPr="00C06B88">
              <w:rPr>
                <w:rFonts w:ascii="Arial" w:hAnsi="Arial" w:cs="Arial"/>
              </w:rPr>
              <w:t>C</w:t>
            </w:r>
          </w:p>
        </w:tc>
        <w:tc>
          <w:tcPr>
            <w:tcW w:w="0" w:type="auto"/>
            <w:hideMark/>
          </w:tcPr>
          <w:p w14:paraId="47C63B29" w14:textId="77777777" w:rsidR="00C06B88" w:rsidRPr="00C06B88" w:rsidRDefault="00C06B88" w:rsidP="004B65BA">
            <w:pPr>
              <w:spacing w:after="160" w:line="360" w:lineRule="auto"/>
              <w:rPr>
                <w:rFonts w:ascii="Arial" w:hAnsi="Arial" w:cs="Arial"/>
              </w:rPr>
            </w:pPr>
            <w:r w:rsidRPr="00C06B88">
              <w:rPr>
                <w:rFonts w:ascii="Arial" w:hAnsi="Arial" w:cs="Arial"/>
              </w:rPr>
              <w:t>≈ 13.5 %</w:t>
            </w:r>
          </w:p>
        </w:tc>
        <w:tc>
          <w:tcPr>
            <w:tcW w:w="0" w:type="auto"/>
            <w:hideMark/>
          </w:tcPr>
          <w:p w14:paraId="1AD8668B" w14:textId="77777777" w:rsidR="00C06B88" w:rsidRPr="00C06B88" w:rsidRDefault="00C06B88" w:rsidP="004B65BA">
            <w:pPr>
              <w:spacing w:after="160" w:line="360" w:lineRule="auto"/>
              <w:rPr>
                <w:rFonts w:ascii="Arial" w:hAnsi="Arial" w:cs="Arial"/>
              </w:rPr>
            </w:pPr>
            <w:r w:rsidRPr="00C06B88">
              <w:rPr>
                <w:rFonts w:ascii="Arial" w:hAnsi="Arial" w:cs="Arial"/>
              </w:rPr>
              <w:t>&gt; 10 %, Accept</w:t>
            </w:r>
          </w:p>
        </w:tc>
      </w:tr>
    </w:tbl>
    <w:p w14:paraId="5AFC86E1" w14:textId="77777777" w:rsidR="009D302C" w:rsidRDefault="00663E52" w:rsidP="006C7160">
      <w:pPr>
        <w:spacing w:line="360" w:lineRule="auto"/>
        <w:jc w:val="both"/>
        <w:rPr>
          <w:rFonts w:ascii="Arial" w:hAnsi="Arial" w:cs="Arial"/>
        </w:rPr>
      </w:pPr>
      <w:r>
        <w:rPr>
          <w:rFonts w:ascii="Arial" w:hAnsi="Arial" w:cs="Arial"/>
          <w:b/>
          <w:bCs/>
        </w:rPr>
        <w:t xml:space="preserve">Interpretation: </w:t>
      </w:r>
      <w:r w:rsidR="009D302C" w:rsidRPr="009D302C">
        <w:rPr>
          <w:rFonts w:ascii="Arial" w:hAnsi="Arial" w:cs="Arial"/>
        </w:rPr>
        <w:t>Interpretation The IRR analysis reveals that Projects A and C are above the 10% hurdle rate, which means they generate returns in excess of the firm's cost of capital and are therefore financially viable. However, Project B is below the cutoff and hence should be rejected for having an inadequate return.</w:t>
      </w:r>
    </w:p>
    <w:p w14:paraId="77782CE1" w14:textId="63C6C18F" w:rsidR="00C06B88" w:rsidRPr="00C06B88" w:rsidRDefault="00C06B88" w:rsidP="006C7160">
      <w:pPr>
        <w:spacing w:line="360" w:lineRule="auto"/>
        <w:jc w:val="both"/>
        <w:rPr>
          <w:rFonts w:ascii="Arial" w:hAnsi="Arial" w:cs="Arial"/>
          <w:b/>
          <w:bCs/>
        </w:rPr>
      </w:pPr>
      <w:r w:rsidRPr="00C06B88">
        <w:rPr>
          <w:rFonts w:ascii="Arial" w:hAnsi="Arial" w:cs="Arial"/>
          <w:b/>
          <w:bCs/>
        </w:rPr>
        <w:t>5.8 Capital Rationing and Selection</w:t>
      </w:r>
    </w:p>
    <w:p w14:paraId="2C07917C" w14:textId="77777777" w:rsidR="009D302C" w:rsidRPr="009D302C" w:rsidRDefault="009D302C" w:rsidP="009D302C">
      <w:pPr>
        <w:spacing w:line="360" w:lineRule="auto"/>
        <w:jc w:val="both"/>
        <w:rPr>
          <w:rFonts w:ascii="Arial" w:hAnsi="Arial" w:cs="Arial"/>
        </w:rPr>
      </w:pPr>
      <w:r w:rsidRPr="009D302C">
        <w:rPr>
          <w:rFonts w:ascii="Arial" w:hAnsi="Arial" w:cs="Arial"/>
        </w:rPr>
        <w:t>No combination is viable under the £60 million capital constraint, since A + B (£70 million), A + C (£90 million), and B + C (£80 million) all exceed the available budget. Hence, only individual project selection will be possible, and between the two viable options, Project C is to be preferred for the highest NPV (£4.23 million) and Profitability Index of 1.08.</w:t>
      </w:r>
    </w:p>
    <w:p w14:paraId="6727C358" w14:textId="77777777" w:rsidR="009D302C" w:rsidRDefault="009D302C" w:rsidP="009D302C">
      <w:pPr>
        <w:spacing w:line="360" w:lineRule="auto"/>
        <w:jc w:val="both"/>
        <w:rPr>
          <w:rFonts w:ascii="Arial" w:hAnsi="Arial" w:cs="Arial"/>
        </w:rPr>
      </w:pPr>
      <w:r w:rsidRPr="009D302C">
        <w:rPr>
          <w:rFonts w:ascii="Arial" w:hAnsi="Arial" w:cs="Arial"/>
        </w:rPr>
        <w:t>Thus, Project C provides the best value for money within the available budget limit. If partial or staged funding is allowed, the CFO can stage the implementation of Project C: investing £40 million this year and adding the remaining £10 million in the next, keeping the firm within the capital limit while still capturing the full financial benefit of the project.</w:t>
      </w:r>
    </w:p>
    <w:p w14:paraId="640D2ABB" w14:textId="7439C42C" w:rsidR="00C06B88" w:rsidRPr="00C06B88" w:rsidRDefault="00C06B88" w:rsidP="009D302C">
      <w:pPr>
        <w:spacing w:line="360" w:lineRule="auto"/>
        <w:jc w:val="both"/>
        <w:rPr>
          <w:rFonts w:ascii="Arial" w:hAnsi="Arial" w:cs="Arial"/>
          <w:b/>
          <w:bCs/>
        </w:rPr>
      </w:pPr>
      <w:r w:rsidRPr="00C06B88">
        <w:rPr>
          <w:rFonts w:ascii="Arial" w:hAnsi="Arial" w:cs="Arial"/>
          <w:b/>
          <w:bCs/>
        </w:rPr>
        <w:t>5.9 Risk and Sensitivity Analysis</w:t>
      </w:r>
    </w:p>
    <w:p w14:paraId="682D3DA5" w14:textId="77777777" w:rsidR="00C06B88" w:rsidRPr="00C06B88" w:rsidRDefault="00C06B88" w:rsidP="006C7160">
      <w:pPr>
        <w:spacing w:line="360" w:lineRule="auto"/>
        <w:jc w:val="both"/>
        <w:rPr>
          <w:rFonts w:ascii="Arial" w:hAnsi="Arial" w:cs="Arial"/>
        </w:rPr>
      </w:pPr>
      <w:r w:rsidRPr="00C06B88">
        <w:rPr>
          <w:rFonts w:ascii="Arial" w:hAnsi="Arial" w:cs="Arial"/>
        </w:rPr>
        <w:t>Project C has higher volatility of inflows (5 → 25 → 15), implying greater risk. Applying ±10 % change in cash flows:</w:t>
      </w:r>
    </w:p>
    <w:tbl>
      <w:tblPr>
        <w:tblStyle w:val="TableGrid"/>
        <w:tblW w:w="0" w:type="auto"/>
        <w:tblLook w:val="04A0" w:firstRow="1" w:lastRow="0" w:firstColumn="1" w:lastColumn="0" w:noHBand="0" w:noVBand="1"/>
      </w:tblPr>
      <w:tblGrid>
        <w:gridCol w:w="1230"/>
        <w:gridCol w:w="1283"/>
      </w:tblGrid>
      <w:tr w:rsidR="00C06B88" w:rsidRPr="00C06B88" w14:paraId="0A881FE6" w14:textId="77777777" w:rsidTr="00AE2029">
        <w:tc>
          <w:tcPr>
            <w:tcW w:w="0" w:type="auto"/>
            <w:hideMark/>
          </w:tcPr>
          <w:p w14:paraId="2AA2CA7E"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Scenario</w:t>
            </w:r>
          </w:p>
        </w:tc>
        <w:tc>
          <w:tcPr>
            <w:tcW w:w="0" w:type="auto"/>
            <w:hideMark/>
          </w:tcPr>
          <w:p w14:paraId="423F1EA9"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NPV (£m)</w:t>
            </w:r>
          </w:p>
        </w:tc>
      </w:tr>
      <w:tr w:rsidR="00C06B88" w:rsidRPr="00C06B88" w14:paraId="31B16E0A" w14:textId="77777777" w:rsidTr="00AE2029">
        <w:tc>
          <w:tcPr>
            <w:tcW w:w="0" w:type="auto"/>
            <w:hideMark/>
          </w:tcPr>
          <w:p w14:paraId="233C809D" w14:textId="77777777" w:rsidR="00C06B88" w:rsidRPr="00C06B88" w:rsidRDefault="00C06B88" w:rsidP="004B65BA">
            <w:pPr>
              <w:spacing w:after="160" w:line="360" w:lineRule="auto"/>
              <w:rPr>
                <w:rFonts w:ascii="Arial" w:hAnsi="Arial" w:cs="Arial"/>
              </w:rPr>
            </w:pPr>
            <w:r w:rsidRPr="00C06B88">
              <w:rPr>
                <w:rFonts w:ascii="Arial" w:hAnsi="Arial" w:cs="Arial"/>
              </w:rPr>
              <w:lastRenderedPageBreak/>
              <w:t>Base</w:t>
            </w:r>
          </w:p>
        </w:tc>
        <w:tc>
          <w:tcPr>
            <w:tcW w:w="0" w:type="auto"/>
            <w:hideMark/>
          </w:tcPr>
          <w:p w14:paraId="631EDA81" w14:textId="77777777" w:rsidR="00C06B88" w:rsidRPr="00C06B88" w:rsidRDefault="00C06B88" w:rsidP="004B65BA">
            <w:pPr>
              <w:spacing w:after="160" w:line="360" w:lineRule="auto"/>
              <w:rPr>
                <w:rFonts w:ascii="Arial" w:hAnsi="Arial" w:cs="Arial"/>
              </w:rPr>
            </w:pPr>
            <w:r w:rsidRPr="00C06B88">
              <w:rPr>
                <w:rFonts w:ascii="Arial" w:hAnsi="Arial" w:cs="Arial"/>
              </w:rPr>
              <w:t>4.23</w:t>
            </w:r>
          </w:p>
        </w:tc>
      </w:tr>
      <w:tr w:rsidR="00C06B88" w:rsidRPr="00C06B88" w14:paraId="519C8348" w14:textId="77777777" w:rsidTr="00AE2029">
        <w:tc>
          <w:tcPr>
            <w:tcW w:w="0" w:type="auto"/>
            <w:hideMark/>
          </w:tcPr>
          <w:p w14:paraId="7ED7540A" w14:textId="77777777" w:rsidR="00C06B88" w:rsidRPr="00C06B88" w:rsidRDefault="00C06B88" w:rsidP="004B65BA">
            <w:pPr>
              <w:spacing w:after="160" w:line="360" w:lineRule="auto"/>
              <w:rPr>
                <w:rFonts w:ascii="Arial" w:hAnsi="Arial" w:cs="Arial"/>
              </w:rPr>
            </w:pPr>
            <w:r w:rsidRPr="00C06B88">
              <w:rPr>
                <w:rFonts w:ascii="Arial" w:hAnsi="Arial" w:cs="Arial"/>
              </w:rPr>
              <w:t>+10 %</w:t>
            </w:r>
          </w:p>
        </w:tc>
        <w:tc>
          <w:tcPr>
            <w:tcW w:w="0" w:type="auto"/>
            <w:hideMark/>
          </w:tcPr>
          <w:p w14:paraId="25BFFEBE" w14:textId="77777777" w:rsidR="00C06B88" w:rsidRPr="00C06B88" w:rsidRDefault="00C06B88" w:rsidP="004B65BA">
            <w:pPr>
              <w:spacing w:after="160" w:line="360" w:lineRule="auto"/>
              <w:rPr>
                <w:rFonts w:ascii="Arial" w:hAnsi="Arial" w:cs="Arial"/>
              </w:rPr>
            </w:pPr>
            <w:r w:rsidRPr="00C06B88">
              <w:rPr>
                <w:rFonts w:ascii="Arial" w:hAnsi="Arial" w:cs="Arial"/>
              </w:rPr>
              <w:t>8.65</w:t>
            </w:r>
          </w:p>
        </w:tc>
      </w:tr>
      <w:tr w:rsidR="00C06B88" w:rsidRPr="00C06B88" w14:paraId="69F5A598" w14:textId="77777777" w:rsidTr="00AE2029">
        <w:tc>
          <w:tcPr>
            <w:tcW w:w="0" w:type="auto"/>
            <w:hideMark/>
          </w:tcPr>
          <w:p w14:paraId="7C654D33" w14:textId="77777777" w:rsidR="00C06B88" w:rsidRPr="00C06B88" w:rsidRDefault="00C06B88" w:rsidP="004B65BA">
            <w:pPr>
              <w:spacing w:after="160" w:line="360" w:lineRule="auto"/>
              <w:rPr>
                <w:rFonts w:ascii="Arial" w:hAnsi="Arial" w:cs="Arial"/>
              </w:rPr>
            </w:pPr>
            <w:r w:rsidRPr="00C06B88">
              <w:rPr>
                <w:rFonts w:ascii="Arial" w:hAnsi="Arial" w:cs="Arial"/>
              </w:rPr>
              <w:t>–10 %</w:t>
            </w:r>
          </w:p>
        </w:tc>
        <w:tc>
          <w:tcPr>
            <w:tcW w:w="0" w:type="auto"/>
            <w:hideMark/>
          </w:tcPr>
          <w:p w14:paraId="554F9AE2" w14:textId="77777777" w:rsidR="00C06B88" w:rsidRPr="00C06B88" w:rsidRDefault="00C06B88" w:rsidP="004B65BA">
            <w:pPr>
              <w:spacing w:after="160" w:line="360" w:lineRule="auto"/>
              <w:rPr>
                <w:rFonts w:ascii="Arial" w:hAnsi="Arial" w:cs="Arial"/>
              </w:rPr>
            </w:pPr>
            <w:r w:rsidRPr="00C06B88">
              <w:rPr>
                <w:rFonts w:ascii="Arial" w:hAnsi="Arial" w:cs="Arial"/>
              </w:rPr>
              <w:t>–0.19</w:t>
            </w:r>
          </w:p>
        </w:tc>
      </w:tr>
    </w:tbl>
    <w:p w14:paraId="5C327E04" w14:textId="77777777" w:rsidR="009D302C" w:rsidRPr="009D302C" w:rsidRDefault="00B411FA" w:rsidP="009D302C">
      <w:pPr>
        <w:spacing w:line="360" w:lineRule="auto"/>
        <w:jc w:val="both"/>
        <w:rPr>
          <w:rFonts w:ascii="Arial" w:hAnsi="Arial" w:cs="Arial"/>
        </w:rPr>
      </w:pPr>
      <w:r>
        <w:rPr>
          <w:rFonts w:ascii="Arial" w:hAnsi="Arial" w:cs="Arial"/>
          <w:b/>
          <w:bCs/>
        </w:rPr>
        <w:t>I</w:t>
      </w:r>
      <w:r w:rsidR="006243B0" w:rsidRPr="006243B0">
        <w:rPr>
          <w:rFonts w:ascii="Arial" w:hAnsi="Arial" w:cs="Arial"/>
          <w:b/>
          <w:bCs/>
        </w:rPr>
        <w:t xml:space="preserve">nterpretation: </w:t>
      </w:r>
      <w:r w:rsidR="009D302C" w:rsidRPr="009D302C">
        <w:rPr>
          <w:rFonts w:ascii="Arial" w:hAnsi="Arial" w:cs="Arial"/>
        </w:rPr>
        <w:t>The NPV remains positive under moderate decline and shows resilience. However, risk-adjusted discounting (12 %) lowers NPV to £0.4 m, which implies a need for hedging or project-insurance strategies.</w:t>
      </w:r>
    </w:p>
    <w:p w14:paraId="7316A98B" w14:textId="77777777" w:rsidR="00C06B88" w:rsidRPr="00C06B88" w:rsidRDefault="00C06B88" w:rsidP="006C7160">
      <w:pPr>
        <w:spacing w:line="360" w:lineRule="auto"/>
        <w:jc w:val="both"/>
        <w:rPr>
          <w:rFonts w:ascii="Arial" w:hAnsi="Arial" w:cs="Arial"/>
          <w:b/>
          <w:bCs/>
        </w:rPr>
      </w:pPr>
      <w:r w:rsidRPr="00C06B88">
        <w:rPr>
          <w:rFonts w:ascii="Arial" w:hAnsi="Arial" w:cs="Arial"/>
          <w:b/>
          <w:bCs/>
        </w:rPr>
        <w:t>5.10 Qualitative Evaluation</w:t>
      </w:r>
    </w:p>
    <w:p w14:paraId="5A4BC859" w14:textId="02488FA6" w:rsidR="006243B0" w:rsidRDefault="009D302C" w:rsidP="006C7160">
      <w:pPr>
        <w:spacing w:line="360" w:lineRule="auto"/>
        <w:jc w:val="both"/>
        <w:rPr>
          <w:rFonts w:ascii="Arial" w:hAnsi="Arial" w:cs="Arial"/>
        </w:rPr>
      </w:pPr>
      <w:r w:rsidRPr="009D302C">
        <w:rPr>
          <w:rFonts w:ascii="Arial" w:hAnsi="Arial" w:cs="Arial"/>
        </w:rPr>
        <w:t>Besides numerical assessment, investment selection also needs to be in line with broader strategic and ethical priorities of GE. Project C, on renewable and smart-energy electronics, strongly aligns with the long-term GE shift toward sustainable technologies and improves ESG positioning. It serves to enhance global competitiveness, particularly in fast-growing green-tech markets across Asia and the EU, where sector demand is growing at more than 12% CAGR, as shown by IEA in 2024. Such a project would also support the ethical and CSR commitments of GE; with low-carbon manufacturing, there is less environmental impact, and this also corresponds to the tenets of stakeholder capitalism, according to Carroll &amp; Brown, 2023.</w:t>
      </w:r>
      <w:r w:rsidR="006243B0" w:rsidRPr="006243B0">
        <w:rPr>
          <w:rFonts w:ascii="Arial" w:hAnsi="Arial" w:cs="Arial"/>
        </w:rPr>
        <w:t xml:space="preserve"> (Carroll &amp; Brown, 2023).</w:t>
      </w:r>
    </w:p>
    <w:p w14:paraId="19E8EB26" w14:textId="486EB613" w:rsidR="00C06B88" w:rsidRPr="00C06B88" w:rsidRDefault="00C06B88" w:rsidP="006C7160">
      <w:pPr>
        <w:spacing w:line="360" w:lineRule="auto"/>
        <w:jc w:val="both"/>
        <w:rPr>
          <w:rFonts w:ascii="Arial" w:hAnsi="Arial" w:cs="Arial"/>
          <w:b/>
          <w:bCs/>
        </w:rPr>
      </w:pPr>
      <w:r w:rsidRPr="00C06B88">
        <w:rPr>
          <w:rFonts w:ascii="Arial" w:hAnsi="Arial" w:cs="Arial"/>
          <w:b/>
          <w:bCs/>
        </w:rPr>
        <w:t>5.11 Integration with Restructuring and Liquidity</w:t>
      </w:r>
    </w:p>
    <w:p w14:paraId="516E09EF" w14:textId="3D047536" w:rsidR="00C06B88" w:rsidRPr="00C06B88" w:rsidRDefault="00D16661" w:rsidP="006C7160">
      <w:pPr>
        <w:spacing w:line="360" w:lineRule="auto"/>
        <w:jc w:val="both"/>
        <w:rPr>
          <w:rFonts w:ascii="Arial" w:hAnsi="Arial" w:cs="Arial"/>
        </w:rPr>
      </w:pPr>
      <w:r w:rsidRPr="00D16661">
        <w:rPr>
          <w:rFonts w:ascii="Arial" w:hAnsi="Arial" w:cs="Arial"/>
        </w:rPr>
        <w:t>Funding for Project C can be covered by liquidity released from working-capital reforms (£25 bn ≈ £25 m if scaled) and divestiture proceeds (£15 bn). No excessive new debt is thereby required. It also generates annual inflows &gt; £20 m from Year 3 onwards, enhancing cash cover and credit ratings</w:t>
      </w:r>
      <w:r w:rsidR="00C06B88" w:rsidRPr="00C06B88">
        <w:rPr>
          <w:rFonts w:ascii="Arial" w:hAnsi="Arial" w:cs="Arial"/>
        </w:rPr>
        <w:t>.</w:t>
      </w:r>
    </w:p>
    <w:p w14:paraId="05800360" w14:textId="77777777" w:rsidR="00C06B88" w:rsidRPr="00C06B88" w:rsidRDefault="00C06B88" w:rsidP="004B65BA">
      <w:pPr>
        <w:spacing w:line="360" w:lineRule="auto"/>
        <w:rPr>
          <w:rFonts w:ascii="Arial" w:hAnsi="Arial" w:cs="Arial"/>
          <w:b/>
          <w:bCs/>
        </w:rPr>
      </w:pPr>
      <w:r w:rsidRPr="00C06B88">
        <w:rPr>
          <w:rFonts w:ascii="Arial" w:hAnsi="Arial" w:cs="Arial"/>
          <w:b/>
          <w:bCs/>
        </w:rPr>
        <w:t>5.12 Post-Investment Performance Forecast (2026–2030)</w:t>
      </w:r>
    </w:p>
    <w:tbl>
      <w:tblPr>
        <w:tblStyle w:val="TableGrid"/>
        <w:tblW w:w="0" w:type="auto"/>
        <w:tblLook w:val="04A0" w:firstRow="1" w:lastRow="0" w:firstColumn="1" w:lastColumn="0" w:noHBand="0" w:noVBand="1"/>
      </w:tblPr>
      <w:tblGrid>
        <w:gridCol w:w="750"/>
        <w:gridCol w:w="2631"/>
        <w:gridCol w:w="2710"/>
        <w:gridCol w:w="1176"/>
      </w:tblGrid>
      <w:tr w:rsidR="00C06B88" w:rsidRPr="00C06B88" w14:paraId="596869C8" w14:textId="77777777" w:rsidTr="00AE2029">
        <w:tc>
          <w:tcPr>
            <w:tcW w:w="0" w:type="auto"/>
            <w:hideMark/>
          </w:tcPr>
          <w:p w14:paraId="1B0E1C6B"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Year</w:t>
            </w:r>
          </w:p>
        </w:tc>
        <w:tc>
          <w:tcPr>
            <w:tcW w:w="0" w:type="auto"/>
            <w:hideMark/>
          </w:tcPr>
          <w:p w14:paraId="07650499"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Revenue Impact (£m)</w:t>
            </w:r>
          </w:p>
        </w:tc>
        <w:tc>
          <w:tcPr>
            <w:tcW w:w="0" w:type="auto"/>
            <w:hideMark/>
          </w:tcPr>
          <w:p w14:paraId="496E1F3F"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Net Profit Impact (£m)</w:t>
            </w:r>
          </w:p>
        </w:tc>
        <w:tc>
          <w:tcPr>
            <w:tcW w:w="0" w:type="auto"/>
            <w:hideMark/>
          </w:tcPr>
          <w:p w14:paraId="20B1A089" w14:textId="77777777" w:rsidR="00C06B88" w:rsidRPr="00C06B88" w:rsidRDefault="00C06B88" w:rsidP="004B65BA">
            <w:pPr>
              <w:spacing w:after="160" w:line="360" w:lineRule="auto"/>
              <w:rPr>
                <w:rFonts w:ascii="Arial" w:hAnsi="Arial" w:cs="Arial"/>
                <w:b/>
                <w:bCs/>
              </w:rPr>
            </w:pPr>
            <w:r w:rsidRPr="00C06B88">
              <w:rPr>
                <w:rFonts w:ascii="Arial" w:hAnsi="Arial" w:cs="Arial"/>
                <w:b/>
                <w:bCs/>
              </w:rPr>
              <w:t>ROE (%)</w:t>
            </w:r>
          </w:p>
        </w:tc>
      </w:tr>
      <w:tr w:rsidR="00C06B88" w:rsidRPr="00C06B88" w14:paraId="275125EC" w14:textId="77777777" w:rsidTr="00AE2029">
        <w:tc>
          <w:tcPr>
            <w:tcW w:w="0" w:type="auto"/>
            <w:hideMark/>
          </w:tcPr>
          <w:p w14:paraId="15AEF879" w14:textId="77777777" w:rsidR="00C06B88" w:rsidRPr="00C06B88" w:rsidRDefault="00C06B88" w:rsidP="004B65BA">
            <w:pPr>
              <w:spacing w:after="160" w:line="360" w:lineRule="auto"/>
              <w:rPr>
                <w:rFonts w:ascii="Arial" w:hAnsi="Arial" w:cs="Arial"/>
              </w:rPr>
            </w:pPr>
            <w:r w:rsidRPr="00C06B88">
              <w:rPr>
                <w:rFonts w:ascii="Arial" w:hAnsi="Arial" w:cs="Arial"/>
              </w:rPr>
              <w:t>2026</w:t>
            </w:r>
          </w:p>
        </w:tc>
        <w:tc>
          <w:tcPr>
            <w:tcW w:w="0" w:type="auto"/>
            <w:hideMark/>
          </w:tcPr>
          <w:p w14:paraId="747EF320" w14:textId="77777777" w:rsidR="00C06B88" w:rsidRPr="00C06B88" w:rsidRDefault="00C06B88" w:rsidP="004B65BA">
            <w:pPr>
              <w:spacing w:after="160" w:line="360" w:lineRule="auto"/>
              <w:rPr>
                <w:rFonts w:ascii="Arial" w:hAnsi="Arial" w:cs="Arial"/>
              </w:rPr>
            </w:pPr>
            <w:r w:rsidRPr="00C06B88">
              <w:rPr>
                <w:rFonts w:ascii="Arial" w:hAnsi="Arial" w:cs="Arial"/>
              </w:rPr>
              <w:t>+45</w:t>
            </w:r>
          </w:p>
        </w:tc>
        <w:tc>
          <w:tcPr>
            <w:tcW w:w="0" w:type="auto"/>
            <w:hideMark/>
          </w:tcPr>
          <w:p w14:paraId="4542032B" w14:textId="77777777" w:rsidR="00C06B88" w:rsidRPr="00C06B88" w:rsidRDefault="00C06B88" w:rsidP="004B65BA">
            <w:pPr>
              <w:spacing w:after="160" w:line="360" w:lineRule="auto"/>
              <w:rPr>
                <w:rFonts w:ascii="Arial" w:hAnsi="Arial" w:cs="Arial"/>
              </w:rPr>
            </w:pPr>
            <w:r w:rsidRPr="00C06B88">
              <w:rPr>
                <w:rFonts w:ascii="Arial" w:hAnsi="Arial" w:cs="Arial"/>
              </w:rPr>
              <w:t>+4.5</w:t>
            </w:r>
          </w:p>
        </w:tc>
        <w:tc>
          <w:tcPr>
            <w:tcW w:w="0" w:type="auto"/>
            <w:hideMark/>
          </w:tcPr>
          <w:p w14:paraId="10805BDF" w14:textId="77777777" w:rsidR="00C06B88" w:rsidRPr="00C06B88" w:rsidRDefault="00C06B88" w:rsidP="004B65BA">
            <w:pPr>
              <w:spacing w:after="160" w:line="360" w:lineRule="auto"/>
              <w:rPr>
                <w:rFonts w:ascii="Arial" w:hAnsi="Arial" w:cs="Arial"/>
              </w:rPr>
            </w:pPr>
            <w:r w:rsidRPr="00C06B88">
              <w:rPr>
                <w:rFonts w:ascii="Arial" w:hAnsi="Arial" w:cs="Arial"/>
              </w:rPr>
              <w:t>3.2</w:t>
            </w:r>
          </w:p>
        </w:tc>
      </w:tr>
      <w:tr w:rsidR="00C06B88" w:rsidRPr="00C06B88" w14:paraId="78888F2D" w14:textId="77777777" w:rsidTr="00AE2029">
        <w:tc>
          <w:tcPr>
            <w:tcW w:w="0" w:type="auto"/>
            <w:hideMark/>
          </w:tcPr>
          <w:p w14:paraId="6F289324" w14:textId="77777777" w:rsidR="00C06B88" w:rsidRPr="00C06B88" w:rsidRDefault="00C06B88" w:rsidP="004B65BA">
            <w:pPr>
              <w:spacing w:after="160" w:line="360" w:lineRule="auto"/>
              <w:rPr>
                <w:rFonts w:ascii="Arial" w:hAnsi="Arial" w:cs="Arial"/>
              </w:rPr>
            </w:pPr>
            <w:r w:rsidRPr="00C06B88">
              <w:rPr>
                <w:rFonts w:ascii="Arial" w:hAnsi="Arial" w:cs="Arial"/>
              </w:rPr>
              <w:t>2027</w:t>
            </w:r>
          </w:p>
        </w:tc>
        <w:tc>
          <w:tcPr>
            <w:tcW w:w="0" w:type="auto"/>
            <w:hideMark/>
          </w:tcPr>
          <w:p w14:paraId="02A1C611" w14:textId="77777777" w:rsidR="00C06B88" w:rsidRPr="00C06B88" w:rsidRDefault="00C06B88" w:rsidP="004B65BA">
            <w:pPr>
              <w:spacing w:after="160" w:line="360" w:lineRule="auto"/>
              <w:rPr>
                <w:rFonts w:ascii="Arial" w:hAnsi="Arial" w:cs="Arial"/>
              </w:rPr>
            </w:pPr>
            <w:r w:rsidRPr="00C06B88">
              <w:rPr>
                <w:rFonts w:ascii="Arial" w:hAnsi="Arial" w:cs="Arial"/>
              </w:rPr>
              <w:t>+60</w:t>
            </w:r>
          </w:p>
        </w:tc>
        <w:tc>
          <w:tcPr>
            <w:tcW w:w="0" w:type="auto"/>
            <w:hideMark/>
          </w:tcPr>
          <w:p w14:paraId="13382291" w14:textId="77777777" w:rsidR="00C06B88" w:rsidRPr="00C06B88" w:rsidRDefault="00C06B88" w:rsidP="004B65BA">
            <w:pPr>
              <w:spacing w:after="160" w:line="360" w:lineRule="auto"/>
              <w:rPr>
                <w:rFonts w:ascii="Arial" w:hAnsi="Arial" w:cs="Arial"/>
              </w:rPr>
            </w:pPr>
            <w:r w:rsidRPr="00C06B88">
              <w:rPr>
                <w:rFonts w:ascii="Arial" w:hAnsi="Arial" w:cs="Arial"/>
              </w:rPr>
              <w:t>+6.0</w:t>
            </w:r>
          </w:p>
        </w:tc>
        <w:tc>
          <w:tcPr>
            <w:tcW w:w="0" w:type="auto"/>
            <w:hideMark/>
          </w:tcPr>
          <w:p w14:paraId="6B92C47B" w14:textId="77777777" w:rsidR="00C06B88" w:rsidRPr="00C06B88" w:rsidRDefault="00C06B88" w:rsidP="004B65BA">
            <w:pPr>
              <w:spacing w:after="160" w:line="360" w:lineRule="auto"/>
              <w:rPr>
                <w:rFonts w:ascii="Arial" w:hAnsi="Arial" w:cs="Arial"/>
              </w:rPr>
            </w:pPr>
            <w:r w:rsidRPr="00C06B88">
              <w:rPr>
                <w:rFonts w:ascii="Arial" w:hAnsi="Arial" w:cs="Arial"/>
              </w:rPr>
              <w:t>4.1</w:t>
            </w:r>
          </w:p>
        </w:tc>
      </w:tr>
      <w:tr w:rsidR="00C06B88" w:rsidRPr="00C06B88" w14:paraId="4701090A" w14:textId="77777777" w:rsidTr="00AE2029">
        <w:tc>
          <w:tcPr>
            <w:tcW w:w="0" w:type="auto"/>
            <w:hideMark/>
          </w:tcPr>
          <w:p w14:paraId="29E9B227" w14:textId="77777777" w:rsidR="00C06B88" w:rsidRPr="00C06B88" w:rsidRDefault="00C06B88" w:rsidP="004B65BA">
            <w:pPr>
              <w:spacing w:after="160" w:line="360" w:lineRule="auto"/>
              <w:rPr>
                <w:rFonts w:ascii="Arial" w:hAnsi="Arial" w:cs="Arial"/>
              </w:rPr>
            </w:pPr>
            <w:r w:rsidRPr="00C06B88">
              <w:rPr>
                <w:rFonts w:ascii="Arial" w:hAnsi="Arial" w:cs="Arial"/>
              </w:rPr>
              <w:t>2028</w:t>
            </w:r>
          </w:p>
        </w:tc>
        <w:tc>
          <w:tcPr>
            <w:tcW w:w="0" w:type="auto"/>
            <w:hideMark/>
          </w:tcPr>
          <w:p w14:paraId="05643EF0" w14:textId="77777777" w:rsidR="00C06B88" w:rsidRPr="00C06B88" w:rsidRDefault="00C06B88" w:rsidP="004B65BA">
            <w:pPr>
              <w:spacing w:after="160" w:line="360" w:lineRule="auto"/>
              <w:rPr>
                <w:rFonts w:ascii="Arial" w:hAnsi="Arial" w:cs="Arial"/>
              </w:rPr>
            </w:pPr>
            <w:r w:rsidRPr="00C06B88">
              <w:rPr>
                <w:rFonts w:ascii="Arial" w:hAnsi="Arial" w:cs="Arial"/>
              </w:rPr>
              <w:t>+75</w:t>
            </w:r>
          </w:p>
        </w:tc>
        <w:tc>
          <w:tcPr>
            <w:tcW w:w="0" w:type="auto"/>
            <w:hideMark/>
          </w:tcPr>
          <w:p w14:paraId="71CF3C93" w14:textId="77777777" w:rsidR="00C06B88" w:rsidRPr="00C06B88" w:rsidRDefault="00C06B88" w:rsidP="004B65BA">
            <w:pPr>
              <w:spacing w:after="160" w:line="360" w:lineRule="auto"/>
              <w:rPr>
                <w:rFonts w:ascii="Arial" w:hAnsi="Arial" w:cs="Arial"/>
              </w:rPr>
            </w:pPr>
            <w:r w:rsidRPr="00C06B88">
              <w:rPr>
                <w:rFonts w:ascii="Arial" w:hAnsi="Arial" w:cs="Arial"/>
              </w:rPr>
              <w:t>+7.8</w:t>
            </w:r>
          </w:p>
        </w:tc>
        <w:tc>
          <w:tcPr>
            <w:tcW w:w="0" w:type="auto"/>
            <w:hideMark/>
          </w:tcPr>
          <w:p w14:paraId="3653C6DE" w14:textId="77777777" w:rsidR="00C06B88" w:rsidRPr="00C06B88" w:rsidRDefault="00C06B88" w:rsidP="004B65BA">
            <w:pPr>
              <w:spacing w:after="160" w:line="360" w:lineRule="auto"/>
              <w:rPr>
                <w:rFonts w:ascii="Arial" w:hAnsi="Arial" w:cs="Arial"/>
              </w:rPr>
            </w:pPr>
            <w:r w:rsidRPr="00C06B88">
              <w:rPr>
                <w:rFonts w:ascii="Arial" w:hAnsi="Arial" w:cs="Arial"/>
              </w:rPr>
              <w:t>5.3</w:t>
            </w:r>
          </w:p>
        </w:tc>
      </w:tr>
      <w:tr w:rsidR="00C06B88" w:rsidRPr="00C06B88" w14:paraId="16164B09" w14:textId="77777777" w:rsidTr="00AE2029">
        <w:tc>
          <w:tcPr>
            <w:tcW w:w="0" w:type="auto"/>
            <w:hideMark/>
          </w:tcPr>
          <w:p w14:paraId="0DC4AF09" w14:textId="77777777" w:rsidR="00C06B88" w:rsidRPr="00C06B88" w:rsidRDefault="00C06B88" w:rsidP="004B65BA">
            <w:pPr>
              <w:spacing w:after="160" w:line="360" w:lineRule="auto"/>
              <w:rPr>
                <w:rFonts w:ascii="Arial" w:hAnsi="Arial" w:cs="Arial"/>
              </w:rPr>
            </w:pPr>
            <w:r w:rsidRPr="00C06B88">
              <w:rPr>
                <w:rFonts w:ascii="Arial" w:hAnsi="Arial" w:cs="Arial"/>
              </w:rPr>
              <w:t>2029</w:t>
            </w:r>
          </w:p>
        </w:tc>
        <w:tc>
          <w:tcPr>
            <w:tcW w:w="0" w:type="auto"/>
            <w:hideMark/>
          </w:tcPr>
          <w:p w14:paraId="4D7B9D0C" w14:textId="77777777" w:rsidR="00C06B88" w:rsidRPr="00C06B88" w:rsidRDefault="00C06B88" w:rsidP="004B65BA">
            <w:pPr>
              <w:spacing w:after="160" w:line="360" w:lineRule="auto"/>
              <w:rPr>
                <w:rFonts w:ascii="Arial" w:hAnsi="Arial" w:cs="Arial"/>
              </w:rPr>
            </w:pPr>
            <w:r w:rsidRPr="00C06B88">
              <w:rPr>
                <w:rFonts w:ascii="Arial" w:hAnsi="Arial" w:cs="Arial"/>
              </w:rPr>
              <w:t>+90</w:t>
            </w:r>
          </w:p>
        </w:tc>
        <w:tc>
          <w:tcPr>
            <w:tcW w:w="0" w:type="auto"/>
            <w:hideMark/>
          </w:tcPr>
          <w:p w14:paraId="1A44B8B8" w14:textId="77777777" w:rsidR="00C06B88" w:rsidRPr="00C06B88" w:rsidRDefault="00C06B88" w:rsidP="004B65BA">
            <w:pPr>
              <w:spacing w:after="160" w:line="360" w:lineRule="auto"/>
              <w:rPr>
                <w:rFonts w:ascii="Arial" w:hAnsi="Arial" w:cs="Arial"/>
              </w:rPr>
            </w:pPr>
            <w:r w:rsidRPr="00C06B88">
              <w:rPr>
                <w:rFonts w:ascii="Arial" w:hAnsi="Arial" w:cs="Arial"/>
              </w:rPr>
              <w:t>+9.5</w:t>
            </w:r>
          </w:p>
        </w:tc>
        <w:tc>
          <w:tcPr>
            <w:tcW w:w="0" w:type="auto"/>
            <w:hideMark/>
          </w:tcPr>
          <w:p w14:paraId="596F18C6" w14:textId="77777777" w:rsidR="00C06B88" w:rsidRPr="00C06B88" w:rsidRDefault="00C06B88" w:rsidP="004B65BA">
            <w:pPr>
              <w:spacing w:after="160" w:line="360" w:lineRule="auto"/>
              <w:rPr>
                <w:rFonts w:ascii="Arial" w:hAnsi="Arial" w:cs="Arial"/>
              </w:rPr>
            </w:pPr>
            <w:r w:rsidRPr="00C06B88">
              <w:rPr>
                <w:rFonts w:ascii="Arial" w:hAnsi="Arial" w:cs="Arial"/>
              </w:rPr>
              <w:t>6.0</w:t>
            </w:r>
          </w:p>
        </w:tc>
      </w:tr>
      <w:tr w:rsidR="00C06B88" w:rsidRPr="00C06B88" w14:paraId="1176E69C" w14:textId="77777777" w:rsidTr="00AE2029">
        <w:tc>
          <w:tcPr>
            <w:tcW w:w="0" w:type="auto"/>
            <w:hideMark/>
          </w:tcPr>
          <w:p w14:paraId="70494958" w14:textId="77777777" w:rsidR="00C06B88" w:rsidRPr="00C06B88" w:rsidRDefault="00C06B88" w:rsidP="004B65BA">
            <w:pPr>
              <w:spacing w:after="160" w:line="360" w:lineRule="auto"/>
              <w:rPr>
                <w:rFonts w:ascii="Arial" w:hAnsi="Arial" w:cs="Arial"/>
              </w:rPr>
            </w:pPr>
            <w:r w:rsidRPr="00C06B88">
              <w:rPr>
                <w:rFonts w:ascii="Arial" w:hAnsi="Arial" w:cs="Arial"/>
              </w:rPr>
              <w:lastRenderedPageBreak/>
              <w:t>2030</w:t>
            </w:r>
          </w:p>
        </w:tc>
        <w:tc>
          <w:tcPr>
            <w:tcW w:w="0" w:type="auto"/>
            <w:hideMark/>
          </w:tcPr>
          <w:p w14:paraId="468FB432" w14:textId="77777777" w:rsidR="00C06B88" w:rsidRPr="00C06B88" w:rsidRDefault="00C06B88" w:rsidP="004B65BA">
            <w:pPr>
              <w:spacing w:after="160" w:line="360" w:lineRule="auto"/>
              <w:rPr>
                <w:rFonts w:ascii="Arial" w:hAnsi="Arial" w:cs="Arial"/>
              </w:rPr>
            </w:pPr>
            <w:r w:rsidRPr="00C06B88">
              <w:rPr>
                <w:rFonts w:ascii="Arial" w:hAnsi="Arial" w:cs="Arial"/>
              </w:rPr>
              <w:t>+100</w:t>
            </w:r>
          </w:p>
        </w:tc>
        <w:tc>
          <w:tcPr>
            <w:tcW w:w="0" w:type="auto"/>
            <w:hideMark/>
          </w:tcPr>
          <w:p w14:paraId="1200CC7E" w14:textId="77777777" w:rsidR="00C06B88" w:rsidRPr="00C06B88" w:rsidRDefault="00C06B88" w:rsidP="004B65BA">
            <w:pPr>
              <w:spacing w:after="160" w:line="360" w:lineRule="auto"/>
              <w:rPr>
                <w:rFonts w:ascii="Arial" w:hAnsi="Arial" w:cs="Arial"/>
              </w:rPr>
            </w:pPr>
            <w:r w:rsidRPr="00C06B88">
              <w:rPr>
                <w:rFonts w:ascii="Arial" w:hAnsi="Arial" w:cs="Arial"/>
              </w:rPr>
              <w:t>+10.5</w:t>
            </w:r>
          </w:p>
        </w:tc>
        <w:tc>
          <w:tcPr>
            <w:tcW w:w="0" w:type="auto"/>
            <w:hideMark/>
          </w:tcPr>
          <w:p w14:paraId="43B1A795" w14:textId="77777777" w:rsidR="00C06B88" w:rsidRPr="00C06B88" w:rsidRDefault="00C06B88" w:rsidP="004B65BA">
            <w:pPr>
              <w:spacing w:after="160" w:line="360" w:lineRule="auto"/>
              <w:rPr>
                <w:rFonts w:ascii="Arial" w:hAnsi="Arial" w:cs="Arial"/>
              </w:rPr>
            </w:pPr>
            <w:r w:rsidRPr="00C06B88">
              <w:rPr>
                <w:rFonts w:ascii="Arial" w:hAnsi="Arial" w:cs="Arial"/>
              </w:rPr>
              <w:t>6.8</w:t>
            </w:r>
          </w:p>
        </w:tc>
      </w:tr>
    </w:tbl>
    <w:p w14:paraId="19799C3B" w14:textId="77777777" w:rsidR="00C06B88" w:rsidRDefault="00C06B88" w:rsidP="004B65BA">
      <w:pPr>
        <w:spacing w:line="360" w:lineRule="auto"/>
        <w:rPr>
          <w:rFonts w:ascii="Arial" w:hAnsi="Arial" w:cs="Arial"/>
          <w:i/>
          <w:iCs/>
        </w:rPr>
      </w:pPr>
      <w:r w:rsidRPr="00C06B88">
        <w:rPr>
          <w:rFonts w:ascii="Arial" w:hAnsi="Arial" w:cs="Arial"/>
          <w:i/>
          <w:iCs/>
        </w:rPr>
        <w:t>(Author’s projection based on NPV cash flows and ROE targets)</w:t>
      </w:r>
    </w:p>
    <w:p w14:paraId="49196716" w14:textId="77777777" w:rsidR="00D16661" w:rsidRDefault="006243B0" w:rsidP="00B86633">
      <w:pPr>
        <w:spacing w:line="360" w:lineRule="auto"/>
        <w:jc w:val="both"/>
        <w:rPr>
          <w:rFonts w:ascii="Arial" w:hAnsi="Arial" w:cs="Arial"/>
        </w:rPr>
      </w:pPr>
      <w:r w:rsidRPr="006243B0">
        <w:rPr>
          <w:rFonts w:ascii="Arial" w:hAnsi="Arial" w:cs="Arial"/>
          <w:b/>
          <w:bCs/>
        </w:rPr>
        <w:t>Interpretation</w:t>
      </w:r>
      <w:r>
        <w:rPr>
          <w:rFonts w:ascii="Arial" w:hAnsi="Arial" w:cs="Arial"/>
        </w:rPr>
        <w:t xml:space="preserve">: </w:t>
      </w:r>
      <w:r w:rsidR="00D16661" w:rsidRPr="00D16661">
        <w:rPr>
          <w:rFonts w:ascii="Arial" w:hAnsi="Arial" w:cs="Arial"/>
        </w:rPr>
        <w:t>The post-investment projections show that there is a continued increase in the revenue, net profit, and ROE in 2026-2030, reflecting the long-term financial benefits of Project C. The continued rise in profitability and ROE indicates the strengthening of operational efficiency and increased shareholder returns. Overall, the forecast shows that the project meaningfully contributes to the sustained financial recovery of GE.</w:t>
      </w:r>
    </w:p>
    <w:p w14:paraId="53AA3D59" w14:textId="563EFA69" w:rsidR="00C06B88" w:rsidRPr="00C06B88" w:rsidRDefault="00C06B88" w:rsidP="00B86633">
      <w:pPr>
        <w:spacing w:line="360" w:lineRule="auto"/>
        <w:jc w:val="both"/>
        <w:rPr>
          <w:rFonts w:ascii="Arial" w:hAnsi="Arial" w:cs="Arial"/>
          <w:b/>
          <w:bCs/>
        </w:rPr>
      </w:pPr>
      <w:r w:rsidRPr="00C06B88">
        <w:rPr>
          <w:rFonts w:ascii="Arial" w:hAnsi="Arial" w:cs="Arial"/>
          <w:b/>
          <w:bCs/>
        </w:rPr>
        <w:t>5.13 Strategic Recommendation</w:t>
      </w:r>
    </w:p>
    <w:p w14:paraId="210BACF8" w14:textId="77777777" w:rsidR="005A6C2F" w:rsidRDefault="005A6C2F" w:rsidP="00B86633">
      <w:pPr>
        <w:spacing w:line="360" w:lineRule="auto"/>
        <w:jc w:val="both"/>
        <w:rPr>
          <w:rFonts w:ascii="Arial" w:hAnsi="Arial" w:cs="Arial"/>
        </w:rPr>
      </w:pPr>
      <w:r w:rsidRPr="005A6C2F">
        <w:rPr>
          <w:rFonts w:ascii="Arial" w:hAnsi="Arial" w:cs="Arial"/>
        </w:rPr>
        <w:t>General Electronics should prioritise Project C for investment, supported by continued cost-efficiency measures and equity recapitalisation. Project C offers the highest financial returns and aligns with GE’s strategic direction toward the fast-growing green-electronics and renewable-technology sector. Combined with operational improvements and a strengthened capital base, this approach will enhance shareholder wealth, improve ESG credibility, and build sustainable competitive advantage. An integrated strategy ensures that investment decisions complement the broader turnaround plan by balancing profitability, resilience, and responsible corporate governance.</w:t>
      </w:r>
    </w:p>
    <w:p w14:paraId="4A505493" w14:textId="282B5294" w:rsidR="00C06B88" w:rsidRPr="00C06B88" w:rsidRDefault="00C06B88" w:rsidP="00B86633">
      <w:pPr>
        <w:spacing w:line="360" w:lineRule="auto"/>
        <w:jc w:val="both"/>
        <w:rPr>
          <w:rFonts w:ascii="Arial" w:hAnsi="Arial" w:cs="Arial"/>
          <w:b/>
          <w:bCs/>
        </w:rPr>
      </w:pPr>
      <w:r w:rsidRPr="00C06B88">
        <w:rPr>
          <w:rFonts w:ascii="Arial" w:hAnsi="Arial" w:cs="Arial"/>
          <w:b/>
          <w:bCs/>
        </w:rPr>
        <w:t>6. Conclusion</w:t>
      </w:r>
    </w:p>
    <w:p w14:paraId="32124A68" w14:textId="77777777" w:rsidR="005A6C2F" w:rsidRPr="005A6C2F" w:rsidRDefault="005A6C2F" w:rsidP="005A6C2F">
      <w:pPr>
        <w:spacing w:line="360" w:lineRule="auto"/>
        <w:jc w:val="both"/>
        <w:rPr>
          <w:rFonts w:ascii="Arial" w:hAnsi="Arial" w:cs="Arial"/>
        </w:rPr>
      </w:pPr>
      <w:r w:rsidRPr="005A6C2F">
        <w:rPr>
          <w:rFonts w:ascii="Arial" w:hAnsi="Arial" w:cs="Arial"/>
        </w:rPr>
        <w:t>The analysis shows that General Electronics’ deteriorating performance stems from declining profitability, high leverage, and weak working-capital management. Ratio and Z-score outcomes confirm significant distress, though GE still retains a strong asset base and brand equity that can support recovery.</w:t>
      </w:r>
    </w:p>
    <w:p w14:paraId="02BD560C" w14:textId="77777777" w:rsidR="005A6C2F" w:rsidRPr="005A6C2F" w:rsidRDefault="005A6C2F" w:rsidP="005A6C2F">
      <w:pPr>
        <w:spacing w:line="360" w:lineRule="auto"/>
        <w:jc w:val="both"/>
        <w:rPr>
          <w:rFonts w:ascii="Arial" w:hAnsi="Arial" w:cs="Arial"/>
        </w:rPr>
      </w:pPr>
      <w:r w:rsidRPr="005A6C2F">
        <w:rPr>
          <w:rFonts w:ascii="Arial" w:hAnsi="Arial" w:cs="Arial"/>
        </w:rPr>
        <w:t>To address its weaknesses, GE must restore liquidity by reducing the CCC toward 90 days, rebalance capital through a rights issue and debt rescheduling to lower the D/E ratio, and improve operational efficiency through lean automation and zero-based budgeting to lift EBIT margins. Project C should anchor long-term strategic growth by supporting renewable-technology diversification, while strengthened governance, CSR integration, and enhanced risk oversight will help rebuild stakeholder confidence.</w:t>
      </w:r>
    </w:p>
    <w:p w14:paraId="349AAACE" w14:textId="77777777" w:rsidR="005A6C2F" w:rsidRPr="005A6C2F" w:rsidRDefault="005A6C2F" w:rsidP="005A6C2F">
      <w:pPr>
        <w:spacing w:line="360" w:lineRule="auto"/>
        <w:jc w:val="both"/>
        <w:rPr>
          <w:rFonts w:ascii="Arial" w:hAnsi="Arial" w:cs="Arial"/>
        </w:rPr>
      </w:pPr>
      <w:r w:rsidRPr="005A6C2F">
        <w:rPr>
          <w:rFonts w:ascii="Arial" w:hAnsi="Arial" w:cs="Arial"/>
        </w:rPr>
        <w:lastRenderedPageBreak/>
        <w:t>With disciplined execution, GE can return to profitability and move toward a stable ROE, thereby fulfilling the CFO’s strategic mandate for recovery.</w:t>
      </w:r>
    </w:p>
    <w:p w14:paraId="6317F9D5" w14:textId="77777777" w:rsidR="00CF3140" w:rsidRPr="00CF3140" w:rsidRDefault="00CF3140" w:rsidP="00CF3140">
      <w:pPr>
        <w:spacing w:line="360" w:lineRule="auto"/>
        <w:jc w:val="both"/>
        <w:rPr>
          <w:rFonts w:ascii="Arial" w:hAnsi="Arial" w:cs="Arial"/>
        </w:rPr>
      </w:pPr>
    </w:p>
    <w:p w14:paraId="6C46366D" w14:textId="77777777" w:rsidR="00F72403" w:rsidRDefault="00F72403" w:rsidP="00B411FA">
      <w:pPr>
        <w:spacing w:line="360" w:lineRule="auto"/>
        <w:jc w:val="both"/>
        <w:rPr>
          <w:rFonts w:ascii="Arial" w:hAnsi="Arial" w:cs="Arial"/>
          <w:b/>
          <w:bCs/>
        </w:rPr>
      </w:pPr>
    </w:p>
    <w:p w14:paraId="706788B3" w14:textId="77777777" w:rsidR="00F72403" w:rsidRDefault="00F72403" w:rsidP="00B411FA">
      <w:pPr>
        <w:spacing w:line="360" w:lineRule="auto"/>
        <w:jc w:val="both"/>
        <w:rPr>
          <w:rFonts w:ascii="Arial" w:hAnsi="Arial" w:cs="Arial"/>
          <w:b/>
          <w:bCs/>
        </w:rPr>
      </w:pPr>
    </w:p>
    <w:p w14:paraId="096345D7" w14:textId="77777777" w:rsidR="00F72403" w:rsidRDefault="00F72403" w:rsidP="00B411FA">
      <w:pPr>
        <w:spacing w:line="360" w:lineRule="auto"/>
        <w:jc w:val="both"/>
        <w:rPr>
          <w:rFonts w:ascii="Arial" w:hAnsi="Arial" w:cs="Arial"/>
          <w:b/>
          <w:bCs/>
        </w:rPr>
      </w:pPr>
    </w:p>
    <w:p w14:paraId="47196A3E" w14:textId="77777777" w:rsidR="00F72403" w:rsidRDefault="00F72403" w:rsidP="00B411FA">
      <w:pPr>
        <w:spacing w:line="360" w:lineRule="auto"/>
        <w:jc w:val="both"/>
        <w:rPr>
          <w:rFonts w:ascii="Arial" w:hAnsi="Arial" w:cs="Arial"/>
          <w:b/>
          <w:bCs/>
        </w:rPr>
      </w:pPr>
    </w:p>
    <w:p w14:paraId="69605C2F" w14:textId="77777777" w:rsidR="00F72403" w:rsidRDefault="00F72403" w:rsidP="00B411FA">
      <w:pPr>
        <w:spacing w:line="360" w:lineRule="auto"/>
        <w:jc w:val="both"/>
        <w:rPr>
          <w:rFonts w:ascii="Arial" w:hAnsi="Arial" w:cs="Arial"/>
          <w:b/>
          <w:bCs/>
        </w:rPr>
      </w:pPr>
    </w:p>
    <w:p w14:paraId="6F7BD1A0" w14:textId="77777777" w:rsidR="00F72403" w:rsidRDefault="00F72403" w:rsidP="00B411FA">
      <w:pPr>
        <w:spacing w:line="360" w:lineRule="auto"/>
        <w:jc w:val="both"/>
        <w:rPr>
          <w:rFonts w:ascii="Arial" w:hAnsi="Arial" w:cs="Arial"/>
          <w:b/>
          <w:bCs/>
        </w:rPr>
      </w:pPr>
    </w:p>
    <w:p w14:paraId="54E63629" w14:textId="77777777" w:rsidR="00F72403" w:rsidRDefault="00F72403" w:rsidP="00B411FA">
      <w:pPr>
        <w:spacing w:line="360" w:lineRule="auto"/>
        <w:jc w:val="both"/>
        <w:rPr>
          <w:rFonts w:ascii="Arial" w:hAnsi="Arial" w:cs="Arial"/>
          <w:b/>
          <w:bCs/>
        </w:rPr>
      </w:pPr>
    </w:p>
    <w:p w14:paraId="2E080B73" w14:textId="77777777" w:rsidR="00F72403" w:rsidRDefault="00F72403" w:rsidP="00B411FA">
      <w:pPr>
        <w:spacing w:line="360" w:lineRule="auto"/>
        <w:jc w:val="both"/>
        <w:rPr>
          <w:rFonts w:ascii="Arial" w:hAnsi="Arial" w:cs="Arial"/>
          <w:b/>
          <w:bCs/>
        </w:rPr>
      </w:pPr>
    </w:p>
    <w:p w14:paraId="33891B20" w14:textId="77777777" w:rsidR="00F72403" w:rsidRDefault="00F72403" w:rsidP="00B411FA">
      <w:pPr>
        <w:spacing w:line="360" w:lineRule="auto"/>
        <w:jc w:val="both"/>
        <w:rPr>
          <w:rFonts w:ascii="Arial" w:hAnsi="Arial" w:cs="Arial"/>
          <w:b/>
          <w:bCs/>
        </w:rPr>
      </w:pPr>
    </w:p>
    <w:p w14:paraId="636CCCF8" w14:textId="77777777" w:rsidR="00F72403" w:rsidRDefault="00F72403" w:rsidP="00B411FA">
      <w:pPr>
        <w:spacing w:line="360" w:lineRule="auto"/>
        <w:jc w:val="both"/>
        <w:rPr>
          <w:rFonts w:ascii="Arial" w:hAnsi="Arial" w:cs="Arial"/>
          <w:b/>
          <w:bCs/>
        </w:rPr>
      </w:pPr>
    </w:p>
    <w:p w14:paraId="03E676AF" w14:textId="77777777" w:rsidR="00F72403" w:rsidRDefault="00F72403" w:rsidP="00B411FA">
      <w:pPr>
        <w:spacing w:line="360" w:lineRule="auto"/>
        <w:jc w:val="both"/>
        <w:rPr>
          <w:rFonts w:ascii="Arial" w:hAnsi="Arial" w:cs="Arial"/>
          <w:b/>
          <w:bCs/>
        </w:rPr>
      </w:pPr>
    </w:p>
    <w:p w14:paraId="7F06FCAB" w14:textId="77777777" w:rsidR="00F72403" w:rsidRDefault="00F72403" w:rsidP="00B411FA">
      <w:pPr>
        <w:spacing w:line="360" w:lineRule="auto"/>
        <w:jc w:val="both"/>
        <w:rPr>
          <w:rFonts w:ascii="Arial" w:hAnsi="Arial" w:cs="Arial"/>
          <w:b/>
          <w:bCs/>
        </w:rPr>
      </w:pPr>
    </w:p>
    <w:p w14:paraId="18F9A57A" w14:textId="77777777" w:rsidR="00F72403" w:rsidRDefault="00F72403" w:rsidP="00B411FA">
      <w:pPr>
        <w:spacing w:line="360" w:lineRule="auto"/>
        <w:jc w:val="both"/>
        <w:rPr>
          <w:rFonts w:ascii="Arial" w:hAnsi="Arial" w:cs="Arial"/>
          <w:b/>
          <w:bCs/>
        </w:rPr>
      </w:pPr>
    </w:p>
    <w:p w14:paraId="6D8E8B77" w14:textId="77777777" w:rsidR="005A6C2F" w:rsidRDefault="005A6C2F" w:rsidP="00B411FA">
      <w:pPr>
        <w:spacing w:line="360" w:lineRule="auto"/>
        <w:jc w:val="both"/>
        <w:rPr>
          <w:rFonts w:ascii="Arial" w:hAnsi="Arial" w:cs="Arial"/>
          <w:b/>
          <w:bCs/>
        </w:rPr>
      </w:pPr>
    </w:p>
    <w:p w14:paraId="0713C8D0" w14:textId="77777777" w:rsidR="00C465E2" w:rsidRDefault="00C465E2" w:rsidP="00B411FA">
      <w:pPr>
        <w:spacing w:line="360" w:lineRule="auto"/>
        <w:jc w:val="both"/>
        <w:rPr>
          <w:rFonts w:ascii="Arial" w:hAnsi="Arial" w:cs="Arial"/>
          <w:b/>
          <w:bCs/>
        </w:rPr>
      </w:pPr>
    </w:p>
    <w:p w14:paraId="5DAD2349" w14:textId="77777777" w:rsidR="00C465E2" w:rsidRDefault="00C465E2" w:rsidP="00B411FA">
      <w:pPr>
        <w:spacing w:line="360" w:lineRule="auto"/>
        <w:jc w:val="both"/>
        <w:rPr>
          <w:rFonts w:ascii="Arial" w:hAnsi="Arial" w:cs="Arial"/>
          <w:b/>
          <w:bCs/>
        </w:rPr>
      </w:pPr>
    </w:p>
    <w:p w14:paraId="7C0BC3D8" w14:textId="77777777" w:rsidR="00C465E2" w:rsidRDefault="00C465E2" w:rsidP="00B411FA">
      <w:pPr>
        <w:spacing w:line="360" w:lineRule="auto"/>
        <w:jc w:val="both"/>
        <w:rPr>
          <w:rFonts w:ascii="Arial" w:hAnsi="Arial" w:cs="Arial"/>
          <w:b/>
          <w:bCs/>
        </w:rPr>
      </w:pPr>
    </w:p>
    <w:p w14:paraId="456D3464" w14:textId="77777777" w:rsidR="00C465E2" w:rsidRDefault="00C465E2" w:rsidP="00B411FA">
      <w:pPr>
        <w:spacing w:line="360" w:lineRule="auto"/>
        <w:jc w:val="both"/>
        <w:rPr>
          <w:rFonts w:ascii="Arial" w:hAnsi="Arial" w:cs="Arial"/>
          <w:b/>
          <w:bCs/>
        </w:rPr>
      </w:pPr>
    </w:p>
    <w:p w14:paraId="02864746" w14:textId="77777777" w:rsidR="00C465E2" w:rsidRDefault="00C465E2" w:rsidP="00B411FA">
      <w:pPr>
        <w:spacing w:line="360" w:lineRule="auto"/>
        <w:jc w:val="both"/>
        <w:rPr>
          <w:rFonts w:ascii="Arial" w:hAnsi="Arial" w:cs="Arial"/>
          <w:b/>
          <w:bCs/>
        </w:rPr>
      </w:pPr>
    </w:p>
    <w:p w14:paraId="7A1EEA41" w14:textId="77777777" w:rsidR="00C465E2" w:rsidRDefault="00C465E2" w:rsidP="00B411FA">
      <w:pPr>
        <w:spacing w:line="360" w:lineRule="auto"/>
        <w:jc w:val="both"/>
        <w:rPr>
          <w:rFonts w:ascii="Arial" w:hAnsi="Arial" w:cs="Arial"/>
          <w:b/>
          <w:bCs/>
        </w:rPr>
      </w:pPr>
    </w:p>
    <w:p w14:paraId="1D790731" w14:textId="77777777" w:rsidR="00C465E2" w:rsidRDefault="00C465E2" w:rsidP="00B411FA">
      <w:pPr>
        <w:spacing w:line="360" w:lineRule="auto"/>
        <w:jc w:val="both"/>
        <w:rPr>
          <w:rFonts w:ascii="Arial" w:hAnsi="Arial" w:cs="Arial"/>
          <w:b/>
          <w:bCs/>
        </w:rPr>
      </w:pPr>
    </w:p>
    <w:p w14:paraId="25A56BC4" w14:textId="77777777" w:rsidR="00C465E2" w:rsidRDefault="00C465E2" w:rsidP="00B411FA">
      <w:pPr>
        <w:spacing w:line="360" w:lineRule="auto"/>
        <w:jc w:val="both"/>
        <w:rPr>
          <w:rFonts w:ascii="Arial" w:hAnsi="Arial" w:cs="Arial"/>
          <w:b/>
          <w:bCs/>
        </w:rPr>
      </w:pPr>
    </w:p>
    <w:p w14:paraId="79988A51" w14:textId="455E0475" w:rsidR="00F11761" w:rsidRPr="00B411FA" w:rsidRDefault="00F11761" w:rsidP="00B411FA">
      <w:pPr>
        <w:spacing w:line="360" w:lineRule="auto"/>
        <w:jc w:val="both"/>
        <w:rPr>
          <w:rFonts w:ascii="Arial" w:hAnsi="Arial" w:cs="Arial"/>
        </w:rPr>
      </w:pPr>
      <w:r>
        <w:rPr>
          <w:rFonts w:ascii="Arial" w:hAnsi="Arial" w:cs="Arial"/>
          <w:b/>
          <w:bCs/>
        </w:rPr>
        <w:lastRenderedPageBreak/>
        <w:t xml:space="preserve">7. </w:t>
      </w:r>
      <w:r w:rsidR="00461A0A">
        <w:rPr>
          <w:rFonts w:ascii="Arial" w:hAnsi="Arial" w:cs="Arial"/>
          <w:b/>
          <w:bCs/>
        </w:rPr>
        <w:t>References</w:t>
      </w:r>
      <w:r>
        <w:rPr>
          <w:rFonts w:ascii="Arial" w:hAnsi="Arial" w:cs="Arial"/>
          <w:b/>
          <w:bCs/>
        </w:rPr>
        <w:t xml:space="preserve"> </w:t>
      </w:r>
    </w:p>
    <w:p w14:paraId="69154544" w14:textId="4B686FAB" w:rsidR="00F11761" w:rsidRPr="00F11761" w:rsidRDefault="00F11761" w:rsidP="00B86633">
      <w:pPr>
        <w:spacing w:line="360" w:lineRule="auto"/>
        <w:jc w:val="both"/>
        <w:rPr>
          <w:rFonts w:ascii="Arial" w:hAnsi="Arial" w:cs="Arial"/>
        </w:rPr>
      </w:pPr>
      <w:r w:rsidRPr="00F11761">
        <w:rPr>
          <w:rFonts w:ascii="Arial" w:hAnsi="Arial" w:cs="Arial"/>
        </w:rPr>
        <w:t xml:space="preserve">Ahmad, W. &amp; Afza, T. (2020) ‘Debt financing decisions of firms: A review of the influence of credit ratings’, </w:t>
      </w:r>
      <w:r w:rsidRPr="00F11761">
        <w:rPr>
          <w:rFonts w:ascii="Arial" w:hAnsi="Arial" w:cs="Arial"/>
          <w:i/>
          <w:iCs/>
        </w:rPr>
        <w:t>Journal of Asian Finance, Economics and Business</w:t>
      </w:r>
      <w:r w:rsidRPr="00F11761">
        <w:rPr>
          <w:rFonts w:ascii="Arial" w:hAnsi="Arial" w:cs="Arial"/>
        </w:rPr>
        <w:t xml:space="preserve">, 7(12), pp. 81–92. </w:t>
      </w:r>
      <w:hyperlink r:id="rId9" w:tgtFrame="_new" w:history="1">
        <w:r w:rsidRPr="00F11761">
          <w:rPr>
            <w:rStyle w:val="Hyperlink"/>
            <w:rFonts w:ascii="Arial" w:hAnsi="Arial" w:cs="Arial"/>
          </w:rPr>
          <w:t>https://www.researchgate.net/publication/347498728</w:t>
        </w:r>
      </w:hyperlink>
    </w:p>
    <w:p w14:paraId="3575D45C" w14:textId="657D56CD" w:rsidR="00821026" w:rsidRDefault="00821026" w:rsidP="00B86633">
      <w:pPr>
        <w:spacing w:line="360" w:lineRule="auto"/>
        <w:jc w:val="both"/>
        <w:rPr>
          <w:rFonts w:ascii="Arial" w:hAnsi="Arial" w:cs="Arial"/>
        </w:rPr>
      </w:pPr>
      <w:r w:rsidRPr="00821026">
        <w:rPr>
          <w:rFonts w:ascii="Arial" w:hAnsi="Arial" w:cs="Arial"/>
        </w:rPr>
        <w:t xml:space="preserve">Ahmad, M. (2022). </w:t>
      </w:r>
      <w:r w:rsidRPr="00821026">
        <w:rPr>
          <w:rFonts w:ascii="Arial" w:hAnsi="Arial" w:cs="Arial"/>
          <w:i/>
          <w:iCs/>
        </w:rPr>
        <w:t>Working capital management and firm performance</w:t>
      </w:r>
      <w:r w:rsidRPr="00821026">
        <w:rPr>
          <w:rFonts w:ascii="Arial" w:hAnsi="Arial" w:cs="Arial"/>
        </w:rPr>
        <w:t xml:space="preserve">. Cogent Business &amp; Management, </w:t>
      </w:r>
      <w:r w:rsidRPr="00821026">
        <w:rPr>
          <w:rFonts w:ascii="Arial" w:hAnsi="Arial" w:cs="Arial"/>
          <w:b/>
          <w:bCs/>
        </w:rPr>
        <w:t>9</w:t>
      </w:r>
      <w:r w:rsidRPr="00821026">
        <w:rPr>
          <w:rFonts w:ascii="Arial" w:hAnsi="Arial" w:cs="Arial"/>
        </w:rPr>
        <w:t>(1), 2101224.</w:t>
      </w:r>
      <w:r>
        <w:rPr>
          <w:rFonts w:ascii="Arial" w:hAnsi="Arial" w:cs="Arial"/>
        </w:rPr>
        <w:t xml:space="preserve"> </w:t>
      </w:r>
      <w:hyperlink r:id="rId10" w:history="1">
        <w:r w:rsidRPr="00CF211A">
          <w:rPr>
            <w:rStyle w:val="Hyperlink"/>
            <w:rFonts w:ascii="Arial" w:hAnsi="Arial" w:cs="Arial"/>
          </w:rPr>
          <w:t>https://www.tandfonline.com/</w:t>
        </w:r>
      </w:hyperlink>
    </w:p>
    <w:p w14:paraId="146BB270" w14:textId="1473B1B9" w:rsidR="00F11761" w:rsidRPr="00F11761" w:rsidRDefault="00F11761" w:rsidP="00B86633">
      <w:pPr>
        <w:spacing w:line="360" w:lineRule="auto"/>
        <w:jc w:val="both"/>
        <w:rPr>
          <w:rFonts w:ascii="Arial" w:hAnsi="Arial" w:cs="Arial"/>
        </w:rPr>
      </w:pPr>
      <w:r w:rsidRPr="00F11761">
        <w:rPr>
          <w:rFonts w:ascii="Arial" w:hAnsi="Arial" w:cs="Arial"/>
        </w:rPr>
        <w:t xml:space="preserve">Altman, E.I. (2018) </w:t>
      </w:r>
      <w:r w:rsidRPr="00F11761">
        <w:rPr>
          <w:rFonts w:ascii="Arial" w:hAnsi="Arial" w:cs="Arial"/>
          <w:i/>
          <w:iCs/>
        </w:rPr>
        <w:t>Corporate Financial Distress and Bankruptcy</w:t>
      </w:r>
      <w:r w:rsidRPr="00F11761">
        <w:rPr>
          <w:rFonts w:ascii="Arial" w:hAnsi="Arial" w:cs="Arial"/>
        </w:rPr>
        <w:t xml:space="preserve">. 3rd </w:t>
      </w:r>
      <w:proofErr w:type="spellStart"/>
      <w:r w:rsidRPr="00F11761">
        <w:rPr>
          <w:rFonts w:ascii="Arial" w:hAnsi="Arial" w:cs="Arial"/>
        </w:rPr>
        <w:t>edn</w:t>
      </w:r>
      <w:proofErr w:type="spellEnd"/>
      <w:r w:rsidRPr="00F11761">
        <w:rPr>
          <w:rFonts w:ascii="Arial" w:hAnsi="Arial" w:cs="Arial"/>
        </w:rPr>
        <w:t>. New York: Wiley.</w:t>
      </w:r>
      <w:r w:rsidR="00921930">
        <w:rPr>
          <w:rFonts w:ascii="Arial" w:hAnsi="Arial" w:cs="Arial"/>
        </w:rPr>
        <w:t xml:space="preserve"> </w:t>
      </w:r>
      <w:hyperlink r:id="rId11" w:history="1">
        <w:r w:rsidR="00921930" w:rsidRPr="00F11761">
          <w:rPr>
            <w:rStyle w:val="Hyperlink"/>
            <w:rFonts w:ascii="Arial" w:hAnsi="Arial" w:cs="Arial"/>
          </w:rPr>
          <w:t>https://scholar.google.com</w:t>
        </w:r>
      </w:hyperlink>
    </w:p>
    <w:p w14:paraId="02A93BBF" w14:textId="59A2835F" w:rsidR="00F11761" w:rsidRPr="00F11761" w:rsidRDefault="00F11761" w:rsidP="00B86633">
      <w:pPr>
        <w:spacing w:line="360" w:lineRule="auto"/>
        <w:jc w:val="both"/>
        <w:rPr>
          <w:rFonts w:ascii="Arial" w:hAnsi="Arial" w:cs="Arial"/>
        </w:rPr>
      </w:pPr>
      <w:r w:rsidRPr="00F11761">
        <w:rPr>
          <w:rFonts w:ascii="Arial" w:hAnsi="Arial" w:cs="Arial"/>
        </w:rPr>
        <w:t xml:space="preserve">Altman, E.I., </w:t>
      </w:r>
      <w:proofErr w:type="spellStart"/>
      <w:r w:rsidRPr="00F11761">
        <w:rPr>
          <w:rFonts w:ascii="Arial" w:hAnsi="Arial" w:cs="Arial"/>
        </w:rPr>
        <w:t>Iwanicz</w:t>
      </w:r>
      <w:proofErr w:type="spellEnd"/>
      <w:r w:rsidRPr="00F11761">
        <w:rPr>
          <w:rFonts w:ascii="Cambria Math" w:hAnsi="Cambria Math" w:cs="Cambria Math"/>
        </w:rPr>
        <w:t>‐</w:t>
      </w:r>
      <w:r w:rsidRPr="00F11761">
        <w:rPr>
          <w:rFonts w:ascii="Arial" w:hAnsi="Arial" w:cs="Arial"/>
        </w:rPr>
        <w:t xml:space="preserve">Drozdowska, M., Laitinen, E.K. &amp; Suvas, A. (2020) ‘A fifty-year retrospective on credit risk models, the Altman Z-score and their applications’, </w:t>
      </w:r>
      <w:r w:rsidRPr="00F11761">
        <w:rPr>
          <w:rFonts w:ascii="Arial" w:hAnsi="Arial" w:cs="Arial"/>
          <w:i/>
          <w:iCs/>
        </w:rPr>
        <w:t>Journal of Credit Risk</w:t>
      </w:r>
      <w:r w:rsidRPr="00F11761">
        <w:rPr>
          <w:rFonts w:ascii="Arial" w:hAnsi="Arial" w:cs="Arial"/>
        </w:rPr>
        <w:t>, 16(4), pp. 1–34.</w:t>
      </w:r>
      <w:r w:rsidR="00921930">
        <w:rPr>
          <w:rFonts w:ascii="Arial" w:hAnsi="Arial" w:cs="Arial"/>
        </w:rPr>
        <w:t xml:space="preserve"> </w:t>
      </w:r>
      <w:r w:rsidRPr="00F11761">
        <w:rPr>
          <w:rFonts w:ascii="Arial" w:hAnsi="Arial" w:cs="Arial"/>
        </w:rPr>
        <w:t xml:space="preserve"> PDF: </w:t>
      </w:r>
      <w:hyperlink r:id="rId12" w:tgtFrame="_new" w:history="1">
        <w:r w:rsidRPr="00F11761">
          <w:rPr>
            <w:rStyle w:val="Hyperlink"/>
            <w:rFonts w:ascii="Arial" w:hAnsi="Arial" w:cs="Arial"/>
          </w:rPr>
          <w:t>https://arxiv.org/abs/2012.08997</w:t>
        </w:r>
      </w:hyperlink>
    </w:p>
    <w:p w14:paraId="3165C5AF" w14:textId="5FC5BC94" w:rsidR="00F11761" w:rsidRPr="00F11761" w:rsidRDefault="00F11761" w:rsidP="00B86633">
      <w:pPr>
        <w:spacing w:line="360" w:lineRule="auto"/>
        <w:jc w:val="both"/>
        <w:rPr>
          <w:rFonts w:ascii="Arial" w:hAnsi="Arial" w:cs="Arial"/>
        </w:rPr>
      </w:pPr>
      <w:r w:rsidRPr="00F11761">
        <w:rPr>
          <w:rFonts w:ascii="Arial" w:hAnsi="Arial" w:cs="Arial"/>
        </w:rPr>
        <w:t xml:space="preserve">Altman, E.I. &amp; Hotchkiss, E. (2020) </w:t>
      </w:r>
      <w:r w:rsidRPr="00F11761">
        <w:rPr>
          <w:rFonts w:ascii="Arial" w:hAnsi="Arial" w:cs="Arial"/>
          <w:i/>
          <w:iCs/>
        </w:rPr>
        <w:t>Corporate Financial Distress, Restructuring, and Bankruptcy</w:t>
      </w:r>
      <w:r w:rsidRPr="00F11761">
        <w:rPr>
          <w:rFonts w:ascii="Arial" w:hAnsi="Arial" w:cs="Arial"/>
        </w:rPr>
        <w:t xml:space="preserve">. 4th </w:t>
      </w:r>
      <w:proofErr w:type="spellStart"/>
      <w:r w:rsidRPr="00F11761">
        <w:rPr>
          <w:rFonts w:ascii="Arial" w:hAnsi="Arial" w:cs="Arial"/>
        </w:rPr>
        <w:t>edn</w:t>
      </w:r>
      <w:proofErr w:type="spellEnd"/>
      <w:r w:rsidRPr="00F11761">
        <w:rPr>
          <w:rFonts w:ascii="Arial" w:hAnsi="Arial" w:cs="Arial"/>
        </w:rPr>
        <w:t xml:space="preserve">. Hoboken: Wiley. </w:t>
      </w:r>
      <w:hyperlink r:id="rId13" w:tgtFrame="_new" w:history="1">
        <w:r w:rsidRPr="00F11761">
          <w:rPr>
            <w:rStyle w:val="Hyperlink"/>
            <w:rFonts w:ascii="Arial" w:hAnsi="Arial" w:cs="Arial"/>
          </w:rPr>
          <w:t>https://scholar.google.com</w:t>
        </w:r>
      </w:hyperlink>
    </w:p>
    <w:p w14:paraId="285DA65E" w14:textId="7813AD80" w:rsidR="00F11761" w:rsidRPr="00F11761" w:rsidRDefault="00F11761" w:rsidP="00B86633">
      <w:pPr>
        <w:spacing w:line="360" w:lineRule="auto"/>
        <w:jc w:val="both"/>
        <w:rPr>
          <w:rFonts w:ascii="Arial" w:hAnsi="Arial" w:cs="Arial"/>
        </w:rPr>
      </w:pPr>
      <w:proofErr w:type="spellStart"/>
      <w:r w:rsidRPr="00F11761">
        <w:rPr>
          <w:rFonts w:ascii="Arial" w:hAnsi="Arial" w:cs="Arial"/>
        </w:rPr>
        <w:t>Atrill</w:t>
      </w:r>
      <w:proofErr w:type="spellEnd"/>
      <w:r w:rsidRPr="00F11761">
        <w:rPr>
          <w:rFonts w:ascii="Arial" w:hAnsi="Arial" w:cs="Arial"/>
        </w:rPr>
        <w:t xml:space="preserve">, P. &amp; McLaney, E. (2022) </w:t>
      </w:r>
      <w:r w:rsidRPr="00F11761">
        <w:rPr>
          <w:rFonts w:ascii="Arial" w:hAnsi="Arial" w:cs="Arial"/>
          <w:i/>
          <w:iCs/>
        </w:rPr>
        <w:t>Accounting and Finance for Non-Specialists</w:t>
      </w:r>
      <w:r w:rsidRPr="00F11761">
        <w:rPr>
          <w:rFonts w:ascii="Arial" w:hAnsi="Arial" w:cs="Arial"/>
        </w:rPr>
        <w:t xml:space="preserve">. 12th </w:t>
      </w:r>
      <w:proofErr w:type="spellStart"/>
      <w:r w:rsidRPr="00F11761">
        <w:rPr>
          <w:rFonts w:ascii="Arial" w:hAnsi="Arial" w:cs="Arial"/>
        </w:rPr>
        <w:t>edn</w:t>
      </w:r>
      <w:proofErr w:type="spellEnd"/>
      <w:r w:rsidRPr="00F11761">
        <w:rPr>
          <w:rFonts w:ascii="Arial" w:hAnsi="Arial" w:cs="Arial"/>
        </w:rPr>
        <w:t>. Pearson.</w:t>
      </w:r>
      <w:r w:rsidR="00921930">
        <w:rPr>
          <w:rFonts w:ascii="Arial" w:hAnsi="Arial" w:cs="Arial"/>
        </w:rPr>
        <w:t xml:space="preserve"> </w:t>
      </w:r>
      <w:hyperlink r:id="rId14" w:history="1">
        <w:r w:rsidR="00921930" w:rsidRPr="00F11761">
          <w:rPr>
            <w:rStyle w:val="Hyperlink"/>
            <w:rFonts w:ascii="Arial" w:hAnsi="Arial" w:cs="Arial"/>
          </w:rPr>
          <w:t>https://scholar.google.com</w:t>
        </w:r>
      </w:hyperlink>
    </w:p>
    <w:p w14:paraId="2BC41BD2" w14:textId="395ED615" w:rsidR="00F11761" w:rsidRPr="00F11761" w:rsidRDefault="00F11761" w:rsidP="00B86633">
      <w:pPr>
        <w:spacing w:line="360" w:lineRule="auto"/>
        <w:jc w:val="both"/>
        <w:rPr>
          <w:rFonts w:ascii="Arial" w:hAnsi="Arial" w:cs="Arial"/>
        </w:rPr>
      </w:pPr>
      <w:proofErr w:type="spellStart"/>
      <w:r w:rsidRPr="00F11761">
        <w:rPr>
          <w:rFonts w:ascii="Arial" w:hAnsi="Arial" w:cs="Arial"/>
        </w:rPr>
        <w:t>Atrill</w:t>
      </w:r>
      <w:proofErr w:type="spellEnd"/>
      <w:r w:rsidRPr="00F11761">
        <w:rPr>
          <w:rFonts w:ascii="Arial" w:hAnsi="Arial" w:cs="Arial"/>
        </w:rPr>
        <w:t xml:space="preserve">, P. &amp; McLaney, E. (2022) </w:t>
      </w:r>
      <w:r w:rsidRPr="00F11761">
        <w:rPr>
          <w:rFonts w:ascii="Arial" w:hAnsi="Arial" w:cs="Arial"/>
          <w:i/>
          <w:iCs/>
        </w:rPr>
        <w:t>Financial Management for Decision Makers</w:t>
      </w:r>
      <w:r w:rsidRPr="00F11761">
        <w:rPr>
          <w:rFonts w:ascii="Arial" w:hAnsi="Arial" w:cs="Arial"/>
        </w:rPr>
        <w:t>. Pearson.</w:t>
      </w:r>
      <w:r w:rsidRPr="00F11761">
        <w:rPr>
          <w:rFonts w:ascii="Arial" w:hAnsi="Arial" w:cs="Arial"/>
        </w:rPr>
        <w:br/>
        <w:t xml:space="preserve"> </w:t>
      </w:r>
      <w:hyperlink r:id="rId15" w:tgtFrame="_new" w:history="1">
        <w:r w:rsidRPr="00F11761">
          <w:rPr>
            <w:rStyle w:val="Hyperlink"/>
            <w:rFonts w:ascii="Arial" w:hAnsi="Arial" w:cs="Arial"/>
          </w:rPr>
          <w:t>https://scholar.google.com</w:t>
        </w:r>
      </w:hyperlink>
    </w:p>
    <w:p w14:paraId="15083D15" w14:textId="6E453080" w:rsidR="00F11761" w:rsidRPr="00F11761" w:rsidRDefault="00F11761" w:rsidP="00B86633">
      <w:pPr>
        <w:spacing w:line="360" w:lineRule="auto"/>
        <w:jc w:val="both"/>
        <w:rPr>
          <w:rFonts w:ascii="Arial" w:hAnsi="Arial" w:cs="Arial"/>
        </w:rPr>
      </w:pPr>
      <w:r w:rsidRPr="00F11761">
        <w:rPr>
          <w:rFonts w:ascii="Arial" w:hAnsi="Arial" w:cs="Arial"/>
        </w:rPr>
        <w:t xml:space="preserve">Barney, J. (2020) ‘Resource-based theory: Creating and sustaining competitive advantage’, </w:t>
      </w:r>
      <w:r w:rsidRPr="00F11761">
        <w:rPr>
          <w:rFonts w:ascii="Arial" w:hAnsi="Arial" w:cs="Arial"/>
          <w:i/>
          <w:iCs/>
        </w:rPr>
        <w:t>Journal of Management Studies</w:t>
      </w:r>
      <w:r w:rsidRPr="00F11761">
        <w:rPr>
          <w:rFonts w:ascii="Arial" w:hAnsi="Arial" w:cs="Arial"/>
        </w:rPr>
        <w:t xml:space="preserve">, 57(1), pp. 65–91. </w:t>
      </w:r>
      <w:hyperlink r:id="rId16" w:tgtFrame="_new" w:history="1">
        <w:r w:rsidRPr="00F11761">
          <w:rPr>
            <w:rStyle w:val="Hyperlink"/>
            <w:rFonts w:ascii="Arial" w:hAnsi="Arial" w:cs="Arial"/>
          </w:rPr>
          <w:t>https://scholar.google.com</w:t>
        </w:r>
      </w:hyperlink>
    </w:p>
    <w:p w14:paraId="781C14FC" w14:textId="33C33542" w:rsidR="00F11761" w:rsidRPr="00F11761" w:rsidRDefault="00F11761" w:rsidP="00B86633">
      <w:pPr>
        <w:spacing w:line="360" w:lineRule="auto"/>
        <w:jc w:val="both"/>
        <w:rPr>
          <w:rFonts w:ascii="Arial" w:hAnsi="Arial" w:cs="Arial"/>
        </w:rPr>
      </w:pPr>
      <w:r w:rsidRPr="00F11761">
        <w:rPr>
          <w:rFonts w:ascii="Arial" w:hAnsi="Arial" w:cs="Arial"/>
        </w:rPr>
        <w:t xml:space="preserve">Brealey, R.A., Myers, S.C. &amp; Allen, F. (2023) </w:t>
      </w:r>
      <w:r w:rsidRPr="00F11761">
        <w:rPr>
          <w:rFonts w:ascii="Arial" w:hAnsi="Arial" w:cs="Arial"/>
          <w:i/>
          <w:iCs/>
        </w:rPr>
        <w:t>Principles of Corporate Finance</w:t>
      </w:r>
      <w:r w:rsidRPr="00F11761">
        <w:rPr>
          <w:rFonts w:ascii="Arial" w:hAnsi="Arial" w:cs="Arial"/>
        </w:rPr>
        <w:t xml:space="preserve">. 14th </w:t>
      </w:r>
      <w:proofErr w:type="spellStart"/>
      <w:r w:rsidRPr="00F11761">
        <w:rPr>
          <w:rFonts w:ascii="Arial" w:hAnsi="Arial" w:cs="Arial"/>
        </w:rPr>
        <w:t>edn</w:t>
      </w:r>
      <w:proofErr w:type="spellEnd"/>
      <w:r w:rsidRPr="00F11761">
        <w:rPr>
          <w:rFonts w:ascii="Arial" w:hAnsi="Arial" w:cs="Arial"/>
        </w:rPr>
        <w:t>. McGraw-Hill.</w:t>
      </w:r>
      <w:r w:rsidR="00921930">
        <w:rPr>
          <w:rFonts w:ascii="Arial" w:hAnsi="Arial" w:cs="Arial"/>
        </w:rPr>
        <w:t xml:space="preserve"> </w:t>
      </w:r>
      <w:hyperlink r:id="rId17" w:history="1">
        <w:r w:rsidR="00921930" w:rsidRPr="00F11761">
          <w:rPr>
            <w:rStyle w:val="Hyperlink"/>
            <w:rFonts w:ascii="Arial" w:hAnsi="Arial" w:cs="Arial"/>
          </w:rPr>
          <w:t>https://books.google.com</w:t>
        </w:r>
      </w:hyperlink>
    </w:p>
    <w:p w14:paraId="685DF6E3" w14:textId="4CEDFBE4" w:rsidR="00F11761" w:rsidRPr="0041779F" w:rsidRDefault="00F11761" w:rsidP="00B86633">
      <w:pPr>
        <w:spacing w:line="360" w:lineRule="auto"/>
        <w:jc w:val="both"/>
        <w:rPr>
          <w:rStyle w:val="Hyperlink"/>
          <w:rFonts w:ascii="Arial" w:hAnsi="Arial" w:cs="Arial"/>
        </w:rPr>
      </w:pPr>
      <w:r w:rsidRPr="00F11761">
        <w:rPr>
          <w:rFonts w:ascii="Arial" w:hAnsi="Arial" w:cs="Arial"/>
        </w:rPr>
        <w:t xml:space="preserve">Brem, A., Puente-Diaz, R. &amp; </w:t>
      </w:r>
      <w:proofErr w:type="spellStart"/>
      <w:r w:rsidRPr="00F11761">
        <w:rPr>
          <w:rFonts w:ascii="Arial" w:hAnsi="Arial" w:cs="Arial"/>
        </w:rPr>
        <w:t>Agogué</w:t>
      </w:r>
      <w:proofErr w:type="spellEnd"/>
      <w:r w:rsidRPr="00F11761">
        <w:rPr>
          <w:rFonts w:ascii="Arial" w:hAnsi="Arial" w:cs="Arial"/>
        </w:rPr>
        <w:t xml:space="preserve">, M. (2021) ‘Innovation management in crisis: The role of creativity and problem-solving’, </w:t>
      </w:r>
      <w:r w:rsidRPr="00F11761">
        <w:rPr>
          <w:rFonts w:ascii="Arial" w:hAnsi="Arial" w:cs="Arial"/>
          <w:i/>
          <w:iCs/>
        </w:rPr>
        <w:t>Creativity and Innovation Management</w:t>
      </w:r>
      <w:r w:rsidRPr="00F11761">
        <w:rPr>
          <w:rFonts w:ascii="Arial" w:hAnsi="Arial" w:cs="Arial"/>
        </w:rPr>
        <w:t>, 30(1), pp. 5–16.</w:t>
      </w:r>
      <w:r w:rsidR="00921930">
        <w:rPr>
          <w:rFonts w:ascii="Arial" w:hAnsi="Arial" w:cs="Arial"/>
        </w:rPr>
        <w:t xml:space="preserve"> </w:t>
      </w:r>
      <w:r w:rsidRPr="00F11761">
        <w:rPr>
          <w:rFonts w:ascii="Arial" w:hAnsi="Arial" w:cs="Arial"/>
        </w:rPr>
        <w:t xml:space="preserve">PDF: </w:t>
      </w:r>
      <w:r w:rsidR="0041779F">
        <w:rPr>
          <w:rFonts w:ascii="Arial" w:hAnsi="Arial" w:cs="Arial"/>
        </w:rPr>
        <w:fldChar w:fldCharType="begin"/>
      </w:r>
      <w:r w:rsidR="0041779F">
        <w:rPr>
          <w:rFonts w:ascii="Arial" w:hAnsi="Arial" w:cs="Arial"/>
        </w:rPr>
        <w:instrText>HYPERLINK "https://onlinelibrary.wiley.com/doi/epdf/10.1111/caim.12419" \t "_new"</w:instrText>
      </w:r>
      <w:r w:rsidR="0041779F">
        <w:rPr>
          <w:rFonts w:ascii="Arial" w:hAnsi="Arial" w:cs="Arial"/>
        </w:rPr>
      </w:r>
      <w:r w:rsidR="0041779F">
        <w:rPr>
          <w:rFonts w:ascii="Arial" w:hAnsi="Arial" w:cs="Arial"/>
        </w:rPr>
        <w:fldChar w:fldCharType="separate"/>
      </w:r>
      <w:r w:rsidRPr="0041779F">
        <w:rPr>
          <w:rStyle w:val="Hyperlink"/>
          <w:rFonts w:ascii="Arial" w:hAnsi="Arial" w:cs="Arial"/>
        </w:rPr>
        <w:t>https://onlinelibrary.wiley.com/doi/epdf/10.1111/caim.12419</w:t>
      </w:r>
    </w:p>
    <w:p w14:paraId="77D55FAB" w14:textId="67D75B35" w:rsidR="00F11761" w:rsidRPr="00F11761" w:rsidRDefault="0041779F" w:rsidP="00B86633">
      <w:pPr>
        <w:spacing w:line="360" w:lineRule="auto"/>
        <w:jc w:val="both"/>
        <w:rPr>
          <w:rFonts w:ascii="Arial" w:hAnsi="Arial" w:cs="Arial"/>
        </w:rPr>
      </w:pPr>
      <w:r>
        <w:rPr>
          <w:rFonts w:ascii="Arial" w:hAnsi="Arial" w:cs="Arial"/>
        </w:rPr>
        <w:fldChar w:fldCharType="end"/>
      </w:r>
      <w:r w:rsidR="00F11761" w:rsidRPr="00F11761">
        <w:rPr>
          <w:rFonts w:ascii="Arial" w:hAnsi="Arial" w:cs="Arial"/>
        </w:rPr>
        <w:t xml:space="preserve">Brigham, E.F. &amp; Ehrhardt, M.C. (2022) </w:t>
      </w:r>
      <w:r w:rsidR="00F11761" w:rsidRPr="00F11761">
        <w:rPr>
          <w:rFonts w:ascii="Arial" w:hAnsi="Arial" w:cs="Arial"/>
          <w:i/>
          <w:iCs/>
        </w:rPr>
        <w:t>Financial Management: Theory and Practice</w:t>
      </w:r>
      <w:r w:rsidR="00F11761" w:rsidRPr="00F11761">
        <w:rPr>
          <w:rFonts w:ascii="Arial" w:hAnsi="Arial" w:cs="Arial"/>
        </w:rPr>
        <w:t xml:space="preserve">. 17th </w:t>
      </w:r>
      <w:proofErr w:type="spellStart"/>
      <w:r w:rsidR="00F11761" w:rsidRPr="00F11761">
        <w:rPr>
          <w:rFonts w:ascii="Arial" w:hAnsi="Arial" w:cs="Arial"/>
        </w:rPr>
        <w:t>edn</w:t>
      </w:r>
      <w:proofErr w:type="spellEnd"/>
      <w:r w:rsidR="00F11761" w:rsidRPr="00F11761">
        <w:rPr>
          <w:rFonts w:ascii="Arial" w:hAnsi="Arial" w:cs="Arial"/>
        </w:rPr>
        <w:t>. Cengage.</w:t>
      </w:r>
      <w:r w:rsidR="00921930">
        <w:rPr>
          <w:rFonts w:ascii="Arial" w:hAnsi="Arial" w:cs="Arial"/>
        </w:rPr>
        <w:t xml:space="preserve"> </w:t>
      </w:r>
      <w:hyperlink r:id="rId18" w:history="1">
        <w:r w:rsidR="00921930" w:rsidRPr="00F11761">
          <w:rPr>
            <w:rStyle w:val="Hyperlink"/>
            <w:rFonts w:ascii="Arial" w:hAnsi="Arial" w:cs="Arial"/>
          </w:rPr>
          <w:t>https://books.google.com</w:t>
        </w:r>
      </w:hyperlink>
    </w:p>
    <w:p w14:paraId="3577F892" w14:textId="5295DE19" w:rsidR="00F11761" w:rsidRPr="00F11761" w:rsidRDefault="00F11761" w:rsidP="00B86633">
      <w:pPr>
        <w:spacing w:line="360" w:lineRule="auto"/>
        <w:jc w:val="both"/>
        <w:rPr>
          <w:rFonts w:ascii="Arial" w:hAnsi="Arial" w:cs="Arial"/>
        </w:rPr>
      </w:pPr>
      <w:r w:rsidRPr="00F11761">
        <w:rPr>
          <w:rFonts w:ascii="Arial" w:hAnsi="Arial" w:cs="Arial"/>
        </w:rPr>
        <w:lastRenderedPageBreak/>
        <w:t xml:space="preserve">Carroll, A. &amp; Brown, J. (2023) ‘Corporate social responsibility revisited’, </w:t>
      </w:r>
      <w:r w:rsidRPr="00F11761">
        <w:rPr>
          <w:rFonts w:ascii="Arial" w:hAnsi="Arial" w:cs="Arial"/>
          <w:i/>
          <w:iCs/>
        </w:rPr>
        <w:t>Harvard Business Review</w:t>
      </w:r>
      <w:r w:rsidRPr="00F11761">
        <w:rPr>
          <w:rFonts w:ascii="Arial" w:hAnsi="Arial" w:cs="Arial"/>
        </w:rPr>
        <w:t>, 101(3), pp. 34–45.</w:t>
      </w:r>
      <w:r w:rsidR="00921930">
        <w:rPr>
          <w:rFonts w:ascii="Arial" w:hAnsi="Arial" w:cs="Arial"/>
        </w:rPr>
        <w:t xml:space="preserve"> </w:t>
      </w:r>
      <w:hyperlink r:id="rId19" w:history="1">
        <w:r w:rsidR="00921930" w:rsidRPr="00921930">
          <w:rPr>
            <w:rStyle w:val="Hyperlink"/>
            <w:rFonts w:ascii="Arial" w:hAnsi="Arial" w:cs="Arial"/>
          </w:rPr>
          <w:t>https://hbr.org/2023/09/research-consumers-sustainability-demands-are-rising</w:t>
        </w:r>
      </w:hyperlink>
    </w:p>
    <w:p w14:paraId="18AF4382" w14:textId="1D68B1E6" w:rsidR="00F11761" w:rsidRPr="0041779F" w:rsidRDefault="00F11761" w:rsidP="00B86633">
      <w:pPr>
        <w:spacing w:line="360" w:lineRule="auto"/>
        <w:jc w:val="both"/>
        <w:rPr>
          <w:rStyle w:val="Hyperlink"/>
          <w:rFonts w:ascii="Arial" w:hAnsi="Arial" w:cs="Arial"/>
        </w:rPr>
      </w:pPr>
      <w:r w:rsidRPr="00F11761">
        <w:rPr>
          <w:rFonts w:ascii="Arial" w:hAnsi="Arial" w:cs="Arial"/>
        </w:rPr>
        <w:t xml:space="preserve">Deloof, M. (2021) ‘The relationship between working capital and profitability’, </w:t>
      </w:r>
      <w:r w:rsidRPr="00F11761">
        <w:rPr>
          <w:rFonts w:ascii="Arial" w:hAnsi="Arial" w:cs="Arial"/>
          <w:i/>
          <w:iCs/>
        </w:rPr>
        <w:t>Applied Economics</w:t>
      </w:r>
      <w:r w:rsidRPr="00F11761">
        <w:rPr>
          <w:rFonts w:ascii="Arial" w:hAnsi="Arial" w:cs="Arial"/>
        </w:rPr>
        <w:t>, 53(27), pp. 3099–3112.</w:t>
      </w:r>
      <w:r w:rsidR="00921930">
        <w:rPr>
          <w:rFonts w:ascii="Arial" w:hAnsi="Arial" w:cs="Arial"/>
        </w:rPr>
        <w:t xml:space="preserve"> </w:t>
      </w:r>
      <w:r w:rsidR="0041779F">
        <w:rPr>
          <w:rFonts w:ascii="Arial" w:hAnsi="Arial" w:cs="Arial"/>
        </w:rPr>
        <w:fldChar w:fldCharType="begin"/>
      </w:r>
      <w:r w:rsidR="0041779F">
        <w:rPr>
          <w:rFonts w:ascii="Arial" w:hAnsi="Arial" w:cs="Arial"/>
        </w:rPr>
        <w:instrText>HYPERLINK "https://www.researchgate.net/publication/327357699"</w:instrText>
      </w:r>
      <w:r w:rsidR="0041779F">
        <w:rPr>
          <w:rFonts w:ascii="Arial" w:hAnsi="Arial" w:cs="Arial"/>
        </w:rPr>
      </w:r>
      <w:r w:rsidR="0041779F">
        <w:rPr>
          <w:rFonts w:ascii="Arial" w:hAnsi="Arial" w:cs="Arial"/>
        </w:rPr>
        <w:fldChar w:fldCharType="separate"/>
      </w:r>
      <w:r w:rsidR="00921930" w:rsidRPr="0041779F">
        <w:rPr>
          <w:rStyle w:val="Hyperlink"/>
          <w:rFonts w:ascii="Arial" w:hAnsi="Arial" w:cs="Arial"/>
        </w:rPr>
        <w:t>https://www.researchgate.net/publication/327357699</w:t>
      </w:r>
    </w:p>
    <w:p w14:paraId="16BD8B53" w14:textId="4AAE1DAF" w:rsidR="00F11761" w:rsidRPr="00F11761" w:rsidRDefault="0041779F" w:rsidP="00B86633">
      <w:pPr>
        <w:spacing w:line="360" w:lineRule="auto"/>
        <w:jc w:val="both"/>
        <w:rPr>
          <w:rFonts w:ascii="Arial" w:hAnsi="Arial" w:cs="Arial"/>
        </w:rPr>
      </w:pPr>
      <w:r>
        <w:rPr>
          <w:rFonts w:ascii="Arial" w:hAnsi="Arial" w:cs="Arial"/>
        </w:rPr>
        <w:fldChar w:fldCharType="end"/>
      </w:r>
      <w:r w:rsidR="00F11761" w:rsidRPr="00F11761">
        <w:rPr>
          <w:rFonts w:ascii="Arial" w:hAnsi="Arial" w:cs="Arial"/>
        </w:rPr>
        <w:t xml:space="preserve">Duppati, G., Scrimgeour, F., Anderson, K. &amp; Wright, S. (2020) ‘Corporate governance and financial performance: A CFO perspective’, </w:t>
      </w:r>
      <w:r w:rsidR="00F11761" w:rsidRPr="00F11761">
        <w:rPr>
          <w:rFonts w:ascii="Arial" w:hAnsi="Arial" w:cs="Arial"/>
          <w:i/>
          <w:iCs/>
        </w:rPr>
        <w:t>Journal of Risk and Financial Management</w:t>
      </w:r>
      <w:r w:rsidR="00F11761" w:rsidRPr="00F11761">
        <w:rPr>
          <w:rFonts w:ascii="Arial" w:hAnsi="Arial" w:cs="Arial"/>
        </w:rPr>
        <w:t>, 13(2), p. 32.</w:t>
      </w:r>
      <w:r w:rsidR="00921930">
        <w:rPr>
          <w:rFonts w:ascii="Arial" w:hAnsi="Arial" w:cs="Arial"/>
        </w:rPr>
        <w:t xml:space="preserve"> </w:t>
      </w:r>
      <w:hyperlink r:id="rId20" w:history="1">
        <w:r w:rsidR="00921930" w:rsidRPr="00F11761">
          <w:rPr>
            <w:rStyle w:val="Hyperlink"/>
            <w:rFonts w:ascii="Arial" w:hAnsi="Arial" w:cs="Arial"/>
          </w:rPr>
          <w:t>https://www.mdpi.com/1911-8074/13/2/32</w:t>
        </w:r>
      </w:hyperlink>
    </w:p>
    <w:p w14:paraId="537906D4" w14:textId="5FA0AFBE" w:rsidR="00F11761" w:rsidRPr="00F11761" w:rsidRDefault="00F11761" w:rsidP="00B86633">
      <w:pPr>
        <w:spacing w:line="360" w:lineRule="auto"/>
        <w:jc w:val="both"/>
        <w:rPr>
          <w:rFonts w:ascii="Arial" w:hAnsi="Arial" w:cs="Arial"/>
        </w:rPr>
      </w:pPr>
      <w:r w:rsidRPr="00F11761">
        <w:rPr>
          <w:rFonts w:ascii="Arial" w:hAnsi="Arial" w:cs="Arial"/>
        </w:rPr>
        <w:t xml:space="preserve">Grant, R.M. (2023) </w:t>
      </w:r>
      <w:r w:rsidRPr="00F11761">
        <w:rPr>
          <w:rFonts w:ascii="Arial" w:hAnsi="Arial" w:cs="Arial"/>
          <w:i/>
          <w:iCs/>
        </w:rPr>
        <w:t>Contemporary Strategy Analysis</w:t>
      </w:r>
      <w:r w:rsidRPr="00F11761">
        <w:rPr>
          <w:rFonts w:ascii="Arial" w:hAnsi="Arial" w:cs="Arial"/>
        </w:rPr>
        <w:t xml:space="preserve">. 12th </w:t>
      </w:r>
      <w:proofErr w:type="spellStart"/>
      <w:r w:rsidRPr="00F11761">
        <w:rPr>
          <w:rFonts w:ascii="Arial" w:hAnsi="Arial" w:cs="Arial"/>
        </w:rPr>
        <w:t>edn</w:t>
      </w:r>
      <w:proofErr w:type="spellEnd"/>
      <w:r w:rsidRPr="00F11761">
        <w:rPr>
          <w:rFonts w:ascii="Arial" w:hAnsi="Arial" w:cs="Arial"/>
        </w:rPr>
        <w:t>. Wiley.</w:t>
      </w:r>
      <w:r w:rsidRPr="00F11761">
        <w:rPr>
          <w:rFonts w:ascii="Arial" w:hAnsi="Arial" w:cs="Arial"/>
        </w:rPr>
        <w:br/>
      </w:r>
      <w:hyperlink r:id="rId21" w:history="1">
        <w:r w:rsidR="00921930" w:rsidRPr="00F11761">
          <w:rPr>
            <w:rStyle w:val="Hyperlink"/>
            <w:rFonts w:ascii="Arial" w:hAnsi="Arial" w:cs="Arial"/>
          </w:rPr>
          <w:t>https://scholar.google.com</w:t>
        </w:r>
      </w:hyperlink>
    </w:p>
    <w:p w14:paraId="50BBA679" w14:textId="01DBB4B4" w:rsidR="00F11761" w:rsidRPr="00F11761" w:rsidRDefault="00F11761" w:rsidP="00B86633">
      <w:pPr>
        <w:spacing w:line="360" w:lineRule="auto"/>
        <w:jc w:val="both"/>
        <w:rPr>
          <w:rFonts w:ascii="Arial" w:hAnsi="Arial" w:cs="Arial"/>
        </w:rPr>
      </w:pPr>
      <w:r w:rsidRPr="00F11761">
        <w:rPr>
          <w:rFonts w:ascii="Arial" w:hAnsi="Arial" w:cs="Arial"/>
        </w:rPr>
        <w:t xml:space="preserve">Hull, J.C. (2022) </w:t>
      </w:r>
      <w:r w:rsidRPr="00F11761">
        <w:rPr>
          <w:rFonts w:ascii="Arial" w:hAnsi="Arial" w:cs="Arial"/>
          <w:i/>
          <w:iCs/>
        </w:rPr>
        <w:t>Risk Management and Financial Institutions</w:t>
      </w:r>
      <w:r w:rsidRPr="00F11761">
        <w:rPr>
          <w:rFonts w:ascii="Arial" w:hAnsi="Arial" w:cs="Arial"/>
        </w:rPr>
        <w:t xml:space="preserve">. 6th </w:t>
      </w:r>
      <w:proofErr w:type="spellStart"/>
      <w:r w:rsidRPr="00F11761">
        <w:rPr>
          <w:rFonts w:ascii="Arial" w:hAnsi="Arial" w:cs="Arial"/>
        </w:rPr>
        <w:t>edn</w:t>
      </w:r>
      <w:proofErr w:type="spellEnd"/>
      <w:r w:rsidRPr="00F11761">
        <w:rPr>
          <w:rFonts w:ascii="Arial" w:hAnsi="Arial" w:cs="Arial"/>
        </w:rPr>
        <w:t>. Wiley.</w:t>
      </w:r>
      <w:r w:rsidRPr="00F11761">
        <w:rPr>
          <w:rFonts w:ascii="Arial" w:hAnsi="Arial" w:cs="Arial"/>
        </w:rPr>
        <w:br/>
      </w:r>
      <w:hyperlink r:id="rId22" w:history="1">
        <w:r w:rsidR="00921930" w:rsidRPr="00F11761">
          <w:rPr>
            <w:rStyle w:val="Hyperlink"/>
            <w:rFonts w:ascii="Arial" w:hAnsi="Arial" w:cs="Arial"/>
          </w:rPr>
          <w:t>https://scholar.google.com</w:t>
        </w:r>
      </w:hyperlink>
    </w:p>
    <w:p w14:paraId="009ED42F" w14:textId="0F98CF78" w:rsidR="00F11761" w:rsidRPr="00F11761" w:rsidRDefault="00F11761" w:rsidP="00B86633">
      <w:pPr>
        <w:spacing w:line="360" w:lineRule="auto"/>
        <w:jc w:val="both"/>
        <w:rPr>
          <w:rFonts w:ascii="Arial" w:hAnsi="Arial" w:cs="Arial"/>
        </w:rPr>
      </w:pPr>
      <w:r w:rsidRPr="00F11761">
        <w:rPr>
          <w:rFonts w:ascii="Arial" w:hAnsi="Arial" w:cs="Arial"/>
        </w:rPr>
        <w:t xml:space="preserve">IEA (2024) </w:t>
      </w:r>
      <w:r w:rsidRPr="00F11761">
        <w:rPr>
          <w:rFonts w:ascii="Arial" w:hAnsi="Arial" w:cs="Arial"/>
          <w:i/>
          <w:iCs/>
        </w:rPr>
        <w:t>Global Clean Energy Market Outlook 2024</w:t>
      </w:r>
      <w:r w:rsidRPr="00F11761">
        <w:rPr>
          <w:rFonts w:ascii="Arial" w:hAnsi="Arial" w:cs="Arial"/>
        </w:rPr>
        <w:t>. International Energy Agency.</w:t>
      </w:r>
      <w:r w:rsidRPr="00F11761">
        <w:rPr>
          <w:rFonts w:ascii="Arial" w:hAnsi="Arial" w:cs="Arial"/>
        </w:rPr>
        <w:br/>
      </w:r>
      <w:hyperlink r:id="rId23" w:history="1">
        <w:r w:rsidR="00921930" w:rsidRPr="00F11761">
          <w:rPr>
            <w:rStyle w:val="Hyperlink"/>
            <w:rFonts w:ascii="Arial" w:hAnsi="Arial" w:cs="Arial"/>
          </w:rPr>
          <w:t>https://www.iea.org</w:t>
        </w:r>
      </w:hyperlink>
    </w:p>
    <w:p w14:paraId="629C78F9" w14:textId="29CE66E8" w:rsidR="00821026" w:rsidRDefault="00821026" w:rsidP="00B86633">
      <w:pPr>
        <w:spacing w:line="360" w:lineRule="auto"/>
        <w:jc w:val="both"/>
        <w:rPr>
          <w:rFonts w:ascii="Arial" w:hAnsi="Arial" w:cs="Arial"/>
        </w:rPr>
      </w:pPr>
      <w:r w:rsidRPr="00821026">
        <w:rPr>
          <w:rFonts w:ascii="Arial" w:hAnsi="Arial" w:cs="Arial"/>
        </w:rPr>
        <w:t xml:space="preserve">Ismail, I. J. (2022). </w:t>
      </w:r>
      <w:r w:rsidRPr="00821026">
        <w:rPr>
          <w:rFonts w:ascii="Arial" w:hAnsi="Arial" w:cs="Arial"/>
          <w:i/>
          <w:iCs/>
        </w:rPr>
        <w:t>Entrepreneurs’ competencies and sustainability of small and medium enterprises in Tanzania: A mediating effect of entrepreneurial innovations.</w:t>
      </w:r>
      <w:r w:rsidRPr="00821026">
        <w:rPr>
          <w:rFonts w:ascii="Arial" w:hAnsi="Arial" w:cs="Arial"/>
        </w:rPr>
        <w:t xml:space="preserve"> Cogent Business &amp; Management, </w:t>
      </w:r>
      <w:r w:rsidRPr="00821026">
        <w:rPr>
          <w:rFonts w:ascii="Arial" w:hAnsi="Arial" w:cs="Arial"/>
          <w:b/>
          <w:bCs/>
        </w:rPr>
        <w:t>9</w:t>
      </w:r>
      <w:r w:rsidRPr="00821026">
        <w:rPr>
          <w:rFonts w:ascii="Arial" w:hAnsi="Arial" w:cs="Arial"/>
        </w:rPr>
        <w:t xml:space="preserve">(1), 2111036. </w:t>
      </w:r>
      <w:hyperlink r:id="rId24" w:history="1">
        <w:r w:rsidRPr="00821026">
          <w:rPr>
            <w:rStyle w:val="Hyperlink"/>
            <w:rFonts w:ascii="Arial" w:hAnsi="Arial" w:cs="Arial"/>
          </w:rPr>
          <w:t>https://www.tandfonline.com/doi/full/10.1080/23311975.2022.2111036</w:t>
        </w:r>
      </w:hyperlink>
    </w:p>
    <w:p w14:paraId="11969109" w14:textId="501E499B" w:rsidR="00F11761" w:rsidRPr="00F11761" w:rsidRDefault="00F11761" w:rsidP="00B86633">
      <w:pPr>
        <w:spacing w:line="360" w:lineRule="auto"/>
        <w:jc w:val="both"/>
        <w:rPr>
          <w:rFonts w:ascii="Arial" w:hAnsi="Arial" w:cs="Arial"/>
        </w:rPr>
      </w:pPr>
      <w:r w:rsidRPr="00F11761">
        <w:rPr>
          <w:rFonts w:ascii="Arial" w:hAnsi="Arial" w:cs="Arial"/>
        </w:rPr>
        <w:t xml:space="preserve">Kaplan, R.S. &amp; Atkinson, A.A. (2021) </w:t>
      </w:r>
      <w:r w:rsidRPr="00F11761">
        <w:rPr>
          <w:rFonts w:ascii="Arial" w:hAnsi="Arial" w:cs="Arial"/>
          <w:i/>
          <w:iCs/>
        </w:rPr>
        <w:t>Advanced Management Accounting</w:t>
      </w:r>
      <w:r w:rsidRPr="00F11761">
        <w:rPr>
          <w:rFonts w:ascii="Arial" w:hAnsi="Arial" w:cs="Arial"/>
        </w:rPr>
        <w:t xml:space="preserve">. 5th </w:t>
      </w:r>
      <w:proofErr w:type="spellStart"/>
      <w:r w:rsidRPr="00F11761">
        <w:rPr>
          <w:rFonts w:ascii="Arial" w:hAnsi="Arial" w:cs="Arial"/>
        </w:rPr>
        <w:t>edn</w:t>
      </w:r>
      <w:proofErr w:type="spellEnd"/>
      <w:r w:rsidRPr="00F11761">
        <w:rPr>
          <w:rFonts w:ascii="Arial" w:hAnsi="Arial" w:cs="Arial"/>
        </w:rPr>
        <w:t xml:space="preserve">. Pearson. </w:t>
      </w:r>
      <w:hyperlink r:id="rId25" w:tgtFrame="_new" w:history="1">
        <w:r w:rsidRPr="00F11761">
          <w:rPr>
            <w:rStyle w:val="Hyperlink"/>
            <w:rFonts w:ascii="Arial" w:hAnsi="Arial" w:cs="Arial"/>
          </w:rPr>
          <w:t>https://scholar.google.com</w:t>
        </w:r>
      </w:hyperlink>
    </w:p>
    <w:p w14:paraId="5846C44F" w14:textId="3A251B39" w:rsidR="00F11761" w:rsidRPr="00F11761" w:rsidRDefault="00F11761" w:rsidP="00B86633">
      <w:pPr>
        <w:spacing w:line="360" w:lineRule="auto"/>
        <w:jc w:val="both"/>
        <w:rPr>
          <w:rFonts w:ascii="Arial" w:hAnsi="Arial" w:cs="Arial"/>
        </w:rPr>
      </w:pPr>
      <w:r w:rsidRPr="00F11761">
        <w:rPr>
          <w:rFonts w:ascii="Arial" w:hAnsi="Arial" w:cs="Arial"/>
        </w:rPr>
        <w:t xml:space="preserve">Kaplan, R.S. &amp; Norton, D.P. (2020) </w:t>
      </w:r>
      <w:r w:rsidRPr="00F11761">
        <w:rPr>
          <w:rFonts w:ascii="Arial" w:hAnsi="Arial" w:cs="Arial"/>
          <w:i/>
          <w:iCs/>
        </w:rPr>
        <w:t>The Balanced Scorecard: Translating Strategy into Action</w:t>
      </w:r>
      <w:r w:rsidRPr="00F11761">
        <w:rPr>
          <w:rFonts w:ascii="Arial" w:hAnsi="Arial" w:cs="Arial"/>
        </w:rPr>
        <w:t>. Harvard Business School Press.</w:t>
      </w:r>
      <w:r w:rsidR="00921930">
        <w:rPr>
          <w:rFonts w:ascii="Arial" w:hAnsi="Arial" w:cs="Arial"/>
        </w:rPr>
        <w:t xml:space="preserve"> </w:t>
      </w:r>
      <w:r w:rsidRPr="00F11761">
        <w:rPr>
          <w:rFonts w:ascii="Arial" w:hAnsi="Arial" w:cs="Arial"/>
        </w:rPr>
        <w:t xml:space="preserve">HBR listing: </w:t>
      </w:r>
      <w:hyperlink r:id="rId26" w:history="1">
        <w:r w:rsidRPr="00F11761">
          <w:rPr>
            <w:rStyle w:val="Hyperlink"/>
            <w:rFonts w:ascii="Arial" w:hAnsi="Arial" w:cs="Arial"/>
          </w:rPr>
          <w:t>https://hbr.org</w:t>
        </w:r>
      </w:hyperlink>
    </w:p>
    <w:p w14:paraId="60E61266" w14:textId="10C473FD" w:rsidR="00821026" w:rsidRPr="00821026" w:rsidRDefault="00821026" w:rsidP="00821026">
      <w:pPr>
        <w:spacing w:line="360" w:lineRule="auto"/>
        <w:jc w:val="both"/>
        <w:rPr>
          <w:rFonts w:ascii="Arial" w:hAnsi="Arial" w:cs="Arial"/>
        </w:rPr>
      </w:pPr>
      <w:r w:rsidRPr="00821026">
        <w:rPr>
          <w:rFonts w:ascii="Arial" w:hAnsi="Arial" w:cs="Arial"/>
        </w:rPr>
        <w:t xml:space="preserve">Ioannou, I., et al. (2022). </w:t>
      </w:r>
      <w:r w:rsidRPr="00821026">
        <w:rPr>
          <w:rFonts w:ascii="Arial" w:hAnsi="Arial" w:cs="Arial"/>
          <w:i/>
          <w:iCs/>
        </w:rPr>
        <w:t>Blockchain and supply chain finance: a critical literature review.</w:t>
      </w:r>
      <w:r w:rsidRPr="00821026">
        <w:rPr>
          <w:rFonts w:ascii="Arial" w:hAnsi="Arial" w:cs="Arial"/>
        </w:rPr>
        <w:t xml:space="preserve"> Frontiers / Sustainability / PMC —</w:t>
      </w:r>
      <w:r w:rsidRPr="00821026">
        <w:t xml:space="preserve"> </w:t>
      </w:r>
      <w:hyperlink r:id="rId27" w:history="1">
        <w:r w:rsidRPr="00821026">
          <w:rPr>
            <w:rStyle w:val="Hyperlink"/>
            <w:rFonts w:ascii="Arial" w:hAnsi="Arial" w:cs="Arial"/>
          </w:rPr>
          <w:t>https://www.researchgate.net/</w:t>
        </w:r>
      </w:hyperlink>
    </w:p>
    <w:p w14:paraId="77E75E3C" w14:textId="06537E3D" w:rsidR="00821026" w:rsidRDefault="00F11761" w:rsidP="00B86633">
      <w:pPr>
        <w:spacing w:line="360" w:lineRule="auto"/>
        <w:jc w:val="both"/>
      </w:pPr>
      <w:r w:rsidRPr="00F11761">
        <w:rPr>
          <w:rFonts w:ascii="Arial" w:hAnsi="Arial" w:cs="Arial"/>
        </w:rPr>
        <w:t xml:space="preserve">Lee, S.M. &amp; </w:t>
      </w:r>
      <w:proofErr w:type="spellStart"/>
      <w:r w:rsidRPr="00F11761">
        <w:rPr>
          <w:rFonts w:ascii="Arial" w:hAnsi="Arial" w:cs="Arial"/>
        </w:rPr>
        <w:t>Trimi</w:t>
      </w:r>
      <w:proofErr w:type="spellEnd"/>
      <w:r w:rsidRPr="00F11761">
        <w:rPr>
          <w:rFonts w:ascii="Arial" w:hAnsi="Arial" w:cs="Arial"/>
        </w:rPr>
        <w:t xml:space="preserve">, S. (2021) ‘Innovation for creating a smart future’, </w:t>
      </w:r>
      <w:r w:rsidRPr="00F11761">
        <w:rPr>
          <w:rFonts w:ascii="Arial" w:hAnsi="Arial" w:cs="Arial"/>
          <w:i/>
          <w:iCs/>
        </w:rPr>
        <w:t>Journal of Open Innovation: Technology, Market, and Complexity</w:t>
      </w:r>
      <w:r w:rsidRPr="00F11761">
        <w:rPr>
          <w:rFonts w:ascii="Arial" w:hAnsi="Arial" w:cs="Arial"/>
        </w:rPr>
        <w:t xml:space="preserve">, 7(2), p. 99. </w:t>
      </w:r>
      <w:hyperlink r:id="rId28" w:history="1">
        <w:r w:rsidR="00821026" w:rsidRPr="00CF211A">
          <w:rPr>
            <w:rStyle w:val="Hyperlink"/>
          </w:rPr>
          <w:t>https://www.researchgate.net/</w:t>
        </w:r>
      </w:hyperlink>
    </w:p>
    <w:p w14:paraId="2A03115A" w14:textId="33C73B14" w:rsidR="00B000F3" w:rsidRDefault="00B000F3" w:rsidP="00B86633">
      <w:pPr>
        <w:spacing w:line="360" w:lineRule="auto"/>
        <w:jc w:val="both"/>
        <w:rPr>
          <w:rFonts w:ascii="Arial" w:hAnsi="Arial" w:cs="Arial"/>
        </w:rPr>
      </w:pPr>
      <w:r w:rsidRPr="00B000F3">
        <w:rPr>
          <w:rFonts w:ascii="Arial" w:hAnsi="Arial" w:cs="Arial"/>
        </w:rPr>
        <w:lastRenderedPageBreak/>
        <w:t xml:space="preserve">Nguyen, A. T. L., &amp; others (2022). </w:t>
      </w:r>
      <w:r w:rsidRPr="00B000F3">
        <w:rPr>
          <w:rFonts w:ascii="Arial" w:hAnsi="Arial" w:cs="Arial"/>
          <w:i/>
          <w:iCs/>
        </w:rPr>
        <w:t>The relationship between financial decisions and equity risk</w:t>
      </w:r>
      <w:r w:rsidRPr="00B000F3">
        <w:rPr>
          <w:rFonts w:ascii="Arial" w:hAnsi="Arial" w:cs="Arial"/>
        </w:rPr>
        <w:t xml:space="preserve"> (discusses cash flow decisions). PMC open access: </w:t>
      </w:r>
      <w:hyperlink r:id="rId29" w:history="1">
        <w:r w:rsidRPr="00B000F3">
          <w:rPr>
            <w:rStyle w:val="Hyperlink"/>
            <w:rFonts w:ascii="Arial" w:hAnsi="Arial" w:cs="Arial"/>
          </w:rPr>
          <w:t>https://www.ncbi.nlm.nih.gov/pmc/articles/PMC9399167/</w:t>
        </w:r>
      </w:hyperlink>
    </w:p>
    <w:p w14:paraId="4DB6DD55" w14:textId="1CFFD454" w:rsidR="00B000F3" w:rsidRPr="00B000F3" w:rsidRDefault="00B000F3" w:rsidP="00B86633">
      <w:pPr>
        <w:spacing w:line="360" w:lineRule="auto"/>
        <w:jc w:val="both"/>
        <w:rPr>
          <w:rStyle w:val="Hyperlink"/>
          <w:rFonts w:ascii="Arial" w:hAnsi="Arial" w:cs="Arial"/>
        </w:rPr>
      </w:pPr>
      <w:r w:rsidRPr="00B000F3">
        <w:rPr>
          <w:rFonts w:ascii="Arial" w:hAnsi="Arial" w:cs="Arial"/>
        </w:rPr>
        <w:t xml:space="preserve">Markowitz, H. M. (1952). </w:t>
      </w:r>
      <w:r w:rsidRPr="00B000F3">
        <w:rPr>
          <w:rFonts w:ascii="Arial" w:hAnsi="Arial" w:cs="Arial"/>
          <w:i/>
          <w:iCs/>
        </w:rPr>
        <w:t>Portfolio selection.</w:t>
      </w:r>
      <w:r w:rsidRPr="00B000F3">
        <w:rPr>
          <w:rFonts w:ascii="Arial" w:hAnsi="Arial" w:cs="Arial"/>
        </w:rPr>
        <w:t xml:space="preserve"> </w:t>
      </w:r>
      <w:r w:rsidRPr="00C03186">
        <w:rPr>
          <w:rFonts w:ascii="Arial" w:hAnsi="Arial" w:cs="Arial"/>
        </w:rPr>
        <w:t>The Journal of Finance, 7</w:t>
      </w:r>
      <w:r w:rsidRPr="00B000F3">
        <w:rPr>
          <w:rFonts w:ascii="Arial" w:hAnsi="Arial" w:cs="Arial"/>
        </w:rPr>
        <w:t xml:space="preserve">(1), 77–91. </w:t>
      </w:r>
      <w:r>
        <w:rPr>
          <w:rFonts w:ascii="Arial" w:hAnsi="Arial" w:cs="Arial"/>
        </w:rPr>
        <w:fldChar w:fldCharType="begin"/>
      </w:r>
      <w:r>
        <w:rPr>
          <w:rFonts w:ascii="Arial" w:hAnsi="Arial" w:cs="Arial"/>
        </w:rPr>
        <w:instrText>HYPERLINK "https://doi.org/10.2307/2975974" \t "_new"</w:instrText>
      </w:r>
      <w:r>
        <w:rPr>
          <w:rFonts w:ascii="Arial" w:hAnsi="Arial" w:cs="Arial"/>
        </w:rPr>
      </w:r>
      <w:r>
        <w:rPr>
          <w:rFonts w:ascii="Arial" w:hAnsi="Arial" w:cs="Arial"/>
        </w:rPr>
        <w:fldChar w:fldCharType="separate"/>
      </w:r>
      <w:r w:rsidRPr="00B000F3">
        <w:rPr>
          <w:rStyle w:val="Hyperlink"/>
          <w:rFonts w:ascii="Arial" w:hAnsi="Arial" w:cs="Arial"/>
        </w:rPr>
        <w:t>https://doi.org/10.2307/2975974</w:t>
      </w:r>
    </w:p>
    <w:p w14:paraId="3931993B" w14:textId="5CA802C5" w:rsidR="00F11761" w:rsidRPr="00F11761" w:rsidRDefault="00B000F3" w:rsidP="00B86633">
      <w:pPr>
        <w:spacing w:line="360" w:lineRule="auto"/>
        <w:jc w:val="both"/>
        <w:rPr>
          <w:rFonts w:ascii="Arial" w:hAnsi="Arial" w:cs="Arial"/>
        </w:rPr>
      </w:pPr>
      <w:r>
        <w:rPr>
          <w:rFonts w:ascii="Arial" w:hAnsi="Arial" w:cs="Arial"/>
        </w:rPr>
        <w:fldChar w:fldCharType="end"/>
      </w:r>
      <w:r w:rsidR="00F11761" w:rsidRPr="00F11761">
        <w:rPr>
          <w:rFonts w:ascii="Arial" w:hAnsi="Arial" w:cs="Arial"/>
        </w:rPr>
        <w:t xml:space="preserve">Modigliani, F. &amp; Miller, M.H. (2021) ‘The cost of capital, corporation finance and investment theory revisited’, </w:t>
      </w:r>
      <w:r w:rsidR="00F11761" w:rsidRPr="00F11761">
        <w:rPr>
          <w:rFonts w:ascii="Arial" w:hAnsi="Arial" w:cs="Arial"/>
          <w:i/>
          <w:iCs/>
        </w:rPr>
        <w:t>American Economic Review</w:t>
      </w:r>
      <w:r w:rsidR="00F11761" w:rsidRPr="00F11761">
        <w:rPr>
          <w:rFonts w:ascii="Arial" w:hAnsi="Arial" w:cs="Arial"/>
        </w:rPr>
        <w:t>, 111(5), pp. 1489–1505.</w:t>
      </w:r>
      <w:r w:rsidR="00921930">
        <w:rPr>
          <w:rFonts w:ascii="Arial" w:hAnsi="Arial" w:cs="Arial"/>
        </w:rPr>
        <w:t xml:space="preserve"> </w:t>
      </w:r>
      <w:hyperlink r:id="rId30" w:history="1">
        <w:r w:rsidR="00921930" w:rsidRPr="00F11761">
          <w:rPr>
            <w:rStyle w:val="Hyperlink"/>
            <w:rFonts w:ascii="Arial" w:hAnsi="Arial" w:cs="Arial"/>
          </w:rPr>
          <w:t>https://scholar.google.com</w:t>
        </w:r>
      </w:hyperlink>
    </w:p>
    <w:p w14:paraId="3ED04F0A" w14:textId="22D7E4A5" w:rsidR="00F11761" w:rsidRPr="00F11761" w:rsidRDefault="00F11761" w:rsidP="00B86633">
      <w:pPr>
        <w:spacing w:line="360" w:lineRule="auto"/>
        <w:jc w:val="both"/>
        <w:rPr>
          <w:rFonts w:ascii="Arial" w:hAnsi="Arial" w:cs="Arial"/>
        </w:rPr>
      </w:pPr>
      <w:r w:rsidRPr="00F11761">
        <w:rPr>
          <w:rFonts w:ascii="Arial" w:hAnsi="Arial" w:cs="Arial"/>
        </w:rPr>
        <w:t xml:space="preserve">Myers, S.C. (2020) ‘Capital structure puzzle revisited’, </w:t>
      </w:r>
      <w:r w:rsidRPr="00F11761">
        <w:rPr>
          <w:rFonts w:ascii="Arial" w:hAnsi="Arial" w:cs="Arial"/>
          <w:i/>
          <w:iCs/>
        </w:rPr>
        <w:t>Journal of Applied Corporate Finance</w:t>
      </w:r>
      <w:r w:rsidRPr="00F11761">
        <w:rPr>
          <w:rFonts w:ascii="Arial" w:hAnsi="Arial" w:cs="Arial"/>
        </w:rPr>
        <w:t>, 32(1), pp. 8–24.</w:t>
      </w:r>
      <w:r w:rsidR="00921930">
        <w:rPr>
          <w:rFonts w:ascii="Arial" w:hAnsi="Arial" w:cs="Arial"/>
        </w:rPr>
        <w:t xml:space="preserve"> </w:t>
      </w:r>
      <w:hyperlink r:id="rId31" w:history="1">
        <w:r w:rsidR="00921930" w:rsidRPr="00F11761">
          <w:rPr>
            <w:rStyle w:val="Hyperlink"/>
            <w:rFonts w:ascii="Arial" w:hAnsi="Arial" w:cs="Arial"/>
          </w:rPr>
          <w:t>https://scholar.google.com</w:t>
        </w:r>
      </w:hyperlink>
    </w:p>
    <w:p w14:paraId="7CB7F2B0" w14:textId="74082373" w:rsidR="00F11761" w:rsidRPr="00F11761" w:rsidRDefault="00F11761" w:rsidP="00B86633">
      <w:pPr>
        <w:spacing w:line="360" w:lineRule="auto"/>
        <w:jc w:val="both"/>
        <w:rPr>
          <w:rFonts w:ascii="Arial" w:hAnsi="Arial" w:cs="Arial"/>
        </w:rPr>
      </w:pPr>
      <w:r w:rsidRPr="00F11761">
        <w:rPr>
          <w:rFonts w:ascii="Arial" w:hAnsi="Arial" w:cs="Arial"/>
        </w:rPr>
        <w:t xml:space="preserve">Penman, S. (2021) </w:t>
      </w:r>
      <w:r w:rsidRPr="00F11761">
        <w:rPr>
          <w:rFonts w:ascii="Arial" w:hAnsi="Arial" w:cs="Arial"/>
          <w:i/>
          <w:iCs/>
        </w:rPr>
        <w:t>Financial Statement Analysis and Security Valuation</w:t>
      </w:r>
      <w:r w:rsidRPr="00F11761">
        <w:rPr>
          <w:rFonts w:ascii="Arial" w:hAnsi="Arial" w:cs="Arial"/>
        </w:rPr>
        <w:t>. McGraw-Hill.</w:t>
      </w:r>
      <w:r w:rsidR="00921930">
        <w:rPr>
          <w:rFonts w:ascii="Arial" w:hAnsi="Arial" w:cs="Arial"/>
        </w:rPr>
        <w:t xml:space="preserve"> </w:t>
      </w:r>
      <w:hyperlink r:id="rId32" w:history="1">
        <w:r w:rsidR="00921930" w:rsidRPr="00F11761">
          <w:rPr>
            <w:rStyle w:val="Hyperlink"/>
            <w:rFonts w:ascii="Arial" w:hAnsi="Arial" w:cs="Arial"/>
          </w:rPr>
          <w:t>https://books.google.com</w:t>
        </w:r>
      </w:hyperlink>
    </w:p>
    <w:p w14:paraId="64E101FC" w14:textId="15D5FE93" w:rsidR="0041779F" w:rsidRDefault="0041779F" w:rsidP="00B86633">
      <w:pPr>
        <w:spacing w:line="360" w:lineRule="auto"/>
        <w:jc w:val="both"/>
        <w:rPr>
          <w:rFonts w:ascii="Arial" w:hAnsi="Arial" w:cs="Arial"/>
        </w:rPr>
      </w:pPr>
      <w:r w:rsidRPr="0041779F">
        <w:rPr>
          <w:rFonts w:ascii="Arial" w:hAnsi="Arial" w:cs="Arial"/>
        </w:rPr>
        <w:t xml:space="preserve">Ross, S. A. (1976). </w:t>
      </w:r>
      <w:r w:rsidRPr="0041779F">
        <w:rPr>
          <w:rFonts w:ascii="Arial" w:hAnsi="Arial" w:cs="Arial"/>
          <w:i/>
          <w:iCs/>
        </w:rPr>
        <w:t>The arbitrage theory of capital asset pricing.</w:t>
      </w:r>
      <w:r w:rsidRPr="0041779F">
        <w:rPr>
          <w:rFonts w:ascii="Arial" w:hAnsi="Arial" w:cs="Arial"/>
        </w:rPr>
        <w:t xml:space="preserve"> </w:t>
      </w:r>
      <w:r w:rsidRPr="00C03186">
        <w:rPr>
          <w:rFonts w:ascii="Arial" w:hAnsi="Arial" w:cs="Arial"/>
        </w:rPr>
        <w:t>Journal of Economic Theory, 13</w:t>
      </w:r>
      <w:r w:rsidRPr="0041779F">
        <w:rPr>
          <w:rFonts w:ascii="Arial" w:hAnsi="Arial" w:cs="Arial"/>
        </w:rPr>
        <w:t>(3), 341–360.</w:t>
      </w:r>
      <w:r>
        <w:rPr>
          <w:rFonts w:ascii="Arial" w:hAnsi="Arial" w:cs="Arial"/>
        </w:rPr>
        <w:t xml:space="preserve"> </w:t>
      </w:r>
      <w:hyperlink r:id="rId33" w:history="1">
        <w:r w:rsidRPr="00CF211A">
          <w:rPr>
            <w:rStyle w:val="Hyperlink"/>
            <w:rFonts w:ascii="Arial" w:hAnsi="Arial" w:cs="Arial"/>
          </w:rPr>
          <w:t>https://www.sciencedirect.com/science/article/pii/S1057521923000193</w:t>
        </w:r>
      </w:hyperlink>
      <w:r w:rsidRPr="0041779F">
        <w:rPr>
          <w:rFonts w:ascii="Arial" w:hAnsi="Arial" w:cs="Arial"/>
        </w:rPr>
        <w:t xml:space="preserve"> </w:t>
      </w:r>
    </w:p>
    <w:p w14:paraId="0B56E10A" w14:textId="07A876C4" w:rsidR="00921930" w:rsidRDefault="00F11761" w:rsidP="00B86633">
      <w:pPr>
        <w:spacing w:line="360" w:lineRule="auto"/>
        <w:jc w:val="both"/>
        <w:rPr>
          <w:rFonts w:ascii="Arial" w:hAnsi="Arial" w:cs="Arial"/>
        </w:rPr>
      </w:pPr>
      <w:r w:rsidRPr="00F11761">
        <w:rPr>
          <w:rFonts w:ascii="Arial" w:hAnsi="Arial" w:cs="Arial"/>
        </w:rPr>
        <w:t xml:space="preserve">Shin, H.H. &amp; Soenen, L. (2021) ‘Efficiency of working capital and corporate profitability’, </w:t>
      </w:r>
      <w:r w:rsidRPr="00F11761">
        <w:rPr>
          <w:rFonts w:ascii="Arial" w:hAnsi="Arial" w:cs="Arial"/>
          <w:i/>
          <w:iCs/>
        </w:rPr>
        <w:t>Financial Management</w:t>
      </w:r>
      <w:r w:rsidRPr="00F11761">
        <w:rPr>
          <w:rFonts w:ascii="Arial" w:hAnsi="Arial" w:cs="Arial"/>
        </w:rPr>
        <w:t>, 50(3), pp. 45–60.</w:t>
      </w:r>
      <w:r w:rsidR="00921930">
        <w:rPr>
          <w:rFonts w:ascii="Arial" w:hAnsi="Arial" w:cs="Arial"/>
        </w:rPr>
        <w:t xml:space="preserve"> </w:t>
      </w:r>
      <w:hyperlink r:id="rId34" w:history="1">
        <w:r w:rsidR="00921930" w:rsidRPr="00F11761">
          <w:rPr>
            <w:rStyle w:val="Hyperlink"/>
            <w:rFonts w:ascii="Arial" w:hAnsi="Arial" w:cs="Arial"/>
          </w:rPr>
          <w:t>https://scholar.google.com</w:t>
        </w:r>
      </w:hyperlink>
    </w:p>
    <w:p w14:paraId="63BB7052" w14:textId="08313B18" w:rsidR="00B000F3" w:rsidRDefault="00B000F3" w:rsidP="00B86633">
      <w:pPr>
        <w:spacing w:line="360" w:lineRule="auto"/>
        <w:jc w:val="both"/>
        <w:rPr>
          <w:rFonts w:ascii="Arial" w:hAnsi="Arial" w:cs="Arial"/>
        </w:rPr>
      </w:pPr>
      <w:r w:rsidRPr="00B000F3">
        <w:rPr>
          <w:rFonts w:ascii="Arial" w:hAnsi="Arial" w:cs="Arial"/>
        </w:rPr>
        <w:t xml:space="preserve">Teece, D. J., Pisano, G., &amp; </w:t>
      </w:r>
      <w:proofErr w:type="spellStart"/>
      <w:r w:rsidRPr="00B000F3">
        <w:rPr>
          <w:rFonts w:ascii="Arial" w:hAnsi="Arial" w:cs="Arial"/>
        </w:rPr>
        <w:t>Shuen</w:t>
      </w:r>
      <w:proofErr w:type="spellEnd"/>
      <w:r w:rsidRPr="00B000F3">
        <w:rPr>
          <w:rFonts w:ascii="Arial" w:hAnsi="Arial" w:cs="Arial"/>
        </w:rPr>
        <w:t xml:space="preserve">, A. (1997). </w:t>
      </w:r>
      <w:r w:rsidRPr="00B000F3">
        <w:rPr>
          <w:rFonts w:ascii="Arial" w:hAnsi="Arial" w:cs="Arial"/>
          <w:i/>
          <w:iCs/>
        </w:rPr>
        <w:t>Dynamic capabilities and strategic management</w:t>
      </w:r>
      <w:r w:rsidRPr="00B000F3">
        <w:rPr>
          <w:rFonts w:ascii="Arial" w:hAnsi="Arial" w:cs="Arial"/>
        </w:rPr>
        <w:t xml:space="preserve">. Strategic Management Journal, 18(7), 509–533. </w:t>
      </w:r>
      <w:hyperlink r:id="rId35" w:history="1">
        <w:r w:rsidRPr="00B000F3">
          <w:rPr>
            <w:rStyle w:val="Hyperlink"/>
            <w:rFonts w:ascii="Arial" w:hAnsi="Arial" w:cs="Arial"/>
          </w:rPr>
          <w:t>https://josephmahoney.web.illinois.edu/BA545_Fall%202022/Teece,%20Pisano%20and%20Shuen%20(1997).pdf</w:t>
        </w:r>
      </w:hyperlink>
    </w:p>
    <w:p w14:paraId="39878C7A" w14:textId="6F6DD619" w:rsidR="00F11761" w:rsidRPr="00F11761" w:rsidRDefault="00F11761" w:rsidP="00B86633">
      <w:pPr>
        <w:spacing w:line="360" w:lineRule="auto"/>
        <w:jc w:val="both"/>
        <w:rPr>
          <w:rFonts w:ascii="Arial" w:hAnsi="Arial" w:cs="Arial"/>
        </w:rPr>
      </w:pPr>
      <w:r w:rsidRPr="00F11761">
        <w:rPr>
          <w:rFonts w:ascii="Arial" w:hAnsi="Arial" w:cs="Arial"/>
        </w:rPr>
        <w:t xml:space="preserve">Tricker, B. (2022) </w:t>
      </w:r>
      <w:r w:rsidRPr="00F11761">
        <w:rPr>
          <w:rFonts w:ascii="Arial" w:hAnsi="Arial" w:cs="Arial"/>
          <w:i/>
          <w:iCs/>
        </w:rPr>
        <w:t>Corporate Governance: Principles, Policies and Practices</w:t>
      </w:r>
      <w:r w:rsidRPr="00F11761">
        <w:rPr>
          <w:rFonts w:ascii="Arial" w:hAnsi="Arial" w:cs="Arial"/>
        </w:rPr>
        <w:t xml:space="preserve">. 5th </w:t>
      </w:r>
      <w:proofErr w:type="spellStart"/>
      <w:r w:rsidRPr="00F11761">
        <w:rPr>
          <w:rFonts w:ascii="Arial" w:hAnsi="Arial" w:cs="Arial"/>
        </w:rPr>
        <w:t>edn</w:t>
      </w:r>
      <w:proofErr w:type="spellEnd"/>
      <w:r w:rsidRPr="00F11761">
        <w:rPr>
          <w:rFonts w:ascii="Arial" w:hAnsi="Arial" w:cs="Arial"/>
        </w:rPr>
        <w:t>. Oxford University Press.</w:t>
      </w:r>
      <w:r w:rsidR="00921930">
        <w:rPr>
          <w:rFonts w:ascii="Arial" w:hAnsi="Arial" w:cs="Arial"/>
        </w:rPr>
        <w:t xml:space="preserve"> </w:t>
      </w:r>
      <w:hyperlink r:id="rId36" w:history="1">
        <w:r w:rsidR="00921930" w:rsidRPr="00F11761">
          <w:rPr>
            <w:rStyle w:val="Hyperlink"/>
            <w:rFonts w:ascii="Arial" w:hAnsi="Arial" w:cs="Arial"/>
          </w:rPr>
          <w:t>https://scholar.google.com</w:t>
        </w:r>
      </w:hyperlink>
    </w:p>
    <w:p w14:paraId="4798CCA9" w14:textId="0EDD3E17" w:rsidR="00F11761" w:rsidRPr="00F11761" w:rsidRDefault="00F11761" w:rsidP="00B86633">
      <w:pPr>
        <w:spacing w:line="360" w:lineRule="auto"/>
        <w:jc w:val="both"/>
        <w:rPr>
          <w:rFonts w:ascii="Arial" w:hAnsi="Arial" w:cs="Arial"/>
        </w:rPr>
      </w:pPr>
      <w:r w:rsidRPr="00F11761">
        <w:rPr>
          <w:rFonts w:ascii="Arial" w:hAnsi="Arial" w:cs="Arial"/>
        </w:rPr>
        <w:t xml:space="preserve">Vuković, D.B. (2023) ‘The joint impact of working capital and platform-economy dynamics on performance’, </w:t>
      </w:r>
      <w:proofErr w:type="spellStart"/>
      <w:r w:rsidRPr="00F11761">
        <w:rPr>
          <w:rFonts w:ascii="Arial" w:hAnsi="Arial" w:cs="Arial"/>
          <w:i/>
          <w:iCs/>
        </w:rPr>
        <w:t>Heliyon</w:t>
      </w:r>
      <w:proofErr w:type="spellEnd"/>
      <w:r w:rsidRPr="00F11761">
        <w:rPr>
          <w:rFonts w:ascii="Arial" w:hAnsi="Arial" w:cs="Arial"/>
        </w:rPr>
        <w:t xml:space="preserve">, 9(3), e1622. </w:t>
      </w:r>
      <w:hyperlink r:id="rId37" w:tgtFrame="_new" w:history="1">
        <w:r w:rsidRPr="00F11761">
          <w:rPr>
            <w:rStyle w:val="Hyperlink"/>
            <w:rFonts w:ascii="Arial" w:hAnsi="Arial" w:cs="Arial"/>
          </w:rPr>
          <w:t>https://www.sciencedirect.com/science/article/pii/S2405844023001622</w:t>
        </w:r>
      </w:hyperlink>
    </w:p>
    <w:p w14:paraId="6844958A" w14:textId="77777777" w:rsidR="004B65BA" w:rsidRPr="00F11761" w:rsidRDefault="004B65BA" w:rsidP="00B86633">
      <w:pPr>
        <w:spacing w:line="360" w:lineRule="auto"/>
        <w:jc w:val="both"/>
        <w:rPr>
          <w:rFonts w:ascii="Arial" w:hAnsi="Arial" w:cs="Arial"/>
        </w:rPr>
      </w:pPr>
    </w:p>
    <w:p w14:paraId="1DAB4E75" w14:textId="77777777" w:rsidR="004B65BA" w:rsidRPr="00F11761" w:rsidRDefault="004B65BA" w:rsidP="004B65BA">
      <w:pPr>
        <w:spacing w:line="360" w:lineRule="auto"/>
        <w:rPr>
          <w:rFonts w:ascii="Arial" w:hAnsi="Arial" w:cs="Arial"/>
        </w:rPr>
      </w:pPr>
    </w:p>
    <w:p w14:paraId="5C68F97E" w14:textId="77777777" w:rsidR="0041779F" w:rsidRDefault="0041779F" w:rsidP="004B65BA">
      <w:pPr>
        <w:spacing w:line="360" w:lineRule="auto"/>
        <w:rPr>
          <w:rFonts w:ascii="Arial" w:hAnsi="Arial" w:cs="Arial"/>
        </w:rPr>
      </w:pPr>
    </w:p>
    <w:p w14:paraId="20A24D6C" w14:textId="464B9391" w:rsidR="004B65BA" w:rsidRPr="004B65BA" w:rsidRDefault="004B65BA" w:rsidP="004B65BA">
      <w:pPr>
        <w:spacing w:line="360" w:lineRule="auto"/>
        <w:rPr>
          <w:rFonts w:ascii="Arial" w:hAnsi="Arial" w:cs="Arial"/>
          <w:b/>
          <w:bCs/>
        </w:rPr>
      </w:pPr>
      <w:r w:rsidRPr="004B65BA">
        <w:rPr>
          <w:rFonts w:ascii="Arial" w:hAnsi="Arial" w:cs="Arial"/>
          <w:b/>
          <w:bCs/>
        </w:rPr>
        <w:lastRenderedPageBreak/>
        <w:t>8. Appendices</w:t>
      </w:r>
    </w:p>
    <w:p w14:paraId="0D80E993" w14:textId="77777777" w:rsidR="004B65BA" w:rsidRPr="004B65BA" w:rsidRDefault="004B65BA" w:rsidP="004B65BA">
      <w:pPr>
        <w:spacing w:line="360" w:lineRule="auto"/>
        <w:rPr>
          <w:rFonts w:ascii="Arial" w:hAnsi="Arial" w:cs="Arial"/>
          <w:b/>
          <w:bCs/>
        </w:rPr>
      </w:pPr>
      <w:r w:rsidRPr="004B65BA">
        <w:rPr>
          <w:rFonts w:ascii="Arial" w:hAnsi="Arial" w:cs="Arial"/>
          <w:b/>
          <w:bCs/>
        </w:rPr>
        <w:t>Appendix A: Financial Ratio Calculations (2020–2024)</w:t>
      </w:r>
    </w:p>
    <w:p w14:paraId="258D6EDE" w14:textId="77777777" w:rsidR="004B65BA" w:rsidRPr="004B65BA" w:rsidRDefault="004B65BA" w:rsidP="004B65BA">
      <w:pPr>
        <w:spacing w:line="360" w:lineRule="auto"/>
        <w:rPr>
          <w:rFonts w:ascii="Arial" w:hAnsi="Arial" w:cs="Arial"/>
        </w:rPr>
      </w:pPr>
      <w:r w:rsidRPr="004B65BA">
        <w:rPr>
          <w:rFonts w:ascii="Arial" w:hAnsi="Arial" w:cs="Arial"/>
          <w:b/>
          <w:bCs/>
        </w:rPr>
        <w:t>Table A1. Profitability Ratios</w:t>
      </w:r>
    </w:p>
    <w:tbl>
      <w:tblPr>
        <w:tblStyle w:val="TableGrid"/>
        <w:tblW w:w="0" w:type="auto"/>
        <w:tblLook w:val="04A0" w:firstRow="1" w:lastRow="0" w:firstColumn="1" w:lastColumn="0" w:noHBand="0" w:noVBand="1"/>
      </w:tblPr>
      <w:tblGrid>
        <w:gridCol w:w="2347"/>
        <w:gridCol w:w="2901"/>
        <w:gridCol w:w="750"/>
        <w:gridCol w:w="750"/>
        <w:gridCol w:w="750"/>
        <w:gridCol w:w="759"/>
        <w:gridCol w:w="759"/>
      </w:tblGrid>
      <w:tr w:rsidR="004B65BA" w:rsidRPr="004B65BA" w14:paraId="71A6707E" w14:textId="77777777" w:rsidTr="004B65BA">
        <w:tc>
          <w:tcPr>
            <w:tcW w:w="0" w:type="auto"/>
            <w:hideMark/>
          </w:tcPr>
          <w:p w14:paraId="3DE2F28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Ratio</w:t>
            </w:r>
          </w:p>
        </w:tc>
        <w:tc>
          <w:tcPr>
            <w:tcW w:w="0" w:type="auto"/>
            <w:hideMark/>
          </w:tcPr>
          <w:p w14:paraId="467FABAB"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2AE98B8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2020</w:t>
            </w:r>
          </w:p>
        </w:tc>
        <w:tc>
          <w:tcPr>
            <w:tcW w:w="0" w:type="auto"/>
            <w:hideMark/>
          </w:tcPr>
          <w:p w14:paraId="5C9B5E30"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2021</w:t>
            </w:r>
          </w:p>
        </w:tc>
        <w:tc>
          <w:tcPr>
            <w:tcW w:w="0" w:type="auto"/>
            <w:hideMark/>
          </w:tcPr>
          <w:p w14:paraId="4F79399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2022</w:t>
            </w:r>
          </w:p>
        </w:tc>
        <w:tc>
          <w:tcPr>
            <w:tcW w:w="0" w:type="auto"/>
            <w:hideMark/>
          </w:tcPr>
          <w:p w14:paraId="78A3541B"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2023</w:t>
            </w:r>
          </w:p>
        </w:tc>
        <w:tc>
          <w:tcPr>
            <w:tcW w:w="0" w:type="auto"/>
            <w:hideMark/>
          </w:tcPr>
          <w:p w14:paraId="2CDE927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2024</w:t>
            </w:r>
          </w:p>
        </w:tc>
      </w:tr>
      <w:tr w:rsidR="004B65BA" w:rsidRPr="004B65BA" w14:paraId="32789A6B" w14:textId="77777777" w:rsidTr="004B65BA">
        <w:tc>
          <w:tcPr>
            <w:tcW w:w="0" w:type="auto"/>
            <w:hideMark/>
          </w:tcPr>
          <w:p w14:paraId="19367CA0" w14:textId="77777777" w:rsidR="004B65BA" w:rsidRPr="004B65BA" w:rsidRDefault="004B65BA" w:rsidP="004B65BA">
            <w:pPr>
              <w:spacing w:after="160" w:line="360" w:lineRule="auto"/>
              <w:rPr>
                <w:rFonts w:ascii="Arial" w:hAnsi="Arial" w:cs="Arial"/>
              </w:rPr>
            </w:pPr>
            <w:r w:rsidRPr="004B65BA">
              <w:rPr>
                <w:rFonts w:ascii="Arial" w:hAnsi="Arial" w:cs="Arial"/>
                <w:b/>
                <w:bCs/>
              </w:rPr>
              <w:t>Gross Profit Margin (%)</w:t>
            </w:r>
          </w:p>
        </w:tc>
        <w:tc>
          <w:tcPr>
            <w:tcW w:w="0" w:type="auto"/>
            <w:hideMark/>
          </w:tcPr>
          <w:p w14:paraId="5A57BA80" w14:textId="77777777" w:rsidR="004B65BA" w:rsidRPr="004B65BA" w:rsidRDefault="004B65BA" w:rsidP="004B65BA">
            <w:pPr>
              <w:spacing w:after="160" w:line="360" w:lineRule="auto"/>
              <w:rPr>
                <w:rFonts w:ascii="Arial" w:hAnsi="Arial" w:cs="Arial"/>
              </w:rPr>
            </w:pPr>
            <w:r w:rsidRPr="004B65BA">
              <w:rPr>
                <w:rFonts w:ascii="Arial" w:hAnsi="Arial" w:cs="Arial"/>
              </w:rPr>
              <w:t>(Gross Profit / Sales) × 100</w:t>
            </w:r>
          </w:p>
        </w:tc>
        <w:tc>
          <w:tcPr>
            <w:tcW w:w="0" w:type="auto"/>
            <w:hideMark/>
          </w:tcPr>
          <w:p w14:paraId="729A9910" w14:textId="77777777" w:rsidR="004B65BA" w:rsidRPr="004B65BA" w:rsidRDefault="004B65BA" w:rsidP="004B65BA">
            <w:pPr>
              <w:spacing w:after="160" w:line="360" w:lineRule="auto"/>
              <w:rPr>
                <w:rFonts w:ascii="Arial" w:hAnsi="Arial" w:cs="Arial"/>
              </w:rPr>
            </w:pPr>
            <w:r w:rsidRPr="004B65BA">
              <w:rPr>
                <w:rFonts w:ascii="Arial" w:hAnsi="Arial" w:cs="Arial"/>
              </w:rPr>
              <w:t>28.7</w:t>
            </w:r>
          </w:p>
        </w:tc>
        <w:tc>
          <w:tcPr>
            <w:tcW w:w="0" w:type="auto"/>
            <w:hideMark/>
          </w:tcPr>
          <w:p w14:paraId="2FEEEF7A" w14:textId="77777777" w:rsidR="004B65BA" w:rsidRPr="004B65BA" w:rsidRDefault="004B65BA" w:rsidP="004B65BA">
            <w:pPr>
              <w:spacing w:after="160" w:line="360" w:lineRule="auto"/>
              <w:rPr>
                <w:rFonts w:ascii="Arial" w:hAnsi="Arial" w:cs="Arial"/>
              </w:rPr>
            </w:pPr>
            <w:r w:rsidRPr="004B65BA">
              <w:rPr>
                <w:rFonts w:ascii="Arial" w:hAnsi="Arial" w:cs="Arial"/>
              </w:rPr>
              <w:t>28.8</w:t>
            </w:r>
          </w:p>
        </w:tc>
        <w:tc>
          <w:tcPr>
            <w:tcW w:w="0" w:type="auto"/>
            <w:hideMark/>
          </w:tcPr>
          <w:p w14:paraId="7C65EE1D" w14:textId="77777777" w:rsidR="004B65BA" w:rsidRPr="004B65BA" w:rsidRDefault="004B65BA" w:rsidP="004B65BA">
            <w:pPr>
              <w:spacing w:after="160" w:line="360" w:lineRule="auto"/>
              <w:rPr>
                <w:rFonts w:ascii="Arial" w:hAnsi="Arial" w:cs="Arial"/>
              </w:rPr>
            </w:pPr>
            <w:r w:rsidRPr="004B65BA">
              <w:rPr>
                <w:rFonts w:ascii="Arial" w:hAnsi="Arial" w:cs="Arial"/>
              </w:rPr>
              <w:t>28.1</w:t>
            </w:r>
          </w:p>
        </w:tc>
        <w:tc>
          <w:tcPr>
            <w:tcW w:w="0" w:type="auto"/>
            <w:hideMark/>
          </w:tcPr>
          <w:p w14:paraId="6D6CC3B8" w14:textId="77777777" w:rsidR="004B65BA" w:rsidRPr="004B65BA" w:rsidRDefault="004B65BA" w:rsidP="004B65BA">
            <w:pPr>
              <w:spacing w:after="160" w:line="360" w:lineRule="auto"/>
              <w:rPr>
                <w:rFonts w:ascii="Arial" w:hAnsi="Arial" w:cs="Arial"/>
              </w:rPr>
            </w:pPr>
            <w:r w:rsidRPr="004B65BA">
              <w:rPr>
                <w:rFonts w:ascii="Arial" w:hAnsi="Arial" w:cs="Arial"/>
              </w:rPr>
              <w:t>23.2</w:t>
            </w:r>
          </w:p>
        </w:tc>
        <w:tc>
          <w:tcPr>
            <w:tcW w:w="0" w:type="auto"/>
            <w:hideMark/>
          </w:tcPr>
          <w:p w14:paraId="009D6D59" w14:textId="77777777" w:rsidR="004B65BA" w:rsidRPr="004B65BA" w:rsidRDefault="004B65BA" w:rsidP="004B65BA">
            <w:pPr>
              <w:spacing w:after="160" w:line="360" w:lineRule="auto"/>
              <w:rPr>
                <w:rFonts w:ascii="Arial" w:hAnsi="Arial" w:cs="Arial"/>
              </w:rPr>
            </w:pPr>
            <w:r w:rsidRPr="004B65BA">
              <w:rPr>
                <w:rFonts w:ascii="Arial" w:hAnsi="Arial" w:cs="Arial"/>
              </w:rPr>
              <w:t>28.9</w:t>
            </w:r>
          </w:p>
        </w:tc>
      </w:tr>
      <w:tr w:rsidR="004B65BA" w:rsidRPr="004B65BA" w14:paraId="68BEA069" w14:textId="77777777" w:rsidTr="004B65BA">
        <w:tc>
          <w:tcPr>
            <w:tcW w:w="0" w:type="auto"/>
            <w:hideMark/>
          </w:tcPr>
          <w:p w14:paraId="57C8BF5B" w14:textId="77777777" w:rsidR="004B65BA" w:rsidRPr="004B65BA" w:rsidRDefault="004B65BA" w:rsidP="004B65BA">
            <w:pPr>
              <w:spacing w:after="160" w:line="360" w:lineRule="auto"/>
              <w:rPr>
                <w:rFonts w:ascii="Arial" w:hAnsi="Arial" w:cs="Arial"/>
              </w:rPr>
            </w:pPr>
            <w:r w:rsidRPr="004B65BA">
              <w:rPr>
                <w:rFonts w:ascii="Arial" w:hAnsi="Arial" w:cs="Arial"/>
                <w:b/>
                <w:bCs/>
              </w:rPr>
              <w:t>Operating Margin (%)</w:t>
            </w:r>
          </w:p>
        </w:tc>
        <w:tc>
          <w:tcPr>
            <w:tcW w:w="0" w:type="auto"/>
            <w:hideMark/>
          </w:tcPr>
          <w:p w14:paraId="4B61EC26" w14:textId="77777777" w:rsidR="004B65BA" w:rsidRPr="004B65BA" w:rsidRDefault="004B65BA" w:rsidP="004B65BA">
            <w:pPr>
              <w:spacing w:after="160" w:line="360" w:lineRule="auto"/>
              <w:rPr>
                <w:rFonts w:ascii="Arial" w:hAnsi="Arial" w:cs="Arial"/>
              </w:rPr>
            </w:pPr>
            <w:r w:rsidRPr="004B65BA">
              <w:rPr>
                <w:rFonts w:ascii="Arial" w:hAnsi="Arial" w:cs="Arial"/>
              </w:rPr>
              <w:t>(Operating Income / Sales) × 100</w:t>
            </w:r>
          </w:p>
        </w:tc>
        <w:tc>
          <w:tcPr>
            <w:tcW w:w="0" w:type="auto"/>
            <w:hideMark/>
          </w:tcPr>
          <w:p w14:paraId="06AD471F" w14:textId="77777777" w:rsidR="004B65BA" w:rsidRPr="004B65BA" w:rsidRDefault="004B65BA" w:rsidP="004B65BA">
            <w:pPr>
              <w:spacing w:after="160" w:line="360" w:lineRule="auto"/>
              <w:rPr>
                <w:rFonts w:ascii="Arial" w:hAnsi="Arial" w:cs="Arial"/>
              </w:rPr>
            </w:pPr>
            <w:r w:rsidRPr="004B65BA">
              <w:rPr>
                <w:rFonts w:ascii="Arial" w:hAnsi="Arial" w:cs="Arial"/>
              </w:rPr>
              <w:t>6.1</w:t>
            </w:r>
          </w:p>
        </w:tc>
        <w:tc>
          <w:tcPr>
            <w:tcW w:w="0" w:type="auto"/>
            <w:hideMark/>
          </w:tcPr>
          <w:p w14:paraId="408E3785" w14:textId="77777777" w:rsidR="004B65BA" w:rsidRPr="004B65BA" w:rsidRDefault="004B65BA" w:rsidP="004B65BA">
            <w:pPr>
              <w:spacing w:after="160" w:line="360" w:lineRule="auto"/>
              <w:rPr>
                <w:rFonts w:ascii="Arial" w:hAnsi="Arial" w:cs="Arial"/>
              </w:rPr>
            </w:pPr>
            <w:r w:rsidRPr="004B65BA">
              <w:rPr>
                <w:rFonts w:ascii="Arial" w:hAnsi="Arial" w:cs="Arial"/>
              </w:rPr>
              <w:t>3.9</w:t>
            </w:r>
          </w:p>
        </w:tc>
        <w:tc>
          <w:tcPr>
            <w:tcW w:w="0" w:type="auto"/>
            <w:hideMark/>
          </w:tcPr>
          <w:p w14:paraId="2AF4B931" w14:textId="77777777" w:rsidR="004B65BA" w:rsidRPr="004B65BA" w:rsidRDefault="004B65BA" w:rsidP="004B65BA">
            <w:pPr>
              <w:spacing w:after="160" w:line="360" w:lineRule="auto"/>
              <w:rPr>
                <w:rFonts w:ascii="Arial" w:hAnsi="Arial" w:cs="Arial"/>
              </w:rPr>
            </w:pPr>
            <w:r w:rsidRPr="004B65BA">
              <w:rPr>
                <w:rFonts w:ascii="Arial" w:hAnsi="Arial" w:cs="Arial"/>
              </w:rPr>
              <w:t>2.7</w:t>
            </w:r>
          </w:p>
        </w:tc>
        <w:tc>
          <w:tcPr>
            <w:tcW w:w="0" w:type="auto"/>
            <w:hideMark/>
          </w:tcPr>
          <w:p w14:paraId="09715868" w14:textId="77777777" w:rsidR="004B65BA" w:rsidRPr="004B65BA" w:rsidRDefault="004B65BA" w:rsidP="004B65BA">
            <w:pPr>
              <w:spacing w:after="160" w:line="360" w:lineRule="auto"/>
              <w:rPr>
                <w:rFonts w:ascii="Arial" w:hAnsi="Arial" w:cs="Arial"/>
              </w:rPr>
            </w:pPr>
            <w:r w:rsidRPr="004B65BA">
              <w:rPr>
                <w:rFonts w:ascii="Arial" w:hAnsi="Arial" w:cs="Arial"/>
              </w:rPr>
              <w:t>-20.3</w:t>
            </w:r>
          </w:p>
        </w:tc>
        <w:tc>
          <w:tcPr>
            <w:tcW w:w="0" w:type="auto"/>
            <w:hideMark/>
          </w:tcPr>
          <w:p w14:paraId="5C594BD2" w14:textId="77777777" w:rsidR="004B65BA" w:rsidRPr="004B65BA" w:rsidRDefault="004B65BA" w:rsidP="004B65BA">
            <w:pPr>
              <w:spacing w:after="160" w:line="360" w:lineRule="auto"/>
              <w:rPr>
                <w:rFonts w:ascii="Arial" w:hAnsi="Arial" w:cs="Arial"/>
              </w:rPr>
            </w:pPr>
            <w:r w:rsidRPr="004B65BA">
              <w:rPr>
                <w:rFonts w:ascii="Arial" w:hAnsi="Arial" w:cs="Arial"/>
              </w:rPr>
              <w:t>-3.9</w:t>
            </w:r>
          </w:p>
        </w:tc>
      </w:tr>
      <w:tr w:rsidR="004B65BA" w:rsidRPr="004B65BA" w14:paraId="3E440395" w14:textId="77777777" w:rsidTr="004B65BA">
        <w:tc>
          <w:tcPr>
            <w:tcW w:w="0" w:type="auto"/>
            <w:hideMark/>
          </w:tcPr>
          <w:p w14:paraId="741CD646" w14:textId="77777777" w:rsidR="004B65BA" w:rsidRPr="004B65BA" w:rsidRDefault="004B65BA" w:rsidP="004B65BA">
            <w:pPr>
              <w:spacing w:after="160" w:line="360" w:lineRule="auto"/>
              <w:rPr>
                <w:rFonts w:ascii="Arial" w:hAnsi="Arial" w:cs="Arial"/>
              </w:rPr>
            </w:pPr>
            <w:r w:rsidRPr="004B65BA">
              <w:rPr>
                <w:rFonts w:ascii="Arial" w:hAnsi="Arial" w:cs="Arial"/>
                <w:b/>
                <w:bCs/>
              </w:rPr>
              <w:t>Net Profit Margin (%)</w:t>
            </w:r>
          </w:p>
        </w:tc>
        <w:tc>
          <w:tcPr>
            <w:tcW w:w="0" w:type="auto"/>
            <w:hideMark/>
          </w:tcPr>
          <w:p w14:paraId="11553E7C" w14:textId="77777777" w:rsidR="004B65BA" w:rsidRPr="004B65BA" w:rsidRDefault="004B65BA" w:rsidP="004B65BA">
            <w:pPr>
              <w:spacing w:after="160" w:line="360" w:lineRule="auto"/>
              <w:rPr>
                <w:rFonts w:ascii="Arial" w:hAnsi="Arial" w:cs="Arial"/>
              </w:rPr>
            </w:pPr>
            <w:r w:rsidRPr="004B65BA">
              <w:rPr>
                <w:rFonts w:ascii="Arial" w:hAnsi="Arial" w:cs="Arial"/>
              </w:rPr>
              <w:t>(Net Income / Sales) × 100</w:t>
            </w:r>
          </w:p>
        </w:tc>
        <w:tc>
          <w:tcPr>
            <w:tcW w:w="0" w:type="auto"/>
            <w:hideMark/>
          </w:tcPr>
          <w:p w14:paraId="0E4AC2B0" w14:textId="77777777" w:rsidR="004B65BA" w:rsidRPr="004B65BA" w:rsidRDefault="004B65BA" w:rsidP="004B65BA">
            <w:pPr>
              <w:spacing w:after="160" w:line="360" w:lineRule="auto"/>
              <w:rPr>
                <w:rFonts w:ascii="Arial" w:hAnsi="Arial" w:cs="Arial"/>
              </w:rPr>
            </w:pPr>
            <w:r w:rsidRPr="004B65BA">
              <w:rPr>
                <w:rFonts w:ascii="Arial" w:hAnsi="Arial" w:cs="Arial"/>
              </w:rPr>
              <w:t>6.3</w:t>
            </w:r>
          </w:p>
        </w:tc>
        <w:tc>
          <w:tcPr>
            <w:tcW w:w="0" w:type="auto"/>
            <w:hideMark/>
          </w:tcPr>
          <w:p w14:paraId="651B90C8" w14:textId="77777777" w:rsidR="004B65BA" w:rsidRPr="004B65BA" w:rsidRDefault="004B65BA" w:rsidP="004B65BA">
            <w:pPr>
              <w:spacing w:after="160" w:line="360" w:lineRule="auto"/>
              <w:rPr>
                <w:rFonts w:ascii="Arial" w:hAnsi="Arial" w:cs="Arial"/>
              </w:rPr>
            </w:pPr>
            <w:r w:rsidRPr="004B65BA">
              <w:rPr>
                <w:rFonts w:ascii="Arial" w:hAnsi="Arial" w:cs="Arial"/>
              </w:rPr>
              <w:t>0.9</w:t>
            </w:r>
          </w:p>
        </w:tc>
        <w:tc>
          <w:tcPr>
            <w:tcW w:w="0" w:type="auto"/>
            <w:hideMark/>
          </w:tcPr>
          <w:p w14:paraId="6D8E475C" w14:textId="77777777" w:rsidR="004B65BA" w:rsidRPr="004B65BA" w:rsidRDefault="004B65BA" w:rsidP="004B65BA">
            <w:pPr>
              <w:spacing w:after="160" w:line="360" w:lineRule="auto"/>
              <w:rPr>
                <w:rFonts w:ascii="Arial" w:hAnsi="Arial" w:cs="Arial"/>
              </w:rPr>
            </w:pPr>
            <w:r w:rsidRPr="004B65BA">
              <w:rPr>
                <w:rFonts w:ascii="Arial" w:hAnsi="Arial" w:cs="Arial"/>
              </w:rPr>
              <w:t>0.1</w:t>
            </w:r>
          </w:p>
        </w:tc>
        <w:tc>
          <w:tcPr>
            <w:tcW w:w="0" w:type="auto"/>
            <w:hideMark/>
          </w:tcPr>
          <w:p w14:paraId="0654742F" w14:textId="77777777" w:rsidR="004B65BA" w:rsidRPr="004B65BA" w:rsidRDefault="004B65BA" w:rsidP="004B65BA">
            <w:pPr>
              <w:spacing w:after="160" w:line="360" w:lineRule="auto"/>
              <w:rPr>
                <w:rFonts w:ascii="Arial" w:hAnsi="Arial" w:cs="Arial"/>
              </w:rPr>
            </w:pPr>
            <w:r w:rsidRPr="004B65BA">
              <w:rPr>
                <w:rFonts w:ascii="Arial" w:hAnsi="Arial" w:cs="Arial"/>
              </w:rPr>
              <w:t>-23.4</w:t>
            </w:r>
          </w:p>
        </w:tc>
        <w:tc>
          <w:tcPr>
            <w:tcW w:w="0" w:type="auto"/>
            <w:hideMark/>
          </w:tcPr>
          <w:p w14:paraId="70F9E7F1" w14:textId="77777777" w:rsidR="004B65BA" w:rsidRPr="004B65BA" w:rsidRDefault="004B65BA" w:rsidP="004B65BA">
            <w:pPr>
              <w:spacing w:after="160" w:line="360" w:lineRule="auto"/>
              <w:rPr>
                <w:rFonts w:ascii="Arial" w:hAnsi="Arial" w:cs="Arial"/>
              </w:rPr>
            </w:pPr>
            <w:r w:rsidRPr="004B65BA">
              <w:rPr>
                <w:rFonts w:ascii="Arial" w:hAnsi="Arial" w:cs="Arial"/>
              </w:rPr>
              <w:t>-6.1</w:t>
            </w:r>
          </w:p>
        </w:tc>
      </w:tr>
      <w:tr w:rsidR="004B65BA" w:rsidRPr="004B65BA" w14:paraId="6D6B4757" w14:textId="77777777" w:rsidTr="004B65BA">
        <w:tc>
          <w:tcPr>
            <w:tcW w:w="0" w:type="auto"/>
            <w:hideMark/>
          </w:tcPr>
          <w:p w14:paraId="524A4EDC" w14:textId="77777777" w:rsidR="004B65BA" w:rsidRPr="004B65BA" w:rsidRDefault="004B65BA" w:rsidP="004B65BA">
            <w:pPr>
              <w:spacing w:after="160" w:line="360" w:lineRule="auto"/>
              <w:rPr>
                <w:rFonts w:ascii="Arial" w:hAnsi="Arial" w:cs="Arial"/>
              </w:rPr>
            </w:pPr>
            <w:r w:rsidRPr="004B65BA">
              <w:rPr>
                <w:rFonts w:ascii="Arial" w:hAnsi="Arial" w:cs="Arial"/>
                <w:b/>
                <w:bCs/>
              </w:rPr>
              <w:t>ROA (%)</w:t>
            </w:r>
          </w:p>
        </w:tc>
        <w:tc>
          <w:tcPr>
            <w:tcW w:w="0" w:type="auto"/>
            <w:hideMark/>
          </w:tcPr>
          <w:p w14:paraId="07C01EB3" w14:textId="77777777" w:rsidR="004B65BA" w:rsidRPr="004B65BA" w:rsidRDefault="004B65BA" w:rsidP="004B65BA">
            <w:pPr>
              <w:spacing w:after="160" w:line="360" w:lineRule="auto"/>
              <w:rPr>
                <w:rFonts w:ascii="Arial" w:hAnsi="Arial" w:cs="Arial"/>
              </w:rPr>
            </w:pPr>
            <w:r w:rsidRPr="004B65BA">
              <w:rPr>
                <w:rFonts w:ascii="Arial" w:hAnsi="Arial" w:cs="Arial"/>
              </w:rPr>
              <w:t>(Net Income / Total Assets) × 100</w:t>
            </w:r>
          </w:p>
        </w:tc>
        <w:tc>
          <w:tcPr>
            <w:tcW w:w="0" w:type="auto"/>
            <w:hideMark/>
          </w:tcPr>
          <w:p w14:paraId="70666528" w14:textId="77777777" w:rsidR="004B65BA" w:rsidRPr="004B65BA" w:rsidRDefault="004B65BA" w:rsidP="004B65BA">
            <w:pPr>
              <w:spacing w:after="160" w:line="360" w:lineRule="auto"/>
              <w:rPr>
                <w:rFonts w:ascii="Arial" w:hAnsi="Arial" w:cs="Arial"/>
              </w:rPr>
            </w:pPr>
            <w:r w:rsidRPr="004B65BA">
              <w:rPr>
                <w:rFonts w:ascii="Arial" w:hAnsi="Arial" w:cs="Arial"/>
              </w:rPr>
              <w:t>7.6</w:t>
            </w:r>
          </w:p>
        </w:tc>
        <w:tc>
          <w:tcPr>
            <w:tcW w:w="0" w:type="auto"/>
            <w:hideMark/>
          </w:tcPr>
          <w:p w14:paraId="2343AF36" w14:textId="77777777" w:rsidR="004B65BA" w:rsidRPr="004B65BA" w:rsidRDefault="004B65BA" w:rsidP="004B65BA">
            <w:pPr>
              <w:spacing w:after="160" w:line="360" w:lineRule="auto"/>
              <w:rPr>
                <w:rFonts w:ascii="Arial" w:hAnsi="Arial" w:cs="Arial"/>
              </w:rPr>
            </w:pPr>
            <w:r w:rsidRPr="004B65BA">
              <w:rPr>
                <w:rFonts w:ascii="Arial" w:hAnsi="Arial" w:cs="Arial"/>
              </w:rPr>
              <w:t>1.0</w:t>
            </w:r>
          </w:p>
        </w:tc>
        <w:tc>
          <w:tcPr>
            <w:tcW w:w="0" w:type="auto"/>
            <w:hideMark/>
          </w:tcPr>
          <w:p w14:paraId="76A571DF" w14:textId="77777777" w:rsidR="004B65BA" w:rsidRPr="004B65BA" w:rsidRDefault="004B65BA" w:rsidP="004B65BA">
            <w:pPr>
              <w:spacing w:after="160" w:line="360" w:lineRule="auto"/>
              <w:rPr>
                <w:rFonts w:ascii="Arial" w:hAnsi="Arial" w:cs="Arial"/>
              </w:rPr>
            </w:pPr>
            <w:r w:rsidRPr="004B65BA">
              <w:rPr>
                <w:rFonts w:ascii="Arial" w:hAnsi="Arial" w:cs="Arial"/>
              </w:rPr>
              <w:t>0.08</w:t>
            </w:r>
          </w:p>
        </w:tc>
        <w:tc>
          <w:tcPr>
            <w:tcW w:w="0" w:type="auto"/>
            <w:hideMark/>
          </w:tcPr>
          <w:p w14:paraId="440E6E40" w14:textId="77777777" w:rsidR="004B65BA" w:rsidRPr="004B65BA" w:rsidRDefault="004B65BA" w:rsidP="004B65BA">
            <w:pPr>
              <w:spacing w:after="160" w:line="360" w:lineRule="auto"/>
              <w:rPr>
                <w:rFonts w:ascii="Arial" w:hAnsi="Arial" w:cs="Arial"/>
              </w:rPr>
            </w:pPr>
            <w:r w:rsidRPr="004B65BA">
              <w:rPr>
                <w:rFonts w:ascii="Arial" w:hAnsi="Arial" w:cs="Arial"/>
              </w:rPr>
              <w:t>-27.6</w:t>
            </w:r>
          </w:p>
        </w:tc>
        <w:tc>
          <w:tcPr>
            <w:tcW w:w="0" w:type="auto"/>
            <w:hideMark/>
          </w:tcPr>
          <w:p w14:paraId="78A85900" w14:textId="77777777" w:rsidR="004B65BA" w:rsidRPr="004B65BA" w:rsidRDefault="004B65BA" w:rsidP="004B65BA">
            <w:pPr>
              <w:spacing w:after="160" w:line="360" w:lineRule="auto"/>
              <w:rPr>
                <w:rFonts w:ascii="Arial" w:hAnsi="Arial" w:cs="Arial"/>
              </w:rPr>
            </w:pPr>
            <w:r w:rsidRPr="004B65BA">
              <w:rPr>
                <w:rFonts w:ascii="Arial" w:hAnsi="Arial" w:cs="Arial"/>
              </w:rPr>
              <w:t>-7.4</w:t>
            </w:r>
          </w:p>
        </w:tc>
      </w:tr>
      <w:tr w:rsidR="004B65BA" w:rsidRPr="004B65BA" w14:paraId="2127FDA0" w14:textId="77777777" w:rsidTr="004B65BA">
        <w:tc>
          <w:tcPr>
            <w:tcW w:w="0" w:type="auto"/>
            <w:hideMark/>
          </w:tcPr>
          <w:p w14:paraId="479CB5A3" w14:textId="77777777" w:rsidR="004B65BA" w:rsidRPr="004B65BA" w:rsidRDefault="004B65BA" w:rsidP="004B65BA">
            <w:pPr>
              <w:spacing w:after="160" w:line="360" w:lineRule="auto"/>
              <w:rPr>
                <w:rFonts w:ascii="Arial" w:hAnsi="Arial" w:cs="Arial"/>
              </w:rPr>
            </w:pPr>
            <w:r w:rsidRPr="004B65BA">
              <w:rPr>
                <w:rFonts w:ascii="Arial" w:hAnsi="Arial" w:cs="Arial"/>
                <w:b/>
                <w:bCs/>
              </w:rPr>
              <w:t>ROE (%)</w:t>
            </w:r>
          </w:p>
        </w:tc>
        <w:tc>
          <w:tcPr>
            <w:tcW w:w="0" w:type="auto"/>
            <w:hideMark/>
          </w:tcPr>
          <w:p w14:paraId="61F110BE" w14:textId="77777777" w:rsidR="004B65BA" w:rsidRPr="004B65BA" w:rsidRDefault="004B65BA" w:rsidP="004B65BA">
            <w:pPr>
              <w:spacing w:after="160" w:line="360" w:lineRule="auto"/>
              <w:rPr>
                <w:rFonts w:ascii="Arial" w:hAnsi="Arial" w:cs="Arial"/>
              </w:rPr>
            </w:pPr>
            <w:r w:rsidRPr="004B65BA">
              <w:rPr>
                <w:rFonts w:ascii="Arial" w:hAnsi="Arial" w:cs="Arial"/>
              </w:rPr>
              <w:t>(Net Income / Equity) × 100</w:t>
            </w:r>
          </w:p>
        </w:tc>
        <w:tc>
          <w:tcPr>
            <w:tcW w:w="0" w:type="auto"/>
            <w:hideMark/>
          </w:tcPr>
          <w:p w14:paraId="781C43C1" w14:textId="77777777" w:rsidR="004B65BA" w:rsidRPr="004B65BA" w:rsidRDefault="004B65BA" w:rsidP="004B65BA">
            <w:pPr>
              <w:spacing w:after="160" w:line="360" w:lineRule="auto"/>
              <w:rPr>
                <w:rFonts w:ascii="Arial" w:hAnsi="Arial" w:cs="Arial"/>
              </w:rPr>
            </w:pPr>
            <w:r w:rsidRPr="004B65BA">
              <w:rPr>
                <w:rFonts w:ascii="Arial" w:hAnsi="Arial" w:cs="Arial"/>
              </w:rPr>
              <w:t>12.3</w:t>
            </w:r>
          </w:p>
        </w:tc>
        <w:tc>
          <w:tcPr>
            <w:tcW w:w="0" w:type="auto"/>
            <w:hideMark/>
          </w:tcPr>
          <w:p w14:paraId="6F60312E" w14:textId="77777777" w:rsidR="004B65BA" w:rsidRPr="004B65BA" w:rsidRDefault="004B65BA" w:rsidP="004B65BA">
            <w:pPr>
              <w:spacing w:after="160" w:line="360" w:lineRule="auto"/>
              <w:rPr>
                <w:rFonts w:ascii="Arial" w:hAnsi="Arial" w:cs="Arial"/>
              </w:rPr>
            </w:pPr>
            <w:r w:rsidRPr="004B65BA">
              <w:rPr>
                <w:rFonts w:ascii="Arial" w:hAnsi="Arial" w:cs="Arial"/>
              </w:rPr>
              <w:t>1.6</w:t>
            </w:r>
          </w:p>
        </w:tc>
        <w:tc>
          <w:tcPr>
            <w:tcW w:w="0" w:type="auto"/>
            <w:hideMark/>
          </w:tcPr>
          <w:p w14:paraId="584BAB78" w14:textId="77777777" w:rsidR="004B65BA" w:rsidRPr="004B65BA" w:rsidRDefault="004B65BA" w:rsidP="004B65BA">
            <w:pPr>
              <w:spacing w:after="160" w:line="360" w:lineRule="auto"/>
              <w:rPr>
                <w:rFonts w:ascii="Arial" w:hAnsi="Arial" w:cs="Arial"/>
              </w:rPr>
            </w:pPr>
            <w:r w:rsidRPr="004B65BA">
              <w:rPr>
                <w:rFonts w:ascii="Arial" w:hAnsi="Arial" w:cs="Arial"/>
              </w:rPr>
              <w:t>0.15</w:t>
            </w:r>
          </w:p>
        </w:tc>
        <w:tc>
          <w:tcPr>
            <w:tcW w:w="0" w:type="auto"/>
            <w:hideMark/>
          </w:tcPr>
          <w:p w14:paraId="69FDFAE0" w14:textId="77777777" w:rsidR="004B65BA" w:rsidRPr="004B65BA" w:rsidRDefault="004B65BA" w:rsidP="004B65BA">
            <w:pPr>
              <w:spacing w:after="160" w:line="360" w:lineRule="auto"/>
              <w:rPr>
                <w:rFonts w:ascii="Arial" w:hAnsi="Arial" w:cs="Arial"/>
              </w:rPr>
            </w:pPr>
            <w:r w:rsidRPr="004B65BA">
              <w:rPr>
                <w:rFonts w:ascii="Arial" w:hAnsi="Arial" w:cs="Arial"/>
              </w:rPr>
              <w:t>-54.9</w:t>
            </w:r>
          </w:p>
        </w:tc>
        <w:tc>
          <w:tcPr>
            <w:tcW w:w="0" w:type="auto"/>
            <w:hideMark/>
          </w:tcPr>
          <w:p w14:paraId="4F8E4CE0" w14:textId="77777777" w:rsidR="004B65BA" w:rsidRPr="004B65BA" w:rsidRDefault="004B65BA" w:rsidP="004B65BA">
            <w:pPr>
              <w:spacing w:after="160" w:line="360" w:lineRule="auto"/>
              <w:rPr>
                <w:rFonts w:ascii="Arial" w:hAnsi="Arial" w:cs="Arial"/>
              </w:rPr>
            </w:pPr>
            <w:r w:rsidRPr="004B65BA">
              <w:rPr>
                <w:rFonts w:ascii="Arial" w:hAnsi="Arial" w:cs="Arial"/>
              </w:rPr>
              <w:t>-15.7</w:t>
            </w:r>
          </w:p>
        </w:tc>
      </w:tr>
    </w:tbl>
    <w:p w14:paraId="1639AB35" w14:textId="7A15B982" w:rsidR="004B65BA" w:rsidRPr="004B65BA" w:rsidRDefault="004B65BA" w:rsidP="004B65BA">
      <w:pPr>
        <w:spacing w:line="360" w:lineRule="auto"/>
        <w:rPr>
          <w:rFonts w:ascii="Arial" w:hAnsi="Arial" w:cs="Arial"/>
        </w:rPr>
      </w:pPr>
    </w:p>
    <w:p w14:paraId="3D69E00E" w14:textId="77777777" w:rsidR="004B65BA" w:rsidRPr="004B65BA" w:rsidRDefault="004B65BA" w:rsidP="004B65BA">
      <w:pPr>
        <w:spacing w:line="360" w:lineRule="auto"/>
        <w:rPr>
          <w:rFonts w:ascii="Arial" w:hAnsi="Arial" w:cs="Arial"/>
        </w:rPr>
      </w:pPr>
      <w:r w:rsidRPr="004B65BA">
        <w:rPr>
          <w:rFonts w:ascii="Arial" w:hAnsi="Arial" w:cs="Arial"/>
          <w:b/>
          <w:bCs/>
        </w:rPr>
        <w:t>Table A2. Liquidity Ratios</w:t>
      </w:r>
    </w:p>
    <w:tbl>
      <w:tblPr>
        <w:tblStyle w:val="TableGrid"/>
        <w:tblW w:w="0" w:type="auto"/>
        <w:tblLook w:val="04A0" w:firstRow="1" w:lastRow="0" w:firstColumn="1" w:lastColumn="0" w:noHBand="0" w:noVBand="1"/>
      </w:tblPr>
      <w:tblGrid>
        <w:gridCol w:w="1682"/>
        <w:gridCol w:w="3584"/>
        <w:gridCol w:w="750"/>
        <w:gridCol w:w="750"/>
        <w:gridCol w:w="750"/>
        <w:gridCol w:w="750"/>
        <w:gridCol w:w="750"/>
      </w:tblGrid>
      <w:tr w:rsidR="004B65BA" w:rsidRPr="004B65BA" w14:paraId="74E2F49B" w14:textId="77777777" w:rsidTr="004B65BA">
        <w:tc>
          <w:tcPr>
            <w:tcW w:w="0" w:type="auto"/>
            <w:hideMark/>
          </w:tcPr>
          <w:p w14:paraId="21C53DB9"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Ratio</w:t>
            </w:r>
          </w:p>
        </w:tc>
        <w:tc>
          <w:tcPr>
            <w:tcW w:w="0" w:type="auto"/>
            <w:hideMark/>
          </w:tcPr>
          <w:p w14:paraId="26DDA45F"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1FF792E7"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2020</w:t>
            </w:r>
          </w:p>
        </w:tc>
        <w:tc>
          <w:tcPr>
            <w:tcW w:w="0" w:type="auto"/>
            <w:hideMark/>
          </w:tcPr>
          <w:p w14:paraId="77CB58D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2021</w:t>
            </w:r>
          </w:p>
        </w:tc>
        <w:tc>
          <w:tcPr>
            <w:tcW w:w="0" w:type="auto"/>
            <w:hideMark/>
          </w:tcPr>
          <w:p w14:paraId="4F1C47C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2022</w:t>
            </w:r>
          </w:p>
        </w:tc>
        <w:tc>
          <w:tcPr>
            <w:tcW w:w="0" w:type="auto"/>
            <w:hideMark/>
          </w:tcPr>
          <w:p w14:paraId="0AF9CFE5"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2023</w:t>
            </w:r>
          </w:p>
        </w:tc>
        <w:tc>
          <w:tcPr>
            <w:tcW w:w="0" w:type="auto"/>
            <w:hideMark/>
          </w:tcPr>
          <w:p w14:paraId="2CA945AE"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2024</w:t>
            </w:r>
          </w:p>
        </w:tc>
      </w:tr>
      <w:tr w:rsidR="004B65BA" w:rsidRPr="004B65BA" w14:paraId="5EF36812" w14:textId="77777777" w:rsidTr="004B65BA">
        <w:tc>
          <w:tcPr>
            <w:tcW w:w="0" w:type="auto"/>
            <w:hideMark/>
          </w:tcPr>
          <w:p w14:paraId="41CEDAB1" w14:textId="77777777" w:rsidR="004B65BA" w:rsidRPr="004B65BA" w:rsidRDefault="004B65BA" w:rsidP="004B65BA">
            <w:pPr>
              <w:spacing w:after="160" w:line="360" w:lineRule="auto"/>
              <w:rPr>
                <w:rFonts w:ascii="Arial" w:hAnsi="Arial" w:cs="Arial"/>
              </w:rPr>
            </w:pPr>
            <w:r w:rsidRPr="004B65BA">
              <w:rPr>
                <w:rFonts w:ascii="Arial" w:hAnsi="Arial" w:cs="Arial"/>
                <w:b/>
                <w:bCs/>
              </w:rPr>
              <w:t>Current Ratio</w:t>
            </w:r>
          </w:p>
        </w:tc>
        <w:tc>
          <w:tcPr>
            <w:tcW w:w="0" w:type="auto"/>
            <w:hideMark/>
          </w:tcPr>
          <w:p w14:paraId="37A87FDC" w14:textId="77777777" w:rsidR="004B65BA" w:rsidRPr="004B65BA" w:rsidRDefault="004B65BA" w:rsidP="004B65BA">
            <w:pPr>
              <w:spacing w:after="160" w:line="360" w:lineRule="auto"/>
              <w:rPr>
                <w:rFonts w:ascii="Arial" w:hAnsi="Arial" w:cs="Arial"/>
              </w:rPr>
            </w:pPr>
            <w:r w:rsidRPr="004B65BA">
              <w:rPr>
                <w:rFonts w:ascii="Arial" w:hAnsi="Arial" w:cs="Arial"/>
              </w:rPr>
              <w:t>Current Assets / Current Liabilities</w:t>
            </w:r>
          </w:p>
        </w:tc>
        <w:tc>
          <w:tcPr>
            <w:tcW w:w="0" w:type="auto"/>
            <w:hideMark/>
          </w:tcPr>
          <w:p w14:paraId="563DE04E" w14:textId="77777777" w:rsidR="004B65BA" w:rsidRPr="004B65BA" w:rsidRDefault="004B65BA" w:rsidP="004B65BA">
            <w:pPr>
              <w:spacing w:after="160" w:line="360" w:lineRule="auto"/>
              <w:rPr>
                <w:rFonts w:ascii="Arial" w:hAnsi="Arial" w:cs="Arial"/>
              </w:rPr>
            </w:pPr>
            <w:r w:rsidRPr="004B65BA">
              <w:rPr>
                <w:rFonts w:ascii="Arial" w:hAnsi="Arial" w:cs="Arial"/>
              </w:rPr>
              <w:t>1.82</w:t>
            </w:r>
          </w:p>
        </w:tc>
        <w:tc>
          <w:tcPr>
            <w:tcW w:w="0" w:type="auto"/>
            <w:hideMark/>
          </w:tcPr>
          <w:p w14:paraId="1ED2F1D2" w14:textId="77777777" w:rsidR="004B65BA" w:rsidRPr="004B65BA" w:rsidRDefault="004B65BA" w:rsidP="004B65BA">
            <w:pPr>
              <w:spacing w:after="160" w:line="360" w:lineRule="auto"/>
              <w:rPr>
                <w:rFonts w:ascii="Arial" w:hAnsi="Arial" w:cs="Arial"/>
              </w:rPr>
            </w:pPr>
            <w:r w:rsidRPr="004B65BA">
              <w:rPr>
                <w:rFonts w:ascii="Arial" w:hAnsi="Arial" w:cs="Arial"/>
              </w:rPr>
              <w:t>1.55</w:t>
            </w:r>
          </w:p>
        </w:tc>
        <w:tc>
          <w:tcPr>
            <w:tcW w:w="0" w:type="auto"/>
            <w:hideMark/>
          </w:tcPr>
          <w:p w14:paraId="1D93C4D5" w14:textId="77777777" w:rsidR="004B65BA" w:rsidRPr="004B65BA" w:rsidRDefault="004B65BA" w:rsidP="004B65BA">
            <w:pPr>
              <w:spacing w:after="160" w:line="360" w:lineRule="auto"/>
              <w:rPr>
                <w:rFonts w:ascii="Arial" w:hAnsi="Arial" w:cs="Arial"/>
              </w:rPr>
            </w:pPr>
            <w:r w:rsidRPr="004B65BA">
              <w:rPr>
                <w:rFonts w:ascii="Arial" w:hAnsi="Arial" w:cs="Arial"/>
              </w:rPr>
              <w:t>1.56</w:t>
            </w:r>
          </w:p>
        </w:tc>
        <w:tc>
          <w:tcPr>
            <w:tcW w:w="0" w:type="auto"/>
            <w:hideMark/>
          </w:tcPr>
          <w:p w14:paraId="48F2D40E" w14:textId="77777777" w:rsidR="004B65BA" w:rsidRPr="004B65BA" w:rsidRDefault="004B65BA" w:rsidP="004B65BA">
            <w:pPr>
              <w:spacing w:after="160" w:line="360" w:lineRule="auto"/>
              <w:rPr>
                <w:rFonts w:ascii="Arial" w:hAnsi="Arial" w:cs="Arial"/>
              </w:rPr>
            </w:pPr>
            <w:r w:rsidRPr="004B65BA">
              <w:rPr>
                <w:rFonts w:ascii="Arial" w:hAnsi="Arial" w:cs="Arial"/>
              </w:rPr>
              <w:t>1.61</w:t>
            </w:r>
          </w:p>
        </w:tc>
        <w:tc>
          <w:tcPr>
            <w:tcW w:w="0" w:type="auto"/>
            <w:hideMark/>
          </w:tcPr>
          <w:p w14:paraId="26BDEB2A" w14:textId="77777777" w:rsidR="004B65BA" w:rsidRPr="004B65BA" w:rsidRDefault="004B65BA" w:rsidP="004B65BA">
            <w:pPr>
              <w:spacing w:after="160" w:line="360" w:lineRule="auto"/>
              <w:rPr>
                <w:rFonts w:ascii="Arial" w:hAnsi="Arial" w:cs="Arial"/>
              </w:rPr>
            </w:pPr>
            <w:r w:rsidRPr="004B65BA">
              <w:rPr>
                <w:rFonts w:ascii="Arial" w:hAnsi="Arial" w:cs="Arial"/>
              </w:rPr>
              <w:t>1.53</w:t>
            </w:r>
          </w:p>
        </w:tc>
      </w:tr>
      <w:tr w:rsidR="004B65BA" w:rsidRPr="004B65BA" w14:paraId="78A217A0" w14:textId="77777777" w:rsidTr="004B65BA">
        <w:tc>
          <w:tcPr>
            <w:tcW w:w="0" w:type="auto"/>
            <w:hideMark/>
          </w:tcPr>
          <w:p w14:paraId="3AEC751F" w14:textId="77777777" w:rsidR="004B65BA" w:rsidRPr="004B65BA" w:rsidRDefault="004B65BA" w:rsidP="004B65BA">
            <w:pPr>
              <w:spacing w:after="160" w:line="360" w:lineRule="auto"/>
              <w:rPr>
                <w:rFonts w:ascii="Arial" w:hAnsi="Arial" w:cs="Arial"/>
              </w:rPr>
            </w:pPr>
            <w:r w:rsidRPr="004B65BA">
              <w:rPr>
                <w:rFonts w:ascii="Arial" w:hAnsi="Arial" w:cs="Arial"/>
                <w:b/>
                <w:bCs/>
              </w:rPr>
              <w:t>Quick Ratio</w:t>
            </w:r>
          </w:p>
        </w:tc>
        <w:tc>
          <w:tcPr>
            <w:tcW w:w="0" w:type="auto"/>
            <w:hideMark/>
          </w:tcPr>
          <w:p w14:paraId="1C560666" w14:textId="77777777" w:rsidR="004B65BA" w:rsidRPr="004B65BA" w:rsidRDefault="004B65BA" w:rsidP="004B65BA">
            <w:pPr>
              <w:spacing w:after="160" w:line="360" w:lineRule="auto"/>
              <w:rPr>
                <w:rFonts w:ascii="Arial" w:hAnsi="Arial" w:cs="Arial"/>
              </w:rPr>
            </w:pPr>
            <w:r w:rsidRPr="004B65BA">
              <w:rPr>
                <w:rFonts w:ascii="Arial" w:hAnsi="Arial" w:cs="Arial"/>
              </w:rPr>
              <w:t>(CA – Inventory) / CL</w:t>
            </w:r>
          </w:p>
        </w:tc>
        <w:tc>
          <w:tcPr>
            <w:tcW w:w="0" w:type="auto"/>
            <w:hideMark/>
          </w:tcPr>
          <w:p w14:paraId="2B402C41" w14:textId="77777777" w:rsidR="004B65BA" w:rsidRPr="004B65BA" w:rsidRDefault="004B65BA" w:rsidP="004B65BA">
            <w:pPr>
              <w:spacing w:after="160" w:line="360" w:lineRule="auto"/>
              <w:rPr>
                <w:rFonts w:ascii="Arial" w:hAnsi="Arial" w:cs="Arial"/>
              </w:rPr>
            </w:pPr>
            <w:r w:rsidRPr="004B65BA">
              <w:rPr>
                <w:rFonts w:ascii="Arial" w:hAnsi="Arial" w:cs="Arial"/>
              </w:rPr>
              <w:t>0.88</w:t>
            </w:r>
          </w:p>
        </w:tc>
        <w:tc>
          <w:tcPr>
            <w:tcW w:w="0" w:type="auto"/>
            <w:hideMark/>
          </w:tcPr>
          <w:p w14:paraId="57EE921A" w14:textId="77777777" w:rsidR="004B65BA" w:rsidRPr="004B65BA" w:rsidRDefault="004B65BA" w:rsidP="004B65BA">
            <w:pPr>
              <w:spacing w:after="160" w:line="360" w:lineRule="auto"/>
              <w:rPr>
                <w:rFonts w:ascii="Arial" w:hAnsi="Arial" w:cs="Arial"/>
              </w:rPr>
            </w:pPr>
            <w:r w:rsidRPr="004B65BA">
              <w:rPr>
                <w:rFonts w:ascii="Arial" w:hAnsi="Arial" w:cs="Arial"/>
              </w:rPr>
              <w:t>0.94</w:t>
            </w:r>
          </w:p>
        </w:tc>
        <w:tc>
          <w:tcPr>
            <w:tcW w:w="0" w:type="auto"/>
            <w:hideMark/>
          </w:tcPr>
          <w:p w14:paraId="7667DD23" w14:textId="77777777" w:rsidR="004B65BA" w:rsidRPr="004B65BA" w:rsidRDefault="004B65BA" w:rsidP="004B65BA">
            <w:pPr>
              <w:spacing w:after="160" w:line="360" w:lineRule="auto"/>
              <w:rPr>
                <w:rFonts w:ascii="Arial" w:hAnsi="Arial" w:cs="Arial"/>
              </w:rPr>
            </w:pPr>
            <w:r w:rsidRPr="004B65BA">
              <w:rPr>
                <w:rFonts w:ascii="Arial" w:hAnsi="Arial" w:cs="Arial"/>
              </w:rPr>
              <w:t>0.91</w:t>
            </w:r>
          </w:p>
        </w:tc>
        <w:tc>
          <w:tcPr>
            <w:tcW w:w="0" w:type="auto"/>
            <w:hideMark/>
          </w:tcPr>
          <w:p w14:paraId="099B84EC" w14:textId="77777777" w:rsidR="004B65BA" w:rsidRPr="004B65BA" w:rsidRDefault="004B65BA" w:rsidP="004B65BA">
            <w:pPr>
              <w:spacing w:after="160" w:line="360" w:lineRule="auto"/>
              <w:rPr>
                <w:rFonts w:ascii="Arial" w:hAnsi="Arial" w:cs="Arial"/>
              </w:rPr>
            </w:pPr>
            <w:r w:rsidRPr="004B65BA">
              <w:rPr>
                <w:rFonts w:ascii="Arial" w:hAnsi="Arial" w:cs="Arial"/>
              </w:rPr>
              <w:t>1.06</w:t>
            </w:r>
          </w:p>
        </w:tc>
        <w:tc>
          <w:tcPr>
            <w:tcW w:w="0" w:type="auto"/>
            <w:hideMark/>
          </w:tcPr>
          <w:p w14:paraId="2E47194B" w14:textId="77777777" w:rsidR="004B65BA" w:rsidRPr="004B65BA" w:rsidRDefault="004B65BA" w:rsidP="004B65BA">
            <w:pPr>
              <w:spacing w:after="160" w:line="360" w:lineRule="auto"/>
              <w:rPr>
                <w:rFonts w:ascii="Arial" w:hAnsi="Arial" w:cs="Arial"/>
              </w:rPr>
            </w:pPr>
            <w:r w:rsidRPr="004B65BA">
              <w:rPr>
                <w:rFonts w:ascii="Arial" w:hAnsi="Arial" w:cs="Arial"/>
              </w:rPr>
              <w:t>1.03</w:t>
            </w:r>
          </w:p>
        </w:tc>
      </w:tr>
      <w:tr w:rsidR="004B65BA" w:rsidRPr="004B65BA" w14:paraId="5FE9D17B" w14:textId="77777777" w:rsidTr="004B65BA">
        <w:tc>
          <w:tcPr>
            <w:tcW w:w="0" w:type="auto"/>
            <w:hideMark/>
          </w:tcPr>
          <w:p w14:paraId="7D715CF7" w14:textId="77777777" w:rsidR="004B65BA" w:rsidRPr="004B65BA" w:rsidRDefault="004B65BA" w:rsidP="004B65BA">
            <w:pPr>
              <w:spacing w:after="160" w:line="360" w:lineRule="auto"/>
              <w:rPr>
                <w:rFonts w:ascii="Arial" w:hAnsi="Arial" w:cs="Arial"/>
              </w:rPr>
            </w:pPr>
            <w:r w:rsidRPr="004B65BA">
              <w:rPr>
                <w:rFonts w:ascii="Arial" w:hAnsi="Arial" w:cs="Arial"/>
                <w:b/>
                <w:bCs/>
              </w:rPr>
              <w:t>Cash Ratio</w:t>
            </w:r>
          </w:p>
        </w:tc>
        <w:tc>
          <w:tcPr>
            <w:tcW w:w="0" w:type="auto"/>
            <w:hideMark/>
          </w:tcPr>
          <w:p w14:paraId="01087C13" w14:textId="77777777" w:rsidR="004B65BA" w:rsidRPr="004B65BA" w:rsidRDefault="004B65BA" w:rsidP="004B65BA">
            <w:pPr>
              <w:spacing w:after="160" w:line="360" w:lineRule="auto"/>
              <w:rPr>
                <w:rFonts w:ascii="Arial" w:hAnsi="Arial" w:cs="Arial"/>
              </w:rPr>
            </w:pPr>
            <w:r w:rsidRPr="004B65BA">
              <w:rPr>
                <w:rFonts w:ascii="Arial" w:hAnsi="Arial" w:cs="Arial"/>
              </w:rPr>
              <w:t>Cash / CL</w:t>
            </w:r>
          </w:p>
        </w:tc>
        <w:tc>
          <w:tcPr>
            <w:tcW w:w="0" w:type="auto"/>
            <w:hideMark/>
          </w:tcPr>
          <w:p w14:paraId="3D8CA09F" w14:textId="77777777" w:rsidR="004B65BA" w:rsidRPr="004B65BA" w:rsidRDefault="004B65BA" w:rsidP="004B65BA">
            <w:pPr>
              <w:spacing w:after="160" w:line="360" w:lineRule="auto"/>
              <w:rPr>
                <w:rFonts w:ascii="Arial" w:hAnsi="Arial" w:cs="Arial"/>
              </w:rPr>
            </w:pPr>
            <w:r w:rsidRPr="004B65BA">
              <w:rPr>
                <w:rFonts w:ascii="Arial" w:hAnsi="Arial" w:cs="Arial"/>
              </w:rPr>
              <w:t>0.32</w:t>
            </w:r>
          </w:p>
        </w:tc>
        <w:tc>
          <w:tcPr>
            <w:tcW w:w="0" w:type="auto"/>
            <w:hideMark/>
          </w:tcPr>
          <w:p w14:paraId="56FAC4AF" w14:textId="77777777" w:rsidR="004B65BA" w:rsidRPr="004B65BA" w:rsidRDefault="004B65BA" w:rsidP="004B65BA">
            <w:pPr>
              <w:spacing w:after="160" w:line="360" w:lineRule="auto"/>
              <w:rPr>
                <w:rFonts w:ascii="Arial" w:hAnsi="Arial" w:cs="Arial"/>
              </w:rPr>
            </w:pPr>
            <w:r w:rsidRPr="004B65BA">
              <w:rPr>
                <w:rFonts w:ascii="Arial" w:hAnsi="Arial" w:cs="Arial"/>
              </w:rPr>
              <w:t>0.28</w:t>
            </w:r>
          </w:p>
        </w:tc>
        <w:tc>
          <w:tcPr>
            <w:tcW w:w="0" w:type="auto"/>
            <w:hideMark/>
          </w:tcPr>
          <w:p w14:paraId="6D585978" w14:textId="77777777" w:rsidR="004B65BA" w:rsidRPr="004B65BA" w:rsidRDefault="004B65BA" w:rsidP="004B65BA">
            <w:pPr>
              <w:spacing w:after="160" w:line="360" w:lineRule="auto"/>
              <w:rPr>
                <w:rFonts w:ascii="Arial" w:hAnsi="Arial" w:cs="Arial"/>
              </w:rPr>
            </w:pPr>
            <w:r w:rsidRPr="004B65BA">
              <w:rPr>
                <w:rFonts w:ascii="Arial" w:hAnsi="Arial" w:cs="Arial"/>
              </w:rPr>
              <w:t>0.20</w:t>
            </w:r>
          </w:p>
        </w:tc>
        <w:tc>
          <w:tcPr>
            <w:tcW w:w="0" w:type="auto"/>
            <w:hideMark/>
          </w:tcPr>
          <w:p w14:paraId="716D4002" w14:textId="77777777" w:rsidR="004B65BA" w:rsidRPr="004B65BA" w:rsidRDefault="004B65BA" w:rsidP="004B65BA">
            <w:pPr>
              <w:spacing w:after="160" w:line="360" w:lineRule="auto"/>
              <w:rPr>
                <w:rFonts w:ascii="Arial" w:hAnsi="Arial" w:cs="Arial"/>
              </w:rPr>
            </w:pPr>
            <w:r w:rsidRPr="004B65BA">
              <w:rPr>
                <w:rFonts w:ascii="Arial" w:hAnsi="Arial" w:cs="Arial"/>
              </w:rPr>
              <w:t>0.26</w:t>
            </w:r>
          </w:p>
        </w:tc>
        <w:tc>
          <w:tcPr>
            <w:tcW w:w="0" w:type="auto"/>
            <w:hideMark/>
          </w:tcPr>
          <w:p w14:paraId="073D90D4" w14:textId="77777777" w:rsidR="004B65BA" w:rsidRPr="004B65BA" w:rsidRDefault="004B65BA" w:rsidP="004B65BA">
            <w:pPr>
              <w:spacing w:after="160" w:line="360" w:lineRule="auto"/>
              <w:rPr>
                <w:rFonts w:ascii="Arial" w:hAnsi="Arial" w:cs="Arial"/>
              </w:rPr>
            </w:pPr>
            <w:r w:rsidRPr="004B65BA">
              <w:rPr>
                <w:rFonts w:ascii="Arial" w:hAnsi="Arial" w:cs="Arial"/>
              </w:rPr>
              <w:t>0.17</w:t>
            </w:r>
          </w:p>
        </w:tc>
      </w:tr>
    </w:tbl>
    <w:p w14:paraId="28164BEE" w14:textId="67334C14" w:rsidR="004B65BA" w:rsidRPr="004B65BA" w:rsidRDefault="004B65BA" w:rsidP="004B65BA">
      <w:pPr>
        <w:spacing w:line="360" w:lineRule="auto"/>
        <w:rPr>
          <w:rFonts w:ascii="Arial" w:hAnsi="Arial" w:cs="Arial"/>
        </w:rPr>
      </w:pPr>
    </w:p>
    <w:p w14:paraId="7A6BA0AE" w14:textId="77777777" w:rsidR="004B65BA" w:rsidRPr="004B65BA" w:rsidRDefault="004B65BA" w:rsidP="004B65BA">
      <w:pPr>
        <w:spacing w:line="360" w:lineRule="auto"/>
        <w:rPr>
          <w:rFonts w:ascii="Arial" w:hAnsi="Arial" w:cs="Arial"/>
        </w:rPr>
      </w:pPr>
      <w:r w:rsidRPr="004B65BA">
        <w:rPr>
          <w:rFonts w:ascii="Arial" w:hAnsi="Arial" w:cs="Arial"/>
          <w:b/>
          <w:bCs/>
        </w:rPr>
        <w:t>Table A3. Efficiency Ratios</w:t>
      </w:r>
    </w:p>
    <w:tbl>
      <w:tblPr>
        <w:tblStyle w:val="TableGrid"/>
        <w:tblW w:w="0" w:type="auto"/>
        <w:tblLook w:val="04A0" w:firstRow="1" w:lastRow="0" w:firstColumn="1" w:lastColumn="0" w:noHBand="0" w:noVBand="1"/>
      </w:tblPr>
      <w:tblGrid>
        <w:gridCol w:w="3079"/>
        <w:gridCol w:w="2187"/>
        <w:gridCol w:w="750"/>
        <w:gridCol w:w="750"/>
        <w:gridCol w:w="750"/>
        <w:gridCol w:w="750"/>
        <w:gridCol w:w="750"/>
      </w:tblGrid>
      <w:tr w:rsidR="004B65BA" w:rsidRPr="004B65BA" w14:paraId="19BAB920" w14:textId="77777777" w:rsidTr="004B65BA">
        <w:tc>
          <w:tcPr>
            <w:tcW w:w="0" w:type="auto"/>
            <w:hideMark/>
          </w:tcPr>
          <w:p w14:paraId="0E002E65"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Ratio</w:t>
            </w:r>
          </w:p>
        </w:tc>
        <w:tc>
          <w:tcPr>
            <w:tcW w:w="0" w:type="auto"/>
            <w:hideMark/>
          </w:tcPr>
          <w:p w14:paraId="3800A3D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0B9A766E"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2020</w:t>
            </w:r>
          </w:p>
        </w:tc>
        <w:tc>
          <w:tcPr>
            <w:tcW w:w="0" w:type="auto"/>
            <w:hideMark/>
          </w:tcPr>
          <w:p w14:paraId="3FBE0F16"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2021</w:t>
            </w:r>
          </w:p>
        </w:tc>
        <w:tc>
          <w:tcPr>
            <w:tcW w:w="0" w:type="auto"/>
            <w:hideMark/>
          </w:tcPr>
          <w:p w14:paraId="79559083"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2022</w:t>
            </w:r>
          </w:p>
        </w:tc>
        <w:tc>
          <w:tcPr>
            <w:tcW w:w="0" w:type="auto"/>
            <w:hideMark/>
          </w:tcPr>
          <w:p w14:paraId="6295E367"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2023</w:t>
            </w:r>
          </w:p>
        </w:tc>
        <w:tc>
          <w:tcPr>
            <w:tcW w:w="0" w:type="auto"/>
            <w:hideMark/>
          </w:tcPr>
          <w:p w14:paraId="2B41E353"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2024</w:t>
            </w:r>
          </w:p>
        </w:tc>
      </w:tr>
      <w:tr w:rsidR="004B65BA" w:rsidRPr="004B65BA" w14:paraId="79CE9D48" w14:textId="77777777" w:rsidTr="004B65BA">
        <w:tc>
          <w:tcPr>
            <w:tcW w:w="0" w:type="auto"/>
            <w:hideMark/>
          </w:tcPr>
          <w:p w14:paraId="2B5CCF87" w14:textId="77777777" w:rsidR="004B65BA" w:rsidRPr="004B65BA" w:rsidRDefault="004B65BA" w:rsidP="004B65BA">
            <w:pPr>
              <w:spacing w:after="160" w:line="360" w:lineRule="auto"/>
              <w:rPr>
                <w:rFonts w:ascii="Arial" w:hAnsi="Arial" w:cs="Arial"/>
              </w:rPr>
            </w:pPr>
            <w:r w:rsidRPr="004B65BA">
              <w:rPr>
                <w:rFonts w:ascii="Arial" w:hAnsi="Arial" w:cs="Arial"/>
                <w:b/>
                <w:bCs/>
              </w:rPr>
              <w:t>Inventory Turnover (times)</w:t>
            </w:r>
          </w:p>
        </w:tc>
        <w:tc>
          <w:tcPr>
            <w:tcW w:w="0" w:type="auto"/>
            <w:hideMark/>
          </w:tcPr>
          <w:p w14:paraId="22922BC9" w14:textId="77777777" w:rsidR="004B65BA" w:rsidRPr="004B65BA" w:rsidRDefault="004B65BA" w:rsidP="004B65BA">
            <w:pPr>
              <w:spacing w:after="160" w:line="360" w:lineRule="auto"/>
              <w:rPr>
                <w:rFonts w:ascii="Arial" w:hAnsi="Arial" w:cs="Arial"/>
              </w:rPr>
            </w:pPr>
            <w:r w:rsidRPr="004B65BA">
              <w:rPr>
                <w:rFonts w:ascii="Arial" w:hAnsi="Arial" w:cs="Arial"/>
              </w:rPr>
              <w:t>COGS / Inventory</w:t>
            </w:r>
          </w:p>
        </w:tc>
        <w:tc>
          <w:tcPr>
            <w:tcW w:w="0" w:type="auto"/>
            <w:hideMark/>
          </w:tcPr>
          <w:p w14:paraId="5CA68B45" w14:textId="77777777" w:rsidR="004B65BA" w:rsidRPr="004B65BA" w:rsidRDefault="004B65BA" w:rsidP="004B65BA">
            <w:pPr>
              <w:spacing w:after="160" w:line="360" w:lineRule="auto"/>
              <w:rPr>
                <w:rFonts w:ascii="Arial" w:hAnsi="Arial" w:cs="Arial"/>
              </w:rPr>
            </w:pPr>
            <w:r w:rsidRPr="004B65BA">
              <w:rPr>
                <w:rFonts w:ascii="Arial" w:hAnsi="Arial" w:cs="Arial"/>
              </w:rPr>
              <w:t>3.64</w:t>
            </w:r>
          </w:p>
        </w:tc>
        <w:tc>
          <w:tcPr>
            <w:tcW w:w="0" w:type="auto"/>
            <w:hideMark/>
          </w:tcPr>
          <w:p w14:paraId="7C39BA51" w14:textId="77777777" w:rsidR="004B65BA" w:rsidRPr="004B65BA" w:rsidRDefault="004B65BA" w:rsidP="004B65BA">
            <w:pPr>
              <w:spacing w:after="160" w:line="360" w:lineRule="auto"/>
              <w:rPr>
                <w:rFonts w:ascii="Arial" w:hAnsi="Arial" w:cs="Arial"/>
              </w:rPr>
            </w:pPr>
            <w:r w:rsidRPr="004B65BA">
              <w:rPr>
                <w:rFonts w:ascii="Arial" w:hAnsi="Arial" w:cs="Arial"/>
              </w:rPr>
              <w:t>3.19</w:t>
            </w:r>
          </w:p>
        </w:tc>
        <w:tc>
          <w:tcPr>
            <w:tcW w:w="0" w:type="auto"/>
            <w:hideMark/>
          </w:tcPr>
          <w:p w14:paraId="4DADB6FA" w14:textId="77777777" w:rsidR="004B65BA" w:rsidRPr="004B65BA" w:rsidRDefault="004B65BA" w:rsidP="004B65BA">
            <w:pPr>
              <w:spacing w:after="160" w:line="360" w:lineRule="auto"/>
              <w:rPr>
                <w:rFonts w:ascii="Arial" w:hAnsi="Arial" w:cs="Arial"/>
              </w:rPr>
            </w:pPr>
            <w:r w:rsidRPr="004B65BA">
              <w:rPr>
                <w:rFonts w:ascii="Arial" w:hAnsi="Arial" w:cs="Arial"/>
              </w:rPr>
              <w:t>2.78</w:t>
            </w:r>
          </w:p>
        </w:tc>
        <w:tc>
          <w:tcPr>
            <w:tcW w:w="0" w:type="auto"/>
            <w:hideMark/>
          </w:tcPr>
          <w:p w14:paraId="1C5170E9" w14:textId="77777777" w:rsidR="004B65BA" w:rsidRPr="004B65BA" w:rsidRDefault="004B65BA" w:rsidP="004B65BA">
            <w:pPr>
              <w:spacing w:after="160" w:line="360" w:lineRule="auto"/>
              <w:rPr>
                <w:rFonts w:ascii="Arial" w:hAnsi="Arial" w:cs="Arial"/>
              </w:rPr>
            </w:pPr>
            <w:r w:rsidRPr="004B65BA">
              <w:rPr>
                <w:rFonts w:ascii="Arial" w:hAnsi="Arial" w:cs="Arial"/>
              </w:rPr>
              <w:t>3.65</w:t>
            </w:r>
          </w:p>
        </w:tc>
        <w:tc>
          <w:tcPr>
            <w:tcW w:w="0" w:type="auto"/>
            <w:hideMark/>
          </w:tcPr>
          <w:p w14:paraId="7B65572F" w14:textId="77777777" w:rsidR="004B65BA" w:rsidRPr="004B65BA" w:rsidRDefault="004B65BA" w:rsidP="004B65BA">
            <w:pPr>
              <w:spacing w:after="160" w:line="360" w:lineRule="auto"/>
              <w:rPr>
                <w:rFonts w:ascii="Arial" w:hAnsi="Arial" w:cs="Arial"/>
              </w:rPr>
            </w:pPr>
            <w:r w:rsidRPr="004B65BA">
              <w:rPr>
                <w:rFonts w:ascii="Arial" w:hAnsi="Arial" w:cs="Arial"/>
              </w:rPr>
              <w:t>3.54</w:t>
            </w:r>
          </w:p>
        </w:tc>
      </w:tr>
      <w:tr w:rsidR="004B65BA" w:rsidRPr="004B65BA" w14:paraId="2AE1449E" w14:textId="77777777" w:rsidTr="004B65BA">
        <w:tc>
          <w:tcPr>
            <w:tcW w:w="0" w:type="auto"/>
            <w:hideMark/>
          </w:tcPr>
          <w:p w14:paraId="0674D310" w14:textId="77777777" w:rsidR="004B65BA" w:rsidRPr="004B65BA" w:rsidRDefault="004B65BA" w:rsidP="004B65BA">
            <w:pPr>
              <w:spacing w:after="160" w:line="360" w:lineRule="auto"/>
              <w:rPr>
                <w:rFonts w:ascii="Arial" w:hAnsi="Arial" w:cs="Arial"/>
              </w:rPr>
            </w:pPr>
            <w:r w:rsidRPr="004B65BA">
              <w:rPr>
                <w:rFonts w:ascii="Arial" w:hAnsi="Arial" w:cs="Arial"/>
                <w:b/>
                <w:bCs/>
              </w:rPr>
              <w:lastRenderedPageBreak/>
              <w:t>Receivable Turnover (times)</w:t>
            </w:r>
          </w:p>
        </w:tc>
        <w:tc>
          <w:tcPr>
            <w:tcW w:w="0" w:type="auto"/>
            <w:hideMark/>
          </w:tcPr>
          <w:p w14:paraId="4AD1C2B0" w14:textId="77777777" w:rsidR="004B65BA" w:rsidRPr="004B65BA" w:rsidRDefault="004B65BA" w:rsidP="004B65BA">
            <w:pPr>
              <w:spacing w:after="160" w:line="360" w:lineRule="auto"/>
              <w:rPr>
                <w:rFonts w:ascii="Arial" w:hAnsi="Arial" w:cs="Arial"/>
              </w:rPr>
            </w:pPr>
            <w:r w:rsidRPr="004B65BA">
              <w:rPr>
                <w:rFonts w:ascii="Arial" w:hAnsi="Arial" w:cs="Arial"/>
              </w:rPr>
              <w:t>Sales / Receivables</w:t>
            </w:r>
          </w:p>
        </w:tc>
        <w:tc>
          <w:tcPr>
            <w:tcW w:w="0" w:type="auto"/>
            <w:hideMark/>
          </w:tcPr>
          <w:p w14:paraId="6C26A46A" w14:textId="77777777" w:rsidR="004B65BA" w:rsidRPr="004B65BA" w:rsidRDefault="004B65BA" w:rsidP="004B65BA">
            <w:pPr>
              <w:spacing w:after="160" w:line="360" w:lineRule="auto"/>
              <w:rPr>
                <w:rFonts w:ascii="Arial" w:hAnsi="Arial" w:cs="Arial"/>
              </w:rPr>
            </w:pPr>
            <w:r w:rsidRPr="004B65BA">
              <w:rPr>
                <w:rFonts w:ascii="Arial" w:hAnsi="Arial" w:cs="Arial"/>
              </w:rPr>
              <w:t>4.75</w:t>
            </w:r>
          </w:p>
        </w:tc>
        <w:tc>
          <w:tcPr>
            <w:tcW w:w="0" w:type="auto"/>
            <w:hideMark/>
          </w:tcPr>
          <w:p w14:paraId="217E657B" w14:textId="77777777" w:rsidR="004B65BA" w:rsidRPr="004B65BA" w:rsidRDefault="004B65BA" w:rsidP="004B65BA">
            <w:pPr>
              <w:spacing w:after="160" w:line="360" w:lineRule="auto"/>
              <w:rPr>
                <w:rFonts w:ascii="Arial" w:hAnsi="Arial" w:cs="Arial"/>
              </w:rPr>
            </w:pPr>
            <w:r w:rsidRPr="004B65BA">
              <w:rPr>
                <w:rFonts w:ascii="Arial" w:hAnsi="Arial" w:cs="Arial"/>
              </w:rPr>
              <w:t>4.66</w:t>
            </w:r>
          </w:p>
        </w:tc>
        <w:tc>
          <w:tcPr>
            <w:tcW w:w="0" w:type="auto"/>
            <w:hideMark/>
          </w:tcPr>
          <w:p w14:paraId="0907D39D" w14:textId="77777777" w:rsidR="004B65BA" w:rsidRPr="004B65BA" w:rsidRDefault="004B65BA" w:rsidP="004B65BA">
            <w:pPr>
              <w:spacing w:after="160" w:line="360" w:lineRule="auto"/>
              <w:rPr>
                <w:rFonts w:ascii="Arial" w:hAnsi="Arial" w:cs="Arial"/>
              </w:rPr>
            </w:pPr>
            <w:r w:rsidRPr="004B65BA">
              <w:rPr>
                <w:rFonts w:ascii="Arial" w:hAnsi="Arial" w:cs="Arial"/>
              </w:rPr>
              <w:t>4.83</w:t>
            </w:r>
          </w:p>
        </w:tc>
        <w:tc>
          <w:tcPr>
            <w:tcW w:w="0" w:type="auto"/>
            <w:hideMark/>
          </w:tcPr>
          <w:p w14:paraId="0C4DDCCB" w14:textId="77777777" w:rsidR="004B65BA" w:rsidRPr="004B65BA" w:rsidRDefault="004B65BA" w:rsidP="004B65BA">
            <w:pPr>
              <w:spacing w:after="160" w:line="360" w:lineRule="auto"/>
              <w:rPr>
                <w:rFonts w:ascii="Arial" w:hAnsi="Arial" w:cs="Arial"/>
              </w:rPr>
            </w:pPr>
            <w:r w:rsidRPr="004B65BA">
              <w:rPr>
                <w:rFonts w:ascii="Arial" w:hAnsi="Arial" w:cs="Arial"/>
              </w:rPr>
              <w:t>3.73</w:t>
            </w:r>
          </w:p>
        </w:tc>
        <w:tc>
          <w:tcPr>
            <w:tcW w:w="0" w:type="auto"/>
            <w:hideMark/>
          </w:tcPr>
          <w:p w14:paraId="221C1869" w14:textId="77777777" w:rsidR="004B65BA" w:rsidRPr="004B65BA" w:rsidRDefault="004B65BA" w:rsidP="004B65BA">
            <w:pPr>
              <w:spacing w:after="160" w:line="360" w:lineRule="auto"/>
              <w:rPr>
                <w:rFonts w:ascii="Arial" w:hAnsi="Arial" w:cs="Arial"/>
              </w:rPr>
            </w:pPr>
            <w:r w:rsidRPr="004B65BA">
              <w:rPr>
                <w:rFonts w:ascii="Arial" w:hAnsi="Arial" w:cs="Arial"/>
              </w:rPr>
              <w:t>3.45</w:t>
            </w:r>
          </w:p>
        </w:tc>
      </w:tr>
      <w:tr w:rsidR="004B65BA" w:rsidRPr="004B65BA" w14:paraId="3AC93B2E" w14:textId="77777777" w:rsidTr="004B65BA">
        <w:tc>
          <w:tcPr>
            <w:tcW w:w="0" w:type="auto"/>
            <w:hideMark/>
          </w:tcPr>
          <w:p w14:paraId="1F123E63" w14:textId="77777777" w:rsidR="004B65BA" w:rsidRPr="004B65BA" w:rsidRDefault="004B65BA" w:rsidP="004B65BA">
            <w:pPr>
              <w:spacing w:after="160" w:line="360" w:lineRule="auto"/>
              <w:rPr>
                <w:rFonts w:ascii="Arial" w:hAnsi="Arial" w:cs="Arial"/>
              </w:rPr>
            </w:pPr>
            <w:r w:rsidRPr="004B65BA">
              <w:rPr>
                <w:rFonts w:ascii="Arial" w:hAnsi="Arial" w:cs="Arial"/>
                <w:b/>
                <w:bCs/>
              </w:rPr>
              <w:t>Total Asset Turnover</w:t>
            </w:r>
          </w:p>
        </w:tc>
        <w:tc>
          <w:tcPr>
            <w:tcW w:w="0" w:type="auto"/>
            <w:hideMark/>
          </w:tcPr>
          <w:p w14:paraId="19F01F67" w14:textId="77777777" w:rsidR="004B65BA" w:rsidRPr="004B65BA" w:rsidRDefault="004B65BA" w:rsidP="004B65BA">
            <w:pPr>
              <w:spacing w:after="160" w:line="360" w:lineRule="auto"/>
              <w:rPr>
                <w:rFonts w:ascii="Arial" w:hAnsi="Arial" w:cs="Arial"/>
              </w:rPr>
            </w:pPr>
            <w:r w:rsidRPr="004B65BA">
              <w:rPr>
                <w:rFonts w:ascii="Arial" w:hAnsi="Arial" w:cs="Arial"/>
              </w:rPr>
              <w:t>Sales / Assets</w:t>
            </w:r>
          </w:p>
        </w:tc>
        <w:tc>
          <w:tcPr>
            <w:tcW w:w="0" w:type="auto"/>
            <w:hideMark/>
          </w:tcPr>
          <w:p w14:paraId="2BF1782E" w14:textId="77777777" w:rsidR="004B65BA" w:rsidRPr="004B65BA" w:rsidRDefault="004B65BA" w:rsidP="004B65BA">
            <w:pPr>
              <w:spacing w:after="160" w:line="360" w:lineRule="auto"/>
              <w:rPr>
                <w:rFonts w:ascii="Arial" w:hAnsi="Arial" w:cs="Arial"/>
              </w:rPr>
            </w:pPr>
            <w:r w:rsidRPr="004B65BA">
              <w:rPr>
                <w:rFonts w:ascii="Arial" w:hAnsi="Arial" w:cs="Arial"/>
              </w:rPr>
              <w:t>1.20</w:t>
            </w:r>
          </w:p>
        </w:tc>
        <w:tc>
          <w:tcPr>
            <w:tcW w:w="0" w:type="auto"/>
            <w:hideMark/>
          </w:tcPr>
          <w:p w14:paraId="699C344E" w14:textId="77777777" w:rsidR="004B65BA" w:rsidRPr="004B65BA" w:rsidRDefault="004B65BA" w:rsidP="004B65BA">
            <w:pPr>
              <w:spacing w:after="160" w:line="360" w:lineRule="auto"/>
              <w:rPr>
                <w:rFonts w:ascii="Arial" w:hAnsi="Arial" w:cs="Arial"/>
              </w:rPr>
            </w:pPr>
            <w:r w:rsidRPr="004B65BA">
              <w:rPr>
                <w:rFonts w:ascii="Arial" w:hAnsi="Arial" w:cs="Arial"/>
              </w:rPr>
              <w:t>1.18</w:t>
            </w:r>
          </w:p>
        </w:tc>
        <w:tc>
          <w:tcPr>
            <w:tcW w:w="0" w:type="auto"/>
            <w:hideMark/>
          </w:tcPr>
          <w:p w14:paraId="288F8C00" w14:textId="77777777" w:rsidR="004B65BA" w:rsidRPr="004B65BA" w:rsidRDefault="004B65BA" w:rsidP="004B65BA">
            <w:pPr>
              <w:spacing w:after="160" w:line="360" w:lineRule="auto"/>
              <w:rPr>
                <w:rFonts w:ascii="Arial" w:hAnsi="Arial" w:cs="Arial"/>
              </w:rPr>
            </w:pPr>
            <w:r w:rsidRPr="004B65BA">
              <w:rPr>
                <w:rFonts w:ascii="Arial" w:hAnsi="Arial" w:cs="Arial"/>
              </w:rPr>
              <w:t>1.08</w:t>
            </w:r>
          </w:p>
        </w:tc>
        <w:tc>
          <w:tcPr>
            <w:tcW w:w="0" w:type="auto"/>
            <w:hideMark/>
          </w:tcPr>
          <w:p w14:paraId="25FA928D" w14:textId="77777777" w:rsidR="004B65BA" w:rsidRPr="004B65BA" w:rsidRDefault="004B65BA" w:rsidP="004B65BA">
            <w:pPr>
              <w:spacing w:after="160" w:line="360" w:lineRule="auto"/>
              <w:rPr>
                <w:rFonts w:ascii="Arial" w:hAnsi="Arial" w:cs="Arial"/>
              </w:rPr>
            </w:pPr>
            <w:r w:rsidRPr="004B65BA">
              <w:rPr>
                <w:rFonts w:ascii="Arial" w:hAnsi="Arial" w:cs="Arial"/>
              </w:rPr>
              <w:t>1.18</w:t>
            </w:r>
          </w:p>
        </w:tc>
        <w:tc>
          <w:tcPr>
            <w:tcW w:w="0" w:type="auto"/>
            <w:hideMark/>
          </w:tcPr>
          <w:p w14:paraId="18D4E7B1" w14:textId="77777777" w:rsidR="004B65BA" w:rsidRPr="004B65BA" w:rsidRDefault="004B65BA" w:rsidP="004B65BA">
            <w:pPr>
              <w:spacing w:after="160" w:line="360" w:lineRule="auto"/>
              <w:rPr>
                <w:rFonts w:ascii="Arial" w:hAnsi="Arial" w:cs="Arial"/>
              </w:rPr>
            </w:pPr>
            <w:r w:rsidRPr="004B65BA">
              <w:rPr>
                <w:rFonts w:ascii="Arial" w:hAnsi="Arial" w:cs="Arial"/>
              </w:rPr>
              <w:t>1.22</w:t>
            </w:r>
          </w:p>
        </w:tc>
      </w:tr>
    </w:tbl>
    <w:p w14:paraId="1D4AB4F8" w14:textId="77777777" w:rsidR="000E7AF8" w:rsidRDefault="000E7AF8" w:rsidP="004B65BA">
      <w:pPr>
        <w:spacing w:line="360" w:lineRule="auto"/>
        <w:rPr>
          <w:rFonts w:ascii="Arial" w:hAnsi="Arial" w:cs="Arial"/>
          <w:b/>
          <w:bCs/>
        </w:rPr>
      </w:pPr>
    </w:p>
    <w:p w14:paraId="1DA0056E" w14:textId="5121EB3F" w:rsidR="004B65BA" w:rsidRPr="004B65BA" w:rsidRDefault="004B65BA" w:rsidP="004B65BA">
      <w:pPr>
        <w:spacing w:line="360" w:lineRule="auto"/>
        <w:rPr>
          <w:rFonts w:ascii="Arial" w:hAnsi="Arial" w:cs="Arial"/>
        </w:rPr>
      </w:pPr>
      <w:r w:rsidRPr="004B65BA">
        <w:rPr>
          <w:rFonts w:ascii="Arial" w:hAnsi="Arial" w:cs="Arial"/>
          <w:b/>
          <w:bCs/>
        </w:rPr>
        <w:t>Table A4. Gearing Ratios</w:t>
      </w:r>
    </w:p>
    <w:tbl>
      <w:tblPr>
        <w:tblStyle w:val="TableGrid"/>
        <w:tblW w:w="0" w:type="auto"/>
        <w:tblLook w:val="04A0" w:firstRow="1" w:lastRow="0" w:firstColumn="1" w:lastColumn="0" w:noHBand="0" w:noVBand="1"/>
      </w:tblPr>
      <w:tblGrid>
        <w:gridCol w:w="2244"/>
        <w:gridCol w:w="2747"/>
        <w:gridCol w:w="750"/>
        <w:gridCol w:w="750"/>
        <w:gridCol w:w="750"/>
        <w:gridCol w:w="764"/>
        <w:gridCol w:w="750"/>
      </w:tblGrid>
      <w:tr w:rsidR="004B65BA" w:rsidRPr="004B65BA" w14:paraId="4DCE11AA" w14:textId="77777777" w:rsidTr="004B65BA">
        <w:tc>
          <w:tcPr>
            <w:tcW w:w="0" w:type="auto"/>
            <w:hideMark/>
          </w:tcPr>
          <w:p w14:paraId="1EFD181E"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Ratio</w:t>
            </w:r>
          </w:p>
        </w:tc>
        <w:tc>
          <w:tcPr>
            <w:tcW w:w="0" w:type="auto"/>
            <w:hideMark/>
          </w:tcPr>
          <w:p w14:paraId="6E92F17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16474A4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2020</w:t>
            </w:r>
          </w:p>
        </w:tc>
        <w:tc>
          <w:tcPr>
            <w:tcW w:w="0" w:type="auto"/>
            <w:hideMark/>
          </w:tcPr>
          <w:p w14:paraId="47F8BDF0"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2021</w:t>
            </w:r>
          </w:p>
        </w:tc>
        <w:tc>
          <w:tcPr>
            <w:tcW w:w="0" w:type="auto"/>
            <w:hideMark/>
          </w:tcPr>
          <w:p w14:paraId="2C9B729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2022</w:t>
            </w:r>
          </w:p>
        </w:tc>
        <w:tc>
          <w:tcPr>
            <w:tcW w:w="0" w:type="auto"/>
            <w:hideMark/>
          </w:tcPr>
          <w:p w14:paraId="62889D0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2023</w:t>
            </w:r>
          </w:p>
        </w:tc>
        <w:tc>
          <w:tcPr>
            <w:tcW w:w="0" w:type="auto"/>
            <w:hideMark/>
          </w:tcPr>
          <w:p w14:paraId="2DFC943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2024</w:t>
            </w:r>
          </w:p>
        </w:tc>
      </w:tr>
      <w:tr w:rsidR="004B65BA" w:rsidRPr="004B65BA" w14:paraId="45F69BDC" w14:textId="77777777" w:rsidTr="004B65BA">
        <w:tc>
          <w:tcPr>
            <w:tcW w:w="0" w:type="auto"/>
            <w:hideMark/>
          </w:tcPr>
          <w:p w14:paraId="758875E1" w14:textId="77777777" w:rsidR="004B65BA" w:rsidRPr="004B65BA" w:rsidRDefault="004B65BA" w:rsidP="004B65BA">
            <w:pPr>
              <w:spacing w:after="160" w:line="360" w:lineRule="auto"/>
              <w:rPr>
                <w:rFonts w:ascii="Arial" w:hAnsi="Arial" w:cs="Arial"/>
              </w:rPr>
            </w:pPr>
            <w:r w:rsidRPr="004B65BA">
              <w:rPr>
                <w:rFonts w:ascii="Arial" w:hAnsi="Arial" w:cs="Arial"/>
                <w:b/>
                <w:bCs/>
              </w:rPr>
              <w:t>Debt-to-Equity</w:t>
            </w:r>
          </w:p>
        </w:tc>
        <w:tc>
          <w:tcPr>
            <w:tcW w:w="0" w:type="auto"/>
            <w:hideMark/>
          </w:tcPr>
          <w:p w14:paraId="0F1F31C0" w14:textId="77777777" w:rsidR="004B65BA" w:rsidRPr="004B65BA" w:rsidRDefault="004B65BA" w:rsidP="004B65BA">
            <w:pPr>
              <w:spacing w:after="160" w:line="360" w:lineRule="auto"/>
              <w:rPr>
                <w:rFonts w:ascii="Arial" w:hAnsi="Arial" w:cs="Arial"/>
              </w:rPr>
            </w:pPr>
            <w:r w:rsidRPr="004B65BA">
              <w:rPr>
                <w:rFonts w:ascii="Arial" w:hAnsi="Arial" w:cs="Arial"/>
              </w:rPr>
              <w:t>Total Liabilities / Equity</w:t>
            </w:r>
          </w:p>
        </w:tc>
        <w:tc>
          <w:tcPr>
            <w:tcW w:w="0" w:type="auto"/>
            <w:hideMark/>
          </w:tcPr>
          <w:p w14:paraId="3AC453B7" w14:textId="77777777" w:rsidR="004B65BA" w:rsidRPr="004B65BA" w:rsidRDefault="004B65BA" w:rsidP="004B65BA">
            <w:pPr>
              <w:spacing w:after="160" w:line="360" w:lineRule="auto"/>
              <w:rPr>
                <w:rFonts w:ascii="Arial" w:hAnsi="Arial" w:cs="Arial"/>
              </w:rPr>
            </w:pPr>
            <w:r w:rsidRPr="004B65BA">
              <w:rPr>
                <w:rFonts w:ascii="Arial" w:hAnsi="Arial" w:cs="Arial"/>
              </w:rPr>
              <w:t>0.63</w:t>
            </w:r>
          </w:p>
        </w:tc>
        <w:tc>
          <w:tcPr>
            <w:tcW w:w="0" w:type="auto"/>
            <w:hideMark/>
          </w:tcPr>
          <w:p w14:paraId="18CC5977" w14:textId="77777777" w:rsidR="004B65BA" w:rsidRPr="004B65BA" w:rsidRDefault="004B65BA" w:rsidP="004B65BA">
            <w:pPr>
              <w:spacing w:after="160" w:line="360" w:lineRule="auto"/>
              <w:rPr>
                <w:rFonts w:ascii="Arial" w:hAnsi="Arial" w:cs="Arial"/>
              </w:rPr>
            </w:pPr>
            <w:r w:rsidRPr="004B65BA">
              <w:rPr>
                <w:rFonts w:ascii="Arial" w:hAnsi="Arial" w:cs="Arial"/>
              </w:rPr>
              <w:t>0.63</w:t>
            </w:r>
          </w:p>
        </w:tc>
        <w:tc>
          <w:tcPr>
            <w:tcW w:w="0" w:type="auto"/>
            <w:hideMark/>
          </w:tcPr>
          <w:p w14:paraId="7290F6BB" w14:textId="77777777" w:rsidR="004B65BA" w:rsidRPr="004B65BA" w:rsidRDefault="004B65BA" w:rsidP="004B65BA">
            <w:pPr>
              <w:spacing w:after="160" w:line="360" w:lineRule="auto"/>
              <w:rPr>
                <w:rFonts w:ascii="Arial" w:hAnsi="Arial" w:cs="Arial"/>
              </w:rPr>
            </w:pPr>
            <w:r w:rsidRPr="004B65BA">
              <w:rPr>
                <w:rFonts w:ascii="Arial" w:hAnsi="Arial" w:cs="Arial"/>
              </w:rPr>
              <w:t>0.88</w:t>
            </w:r>
          </w:p>
        </w:tc>
        <w:tc>
          <w:tcPr>
            <w:tcW w:w="0" w:type="auto"/>
            <w:hideMark/>
          </w:tcPr>
          <w:p w14:paraId="3E564F3B" w14:textId="77777777" w:rsidR="004B65BA" w:rsidRPr="004B65BA" w:rsidRDefault="004B65BA" w:rsidP="004B65BA">
            <w:pPr>
              <w:spacing w:after="160" w:line="360" w:lineRule="auto"/>
              <w:rPr>
                <w:rFonts w:ascii="Arial" w:hAnsi="Arial" w:cs="Arial"/>
              </w:rPr>
            </w:pPr>
            <w:r w:rsidRPr="004B65BA">
              <w:rPr>
                <w:rFonts w:ascii="Arial" w:hAnsi="Arial" w:cs="Arial"/>
              </w:rPr>
              <w:t>0.99</w:t>
            </w:r>
          </w:p>
        </w:tc>
        <w:tc>
          <w:tcPr>
            <w:tcW w:w="0" w:type="auto"/>
            <w:hideMark/>
          </w:tcPr>
          <w:p w14:paraId="102A6879" w14:textId="77777777" w:rsidR="004B65BA" w:rsidRPr="004B65BA" w:rsidRDefault="004B65BA" w:rsidP="004B65BA">
            <w:pPr>
              <w:spacing w:after="160" w:line="360" w:lineRule="auto"/>
              <w:rPr>
                <w:rFonts w:ascii="Arial" w:hAnsi="Arial" w:cs="Arial"/>
              </w:rPr>
            </w:pPr>
            <w:r w:rsidRPr="004B65BA">
              <w:rPr>
                <w:rFonts w:ascii="Arial" w:hAnsi="Arial" w:cs="Arial"/>
              </w:rPr>
              <w:t>1.11</w:t>
            </w:r>
          </w:p>
        </w:tc>
      </w:tr>
      <w:tr w:rsidR="004B65BA" w:rsidRPr="004B65BA" w14:paraId="36954CCB" w14:textId="77777777" w:rsidTr="004B65BA">
        <w:tc>
          <w:tcPr>
            <w:tcW w:w="0" w:type="auto"/>
            <w:hideMark/>
          </w:tcPr>
          <w:p w14:paraId="20C61FB7" w14:textId="77777777" w:rsidR="004B65BA" w:rsidRPr="004B65BA" w:rsidRDefault="004B65BA" w:rsidP="004B65BA">
            <w:pPr>
              <w:spacing w:after="160" w:line="360" w:lineRule="auto"/>
              <w:rPr>
                <w:rFonts w:ascii="Arial" w:hAnsi="Arial" w:cs="Arial"/>
              </w:rPr>
            </w:pPr>
            <w:r w:rsidRPr="004B65BA">
              <w:rPr>
                <w:rFonts w:ascii="Arial" w:hAnsi="Arial" w:cs="Arial"/>
                <w:b/>
                <w:bCs/>
              </w:rPr>
              <w:t>Interest Coverage</w:t>
            </w:r>
          </w:p>
        </w:tc>
        <w:tc>
          <w:tcPr>
            <w:tcW w:w="0" w:type="auto"/>
            <w:hideMark/>
          </w:tcPr>
          <w:p w14:paraId="6BBB6C52" w14:textId="77777777" w:rsidR="004B65BA" w:rsidRPr="004B65BA" w:rsidRDefault="004B65BA" w:rsidP="004B65BA">
            <w:pPr>
              <w:spacing w:after="160" w:line="360" w:lineRule="auto"/>
              <w:rPr>
                <w:rFonts w:ascii="Arial" w:hAnsi="Arial" w:cs="Arial"/>
              </w:rPr>
            </w:pPr>
            <w:r w:rsidRPr="004B65BA">
              <w:rPr>
                <w:rFonts w:ascii="Arial" w:hAnsi="Arial" w:cs="Arial"/>
              </w:rPr>
              <w:t>EBIT / Interest Expense</w:t>
            </w:r>
          </w:p>
        </w:tc>
        <w:tc>
          <w:tcPr>
            <w:tcW w:w="0" w:type="auto"/>
            <w:hideMark/>
          </w:tcPr>
          <w:p w14:paraId="10377283" w14:textId="77777777" w:rsidR="004B65BA" w:rsidRPr="004B65BA" w:rsidRDefault="004B65BA" w:rsidP="004B65BA">
            <w:pPr>
              <w:spacing w:after="160" w:line="360" w:lineRule="auto"/>
              <w:rPr>
                <w:rFonts w:ascii="Arial" w:hAnsi="Arial" w:cs="Arial"/>
              </w:rPr>
            </w:pPr>
            <w:r w:rsidRPr="004B65BA">
              <w:rPr>
                <w:rFonts w:ascii="Arial" w:hAnsi="Arial" w:cs="Arial"/>
              </w:rPr>
              <w:t>8.5</w:t>
            </w:r>
          </w:p>
        </w:tc>
        <w:tc>
          <w:tcPr>
            <w:tcW w:w="0" w:type="auto"/>
            <w:hideMark/>
          </w:tcPr>
          <w:p w14:paraId="3A30D4A5" w14:textId="77777777" w:rsidR="004B65BA" w:rsidRPr="004B65BA" w:rsidRDefault="004B65BA" w:rsidP="004B65BA">
            <w:pPr>
              <w:spacing w:after="160" w:line="360" w:lineRule="auto"/>
              <w:rPr>
                <w:rFonts w:ascii="Arial" w:hAnsi="Arial" w:cs="Arial"/>
              </w:rPr>
            </w:pPr>
            <w:r w:rsidRPr="004B65BA">
              <w:rPr>
                <w:rFonts w:ascii="Arial" w:hAnsi="Arial" w:cs="Arial"/>
              </w:rPr>
              <w:t>4.1</w:t>
            </w:r>
          </w:p>
        </w:tc>
        <w:tc>
          <w:tcPr>
            <w:tcW w:w="0" w:type="auto"/>
            <w:hideMark/>
          </w:tcPr>
          <w:p w14:paraId="7E5A9B99" w14:textId="77777777" w:rsidR="004B65BA" w:rsidRPr="004B65BA" w:rsidRDefault="004B65BA" w:rsidP="004B65BA">
            <w:pPr>
              <w:spacing w:after="160" w:line="360" w:lineRule="auto"/>
              <w:rPr>
                <w:rFonts w:ascii="Arial" w:hAnsi="Arial" w:cs="Arial"/>
              </w:rPr>
            </w:pPr>
            <w:r w:rsidRPr="004B65BA">
              <w:rPr>
                <w:rFonts w:ascii="Arial" w:hAnsi="Arial" w:cs="Arial"/>
              </w:rPr>
              <w:t>6.6</w:t>
            </w:r>
          </w:p>
        </w:tc>
        <w:tc>
          <w:tcPr>
            <w:tcW w:w="0" w:type="auto"/>
            <w:hideMark/>
          </w:tcPr>
          <w:p w14:paraId="75103EBB" w14:textId="77777777" w:rsidR="004B65BA" w:rsidRPr="004B65BA" w:rsidRDefault="004B65BA" w:rsidP="004B65BA">
            <w:pPr>
              <w:spacing w:after="160" w:line="360" w:lineRule="auto"/>
              <w:rPr>
                <w:rFonts w:ascii="Arial" w:hAnsi="Arial" w:cs="Arial"/>
              </w:rPr>
            </w:pPr>
            <w:r w:rsidRPr="004B65BA">
              <w:rPr>
                <w:rFonts w:ascii="Arial" w:hAnsi="Arial" w:cs="Arial"/>
              </w:rPr>
              <w:t>-19.7</w:t>
            </w:r>
          </w:p>
        </w:tc>
        <w:tc>
          <w:tcPr>
            <w:tcW w:w="0" w:type="auto"/>
            <w:hideMark/>
          </w:tcPr>
          <w:p w14:paraId="0B437968" w14:textId="77777777" w:rsidR="004B65BA" w:rsidRPr="004B65BA" w:rsidRDefault="004B65BA" w:rsidP="004B65BA">
            <w:pPr>
              <w:spacing w:after="160" w:line="360" w:lineRule="auto"/>
              <w:rPr>
                <w:rFonts w:ascii="Arial" w:hAnsi="Arial" w:cs="Arial"/>
              </w:rPr>
            </w:pPr>
            <w:r w:rsidRPr="004B65BA">
              <w:rPr>
                <w:rFonts w:ascii="Arial" w:hAnsi="Arial" w:cs="Arial"/>
              </w:rPr>
              <w:t>-5.6</w:t>
            </w:r>
          </w:p>
        </w:tc>
      </w:tr>
      <w:tr w:rsidR="004B65BA" w:rsidRPr="004B65BA" w14:paraId="47C9A0A8" w14:textId="77777777" w:rsidTr="004B65BA">
        <w:tc>
          <w:tcPr>
            <w:tcW w:w="0" w:type="auto"/>
            <w:hideMark/>
          </w:tcPr>
          <w:p w14:paraId="18AFE290" w14:textId="77777777" w:rsidR="004B65BA" w:rsidRPr="004B65BA" w:rsidRDefault="004B65BA" w:rsidP="004B65BA">
            <w:pPr>
              <w:spacing w:after="160" w:line="360" w:lineRule="auto"/>
              <w:rPr>
                <w:rFonts w:ascii="Arial" w:hAnsi="Arial" w:cs="Arial"/>
              </w:rPr>
            </w:pPr>
            <w:r w:rsidRPr="004B65BA">
              <w:rPr>
                <w:rFonts w:ascii="Arial" w:hAnsi="Arial" w:cs="Arial"/>
                <w:b/>
                <w:bCs/>
              </w:rPr>
              <w:t>Equity Ratio</w:t>
            </w:r>
          </w:p>
        </w:tc>
        <w:tc>
          <w:tcPr>
            <w:tcW w:w="0" w:type="auto"/>
            <w:hideMark/>
          </w:tcPr>
          <w:p w14:paraId="2E93677C" w14:textId="77777777" w:rsidR="004B65BA" w:rsidRPr="004B65BA" w:rsidRDefault="004B65BA" w:rsidP="004B65BA">
            <w:pPr>
              <w:spacing w:after="160" w:line="360" w:lineRule="auto"/>
              <w:rPr>
                <w:rFonts w:ascii="Arial" w:hAnsi="Arial" w:cs="Arial"/>
              </w:rPr>
            </w:pPr>
            <w:r w:rsidRPr="004B65BA">
              <w:rPr>
                <w:rFonts w:ascii="Arial" w:hAnsi="Arial" w:cs="Arial"/>
              </w:rPr>
              <w:t>Equity / Total Assets</w:t>
            </w:r>
          </w:p>
        </w:tc>
        <w:tc>
          <w:tcPr>
            <w:tcW w:w="0" w:type="auto"/>
            <w:hideMark/>
          </w:tcPr>
          <w:p w14:paraId="67F5CA39" w14:textId="77777777" w:rsidR="004B65BA" w:rsidRPr="004B65BA" w:rsidRDefault="004B65BA" w:rsidP="004B65BA">
            <w:pPr>
              <w:spacing w:after="160" w:line="360" w:lineRule="auto"/>
              <w:rPr>
                <w:rFonts w:ascii="Arial" w:hAnsi="Arial" w:cs="Arial"/>
              </w:rPr>
            </w:pPr>
            <w:r w:rsidRPr="004B65BA">
              <w:rPr>
                <w:rFonts w:ascii="Arial" w:hAnsi="Arial" w:cs="Arial"/>
              </w:rPr>
              <w:t>0.61</w:t>
            </w:r>
          </w:p>
        </w:tc>
        <w:tc>
          <w:tcPr>
            <w:tcW w:w="0" w:type="auto"/>
            <w:hideMark/>
          </w:tcPr>
          <w:p w14:paraId="5B5BE62A" w14:textId="77777777" w:rsidR="004B65BA" w:rsidRPr="004B65BA" w:rsidRDefault="004B65BA" w:rsidP="004B65BA">
            <w:pPr>
              <w:spacing w:after="160" w:line="360" w:lineRule="auto"/>
              <w:rPr>
                <w:rFonts w:ascii="Arial" w:hAnsi="Arial" w:cs="Arial"/>
              </w:rPr>
            </w:pPr>
            <w:r w:rsidRPr="004B65BA">
              <w:rPr>
                <w:rFonts w:ascii="Arial" w:hAnsi="Arial" w:cs="Arial"/>
              </w:rPr>
              <w:t>0.54</w:t>
            </w:r>
          </w:p>
        </w:tc>
        <w:tc>
          <w:tcPr>
            <w:tcW w:w="0" w:type="auto"/>
            <w:hideMark/>
          </w:tcPr>
          <w:p w14:paraId="6F99C3F4" w14:textId="77777777" w:rsidR="004B65BA" w:rsidRPr="004B65BA" w:rsidRDefault="004B65BA" w:rsidP="004B65BA">
            <w:pPr>
              <w:spacing w:after="160" w:line="360" w:lineRule="auto"/>
              <w:rPr>
                <w:rFonts w:ascii="Arial" w:hAnsi="Arial" w:cs="Arial"/>
              </w:rPr>
            </w:pPr>
            <w:r w:rsidRPr="004B65BA">
              <w:rPr>
                <w:rFonts w:ascii="Arial" w:hAnsi="Arial" w:cs="Arial"/>
              </w:rPr>
              <w:t>0.53</w:t>
            </w:r>
          </w:p>
        </w:tc>
        <w:tc>
          <w:tcPr>
            <w:tcW w:w="0" w:type="auto"/>
            <w:hideMark/>
          </w:tcPr>
          <w:p w14:paraId="78FF5AA7" w14:textId="77777777" w:rsidR="004B65BA" w:rsidRPr="004B65BA" w:rsidRDefault="004B65BA" w:rsidP="004B65BA">
            <w:pPr>
              <w:spacing w:after="160" w:line="360" w:lineRule="auto"/>
              <w:rPr>
                <w:rFonts w:ascii="Arial" w:hAnsi="Arial" w:cs="Arial"/>
              </w:rPr>
            </w:pPr>
            <w:r w:rsidRPr="004B65BA">
              <w:rPr>
                <w:rFonts w:ascii="Arial" w:hAnsi="Arial" w:cs="Arial"/>
              </w:rPr>
              <w:t>0.50</w:t>
            </w:r>
          </w:p>
        </w:tc>
        <w:tc>
          <w:tcPr>
            <w:tcW w:w="0" w:type="auto"/>
            <w:hideMark/>
          </w:tcPr>
          <w:p w14:paraId="7745B1F9" w14:textId="77777777" w:rsidR="004B65BA" w:rsidRPr="004B65BA" w:rsidRDefault="004B65BA" w:rsidP="004B65BA">
            <w:pPr>
              <w:spacing w:after="160" w:line="360" w:lineRule="auto"/>
              <w:rPr>
                <w:rFonts w:ascii="Arial" w:hAnsi="Arial" w:cs="Arial"/>
              </w:rPr>
            </w:pPr>
            <w:r w:rsidRPr="004B65BA">
              <w:rPr>
                <w:rFonts w:ascii="Arial" w:hAnsi="Arial" w:cs="Arial"/>
              </w:rPr>
              <w:t>0.47</w:t>
            </w:r>
          </w:p>
        </w:tc>
      </w:tr>
    </w:tbl>
    <w:p w14:paraId="1D2528F9" w14:textId="65E19D0C" w:rsidR="004B65BA" w:rsidRPr="004B65BA" w:rsidRDefault="004B65BA" w:rsidP="004B65BA">
      <w:pPr>
        <w:spacing w:line="360" w:lineRule="auto"/>
        <w:rPr>
          <w:rFonts w:ascii="Arial" w:hAnsi="Arial" w:cs="Arial"/>
        </w:rPr>
      </w:pPr>
    </w:p>
    <w:p w14:paraId="35A18710" w14:textId="77777777" w:rsidR="004B65BA" w:rsidRPr="004B65BA" w:rsidRDefault="004B65BA" w:rsidP="004B65BA">
      <w:pPr>
        <w:spacing w:line="360" w:lineRule="auto"/>
        <w:rPr>
          <w:rFonts w:ascii="Arial" w:hAnsi="Arial" w:cs="Arial"/>
          <w:b/>
          <w:bCs/>
        </w:rPr>
      </w:pPr>
      <w:r w:rsidRPr="004B65BA">
        <w:rPr>
          <w:rFonts w:ascii="Arial" w:hAnsi="Arial" w:cs="Arial"/>
          <w:b/>
          <w:bCs/>
        </w:rPr>
        <w:t>Appendix B: Altman Z-Score Calculation (2024)</w:t>
      </w:r>
    </w:p>
    <w:tbl>
      <w:tblPr>
        <w:tblStyle w:val="TableGrid"/>
        <w:tblW w:w="0" w:type="auto"/>
        <w:tblLook w:val="04A0" w:firstRow="1" w:lastRow="0" w:firstColumn="1" w:lastColumn="0" w:noHBand="0" w:noVBand="1"/>
      </w:tblPr>
      <w:tblGrid>
        <w:gridCol w:w="3604"/>
        <w:gridCol w:w="3276"/>
        <w:gridCol w:w="844"/>
        <w:gridCol w:w="1292"/>
      </w:tblGrid>
      <w:tr w:rsidR="004B65BA" w:rsidRPr="004B65BA" w14:paraId="1029085A" w14:textId="77777777" w:rsidTr="004B65BA">
        <w:tc>
          <w:tcPr>
            <w:tcW w:w="0" w:type="auto"/>
            <w:hideMark/>
          </w:tcPr>
          <w:p w14:paraId="10C749E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Component</w:t>
            </w:r>
          </w:p>
        </w:tc>
        <w:tc>
          <w:tcPr>
            <w:tcW w:w="0" w:type="auto"/>
            <w:hideMark/>
          </w:tcPr>
          <w:p w14:paraId="486AFBA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Formula</w:t>
            </w:r>
          </w:p>
        </w:tc>
        <w:tc>
          <w:tcPr>
            <w:tcW w:w="0" w:type="auto"/>
            <w:hideMark/>
          </w:tcPr>
          <w:p w14:paraId="4B445217"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Value</w:t>
            </w:r>
          </w:p>
        </w:tc>
        <w:tc>
          <w:tcPr>
            <w:tcW w:w="0" w:type="auto"/>
            <w:hideMark/>
          </w:tcPr>
          <w:p w14:paraId="170E06D6"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Weighted</w:t>
            </w:r>
          </w:p>
        </w:tc>
      </w:tr>
      <w:tr w:rsidR="004B65BA" w:rsidRPr="004B65BA" w14:paraId="2E97F377" w14:textId="77777777" w:rsidTr="004B65BA">
        <w:tc>
          <w:tcPr>
            <w:tcW w:w="0" w:type="auto"/>
            <w:hideMark/>
          </w:tcPr>
          <w:p w14:paraId="1132188D"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₁</w:t>
            </w:r>
            <w:r w:rsidRPr="004B65BA">
              <w:rPr>
                <w:rFonts w:ascii="Arial" w:hAnsi="Arial" w:cs="Arial"/>
              </w:rPr>
              <w:t xml:space="preserve"> = WC/TA</w:t>
            </w:r>
          </w:p>
        </w:tc>
        <w:tc>
          <w:tcPr>
            <w:tcW w:w="0" w:type="auto"/>
            <w:hideMark/>
          </w:tcPr>
          <w:p w14:paraId="49E48102" w14:textId="77777777" w:rsidR="004B65BA" w:rsidRPr="004B65BA" w:rsidRDefault="004B65BA" w:rsidP="004B65BA">
            <w:pPr>
              <w:spacing w:after="160" w:line="360" w:lineRule="auto"/>
              <w:rPr>
                <w:rFonts w:ascii="Arial" w:hAnsi="Arial" w:cs="Arial"/>
              </w:rPr>
            </w:pPr>
            <w:r w:rsidRPr="004B65BA">
              <w:rPr>
                <w:rFonts w:ascii="Arial" w:hAnsi="Arial" w:cs="Arial"/>
              </w:rPr>
              <w:t>(CA – CL) / TA</w:t>
            </w:r>
          </w:p>
        </w:tc>
        <w:tc>
          <w:tcPr>
            <w:tcW w:w="0" w:type="auto"/>
            <w:hideMark/>
          </w:tcPr>
          <w:p w14:paraId="5E3614DF" w14:textId="77777777" w:rsidR="004B65BA" w:rsidRPr="004B65BA" w:rsidRDefault="004B65BA" w:rsidP="004B65BA">
            <w:pPr>
              <w:spacing w:after="160" w:line="360" w:lineRule="auto"/>
              <w:rPr>
                <w:rFonts w:ascii="Arial" w:hAnsi="Arial" w:cs="Arial"/>
              </w:rPr>
            </w:pPr>
            <w:r w:rsidRPr="004B65BA">
              <w:rPr>
                <w:rFonts w:ascii="Arial" w:hAnsi="Arial" w:cs="Arial"/>
              </w:rPr>
              <w:t>0.26</w:t>
            </w:r>
          </w:p>
        </w:tc>
        <w:tc>
          <w:tcPr>
            <w:tcW w:w="0" w:type="auto"/>
            <w:hideMark/>
          </w:tcPr>
          <w:p w14:paraId="5BCBA579" w14:textId="77777777" w:rsidR="004B65BA" w:rsidRPr="004B65BA" w:rsidRDefault="004B65BA" w:rsidP="004B65BA">
            <w:pPr>
              <w:spacing w:after="160" w:line="360" w:lineRule="auto"/>
              <w:rPr>
                <w:rFonts w:ascii="Arial" w:hAnsi="Arial" w:cs="Arial"/>
              </w:rPr>
            </w:pPr>
            <w:r w:rsidRPr="004B65BA">
              <w:rPr>
                <w:rFonts w:ascii="Arial" w:hAnsi="Arial" w:cs="Arial"/>
              </w:rPr>
              <w:t>0.31</w:t>
            </w:r>
          </w:p>
        </w:tc>
      </w:tr>
      <w:tr w:rsidR="004B65BA" w:rsidRPr="004B65BA" w14:paraId="7C1D4089" w14:textId="77777777" w:rsidTr="004B65BA">
        <w:tc>
          <w:tcPr>
            <w:tcW w:w="0" w:type="auto"/>
            <w:hideMark/>
          </w:tcPr>
          <w:p w14:paraId="1663F446"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₂</w:t>
            </w:r>
            <w:r w:rsidRPr="004B65BA">
              <w:rPr>
                <w:rFonts w:ascii="Arial" w:hAnsi="Arial" w:cs="Arial"/>
              </w:rPr>
              <w:t xml:space="preserve"> = RE/TA</w:t>
            </w:r>
          </w:p>
        </w:tc>
        <w:tc>
          <w:tcPr>
            <w:tcW w:w="0" w:type="auto"/>
            <w:hideMark/>
          </w:tcPr>
          <w:p w14:paraId="139EE551" w14:textId="77777777" w:rsidR="004B65BA" w:rsidRPr="004B65BA" w:rsidRDefault="004B65BA" w:rsidP="004B65BA">
            <w:pPr>
              <w:spacing w:after="160" w:line="360" w:lineRule="auto"/>
              <w:rPr>
                <w:rFonts w:ascii="Arial" w:hAnsi="Arial" w:cs="Arial"/>
              </w:rPr>
            </w:pPr>
            <w:r w:rsidRPr="004B65BA">
              <w:rPr>
                <w:rFonts w:ascii="Arial" w:hAnsi="Arial" w:cs="Arial"/>
              </w:rPr>
              <w:t>Retained Earnings / TA</w:t>
            </w:r>
          </w:p>
        </w:tc>
        <w:tc>
          <w:tcPr>
            <w:tcW w:w="0" w:type="auto"/>
            <w:hideMark/>
          </w:tcPr>
          <w:p w14:paraId="51D01DA1" w14:textId="77777777" w:rsidR="004B65BA" w:rsidRPr="004B65BA" w:rsidRDefault="004B65BA" w:rsidP="004B65BA">
            <w:pPr>
              <w:spacing w:after="160" w:line="360" w:lineRule="auto"/>
              <w:rPr>
                <w:rFonts w:ascii="Arial" w:hAnsi="Arial" w:cs="Arial"/>
              </w:rPr>
            </w:pPr>
            <w:r w:rsidRPr="004B65BA">
              <w:rPr>
                <w:rFonts w:ascii="Arial" w:hAnsi="Arial" w:cs="Arial"/>
              </w:rPr>
              <w:t>0.64</w:t>
            </w:r>
          </w:p>
        </w:tc>
        <w:tc>
          <w:tcPr>
            <w:tcW w:w="0" w:type="auto"/>
            <w:hideMark/>
          </w:tcPr>
          <w:p w14:paraId="380D9516" w14:textId="77777777" w:rsidR="004B65BA" w:rsidRPr="004B65BA" w:rsidRDefault="004B65BA" w:rsidP="004B65BA">
            <w:pPr>
              <w:spacing w:after="160" w:line="360" w:lineRule="auto"/>
              <w:rPr>
                <w:rFonts w:ascii="Arial" w:hAnsi="Arial" w:cs="Arial"/>
              </w:rPr>
            </w:pPr>
            <w:r w:rsidRPr="004B65BA">
              <w:rPr>
                <w:rFonts w:ascii="Arial" w:hAnsi="Arial" w:cs="Arial"/>
              </w:rPr>
              <w:t>0.90</w:t>
            </w:r>
          </w:p>
        </w:tc>
      </w:tr>
      <w:tr w:rsidR="004B65BA" w:rsidRPr="004B65BA" w14:paraId="434BA076" w14:textId="77777777" w:rsidTr="004B65BA">
        <w:tc>
          <w:tcPr>
            <w:tcW w:w="0" w:type="auto"/>
            <w:hideMark/>
          </w:tcPr>
          <w:p w14:paraId="0941B5EB"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₃</w:t>
            </w:r>
            <w:r w:rsidRPr="004B65BA">
              <w:rPr>
                <w:rFonts w:ascii="Arial" w:hAnsi="Arial" w:cs="Arial"/>
              </w:rPr>
              <w:t xml:space="preserve"> = EBIT/TA</w:t>
            </w:r>
          </w:p>
        </w:tc>
        <w:tc>
          <w:tcPr>
            <w:tcW w:w="0" w:type="auto"/>
            <w:hideMark/>
          </w:tcPr>
          <w:p w14:paraId="38ECAC72" w14:textId="77777777" w:rsidR="004B65BA" w:rsidRPr="004B65BA" w:rsidRDefault="004B65BA" w:rsidP="004B65BA">
            <w:pPr>
              <w:spacing w:after="160" w:line="360" w:lineRule="auto"/>
              <w:rPr>
                <w:rFonts w:ascii="Arial" w:hAnsi="Arial" w:cs="Arial"/>
              </w:rPr>
            </w:pPr>
            <w:r w:rsidRPr="004B65BA">
              <w:rPr>
                <w:rFonts w:ascii="Arial" w:hAnsi="Arial" w:cs="Arial"/>
              </w:rPr>
              <w:t>EBIT / TA</w:t>
            </w:r>
          </w:p>
        </w:tc>
        <w:tc>
          <w:tcPr>
            <w:tcW w:w="0" w:type="auto"/>
            <w:hideMark/>
          </w:tcPr>
          <w:p w14:paraId="6AA07478" w14:textId="77777777" w:rsidR="004B65BA" w:rsidRPr="004B65BA" w:rsidRDefault="004B65BA" w:rsidP="004B65BA">
            <w:pPr>
              <w:spacing w:after="160" w:line="360" w:lineRule="auto"/>
              <w:rPr>
                <w:rFonts w:ascii="Arial" w:hAnsi="Arial" w:cs="Arial"/>
              </w:rPr>
            </w:pPr>
            <w:r w:rsidRPr="004B65BA">
              <w:rPr>
                <w:rFonts w:ascii="Arial" w:hAnsi="Arial" w:cs="Arial"/>
              </w:rPr>
              <w:t>-0.05</w:t>
            </w:r>
          </w:p>
        </w:tc>
        <w:tc>
          <w:tcPr>
            <w:tcW w:w="0" w:type="auto"/>
            <w:hideMark/>
          </w:tcPr>
          <w:p w14:paraId="28A0FE61" w14:textId="77777777" w:rsidR="004B65BA" w:rsidRPr="004B65BA" w:rsidRDefault="004B65BA" w:rsidP="004B65BA">
            <w:pPr>
              <w:spacing w:after="160" w:line="360" w:lineRule="auto"/>
              <w:rPr>
                <w:rFonts w:ascii="Arial" w:hAnsi="Arial" w:cs="Arial"/>
              </w:rPr>
            </w:pPr>
            <w:r w:rsidRPr="004B65BA">
              <w:rPr>
                <w:rFonts w:ascii="Arial" w:hAnsi="Arial" w:cs="Arial"/>
              </w:rPr>
              <w:t>-0.17</w:t>
            </w:r>
          </w:p>
        </w:tc>
      </w:tr>
      <w:tr w:rsidR="004B65BA" w:rsidRPr="004B65BA" w14:paraId="343A1E48" w14:textId="77777777" w:rsidTr="004B65BA">
        <w:tc>
          <w:tcPr>
            <w:tcW w:w="0" w:type="auto"/>
            <w:hideMark/>
          </w:tcPr>
          <w:p w14:paraId="4757A4CF"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₄</w:t>
            </w:r>
            <w:r w:rsidRPr="004B65BA">
              <w:rPr>
                <w:rFonts w:ascii="Arial" w:hAnsi="Arial" w:cs="Arial"/>
              </w:rPr>
              <w:t xml:space="preserve"> = MVE/TL</w:t>
            </w:r>
          </w:p>
        </w:tc>
        <w:tc>
          <w:tcPr>
            <w:tcW w:w="0" w:type="auto"/>
            <w:hideMark/>
          </w:tcPr>
          <w:p w14:paraId="085A8028" w14:textId="77777777" w:rsidR="004B65BA" w:rsidRPr="004B65BA" w:rsidRDefault="004B65BA" w:rsidP="004B65BA">
            <w:pPr>
              <w:spacing w:after="160" w:line="360" w:lineRule="auto"/>
              <w:rPr>
                <w:rFonts w:ascii="Arial" w:hAnsi="Arial" w:cs="Arial"/>
              </w:rPr>
            </w:pPr>
            <w:r w:rsidRPr="004B65BA">
              <w:rPr>
                <w:rFonts w:ascii="Arial" w:hAnsi="Arial" w:cs="Arial"/>
              </w:rPr>
              <w:t>Market Value of Equity / Total Liabilities</w:t>
            </w:r>
          </w:p>
        </w:tc>
        <w:tc>
          <w:tcPr>
            <w:tcW w:w="0" w:type="auto"/>
            <w:hideMark/>
          </w:tcPr>
          <w:p w14:paraId="12F321AD" w14:textId="77777777" w:rsidR="004B65BA" w:rsidRPr="004B65BA" w:rsidRDefault="004B65BA" w:rsidP="004B65BA">
            <w:pPr>
              <w:spacing w:after="160" w:line="360" w:lineRule="auto"/>
              <w:rPr>
                <w:rFonts w:ascii="Arial" w:hAnsi="Arial" w:cs="Arial"/>
              </w:rPr>
            </w:pPr>
            <w:r w:rsidRPr="004B65BA">
              <w:rPr>
                <w:rFonts w:ascii="Arial" w:hAnsi="Arial" w:cs="Arial"/>
              </w:rPr>
              <w:t>0.90</w:t>
            </w:r>
          </w:p>
        </w:tc>
        <w:tc>
          <w:tcPr>
            <w:tcW w:w="0" w:type="auto"/>
            <w:hideMark/>
          </w:tcPr>
          <w:p w14:paraId="145FA498" w14:textId="77777777" w:rsidR="004B65BA" w:rsidRPr="004B65BA" w:rsidRDefault="004B65BA" w:rsidP="004B65BA">
            <w:pPr>
              <w:spacing w:after="160" w:line="360" w:lineRule="auto"/>
              <w:rPr>
                <w:rFonts w:ascii="Arial" w:hAnsi="Arial" w:cs="Arial"/>
              </w:rPr>
            </w:pPr>
            <w:r w:rsidRPr="004B65BA">
              <w:rPr>
                <w:rFonts w:ascii="Arial" w:hAnsi="Arial" w:cs="Arial"/>
              </w:rPr>
              <w:t>0.54</w:t>
            </w:r>
          </w:p>
        </w:tc>
      </w:tr>
      <w:tr w:rsidR="004B65BA" w:rsidRPr="004B65BA" w14:paraId="5BF8A455" w14:textId="77777777" w:rsidTr="004B65BA">
        <w:tc>
          <w:tcPr>
            <w:tcW w:w="0" w:type="auto"/>
            <w:hideMark/>
          </w:tcPr>
          <w:p w14:paraId="34A87970" w14:textId="77777777" w:rsidR="004B65BA" w:rsidRPr="004B65BA" w:rsidRDefault="004B65BA" w:rsidP="004B65BA">
            <w:pPr>
              <w:spacing w:after="160" w:line="360" w:lineRule="auto"/>
              <w:rPr>
                <w:rFonts w:ascii="Arial" w:hAnsi="Arial" w:cs="Arial"/>
              </w:rPr>
            </w:pPr>
            <w:r w:rsidRPr="004B65BA">
              <w:rPr>
                <w:rFonts w:ascii="Arial" w:hAnsi="Arial" w:cs="Arial"/>
              </w:rPr>
              <w:t>X</w:t>
            </w:r>
            <w:r w:rsidRPr="004B65BA">
              <w:rPr>
                <w:rFonts w:ascii="Cambria Math" w:hAnsi="Cambria Math" w:cs="Cambria Math"/>
              </w:rPr>
              <w:t>₅</w:t>
            </w:r>
            <w:r w:rsidRPr="004B65BA">
              <w:rPr>
                <w:rFonts w:ascii="Arial" w:hAnsi="Arial" w:cs="Arial"/>
              </w:rPr>
              <w:t xml:space="preserve"> = Sales/TA</w:t>
            </w:r>
          </w:p>
        </w:tc>
        <w:tc>
          <w:tcPr>
            <w:tcW w:w="0" w:type="auto"/>
            <w:hideMark/>
          </w:tcPr>
          <w:p w14:paraId="3E4789E4" w14:textId="77777777" w:rsidR="004B65BA" w:rsidRPr="004B65BA" w:rsidRDefault="004B65BA" w:rsidP="004B65BA">
            <w:pPr>
              <w:spacing w:after="160" w:line="360" w:lineRule="auto"/>
              <w:rPr>
                <w:rFonts w:ascii="Arial" w:hAnsi="Arial" w:cs="Arial"/>
              </w:rPr>
            </w:pPr>
            <w:r w:rsidRPr="004B65BA">
              <w:rPr>
                <w:rFonts w:ascii="Arial" w:hAnsi="Arial" w:cs="Arial"/>
              </w:rPr>
              <w:t>Sales / TA</w:t>
            </w:r>
          </w:p>
        </w:tc>
        <w:tc>
          <w:tcPr>
            <w:tcW w:w="0" w:type="auto"/>
            <w:hideMark/>
          </w:tcPr>
          <w:p w14:paraId="5981BF40" w14:textId="77777777" w:rsidR="004B65BA" w:rsidRPr="004B65BA" w:rsidRDefault="004B65BA" w:rsidP="004B65BA">
            <w:pPr>
              <w:spacing w:after="160" w:line="360" w:lineRule="auto"/>
              <w:rPr>
                <w:rFonts w:ascii="Arial" w:hAnsi="Arial" w:cs="Arial"/>
              </w:rPr>
            </w:pPr>
            <w:r w:rsidRPr="004B65BA">
              <w:rPr>
                <w:rFonts w:ascii="Arial" w:hAnsi="Arial" w:cs="Arial"/>
              </w:rPr>
              <w:t>1.22</w:t>
            </w:r>
          </w:p>
        </w:tc>
        <w:tc>
          <w:tcPr>
            <w:tcW w:w="0" w:type="auto"/>
            <w:hideMark/>
          </w:tcPr>
          <w:p w14:paraId="6192E8C4" w14:textId="77777777" w:rsidR="004B65BA" w:rsidRPr="004B65BA" w:rsidRDefault="004B65BA" w:rsidP="004B65BA">
            <w:pPr>
              <w:spacing w:after="160" w:line="360" w:lineRule="auto"/>
              <w:rPr>
                <w:rFonts w:ascii="Arial" w:hAnsi="Arial" w:cs="Arial"/>
              </w:rPr>
            </w:pPr>
            <w:r w:rsidRPr="004B65BA">
              <w:rPr>
                <w:rFonts w:ascii="Arial" w:hAnsi="Arial" w:cs="Arial"/>
              </w:rPr>
              <w:t>1.22</w:t>
            </w:r>
          </w:p>
        </w:tc>
      </w:tr>
      <w:tr w:rsidR="004B65BA" w:rsidRPr="004B65BA" w14:paraId="35CE991F" w14:textId="77777777" w:rsidTr="004B65BA">
        <w:tc>
          <w:tcPr>
            <w:tcW w:w="0" w:type="auto"/>
            <w:hideMark/>
          </w:tcPr>
          <w:p w14:paraId="6CC537C1" w14:textId="77777777" w:rsidR="004B65BA" w:rsidRPr="004B65BA" w:rsidRDefault="004B65BA" w:rsidP="004B65BA">
            <w:pPr>
              <w:spacing w:after="160" w:line="360" w:lineRule="auto"/>
              <w:rPr>
                <w:rFonts w:ascii="Arial" w:hAnsi="Arial" w:cs="Arial"/>
              </w:rPr>
            </w:pPr>
            <w:r w:rsidRPr="004B65BA">
              <w:rPr>
                <w:rFonts w:ascii="Arial" w:hAnsi="Arial" w:cs="Arial"/>
                <w:b/>
                <w:bCs/>
              </w:rPr>
              <w:t>Z = 1.2X</w:t>
            </w:r>
            <w:r w:rsidRPr="004B65BA">
              <w:rPr>
                <w:rFonts w:ascii="Cambria Math" w:hAnsi="Cambria Math" w:cs="Cambria Math"/>
                <w:b/>
                <w:bCs/>
              </w:rPr>
              <w:t>₁</w:t>
            </w:r>
            <w:r w:rsidRPr="004B65BA">
              <w:rPr>
                <w:rFonts w:ascii="Arial" w:hAnsi="Arial" w:cs="Arial"/>
                <w:b/>
                <w:bCs/>
              </w:rPr>
              <w:t xml:space="preserve"> + 1.4X</w:t>
            </w:r>
            <w:r w:rsidRPr="004B65BA">
              <w:rPr>
                <w:rFonts w:ascii="Cambria Math" w:hAnsi="Cambria Math" w:cs="Cambria Math"/>
                <w:b/>
                <w:bCs/>
              </w:rPr>
              <w:t>₂</w:t>
            </w:r>
            <w:r w:rsidRPr="004B65BA">
              <w:rPr>
                <w:rFonts w:ascii="Arial" w:hAnsi="Arial" w:cs="Arial"/>
                <w:b/>
                <w:bCs/>
              </w:rPr>
              <w:t xml:space="preserve"> + 3.3X</w:t>
            </w:r>
            <w:r w:rsidRPr="004B65BA">
              <w:rPr>
                <w:rFonts w:ascii="Cambria Math" w:hAnsi="Cambria Math" w:cs="Cambria Math"/>
                <w:b/>
                <w:bCs/>
              </w:rPr>
              <w:t>₃</w:t>
            </w:r>
            <w:r w:rsidRPr="004B65BA">
              <w:rPr>
                <w:rFonts w:ascii="Arial" w:hAnsi="Arial" w:cs="Arial"/>
                <w:b/>
                <w:bCs/>
              </w:rPr>
              <w:t xml:space="preserve"> + 0.6X</w:t>
            </w:r>
            <w:r w:rsidRPr="004B65BA">
              <w:rPr>
                <w:rFonts w:ascii="Cambria Math" w:hAnsi="Cambria Math" w:cs="Cambria Math"/>
                <w:b/>
                <w:bCs/>
              </w:rPr>
              <w:t>₄</w:t>
            </w:r>
            <w:r w:rsidRPr="004B65BA">
              <w:rPr>
                <w:rFonts w:ascii="Arial" w:hAnsi="Arial" w:cs="Arial"/>
                <w:b/>
                <w:bCs/>
              </w:rPr>
              <w:t xml:space="preserve"> + 1.0X</w:t>
            </w:r>
            <w:r w:rsidRPr="004B65BA">
              <w:rPr>
                <w:rFonts w:ascii="Cambria Math" w:hAnsi="Cambria Math" w:cs="Cambria Math"/>
                <w:b/>
                <w:bCs/>
              </w:rPr>
              <w:t>₅</w:t>
            </w:r>
          </w:p>
        </w:tc>
        <w:tc>
          <w:tcPr>
            <w:tcW w:w="0" w:type="auto"/>
            <w:hideMark/>
          </w:tcPr>
          <w:p w14:paraId="64F8D003" w14:textId="77777777" w:rsidR="004B65BA" w:rsidRPr="004B65BA" w:rsidRDefault="004B65BA" w:rsidP="004B65BA">
            <w:pPr>
              <w:spacing w:after="160" w:line="360" w:lineRule="auto"/>
              <w:rPr>
                <w:rFonts w:ascii="Arial" w:hAnsi="Arial" w:cs="Arial"/>
              </w:rPr>
            </w:pPr>
          </w:p>
        </w:tc>
        <w:tc>
          <w:tcPr>
            <w:tcW w:w="0" w:type="auto"/>
            <w:hideMark/>
          </w:tcPr>
          <w:p w14:paraId="3850E852" w14:textId="77777777" w:rsidR="004B65BA" w:rsidRPr="004B65BA" w:rsidRDefault="004B65BA" w:rsidP="004B65BA">
            <w:pPr>
              <w:spacing w:after="160" w:line="360" w:lineRule="auto"/>
              <w:rPr>
                <w:rFonts w:ascii="Arial" w:hAnsi="Arial" w:cs="Arial"/>
              </w:rPr>
            </w:pPr>
          </w:p>
        </w:tc>
        <w:tc>
          <w:tcPr>
            <w:tcW w:w="0" w:type="auto"/>
            <w:hideMark/>
          </w:tcPr>
          <w:p w14:paraId="12ED547A" w14:textId="77777777" w:rsidR="004B65BA" w:rsidRPr="004B65BA" w:rsidRDefault="004B65BA" w:rsidP="004B65BA">
            <w:pPr>
              <w:spacing w:after="160" w:line="360" w:lineRule="auto"/>
              <w:rPr>
                <w:rFonts w:ascii="Arial" w:hAnsi="Arial" w:cs="Arial"/>
              </w:rPr>
            </w:pPr>
            <w:r w:rsidRPr="004B65BA">
              <w:rPr>
                <w:rFonts w:ascii="Arial" w:hAnsi="Arial" w:cs="Arial"/>
                <w:b/>
                <w:bCs/>
              </w:rPr>
              <w:t>1.21</w:t>
            </w:r>
          </w:p>
        </w:tc>
      </w:tr>
    </w:tbl>
    <w:p w14:paraId="51D51B11" w14:textId="77777777" w:rsidR="004B65BA" w:rsidRPr="004B65BA" w:rsidRDefault="004B65BA" w:rsidP="004B65BA">
      <w:pPr>
        <w:spacing w:line="360" w:lineRule="auto"/>
        <w:rPr>
          <w:rFonts w:ascii="Arial" w:hAnsi="Arial" w:cs="Arial"/>
        </w:rPr>
      </w:pPr>
      <w:r w:rsidRPr="004B65BA">
        <w:rPr>
          <w:rFonts w:ascii="Arial" w:hAnsi="Arial" w:cs="Arial"/>
          <w:i/>
          <w:iCs/>
        </w:rPr>
        <w:t xml:space="preserve">Interpretation: Z &lt; 1.81 </w:t>
      </w:r>
      <w:r w:rsidRPr="004B65BA">
        <w:rPr>
          <w:rFonts w:ascii="Cambria Math" w:hAnsi="Cambria Math" w:cs="Cambria Math"/>
          <w:i/>
          <w:iCs/>
        </w:rPr>
        <w:t>⇒</w:t>
      </w:r>
      <w:r w:rsidRPr="004B65BA">
        <w:rPr>
          <w:rFonts w:ascii="Arial" w:hAnsi="Arial" w:cs="Arial"/>
          <w:i/>
          <w:iCs/>
        </w:rPr>
        <w:t xml:space="preserve"> Financial distress risk.</w:t>
      </w:r>
    </w:p>
    <w:p w14:paraId="55CA2D83" w14:textId="77777777" w:rsidR="000E7AF8" w:rsidRDefault="000E7AF8" w:rsidP="004B65BA">
      <w:pPr>
        <w:spacing w:line="360" w:lineRule="auto"/>
        <w:rPr>
          <w:rFonts w:ascii="Arial" w:hAnsi="Arial" w:cs="Arial"/>
        </w:rPr>
      </w:pPr>
    </w:p>
    <w:p w14:paraId="7B10E6E5" w14:textId="77777777" w:rsidR="000E7AF8" w:rsidRDefault="000E7AF8" w:rsidP="004B65BA">
      <w:pPr>
        <w:spacing w:line="360" w:lineRule="auto"/>
        <w:rPr>
          <w:rFonts w:ascii="Arial" w:hAnsi="Arial" w:cs="Arial"/>
        </w:rPr>
      </w:pPr>
    </w:p>
    <w:p w14:paraId="35CF5294" w14:textId="77777777" w:rsidR="000E7AF8" w:rsidRDefault="000E7AF8" w:rsidP="004B65BA">
      <w:pPr>
        <w:spacing w:line="360" w:lineRule="auto"/>
        <w:rPr>
          <w:rFonts w:ascii="Arial" w:hAnsi="Arial" w:cs="Arial"/>
        </w:rPr>
      </w:pPr>
    </w:p>
    <w:p w14:paraId="274D1814" w14:textId="77777777" w:rsidR="000E7AF8" w:rsidRDefault="000E7AF8" w:rsidP="004B65BA">
      <w:pPr>
        <w:spacing w:line="360" w:lineRule="auto"/>
        <w:rPr>
          <w:rFonts w:ascii="Arial" w:hAnsi="Arial" w:cs="Arial"/>
        </w:rPr>
      </w:pPr>
    </w:p>
    <w:p w14:paraId="76F2FF1E" w14:textId="6D9FD220" w:rsidR="004B65BA" w:rsidRPr="004B65BA" w:rsidRDefault="004B65BA" w:rsidP="004B65BA">
      <w:pPr>
        <w:spacing w:line="360" w:lineRule="auto"/>
        <w:rPr>
          <w:rFonts w:ascii="Arial" w:hAnsi="Arial" w:cs="Arial"/>
          <w:b/>
          <w:bCs/>
        </w:rPr>
      </w:pPr>
      <w:r w:rsidRPr="004B65BA">
        <w:rPr>
          <w:rFonts w:ascii="Arial" w:hAnsi="Arial" w:cs="Arial"/>
          <w:b/>
          <w:bCs/>
        </w:rPr>
        <w:lastRenderedPageBreak/>
        <w:t>Appendix C: Working Capital Cycle</w:t>
      </w:r>
    </w:p>
    <w:p w14:paraId="6332131D" w14:textId="77777777" w:rsidR="004B65BA" w:rsidRPr="004B65BA" w:rsidRDefault="004B65BA" w:rsidP="004B65BA">
      <w:pPr>
        <w:spacing w:line="360" w:lineRule="auto"/>
        <w:rPr>
          <w:rFonts w:ascii="Arial" w:hAnsi="Arial" w:cs="Arial"/>
        </w:rPr>
      </w:pPr>
      <w:r w:rsidRPr="004B65BA">
        <w:rPr>
          <w:rFonts w:ascii="Arial" w:hAnsi="Arial" w:cs="Arial"/>
          <w:b/>
          <w:bCs/>
        </w:rPr>
        <w:t>Table C1. Cash Conversion Cycle Components</w:t>
      </w:r>
    </w:p>
    <w:tbl>
      <w:tblPr>
        <w:tblStyle w:val="TableGrid"/>
        <w:tblW w:w="0" w:type="auto"/>
        <w:tblLook w:val="04A0" w:firstRow="1" w:lastRow="0" w:firstColumn="1" w:lastColumn="0" w:noHBand="0" w:noVBand="1"/>
      </w:tblPr>
      <w:tblGrid>
        <w:gridCol w:w="750"/>
        <w:gridCol w:w="1937"/>
        <w:gridCol w:w="2111"/>
        <w:gridCol w:w="1764"/>
        <w:gridCol w:w="1510"/>
      </w:tblGrid>
      <w:tr w:rsidR="004B65BA" w:rsidRPr="004B65BA" w14:paraId="271FA0CD" w14:textId="77777777" w:rsidTr="004B65BA">
        <w:tc>
          <w:tcPr>
            <w:tcW w:w="0" w:type="auto"/>
            <w:hideMark/>
          </w:tcPr>
          <w:p w14:paraId="13142B0F"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Year</w:t>
            </w:r>
          </w:p>
        </w:tc>
        <w:tc>
          <w:tcPr>
            <w:tcW w:w="0" w:type="auto"/>
            <w:hideMark/>
          </w:tcPr>
          <w:p w14:paraId="07C4AB0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Inventory Days</w:t>
            </w:r>
          </w:p>
        </w:tc>
        <w:tc>
          <w:tcPr>
            <w:tcW w:w="0" w:type="auto"/>
            <w:hideMark/>
          </w:tcPr>
          <w:p w14:paraId="1EE1F773"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Receivable Days</w:t>
            </w:r>
          </w:p>
        </w:tc>
        <w:tc>
          <w:tcPr>
            <w:tcW w:w="0" w:type="auto"/>
            <w:hideMark/>
          </w:tcPr>
          <w:p w14:paraId="5DDEAA5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Payable Days</w:t>
            </w:r>
          </w:p>
        </w:tc>
        <w:tc>
          <w:tcPr>
            <w:tcW w:w="0" w:type="auto"/>
            <w:hideMark/>
          </w:tcPr>
          <w:p w14:paraId="42393128"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CCC (days)</w:t>
            </w:r>
          </w:p>
        </w:tc>
      </w:tr>
      <w:tr w:rsidR="004B65BA" w:rsidRPr="004B65BA" w14:paraId="7EB0952C" w14:textId="77777777" w:rsidTr="004B65BA">
        <w:tc>
          <w:tcPr>
            <w:tcW w:w="0" w:type="auto"/>
            <w:hideMark/>
          </w:tcPr>
          <w:p w14:paraId="0368A714" w14:textId="77777777" w:rsidR="004B65BA" w:rsidRPr="004B65BA" w:rsidRDefault="004B65BA" w:rsidP="004B65BA">
            <w:pPr>
              <w:spacing w:after="160" w:line="360" w:lineRule="auto"/>
              <w:rPr>
                <w:rFonts w:ascii="Arial" w:hAnsi="Arial" w:cs="Arial"/>
              </w:rPr>
            </w:pPr>
            <w:r w:rsidRPr="004B65BA">
              <w:rPr>
                <w:rFonts w:ascii="Arial" w:hAnsi="Arial" w:cs="Arial"/>
              </w:rPr>
              <w:t>2020</w:t>
            </w:r>
          </w:p>
        </w:tc>
        <w:tc>
          <w:tcPr>
            <w:tcW w:w="0" w:type="auto"/>
            <w:hideMark/>
          </w:tcPr>
          <w:p w14:paraId="60DE4C22" w14:textId="77777777" w:rsidR="004B65BA" w:rsidRPr="004B65BA" w:rsidRDefault="004B65BA" w:rsidP="004B65BA">
            <w:pPr>
              <w:spacing w:after="160" w:line="360" w:lineRule="auto"/>
              <w:rPr>
                <w:rFonts w:ascii="Arial" w:hAnsi="Arial" w:cs="Arial"/>
              </w:rPr>
            </w:pPr>
            <w:r w:rsidRPr="004B65BA">
              <w:rPr>
                <w:rFonts w:ascii="Arial" w:hAnsi="Arial" w:cs="Arial"/>
              </w:rPr>
              <w:t>100</w:t>
            </w:r>
          </w:p>
        </w:tc>
        <w:tc>
          <w:tcPr>
            <w:tcW w:w="0" w:type="auto"/>
            <w:hideMark/>
          </w:tcPr>
          <w:p w14:paraId="4B1B9216" w14:textId="77777777" w:rsidR="004B65BA" w:rsidRPr="004B65BA" w:rsidRDefault="004B65BA" w:rsidP="004B65BA">
            <w:pPr>
              <w:spacing w:after="160" w:line="360" w:lineRule="auto"/>
              <w:rPr>
                <w:rFonts w:ascii="Arial" w:hAnsi="Arial" w:cs="Arial"/>
              </w:rPr>
            </w:pPr>
            <w:r w:rsidRPr="004B65BA">
              <w:rPr>
                <w:rFonts w:ascii="Arial" w:hAnsi="Arial" w:cs="Arial"/>
              </w:rPr>
              <w:t>77</w:t>
            </w:r>
          </w:p>
        </w:tc>
        <w:tc>
          <w:tcPr>
            <w:tcW w:w="0" w:type="auto"/>
            <w:hideMark/>
          </w:tcPr>
          <w:p w14:paraId="7BC038BF" w14:textId="77777777" w:rsidR="004B65BA" w:rsidRPr="004B65BA" w:rsidRDefault="004B65BA" w:rsidP="004B65BA">
            <w:pPr>
              <w:spacing w:after="160" w:line="360" w:lineRule="auto"/>
              <w:rPr>
                <w:rFonts w:ascii="Arial" w:hAnsi="Arial" w:cs="Arial"/>
              </w:rPr>
            </w:pPr>
            <w:r w:rsidRPr="004B65BA">
              <w:rPr>
                <w:rFonts w:ascii="Arial" w:hAnsi="Arial" w:cs="Arial"/>
              </w:rPr>
              <w:t>80</w:t>
            </w:r>
          </w:p>
        </w:tc>
        <w:tc>
          <w:tcPr>
            <w:tcW w:w="0" w:type="auto"/>
            <w:hideMark/>
          </w:tcPr>
          <w:p w14:paraId="184DE0AA" w14:textId="77777777" w:rsidR="004B65BA" w:rsidRPr="004B65BA" w:rsidRDefault="004B65BA" w:rsidP="004B65BA">
            <w:pPr>
              <w:spacing w:after="160" w:line="360" w:lineRule="auto"/>
              <w:rPr>
                <w:rFonts w:ascii="Arial" w:hAnsi="Arial" w:cs="Arial"/>
              </w:rPr>
            </w:pPr>
            <w:r w:rsidRPr="004B65BA">
              <w:rPr>
                <w:rFonts w:ascii="Arial" w:hAnsi="Arial" w:cs="Arial"/>
              </w:rPr>
              <w:t>97</w:t>
            </w:r>
          </w:p>
        </w:tc>
      </w:tr>
      <w:tr w:rsidR="004B65BA" w:rsidRPr="004B65BA" w14:paraId="2495237B" w14:textId="77777777" w:rsidTr="004B65BA">
        <w:tc>
          <w:tcPr>
            <w:tcW w:w="0" w:type="auto"/>
            <w:hideMark/>
          </w:tcPr>
          <w:p w14:paraId="5757BAC2" w14:textId="77777777" w:rsidR="004B65BA" w:rsidRPr="004B65BA" w:rsidRDefault="004B65BA" w:rsidP="004B65BA">
            <w:pPr>
              <w:spacing w:after="160" w:line="360" w:lineRule="auto"/>
              <w:rPr>
                <w:rFonts w:ascii="Arial" w:hAnsi="Arial" w:cs="Arial"/>
              </w:rPr>
            </w:pPr>
            <w:r w:rsidRPr="004B65BA">
              <w:rPr>
                <w:rFonts w:ascii="Arial" w:hAnsi="Arial" w:cs="Arial"/>
              </w:rPr>
              <w:t>2021</w:t>
            </w:r>
          </w:p>
        </w:tc>
        <w:tc>
          <w:tcPr>
            <w:tcW w:w="0" w:type="auto"/>
            <w:hideMark/>
          </w:tcPr>
          <w:p w14:paraId="5BA49564" w14:textId="77777777" w:rsidR="004B65BA" w:rsidRPr="004B65BA" w:rsidRDefault="004B65BA" w:rsidP="004B65BA">
            <w:pPr>
              <w:spacing w:after="160" w:line="360" w:lineRule="auto"/>
              <w:rPr>
                <w:rFonts w:ascii="Arial" w:hAnsi="Arial" w:cs="Arial"/>
              </w:rPr>
            </w:pPr>
            <w:r w:rsidRPr="004B65BA">
              <w:rPr>
                <w:rFonts w:ascii="Arial" w:hAnsi="Arial" w:cs="Arial"/>
              </w:rPr>
              <w:t>114</w:t>
            </w:r>
          </w:p>
        </w:tc>
        <w:tc>
          <w:tcPr>
            <w:tcW w:w="0" w:type="auto"/>
            <w:hideMark/>
          </w:tcPr>
          <w:p w14:paraId="54041344" w14:textId="77777777" w:rsidR="004B65BA" w:rsidRPr="004B65BA" w:rsidRDefault="004B65BA" w:rsidP="004B65BA">
            <w:pPr>
              <w:spacing w:after="160" w:line="360" w:lineRule="auto"/>
              <w:rPr>
                <w:rFonts w:ascii="Arial" w:hAnsi="Arial" w:cs="Arial"/>
              </w:rPr>
            </w:pPr>
            <w:r w:rsidRPr="004B65BA">
              <w:rPr>
                <w:rFonts w:ascii="Arial" w:hAnsi="Arial" w:cs="Arial"/>
              </w:rPr>
              <w:t>79</w:t>
            </w:r>
          </w:p>
        </w:tc>
        <w:tc>
          <w:tcPr>
            <w:tcW w:w="0" w:type="auto"/>
            <w:hideMark/>
          </w:tcPr>
          <w:p w14:paraId="3B63EDCC" w14:textId="77777777" w:rsidR="004B65BA" w:rsidRPr="004B65BA" w:rsidRDefault="004B65BA" w:rsidP="004B65BA">
            <w:pPr>
              <w:spacing w:after="160" w:line="360" w:lineRule="auto"/>
              <w:rPr>
                <w:rFonts w:ascii="Arial" w:hAnsi="Arial" w:cs="Arial"/>
              </w:rPr>
            </w:pPr>
            <w:r w:rsidRPr="004B65BA">
              <w:rPr>
                <w:rFonts w:ascii="Arial" w:hAnsi="Arial" w:cs="Arial"/>
              </w:rPr>
              <w:t>90</w:t>
            </w:r>
          </w:p>
        </w:tc>
        <w:tc>
          <w:tcPr>
            <w:tcW w:w="0" w:type="auto"/>
            <w:hideMark/>
          </w:tcPr>
          <w:p w14:paraId="03A679A3" w14:textId="77777777" w:rsidR="004B65BA" w:rsidRPr="004B65BA" w:rsidRDefault="004B65BA" w:rsidP="004B65BA">
            <w:pPr>
              <w:spacing w:after="160" w:line="360" w:lineRule="auto"/>
              <w:rPr>
                <w:rFonts w:ascii="Arial" w:hAnsi="Arial" w:cs="Arial"/>
              </w:rPr>
            </w:pPr>
            <w:r w:rsidRPr="004B65BA">
              <w:rPr>
                <w:rFonts w:ascii="Arial" w:hAnsi="Arial" w:cs="Arial"/>
              </w:rPr>
              <w:t>103</w:t>
            </w:r>
          </w:p>
        </w:tc>
      </w:tr>
      <w:tr w:rsidR="004B65BA" w:rsidRPr="004B65BA" w14:paraId="27E112F4" w14:textId="77777777" w:rsidTr="004B65BA">
        <w:tc>
          <w:tcPr>
            <w:tcW w:w="0" w:type="auto"/>
            <w:hideMark/>
          </w:tcPr>
          <w:p w14:paraId="087EE12E" w14:textId="77777777" w:rsidR="004B65BA" w:rsidRPr="004B65BA" w:rsidRDefault="004B65BA" w:rsidP="004B65BA">
            <w:pPr>
              <w:spacing w:after="160" w:line="360" w:lineRule="auto"/>
              <w:rPr>
                <w:rFonts w:ascii="Arial" w:hAnsi="Arial" w:cs="Arial"/>
              </w:rPr>
            </w:pPr>
            <w:r w:rsidRPr="004B65BA">
              <w:rPr>
                <w:rFonts w:ascii="Arial" w:hAnsi="Arial" w:cs="Arial"/>
              </w:rPr>
              <w:t>2022</w:t>
            </w:r>
          </w:p>
        </w:tc>
        <w:tc>
          <w:tcPr>
            <w:tcW w:w="0" w:type="auto"/>
            <w:hideMark/>
          </w:tcPr>
          <w:p w14:paraId="06915DBB" w14:textId="77777777" w:rsidR="004B65BA" w:rsidRPr="004B65BA" w:rsidRDefault="004B65BA" w:rsidP="004B65BA">
            <w:pPr>
              <w:spacing w:after="160" w:line="360" w:lineRule="auto"/>
              <w:rPr>
                <w:rFonts w:ascii="Arial" w:hAnsi="Arial" w:cs="Arial"/>
              </w:rPr>
            </w:pPr>
            <w:r w:rsidRPr="004B65BA">
              <w:rPr>
                <w:rFonts w:ascii="Arial" w:hAnsi="Arial" w:cs="Arial"/>
              </w:rPr>
              <w:t>132</w:t>
            </w:r>
          </w:p>
        </w:tc>
        <w:tc>
          <w:tcPr>
            <w:tcW w:w="0" w:type="auto"/>
            <w:hideMark/>
          </w:tcPr>
          <w:p w14:paraId="11C5955F" w14:textId="77777777" w:rsidR="004B65BA" w:rsidRPr="004B65BA" w:rsidRDefault="004B65BA" w:rsidP="004B65BA">
            <w:pPr>
              <w:spacing w:after="160" w:line="360" w:lineRule="auto"/>
              <w:rPr>
                <w:rFonts w:ascii="Arial" w:hAnsi="Arial" w:cs="Arial"/>
              </w:rPr>
            </w:pPr>
            <w:r w:rsidRPr="004B65BA">
              <w:rPr>
                <w:rFonts w:ascii="Arial" w:hAnsi="Arial" w:cs="Arial"/>
              </w:rPr>
              <w:t>76</w:t>
            </w:r>
          </w:p>
        </w:tc>
        <w:tc>
          <w:tcPr>
            <w:tcW w:w="0" w:type="auto"/>
            <w:hideMark/>
          </w:tcPr>
          <w:p w14:paraId="64000718" w14:textId="77777777" w:rsidR="004B65BA" w:rsidRPr="004B65BA" w:rsidRDefault="004B65BA" w:rsidP="004B65BA">
            <w:pPr>
              <w:spacing w:after="160" w:line="360" w:lineRule="auto"/>
              <w:rPr>
                <w:rFonts w:ascii="Arial" w:hAnsi="Arial" w:cs="Arial"/>
              </w:rPr>
            </w:pPr>
            <w:r w:rsidRPr="004B65BA">
              <w:rPr>
                <w:rFonts w:ascii="Arial" w:hAnsi="Arial" w:cs="Arial"/>
              </w:rPr>
              <w:t>85</w:t>
            </w:r>
          </w:p>
        </w:tc>
        <w:tc>
          <w:tcPr>
            <w:tcW w:w="0" w:type="auto"/>
            <w:hideMark/>
          </w:tcPr>
          <w:p w14:paraId="701D1CA7" w14:textId="77777777" w:rsidR="004B65BA" w:rsidRPr="004B65BA" w:rsidRDefault="004B65BA" w:rsidP="004B65BA">
            <w:pPr>
              <w:spacing w:after="160" w:line="360" w:lineRule="auto"/>
              <w:rPr>
                <w:rFonts w:ascii="Arial" w:hAnsi="Arial" w:cs="Arial"/>
              </w:rPr>
            </w:pPr>
            <w:r w:rsidRPr="004B65BA">
              <w:rPr>
                <w:rFonts w:ascii="Arial" w:hAnsi="Arial" w:cs="Arial"/>
              </w:rPr>
              <w:t>123</w:t>
            </w:r>
          </w:p>
        </w:tc>
      </w:tr>
      <w:tr w:rsidR="004B65BA" w:rsidRPr="004B65BA" w14:paraId="0BF4FA8E" w14:textId="77777777" w:rsidTr="004B65BA">
        <w:tc>
          <w:tcPr>
            <w:tcW w:w="0" w:type="auto"/>
            <w:hideMark/>
          </w:tcPr>
          <w:p w14:paraId="00A0DDDB" w14:textId="77777777" w:rsidR="004B65BA" w:rsidRPr="004B65BA" w:rsidRDefault="004B65BA" w:rsidP="004B65BA">
            <w:pPr>
              <w:spacing w:after="160" w:line="360" w:lineRule="auto"/>
              <w:rPr>
                <w:rFonts w:ascii="Arial" w:hAnsi="Arial" w:cs="Arial"/>
              </w:rPr>
            </w:pPr>
            <w:r w:rsidRPr="004B65BA">
              <w:rPr>
                <w:rFonts w:ascii="Arial" w:hAnsi="Arial" w:cs="Arial"/>
              </w:rPr>
              <w:t>2023</w:t>
            </w:r>
          </w:p>
        </w:tc>
        <w:tc>
          <w:tcPr>
            <w:tcW w:w="0" w:type="auto"/>
            <w:hideMark/>
          </w:tcPr>
          <w:p w14:paraId="366BCB6A" w14:textId="77777777" w:rsidR="004B65BA" w:rsidRPr="004B65BA" w:rsidRDefault="004B65BA" w:rsidP="004B65BA">
            <w:pPr>
              <w:spacing w:after="160" w:line="360" w:lineRule="auto"/>
              <w:rPr>
                <w:rFonts w:ascii="Arial" w:hAnsi="Arial" w:cs="Arial"/>
              </w:rPr>
            </w:pPr>
            <w:r w:rsidRPr="004B65BA">
              <w:rPr>
                <w:rFonts w:ascii="Arial" w:hAnsi="Arial" w:cs="Arial"/>
              </w:rPr>
              <w:t>100</w:t>
            </w:r>
          </w:p>
        </w:tc>
        <w:tc>
          <w:tcPr>
            <w:tcW w:w="0" w:type="auto"/>
            <w:hideMark/>
          </w:tcPr>
          <w:p w14:paraId="60676578" w14:textId="77777777" w:rsidR="004B65BA" w:rsidRPr="004B65BA" w:rsidRDefault="004B65BA" w:rsidP="004B65BA">
            <w:pPr>
              <w:spacing w:after="160" w:line="360" w:lineRule="auto"/>
              <w:rPr>
                <w:rFonts w:ascii="Arial" w:hAnsi="Arial" w:cs="Arial"/>
              </w:rPr>
            </w:pPr>
            <w:r w:rsidRPr="004B65BA">
              <w:rPr>
                <w:rFonts w:ascii="Arial" w:hAnsi="Arial" w:cs="Arial"/>
              </w:rPr>
              <w:t>98</w:t>
            </w:r>
          </w:p>
        </w:tc>
        <w:tc>
          <w:tcPr>
            <w:tcW w:w="0" w:type="auto"/>
            <w:hideMark/>
          </w:tcPr>
          <w:p w14:paraId="79AC883A" w14:textId="77777777" w:rsidR="004B65BA" w:rsidRPr="004B65BA" w:rsidRDefault="004B65BA" w:rsidP="004B65BA">
            <w:pPr>
              <w:spacing w:after="160" w:line="360" w:lineRule="auto"/>
              <w:rPr>
                <w:rFonts w:ascii="Arial" w:hAnsi="Arial" w:cs="Arial"/>
              </w:rPr>
            </w:pPr>
            <w:r w:rsidRPr="004B65BA">
              <w:rPr>
                <w:rFonts w:ascii="Arial" w:hAnsi="Arial" w:cs="Arial"/>
              </w:rPr>
              <w:t>62</w:t>
            </w:r>
          </w:p>
        </w:tc>
        <w:tc>
          <w:tcPr>
            <w:tcW w:w="0" w:type="auto"/>
            <w:hideMark/>
          </w:tcPr>
          <w:p w14:paraId="6AF31EE4" w14:textId="77777777" w:rsidR="004B65BA" w:rsidRPr="004B65BA" w:rsidRDefault="004B65BA" w:rsidP="004B65BA">
            <w:pPr>
              <w:spacing w:after="160" w:line="360" w:lineRule="auto"/>
              <w:rPr>
                <w:rFonts w:ascii="Arial" w:hAnsi="Arial" w:cs="Arial"/>
              </w:rPr>
            </w:pPr>
            <w:r w:rsidRPr="004B65BA">
              <w:rPr>
                <w:rFonts w:ascii="Arial" w:hAnsi="Arial" w:cs="Arial"/>
              </w:rPr>
              <w:t>136</w:t>
            </w:r>
          </w:p>
        </w:tc>
      </w:tr>
      <w:tr w:rsidR="004B65BA" w:rsidRPr="004B65BA" w14:paraId="39D55D9A" w14:textId="77777777" w:rsidTr="004B65BA">
        <w:tc>
          <w:tcPr>
            <w:tcW w:w="0" w:type="auto"/>
            <w:hideMark/>
          </w:tcPr>
          <w:p w14:paraId="503CD873" w14:textId="77777777" w:rsidR="004B65BA" w:rsidRPr="004B65BA" w:rsidRDefault="004B65BA" w:rsidP="004B65BA">
            <w:pPr>
              <w:spacing w:after="160" w:line="360" w:lineRule="auto"/>
              <w:rPr>
                <w:rFonts w:ascii="Arial" w:hAnsi="Arial" w:cs="Arial"/>
              </w:rPr>
            </w:pPr>
            <w:r w:rsidRPr="004B65BA">
              <w:rPr>
                <w:rFonts w:ascii="Arial" w:hAnsi="Arial" w:cs="Arial"/>
              </w:rPr>
              <w:t>2024</w:t>
            </w:r>
          </w:p>
        </w:tc>
        <w:tc>
          <w:tcPr>
            <w:tcW w:w="0" w:type="auto"/>
            <w:hideMark/>
          </w:tcPr>
          <w:p w14:paraId="49489CD4" w14:textId="77777777" w:rsidR="004B65BA" w:rsidRPr="004B65BA" w:rsidRDefault="004B65BA" w:rsidP="004B65BA">
            <w:pPr>
              <w:spacing w:after="160" w:line="360" w:lineRule="auto"/>
              <w:rPr>
                <w:rFonts w:ascii="Arial" w:hAnsi="Arial" w:cs="Arial"/>
              </w:rPr>
            </w:pPr>
            <w:r w:rsidRPr="004B65BA">
              <w:rPr>
                <w:rFonts w:ascii="Arial" w:hAnsi="Arial" w:cs="Arial"/>
              </w:rPr>
              <w:t>103</w:t>
            </w:r>
          </w:p>
        </w:tc>
        <w:tc>
          <w:tcPr>
            <w:tcW w:w="0" w:type="auto"/>
            <w:hideMark/>
          </w:tcPr>
          <w:p w14:paraId="01B53DD2" w14:textId="77777777" w:rsidR="004B65BA" w:rsidRPr="004B65BA" w:rsidRDefault="004B65BA" w:rsidP="004B65BA">
            <w:pPr>
              <w:spacing w:after="160" w:line="360" w:lineRule="auto"/>
              <w:rPr>
                <w:rFonts w:ascii="Arial" w:hAnsi="Arial" w:cs="Arial"/>
              </w:rPr>
            </w:pPr>
            <w:r w:rsidRPr="004B65BA">
              <w:rPr>
                <w:rFonts w:ascii="Arial" w:hAnsi="Arial" w:cs="Arial"/>
              </w:rPr>
              <w:t>106</w:t>
            </w:r>
          </w:p>
        </w:tc>
        <w:tc>
          <w:tcPr>
            <w:tcW w:w="0" w:type="auto"/>
            <w:hideMark/>
          </w:tcPr>
          <w:p w14:paraId="21115BBC" w14:textId="77777777" w:rsidR="004B65BA" w:rsidRPr="004B65BA" w:rsidRDefault="004B65BA" w:rsidP="004B65BA">
            <w:pPr>
              <w:spacing w:after="160" w:line="360" w:lineRule="auto"/>
              <w:rPr>
                <w:rFonts w:ascii="Arial" w:hAnsi="Arial" w:cs="Arial"/>
              </w:rPr>
            </w:pPr>
            <w:r w:rsidRPr="004B65BA">
              <w:rPr>
                <w:rFonts w:ascii="Arial" w:hAnsi="Arial" w:cs="Arial"/>
              </w:rPr>
              <w:t>60</w:t>
            </w:r>
          </w:p>
        </w:tc>
        <w:tc>
          <w:tcPr>
            <w:tcW w:w="0" w:type="auto"/>
            <w:hideMark/>
          </w:tcPr>
          <w:p w14:paraId="31F908DA" w14:textId="77777777" w:rsidR="004B65BA" w:rsidRPr="004B65BA" w:rsidRDefault="004B65BA" w:rsidP="004B65BA">
            <w:pPr>
              <w:spacing w:after="160" w:line="360" w:lineRule="auto"/>
              <w:rPr>
                <w:rFonts w:ascii="Arial" w:hAnsi="Arial" w:cs="Arial"/>
              </w:rPr>
            </w:pPr>
            <w:r w:rsidRPr="004B65BA">
              <w:rPr>
                <w:rFonts w:ascii="Arial" w:hAnsi="Arial" w:cs="Arial"/>
              </w:rPr>
              <w:t>149</w:t>
            </w:r>
          </w:p>
        </w:tc>
      </w:tr>
    </w:tbl>
    <w:p w14:paraId="19F49877" w14:textId="1419BD0F" w:rsidR="004B65BA" w:rsidRPr="004B65BA" w:rsidRDefault="004B65BA" w:rsidP="004B65BA">
      <w:pPr>
        <w:spacing w:line="360" w:lineRule="auto"/>
        <w:rPr>
          <w:rFonts w:ascii="Arial" w:hAnsi="Arial" w:cs="Arial"/>
        </w:rPr>
      </w:pPr>
      <w:r w:rsidRPr="004B65BA">
        <w:rPr>
          <w:rFonts w:ascii="Arial" w:hAnsi="Arial" w:cs="Arial"/>
          <w:b/>
          <w:bCs/>
        </w:rPr>
        <w:t>Figure C1. CCC Trend (2020–2024)</w:t>
      </w:r>
      <w:r w:rsidRPr="004B65BA">
        <w:rPr>
          <w:rFonts w:ascii="Arial" w:hAnsi="Arial" w:cs="Arial"/>
        </w:rPr>
        <w:br/>
      </w:r>
      <w:r w:rsidRPr="004B65BA">
        <w:rPr>
          <w:rFonts w:ascii="Arial" w:hAnsi="Arial" w:cs="Arial"/>
          <w:i/>
          <w:iCs/>
        </w:rPr>
        <w:t>(Graph showing steady increase from 97 to 149 days — indicates growing inefficiency.)</w:t>
      </w:r>
    </w:p>
    <w:p w14:paraId="5789DB01" w14:textId="77777777" w:rsidR="004B65BA" w:rsidRPr="004B65BA" w:rsidRDefault="004B65BA" w:rsidP="004B65BA">
      <w:pPr>
        <w:spacing w:line="360" w:lineRule="auto"/>
        <w:rPr>
          <w:rFonts w:ascii="Arial" w:hAnsi="Arial" w:cs="Arial"/>
          <w:b/>
          <w:bCs/>
        </w:rPr>
      </w:pPr>
      <w:r w:rsidRPr="004B65BA">
        <w:rPr>
          <w:rFonts w:ascii="Arial" w:hAnsi="Arial" w:cs="Arial"/>
          <w:b/>
          <w:bCs/>
        </w:rPr>
        <w:t>Appendix D: Investment Appraisal Calculations</w:t>
      </w:r>
    </w:p>
    <w:p w14:paraId="5EA3A408" w14:textId="77777777" w:rsidR="004B65BA" w:rsidRPr="004B65BA" w:rsidRDefault="004B65BA" w:rsidP="004B65BA">
      <w:pPr>
        <w:spacing w:line="360" w:lineRule="auto"/>
        <w:rPr>
          <w:rFonts w:ascii="Arial" w:hAnsi="Arial" w:cs="Arial"/>
        </w:rPr>
      </w:pPr>
      <w:r w:rsidRPr="004B65BA">
        <w:rPr>
          <w:rFonts w:ascii="Arial" w:hAnsi="Arial" w:cs="Arial"/>
          <w:b/>
          <w:bCs/>
        </w:rPr>
        <w:t>Table D1. Discounted Cash Flow Analysis</w:t>
      </w:r>
    </w:p>
    <w:tbl>
      <w:tblPr>
        <w:tblStyle w:val="TableGrid"/>
        <w:tblW w:w="0" w:type="auto"/>
        <w:tblLook w:val="04A0" w:firstRow="1" w:lastRow="0" w:firstColumn="1" w:lastColumn="0" w:noHBand="0" w:noVBand="1"/>
      </w:tblPr>
      <w:tblGrid>
        <w:gridCol w:w="1283"/>
        <w:gridCol w:w="1243"/>
        <w:gridCol w:w="1941"/>
        <w:gridCol w:w="1950"/>
        <w:gridCol w:w="1950"/>
      </w:tblGrid>
      <w:tr w:rsidR="004B65BA" w:rsidRPr="004B65BA" w14:paraId="4E6BFD71" w14:textId="77777777" w:rsidTr="004B65BA">
        <w:tc>
          <w:tcPr>
            <w:tcW w:w="0" w:type="auto"/>
            <w:hideMark/>
          </w:tcPr>
          <w:p w14:paraId="46D8AB9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Year</w:t>
            </w:r>
          </w:p>
        </w:tc>
        <w:tc>
          <w:tcPr>
            <w:tcW w:w="0" w:type="auto"/>
            <w:hideMark/>
          </w:tcPr>
          <w:p w14:paraId="013C5E4F"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DF (10%)</w:t>
            </w:r>
          </w:p>
        </w:tc>
        <w:tc>
          <w:tcPr>
            <w:tcW w:w="0" w:type="auto"/>
            <w:hideMark/>
          </w:tcPr>
          <w:p w14:paraId="03FABFF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PV of Project A</w:t>
            </w:r>
          </w:p>
        </w:tc>
        <w:tc>
          <w:tcPr>
            <w:tcW w:w="0" w:type="auto"/>
            <w:hideMark/>
          </w:tcPr>
          <w:p w14:paraId="45A404B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PV of Project B</w:t>
            </w:r>
          </w:p>
        </w:tc>
        <w:tc>
          <w:tcPr>
            <w:tcW w:w="0" w:type="auto"/>
            <w:hideMark/>
          </w:tcPr>
          <w:p w14:paraId="40566BA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PV of Project C</w:t>
            </w:r>
          </w:p>
        </w:tc>
      </w:tr>
      <w:tr w:rsidR="004B65BA" w:rsidRPr="004B65BA" w14:paraId="67321FAD" w14:textId="77777777" w:rsidTr="004B65BA">
        <w:tc>
          <w:tcPr>
            <w:tcW w:w="0" w:type="auto"/>
            <w:hideMark/>
          </w:tcPr>
          <w:p w14:paraId="1FE6BEDB" w14:textId="77777777" w:rsidR="004B65BA" w:rsidRPr="004B65BA" w:rsidRDefault="004B65BA" w:rsidP="004B65BA">
            <w:pPr>
              <w:spacing w:after="160" w:line="360" w:lineRule="auto"/>
              <w:rPr>
                <w:rFonts w:ascii="Arial" w:hAnsi="Arial" w:cs="Arial"/>
              </w:rPr>
            </w:pPr>
            <w:r w:rsidRPr="004B65BA">
              <w:rPr>
                <w:rFonts w:ascii="Arial" w:hAnsi="Arial" w:cs="Arial"/>
              </w:rPr>
              <w:t>0</w:t>
            </w:r>
          </w:p>
        </w:tc>
        <w:tc>
          <w:tcPr>
            <w:tcW w:w="0" w:type="auto"/>
            <w:hideMark/>
          </w:tcPr>
          <w:p w14:paraId="72349320" w14:textId="77777777" w:rsidR="004B65BA" w:rsidRPr="004B65BA" w:rsidRDefault="004B65BA" w:rsidP="004B65BA">
            <w:pPr>
              <w:spacing w:after="160" w:line="360" w:lineRule="auto"/>
              <w:rPr>
                <w:rFonts w:ascii="Arial" w:hAnsi="Arial" w:cs="Arial"/>
              </w:rPr>
            </w:pPr>
            <w:r w:rsidRPr="004B65BA">
              <w:rPr>
                <w:rFonts w:ascii="Arial" w:hAnsi="Arial" w:cs="Arial"/>
              </w:rPr>
              <w:t>1.000</w:t>
            </w:r>
          </w:p>
        </w:tc>
        <w:tc>
          <w:tcPr>
            <w:tcW w:w="0" w:type="auto"/>
            <w:hideMark/>
          </w:tcPr>
          <w:p w14:paraId="65FD1BF9" w14:textId="77777777" w:rsidR="004B65BA" w:rsidRPr="004B65BA" w:rsidRDefault="004B65BA" w:rsidP="004B65BA">
            <w:pPr>
              <w:spacing w:after="160" w:line="360" w:lineRule="auto"/>
              <w:rPr>
                <w:rFonts w:ascii="Arial" w:hAnsi="Arial" w:cs="Arial"/>
              </w:rPr>
            </w:pPr>
            <w:r w:rsidRPr="004B65BA">
              <w:rPr>
                <w:rFonts w:ascii="Arial" w:hAnsi="Arial" w:cs="Arial"/>
              </w:rPr>
              <w:t>-40.00</w:t>
            </w:r>
          </w:p>
        </w:tc>
        <w:tc>
          <w:tcPr>
            <w:tcW w:w="0" w:type="auto"/>
            <w:hideMark/>
          </w:tcPr>
          <w:p w14:paraId="3A270848" w14:textId="77777777" w:rsidR="004B65BA" w:rsidRPr="004B65BA" w:rsidRDefault="004B65BA" w:rsidP="004B65BA">
            <w:pPr>
              <w:spacing w:after="160" w:line="360" w:lineRule="auto"/>
              <w:rPr>
                <w:rFonts w:ascii="Arial" w:hAnsi="Arial" w:cs="Arial"/>
              </w:rPr>
            </w:pPr>
            <w:r w:rsidRPr="004B65BA">
              <w:rPr>
                <w:rFonts w:ascii="Arial" w:hAnsi="Arial" w:cs="Arial"/>
              </w:rPr>
              <w:t>-30.00</w:t>
            </w:r>
          </w:p>
        </w:tc>
        <w:tc>
          <w:tcPr>
            <w:tcW w:w="0" w:type="auto"/>
            <w:hideMark/>
          </w:tcPr>
          <w:p w14:paraId="0675906B" w14:textId="77777777" w:rsidR="004B65BA" w:rsidRPr="004B65BA" w:rsidRDefault="004B65BA" w:rsidP="004B65BA">
            <w:pPr>
              <w:spacing w:after="160" w:line="360" w:lineRule="auto"/>
              <w:rPr>
                <w:rFonts w:ascii="Arial" w:hAnsi="Arial" w:cs="Arial"/>
              </w:rPr>
            </w:pPr>
            <w:r w:rsidRPr="004B65BA">
              <w:rPr>
                <w:rFonts w:ascii="Arial" w:hAnsi="Arial" w:cs="Arial"/>
              </w:rPr>
              <w:t>-50.00</w:t>
            </w:r>
          </w:p>
        </w:tc>
      </w:tr>
      <w:tr w:rsidR="004B65BA" w:rsidRPr="004B65BA" w14:paraId="4AE534C9" w14:textId="77777777" w:rsidTr="004B65BA">
        <w:tc>
          <w:tcPr>
            <w:tcW w:w="0" w:type="auto"/>
            <w:hideMark/>
          </w:tcPr>
          <w:p w14:paraId="08F622A4" w14:textId="77777777" w:rsidR="004B65BA" w:rsidRPr="004B65BA" w:rsidRDefault="004B65BA" w:rsidP="004B65BA">
            <w:pPr>
              <w:spacing w:after="160" w:line="360" w:lineRule="auto"/>
              <w:rPr>
                <w:rFonts w:ascii="Arial" w:hAnsi="Arial" w:cs="Arial"/>
              </w:rPr>
            </w:pPr>
            <w:r w:rsidRPr="004B65BA">
              <w:rPr>
                <w:rFonts w:ascii="Arial" w:hAnsi="Arial" w:cs="Arial"/>
              </w:rPr>
              <w:t>1</w:t>
            </w:r>
          </w:p>
        </w:tc>
        <w:tc>
          <w:tcPr>
            <w:tcW w:w="0" w:type="auto"/>
            <w:hideMark/>
          </w:tcPr>
          <w:p w14:paraId="659BAB8B" w14:textId="77777777" w:rsidR="004B65BA" w:rsidRPr="004B65BA" w:rsidRDefault="004B65BA" w:rsidP="004B65BA">
            <w:pPr>
              <w:spacing w:after="160" w:line="360" w:lineRule="auto"/>
              <w:rPr>
                <w:rFonts w:ascii="Arial" w:hAnsi="Arial" w:cs="Arial"/>
              </w:rPr>
            </w:pPr>
            <w:r w:rsidRPr="004B65BA">
              <w:rPr>
                <w:rFonts w:ascii="Arial" w:hAnsi="Arial" w:cs="Arial"/>
              </w:rPr>
              <w:t>0.909</w:t>
            </w:r>
          </w:p>
        </w:tc>
        <w:tc>
          <w:tcPr>
            <w:tcW w:w="0" w:type="auto"/>
            <w:hideMark/>
          </w:tcPr>
          <w:p w14:paraId="2010D5A8" w14:textId="77777777" w:rsidR="004B65BA" w:rsidRPr="004B65BA" w:rsidRDefault="004B65BA" w:rsidP="004B65BA">
            <w:pPr>
              <w:spacing w:after="160" w:line="360" w:lineRule="auto"/>
              <w:rPr>
                <w:rFonts w:ascii="Arial" w:hAnsi="Arial" w:cs="Arial"/>
              </w:rPr>
            </w:pPr>
            <w:r w:rsidRPr="004B65BA">
              <w:rPr>
                <w:rFonts w:ascii="Arial" w:hAnsi="Arial" w:cs="Arial"/>
              </w:rPr>
              <w:t>9.09</w:t>
            </w:r>
          </w:p>
        </w:tc>
        <w:tc>
          <w:tcPr>
            <w:tcW w:w="0" w:type="auto"/>
            <w:hideMark/>
          </w:tcPr>
          <w:p w14:paraId="40E13F8F" w14:textId="77777777" w:rsidR="004B65BA" w:rsidRPr="004B65BA" w:rsidRDefault="004B65BA" w:rsidP="004B65BA">
            <w:pPr>
              <w:spacing w:after="160" w:line="360" w:lineRule="auto"/>
              <w:rPr>
                <w:rFonts w:ascii="Arial" w:hAnsi="Arial" w:cs="Arial"/>
              </w:rPr>
            </w:pPr>
            <w:r w:rsidRPr="004B65BA">
              <w:rPr>
                <w:rFonts w:ascii="Arial" w:hAnsi="Arial" w:cs="Arial"/>
              </w:rPr>
              <w:t>5.45</w:t>
            </w:r>
          </w:p>
        </w:tc>
        <w:tc>
          <w:tcPr>
            <w:tcW w:w="0" w:type="auto"/>
            <w:hideMark/>
          </w:tcPr>
          <w:p w14:paraId="1C502D43" w14:textId="77777777" w:rsidR="004B65BA" w:rsidRPr="004B65BA" w:rsidRDefault="004B65BA" w:rsidP="004B65BA">
            <w:pPr>
              <w:spacing w:after="160" w:line="360" w:lineRule="auto"/>
              <w:rPr>
                <w:rFonts w:ascii="Arial" w:hAnsi="Arial" w:cs="Arial"/>
              </w:rPr>
            </w:pPr>
            <w:r w:rsidRPr="004B65BA">
              <w:rPr>
                <w:rFonts w:ascii="Arial" w:hAnsi="Arial" w:cs="Arial"/>
              </w:rPr>
              <w:t>4.55</w:t>
            </w:r>
          </w:p>
        </w:tc>
      </w:tr>
      <w:tr w:rsidR="004B65BA" w:rsidRPr="004B65BA" w14:paraId="55BD5070" w14:textId="77777777" w:rsidTr="004B65BA">
        <w:tc>
          <w:tcPr>
            <w:tcW w:w="0" w:type="auto"/>
            <w:hideMark/>
          </w:tcPr>
          <w:p w14:paraId="5626EDDE" w14:textId="77777777" w:rsidR="004B65BA" w:rsidRPr="004B65BA" w:rsidRDefault="004B65BA" w:rsidP="004B65BA">
            <w:pPr>
              <w:spacing w:after="160" w:line="360" w:lineRule="auto"/>
              <w:rPr>
                <w:rFonts w:ascii="Arial" w:hAnsi="Arial" w:cs="Arial"/>
              </w:rPr>
            </w:pPr>
            <w:r w:rsidRPr="004B65BA">
              <w:rPr>
                <w:rFonts w:ascii="Arial" w:hAnsi="Arial" w:cs="Arial"/>
              </w:rPr>
              <w:t>2</w:t>
            </w:r>
          </w:p>
        </w:tc>
        <w:tc>
          <w:tcPr>
            <w:tcW w:w="0" w:type="auto"/>
            <w:hideMark/>
          </w:tcPr>
          <w:p w14:paraId="2E80383D" w14:textId="77777777" w:rsidR="004B65BA" w:rsidRPr="004B65BA" w:rsidRDefault="004B65BA" w:rsidP="004B65BA">
            <w:pPr>
              <w:spacing w:after="160" w:line="360" w:lineRule="auto"/>
              <w:rPr>
                <w:rFonts w:ascii="Arial" w:hAnsi="Arial" w:cs="Arial"/>
              </w:rPr>
            </w:pPr>
            <w:r w:rsidRPr="004B65BA">
              <w:rPr>
                <w:rFonts w:ascii="Arial" w:hAnsi="Arial" w:cs="Arial"/>
              </w:rPr>
              <w:t>0.826</w:t>
            </w:r>
          </w:p>
        </w:tc>
        <w:tc>
          <w:tcPr>
            <w:tcW w:w="0" w:type="auto"/>
            <w:hideMark/>
          </w:tcPr>
          <w:p w14:paraId="07FA46CB" w14:textId="77777777" w:rsidR="004B65BA" w:rsidRPr="004B65BA" w:rsidRDefault="004B65BA" w:rsidP="004B65BA">
            <w:pPr>
              <w:spacing w:after="160" w:line="360" w:lineRule="auto"/>
              <w:rPr>
                <w:rFonts w:ascii="Arial" w:hAnsi="Arial" w:cs="Arial"/>
              </w:rPr>
            </w:pPr>
            <w:r w:rsidRPr="004B65BA">
              <w:rPr>
                <w:rFonts w:ascii="Arial" w:hAnsi="Arial" w:cs="Arial"/>
              </w:rPr>
              <w:t>9.91</w:t>
            </w:r>
          </w:p>
        </w:tc>
        <w:tc>
          <w:tcPr>
            <w:tcW w:w="0" w:type="auto"/>
            <w:hideMark/>
          </w:tcPr>
          <w:p w14:paraId="277A89ED" w14:textId="77777777" w:rsidR="004B65BA" w:rsidRPr="004B65BA" w:rsidRDefault="004B65BA" w:rsidP="004B65BA">
            <w:pPr>
              <w:spacing w:after="160" w:line="360" w:lineRule="auto"/>
              <w:rPr>
                <w:rFonts w:ascii="Arial" w:hAnsi="Arial" w:cs="Arial"/>
              </w:rPr>
            </w:pPr>
            <w:r w:rsidRPr="004B65BA">
              <w:rPr>
                <w:rFonts w:ascii="Arial" w:hAnsi="Arial" w:cs="Arial"/>
              </w:rPr>
              <w:t>4.96</w:t>
            </w:r>
          </w:p>
        </w:tc>
        <w:tc>
          <w:tcPr>
            <w:tcW w:w="0" w:type="auto"/>
            <w:hideMark/>
          </w:tcPr>
          <w:p w14:paraId="230A1B12" w14:textId="77777777" w:rsidR="004B65BA" w:rsidRPr="004B65BA" w:rsidRDefault="004B65BA" w:rsidP="004B65BA">
            <w:pPr>
              <w:spacing w:after="160" w:line="360" w:lineRule="auto"/>
              <w:rPr>
                <w:rFonts w:ascii="Arial" w:hAnsi="Arial" w:cs="Arial"/>
              </w:rPr>
            </w:pPr>
            <w:r w:rsidRPr="004B65BA">
              <w:rPr>
                <w:rFonts w:ascii="Arial" w:hAnsi="Arial" w:cs="Arial"/>
              </w:rPr>
              <w:t>8.26</w:t>
            </w:r>
          </w:p>
        </w:tc>
      </w:tr>
      <w:tr w:rsidR="004B65BA" w:rsidRPr="004B65BA" w14:paraId="79220E09" w14:textId="77777777" w:rsidTr="004B65BA">
        <w:tc>
          <w:tcPr>
            <w:tcW w:w="0" w:type="auto"/>
            <w:hideMark/>
          </w:tcPr>
          <w:p w14:paraId="5AC3BCCA" w14:textId="77777777" w:rsidR="004B65BA" w:rsidRPr="004B65BA" w:rsidRDefault="004B65BA" w:rsidP="004B65BA">
            <w:pPr>
              <w:spacing w:after="160" w:line="360" w:lineRule="auto"/>
              <w:rPr>
                <w:rFonts w:ascii="Arial" w:hAnsi="Arial" w:cs="Arial"/>
              </w:rPr>
            </w:pPr>
            <w:r w:rsidRPr="004B65BA">
              <w:rPr>
                <w:rFonts w:ascii="Arial" w:hAnsi="Arial" w:cs="Arial"/>
              </w:rPr>
              <w:t>3</w:t>
            </w:r>
          </w:p>
        </w:tc>
        <w:tc>
          <w:tcPr>
            <w:tcW w:w="0" w:type="auto"/>
            <w:hideMark/>
          </w:tcPr>
          <w:p w14:paraId="222E8500" w14:textId="77777777" w:rsidR="004B65BA" w:rsidRPr="004B65BA" w:rsidRDefault="004B65BA" w:rsidP="004B65BA">
            <w:pPr>
              <w:spacing w:after="160" w:line="360" w:lineRule="auto"/>
              <w:rPr>
                <w:rFonts w:ascii="Arial" w:hAnsi="Arial" w:cs="Arial"/>
              </w:rPr>
            </w:pPr>
            <w:r w:rsidRPr="004B65BA">
              <w:rPr>
                <w:rFonts w:ascii="Arial" w:hAnsi="Arial" w:cs="Arial"/>
              </w:rPr>
              <w:t>0.751</w:t>
            </w:r>
          </w:p>
        </w:tc>
        <w:tc>
          <w:tcPr>
            <w:tcW w:w="0" w:type="auto"/>
            <w:hideMark/>
          </w:tcPr>
          <w:p w14:paraId="6DB10EE3" w14:textId="77777777" w:rsidR="004B65BA" w:rsidRPr="004B65BA" w:rsidRDefault="004B65BA" w:rsidP="004B65BA">
            <w:pPr>
              <w:spacing w:after="160" w:line="360" w:lineRule="auto"/>
              <w:rPr>
                <w:rFonts w:ascii="Arial" w:hAnsi="Arial" w:cs="Arial"/>
              </w:rPr>
            </w:pPr>
            <w:r w:rsidRPr="004B65BA">
              <w:rPr>
                <w:rFonts w:ascii="Arial" w:hAnsi="Arial" w:cs="Arial"/>
              </w:rPr>
              <w:t>10.51</w:t>
            </w:r>
          </w:p>
        </w:tc>
        <w:tc>
          <w:tcPr>
            <w:tcW w:w="0" w:type="auto"/>
            <w:hideMark/>
          </w:tcPr>
          <w:p w14:paraId="3C951C04" w14:textId="77777777" w:rsidR="004B65BA" w:rsidRPr="004B65BA" w:rsidRDefault="004B65BA" w:rsidP="004B65BA">
            <w:pPr>
              <w:spacing w:after="160" w:line="360" w:lineRule="auto"/>
              <w:rPr>
                <w:rFonts w:ascii="Arial" w:hAnsi="Arial" w:cs="Arial"/>
              </w:rPr>
            </w:pPr>
            <w:r w:rsidRPr="004B65BA">
              <w:rPr>
                <w:rFonts w:ascii="Arial" w:hAnsi="Arial" w:cs="Arial"/>
              </w:rPr>
              <w:t>4.51</w:t>
            </w:r>
          </w:p>
        </w:tc>
        <w:tc>
          <w:tcPr>
            <w:tcW w:w="0" w:type="auto"/>
            <w:hideMark/>
          </w:tcPr>
          <w:p w14:paraId="3F60A18A" w14:textId="77777777" w:rsidR="004B65BA" w:rsidRPr="004B65BA" w:rsidRDefault="004B65BA" w:rsidP="004B65BA">
            <w:pPr>
              <w:spacing w:after="160" w:line="360" w:lineRule="auto"/>
              <w:rPr>
                <w:rFonts w:ascii="Arial" w:hAnsi="Arial" w:cs="Arial"/>
              </w:rPr>
            </w:pPr>
            <w:r w:rsidRPr="004B65BA">
              <w:rPr>
                <w:rFonts w:ascii="Arial" w:hAnsi="Arial" w:cs="Arial"/>
              </w:rPr>
              <w:t>15.02</w:t>
            </w:r>
          </w:p>
        </w:tc>
      </w:tr>
      <w:tr w:rsidR="004B65BA" w:rsidRPr="004B65BA" w14:paraId="58FC7E9E" w14:textId="77777777" w:rsidTr="004B65BA">
        <w:tc>
          <w:tcPr>
            <w:tcW w:w="0" w:type="auto"/>
            <w:hideMark/>
          </w:tcPr>
          <w:p w14:paraId="2A81667B" w14:textId="77777777" w:rsidR="004B65BA" w:rsidRPr="004B65BA" w:rsidRDefault="004B65BA" w:rsidP="004B65BA">
            <w:pPr>
              <w:spacing w:after="160" w:line="360" w:lineRule="auto"/>
              <w:rPr>
                <w:rFonts w:ascii="Arial" w:hAnsi="Arial" w:cs="Arial"/>
              </w:rPr>
            </w:pPr>
            <w:r w:rsidRPr="004B65BA">
              <w:rPr>
                <w:rFonts w:ascii="Arial" w:hAnsi="Arial" w:cs="Arial"/>
              </w:rPr>
              <w:t>4</w:t>
            </w:r>
          </w:p>
        </w:tc>
        <w:tc>
          <w:tcPr>
            <w:tcW w:w="0" w:type="auto"/>
            <w:hideMark/>
          </w:tcPr>
          <w:p w14:paraId="41455639" w14:textId="77777777" w:rsidR="004B65BA" w:rsidRPr="004B65BA" w:rsidRDefault="004B65BA" w:rsidP="004B65BA">
            <w:pPr>
              <w:spacing w:after="160" w:line="360" w:lineRule="auto"/>
              <w:rPr>
                <w:rFonts w:ascii="Arial" w:hAnsi="Arial" w:cs="Arial"/>
              </w:rPr>
            </w:pPr>
            <w:r w:rsidRPr="004B65BA">
              <w:rPr>
                <w:rFonts w:ascii="Arial" w:hAnsi="Arial" w:cs="Arial"/>
              </w:rPr>
              <w:t>0.683</w:t>
            </w:r>
          </w:p>
        </w:tc>
        <w:tc>
          <w:tcPr>
            <w:tcW w:w="0" w:type="auto"/>
            <w:hideMark/>
          </w:tcPr>
          <w:p w14:paraId="1C09A4DF" w14:textId="77777777" w:rsidR="004B65BA" w:rsidRPr="004B65BA" w:rsidRDefault="004B65BA" w:rsidP="004B65BA">
            <w:pPr>
              <w:spacing w:after="160" w:line="360" w:lineRule="auto"/>
              <w:rPr>
                <w:rFonts w:ascii="Arial" w:hAnsi="Arial" w:cs="Arial"/>
              </w:rPr>
            </w:pPr>
            <w:r w:rsidRPr="004B65BA">
              <w:rPr>
                <w:rFonts w:ascii="Arial" w:hAnsi="Arial" w:cs="Arial"/>
              </w:rPr>
              <w:t>6.83</w:t>
            </w:r>
          </w:p>
        </w:tc>
        <w:tc>
          <w:tcPr>
            <w:tcW w:w="0" w:type="auto"/>
            <w:hideMark/>
          </w:tcPr>
          <w:p w14:paraId="3906C286" w14:textId="77777777" w:rsidR="004B65BA" w:rsidRPr="004B65BA" w:rsidRDefault="004B65BA" w:rsidP="004B65BA">
            <w:pPr>
              <w:spacing w:after="160" w:line="360" w:lineRule="auto"/>
              <w:rPr>
                <w:rFonts w:ascii="Arial" w:hAnsi="Arial" w:cs="Arial"/>
              </w:rPr>
            </w:pPr>
            <w:r w:rsidRPr="004B65BA">
              <w:rPr>
                <w:rFonts w:ascii="Arial" w:hAnsi="Arial" w:cs="Arial"/>
              </w:rPr>
              <w:t>4.10</w:t>
            </w:r>
          </w:p>
        </w:tc>
        <w:tc>
          <w:tcPr>
            <w:tcW w:w="0" w:type="auto"/>
            <w:hideMark/>
          </w:tcPr>
          <w:p w14:paraId="53615B68" w14:textId="77777777" w:rsidR="004B65BA" w:rsidRPr="004B65BA" w:rsidRDefault="004B65BA" w:rsidP="004B65BA">
            <w:pPr>
              <w:spacing w:after="160" w:line="360" w:lineRule="auto"/>
              <w:rPr>
                <w:rFonts w:ascii="Arial" w:hAnsi="Arial" w:cs="Arial"/>
              </w:rPr>
            </w:pPr>
            <w:r w:rsidRPr="004B65BA">
              <w:rPr>
                <w:rFonts w:ascii="Arial" w:hAnsi="Arial" w:cs="Arial"/>
              </w:rPr>
              <w:t>17.08</w:t>
            </w:r>
          </w:p>
        </w:tc>
      </w:tr>
      <w:tr w:rsidR="004B65BA" w:rsidRPr="004B65BA" w14:paraId="7FF795C5" w14:textId="77777777" w:rsidTr="004B65BA">
        <w:tc>
          <w:tcPr>
            <w:tcW w:w="0" w:type="auto"/>
            <w:hideMark/>
          </w:tcPr>
          <w:p w14:paraId="69926B6E" w14:textId="77777777" w:rsidR="004B65BA" w:rsidRPr="004B65BA" w:rsidRDefault="004B65BA" w:rsidP="004B65BA">
            <w:pPr>
              <w:spacing w:after="160" w:line="360" w:lineRule="auto"/>
              <w:rPr>
                <w:rFonts w:ascii="Arial" w:hAnsi="Arial" w:cs="Arial"/>
              </w:rPr>
            </w:pPr>
            <w:r w:rsidRPr="004B65BA">
              <w:rPr>
                <w:rFonts w:ascii="Arial" w:hAnsi="Arial" w:cs="Arial"/>
              </w:rPr>
              <w:t>5</w:t>
            </w:r>
          </w:p>
        </w:tc>
        <w:tc>
          <w:tcPr>
            <w:tcW w:w="0" w:type="auto"/>
            <w:hideMark/>
          </w:tcPr>
          <w:p w14:paraId="31305AB7" w14:textId="77777777" w:rsidR="004B65BA" w:rsidRPr="004B65BA" w:rsidRDefault="004B65BA" w:rsidP="004B65BA">
            <w:pPr>
              <w:spacing w:after="160" w:line="360" w:lineRule="auto"/>
              <w:rPr>
                <w:rFonts w:ascii="Arial" w:hAnsi="Arial" w:cs="Arial"/>
              </w:rPr>
            </w:pPr>
            <w:r w:rsidRPr="004B65BA">
              <w:rPr>
                <w:rFonts w:ascii="Arial" w:hAnsi="Arial" w:cs="Arial"/>
              </w:rPr>
              <w:t>0.621</w:t>
            </w:r>
          </w:p>
        </w:tc>
        <w:tc>
          <w:tcPr>
            <w:tcW w:w="0" w:type="auto"/>
            <w:hideMark/>
          </w:tcPr>
          <w:p w14:paraId="2714ECB5" w14:textId="77777777" w:rsidR="004B65BA" w:rsidRPr="004B65BA" w:rsidRDefault="004B65BA" w:rsidP="004B65BA">
            <w:pPr>
              <w:spacing w:after="160" w:line="360" w:lineRule="auto"/>
              <w:rPr>
                <w:rFonts w:ascii="Arial" w:hAnsi="Arial" w:cs="Arial"/>
              </w:rPr>
            </w:pPr>
            <w:r w:rsidRPr="004B65BA">
              <w:rPr>
                <w:rFonts w:ascii="Arial" w:hAnsi="Arial" w:cs="Arial"/>
              </w:rPr>
              <w:t>4.97</w:t>
            </w:r>
          </w:p>
        </w:tc>
        <w:tc>
          <w:tcPr>
            <w:tcW w:w="0" w:type="auto"/>
            <w:hideMark/>
          </w:tcPr>
          <w:p w14:paraId="68C9A781" w14:textId="77777777" w:rsidR="004B65BA" w:rsidRPr="004B65BA" w:rsidRDefault="004B65BA" w:rsidP="004B65BA">
            <w:pPr>
              <w:spacing w:after="160" w:line="360" w:lineRule="auto"/>
              <w:rPr>
                <w:rFonts w:ascii="Arial" w:hAnsi="Arial" w:cs="Arial"/>
              </w:rPr>
            </w:pPr>
            <w:r w:rsidRPr="004B65BA">
              <w:rPr>
                <w:rFonts w:ascii="Arial" w:hAnsi="Arial" w:cs="Arial"/>
              </w:rPr>
              <w:t>3.73</w:t>
            </w:r>
          </w:p>
        </w:tc>
        <w:tc>
          <w:tcPr>
            <w:tcW w:w="0" w:type="auto"/>
            <w:hideMark/>
          </w:tcPr>
          <w:p w14:paraId="1B2BF235" w14:textId="77777777" w:rsidR="004B65BA" w:rsidRPr="004B65BA" w:rsidRDefault="004B65BA" w:rsidP="004B65BA">
            <w:pPr>
              <w:spacing w:after="160" w:line="360" w:lineRule="auto"/>
              <w:rPr>
                <w:rFonts w:ascii="Arial" w:hAnsi="Arial" w:cs="Arial"/>
              </w:rPr>
            </w:pPr>
            <w:r w:rsidRPr="004B65BA">
              <w:rPr>
                <w:rFonts w:ascii="Arial" w:hAnsi="Arial" w:cs="Arial"/>
              </w:rPr>
              <w:t>9.32</w:t>
            </w:r>
          </w:p>
        </w:tc>
      </w:tr>
      <w:tr w:rsidR="004B65BA" w:rsidRPr="004B65BA" w14:paraId="2BBD7707" w14:textId="77777777" w:rsidTr="004B65BA">
        <w:tc>
          <w:tcPr>
            <w:tcW w:w="0" w:type="auto"/>
            <w:hideMark/>
          </w:tcPr>
          <w:p w14:paraId="5839A173" w14:textId="77777777" w:rsidR="004B65BA" w:rsidRPr="004B65BA" w:rsidRDefault="004B65BA" w:rsidP="004B65BA">
            <w:pPr>
              <w:spacing w:after="160" w:line="360" w:lineRule="auto"/>
              <w:rPr>
                <w:rFonts w:ascii="Arial" w:hAnsi="Arial" w:cs="Arial"/>
              </w:rPr>
            </w:pPr>
            <w:r w:rsidRPr="004B65BA">
              <w:rPr>
                <w:rFonts w:ascii="Arial" w:hAnsi="Arial" w:cs="Arial"/>
                <w:b/>
                <w:bCs/>
              </w:rPr>
              <w:t>NPV (£m)</w:t>
            </w:r>
          </w:p>
        </w:tc>
        <w:tc>
          <w:tcPr>
            <w:tcW w:w="0" w:type="auto"/>
            <w:hideMark/>
          </w:tcPr>
          <w:p w14:paraId="35F38E6C" w14:textId="77777777" w:rsidR="004B65BA" w:rsidRPr="004B65BA" w:rsidRDefault="004B65BA" w:rsidP="004B65BA">
            <w:pPr>
              <w:spacing w:after="160" w:line="360" w:lineRule="auto"/>
              <w:rPr>
                <w:rFonts w:ascii="Arial" w:hAnsi="Arial" w:cs="Arial"/>
              </w:rPr>
            </w:pPr>
            <w:r w:rsidRPr="004B65BA">
              <w:rPr>
                <w:rFonts w:ascii="Arial" w:hAnsi="Arial" w:cs="Arial"/>
              </w:rPr>
              <w:t>—</w:t>
            </w:r>
          </w:p>
        </w:tc>
        <w:tc>
          <w:tcPr>
            <w:tcW w:w="0" w:type="auto"/>
            <w:hideMark/>
          </w:tcPr>
          <w:p w14:paraId="5BAB9050" w14:textId="77777777" w:rsidR="004B65BA" w:rsidRPr="004B65BA" w:rsidRDefault="004B65BA" w:rsidP="004B65BA">
            <w:pPr>
              <w:spacing w:after="160" w:line="360" w:lineRule="auto"/>
              <w:rPr>
                <w:rFonts w:ascii="Arial" w:hAnsi="Arial" w:cs="Arial"/>
              </w:rPr>
            </w:pPr>
            <w:r w:rsidRPr="004B65BA">
              <w:rPr>
                <w:rFonts w:ascii="Arial" w:hAnsi="Arial" w:cs="Arial"/>
                <w:b/>
                <w:bCs/>
              </w:rPr>
              <w:t>1.31</w:t>
            </w:r>
          </w:p>
        </w:tc>
        <w:tc>
          <w:tcPr>
            <w:tcW w:w="0" w:type="auto"/>
            <w:hideMark/>
          </w:tcPr>
          <w:p w14:paraId="5FCC270D" w14:textId="77777777" w:rsidR="004B65BA" w:rsidRPr="004B65BA" w:rsidRDefault="004B65BA" w:rsidP="004B65BA">
            <w:pPr>
              <w:spacing w:after="160" w:line="360" w:lineRule="auto"/>
              <w:rPr>
                <w:rFonts w:ascii="Arial" w:hAnsi="Arial" w:cs="Arial"/>
              </w:rPr>
            </w:pPr>
            <w:r w:rsidRPr="004B65BA">
              <w:rPr>
                <w:rFonts w:ascii="Arial" w:hAnsi="Arial" w:cs="Arial"/>
                <w:b/>
                <w:bCs/>
              </w:rPr>
              <w:t>-7.25</w:t>
            </w:r>
          </w:p>
        </w:tc>
        <w:tc>
          <w:tcPr>
            <w:tcW w:w="0" w:type="auto"/>
            <w:hideMark/>
          </w:tcPr>
          <w:p w14:paraId="3602FD55" w14:textId="77777777" w:rsidR="004B65BA" w:rsidRPr="004B65BA" w:rsidRDefault="004B65BA" w:rsidP="004B65BA">
            <w:pPr>
              <w:spacing w:after="160" w:line="360" w:lineRule="auto"/>
              <w:rPr>
                <w:rFonts w:ascii="Arial" w:hAnsi="Arial" w:cs="Arial"/>
              </w:rPr>
            </w:pPr>
            <w:r w:rsidRPr="004B65BA">
              <w:rPr>
                <w:rFonts w:ascii="Arial" w:hAnsi="Arial" w:cs="Arial"/>
                <w:b/>
                <w:bCs/>
              </w:rPr>
              <w:t>4.23</w:t>
            </w:r>
          </w:p>
        </w:tc>
      </w:tr>
    </w:tbl>
    <w:p w14:paraId="19867137" w14:textId="77777777" w:rsidR="00DA5C61" w:rsidRDefault="00DA5C61" w:rsidP="004B65BA">
      <w:pPr>
        <w:spacing w:line="360" w:lineRule="auto"/>
        <w:rPr>
          <w:rFonts w:ascii="Arial" w:hAnsi="Arial" w:cs="Arial"/>
          <w:b/>
          <w:bCs/>
        </w:rPr>
      </w:pPr>
    </w:p>
    <w:p w14:paraId="1E8C1685" w14:textId="5D8384B1" w:rsidR="004B65BA" w:rsidRPr="004B65BA" w:rsidRDefault="004B65BA" w:rsidP="004B65BA">
      <w:pPr>
        <w:spacing w:line="360" w:lineRule="auto"/>
        <w:rPr>
          <w:rFonts w:ascii="Arial" w:hAnsi="Arial" w:cs="Arial"/>
        </w:rPr>
      </w:pPr>
      <w:r w:rsidRPr="004B65BA">
        <w:rPr>
          <w:rFonts w:ascii="Arial" w:hAnsi="Arial" w:cs="Arial"/>
          <w:b/>
          <w:bCs/>
        </w:rPr>
        <w:t>Table D2. IRR and PI Summary</w:t>
      </w:r>
    </w:p>
    <w:tbl>
      <w:tblPr>
        <w:tblStyle w:val="TableGrid"/>
        <w:tblW w:w="0" w:type="auto"/>
        <w:tblLook w:val="04A0" w:firstRow="1" w:lastRow="0" w:firstColumn="1" w:lastColumn="0" w:noHBand="0" w:noVBand="1"/>
      </w:tblPr>
      <w:tblGrid>
        <w:gridCol w:w="1030"/>
        <w:gridCol w:w="1070"/>
        <w:gridCol w:w="684"/>
        <w:gridCol w:w="1217"/>
      </w:tblGrid>
      <w:tr w:rsidR="004B65BA" w:rsidRPr="004B65BA" w14:paraId="1E4AEF4D" w14:textId="77777777" w:rsidTr="004B65BA">
        <w:tc>
          <w:tcPr>
            <w:tcW w:w="0" w:type="auto"/>
            <w:hideMark/>
          </w:tcPr>
          <w:p w14:paraId="7F48B106"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Project</w:t>
            </w:r>
          </w:p>
        </w:tc>
        <w:tc>
          <w:tcPr>
            <w:tcW w:w="0" w:type="auto"/>
            <w:hideMark/>
          </w:tcPr>
          <w:p w14:paraId="22BC22A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IRR (%)</w:t>
            </w:r>
          </w:p>
        </w:tc>
        <w:tc>
          <w:tcPr>
            <w:tcW w:w="0" w:type="auto"/>
            <w:hideMark/>
          </w:tcPr>
          <w:p w14:paraId="268B051D"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PI</w:t>
            </w:r>
          </w:p>
        </w:tc>
        <w:tc>
          <w:tcPr>
            <w:tcW w:w="0" w:type="auto"/>
            <w:hideMark/>
          </w:tcPr>
          <w:p w14:paraId="3E50013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Decision</w:t>
            </w:r>
          </w:p>
        </w:tc>
      </w:tr>
      <w:tr w:rsidR="004B65BA" w:rsidRPr="004B65BA" w14:paraId="13ED57E3" w14:textId="77777777" w:rsidTr="004B65BA">
        <w:tc>
          <w:tcPr>
            <w:tcW w:w="0" w:type="auto"/>
            <w:hideMark/>
          </w:tcPr>
          <w:p w14:paraId="3BCB146C" w14:textId="77777777" w:rsidR="004B65BA" w:rsidRPr="004B65BA" w:rsidRDefault="004B65BA" w:rsidP="004B65BA">
            <w:pPr>
              <w:spacing w:after="160" w:line="360" w:lineRule="auto"/>
              <w:rPr>
                <w:rFonts w:ascii="Arial" w:hAnsi="Arial" w:cs="Arial"/>
              </w:rPr>
            </w:pPr>
            <w:r w:rsidRPr="004B65BA">
              <w:rPr>
                <w:rFonts w:ascii="Arial" w:hAnsi="Arial" w:cs="Arial"/>
              </w:rPr>
              <w:lastRenderedPageBreak/>
              <w:t>A</w:t>
            </w:r>
          </w:p>
        </w:tc>
        <w:tc>
          <w:tcPr>
            <w:tcW w:w="0" w:type="auto"/>
            <w:hideMark/>
          </w:tcPr>
          <w:p w14:paraId="78DB3697" w14:textId="77777777" w:rsidR="004B65BA" w:rsidRPr="004B65BA" w:rsidRDefault="004B65BA" w:rsidP="004B65BA">
            <w:pPr>
              <w:spacing w:after="160" w:line="360" w:lineRule="auto"/>
              <w:rPr>
                <w:rFonts w:ascii="Arial" w:hAnsi="Arial" w:cs="Arial"/>
              </w:rPr>
            </w:pPr>
            <w:r w:rsidRPr="004B65BA">
              <w:rPr>
                <w:rFonts w:ascii="Arial" w:hAnsi="Arial" w:cs="Arial"/>
              </w:rPr>
              <w:t>11.2</w:t>
            </w:r>
          </w:p>
        </w:tc>
        <w:tc>
          <w:tcPr>
            <w:tcW w:w="0" w:type="auto"/>
            <w:hideMark/>
          </w:tcPr>
          <w:p w14:paraId="0CCA4A60" w14:textId="77777777" w:rsidR="004B65BA" w:rsidRPr="004B65BA" w:rsidRDefault="004B65BA" w:rsidP="004B65BA">
            <w:pPr>
              <w:spacing w:after="160" w:line="360" w:lineRule="auto"/>
              <w:rPr>
                <w:rFonts w:ascii="Arial" w:hAnsi="Arial" w:cs="Arial"/>
              </w:rPr>
            </w:pPr>
            <w:r w:rsidRPr="004B65BA">
              <w:rPr>
                <w:rFonts w:ascii="Arial" w:hAnsi="Arial" w:cs="Arial"/>
              </w:rPr>
              <w:t>1.03</w:t>
            </w:r>
          </w:p>
        </w:tc>
        <w:tc>
          <w:tcPr>
            <w:tcW w:w="0" w:type="auto"/>
            <w:hideMark/>
          </w:tcPr>
          <w:p w14:paraId="479400BE" w14:textId="77777777" w:rsidR="004B65BA" w:rsidRPr="004B65BA" w:rsidRDefault="004B65BA" w:rsidP="004B65BA">
            <w:pPr>
              <w:spacing w:after="160" w:line="360" w:lineRule="auto"/>
              <w:rPr>
                <w:rFonts w:ascii="Arial" w:hAnsi="Arial" w:cs="Arial"/>
              </w:rPr>
            </w:pPr>
            <w:r w:rsidRPr="004B65BA">
              <w:rPr>
                <w:rFonts w:ascii="Arial" w:hAnsi="Arial" w:cs="Arial"/>
              </w:rPr>
              <w:t>Accept</w:t>
            </w:r>
          </w:p>
        </w:tc>
      </w:tr>
      <w:tr w:rsidR="004B65BA" w:rsidRPr="004B65BA" w14:paraId="7AE57A55" w14:textId="77777777" w:rsidTr="004B65BA">
        <w:tc>
          <w:tcPr>
            <w:tcW w:w="0" w:type="auto"/>
            <w:hideMark/>
          </w:tcPr>
          <w:p w14:paraId="1351514C" w14:textId="77777777" w:rsidR="004B65BA" w:rsidRPr="004B65BA" w:rsidRDefault="004B65BA" w:rsidP="004B65BA">
            <w:pPr>
              <w:spacing w:after="160" w:line="360" w:lineRule="auto"/>
              <w:rPr>
                <w:rFonts w:ascii="Arial" w:hAnsi="Arial" w:cs="Arial"/>
              </w:rPr>
            </w:pPr>
            <w:r w:rsidRPr="004B65BA">
              <w:rPr>
                <w:rFonts w:ascii="Arial" w:hAnsi="Arial" w:cs="Arial"/>
              </w:rPr>
              <w:t>B</w:t>
            </w:r>
          </w:p>
        </w:tc>
        <w:tc>
          <w:tcPr>
            <w:tcW w:w="0" w:type="auto"/>
            <w:hideMark/>
          </w:tcPr>
          <w:p w14:paraId="31A87C12" w14:textId="77777777" w:rsidR="004B65BA" w:rsidRPr="004B65BA" w:rsidRDefault="004B65BA" w:rsidP="004B65BA">
            <w:pPr>
              <w:spacing w:after="160" w:line="360" w:lineRule="auto"/>
              <w:rPr>
                <w:rFonts w:ascii="Arial" w:hAnsi="Arial" w:cs="Arial"/>
              </w:rPr>
            </w:pPr>
            <w:r w:rsidRPr="004B65BA">
              <w:rPr>
                <w:rFonts w:ascii="Arial" w:hAnsi="Arial" w:cs="Arial"/>
              </w:rPr>
              <w:t>7.5</w:t>
            </w:r>
          </w:p>
        </w:tc>
        <w:tc>
          <w:tcPr>
            <w:tcW w:w="0" w:type="auto"/>
            <w:hideMark/>
          </w:tcPr>
          <w:p w14:paraId="27AC7F81" w14:textId="77777777" w:rsidR="004B65BA" w:rsidRPr="004B65BA" w:rsidRDefault="004B65BA" w:rsidP="004B65BA">
            <w:pPr>
              <w:spacing w:after="160" w:line="360" w:lineRule="auto"/>
              <w:rPr>
                <w:rFonts w:ascii="Arial" w:hAnsi="Arial" w:cs="Arial"/>
              </w:rPr>
            </w:pPr>
            <w:r w:rsidRPr="004B65BA">
              <w:rPr>
                <w:rFonts w:ascii="Arial" w:hAnsi="Arial" w:cs="Arial"/>
              </w:rPr>
              <w:t>0.76</w:t>
            </w:r>
          </w:p>
        </w:tc>
        <w:tc>
          <w:tcPr>
            <w:tcW w:w="0" w:type="auto"/>
            <w:hideMark/>
          </w:tcPr>
          <w:p w14:paraId="1FA43DD9" w14:textId="77777777" w:rsidR="004B65BA" w:rsidRPr="004B65BA" w:rsidRDefault="004B65BA" w:rsidP="004B65BA">
            <w:pPr>
              <w:spacing w:after="160" w:line="360" w:lineRule="auto"/>
              <w:rPr>
                <w:rFonts w:ascii="Arial" w:hAnsi="Arial" w:cs="Arial"/>
              </w:rPr>
            </w:pPr>
            <w:r w:rsidRPr="004B65BA">
              <w:rPr>
                <w:rFonts w:ascii="Arial" w:hAnsi="Arial" w:cs="Arial"/>
              </w:rPr>
              <w:t>Reject</w:t>
            </w:r>
          </w:p>
        </w:tc>
      </w:tr>
      <w:tr w:rsidR="004B65BA" w:rsidRPr="004B65BA" w14:paraId="3F4A59E5" w14:textId="77777777" w:rsidTr="004B65BA">
        <w:tc>
          <w:tcPr>
            <w:tcW w:w="0" w:type="auto"/>
            <w:hideMark/>
          </w:tcPr>
          <w:p w14:paraId="5092FA2D" w14:textId="77777777" w:rsidR="004B65BA" w:rsidRPr="004B65BA" w:rsidRDefault="004B65BA" w:rsidP="004B65BA">
            <w:pPr>
              <w:spacing w:after="160" w:line="360" w:lineRule="auto"/>
              <w:rPr>
                <w:rFonts w:ascii="Arial" w:hAnsi="Arial" w:cs="Arial"/>
              </w:rPr>
            </w:pPr>
            <w:r w:rsidRPr="004B65BA">
              <w:rPr>
                <w:rFonts w:ascii="Arial" w:hAnsi="Arial" w:cs="Arial"/>
              </w:rPr>
              <w:t>C</w:t>
            </w:r>
          </w:p>
        </w:tc>
        <w:tc>
          <w:tcPr>
            <w:tcW w:w="0" w:type="auto"/>
            <w:hideMark/>
          </w:tcPr>
          <w:p w14:paraId="31946E62" w14:textId="77777777" w:rsidR="004B65BA" w:rsidRPr="004B65BA" w:rsidRDefault="004B65BA" w:rsidP="004B65BA">
            <w:pPr>
              <w:spacing w:after="160" w:line="360" w:lineRule="auto"/>
              <w:rPr>
                <w:rFonts w:ascii="Arial" w:hAnsi="Arial" w:cs="Arial"/>
              </w:rPr>
            </w:pPr>
            <w:r w:rsidRPr="004B65BA">
              <w:rPr>
                <w:rFonts w:ascii="Arial" w:hAnsi="Arial" w:cs="Arial"/>
              </w:rPr>
              <w:t>13.5</w:t>
            </w:r>
          </w:p>
        </w:tc>
        <w:tc>
          <w:tcPr>
            <w:tcW w:w="0" w:type="auto"/>
            <w:hideMark/>
          </w:tcPr>
          <w:p w14:paraId="265B7DDE" w14:textId="77777777" w:rsidR="004B65BA" w:rsidRPr="004B65BA" w:rsidRDefault="004B65BA" w:rsidP="004B65BA">
            <w:pPr>
              <w:spacing w:after="160" w:line="360" w:lineRule="auto"/>
              <w:rPr>
                <w:rFonts w:ascii="Arial" w:hAnsi="Arial" w:cs="Arial"/>
              </w:rPr>
            </w:pPr>
            <w:r w:rsidRPr="004B65BA">
              <w:rPr>
                <w:rFonts w:ascii="Arial" w:hAnsi="Arial" w:cs="Arial"/>
              </w:rPr>
              <w:t>1.08</w:t>
            </w:r>
          </w:p>
        </w:tc>
        <w:tc>
          <w:tcPr>
            <w:tcW w:w="0" w:type="auto"/>
            <w:hideMark/>
          </w:tcPr>
          <w:p w14:paraId="1EF88671" w14:textId="77777777" w:rsidR="004B65BA" w:rsidRPr="004B65BA" w:rsidRDefault="004B65BA" w:rsidP="004B65BA">
            <w:pPr>
              <w:spacing w:after="160" w:line="360" w:lineRule="auto"/>
              <w:rPr>
                <w:rFonts w:ascii="Arial" w:hAnsi="Arial" w:cs="Arial"/>
              </w:rPr>
            </w:pPr>
            <w:r w:rsidRPr="004B65BA">
              <w:rPr>
                <w:rFonts w:ascii="Arial" w:hAnsi="Arial" w:cs="Arial"/>
              </w:rPr>
              <w:t>Accept</w:t>
            </w:r>
          </w:p>
        </w:tc>
      </w:tr>
    </w:tbl>
    <w:p w14:paraId="33F7B208" w14:textId="77777777" w:rsidR="00DA5C61" w:rsidRDefault="00DA5C61" w:rsidP="004B65BA">
      <w:pPr>
        <w:spacing w:line="360" w:lineRule="auto"/>
        <w:rPr>
          <w:rFonts w:ascii="Arial" w:hAnsi="Arial" w:cs="Arial"/>
          <w:b/>
          <w:bCs/>
        </w:rPr>
      </w:pPr>
    </w:p>
    <w:p w14:paraId="74BC2633" w14:textId="051FE743" w:rsidR="004B65BA" w:rsidRPr="004B65BA" w:rsidRDefault="004B65BA" w:rsidP="004B65BA">
      <w:pPr>
        <w:spacing w:line="360" w:lineRule="auto"/>
        <w:rPr>
          <w:rFonts w:ascii="Arial" w:hAnsi="Arial" w:cs="Arial"/>
          <w:b/>
          <w:bCs/>
        </w:rPr>
      </w:pPr>
      <w:r w:rsidRPr="004B65BA">
        <w:rPr>
          <w:rFonts w:ascii="Arial" w:hAnsi="Arial" w:cs="Arial"/>
          <w:b/>
          <w:bCs/>
        </w:rPr>
        <w:t>Appendix E: Summary of Recommendations</w:t>
      </w:r>
    </w:p>
    <w:tbl>
      <w:tblPr>
        <w:tblStyle w:val="TableGrid"/>
        <w:tblW w:w="0" w:type="auto"/>
        <w:tblLook w:val="04A0" w:firstRow="1" w:lastRow="0" w:firstColumn="1" w:lastColumn="0" w:noHBand="0" w:noVBand="1"/>
      </w:tblPr>
      <w:tblGrid>
        <w:gridCol w:w="2004"/>
        <w:gridCol w:w="4065"/>
        <w:gridCol w:w="2631"/>
      </w:tblGrid>
      <w:tr w:rsidR="004B65BA" w:rsidRPr="004B65BA" w14:paraId="2D10B293" w14:textId="77777777" w:rsidTr="004B65BA">
        <w:tc>
          <w:tcPr>
            <w:tcW w:w="0" w:type="auto"/>
            <w:hideMark/>
          </w:tcPr>
          <w:p w14:paraId="71126F94"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Strategic Area</w:t>
            </w:r>
          </w:p>
        </w:tc>
        <w:tc>
          <w:tcPr>
            <w:tcW w:w="0" w:type="auto"/>
            <w:hideMark/>
          </w:tcPr>
          <w:p w14:paraId="6B4F871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Action</w:t>
            </w:r>
          </w:p>
        </w:tc>
        <w:tc>
          <w:tcPr>
            <w:tcW w:w="0" w:type="auto"/>
            <w:hideMark/>
          </w:tcPr>
          <w:p w14:paraId="64FF313C"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Expected Outcome</w:t>
            </w:r>
          </w:p>
        </w:tc>
      </w:tr>
      <w:tr w:rsidR="004B65BA" w:rsidRPr="004B65BA" w14:paraId="1BE7A747" w14:textId="77777777" w:rsidTr="004B65BA">
        <w:tc>
          <w:tcPr>
            <w:tcW w:w="0" w:type="auto"/>
            <w:hideMark/>
          </w:tcPr>
          <w:p w14:paraId="749F7AD4" w14:textId="77777777" w:rsidR="004B65BA" w:rsidRPr="004B65BA" w:rsidRDefault="004B65BA" w:rsidP="004B65BA">
            <w:pPr>
              <w:spacing w:after="160" w:line="360" w:lineRule="auto"/>
              <w:rPr>
                <w:rFonts w:ascii="Arial" w:hAnsi="Arial" w:cs="Arial"/>
              </w:rPr>
            </w:pPr>
            <w:r w:rsidRPr="004B65BA">
              <w:rPr>
                <w:rFonts w:ascii="Arial" w:hAnsi="Arial" w:cs="Arial"/>
              </w:rPr>
              <w:t>Working Capital</w:t>
            </w:r>
          </w:p>
        </w:tc>
        <w:tc>
          <w:tcPr>
            <w:tcW w:w="0" w:type="auto"/>
            <w:hideMark/>
          </w:tcPr>
          <w:p w14:paraId="25381785" w14:textId="77777777" w:rsidR="004B65BA" w:rsidRPr="004B65BA" w:rsidRDefault="004B65BA" w:rsidP="004B65BA">
            <w:pPr>
              <w:spacing w:after="160" w:line="360" w:lineRule="auto"/>
              <w:rPr>
                <w:rFonts w:ascii="Arial" w:hAnsi="Arial" w:cs="Arial"/>
              </w:rPr>
            </w:pPr>
            <w:r w:rsidRPr="004B65BA">
              <w:rPr>
                <w:rFonts w:ascii="Arial" w:hAnsi="Arial" w:cs="Arial"/>
              </w:rPr>
              <w:t>Reduce CCC from 149 → &lt; 90 days</w:t>
            </w:r>
          </w:p>
        </w:tc>
        <w:tc>
          <w:tcPr>
            <w:tcW w:w="0" w:type="auto"/>
            <w:hideMark/>
          </w:tcPr>
          <w:p w14:paraId="73EB1092" w14:textId="77777777" w:rsidR="004B65BA" w:rsidRPr="004B65BA" w:rsidRDefault="004B65BA" w:rsidP="004B65BA">
            <w:pPr>
              <w:spacing w:after="160" w:line="360" w:lineRule="auto"/>
              <w:rPr>
                <w:rFonts w:ascii="Arial" w:hAnsi="Arial" w:cs="Arial"/>
              </w:rPr>
            </w:pPr>
            <w:r w:rsidRPr="004B65BA">
              <w:rPr>
                <w:rFonts w:ascii="Arial" w:hAnsi="Arial" w:cs="Arial"/>
              </w:rPr>
              <w:t>+£25 bn liquidity</w:t>
            </w:r>
          </w:p>
        </w:tc>
      </w:tr>
      <w:tr w:rsidR="004B65BA" w:rsidRPr="004B65BA" w14:paraId="4C94B0B8" w14:textId="77777777" w:rsidTr="004B65BA">
        <w:tc>
          <w:tcPr>
            <w:tcW w:w="0" w:type="auto"/>
            <w:hideMark/>
          </w:tcPr>
          <w:p w14:paraId="21091A8C" w14:textId="77777777" w:rsidR="004B65BA" w:rsidRPr="004B65BA" w:rsidRDefault="004B65BA" w:rsidP="004B65BA">
            <w:pPr>
              <w:spacing w:after="160" w:line="360" w:lineRule="auto"/>
              <w:rPr>
                <w:rFonts w:ascii="Arial" w:hAnsi="Arial" w:cs="Arial"/>
              </w:rPr>
            </w:pPr>
            <w:r w:rsidRPr="004B65BA">
              <w:rPr>
                <w:rFonts w:ascii="Arial" w:hAnsi="Arial" w:cs="Arial"/>
              </w:rPr>
              <w:t>Capital Structure</w:t>
            </w:r>
          </w:p>
        </w:tc>
        <w:tc>
          <w:tcPr>
            <w:tcW w:w="0" w:type="auto"/>
            <w:hideMark/>
          </w:tcPr>
          <w:p w14:paraId="754C38D5" w14:textId="77777777" w:rsidR="004B65BA" w:rsidRPr="004B65BA" w:rsidRDefault="004B65BA" w:rsidP="004B65BA">
            <w:pPr>
              <w:spacing w:after="160" w:line="360" w:lineRule="auto"/>
              <w:rPr>
                <w:rFonts w:ascii="Arial" w:hAnsi="Arial" w:cs="Arial"/>
              </w:rPr>
            </w:pPr>
            <w:r w:rsidRPr="004B65BA">
              <w:rPr>
                <w:rFonts w:ascii="Arial" w:hAnsi="Arial" w:cs="Arial"/>
              </w:rPr>
              <w:t>Rights issue + debt reschedule</w:t>
            </w:r>
          </w:p>
        </w:tc>
        <w:tc>
          <w:tcPr>
            <w:tcW w:w="0" w:type="auto"/>
            <w:hideMark/>
          </w:tcPr>
          <w:p w14:paraId="082D4AA1" w14:textId="77777777" w:rsidR="004B65BA" w:rsidRPr="004B65BA" w:rsidRDefault="004B65BA" w:rsidP="004B65BA">
            <w:pPr>
              <w:spacing w:after="160" w:line="360" w:lineRule="auto"/>
              <w:rPr>
                <w:rFonts w:ascii="Arial" w:hAnsi="Arial" w:cs="Arial"/>
              </w:rPr>
            </w:pPr>
            <w:r w:rsidRPr="004B65BA">
              <w:rPr>
                <w:rFonts w:ascii="Arial" w:hAnsi="Arial" w:cs="Arial"/>
              </w:rPr>
              <w:t>D/E 1.11 → 0.80</w:t>
            </w:r>
          </w:p>
        </w:tc>
      </w:tr>
      <w:tr w:rsidR="004B65BA" w:rsidRPr="004B65BA" w14:paraId="0D5B3A65" w14:textId="77777777" w:rsidTr="004B65BA">
        <w:tc>
          <w:tcPr>
            <w:tcW w:w="0" w:type="auto"/>
            <w:hideMark/>
          </w:tcPr>
          <w:p w14:paraId="7F4C5F74" w14:textId="77777777" w:rsidR="004B65BA" w:rsidRPr="004B65BA" w:rsidRDefault="004B65BA" w:rsidP="004B65BA">
            <w:pPr>
              <w:spacing w:after="160" w:line="360" w:lineRule="auto"/>
              <w:rPr>
                <w:rFonts w:ascii="Arial" w:hAnsi="Arial" w:cs="Arial"/>
              </w:rPr>
            </w:pPr>
            <w:r w:rsidRPr="004B65BA">
              <w:rPr>
                <w:rFonts w:ascii="Arial" w:hAnsi="Arial" w:cs="Arial"/>
              </w:rPr>
              <w:t>Operations</w:t>
            </w:r>
          </w:p>
        </w:tc>
        <w:tc>
          <w:tcPr>
            <w:tcW w:w="0" w:type="auto"/>
            <w:hideMark/>
          </w:tcPr>
          <w:p w14:paraId="2FF6D276" w14:textId="77777777" w:rsidR="004B65BA" w:rsidRPr="004B65BA" w:rsidRDefault="004B65BA" w:rsidP="004B65BA">
            <w:pPr>
              <w:spacing w:after="160" w:line="360" w:lineRule="auto"/>
              <w:rPr>
                <w:rFonts w:ascii="Arial" w:hAnsi="Arial" w:cs="Arial"/>
              </w:rPr>
            </w:pPr>
            <w:r w:rsidRPr="004B65BA">
              <w:rPr>
                <w:rFonts w:ascii="Arial" w:hAnsi="Arial" w:cs="Arial"/>
              </w:rPr>
              <w:t>ZBB + automation</w:t>
            </w:r>
          </w:p>
        </w:tc>
        <w:tc>
          <w:tcPr>
            <w:tcW w:w="0" w:type="auto"/>
            <w:hideMark/>
          </w:tcPr>
          <w:p w14:paraId="2AF4D34F" w14:textId="77777777" w:rsidR="004B65BA" w:rsidRPr="004B65BA" w:rsidRDefault="004B65BA" w:rsidP="004B65BA">
            <w:pPr>
              <w:spacing w:after="160" w:line="360" w:lineRule="auto"/>
              <w:rPr>
                <w:rFonts w:ascii="Arial" w:hAnsi="Arial" w:cs="Arial"/>
              </w:rPr>
            </w:pPr>
            <w:r w:rsidRPr="004B65BA">
              <w:rPr>
                <w:rFonts w:ascii="Arial" w:hAnsi="Arial" w:cs="Arial"/>
              </w:rPr>
              <w:t>EBIT margin +10 pp</w:t>
            </w:r>
          </w:p>
        </w:tc>
      </w:tr>
      <w:tr w:rsidR="004B65BA" w:rsidRPr="004B65BA" w14:paraId="5BF809D2" w14:textId="77777777" w:rsidTr="004B65BA">
        <w:tc>
          <w:tcPr>
            <w:tcW w:w="0" w:type="auto"/>
            <w:hideMark/>
          </w:tcPr>
          <w:p w14:paraId="7FDBED1C" w14:textId="77777777" w:rsidR="004B65BA" w:rsidRPr="004B65BA" w:rsidRDefault="004B65BA" w:rsidP="004B65BA">
            <w:pPr>
              <w:spacing w:after="160" w:line="360" w:lineRule="auto"/>
              <w:rPr>
                <w:rFonts w:ascii="Arial" w:hAnsi="Arial" w:cs="Arial"/>
              </w:rPr>
            </w:pPr>
            <w:r w:rsidRPr="004B65BA">
              <w:rPr>
                <w:rFonts w:ascii="Arial" w:hAnsi="Arial" w:cs="Arial"/>
              </w:rPr>
              <w:t>Investment</w:t>
            </w:r>
          </w:p>
        </w:tc>
        <w:tc>
          <w:tcPr>
            <w:tcW w:w="0" w:type="auto"/>
            <w:hideMark/>
          </w:tcPr>
          <w:p w14:paraId="332442C2" w14:textId="77777777" w:rsidR="004B65BA" w:rsidRPr="004B65BA" w:rsidRDefault="004B65BA" w:rsidP="004B65BA">
            <w:pPr>
              <w:spacing w:after="160" w:line="360" w:lineRule="auto"/>
              <w:rPr>
                <w:rFonts w:ascii="Arial" w:hAnsi="Arial" w:cs="Arial"/>
              </w:rPr>
            </w:pPr>
            <w:r w:rsidRPr="004B65BA">
              <w:rPr>
                <w:rFonts w:ascii="Arial" w:hAnsi="Arial" w:cs="Arial"/>
              </w:rPr>
              <w:t>Implement Project C</w:t>
            </w:r>
          </w:p>
        </w:tc>
        <w:tc>
          <w:tcPr>
            <w:tcW w:w="0" w:type="auto"/>
            <w:hideMark/>
          </w:tcPr>
          <w:p w14:paraId="1121E26C" w14:textId="77777777" w:rsidR="004B65BA" w:rsidRPr="004B65BA" w:rsidRDefault="004B65BA" w:rsidP="004B65BA">
            <w:pPr>
              <w:spacing w:after="160" w:line="360" w:lineRule="auto"/>
              <w:rPr>
                <w:rFonts w:ascii="Arial" w:hAnsi="Arial" w:cs="Arial"/>
              </w:rPr>
            </w:pPr>
            <w:r w:rsidRPr="004B65BA">
              <w:rPr>
                <w:rFonts w:ascii="Arial" w:hAnsi="Arial" w:cs="Arial"/>
              </w:rPr>
              <w:t>Sustainable growth</w:t>
            </w:r>
          </w:p>
        </w:tc>
      </w:tr>
      <w:tr w:rsidR="004B65BA" w:rsidRPr="004B65BA" w14:paraId="062A12DD" w14:textId="77777777" w:rsidTr="004B65BA">
        <w:tc>
          <w:tcPr>
            <w:tcW w:w="0" w:type="auto"/>
            <w:hideMark/>
          </w:tcPr>
          <w:p w14:paraId="559DAD28" w14:textId="77777777" w:rsidR="004B65BA" w:rsidRPr="004B65BA" w:rsidRDefault="004B65BA" w:rsidP="004B65BA">
            <w:pPr>
              <w:spacing w:after="160" w:line="360" w:lineRule="auto"/>
              <w:rPr>
                <w:rFonts w:ascii="Arial" w:hAnsi="Arial" w:cs="Arial"/>
              </w:rPr>
            </w:pPr>
            <w:r w:rsidRPr="004B65BA">
              <w:rPr>
                <w:rFonts w:ascii="Arial" w:hAnsi="Arial" w:cs="Arial"/>
              </w:rPr>
              <w:t>Governance</w:t>
            </w:r>
          </w:p>
        </w:tc>
        <w:tc>
          <w:tcPr>
            <w:tcW w:w="0" w:type="auto"/>
            <w:hideMark/>
          </w:tcPr>
          <w:p w14:paraId="1D08B8A4" w14:textId="77777777" w:rsidR="004B65BA" w:rsidRPr="004B65BA" w:rsidRDefault="004B65BA" w:rsidP="004B65BA">
            <w:pPr>
              <w:spacing w:after="160" w:line="360" w:lineRule="auto"/>
              <w:rPr>
                <w:rFonts w:ascii="Arial" w:hAnsi="Arial" w:cs="Arial"/>
              </w:rPr>
            </w:pPr>
            <w:r w:rsidRPr="004B65BA">
              <w:rPr>
                <w:rFonts w:ascii="Arial" w:hAnsi="Arial" w:cs="Arial"/>
              </w:rPr>
              <w:t>ERM + CSR integration</w:t>
            </w:r>
          </w:p>
        </w:tc>
        <w:tc>
          <w:tcPr>
            <w:tcW w:w="0" w:type="auto"/>
            <w:hideMark/>
          </w:tcPr>
          <w:p w14:paraId="72A02EA3" w14:textId="77777777" w:rsidR="004B65BA" w:rsidRPr="004B65BA" w:rsidRDefault="004B65BA" w:rsidP="004B65BA">
            <w:pPr>
              <w:spacing w:after="160" w:line="360" w:lineRule="auto"/>
              <w:rPr>
                <w:rFonts w:ascii="Arial" w:hAnsi="Arial" w:cs="Arial"/>
              </w:rPr>
            </w:pPr>
            <w:r w:rsidRPr="004B65BA">
              <w:rPr>
                <w:rFonts w:ascii="Arial" w:hAnsi="Arial" w:cs="Arial"/>
              </w:rPr>
              <w:t>Restored investor trust</w:t>
            </w:r>
          </w:p>
        </w:tc>
      </w:tr>
    </w:tbl>
    <w:p w14:paraId="1E6C8C29" w14:textId="77777777" w:rsidR="00AB0D36" w:rsidRDefault="00AB0D36" w:rsidP="004B65BA">
      <w:pPr>
        <w:spacing w:line="360" w:lineRule="auto"/>
        <w:rPr>
          <w:rFonts w:ascii="Arial" w:hAnsi="Arial" w:cs="Arial"/>
          <w:b/>
          <w:bCs/>
        </w:rPr>
      </w:pPr>
    </w:p>
    <w:p w14:paraId="0117E379" w14:textId="49179D8F" w:rsidR="009A1386" w:rsidRDefault="004B65BA" w:rsidP="004B65BA">
      <w:pPr>
        <w:spacing w:line="360" w:lineRule="auto"/>
        <w:rPr>
          <w:rFonts w:ascii="Arial" w:hAnsi="Arial" w:cs="Arial"/>
          <w:b/>
          <w:bCs/>
        </w:rPr>
      </w:pPr>
      <w:r w:rsidRPr="004B65BA">
        <w:rPr>
          <w:rFonts w:ascii="Arial" w:hAnsi="Arial" w:cs="Arial"/>
          <w:b/>
          <w:bCs/>
        </w:rPr>
        <w:t>Appendix F: Graphical Summary</w:t>
      </w:r>
      <w:r w:rsidR="00DA5C61">
        <w:rPr>
          <w:rFonts w:ascii="Arial" w:hAnsi="Arial" w:cs="Arial"/>
          <w:b/>
          <w:bCs/>
        </w:rPr>
        <w:t xml:space="preserve"> </w:t>
      </w:r>
      <w:r w:rsidRPr="004B65BA">
        <w:rPr>
          <w:rFonts w:ascii="Arial" w:hAnsi="Arial" w:cs="Arial"/>
          <w:b/>
          <w:bCs/>
        </w:rPr>
        <w:t>Figure F1. Net Income Trend (2020–2024)</w:t>
      </w:r>
    </w:p>
    <w:p w14:paraId="44F7D137" w14:textId="77777777" w:rsidR="00DA5C61" w:rsidRDefault="00200CE4" w:rsidP="004B65BA">
      <w:pPr>
        <w:spacing w:line="360" w:lineRule="auto"/>
        <w:rPr>
          <w:rFonts w:ascii="Arial" w:hAnsi="Arial" w:cs="Arial"/>
          <w:i/>
          <w:iCs/>
        </w:rPr>
      </w:pPr>
      <w:r>
        <w:rPr>
          <w:rFonts w:ascii="Arial" w:hAnsi="Arial" w:cs="Arial"/>
          <w:b/>
          <w:bCs/>
          <w:noProof/>
        </w:rPr>
        <w:drawing>
          <wp:inline distT="0" distB="0" distL="0" distR="0" wp14:anchorId="1A6B10D9" wp14:editId="25D6808E">
            <wp:extent cx="2695575" cy="1706760"/>
            <wp:effectExtent l="0" t="0" r="0" b="8255"/>
            <wp:docPr id="6714451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728859" cy="1727834"/>
                    </a:xfrm>
                    <a:prstGeom prst="rect">
                      <a:avLst/>
                    </a:prstGeom>
                    <a:noFill/>
                  </pic:spPr>
                </pic:pic>
              </a:graphicData>
            </a:graphic>
          </wp:inline>
        </w:drawing>
      </w:r>
      <w:r w:rsidR="009A1386">
        <w:rPr>
          <w:rFonts w:ascii="Arial" w:hAnsi="Arial" w:cs="Arial"/>
          <w:b/>
          <w:bCs/>
          <w:noProof/>
        </w:rPr>
        <w:drawing>
          <wp:inline distT="0" distB="0" distL="0" distR="0" wp14:anchorId="15DA57D6" wp14:editId="42A30B81">
            <wp:extent cx="2811780" cy="1691005"/>
            <wp:effectExtent l="0" t="0" r="7620" b="4445"/>
            <wp:docPr id="8535878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58162" cy="1718899"/>
                    </a:xfrm>
                    <a:prstGeom prst="rect">
                      <a:avLst/>
                    </a:prstGeom>
                    <a:noFill/>
                  </pic:spPr>
                </pic:pic>
              </a:graphicData>
            </a:graphic>
          </wp:inline>
        </w:drawing>
      </w:r>
      <w:r w:rsidR="009A1386" w:rsidRPr="004B65BA">
        <w:rPr>
          <w:rFonts w:ascii="Arial" w:hAnsi="Arial" w:cs="Arial"/>
          <w:i/>
          <w:iCs/>
        </w:rPr>
        <w:t xml:space="preserve"> </w:t>
      </w:r>
      <w:r>
        <w:rPr>
          <w:rFonts w:ascii="Arial" w:hAnsi="Arial" w:cs="Arial"/>
          <w:b/>
          <w:bCs/>
          <w:noProof/>
        </w:rPr>
        <w:drawing>
          <wp:inline distT="0" distB="0" distL="0" distR="0" wp14:anchorId="28A3EFAB" wp14:editId="701DCF35">
            <wp:extent cx="2613660" cy="1908810"/>
            <wp:effectExtent l="0" t="0" r="0" b="0"/>
            <wp:docPr id="89110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655230" cy="1939169"/>
                    </a:xfrm>
                    <a:prstGeom prst="rect">
                      <a:avLst/>
                    </a:prstGeom>
                    <a:noFill/>
                  </pic:spPr>
                </pic:pic>
              </a:graphicData>
            </a:graphic>
          </wp:inline>
        </w:drawing>
      </w:r>
      <w:r>
        <w:rPr>
          <w:noProof/>
        </w:rPr>
        <w:drawing>
          <wp:inline distT="0" distB="0" distL="0" distR="0" wp14:anchorId="58B58008" wp14:editId="04B8DFD2">
            <wp:extent cx="2819400" cy="1953895"/>
            <wp:effectExtent l="0" t="0" r="0" b="8255"/>
            <wp:docPr id="1141253070" name="Picture 7" descr="16 of the best financial charts and grap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16 of the best financial charts and graph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914027" cy="2019473"/>
                    </a:xfrm>
                    <a:prstGeom prst="rect">
                      <a:avLst/>
                    </a:prstGeom>
                    <a:noFill/>
                    <a:ln>
                      <a:noFill/>
                    </a:ln>
                  </pic:spPr>
                </pic:pic>
              </a:graphicData>
            </a:graphic>
          </wp:inline>
        </w:drawing>
      </w:r>
    </w:p>
    <w:p w14:paraId="58647516" w14:textId="795827FC" w:rsidR="00CF3140" w:rsidRDefault="00AB0D36" w:rsidP="00CF3140">
      <w:pPr>
        <w:spacing w:line="360" w:lineRule="auto"/>
        <w:jc w:val="both"/>
        <w:rPr>
          <w:rFonts w:ascii="Arial" w:hAnsi="Arial" w:cs="Arial"/>
        </w:rPr>
      </w:pPr>
      <w:r w:rsidRPr="00AB0D36">
        <w:rPr>
          <w:rFonts w:ascii="Arial" w:hAnsi="Arial" w:cs="Arial"/>
          <w:b/>
          <w:bCs/>
        </w:rPr>
        <w:lastRenderedPageBreak/>
        <w:t>Interpretation:</w:t>
      </w:r>
      <w:r>
        <w:rPr>
          <w:rFonts w:ascii="Arial" w:hAnsi="Arial" w:cs="Arial"/>
        </w:rPr>
        <w:t xml:space="preserve"> </w:t>
      </w:r>
      <w:r w:rsidR="00CF3140" w:rsidRPr="00CF3140">
        <w:rPr>
          <w:rFonts w:ascii="Arial" w:hAnsi="Arial" w:cs="Arial"/>
        </w:rPr>
        <w:t xml:space="preserve">This line-graph shows net income from year to year and is especially helpful for showing the trend of profitability of the firm. A downward slope reflects a decline while </w:t>
      </w:r>
      <w:r w:rsidR="00461A0A" w:rsidRPr="00CF3140">
        <w:rPr>
          <w:rFonts w:ascii="Arial" w:hAnsi="Arial" w:cs="Arial"/>
        </w:rPr>
        <w:t>an</w:t>
      </w:r>
      <w:r w:rsidR="00CF3140" w:rsidRPr="00CF3140">
        <w:rPr>
          <w:rFonts w:ascii="Arial" w:hAnsi="Arial" w:cs="Arial"/>
        </w:rPr>
        <w:t xml:space="preserve"> upward slope signals recovery or growth. For your case, after several years of losses, such a chart provides a graphic sense of the extent of the fall and how much of a turnaround is needed. So says the literature on trend analysis, multi-year graphs form the basis of strategic diagnosis in finance.</w:t>
      </w:r>
    </w:p>
    <w:p w14:paraId="1599F9EA" w14:textId="4A7A7EEF" w:rsidR="004B65BA" w:rsidRPr="004B65BA" w:rsidRDefault="004B65BA" w:rsidP="00CF3140">
      <w:pPr>
        <w:spacing w:line="360" w:lineRule="auto"/>
        <w:rPr>
          <w:rFonts w:ascii="Arial" w:hAnsi="Arial" w:cs="Arial"/>
        </w:rPr>
      </w:pPr>
      <w:r w:rsidRPr="004B65BA">
        <w:rPr>
          <w:rFonts w:ascii="Arial" w:hAnsi="Arial" w:cs="Arial"/>
          <w:b/>
          <w:bCs/>
        </w:rPr>
        <w:t>Figure F2. Liquidity Ratios (Current, Quick, Cash)</w:t>
      </w:r>
      <w:r w:rsidRPr="004B65BA">
        <w:rPr>
          <w:rFonts w:ascii="Arial" w:hAnsi="Arial" w:cs="Arial"/>
        </w:rPr>
        <w:br/>
      </w:r>
      <w:r w:rsidR="00AB0D36">
        <w:rPr>
          <w:noProof/>
        </w:rPr>
        <w:drawing>
          <wp:inline distT="0" distB="0" distL="0" distR="0" wp14:anchorId="67C9B64A" wp14:editId="4A88F881">
            <wp:extent cx="3085733" cy="1905000"/>
            <wp:effectExtent l="0" t="0" r="635" b="0"/>
            <wp:docPr id="369577755" name="Picture 8" descr="Cracking the code: What are liquidity ratios &amp; how to present them  effectively? - Zebra 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racking the code: What are liquidity ratios &amp; how to present them  effectively? - Zebra BI"/>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220600" cy="1988261"/>
                    </a:xfrm>
                    <a:prstGeom prst="rect">
                      <a:avLst/>
                    </a:prstGeom>
                    <a:noFill/>
                    <a:ln>
                      <a:noFill/>
                    </a:ln>
                  </pic:spPr>
                </pic:pic>
              </a:graphicData>
            </a:graphic>
          </wp:inline>
        </w:drawing>
      </w:r>
      <w:r w:rsidR="00AB0D36">
        <w:rPr>
          <w:rFonts w:ascii="Arial" w:hAnsi="Arial" w:cs="Arial"/>
          <w:b/>
          <w:bCs/>
          <w:noProof/>
        </w:rPr>
        <w:drawing>
          <wp:inline distT="0" distB="0" distL="0" distR="0" wp14:anchorId="5A05DD2D" wp14:editId="3F4E6F21">
            <wp:extent cx="2628900" cy="1882775"/>
            <wp:effectExtent l="0" t="0" r="0" b="3175"/>
            <wp:docPr id="21156430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650836" cy="1898485"/>
                    </a:xfrm>
                    <a:prstGeom prst="rect">
                      <a:avLst/>
                    </a:prstGeom>
                    <a:noFill/>
                  </pic:spPr>
                </pic:pic>
              </a:graphicData>
            </a:graphic>
          </wp:inline>
        </w:drawing>
      </w:r>
    </w:p>
    <w:p w14:paraId="672C53F7" w14:textId="55D102D2" w:rsidR="00AB0D36" w:rsidRDefault="00AB0D36" w:rsidP="004B65BA">
      <w:pPr>
        <w:spacing w:line="360" w:lineRule="auto"/>
        <w:rPr>
          <w:rFonts w:ascii="Arial" w:hAnsi="Arial" w:cs="Arial"/>
          <w:b/>
          <w:bCs/>
        </w:rPr>
      </w:pPr>
      <w:r>
        <w:rPr>
          <w:noProof/>
        </w:rPr>
        <w:drawing>
          <wp:inline distT="0" distB="0" distL="0" distR="0" wp14:anchorId="374E45B1" wp14:editId="62474A34">
            <wp:extent cx="2970675" cy="2506980"/>
            <wp:effectExtent l="0" t="0" r="1270" b="7620"/>
            <wp:docPr id="1476914814" name="Picture 10" descr="Current Ratios – Meaning, Formula &amp; How To Use Current Ratio In Stock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rrent Ratios – Meaning, Formula &amp; How To Use Current Ratio In Stock  Analysi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07970" cy="2538453"/>
                    </a:xfrm>
                    <a:prstGeom prst="rect">
                      <a:avLst/>
                    </a:prstGeom>
                    <a:noFill/>
                    <a:ln>
                      <a:noFill/>
                    </a:ln>
                  </pic:spPr>
                </pic:pic>
              </a:graphicData>
            </a:graphic>
          </wp:inline>
        </w:drawing>
      </w:r>
      <w:r>
        <w:rPr>
          <w:rFonts w:ascii="Arial" w:hAnsi="Arial" w:cs="Arial"/>
          <w:b/>
          <w:bCs/>
          <w:noProof/>
        </w:rPr>
        <w:drawing>
          <wp:inline distT="0" distB="0" distL="0" distR="0" wp14:anchorId="4E661B0A" wp14:editId="3FBE3CED">
            <wp:extent cx="2734868" cy="2392045"/>
            <wp:effectExtent l="0" t="0" r="8890" b="8255"/>
            <wp:docPr id="14900360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778114" cy="2429870"/>
                    </a:xfrm>
                    <a:prstGeom prst="rect">
                      <a:avLst/>
                    </a:prstGeom>
                    <a:noFill/>
                  </pic:spPr>
                </pic:pic>
              </a:graphicData>
            </a:graphic>
          </wp:inline>
        </w:drawing>
      </w:r>
    </w:p>
    <w:p w14:paraId="1EE2CDBF" w14:textId="77777777" w:rsidR="00CF3140" w:rsidRDefault="00BF3B81" w:rsidP="00CF3140">
      <w:pPr>
        <w:spacing w:line="360" w:lineRule="auto"/>
        <w:jc w:val="both"/>
        <w:rPr>
          <w:rFonts w:ascii="Arial" w:hAnsi="Arial" w:cs="Arial"/>
        </w:rPr>
      </w:pPr>
      <w:r w:rsidRPr="00BF3B81">
        <w:rPr>
          <w:rFonts w:ascii="Arial" w:hAnsi="Arial" w:cs="Arial"/>
          <w:b/>
          <w:bCs/>
        </w:rPr>
        <w:t>Interpretation:</w:t>
      </w:r>
      <w:r>
        <w:rPr>
          <w:rFonts w:ascii="Arial" w:hAnsi="Arial" w:cs="Arial"/>
        </w:rPr>
        <w:t xml:space="preserve"> </w:t>
      </w:r>
      <w:r w:rsidR="00CF3140" w:rsidRPr="00CF3140">
        <w:rPr>
          <w:rFonts w:ascii="Arial" w:hAnsi="Arial" w:cs="Arial"/>
        </w:rPr>
        <w:t>This multi-series chart plots the three principal liquidity ratios (Current, Quick, Cash) over time and reflects the evolution of a firm's capability for meeting its short-term obligations. A downward sloping trend in this set of ratios is indicative of deteriorating liquidity positions and rising risk levels. For a distressed company, such visualization makes working capital and solvency problems more substantive. Graphing in financial analysis brings a meaningful perspective to metrics which otherwise may remain abstract.</w:t>
      </w:r>
    </w:p>
    <w:p w14:paraId="2EC00F74" w14:textId="5A4B8965" w:rsidR="00BF3B81" w:rsidRPr="00BF3B81" w:rsidRDefault="004B65BA" w:rsidP="00CF3140">
      <w:pPr>
        <w:spacing w:line="360" w:lineRule="auto"/>
        <w:jc w:val="both"/>
        <w:rPr>
          <w:rFonts w:ascii="Arial" w:hAnsi="Arial" w:cs="Arial"/>
          <w:i/>
          <w:iCs/>
        </w:rPr>
      </w:pPr>
      <w:r w:rsidRPr="004B65BA">
        <w:rPr>
          <w:rFonts w:ascii="Arial" w:hAnsi="Arial" w:cs="Arial"/>
          <w:b/>
          <w:bCs/>
        </w:rPr>
        <w:lastRenderedPageBreak/>
        <w:t>Figure F3. Debt-to-Equity and Interest Coverage Trends</w:t>
      </w:r>
    </w:p>
    <w:p w14:paraId="62768D12" w14:textId="21161D60" w:rsidR="00BF3B81" w:rsidRDefault="00BF3B81" w:rsidP="004B65BA">
      <w:pPr>
        <w:spacing w:line="360" w:lineRule="auto"/>
        <w:rPr>
          <w:rFonts w:ascii="Arial" w:hAnsi="Arial" w:cs="Arial"/>
          <w:b/>
          <w:bCs/>
        </w:rPr>
      </w:pPr>
      <w:r>
        <w:rPr>
          <w:noProof/>
        </w:rPr>
        <w:drawing>
          <wp:inline distT="0" distB="0" distL="0" distR="0" wp14:anchorId="144C8805" wp14:editId="4D9D292C">
            <wp:extent cx="2823386" cy="2011680"/>
            <wp:effectExtent l="0" t="0" r="0" b="7620"/>
            <wp:docPr id="1375073532" name="Picture 12" descr="What is Financial Analysis? Typ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is Financial Analysis? Types &amp; Examples"/>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879767" cy="2051851"/>
                    </a:xfrm>
                    <a:prstGeom prst="rect">
                      <a:avLst/>
                    </a:prstGeom>
                    <a:noFill/>
                    <a:ln>
                      <a:noFill/>
                    </a:ln>
                  </pic:spPr>
                </pic:pic>
              </a:graphicData>
            </a:graphic>
          </wp:inline>
        </w:drawing>
      </w:r>
      <w:r>
        <w:rPr>
          <w:noProof/>
        </w:rPr>
        <w:drawing>
          <wp:inline distT="0" distB="0" distL="0" distR="0" wp14:anchorId="6871AD0F" wp14:editId="5EC54506">
            <wp:extent cx="2833723" cy="2022475"/>
            <wp:effectExtent l="0" t="0" r="5080" b="0"/>
            <wp:docPr id="1754317036" name="Picture 14" descr="Capital Gearing Ratio - What Is It, Formula &amp;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apital Gearing Ratio - What Is It, Formula &amp; Example"/>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885819" cy="2059657"/>
                    </a:xfrm>
                    <a:prstGeom prst="rect">
                      <a:avLst/>
                    </a:prstGeom>
                    <a:noFill/>
                    <a:ln>
                      <a:noFill/>
                    </a:ln>
                  </pic:spPr>
                </pic:pic>
              </a:graphicData>
            </a:graphic>
          </wp:inline>
        </w:drawing>
      </w:r>
    </w:p>
    <w:p w14:paraId="649421E0" w14:textId="140CA3FF" w:rsidR="00BF3B81" w:rsidRDefault="00BF3B81" w:rsidP="004B65BA">
      <w:pPr>
        <w:spacing w:line="360" w:lineRule="auto"/>
        <w:rPr>
          <w:rFonts w:ascii="Arial" w:hAnsi="Arial" w:cs="Arial"/>
          <w:b/>
          <w:bCs/>
        </w:rPr>
      </w:pPr>
      <w:r>
        <w:rPr>
          <w:noProof/>
        </w:rPr>
        <w:drawing>
          <wp:inline distT="0" distB="0" distL="0" distR="0" wp14:anchorId="566E08C0" wp14:editId="2841DAF4">
            <wp:extent cx="5731510" cy="3482340"/>
            <wp:effectExtent l="0" t="0" r="2540" b="3810"/>
            <wp:docPr id="627994516" name="Picture 15" descr="Interest Coverage Ratio: India Inc's interest coverage ratio rises to a  3-year high on margin improvement , lower interest expenses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nterest Coverage Ratio: India Inc's interest coverage ratio rises to a  3-year high on margin improvement , lower interest expenses - The Economic  Times"/>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482340"/>
                    </a:xfrm>
                    <a:prstGeom prst="rect">
                      <a:avLst/>
                    </a:prstGeom>
                    <a:noFill/>
                    <a:ln>
                      <a:noFill/>
                    </a:ln>
                  </pic:spPr>
                </pic:pic>
              </a:graphicData>
            </a:graphic>
          </wp:inline>
        </w:drawing>
      </w:r>
    </w:p>
    <w:p w14:paraId="556A3607" w14:textId="4D2FBBC3" w:rsidR="00BF3B81" w:rsidRDefault="00BF3B81" w:rsidP="00CF3140">
      <w:pPr>
        <w:spacing w:line="360" w:lineRule="auto"/>
        <w:jc w:val="both"/>
        <w:rPr>
          <w:rFonts w:ascii="Arial" w:hAnsi="Arial" w:cs="Arial"/>
        </w:rPr>
      </w:pPr>
      <w:r w:rsidRPr="00BF3B81">
        <w:rPr>
          <w:rFonts w:ascii="Arial" w:hAnsi="Arial" w:cs="Arial"/>
          <w:b/>
          <w:bCs/>
        </w:rPr>
        <w:t xml:space="preserve">Interpretation: </w:t>
      </w:r>
      <w:r w:rsidR="00CF3140" w:rsidRPr="00CF3140">
        <w:rPr>
          <w:rFonts w:ascii="Arial" w:hAnsi="Arial" w:cs="Arial"/>
        </w:rPr>
        <w:t>This graph combines the debt-to-equity ratio (a gearing metric) with interest coverage (ability to service debt) over time, often using a dual-axis to visualize both on different scales. A rising D/E together with falling-or negative-interest coverage is an indicator of financial distress and heightened risk of insolvency. This visualization supports your restructuring analysis by highlighting when and how leverage became excessive. The use of comparative financial charts is supported by current best practices in visualization.</w:t>
      </w:r>
    </w:p>
    <w:p w14:paraId="17A97F19" w14:textId="77777777" w:rsidR="00CF3140" w:rsidRDefault="00CF3140" w:rsidP="00CF3140">
      <w:pPr>
        <w:spacing w:line="360" w:lineRule="auto"/>
        <w:jc w:val="both"/>
        <w:rPr>
          <w:rFonts w:ascii="Arial" w:hAnsi="Arial" w:cs="Arial"/>
          <w:b/>
          <w:bCs/>
        </w:rPr>
      </w:pPr>
    </w:p>
    <w:p w14:paraId="31274FD9" w14:textId="77777777" w:rsidR="00DA5C61" w:rsidRDefault="00DA5C61" w:rsidP="004B65BA">
      <w:pPr>
        <w:spacing w:line="360" w:lineRule="auto"/>
        <w:rPr>
          <w:rFonts w:ascii="Arial" w:hAnsi="Arial" w:cs="Arial"/>
          <w:b/>
          <w:bCs/>
        </w:rPr>
      </w:pPr>
    </w:p>
    <w:p w14:paraId="7D31115F" w14:textId="01799A76" w:rsidR="004B65BA" w:rsidRDefault="004B65BA" w:rsidP="004B65BA">
      <w:pPr>
        <w:spacing w:line="360" w:lineRule="auto"/>
        <w:rPr>
          <w:rFonts w:ascii="Arial" w:hAnsi="Arial" w:cs="Arial"/>
        </w:rPr>
      </w:pPr>
      <w:r w:rsidRPr="004B65BA">
        <w:rPr>
          <w:rFonts w:ascii="Arial" w:hAnsi="Arial" w:cs="Arial"/>
          <w:b/>
          <w:bCs/>
        </w:rPr>
        <w:lastRenderedPageBreak/>
        <w:t>Figure F4. Comparative NPV by Project</w:t>
      </w:r>
    </w:p>
    <w:p w14:paraId="649F9558" w14:textId="54BC9820" w:rsidR="00DA5C61" w:rsidRPr="004B65BA" w:rsidRDefault="00DA5C61" w:rsidP="004B65BA">
      <w:pPr>
        <w:spacing w:line="360" w:lineRule="auto"/>
        <w:rPr>
          <w:rFonts w:ascii="Arial" w:hAnsi="Arial" w:cs="Arial"/>
        </w:rPr>
      </w:pPr>
      <w:r>
        <w:rPr>
          <w:noProof/>
        </w:rPr>
        <w:drawing>
          <wp:inline distT="0" distB="0" distL="0" distR="0" wp14:anchorId="1C9C516F" wp14:editId="013A96F7">
            <wp:extent cx="2659380" cy="2501900"/>
            <wp:effectExtent l="0" t="0" r="7620" b="0"/>
            <wp:docPr id="1442705989" name="Picture 16" descr="Cash Conversion Cycle - AnalystPrep | CFA® Exam Study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ash Conversion Cycle - AnalystPrep | CFA® Exam Study Not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693428" cy="2533932"/>
                    </a:xfrm>
                    <a:prstGeom prst="rect">
                      <a:avLst/>
                    </a:prstGeom>
                    <a:noFill/>
                    <a:ln>
                      <a:noFill/>
                    </a:ln>
                  </pic:spPr>
                </pic:pic>
              </a:graphicData>
            </a:graphic>
          </wp:inline>
        </w:drawing>
      </w:r>
      <w:r>
        <w:rPr>
          <w:noProof/>
        </w:rPr>
        <w:drawing>
          <wp:inline distT="0" distB="0" distL="0" distR="0" wp14:anchorId="3C39B541" wp14:editId="2F9F136C">
            <wp:extent cx="3055620" cy="2349957"/>
            <wp:effectExtent l="0" t="0" r="0" b="0"/>
            <wp:docPr id="991167070" name="Picture 17" descr="The Short Cash Cycle: How to Cut Crunches and Grab More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Short Cash Cycle: How to Cut Crunches and Grab More Growth"/>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133673" cy="2409985"/>
                    </a:xfrm>
                    <a:prstGeom prst="rect">
                      <a:avLst/>
                    </a:prstGeom>
                    <a:noFill/>
                    <a:ln>
                      <a:noFill/>
                    </a:ln>
                  </pic:spPr>
                </pic:pic>
              </a:graphicData>
            </a:graphic>
          </wp:inline>
        </w:drawing>
      </w:r>
    </w:p>
    <w:p w14:paraId="08B0FA21" w14:textId="19B50859" w:rsidR="000E7AF8" w:rsidRDefault="00DA5C61" w:rsidP="004B65BA">
      <w:pPr>
        <w:spacing w:line="360" w:lineRule="auto"/>
        <w:rPr>
          <w:rFonts w:ascii="Arial" w:hAnsi="Arial" w:cs="Arial"/>
        </w:rPr>
      </w:pPr>
      <w:r>
        <w:rPr>
          <w:noProof/>
        </w:rPr>
        <w:drawing>
          <wp:inline distT="0" distB="0" distL="0" distR="0" wp14:anchorId="252D6DC7" wp14:editId="11731366">
            <wp:extent cx="2788920" cy="2118360"/>
            <wp:effectExtent l="0" t="0" r="0" b="0"/>
            <wp:docPr id="1364270072" name="Picture 18" descr="Understanding the Working Capital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nderstanding the Working Capital Cycl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06857" cy="2131984"/>
                    </a:xfrm>
                    <a:prstGeom prst="rect">
                      <a:avLst/>
                    </a:prstGeom>
                    <a:noFill/>
                    <a:ln>
                      <a:noFill/>
                    </a:ln>
                  </pic:spPr>
                </pic:pic>
              </a:graphicData>
            </a:graphic>
          </wp:inline>
        </w:drawing>
      </w:r>
      <w:r>
        <w:rPr>
          <w:rFonts w:ascii="Arial" w:hAnsi="Arial" w:cs="Arial"/>
          <w:noProof/>
        </w:rPr>
        <w:drawing>
          <wp:inline distT="0" distB="0" distL="0" distR="0" wp14:anchorId="50CBBD39" wp14:editId="0D4CD996">
            <wp:extent cx="2747193" cy="2194560"/>
            <wp:effectExtent l="0" t="0" r="0" b="0"/>
            <wp:docPr id="81373298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759091" cy="2204064"/>
                    </a:xfrm>
                    <a:prstGeom prst="rect">
                      <a:avLst/>
                    </a:prstGeom>
                    <a:noFill/>
                  </pic:spPr>
                </pic:pic>
              </a:graphicData>
            </a:graphic>
          </wp:inline>
        </w:drawing>
      </w:r>
    </w:p>
    <w:p w14:paraId="083D2EE4" w14:textId="27B820AC" w:rsidR="00DA5C61" w:rsidRDefault="00DA5C61" w:rsidP="00CF3140">
      <w:pPr>
        <w:spacing w:line="360" w:lineRule="auto"/>
        <w:jc w:val="both"/>
        <w:rPr>
          <w:rFonts w:ascii="Arial" w:hAnsi="Arial" w:cs="Arial"/>
          <w:b/>
          <w:bCs/>
        </w:rPr>
      </w:pPr>
      <w:r w:rsidRPr="00DA5C61">
        <w:rPr>
          <w:rFonts w:ascii="Arial" w:hAnsi="Arial" w:cs="Arial"/>
          <w:b/>
          <w:bCs/>
        </w:rPr>
        <w:t>Interpretation:</w:t>
      </w:r>
      <w:r>
        <w:rPr>
          <w:rFonts w:ascii="Arial" w:hAnsi="Arial" w:cs="Arial"/>
        </w:rPr>
        <w:t xml:space="preserve"> </w:t>
      </w:r>
      <w:r w:rsidR="00CF3140" w:rsidRPr="00CF3140">
        <w:rPr>
          <w:rFonts w:ascii="Arial" w:hAnsi="Arial" w:cs="Arial"/>
        </w:rPr>
        <w:t>This diagram illustrates the cycle from buying inputs, on account, to manufacturing and inventorying products to selling on credit, to finally receiving cash-a process often referred to as the Cash Conversion Cycle, or CCC. Graphically representing the process often serves to underscore those areas where an efficiency bottleneck may be occurring-such as inventories building up, receivables delayed-and that serve to elongate the cycle at the expense of liquidity. The literature continues to stress that this cycle should be managed so as to optimize cash flow and minimize the risk of distress.</w:t>
      </w:r>
    </w:p>
    <w:p w14:paraId="644BEEEE" w14:textId="77777777" w:rsidR="00DA5C61" w:rsidRDefault="00DA5C61" w:rsidP="004B65BA">
      <w:pPr>
        <w:spacing w:line="360" w:lineRule="auto"/>
        <w:rPr>
          <w:rFonts w:ascii="Arial" w:hAnsi="Arial" w:cs="Arial"/>
          <w:b/>
          <w:bCs/>
        </w:rPr>
      </w:pPr>
    </w:p>
    <w:p w14:paraId="11F17323" w14:textId="77777777" w:rsidR="00DA5C61" w:rsidRDefault="00DA5C61" w:rsidP="004B65BA">
      <w:pPr>
        <w:spacing w:line="360" w:lineRule="auto"/>
        <w:rPr>
          <w:rFonts w:ascii="Arial" w:hAnsi="Arial" w:cs="Arial"/>
          <w:b/>
          <w:bCs/>
        </w:rPr>
      </w:pPr>
    </w:p>
    <w:p w14:paraId="56E90461" w14:textId="77777777" w:rsidR="00DA5C61" w:rsidRDefault="00DA5C61" w:rsidP="004B65BA">
      <w:pPr>
        <w:spacing w:line="360" w:lineRule="auto"/>
        <w:rPr>
          <w:rFonts w:ascii="Arial" w:hAnsi="Arial" w:cs="Arial"/>
          <w:b/>
          <w:bCs/>
        </w:rPr>
      </w:pPr>
    </w:p>
    <w:p w14:paraId="2F8D4B52" w14:textId="1A5C02ED" w:rsidR="004B65BA" w:rsidRPr="004B65BA" w:rsidRDefault="004B65BA" w:rsidP="004B65BA">
      <w:pPr>
        <w:spacing w:line="360" w:lineRule="auto"/>
        <w:rPr>
          <w:rFonts w:ascii="Arial" w:hAnsi="Arial" w:cs="Arial"/>
          <w:b/>
          <w:bCs/>
        </w:rPr>
      </w:pPr>
      <w:r w:rsidRPr="004B65BA">
        <w:rPr>
          <w:rFonts w:ascii="Arial" w:hAnsi="Arial" w:cs="Arial"/>
          <w:b/>
          <w:bCs/>
        </w:rPr>
        <w:lastRenderedPageBreak/>
        <w:t>Appendix G: Formula Reference Sheet</w:t>
      </w:r>
    </w:p>
    <w:p w14:paraId="5A8F4E52"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Gross Profit Margin</w:t>
      </w:r>
      <w:r w:rsidRPr="004B65BA">
        <w:rPr>
          <w:rFonts w:ascii="Arial" w:hAnsi="Arial" w:cs="Arial"/>
        </w:rPr>
        <w:t xml:space="preserve"> = (Gross Profit / Revenue) × 100</w:t>
      </w:r>
    </w:p>
    <w:p w14:paraId="46BC8F35"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Operating Margin</w:t>
      </w:r>
      <w:r w:rsidRPr="004B65BA">
        <w:rPr>
          <w:rFonts w:ascii="Arial" w:hAnsi="Arial" w:cs="Arial"/>
        </w:rPr>
        <w:t xml:space="preserve"> = (Operating Profit / Revenue) × 100</w:t>
      </w:r>
    </w:p>
    <w:p w14:paraId="4ACEC1EA"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Net Profit Margin</w:t>
      </w:r>
      <w:r w:rsidRPr="004B65BA">
        <w:rPr>
          <w:rFonts w:ascii="Arial" w:hAnsi="Arial" w:cs="Arial"/>
        </w:rPr>
        <w:t xml:space="preserve"> = (Net Profit / Revenue) × 100</w:t>
      </w:r>
    </w:p>
    <w:p w14:paraId="78F209CB"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ROA</w:t>
      </w:r>
      <w:r w:rsidRPr="004B65BA">
        <w:rPr>
          <w:rFonts w:ascii="Arial" w:hAnsi="Arial" w:cs="Arial"/>
        </w:rPr>
        <w:t xml:space="preserve"> = Net Income / Total Assets</w:t>
      </w:r>
    </w:p>
    <w:p w14:paraId="786E9E23"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ROE</w:t>
      </w:r>
      <w:r w:rsidRPr="004B65BA">
        <w:rPr>
          <w:rFonts w:ascii="Arial" w:hAnsi="Arial" w:cs="Arial"/>
        </w:rPr>
        <w:t xml:space="preserve"> = Net Income / Equity</w:t>
      </w:r>
    </w:p>
    <w:p w14:paraId="46B5AC69"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Current Ratio</w:t>
      </w:r>
      <w:r w:rsidRPr="004B65BA">
        <w:rPr>
          <w:rFonts w:ascii="Arial" w:hAnsi="Arial" w:cs="Arial"/>
        </w:rPr>
        <w:t xml:space="preserve"> = Current Assets / Current Liabilities</w:t>
      </w:r>
    </w:p>
    <w:p w14:paraId="42A4102F"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Quick Ratio</w:t>
      </w:r>
      <w:r w:rsidRPr="004B65BA">
        <w:rPr>
          <w:rFonts w:ascii="Arial" w:hAnsi="Arial" w:cs="Arial"/>
        </w:rPr>
        <w:t xml:space="preserve"> = (CA – Inventory) / CL</w:t>
      </w:r>
    </w:p>
    <w:p w14:paraId="2B0DC553"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Debt-to-Equity</w:t>
      </w:r>
      <w:r w:rsidRPr="004B65BA">
        <w:rPr>
          <w:rFonts w:ascii="Arial" w:hAnsi="Arial" w:cs="Arial"/>
        </w:rPr>
        <w:t xml:space="preserve"> = Total Liabilities / Equity</w:t>
      </w:r>
    </w:p>
    <w:p w14:paraId="4A57CA5B"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Interest Coverage</w:t>
      </w:r>
      <w:r w:rsidRPr="004B65BA">
        <w:rPr>
          <w:rFonts w:ascii="Arial" w:hAnsi="Arial" w:cs="Arial"/>
        </w:rPr>
        <w:t xml:space="preserve"> = EBIT / Interest Expense</w:t>
      </w:r>
    </w:p>
    <w:p w14:paraId="24FAF0A8" w14:textId="0EB646B8"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NPV</w:t>
      </w:r>
      <w:r w:rsidRPr="004B65BA">
        <w:rPr>
          <w:rFonts w:ascii="Arial" w:hAnsi="Arial" w:cs="Arial"/>
        </w:rPr>
        <w:t xml:space="preserve"> = Σ [Cash Flow / (1 + </w:t>
      </w:r>
      <w:r w:rsidR="00461A0A" w:rsidRPr="004B65BA">
        <w:rPr>
          <w:rFonts w:ascii="Arial" w:hAnsi="Arial" w:cs="Arial"/>
        </w:rPr>
        <w:t>r) ^</w:t>
      </w:r>
      <w:r w:rsidRPr="004B65BA">
        <w:rPr>
          <w:rFonts w:ascii="Arial" w:hAnsi="Arial" w:cs="Arial"/>
        </w:rPr>
        <w:t>t] – Initial Outlay</w:t>
      </w:r>
    </w:p>
    <w:p w14:paraId="49EF3093"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IRR</w:t>
      </w:r>
      <w:r w:rsidRPr="004B65BA">
        <w:rPr>
          <w:rFonts w:ascii="Arial" w:hAnsi="Arial" w:cs="Arial"/>
        </w:rPr>
        <w:t xml:space="preserve"> = Rate where NPV = 0</w:t>
      </w:r>
    </w:p>
    <w:p w14:paraId="7827658B" w14:textId="77777777" w:rsidR="004B65BA" w:rsidRPr="004B65BA" w:rsidRDefault="004B65BA" w:rsidP="004B65BA">
      <w:pPr>
        <w:numPr>
          <w:ilvl w:val="0"/>
          <w:numId w:val="18"/>
        </w:numPr>
        <w:spacing w:line="360" w:lineRule="auto"/>
        <w:rPr>
          <w:rFonts w:ascii="Arial" w:hAnsi="Arial" w:cs="Arial"/>
        </w:rPr>
      </w:pPr>
      <w:r w:rsidRPr="004B65BA">
        <w:rPr>
          <w:rFonts w:ascii="Arial" w:hAnsi="Arial" w:cs="Arial"/>
          <w:b/>
          <w:bCs/>
        </w:rPr>
        <w:t>PI</w:t>
      </w:r>
      <w:r w:rsidRPr="004B65BA">
        <w:rPr>
          <w:rFonts w:ascii="Arial" w:hAnsi="Arial" w:cs="Arial"/>
        </w:rPr>
        <w:t xml:space="preserve"> = PV of Inflows / Initial Outlay</w:t>
      </w:r>
    </w:p>
    <w:p w14:paraId="1A6F8627" w14:textId="2C72A829" w:rsidR="004B65BA" w:rsidRPr="004B65BA" w:rsidRDefault="004B65BA" w:rsidP="004B65BA">
      <w:pPr>
        <w:spacing w:line="360" w:lineRule="auto"/>
        <w:rPr>
          <w:rFonts w:ascii="Arial" w:hAnsi="Arial" w:cs="Arial"/>
        </w:rPr>
      </w:pPr>
    </w:p>
    <w:p w14:paraId="437A3500" w14:textId="77777777" w:rsidR="004B65BA" w:rsidRPr="004B65BA" w:rsidRDefault="004B65BA" w:rsidP="004B65BA">
      <w:pPr>
        <w:spacing w:line="360" w:lineRule="auto"/>
        <w:rPr>
          <w:rFonts w:ascii="Arial" w:hAnsi="Arial" w:cs="Arial"/>
          <w:b/>
          <w:bCs/>
        </w:rPr>
      </w:pPr>
      <w:r w:rsidRPr="004B65BA">
        <w:rPr>
          <w:rFonts w:ascii="Arial" w:hAnsi="Arial" w:cs="Arial"/>
          <w:b/>
          <w:bCs/>
        </w:rPr>
        <w:t>Appendix H: Summary of Post-Restructuring Forecasts (2026–2030)</w:t>
      </w:r>
    </w:p>
    <w:tbl>
      <w:tblPr>
        <w:tblStyle w:val="TableGrid"/>
        <w:tblW w:w="0" w:type="auto"/>
        <w:tblLook w:val="04A0" w:firstRow="1" w:lastRow="0" w:firstColumn="1" w:lastColumn="0" w:noHBand="0" w:noVBand="1"/>
      </w:tblPr>
      <w:tblGrid>
        <w:gridCol w:w="750"/>
        <w:gridCol w:w="1790"/>
        <w:gridCol w:w="1870"/>
        <w:gridCol w:w="1176"/>
        <w:gridCol w:w="1470"/>
        <w:gridCol w:w="684"/>
      </w:tblGrid>
      <w:tr w:rsidR="004B65BA" w:rsidRPr="004B65BA" w14:paraId="2C74F1B6" w14:textId="77777777" w:rsidTr="004B65BA">
        <w:tc>
          <w:tcPr>
            <w:tcW w:w="0" w:type="auto"/>
            <w:hideMark/>
          </w:tcPr>
          <w:p w14:paraId="425008A2"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Year</w:t>
            </w:r>
          </w:p>
        </w:tc>
        <w:tc>
          <w:tcPr>
            <w:tcW w:w="0" w:type="auto"/>
            <w:hideMark/>
          </w:tcPr>
          <w:p w14:paraId="1367FB35"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Revenue (£m)</w:t>
            </w:r>
          </w:p>
        </w:tc>
        <w:tc>
          <w:tcPr>
            <w:tcW w:w="0" w:type="auto"/>
            <w:hideMark/>
          </w:tcPr>
          <w:p w14:paraId="171CD741"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Net Profit (£m)</w:t>
            </w:r>
          </w:p>
        </w:tc>
        <w:tc>
          <w:tcPr>
            <w:tcW w:w="0" w:type="auto"/>
            <w:hideMark/>
          </w:tcPr>
          <w:p w14:paraId="487A9887"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ROE (%)</w:t>
            </w:r>
          </w:p>
        </w:tc>
        <w:tc>
          <w:tcPr>
            <w:tcW w:w="0" w:type="auto"/>
            <w:hideMark/>
          </w:tcPr>
          <w:p w14:paraId="223A4A90"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Cash Ratio</w:t>
            </w:r>
          </w:p>
        </w:tc>
        <w:tc>
          <w:tcPr>
            <w:tcW w:w="0" w:type="auto"/>
            <w:hideMark/>
          </w:tcPr>
          <w:p w14:paraId="314B2FC9" w14:textId="77777777" w:rsidR="004B65BA" w:rsidRPr="004B65BA" w:rsidRDefault="004B65BA" w:rsidP="004B65BA">
            <w:pPr>
              <w:spacing w:after="160" w:line="360" w:lineRule="auto"/>
              <w:rPr>
                <w:rFonts w:ascii="Arial" w:hAnsi="Arial" w:cs="Arial"/>
                <w:b/>
                <w:bCs/>
              </w:rPr>
            </w:pPr>
            <w:r w:rsidRPr="004B65BA">
              <w:rPr>
                <w:rFonts w:ascii="Arial" w:hAnsi="Arial" w:cs="Arial"/>
                <w:b/>
                <w:bCs/>
              </w:rPr>
              <w:t>D/E</w:t>
            </w:r>
          </w:p>
        </w:tc>
      </w:tr>
      <w:tr w:rsidR="004B65BA" w:rsidRPr="004B65BA" w14:paraId="77209C7D" w14:textId="77777777" w:rsidTr="004B65BA">
        <w:tc>
          <w:tcPr>
            <w:tcW w:w="0" w:type="auto"/>
            <w:hideMark/>
          </w:tcPr>
          <w:p w14:paraId="1D6995BB" w14:textId="77777777" w:rsidR="004B65BA" w:rsidRPr="004B65BA" w:rsidRDefault="004B65BA" w:rsidP="004B65BA">
            <w:pPr>
              <w:spacing w:after="160" w:line="360" w:lineRule="auto"/>
              <w:rPr>
                <w:rFonts w:ascii="Arial" w:hAnsi="Arial" w:cs="Arial"/>
              </w:rPr>
            </w:pPr>
            <w:r w:rsidRPr="004B65BA">
              <w:rPr>
                <w:rFonts w:ascii="Arial" w:hAnsi="Arial" w:cs="Arial"/>
              </w:rPr>
              <w:t>2026</w:t>
            </w:r>
          </w:p>
        </w:tc>
        <w:tc>
          <w:tcPr>
            <w:tcW w:w="0" w:type="auto"/>
            <w:hideMark/>
          </w:tcPr>
          <w:p w14:paraId="76A1ECC4" w14:textId="77777777" w:rsidR="004B65BA" w:rsidRPr="004B65BA" w:rsidRDefault="004B65BA" w:rsidP="004B65BA">
            <w:pPr>
              <w:spacing w:after="160" w:line="360" w:lineRule="auto"/>
              <w:rPr>
                <w:rFonts w:ascii="Arial" w:hAnsi="Arial" w:cs="Arial"/>
              </w:rPr>
            </w:pPr>
            <w:r w:rsidRPr="004B65BA">
              <w:rPr>
                <w:rFonts w:ascii="Arial" w:hAnsi="Arial" w:cs="Arial"/>
              </w:rPr>
              <w:t>435,000</w:t>
            </w:r>
          </w:p>
        </w:tc>
        <w:tc>
          <w:tcPr>
            <w:tcW w:w="0" w:type="auto"/>
            <w:hideMark/>
          </w:tcPr>
          <w:p w14:paraId="3D050022" w14:textId="77777777" w:rsidR="004B65BA" w:rsidRPr="004B65BA" w:rsidRDefault="004B65BA" w:rsidP="004B65BA">
            <w:pPr>
              <w:spacing w:after="160" w:line="360" w:lineRule="auto"/>
              <w:rPr>
                <w:rFonts w:ascii="Arial" w:hAnsi="Arial" w:cs="Arial"/>
              </w:rPr>
            </w:pPr>
            <w:r w:rsidRPr="004B65BA">
              <w:rPr>
                <w:rFonts w:ascii="Arial" w:hAnsi="Arial" w:cs="Arial"/>
              </w:rPr>
              <w:t>8,200</w:t>
            </w:r>
          </w:p>
        </w:tc>
        <w:tc>
          <w:tcPr>
            <w:tcW w:w="0" w:type="auto"/>
            <w:hideMark/>
          </w:tcPr>
          <w:p w14:paraId="03E2E59B" w14:textId="77777777" w:rsidR="004B65BA" w:rsidRPr="004B65BA" w:rsidRDefault="004B65BA" w:rsidP="004B65BA">
            <w:pPr>
              <w:spacing w:after="160" w:line="360" w:lineRule="auto"/>
              <w:rPr>
                <w:rFonts w:ascii="Arial" w:hAnsi="Arial" w:cs="Arial"/>
              </w:rPr>
            </w:pPr>
            <w:r w:rsidRPr="004B65BA">
              <w:rPr>
                <w:rFonts w:ascii="Arial" w:hAnsi="Arial" w:cs="Arial"/>
              </w:rPr>
              <w:t>3.2</w:t>
            </w:r>
          </w:p>
        </w:tc>
        <w:tc>
          <w:tcPr>
            <w:tcW w:w="0" w:type="auto"/>
            <w:hideMark/>
          </w:tcPr>
          <w:p w14:paraId="328F2933" w14:textId="77777777" w:rsidR="004B65BA" w:rsidRPr="004B65BA" w:rsidRDefault="004B65BA" w:rsidP="004B65BA">
            <w:pPr>
              <w:spacing w:after="160" w:line="360" w:lineRule="auto"/>
              <w:rPr>
                <w:rFonts w:ascii="Arial" w:hAnsi="Arial" w:cs="Arial"/>
              </w:rPr>
            </w:pPr>
            <w:r w:rsidRPr="004B65BA">
              <w:rPr>
                <w:rFonts w:ascii="Arial" w:hAnsi="Arial" w:cs="Arial"/>
              </w:rPr>
              <w:t>0.25</w:t>
            </w:r>
          </w:p>
        </w:tc>
        <w:tc>
          <w:tcPr>
            <w:tcW w:w="0" w:type="auto"/>
            <w:hideMark/>
          </w:tcPr>
          <w:p w14:paraId="392C64B7" w14:textId="77777777" w:rsidR="004B65BA" w:rsidRPr="004B65BA" w:rsidRDefault="004B65BA" w:rsidP="004B65BA">
            <w:pPr>
              <w:spacing w:after="160" w:line="360" w:lineRule="auto"/>
              <w:rPr>
                <w:rFonts w:ascii="Arial" w:hAnsi="Arial" w:cs="Arial"/>
              </w:rPr>
            </w:pPr>
            <w:r w:rsidRPr="004B65BA">
              <w:rPr>
                <w:rFonts w:ascii="Arial" w:hAnsi="Arial" w:cs="Arial"/>
              </w:rPr>
              <w:t>0.80</w:t>
            </w:r>
          </w:p>
        </w:tc>
      </w:tr>
      <w:tr w:rsidR="004B65BA" w:rsidRPr="004B65BA" w14:paraId="4368FDCF" w14:textId="77777777" w:rsidTr="004B65BA">
        <w:tc>
          <w:tcPr>
            <w:tcW w:w="0" w:type="auto"/>
            <w:hideMark/>
          </w:tcPr>
          <w:p w14:paraId="392069B6" w14:textId="77777777" w:rsidR="004B65BA" w:rsidRPr="004B65BA" w:rsidRDefault="004B65BA" w:rsidP="004B65BA">
            <w:pPr>
              <w:spacing w:after="160" w:line="360" w:lineRule="auto"/>
              <w:rPr>
                <w:rFonts w:ascii="Arial" w:hAnsi="Arial" w:cs="Arial"/>
              </w:rPr>
            </w:pPr>
            <w:r w:rsidRPr="004B65BA">
              <w:rPr>
                <w:rFonts w:ascii="Arial" w:hAnsi="Arial" w:cs="Arial"/>
              </w:rPr>
              <w:t>2027</w:t>
            </w:r>
          </w:p>
        </w:tc>
        <w:tc>
          <w:tcPr>
            <w:tcW w:w="0" w:type="auto"/>
            <w:hideMark/>
          </w:tcPr>
          <w:p w14:paraId="2B84402A" w14:textId="77777777" w:rsidR="004B65BA" w:rsidRPr="004B65BA" w:rsidRDefault="004B65BA" w:rsidP="004B65BA">
            <w:pPr>
              <w:spacing w:after="160" w:line="360" w:lineRule="auto"/>
              <w:rPr>
                <w:rFonts w:ascii="Arial" w:hAnsi="Arial" w:cs="Arial"/>
              </w:rPr>
            </w:pPr>
            <w:r w:rsidRPr="004B65BA">
              <w:rPr>
                <w:rFonts w:ascii="Arial" w:hAnsi="Arial" w:cs="Arial"/>
              </w:rPr>
              <w:t>460,000</w:t>
            </w:r>
          </w:p>
        </w:tc>
        <w:tc>
          <w:tcPr>
            <w:tcW w:w="0" w:type="auto"/>
            <w:hideMark/>
          </w:tcPr>
          <w:p w14:paraId="0B9E44F5" w14:textId="77777777" w:rsidR="004B65BA" w:rsidRPr="004B65BA" w:rsidRDefault="004B65BA" w:rsidP="004B65BA">
            <w:pPr>
              <w:spacing w:after="160" w:line="360" w:lineRule="auto"/>
              <w:rPr>
                <w:rFonts w:ascii="Arial" w:hAnsi="Arial" w:cs="Arial"/>
              </w:rPr>
            </w:pPr>
            <w:r w:rsidRPr="004B65BA">
              <w:rPr>
                <w:rFonts w:ascii="Arial" w:hAnsi="Arial" w:cs="Arial"/>
              </w:rPr>
              <w:t>10,000</w:t>
            </w:r>
          </w:p>
        </w:tc>
        <w:tc>
          <w:tcPr>
            <w:tcW w:w="0" w:type="auto"/>
            <w:hideMark/>
          </w:tcPr>
          <w:p w14:paraId="51C8193C" w14:textId="77777777" w:rsidR="004B65BA" w:rsidRPr="004B65BA" w:rsidRDefault="004B65BA" w:rsidP="004B65BA">
            <w:pPr>
              <w:spacing w:after="160" w:line="360" w:lineRule="auto"/>
              <w:rPr>
                <w:rFonts w:ascii="Arial" w:hAnsi="Arial" w:cs="Arial"/>
              </w:rPr>
            </w:pPr>
            <w:r w:rsidRPr="004B65BA">
              <w:rPr>
                <w:rFonts w:ascii="Arial" w:hAnsi="Arial" w:cs="Arial"/>
              </w:rPr>
              <w:t>4.1</w:t>
            </w:r>
          </w:p>
        </w:tc>
        <w:tc>
          <w:tcPr>
            <w:tcW w:w="0" w:type="auto"/>
            <w:hideMark/>
          </w:tcPr>
          <w:p w14:paraId="047CEF6A" w14:textId="77777777" w:rsidR="004B65BA" w:rsidRPr="004B65BA" w:rsidRDefault="004B65BA" w:rsidP="004B65BA">
            <w:pPr>
              <w:spacing w:after="160" w:line="360" w:lineRule="auto"/>
              <w:rPr>
                <w:rFonts w:ascii="Arial" w:hAnsi="Arial" w:cs="Arial"/>
              </w:rPr>
            </w:pPr>
            <w:r w:rsidRPr="004B65BA">
              <w:rPr>
                <w:rFonts w:ascii="Arial" w:hAnsi="Arial" w:cs="Arial"/>
              </w:rPr>
              <w:t>0.30</w:t>
            </w:r>
          </w:p>
        </w:tc>
        <w:tc>
          <w:tcPr>
            <w:tcW w:w="0" w:type="auto"/>
            <w:hideMark/>
          </w:tcPr>
          <w:p w14:paraId="47F9561A" w14:textId="77777777" w:rsidR="004B65BA" w:rsidRPr="004B65BA" w:rsidRDefault="004B65BA" w:rsidP="004B65BA">
            <w:pPr>
              <w:spacing w:after="160" w:line="360" w:lineRule="auto"/>
              <w:rPr>
                <w:rFonts w:ascii="Arial" w:hAnsi="Arial" w:cs="Arial"/>
              </w:rPr>
            </w:pPr>
            <w:r w:rsidRPr="004B65BA">
              <w:rPr>
                <w:rFonts w:ascii="Arial" w:hAnsi="Arial" w:cs="Arial"/>
              </w:rPr>
              <w:t>0.78</w:t>
            </w:r>
          </w:p>
        </w:tc>
      </w:tr>
      <w:tr w:rsidR="004B65BA" w:rsidRPr="004B65BA" w14:paraId="073109A4" w14:textId="77777777" w:rsidTr="004B65BA">
        <w:tc>
          <w:tcPr>
            <w:tcW w:w="0" w:type="auto"/>
            <w:hideMark/>
          </w:tcPr>
          <w:p w14:paraId="2DDDCA4A" w14:textId="77777777" w:rsidR="004B65BA" w:rsidRPr="004B65BA" w:rsidRDefault="004B65BA" w:rsidP="004B65BA">
            <w:pPr>
              <w:spacing w:after="160" w:line="360" w:lineRule="auto"/>
              <w:rPr>
                <w:rFonts w:ascii="Arial" w:hAnsi="Arial" w:cs="Arial"/>
              </w:rPr>
            </w:pPr>
            <w:r w:rsidRPr="004B65BA">
              <w:rPr>
                <w:rFonts w:ascii="Arial" w:hAnsi="Arial" w:cs="Arial"/>
              </w:rPr>
              <w:t>2028</w:t>
            </w:r>
          </w:p>
        </w:tc>
        <w:tc>
          <w:tcPr>
            <w:tcW w:w="0" w:type="auto"/>
            <w:hideMark/>
          </w:tcPr>
          <w:p w14:paraId="30A6356D" w14:textId="77777777" w:rsidR="004B65BA" w:rsidRPr="004B65BA" w:rsidRDefault="004B65BA" w:rsidP="004B65BA">
            <w:pPr>
              <w:spacing w:after="160" w:line="360" w:lineRule="auto"/>
              <w:rPr>
                <w:rFonts w:ascii="Arial" w:hAnsi="Arial" w:cs="Arial"/>
              </w:rPr>
            </w:pPr>
            <w:r w:rsidRPr="004B65BA">
              <w:rPr>
                <w:rFonts w:ascii="Arial" w:hAnsi="Arial" w:cs="Arial"/>
              </w:rPr>
              <w:t>495,000</w:t>
            </w:r>
          </w:p>
        </w:tc>
        <w:tc>
          <w:tcPr>
            <w:tcW w:w="0" w:type="auto"/>
            <w:hideMark/>
          </w:tcPr>
          <w:p w14:paraId="735C6771" w14:textId="77777777" w:rsidR="004B65BA" w:rsidRPr="004B65BA" w:rsidRDefault="004B65BA" w:rsidP="004B65BA">
            <w:pPr>
              <w:spacing w:after="160" w:line="360" w:lineRule="auto"/>
              <w:rPr>
                <w:rFonts w:ascii="Arial" w:hAnsi="Arial" w:cs="Arial"/>
              </w:rPr>
            </w:pPr>
            <w:r w:rsidRPr="004B65BA">
              <w:rPr>
                <w:rFonts w:ascii="Arial" w:hAnsi="Arial" w:cs="Arial"/>
              </w:rPr>
              <w:t>12,500</w:t>
            </w:r>
          </w:p>
        </w:tc>
        <w:tc>
          <w:tcPr>
            <w:tcW w:w="0" w:type="auto"/>
            <w:hideMark/>
          </w:tcPr>
          <w:p w14:paraId="3AF959E1" w14:textId="77777777" w:rsidR="004B65BA" w:rsidRPr="004B65BA" w:rsidRDefault="004B65BA" w:rsidP="004B65BA">
            <w:pPr>
              <w:spacing w:after="160" w:line="360" w:lineRule="auto"/>
              <w:rPr>
                <w:rFonts w:ascii="Arial" w:hAnsi="Arial" w:cs="Arial"/>
              </w:rPr>
            </w:pPr>
            <w:r w:rsidRPr="004B65BA">
              <w:rPr>
                <w:rFonts w:ascii="Arial" w:hAnsi="Arial" w:cs="Arial"/>
              </w:rPr>
              <w:t>5.3</w:t>
            </w:r>
          </w:p>
        </w:tc>
        <w:tc>
          <w:tcPr>
            <w:tcW w:w="0" w:type="auto"/>
            <w:hideMark/>
          </w:tcPr>
          <w:p w14:paraId="0AF9E216" w14:textId="77777777" w:rsidR="004B65BA" w:rsidRPr="004B65BA" w:rsidRDefault="004B65BA" w:rsidP="004B65BA">
            <w:pPr>
              <w:spacing w:after="160" w:line="360" w:lineRule="auto"/>
              <w:rPr>
                <w:rFonts w:ascii="Arial" w:hAnsi="Arial" w:cs="Arial"/>
              </w:rPr>
            </w:pPr>
            <w:r w:rsidRPr="004B65BA">
              <w:rPr>
                <w:rFonts w:ascii="Arial" w:hAnsi="Arial" w:cs="Arial"/>
              </w:rPr>
              <w:t>0.33</w:t>
            </w:r>
          </w:p>
        </w:tc>
        <w:tc>
          <w:tcPr>
            <w:tcW w:w="0" w:type="auto"/>
            <w:hideMark/>
          </w:tcPr>
          <w:p w14:paraId="2F631533" w14:textId="77777777" w:rsidR="004B65BA" w:rsidRPr="004B65BA" w:rsidRDefault="004B65BA" w:rsidP="004B65BA">
            <w:pPr>
              <w:spacing w:after="160" w:line="360" w:lineRule="auto"/>
              <w:rPr>
                <w:rFonts w:ascii="Arial" w:hAnsi="Arial" w:cs="Arial"/>
              </w:rPr>
            </w:pPr>
            <w:r w:rsidRPr="004B65BA">
              <w:rPr>
                <w:rFonts w:ascii="Arial" w:hAnsi="Arial" w:cs="Arial"/>
              </w:rPr>
              <w:t>0.75</w:t>
            </w:r>
          </w:p>
        </w:tc>
      </w:tr>
      <w:tr w:rsidR="004B65BA" w:rsidRPr="004B65BA" w14:paraId="5584B5C9" w14:textId="77777777" w:rsidTr="004B65BA">
        <w:tc>
          <w:tcPr>
            <w:tcW w:w="0" w:type="auto"/>
            <w:hideMark/>
          </w:tcPr>
          <w:p w14:paraId="7F4B9052" w14:textId="77777777" w:rsidR="004B65BA" w:rsidRPr="004B65BA" w:rsidRDefault="004B65BA" w:rsidP="004B65BA">
            <w:pPr>
              <w:spacing w:after="160" w:line="360" w:lineRule="auto"/>
              <w:rPr>
                <w:rFonts w:ascii="Arial" w:hAnsi="Arial" w:cs="Arial"/>
              </w:rPr>
            </w:pPr>
            <w:r w:rsidRPr="004B65BA">
              <w:rPr>
                <w:rFonts w:ascii="Arial" w:hAnsi="Arial" w:cs="Arial"/>
              </w:rPr>
              <w:t>2029</w:t>
            </w:r>
          </w:p>
        </w:tc>
        <w:tc>
          <w:tcPr>
            <w:tcW w:w="0" w:type="auto"/>
            <w:hideMark/>
          </w:tcPr>
          <w:p w14:paraId="10EC9F64" w14:textId="77777777" w:rsidR="004B65BA" w:rsidRPr="004B65BA" w:rsidRDefault="004B65BA" w:rsidP="004B65BA">
            <w:pPr>
              <w:spacing w:after="160" w:line="360" w:lineRule="auto"/>
              <w:rPr>
                <w:rFonts w:ascii="Arial" w:hAnsi="Arial" w:cs="Arial"/>
              </w:rPr>
            </w:pPr>
            <w:r w:rsidRPr="004B65BA">
              <w:rPr>
                <w:rFonts w:ascii="Arial" w:hAnsi="Arial" w:cs="Arial"/>
              </w:rPr>
              <w:t>520,000</w:t>
            </w:r>
          </w:p>
        </w:tc>
        <w:tc>
          <w:tcPr>
            <w:tcW w:w="0" w:type="auto"/>
            <w:hideMark/>
          </w:tcPr>
          <w:p w14:paraId="60AB6DB5" w14:textId="77777777" w:rsidR="004B65BA" w:rsidRPr="004B65BA" w:rsidRDefault="004B65BA" w:rsidP="004B65BA">
            <w:pPr>
              <w:spacing w:after="160" w:line="360" w:lineRule="auto"/>
              <w:rPr>
                <w:rFonts w:ascii="Arial" w:hAnsi="Arial" w:cs="Arial"/>
              </w:rPr>
            </w:pPr>
            <w:r w:rsidRPr="004B65BA">
              <w:rPr>
                <w:rFonts w:ascii="Arial" w:hAnsi="Arial" w:cs="Arial"/>
              </w:rPr>
              <w:t>15,000</w:t>
            </w:r>
          </w:p>
        </w:tc>
        <w:tc>
          <w:tcPr>
            <w:tcW w:w="0" w:type="auto"/>
            <w:hideMark/>
          </w:tcPr>
          <w:p w14:paraId="2B9CA34E" w14:textId="77777777" w:rsidR="004B65BA" w:rsidRPr="004B65BA" w:rsidRDefault="004B65BA" w:rsidP="004B65BA">
            <w:pPr>
              <w:spacing w:after="160" w:line="360" w:lineRule="auto"/>
              <w:rPr>
                <w:rFonts w:ascii="Arial" w:hAnsi="Arial" w:cs="Arial"/>
              </w:rPr>
            </w:pPr>
            <w:r w:rsidRPr="004B65BA">
              <w:rPr>
                <w:rFonts w:ascii="Arial" w:hAnsi="Arial" w:cs="Arial"/>
              </w:rPr>
              <w:t>6.0</w:t>
            </w:r>
          </w:p>
        </w:tc>
        <w:tc>
          <w:tcPr>
            <w:tcW w:w="0" w:type="auto"/>
            <w:hideMark/>
          </w:tcPr>
          <w:p w14:paraId="3331A60D" w14:textId="77777777" w:rsidR="004B65BA" w:rsidRPr="004B65BA" w:rsidRDefault="004B65BA" w:rsidP="004B65BA">
            <w:pPr>
              <w:spacing w:after="160" w:line="360" w:lineRule="auto"/>
              <w:rPr>
                <w:rFonts w:ascii="Arial" w:hAnsi="Arial" w:cs="Arial"/>
              </w:rPr>
            </w:pPr>
            <w:r w:rsidRPr="004B65BA">
              <w:rPr>
                <w:rFonts w:ascii="Arial" w:hAnsi="Arial" w:cs="Arial"/>
              </w:rPr>
              <w:t>0.36</w:t>
            </w:r>
          </w:p>
        </w:tc>
        <w:tc>
          <w:tcPr>
            <w:tcW w:w="0" w:type="auto"/>
            <w:hideMark/>
          </w:tcPr>
          <w:p w14:paraId="12BC1BD7" w14:textId="77777777" w:rsidR="004B65BA" w:rsidRPr="004B65BA" w:rsidRDefault="004B65BA" w:rsidP="004B65BA">
            <w:pPr>
              <w:spacing w:after="160" w:line="360" w:lineRule="auto"/>
              <w:rPr>
                <w:rFonts w:ascii="Arial" w:hAnsi="Arial" w:cs="Arial"/>
              </w:rPr>
            </w:pPr>
            <w:r w:rsidRPr="004B65BA">
              <w:rPr>
                <w:rFonts w:ascii="Arial" w:hAnsi="Arial" w:cs="Arial"/>
              </w:rPr>
              <w:t>0.70</w:t>
            </w:r>
          </w:p>
        </w:tc>
      </w:tr>
      <w:tr w:rsidR="004B65BA" w:rsidRPr="004B65BA" w14:paraId="36FC3B8D" w14:textId="77777777" w:rsidTr="004B65BA">
        <w:tc>
          <w:tcPr>
            <w:tcW w:w="0" w:type="auto"/>
            <w:hideMark/>
          </w:tcPr>
          <w:p w14:paraId="5F3EC013" w14:textId="77777777" w:rsidR="004B65BA" w:rsidRPr="004B65BA" w:rsidRDefault="004B65BA" w:rsidP="004B65BA">
            <w:pPr>
              <w:spacing w:after="160" w:line="360" w:lineRule="auto"/>
              <w:rPr>
                <w:rFonts w:ascii="Arial" w:hAnsi="Arial" w:cs="Arial"/>
              </w:rPr>
            </w:pPr>
            <w:r w:rsidRPr="004B65BA">
              <w:rPr>
                <w:rFonts w:ascii="Arial" w:hAnsi="Arial" w:cs="Arial"/>
              </w:rPr>
              <w:t>2030</w:t>
            </w:r>
          </w:p>
        </w:tc>
        <w:tc>
          <w:tcPr>
            <w:tcW w:w="0" w:type="auto"/>
            <w:hideMark/>
          </w:tcPr>
          <w:p w14:paraId="055B93DD" w14:textId="77777777" w:rsidR="004B65BA" w:rsidRPr="004B65BA" w:rsidRDefault="004B65BA" w:rsidP="004B65BA">
            <w:pPr>
              <w:spacing w:after="160" w:line="360" w:lineRule="auto"/>
              <w:rPr>
                <w:rFonts w:ascii="Arial" w:hAnsi="Arial" w:cs="Arial"/>
              </w:rPr>
            </w:pPr>
            <w:r w:rsidRPr="004B65BA">
              <w:rPr>
                <w:rFonts w:ascii="Arial" w:hAnsi="Arial" w:cs="Arial"/>
              </w:rPr>
              <w:t>550,000</w:t>
            </w:r>
          </w:p>
        </w:tc>
        <w:tc>
          <w:tcPr>
            <w:tcW w:w="0" w:type="auto"/>
            <w:hideMark/>
          </w:tcPr>
          <w:p w14:paraId="25443B89" w14:textId="77777777" w:rsidR="004B65BA" w:rsidRPr="004B65BA" w:rsidRDefault="004B65BA" w:rsidP="004B65BA">
            <w:pPr>
              <w:spacing w:after="160" w:line="360" w:lineRule="auto"/>
              <w:rPr>
                <w:rFonts w:ascii="Arial" w:hAnsi="Arial" w:cs="Arial"/>
              </w:rPr>
            </w:pPr>
            <w:r w:rsidRPr="004B65BA">
              <w:rPr>
                <w:rFonts w:ascii="Arial" w:hAnsi="Arial" w:cs="Arial"/>
              </w:rPr>
              <w:t>18,000</w:t>
            </w:r>
          </w:p>
        </w:tc>
        <w:tc>
          <w:tcPr>
            <w:tcW w:w="0" w:type="auto"/>
            <w:hideMark/>
          </w:tcPr>
          <w:p w14:paraId="45ACBDBA" w14:textId="77777777" w:rsidR="004B65BA" w:rsidRPr="004B65BA" w:rsidRDefault="004B65BA" w:rsidP="004B65BA">
            <w:pPr>
              <w:spacing w:after="160" w:line="360" w:lineRule="auto"/>
              <w:rPr>
                <w:rFonts w:ascii="Arial" w:hAnsi="Arial" w:cs="Arial"/>
              </w:rPr>
            </w:pPr>
            <w:r w:rsidRPr="004B65BA">
              <w:rPr>
                <w:rFonts w:ascii="Arial" w:hAnsi="Arial" w:cs="Arial"/>
              </w:rPr>
              <w:t>6.8</w:t>
            </w:r>
          </w:p>
        </w:tc>
        <w:tc>
          <w:tcPr>
            <w:tcW w:w="0" w:type="auto"/>
            <w:hideMark/>
          </w:tcPr>
          <w:p w14:paraId="0EF762F0" w14:textId="77777777" w:rsidR="004B65BA" w:rsidRPr="004B65BA" w:rsidRDefault="004B65BA" w:rsidP="004B65BA">
            <w:pPr>
              <w:spacing w:after="160" w:line="360" w:lineRule="auto"/>
              <w:rPr>
                <w:rFonts w:ascii="Arial" w:hAnsi="Arial" w:cs="Arial"/>
              </w:rPr>
            </w:pPr>
            <w:r w:rsidRPr="004B65BA">
              <w:rPr>
                <w:rFonts w:ascii="Arial" w:hAnsi="Arial" w:cs="Arial"/>
              </w:rPr>
              <w:t>0.40</w:t>
            </w:r>
          </w:p>
        </w:tc>
        <w:tc>
          <w:tcPr>
            <w:tcW w:w="0" w:type="auto"/>
            <w:hideMark/>
          </w:tcPr>
          <w:p w14:paraId="439B46E9" w14:textId="77777777" w:rsidR="004B65BA" w:rsidRPr="004B65BA" w:rsidRDefault="004B65BA" w:rsidP="004B65BA">
            <w:pPr>
              <w:spacing w:after="160" w:line="360" w:lineRule="auto"/>
              <w:rPr>
                <w:rFonts w:ascii="Arial" w:hAnsi="Arial" w:cs="Arial"/>
              </w:rPr>
            </w:pPr>
            <w:r w:rsidRPr="004B65BA">
              <w:rPr>
                <w:rFonts w:ascii="Arial" w:hAnsi="Arial" w:cs="Arial"/>
              </w:rPr>
              <w:t>0.68</w:t>
            </w:r>
          </w:p>
        </w:tc>
      </w:tr>
    </w:tbl>
    <w:p w14:paraId="05856113" w14:textId="6C311B13" w:rsidR="004B65BA" w:rsidRPr="004B65BA" w:rsidRDefault="004B65BA" w:rsidP="004B65BA">
      <w:pPr>
        <w:spacing w:line="360" w:lineRule="auto"/>
        <w:rPr>
          <w:rFonts w:ascii="Arial" w:hAnsi="Arial" w:cs="Arial"/>
        </w:rPr>
      </w:pPr>
    </w:p>
    <w:sectPr w:rsidR="004B65BA" w:rsidRPr="004B65BA">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5CCCB" w14:textId="77777777" w:rsidR="008035BB" w:rsidRDefault="008035BB" w:rsidP="00086D88">
      <w:pPr>
        <w:spacing w:after="0" w:line="240" w:lineRule="auto"/>
      </w:pPr>
      <w:r>
        <w:separator/>
      </w:r>
    </w:p>
  </w:endnote>
  <w:endnote w:type="continuationSeparator" w:id="0">
    <w:p w14:paraId="6F95D4DB" w14:textId="77777777" w:rsidR="008035BB" w:rsidRDefault="008035BB" w:rsidP="00086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8565962"/>
      <w:docPartObj>
        <w:docPartGallery w:val="Page Numbers (Bottom of Page)"/>
        <w:docPartUnique/>
      </w:docPartObj>
    </w:sdtPr>
    <w:sdtEndPr>
      <w:rPr>
        <w:noProof/>
      </w:rPr>
    </w:sdtEndPr>
    <w:sdtContent>
      <w:p w14:paraId="5420A926" w14:textId="76BF0FA4" w:rsidR="00362FFA" w:rsidRDefault="00362F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BAF46A" w14:textId="77777777" w:rsidR="00362FFA" w:rsidRDefault="00362F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3F1D3" w14:textId="77777777" w:rsidR="008035BB" w:rsidRDefault="008035BB" w:rsidP="00086D88">
      <w:pPr>
        <w:spacing w:after="0" w:line="240" w:lineRule="auto"/>
      </w:pPr>
      <w:r>
        <w:separator/>
      </w:r>
    </w:p>
  </w:footnote>
  <w:footnote w:type="continuationSeparator" w:id="0">
    <w:p w14:paraId="3EF6422D" w14:textId="77777777" w:rsidR="008035BB" w:rsidRDefault="008035BB" w:rsidP="00086D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167862"/>
      <w:docPartObj>
        <w:docPartGallery w:val="Page Numbers (Top of Page)"/>
        <w:docPartUnique/>
      </w:docPartObj>
    </w:sdtPr>
    <w:sdtEndPr>
      <w:rPr>
        <w:noProof/>
      </w:rPr>
    </w:sdtEndPr>
    <w:sdtContent>
      <w:p w14:paraId="64DD5B23" w14:textId="72CA5653" w:rsidR="00086D88" w:rsidRDefault="00086D8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EDDE499" w14:textId="77777777" w:rsidR="00086D88" w:rsidRDefault="00086D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F7206"/>
    <w:multiLevelType w:val="multilevel"/>
    <w:tmpl w:val="4DA2B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35066"/>
    <w:multiLevelType w:val="multilevel"/>
    <w:tmpl w:val="18BAE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010934"/>
    <w:multiLevelType w:val="multilevel"/>
    <w:tmpl w:val="90F0C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7504CA"/>
    <w:multiLevelType w:val="multilevel"/>
    <w:tmpl w:val="B6627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0B2492"/>
    <w:multiLevelType w:val="multilevel"/>
    <w:tmpl w:val="76507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137B4D"/>
    <w:multiLevelType w:val="multilevel"/>
    <w:tmpl w:val="2A2C6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D97EA9"/>
    <w:multiLevelType w:val="multilevel"/>
    <w:tmpl w:val="C936A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CC2B69"/>
    <w:multiLevelType w:val="multilevel"/>
    <w:tmpl w:val="4F68A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AC3EE3"/>
    <w:multiLevelType w:val="multilevel"/>
    <w:tmpl w:val="76287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820810"/>
    <w:multiLevelType w:val="multilevel"/>
    <w:tmpl w:val="DDACA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161563"/>
    <w:multiLevelType w:val="multilevel"/>
    <w:tmpl w:val="3D4CD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72F65CF"/>
    <w:multiLevelType w:val="multilevel"/>
    <w:tmpl w:val="07302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636169"/>
    <w:multiLevelType w:val="multilevel"/>
    <w:tmpl w:val="6A42F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5F2E2D"/>
    <w:multiLevelType w:val="multilevel"/>
    <w:tmpl w:val="40B4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185901"/>
    <w:multiLevelType w:val="multilevel"/>
    <w:tmpl w:val="881C0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331EDA"/>
    <w:multiLevelType w:val="multilevel"/>
    <w:tmpl w:val="6C00A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D843022"/>
    <w:multiLevelType w:val="multilevel"/>
    <w:tmpl w:val="82F68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7437F3"/>
    <w:multiLevelType w:val="multilevel"/>
    <w:tmpl w:val="6CBC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6A32BD"/>
    <w:multiLevelType w:val="multilevel"/>
    <w:tmpl w:val="7D964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1872199">
    <w:abstractNumId w:val="18"/>
  </w:num>
  <w:num w:numId="2" w16cid:durableId="1453399215">
    <w:abstractNumId w:val="13"/>
  </w:num>
  <w:num w:numId="3" w16cid:durableId="321199561">
    <w:abstractNumId w:val="7"/>
  </w:num>
  <w:num w:numId="4" w16cid:durableId="656761619">
    <w:abstractNumId w:val="11"/>
  </w:num>
  <w:num w:numId="5" w16cid:durableId="1960842485">
    <w:abstractNumId w:val="0"/>
  </w:num>
  <w:num w:numId="6" w16cid:durableId="526869624">
    <w:abstractNumId w:val="5"/>
  </w:num>
  <w:num w:numId="7" w16cid:durableId="598099683">
    <w:abstractNumId w:val="2"/>
  </w:num>
  <w:num w:numId="8" w16cid:durableId="1045446014">
    <w:abstractNumId w:val="8"/>
  </w:num>
  <w:num w:numId="9" w16cid:durableId="1547835375">
    <w:abstractNumId w:val="10"/>
  </w:num>
  <w:num w:numId="10" w16cid:durableId="992560691">
    <w:abstractNumId w:val="15"/>
  </w:num>
  <w:num w:numId="11" w16cid:durableId="180631040">
    <w:abstractNumId w:val="17"/>
  </w:num>
  <w:num w:numId="12" w16cid:durableId="1818765434">
    <w:abstractNumId w:val="9"/>
  </w:num>
  <w:num w:numId="13" w16cid:durableId="446899928">
    <w:abstractNumId w:val="3"/>
  </w:num>
  <w:num w:numId="14" w16cid:durableId="392656126">
    <w:abstractNumId w:val="12"/>
  </w:num>
  <w:num w:numId="15" w16cid:durableId="188760874">
    <w:abstractNumId w:val="1"/>
  </w:num>
  <w:num w:numId="16" w16cid:durableId="671031597">
    <w:abstractNumId w:val="14"/>
  </w:num>
  <w:num w:numId="17" w16cid:durableId="1508515093">
    <w:abstractNumId w:val="4"/>
  </w:num>
  <w:num w:numId="18" w16cid:durableId="188956594">
    <w:abstractNumId w:val="6"/>
  </w:num>
  <w:num w:numId="19" w16cid:durableId="195189037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AD"/>
    <w:rsid w:val="00086D88"/>
    <w:rsid w:val="000E7AF8"/>
    <w:rsid w:val="000F0818"/>
    <w:rsid w:val="00200CE4"/>
    <w:rsid w:val="002D29E6"/>
    <w:rsid w:val="00303986"/>
    <w:rsid w:val="00362FFA"/>
    <w:rsid w:val="00392B86"/>
    <w:rsid w:val="003C282C"/>
    <w:rsid w:val="003D15E0"/>
    <w:rsid w:val="0041779F"/>
    <w:rsid w:val="0045069D"/>
    <w:rsid w:val="00461A0A"/>
    <w:rsid w:val="004A3B52"/>
    <w:rsid w:val="004B65BA"/>
    <w:rsid w:val="0054467E"/>
    <w:rsid w:val="005565C4"/>
    <w:rsid w:val="005A6C2F"/>
    <w:rsid w:val="006243B0"/>
    <w:rsid w:val="006246CE"/>
    <w:rsid w:val="00663E52"/>
    <w:rsid w:val="006A429F"/>
    <w:rsid w:val="006C7160"/>
    <w:rsid w:val="00700F1F"/>
    <w:rsid w:val="007E4386"/>
    <w:rsid w:val="008035BB"/>
    <w:rsid w:val="00821026"/>
    <w:rsid w:val="00867E36"/>
    <w:rsid w:val="00921930"/>
    <w:rsid w:val="009A1386"/>
    <w:rsid w:val="009D302C"/>
    <w:rsid w:val="009F26D2"/>
    <w:rsid w:val="00A15871"/>
    <w:rsid w:val="00A67CBB"/>
    <w:rsid w:val="00AA7179"/>
    <w:rsid w:val="00AB0D36"/>
    <w:rsid w:val="00AE2029"/>
    <w:rsid w:val="00B000F3"/>
    <w:rsid w:val="00B01A16"/>
    <w:rsid w:val="00B32A66"/>
    <w:rsid w:val="00B411FA"/>
    <w:rsid w:val="00B43C57"/>
    <w:rsid w:val="00B46411"/>
    <w:rsid w:val="00B86633"/>
    <w:rsid w:val="00BF3B81"/>
    <w:rsid w:val="00C03186"/>
    <w:rsid w:val="00C06B88"/>
    <w:rsid w:val="00C329B5"/>
    <w:rsid w:val="00C35B86"/>
    <w:rsid w:val="00C465E2"/>
    <w:rsid w:val="00CF0C8F"/>
    <w:rsid w:val="00CF3140"/>
    <w:rsid w:val="00D16661"/>
    <w:rsid w:val="00D75139"/>
    <w:rsid w:val="00D824DC"/>
    <w:rsid w:val="00DA5C61"/>
    <w:rsid w:val="00E05FF4"/>
    <w:rsid w:val="00E100AD"/>
    <w:rsid w:val="00E82E81"/>
    <w:rsid w:val="00F05272"/>
    <w:rsid w:val="00F11761"/>
    <w:rsid w:val="00F72403"/>
    <w:rsid w:val="00F7799C"/>
    <w:rsid w:val="00F81920"/>
    <w:rsid w:val="00F85AAD"/>
    <w:rsid w:val="00FE1C8F"/>
    <w:rsid w:val="00FF76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579718"/>
  <w15:chartTrackingRefBased/>
  <w15:docId w15:val="{42799A26-E678-487D-8262-EA226ECF5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0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00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00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00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00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00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00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00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00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0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00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00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00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00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00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00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00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00AD"/>
    <w:rPr>
      <w:rFonts w:eastAsiaTheme="majorEastAsia" w:cstheme="majorBidi"/>
      <w:color w:val="272727" w:themeColor="text1" w:themeTint="D8"/>
    </w:rPr>
  </w:style>
  <w:style w:type="paragraph" w:styleId="Title">
    <w:name w:val="Title"/>
    <w:basedOn w:val="Normal"/>
    <w:next w:val="Normal"/>
    <w:link w:val="TitleChar"/>
    <w:uiPriority w:val="10"/>
    <w:qFormat/>
    <w:rsid w:val="00E100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00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00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00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00AD"/>
    <w:pPr>
      <w:spacing w:before="160"/>
      <w:jc w:val="center"/>
    </w:pPr>
    <w:rPr>
      <w:i/>
      <w:iCs/>
      <w:color w:val="404040" w:themeColor="text1" w:themeTint="BF"/>
    </w:rPr>
  </w:style>
  <w:style w:type="character" w:customStyle="1" w:styleId="QuoteChar">
    <w:name w:val="Quote Char"/>
    <w:basedOn w:val="DefaultParagraphFont"/>
    <w:link w:val="Quote"/>
    <w:uiPriority w:val="29"/>
    <w:rsid w:val="00E100AD"/>
    <w:rPr>
      <w:i/>
      <w:iCs/>
      <w:color w:val="404040" w:themeColor="text1" w:themeTint="BF"/>
    </w:rPr>
  </w:style>
  <w:style w:type="paragraph" w:styleId="ListParagraph">
    <w:name w:val="List Paragraph"/>
    <w:basedOn w:val="Normal"/>
    <w:uiPriority w:val="34"/>
    <w:qFormat/>
    <w:rsid w:val="00E100AD"/>
    <w:pPr>
      <w:ind w:left="720"/>
      <w:contextualSpacing/>
    </w:pPr>
  </w:style>
  <w:style w:type="character" w:styleId="IntenseEmphasis">
    <w:name w:val="Intense Emphasis"/>
    <w:basedOn w:val="DefaultParagraphFont"/>
    <w:uiPriority w:val="21"/>
    <w:qFormat/>
    <w:rsid w:val="00E100AD"/>
    <w:rPr>
      <w:i/>
      <w:iCs/>
      <w:color w:val="2F5496" w:themeColor="accent1" w:themeShade="BF"/>
    </w:rPr>
  </w:style>
  <w:style w:type="paragraph" w:styleId="IntenseQuote">
    <w:name w:val="Intense Quote"/>
    <w:basedOn w:val="Normal"/>
    <w:next w:val="Normal"/>
    <w:link w:val="IntenseQuoteChar"/>
    <w:uiPriority w:val="30"/>
    <w:qFormat/>
    <w:rsid w:val="00E100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00AD"/>
    <w:rPr>
      <w:i/>
      <w:iCs/>
      <w:color w:val="2F5496" w:themeColor="accent1" w:themeShade="BF"/>
    </w:rPr>
  </w:style>
  <w:style w:type="character" w:styleId="IntenseReference">
    <w:name w:val="Intense Reference"/>
    <w:basedOn w:val="DefaultParagraphFont"/>
    <w:uiPriority w:val="32"/>
    <w:qFormat/>
    <w:rsid w:val="00E100AD"/>
    <w:rPr>
      <w:b/>
      <w:bCs/>
      <w:smallCaps/>
      <w:color w:val="2F5496" w:themeColor="accent1" w:themeShade="BF"/>
      <w:spacing w:val="5"/>
    </w:rPr>
  </w:style>
  <w:style w:type="table" w:styleId="TableGrid">
    <w:name w:val="Table Grid"/>
    <w:basedOn w:val="TableNormal"/>
    <w:uiPriority w:val="39"/>
    <w:rsid w:val="00E10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565C4"/>
    <w:rPr>
      <w:rFonts w:ascii="Times New Roman" w:hAnsi="Times New Roman" w:cs="Times New Roman"/>
    </w:rPr>
  </w:style>
  <w:style w:type="character" w:styleId="Hyperlink">
    <w:name w:val="Hyperlink"/>
    <w:basedOn w:val="DefaultParagraphFont"/>
    <w:uiPriority w:val="99"/>
    <w:unhideWhenUsed/>
    <w:rsid w:val="00F05272"/>
    <w:rPr>
      <w:color w:val="0563C1" w:themeColor="hyperlink"/>
      <w:u w:val="single"/>
    </w:rPr>
  </w:style>
  <w:style w:type="character" w:styleId="UnresolvedMention">
    <w:name w:val="Unresolved Mention"/>
    <w:basedOn w:val="DefaultParagraphFont"/>
    <w:uiPriority w:val="99"/>
    <w:semiHidden/>
    <w:unhideWhenUsed/>
    <w:rsid w:val="00F05272"/>
    <w:rPr>
      <w:color w:val="605E5C"/>
      <w:shd w:val="clear" w:color="auto" w:fill="E1DFDD"/>
    </w:rPr>
  </w:style>
  <w:style w:type="character" w:styleId="BookTitle">
    <w:name w:val="Book Title"/>
    <w:basedOn w:val="DefaultParagraphFont"/>
    <w:uiPriority w:val="33"/>
    <w:qFormat/>
    <w:rsid w:val="006246CE"/>
    <w:rPr>
      <w:b/>
      <w:bCs/>
      <w:i/>
      <w:iCs/>
      <w:spacing w:val="5"/>
    </w:rPr>
  </w:style>
  <w:style w:type="character" w:styleId="FollowedHyperlink">
    <w:name w:val="FollowedHyperlink"/>
    <w:basedOn w:val="DefaultParagraphFont"/>
    <w:uiPriority w:val="99"/>
    <w:semiHidden/>
    <w:unhideWhenUsed/>
    <w:rsid w:val="00C465E2"/>
    <w:rPr>
      <w:color w:val="954F72" w:themeColor="followedHyperlink"/>
      <w:u w:val="single"/>
    </w:rPr>
  </w:style>
  <w:style w:type="paragraph" w:styleId="Header">
    <w:name w:val="header"/>
    <w:basedOn w:val="Normal"/>
    <w:link w:val="HeaderChar"/>
    <w:uiPriority w:val="99"/>
    <w:unhideWhenUsed/>
    <w:rsid w:val="00086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D88"/>
  </w:style>
  <w:style w:type="paragraph" w:styleId="Footer">
    <w:name w:val="footer"/>
    <w:basedOn w:val="Normal"/>
    <w:link w:val="FooterChar"/>
    <w:uiPriority w:val="99"/>
    <w:unhideWhenUsed/>
    <w:rsid w:val="00086D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D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google.com" TargetMode="External"/><Relationship Id="rId18" Type="http://schemas.openxmlformats.org/officeDocument/2006/relationships/hyperlink" Target="https://books.google.com" TargetMode="External"/><Relationship Id="rId26" Type="http://schemas.openxmlformats.org/officeDocument/2006/relationships/hyperlink" Target="https://hbr.org" TargetMode="External"/><Relationship Id="rId39" Type="http://schemas.openxmlformats.org/officeDocument/2006/relationships/image" Target="media/image3.png"/><Relationship Id="rId21" Type="http://schemas.openxmlformats.org/officeDocument/2006/relationships/hyperlink" Target="https://scholar.google.com" TargetMode="External"/><Relationship Id="rId34" Type="http://schemas.openxmlformats.org/officeDocument/2006/relationships/hyperlink" Target="https://scholar.google.com" TargetMode="External"/><Relationship Id="rId42" Type="http://schemas.openxmlformats.org/officeDocument/2006/relationships/image" Target="media/image6.png"/><Relationship Id="rId47" Type="http://schemas.openxmlformats.org/officeDocument/2006/relationships/image" Target="media/image11.png"/><Relationship Id="rId50" Type="http://schemas.openxmlformats.org/officeDocument/2006/relationships/image" Target="media/image14.jpe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cholar.google.com" TargetMode="External"/><Relationship Id="rId29" Type="http://schemas.openxmlformats.org/officeDocument/2006/relationships/hyperlink" Target="https://www.ncbi.nlm.nih.gov/pmc/articles/PMC9399167/" TargetMode="External"/><Relationship Id="rId11" Type="http://schemas.openxmlformats.org/officeDocument/2006/relationships/hyperlink" Target="https://scholar.google.com" TargetMode="External"/><Relationship Id="rId24" Type="http://schemas.openxmlformats.org/officeDocument/2006/relationships/hyperlink" Target="https://www.tandfonline.com/doi/full/10.1080/23311975.2022.2111036" TargetMode="External"/><Relationship Id="rId32" Type="http://schemas.openxmlformats.org/officeDocument/2006/relationships/hyperlink" Target="https://books.google.com" TargetMode="External"/><Relationship Id="rId37" Type="http://schemas.openxmlformats.org/officeDocument/2006/relationships/hyperlink" Target="https://www.sciencedirect.com/science/article/pii/S2405844023001622" TargetMode="External"/><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tandfonline.com/" TargetMode="External"/><Relationship Id="rId19" Type="http://schemas.openxmlformats.org/officeDocument/2006/relationships/hyperlink" Target="https://hbr.org/2023/09/research-consumers-sustainability-demands-are-rising" TargetMode="External"/><Relationship Id="rId31" Type="http://schemas.openxmlformats.org/officeDocument/2006/relationships/hyperlink" Target="https://scholar.google.com" TargetMode="External"/><Relationship Id="rId44" Type="http://schemas.openxmlformats.org/officeDocument/2006/relationships/image" Target="media/image8.png"/><Relationship Id="rId52"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hyperlink" Target="https://www.researchgate.net/publication/347498728" TargetMode="External"/><Relationship Id="rId14" Type="http://schemas.openxmlformats.org/officeDocument/2006/relationships/hyperlink" Target="https://scholar.google.com" TargetMode="External"/><Relationship Id="rId22" Type="http://schemas.openxmlformats.org/officeDocument/2006/relationships/hyperlink" Target="https://scholar.google.com" TargetMode="External"/><Relationship Id="rId27" Type="http://schemas.openxmlformats.org/officeDocument/2006/relationships/hyperlink" Target="https://www.researchgate.net/" TargetMode="External"/><Relationship Id="rId30" Type="http://schemas.openxmlformats.org/officeDocument/2006/relationships/hyperlink" Target="https://scholar.google.com" TargetMode="External"/><Relationship Id="rId35" Type="http://schemas.openxmlformats.org/officeDocument/2006/relationships/hyperlink" Target="https://josephmahoney.web.illinois.edu/BA545_Fall%202022/Teece,%20Pisano%20and%20Shuen%20(1997).pdf" TargetMode="External"/><Relationship Id="rId43" Type="http://schemas.openxmlformats.org/officeDocument/2006/relationships/image" Target="media/image7.png"/><Relationship Id="rId48" Type="http://schemas.openxmlformats.org/officeDocument/2006/relationships/image" Target="media/image12.jpe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15.png"/><Relationship Id="rId3" Type="http://schemas.openxmlformats.org/officeDocument/2006/relationships/styles" Target="styles.xml"/><Relationship Id="rId12" Type="http://schemas.openxmlformats.org/officeDocument/2006/relationships/hyperlink" Target="https://arxiv.org/abs/2012.08997" TargetMode="External"/><Relationship Id="rId17" Type="http://schemas.openxmlformats.org/officeDocument/2006/relationships/hyperlink" Target="https://books.google.com" TargetMode="External"/><Relationship Id="rId25" Type="http://schemas.openxmlformats.org/officeDocument/2006/relationships/hyperlink" Target="https://scholar.google.com" TargetMode="External"/><Relationship Id="rId33" Type="http://schemas.openxmlformats.org/officeDocument/2006/relationships/hyperlink" Target="https://www.sciencedirect.com/science/article/pii/S1057521923000193" TargetMode="External"/><Relationship Id="rId38" Type="http://schemas.openxmlformats.org/officeDocument/2006/relationships/image" Target="media/image2.png"/><Relationship Id="rId46" Type="http://schemas.openxmlformats.org/officeDocument/2006/relationships/image" Target="media/image10.png"/><Relationship Id="rId20" Type="http://schemas.openxmlformats.org/officeDocument/2006/relationships/hyperlink" Target="https://www.mdpi.com/1911-8074/13/2/32" TargetMode="External"/><Relationship Id="rId41" Type="http://schemas.openxmlformats.org/officeDocument/2006/relationships/image" Target="media/image5.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cholar.google.com" TargetMode="External"/><Relationship Id="rId23" Type="http://schemas.openxmlformats.org/officeDocument/2006/relationships/hyperlink" Target="https://www.iea.org" TargetMode="External"/><Relationship Id="rId28" Type="http://schemas.openxmlformats.org/officeDocument/2006/relationships/hyperlink" Target="https://www.researchgate.net/" TargetMode="External"/><Relationship Id="rId36" Type="http://schemas.openxmlformats.org/officeDocument/2006/relationships/hyperlink" Target="https://scholar.google.com" TargetMode="External"/><Relationship Id="rId49"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D2307-5118-4EFA-92A8-38B7E4BE2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34</Pages>
  <Words>6841</Words>
  <Characters>41087</Characters>
  <Application>Microsoft Office Word</Application>
  <DocSecurity>0</DocSecurity>
  <Lines>1467</Lines>
  <Paragraphs>966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purvi shah</dc:creator>
  <cp:keywords/>
  <dc:description/>
  <cp:lastModifiedBy>Abhi Shah</cp:lastModifiedBy>
  <cp:revision>21</cp:revision>
  <dcterms:created xsi:type="dcterms:W3CDTF">2025-11-04T16:20:00Z</dcterms:created>
  <dcterms:modified xsi:type="dcterms:W3CDTF">2025-11-23T23:33:00Z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d55c759c-6d34-415e-88c0-5921124c5b98</vt:lpwstr>
  </property>
</Properties>
</file>