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979DE" w14:textId="77777777" w:rsidR="007E24D4" w:rsidRDefault="007E24D4" w:rsidP="007E24D4">
      <w:pPr>
        <w:jc w:val="center"/>
        <w:rPr>
          <w:b/>
          <w:bCs/>
          <w:sz w:val="32"/>
          <w:szCs w:val="28"/>
        </w:rPr>
      </w:pPr>
    </w:p>
    <w:p w14:paraId="6FC36BE7" w14:textId="77777777" w:rsidR="007E24D4" w:rsidRDefault="007E24D4" w:rsidP="007E24D4">
      <w:pPr>
        <w:jc w:val="center"/>
        <w:rPr>
          <w:b/>
          <w:bCs/>
          <w:sz w:val="32"/>
          <w:szCs w:val="28"/>
        </w:rPr>
      </w:pPr>
    </w:p>
    <w:p w14:paraId="4CAA5E3D" w14:textId="77777777" w:rsidR="00A256CC" w:rsidRDefault="00A256CC" w:rsidP="007E24D4">
      <w:pPr>
        <w:jc w:val="center"/>
        <w:rPr>
          <w:b/>
          <w:bCs/>
          <w:sz w:val="32"/>
          <w:szCs w:val="28"/>
        </w:rPr>
      </w:pPr>
    </w:p>
    <w:p w14:paraId="50C84718" w14:textId="77777777" w:rsidR="00A256CC" w:rsidRDefault="00A256CC" w:rsidP="007E24D4">
      <w:pPr>
        <w:jc w:val="center"/>
        <w:rPr>
          <w:b/>
          <w:bCs/>
          <w:sz w:val="32"/>
          <w:szCs w:val="28"/>
        </w:rPr>
      </w:pPr>
    </w:p>
    <w:p w14:paraId="24AC7D5F" w14:textId="1480357A" w:rsidR="00A256CC" w:rsidRPr="00C170DA" w:rsidRDefault="00A256CC" w:rsidP="00A256CC">
      <w:pPr>
        <w:spacing w:line="278" w:lineRule="auto"/>
        <w:jc w:val="center"/>
        <w:rPr>
          <w:rFonts w:ascii="Arial" w:hAnsi="Arial" w:cs="Arial"/>
          <w:b/>
          <w:bCs/>
          <w:sz w:val="44"/>
          <w:szCs w:val="44"/>
        </w:rPr>
      </w:pPr>
      <w:r w:rsidRPr="00C170DA">
        <w:rPr>
          <w:rFonts w:ascii="Arial" w:hAnsi="Arial" w:cs="Arial"/>
          <w:b/>
          <w:bCs/>
          <w:sz w:val="44"/>
          <w:szCs w:val="44"/>
        </w:rPr>
        <w:t>University of Wales Trinity Saint David</w:t>
      </w:r>
    </w:p>
    <w:p w14:paraId="4696AB9D" w14:textId="77777777" w:rsidR="00A256CC" w:rsidRPr="00A256CC" w:rsidRDefault="00A256CC" w:rsidP="00A256CC">
      <w:pPr>
        <w:jc w:val="center"/>
        <w:rPr>
          <w:rFonts w:ascii="Arial" w:hAnsi="Arial" w:cs="Arial"/>
          <w:b/>
          <w:bCs/>
          <w:sz w:val="44"/>
          <w:szCs w:val="44"/>
          <w:lang w:val="en-US"/>
        </w:rPr>
      </w:pPr>
      <w:r w:rsidRPr="00A256CC">
        <w:rPr>
          <w:rFonts w:ascii="Arial" w:hAnsi="Arial" w:cs="Arial"/>
          <w:b/>
          <w:bCs/>
          <w:sz w:val="44"/>
          <w:szCs w:val="44"/>
          <w:lang w:val="en-US"/>
        </w:rPr>
        <w:t>LCBB4016</w:t>
      </w:r>
    </w:p>
    <w:p w14:paraId="1D427F47" w14:textId="77777777" w:rsidR="00A256CC" w:rsidRPr="00A256CC" w:rsidRDefault="00A256CC" w:rsidP="00A256CC">
      <w:pPr>
        <w:jc w:val="center"/>
        <w:rPr>
          <w:rFonts w:ascii="Arial" w:hAnsi="Arial" w:cs="Arial"/>
          <w:b/>
          <w:bCs/>
          <w:sz w:val="44"/>
          <w:szCs w:val="44"/>
          <w:lang w:val="en-US"/>
        </w:rPr>
      </w:pPr>
      <w:r w:rsidRPr="00A256CC">
        <w:rPr>
          <w:rFonts w:ascii="Arial" w:hAnsi="Arial" w:cs="Arial"/>
          <w:b/>
          <w:bCs/>
          <w:sz w:val="44"/>
          <w:szCs w:val="44"/>
          <w:lang w:val="en-US"/>
        </w:rPr>
        <w:t>Global Business Environment</w:t>
      </w:r>
    </w:p>
    <w:p w14:paraId="1B198716" w14:textId="77777777" w:rsidR="00A256CC" w:rsidRPr="00A256CC" w:rsidRDefault="00A256CC" w:rsidP="00A256CC">
      <w:pPr>
        <w:jc w:val="center"/>
        <w:rPr>
          <w:rFonts w:ascii="Arial" w:hAnsi="Arial" w:cs="Arial"/>
          <w:b/>
          <w:bCs/>
          <w:sz w:val="44"/>
          <w:szCs w:val="44"/>
          <w:lang w:val="en-US"/>
        </w:rPr>
      </w:pPr>
      <w:r w:rsidRPr="00A256CC">
        <w:rPr>
          <w:rFonts w:ascii="Arial" w:hAnsi="Arial" w:cs="Arial"/>
          <w:b/>
          <w:bCs/>
          <w:sz w:val="44"/>
          <w:szCs w:val="44"/>
          <w:lang w:val="en-US"/>
        </w:rPr>
        <w:t>Kareem Sani</w:t>
      </w:r>
    </w:p>
    <w:p w14:paraId="1EB0E594" w14:textId="77777777" w:rsidR="00A256CC" w:rsidRPr="00C170DA" w:rsidRDefault="00A256CC" w:rsidP="00A256CC">
      <w:pPr>
        <w:spacing w:line="278" w:lineRule="auto"/>
        <w:jc w:val="center"/>
        <w:rPr>
          <w:rFonts w:ascii="Arial" w:hAnsi="Arial" w:cs="Arial"/>
          <w:b/>
          <w:bCs/>
          <w:sz w:val="44"/>
          <w:szCs w:val="44"/>
        </w:rPr>
      </w:pPr>
      <w:r w:rsidRPr="00C170DA">
        <w:rPr>
          <w:rFonts w:ascii="Arial" w:hAnsi="Arial" w:cs="Arial"/>
          <w:b/>
          <w:bCs/>
          <w:sz w:val="44"/>
          <w:szCs w:val="44"/>
        </w:rPr>
        <w:t>Floarea-Stanca Costea</w:t>
      </w:r>
    </w:p>
    <w:p w14:paraId="5DDE6908" w14:textId="03642D4B" w:rsidR="00A256CC" w:rsidRPr="00C170DA" w:rsidRDefault="00A256CC" w:rsidP="00A256CC">
      <w:pPr>
        <w:jc w:val="center"/>
        <w:rPr>
          <w:rFonts w:ascii="Arial" w:hAnsi="Arial" w:cs="Arial"/>
          <w:b/>
          <w:bCs/>
          <w:sz w:val="44"/>
          <w:szCs w:val="44"/>
        </w:rPr>
      </w:pPr>
      <w:r w:rsidRPr="00C170DA">
        <w:rPr>
          <w:rFonts w:ascii="Arial" w:hAnsi="Arial" w:cs="Arial"/>
          <w:b/>
          <w:bCs/>
          <w:sz w:val="44"/>
          <w:szCs w:val="44"/>
        </w:rPr>
        <w:t>2323250</w:t>
      </w:r>
    </w:p>
    <w:p w14:paraId="46E8B340" w14:textId="77777777" w:rsidR="00A256CC" w:rsidRDefault="00A256CC" w:rsidP="007E24D4">
      <w:pPr>
        <w:jc w:val="center"/>
        <w:rPr>
          <w:b/>
          <w:bCs/>
          <w:sz w:val="32"/>
          <w:szCs w:val="28"/>
        </w:rPr>
      </w:pPr>
    </w:p>
    <w:p w14:paraId="4F541F72" w14:textId="77777777" w:rsidR="00A256CC" w:rsidRDefault="00A256CC" w:rsidP="007E24D4">
      <w:pPr>
        <w:jc w:val="center"/>
        <w:rPr>
          <w:b/>
          <w:bCs/>
          <w:sz w:val="32"/>
          <w:szCs w:val="28"/>
        </w:rPr>
      </w:pPr>
    </w:p>
    <w:p w14:paraId="6CCCC8DC" w14:textId="77777777" w:rsidR="00A256CC" w:rsidRDefault="00A256CC" w:rsidP="007E24D4">
      <w:pPr>
        <w:jc w:val="center"/>
        <w:rPr>
          <w:b/>
          <w:bCs/>
          <w:sz w:val="32"/>
          <w:szCs w:val="28"/>
        </w:rPr>
      </w:pPr>
    </w:p>
    <w:p w14:paraId="1E42C8A0" w14:textId="77777777" w:rsidR="00A256CC" w:rsidRDefault="00A256CC" w:rsidP="007E24D4">
      <w:pPr>
        <w:jc w:val="center"/>
        <w:rPr>
          <w:b/>
          <w:bCs/>
          <w:sz w:val="32"/>
          <w:szCs w:val="28"/>
        </w:rPr>
      </w:pPr>
    </w:p>
    <w:p w14:paraId="3116684D" w14:textId="77777777" w:rsidR="00A256CC" w:rsidRDefault="00A256CC" w:rsidP="007E24D4">
      <w:pPr>
        <w:jc w:val="center"/>
        <w:rPr>
          <w:b/>
          <w:bCs/>
          <w:sz w:val="32"/>
          <w:szCs w:val="28"/>
        </w:rPr>
      </w:pPr>
    </w:p>
    <w:p w14:paraId="0327A97D" w14:textId="77777777" w:rsidR="007E24D4" w:rsidRDefault="007E24D4" w:rsidP="00A256CC">
      <w:pPr>
        <w:rPr>
          <w:b/>
          <w:bCs/>
          <w:sz w:val="32"/>
          <w:szCs w:val="28"/>
        </w:rPr>
      </w:pPr>
    </w:p>
    <w:p w14:paraId="7635DB66" w14:textId="77777777" w:rsidR="007E24D4" w:rsidRPr="007E24D4" w:rsidRDefault="007E24D4" w:rsidP="007E24D4">
      <w:pPr>
        <w:jc w:val="center"/>
        <w:rPr>
          <w:b/>
          <w:bCs/>
          <w:sz w:val="32"/>
          <w:szCs w:val="28"/>
        </w:rPr>
      </w:pPr>
    </w:p>
    <w:p w14:paraId="306A88C8" w14:textId="37528642" w:rsidR="0052781A" w:rsidRDefault="00200482" w:rsidP="00200482">
      <w:r>
        <w:lastRenderedPageBreak/>
        <w:t xml:space="preserve">The concept of globalisation has emerged as the </w:t>
      </w:r>
      <w:r w:rsidR="0052781A">
        <w:t>twenty-first-century</w:t>
      </w:r>
      <w:r>
        <w:t xml:space="preserve"> aspect changing the way businesses are being conducted, competing and expanding across borders. It is the expanding globality of the economies, society and technologies via trades, investment and digital innovation. In the case of multinational enterprises (MNEs), globalisation does not just denote </w:t>
      </w:r>
      <w:r w:rsidR="0052781A">
        <w:t>international</w:t>
      </w:r>
      <w:r>
        <w:t xml:space="preserve"> expansion</w:t>
      </w:r>
      <w:r w:rsidR="0052781A">
        <w:t>,</w:t>
      </w:r>
      <w:r>
        <w:t xml:space="preserve"> but it should entail flexibility to </w:t>
      </w:r>
      <w:r w:rsidR="0052781A">
        <w:t>fast technological</w:t>
      </w:r>
      <w:r>
        <w:t xml:space="preserve"> changes, changing consumer needs and political unrest all over the world. The emergence of artificial intelligence (AI), new rules of sustainable development, and geopolitical instabilities are changing the world of business. All </w:t>
      </w:r>
      <w:r w:rsidR="0052781A">
        <w:t>these</w:t>
      </w:r>
      <w:r>
        <w:t xml:space="preserve"> forces bring about opportunities and challenges to the firms</w:t>
      </w:r>
      <w:r w:rsidR="0052781A">
        <w:t>,</w:t>
      </w:r>
      <w:r>
        <w:t xml:space="preserve"> and as such, firms must reconsider their strategies to remain competitive and responsible. This essay discusses the impact of these international forces on the international strategy and international operations of Unilever, a UK-based multinational consumer goods company, in the context of how the AI adoption, global supply chain disruptions, and sustainability regulations like the Corporate Sustainability Reporting Directive (CSRD) in the EU contribute to the competitiveness, innovation, and long-term success of the company.</w:t>
      </w:r>
    </w:p>
    <w:p w14:paraId="72CC7899" w14:textId="7E99ED66" w:rsidR="003D573E" w:rsidRDefault="00D53363" w:rsidP="003D573E">
      <w:r>
        <w:t>Unilever is a brand of Dove, Lifebuoy and Ben and Jerry's that is operating in more than 190 countries. It is one of the models of how a multinational can react to the shifting global forces, because it is highly sustainable-oriented and it is globally operating. AI development and AI implementation are starting to take traction in business processes, and it is among the largest opportunities that Unilever can capitalise on. The role of artificial intelligence has changed the decision-making process, effectiveness, and communication with consumers, which is a global business. Unilever has embraced AI technology, aiming at the best use of customer relationships, production planning and demand forecasting.</w:t>
      </w:r>
      <w:r w:rsidR="003D573E">
        <w:t xml:space="preserve"> Machine learning has the potential to enable the company to </w:t>
      </w:r>
      <w:r w:rsidR="0052781A">
        <w:t>analyse</w:t>
      </w:r>
      <w:r w:rsidR="003D573E">
        <w:t xml:space="preserve"> huge amounts of data to forecast consumer </w:t>
      </w:r>
      <w:r w:rsidR="0052781A">
        <w:t>behaviour</w:t>
      </w:r>
      <w:r w:rsidR="003D573E">
        <w:t xml:space="preserve">, </w:t>
      </w:r>
      <w:r w:rsidR="0052781A">
        <w:t>optimise</w:t>
      </w:r>
      <w:r w:rsidR="003D573E">
        <w:t xml:space="preserve"> its inventories, and decrease waste (Accenture, 2023). Marketing strategies are also improved with AI-powered analytics</w:t>
      </w:r>
      <w:r w:rsidR="0052781A">
        <w:t>,</w:t>
      </w:r>
      <w:r w:rsidR="003D573E">
        <w:t xml:space="preserve"> which enable Unilever to create advertisements in particular demographic and cultural settings, which increases the global coverage and customer retention. In addition, AI application in research and development of Unilever can facilitate innovation, by being able to test formulations virtually and simulate consumer reactions prior to products being introduced to the market, Unilever would be able to ease its product development efforts and satisfy its sustainable approach to innovation.</w:t>
      </w:r>
    </w:p>
    <w:p w14:paraId="67695127" w14:textId="7D494D63" w:rsidR="003D573E" w:rsidRDefault="003D573E" w:rsidP="003D573E">
      <w:r>
        <w:lastRenderedPageBreak/>
        <w:t>The sustainability regulations</w:t>
      </w:r>
      <w:r w:rsidR="0052781A">
        <w:t>,</w:t>
      </w:r>
      <w:r>
        <w:t xml:space="preserve"> like the CSRD in the EU</w:t>
      </w:r>
      <w:r w:rsidR="0052781A">
        <w:t>,</w:t>
      </w:r>
      <w:r>
        <w:t xml:space="preserve"> which accentuate transparency and environmental responsibility</w:t>
      </w:r>
      <w:r w:rsidR="0052781A">
        <w:t>,</w:t>
      </w:r>
      <w:r>
        <w:t xml:space="preserve"> are another positive impact. Despite the administrative problems that compliance brings to Unilever, it will create an opportunity to unify its global image as a sustainability leader. The business has been consistent with its goals in sustainable development since the implementation of the Unilever Sustainable Living Plan</w:t>
      </w:r>
      <w:r w:rsidR="0052781A">
        <w:t>,</w:t>
      </w:r>
      <w:r>
        <w:t xml:space="preserve"> </w:t>
      </w:r>
      <w:r w:rsidR="0052781A">
        <w:t>which</w:t>
      </w:r>
      <w:r>
        <w:t xml:space="preserve"> </w:t>
      </w:r>
      <w:r w:rsidR="0052781A">
        <w:t>emphasises minimising</w:t>
      </w:r>
      <w:r>
        <w:t xml:space="preserve"> the environmental footprint and enhancing livelihoods along the supply chain (Unilever, 2024). With the help of effective reporting of the CSRD, which is highly qualified and compliant with the standards of reporting, Unilever will be able to improve its credibility with investors and draw interest </w:t>
      </w:r>
      <w:r w:rsidR="0052781A">
        <w:t>from</w:t>
      </w:r>
      <w:r>
        <w:t xml:space="preserve"> those interested in sustainability. The regulation also enhances the identity of the company as purpose-driven to gain the capacity to differentiate its brands in markets where consumers are increasingly becoming </w:t>
      </w:r>
      <w:r w:rsidR="0052781A">
        <w:t>more ethical and eco-friendlier</w:t>
      </w:r>
      <w:r>
        <w:t>. Companies that incorporate sustainability as a part of their strategic models tend to become more profitable in the long run and more resolute in response to regulatory changes (</w:t>
      </w:r>
      <w:r w:rsidR="00822F62" w:rsidRPr="00822F62">
        <w:t>Hummel</w:t>
      </w:r>
      <w:r w:rsidR="00822F62">
        <w:t xml:space="preserve"> </w:t>
      </w:r>
      <w:r w:rsidR="00822F62" w:rsidRPr="00822F62">
        <w:t>and Jobst, 2024</w:t>
      </w:r>
      <w:r>
        <w:t xml:space="preserve">). Therefore, sustainability requirements, albeit challenging, are closely associated with the Unilever strategic ethos, and they </w:t>
      </w:r>
      <w:r w:rsidR="0052781A">
        <w:t>said</w:t>
      </w:r>
      <w:r>
        <w:t xml:space="preserve"> the company </w:t>
      </w:r>
      <w:r w:rsidR="0052781A">
        <w:t xml:space="preserve">has </w:t>
      </w:r>
      <w:r>
        <w:t>in its international competitive advantage.</w:t>
      </w:r>
    </w:p>
    <w:p w14:paraId="1B1FE61D" w14:textId="07430DD7" w:rsidR="003D573E" w:rsidRDefault="00F86161" w:rsidP="003D573E">
      <w:r w:rsidRPr="00F86161">
        <w:t>However, it is also the challenge of such international forces. The introduction of AI suggests ethical and business matters that require an adequate solution. Privacy of data and algorithmic bias are the major threats.</w:t>
      </w:r>
      <w:r>
        <w:t xml:space="preserve"> </w:t>
      </w:r>
      <w:r w:rsidR="003D573E">
        <w:t xml:space="preserve">As a company that is present worldwide, operating in jurisdictions which may have different legislations regarding data protection laws, Unilever </w:t>
      </w:r>
      <w:proofErr w:type="gramStart"/>
      <w:r w:rsidR="003D573E">
        <w:t>has to</w:t>
      </w:r>
      <w:proofErr w:type="gramEnd"/>
      <w:r w:rsidR="003D573E">
        <w:t xml:space="preserve"> guarantee that it adheres to other frameworks like the General Data Protection Regulation (GDPR) without losing consumer confidence. The use of automation also brings up the issue of workforce displacement, and the company needs to strike a balance between efficiency and employee welfare and retraining (Brynjolfsson and McAfee, 20</w:t>
      </w:r>
      <w:r w:rsidR="00822F62">
        <w:t>14</w:t>
      </w:r>
      <w:r w:rsidR="003D573E">
        <w:t xml:space="preserve">). Installation of AI requires well-developed financial resources and technical skills, which in some cases may be overwhelming the resources especially in times of market uncertainties. Otherwise, automation can too heavily replace the human touch in brand communication of </w:t>
      </w:r>
      <w:r w:rsidR="0052781A">
        <w:t>destroying</w:t>
      </w:r>
      <w:r w:rsidR="003D573E">
        <w:t xml:space="preserve"> of emotional bond that Unilever marketing has traditionally developed with the consumer</w:t>
      </w:r>
      <w:r w:rsidR="00822F62">
        <w:t xml:space="preserve"> (</w:t>
      </w:r>
      <w:r w:rsidR="00822F62" w:rsidRPr="00822F62">
        <w:t>De Bandt</w:t>
      </w:r>
      <w:r w:rsidR="00822F62">
        <w:t xml:space="preserve"> et al., 2021)</w:t>
      </w:r>
      <w:r w:rsidR="003D573E">
        <w:t>.</w:t>
      </w:r>
    </w:p>
    <w:p w14:paraId="4A03F030" w14:textId="20A7E8F3" w:rsidR="003D573E" w:rsidRDefault="003D573E" w:rsidP="003D573E">
      <w:r>
        <w:t xml:space="preserve">There are also challenges of geopolitical tensions and disruptions in the supply chains. Incidents like the Red Sea crisis and tensions between China and Taiwan have altered shipping routes across the world, raised transportation costs and </w:t>
      </w:r>
      <w:r w:rsidR="0052781A">
        <w:t>increased</w:t>
      </w:r>
      <w:r>
        <w:t xml:space="preserve"> the susceptibility of the long supply chains</w:t>
      </w:r>
      <w:r w:rsidR="0059457B">
        <w:t xml:space="preserve"> </w:t>
      </w:r>
      <w:r w:rsidR="0059457B">
        <w:lastRenderedPageBreak/>
        <w:t>(</w:t>
      </w:r>
      <w:proofErr w:type="spellStart"/>
      <w:r w:rsidR="0059457B" w:rsidRPr="0059457B">
        <w:t>Rasshyvalov</w:t>
      </w:r>
      <w:proofErr w:type="spellEnd"/>
      <w:r w:rsidR="0059457B">
        <w:t xml:space="preserve"> et al., 2024)</w:t>
      </w:r>
      <w:r>
        <w:t xml:space="preserve">. In the case of Unilever, </w:t>
      </w:r>
      <w:r w:rsidR="0052781A">
        <w:t>which</w:t>
      </w:r>
      <w:r>
        <w:t xml:space="preserve"> operates using difficult networks to find raw materials, including palm oil and packaging materials, those disruptions may cause delays in production and inflation of costs (Financial Times, 2024). Business pressure is mounting on the company to achieve supply base diversification, localisation of production and investment in logistics resiliency. </w:t>
      </w:r>
      <w:r w:rsidR="00F86161" w:rsidRPr="00F86161">
        <w:t>Operations in global markets</w:t>
      </w:r>
      <w:r w:rsidR="0052781A">
        <w:t>,</w:t>
      </w:r>
      <w:r w:rsidR="00F86161" w:rsidRPr="00F86161">
        <w:t xml:space="preserve"> especially in emerging markets</w:t>
      </w:r>
      <w:r w:rsidR="0052781A">
        <w:t>,</w:t>
      </w:r>
      <w:r w:rsidR="00F86161" w:rsidRPr="00F86161">
        <w:t xml:space="preserve"> by Unilever are additionally complicated by the unpredictable currency policy, tariff systems and unreliable currency variables. The dangers have imposed the need of scouting digital supply chain technology by the company comprising blockchain and predictive analytics</w:t>
      </w:r>
      <w:r w:rsidR="0052781A">
        <w:t>,</w:t>
      </w:r>
      <w:r w:rsidR="00F86161" w:rsidRPr="00F86161">
        <w:t xml:space="preserve"> that would increase transparency and traceability. Evolution of such transitions is</w:t>
      </w:r>
      <w:r w:rsidR="0052781A">
        <w:t>,</w:t>
      </w:r>
      <w:r w:rsidR="00F86161" w:rsidRPr="00F86161">
        <w:t xml:space="preserve"> however</w:t>
      </w:r>
      <w:r w:rsidR="0052781A">
        <w:t>,</w:t>
      </w:r>
      <w:r w:rsidR="00F86161" w:rsidRPr="00F86161">
        <w:t xml:space="preserve"> extremely costly and requires cooperation across sectors</w:t>
      </w:r>
      <w:r w:rsidR="0052781A">
        <w:t>,</w:t>
      </w:r>
      <w:r w:rsidR="00F86161" w:rsidRPr="00F86161">
        <w:t xml:space="preserve"> problematic of </w:t>
      </w:r>
      <w:r w:rsidR="0052781A">
        <w:t>a</w:t>
      </w:r>
      <w:r w:rsidR="00F86161" w:rsidRPr="00F86161">
        <w:t xml:space="preserve"> fine </w:t>
      </w:r>
      <w:r w:rsidR="0052781A">
        <w:t>balance</w:t>
      </w:r>
      <w:r w:rsidR="00F86161" w:rsidRPr="00F86161">
        <w:t xml:space="preserve"> between resilience and </w:t>
      </w:r>
      <w:r w:rsidR="0052781A">
        <w:t>profit-making</w:t>
      </w:r>
      <w:r w:rsidR="00F86161" w:rsidRPr="00F86161">
        <w:t xml:space="preserve"> in the global supply chain management.</w:t>
      </w:r>
    </w:p>
    <w:p w14:paraId="26A9D10E" w14:textId="6BC7918D" w:rsidR="006E0958" w:rsidRDefault="00AA6DC0" w:rsidP="006E0958">
      <w:r>
        <w:t>The CSRD also poses operational challenges</w:t>
      </w:r>
      <w:r w:rsidR="0052781A">
        <w:t>,</w:t>
      </w:r>
      <w:r>
        <w:t xml:space="preserve"> particularly to a multinational firm that conducts </w:t>
      </w:r>
      <w:r w:rsidR="0052781A">
        <w:t>business</w:t>
      </w:r>
      <w:r>
        <w:t xml:space="preserve"> in different markets. The order requires a comprehensive sustainability reporting, which requires Unilever to gather, confirm and </w:t>
      </w:r>
      <w:r w:rsidR="0052781A">
        <w:t>standardise</w:t>
      </w:r>
      <w:r>
        <w:t xml:space="preserve"> information of thousands of suppliers and subsidiaries. To establish consistency between the reporting systems</w:t>
      </w:r>
      <w:r w:rsidR="0052781A">
        <w:t>,</w:t>
      </w:r>
      <w:r>
        <w:t xml:space="preserve"> like the Global Reporting Initiative (GRI) and the Task Force on Climate-related Financial Disclosures (TCFD)</w:t>
      </w:r>
      <w:r w:rsidR="0052781A">
        <w:t>,</w:t>
      </w:r>
      <w:r>
        <w:t xml:space="preserve"> is a potentially resource-demanding exercise (Kolk, 2023). </w:t>
      </w:r>
      <w:r w:rsidR="006E0958">
        <w:t xml:space="preserve">Any form of misreporting or perceived greenwashing would be destructive to the credibility and investor confidence of Unilever. Moreover, the strict demands of the environmental and social governance (ESG) may </w:t>
      </w:r>
      <w:r w:rsidR="0052781A">
        <w:t>also</w:t>
      </w:r>
      <w:r w:rsidR="006E0958">
        <w:t xml:space="preserve"> be in opposition to the targets of the short-term fiscal objectives, hence, placing profitability and sustainability in conflict.</w:t>
      </w:r>
    </w:p>
    <w:p w14:paraId="60969B96" w14:textId="6299D93F" w:rsidR="00D53363" w:rsidRDefault="006E0958" w:rsidP="00AA6DC0">
      <w:r>
        <w:t xml:space="preserve">The three factors of AI, geopolitical turmoil, and environmental sustainability control have influenced the market positioning of Unilever, its innovation agenda, and competitiveness. </w:t>
      </w:r>
      <w:r w:rsidR="00D53363">
        <w:t xml:space="preserve">Its application also allows it to be on the pace with the changes in the consumer market, which enhances its reputation of being an innovative and informative company. Sustainable practices qualify Unilever as a responsible and business leader because it has allowed the company to increase brand differentiation. Nonetheless, their developments prove that agility plays a crucial part in the strategy decision-making process, as it is simple to alter by technological advancements and political unrest, as they can swiftly alter the competitive landscape. Unilever is competing with international players, and among these players are Procter and Gamble as well as Nestle, and </w:t>
      </w:r>
      <w:r w:rsidR="00D53363">
        <w:lastRenderedPageBreak/>
        <w:t xml:space="preserve">this is the reason why there should be a balance between efficiency due to technology, corporate responsibility and long-term </w:t>
      </w:r>
      <w:proofErr w:type="spellStart"/>
      <w:proofErr w:type="gramStart"/>
      <w:r w:rsidR="00D53363">
        <w:t>growth.s</w:t>
      </w:r>
      <w:proofErr w:type="spellEnd"/>
      <w:proofErr w:type="gramEnd"/>
    </w:p>
    <w:p w14:paraId="2F067A55" w14:textId="6138F186" w:rsidR="00AA6DC0" w:rsidRDefault="00AA6DC0" w:rsidP="00AA6DC0">
      <w:r>
        <w:t xml:space="preserve">The issue of talent management is revealed as a key factor in the success that Unilever </w:t>
      </w:r>
      <w:r w:rsidR="0052781A">
        <w:t>can</w:t>
      </w:r>
      <w:r>
        <w:t xml:space="preserve"> drive these forces around the entire world. The </w:t>
      </w:r>
      <w:r w:rsidR="0052781A">
        <w:t>automation</w:t>
      </w:r>
      <w:r>
        <w:t xml:space="preserve"> shift implies never-ending investments into the formation of employees and digital literacy. The Future of Work is a program of Unilever developed to provide reskilling and the culture of life-long learning (McKinsey, 2024). Through technological and sustainability </w:t>
      </w:r>
      <w:r w:rsidR="0052781A">
        <w:t>capabilities</w:t>
      </w:r>
      <w:r>
        <w:t xml:space="preserve"> of its </w:t>
      </w:r>
      <w:r w:rsidR="0052781A">
        <w:t>workforce</w:t>
      </w:r>
      <w:r>
        <w:t xml:space="preserve">, the company makes sure that the digital transformation </w:t>
      </w:r>
      <w:r w:rsidR="0052781A">
        <w:t>will</w:t>
      </w:r>
      <w:r>
        <w:t xml:space="preserve"> not substitute human creativity and </w:t>
      </w:r>
      <w:proofErr w:type="gramStart"/>
      <w:r>
        <w:t>judgment, but</w:t>
      </w:r>
      <w:proofErr w:type="gramEnd"/>
      <w:r>
        <w:t xml:space="preserve"> complement it. An inclusive and flexible culture also boosts the resiliency of Unilever when dealing with global </w:t>
      </w:r>
      <w:r w:rsidR="0052781A">
        <w:t>shocks</w:t>
      </w:r>
      <w:r>
        <w:t>.</w:t>
      </w:r>
    </w:p>
    <w:p w14:paraId="268FCCB2" w14:textId="763B5793" w:rsidR="00AA6DC0" w:rsidRDefault="00AA6DC0" w:rsidP="00AA6DC0">
      <w:r>
        <w:t xml:space="preserve">Unilever needs to keep reinforcing its strategic responses </w:t>
      </w:r>
      <w:r w:rsidR="0052781A">
        <w:t>to</w:t>
      </w:r>
      <w:r>
        <w:t xml:space="preserve"> keep up with the competitive advantage. Trust and compliance would be strengthened by developing well-designed governance strategies of ethical use of AI, such as an internal AI ethics board and privacy-protective mechanisms. Enhanced diversification of supply chains with regional manufacturing centres and sourcing alliances in the emerging economies would have minimised dependence on </w:t>
      </w:r>
      <w:r w:rsidR="0052781A">
        <w:t>politically</w:t>
      </w:r>
      <w:r>
        <w:t xml:space="preserve"> unstable regions and improved responsiveness. Incorporation of CSRD compliance into the performance management systems would help to treat the metrics of sustainability as drivers of strategy and not as a solution to an external requirement. This can be augmented by using digital tools in real-time sustainability reporting, which will increase efficiency and credibility. To equip the staff with new challenges, constant employee training on digital and environmental administration is still necessary. The incorporation of sustainability and digital transformation into every operation will help Unilever remain competitive in the </w:t>
      </w:r>
      <w:r w:rsidR="0052781A">
        <w:t>long run,</w:t>
      </w:r>
      <w:r>
        <w:t xml:space="preserve"> as well as make positive contributions towards global social and environmental requirements.</w:t>
      </w:r>
    </w:p>
    <w:p w14:paraId="75AC9CE1" w14:textId="77777777" w:rsidR="00AA6DC0" w:rsidRDefault="00AA6DC0" w:rsidP="00AA6DC0"/>
    <w:p w14:paraId="14A855A4" w14:textId="64385416" w:rsidR="00D53363" w:rsidRDefault="0052781A" w:rsidP="00D53363">
      <w:r w:rsidRPr="00200482">
        <w:t xml:space="preserve">In conclusion, the global business environment is becoming a complex combination of opportunities and </w:t>
      </w:r>
      <w:r>
        <w:t>threats</w:t>
      </w:r>
      <w:r w:rsidRPr="00200482">
        <w:t xml:space="preserve"> to multinational corporations because of the impact of AIs, geopolitical instability, and sustainability regulations. </w:t>
      </w:r>
      <w:r w:rsidR="004750E1" w:rsidRPr="004750E1">
        <w:t xml:space="preserve">The causes have been provided in the history of Unilever on why its digital innovation, sustainability focus, and resiliency of its business </w:t>
      </w:r>
      <w:r w:rsidR="0048009F">
        <w:t>are</w:t>
      </w:r>
      <w:r w:rsidR="004750E1" w:rsidRPr="004750E1">
        <w:t xml:space="preserve"> so urgent to take the lead in this world. Efficiency and innovations are also supported using AI, brand trust is offered in terms of sustainability projects, and flexibility is ensured due to active risk management. </w:t>
      </w:r>
      <w:r w:rsidR="004750E1" w:rsidRPr="004750E1">
        <w:lastRenderedPageBreak/>
        <w:t xml:space="preserve">Despite that, it has some ethical concerns, regulatory concerns, and sins of supply chain concerns, and that should be identified at a strategic level. The global environment cannot be disregarded in the establishment of successful international </w:t>
      </w:r>
      <w:r w:rsidR="00431475">
        <w:t>business</w:t>
      </w:r>
      <w:r w:rsidR="004750E1" w:rsidRPr="004750E1">
        <w:t xml:space="preserve"> strategies that can help </w:t>
      </w:r>
      <w:r w:rsidR="00431475">
        <w:t>organisations</w:t>
      </w:r>
      <w:r w:rsidR="004750E1" w:rsidRPr="004750E1">
        <w:t xml:space="preserve"> such as Unilever thrive in the increasingly </w:t>
      </w:r>
      <w:r w:rsidR="00431475">
        <w:t>globalised</w:t>
      </w:r>
      <w:r w:rsidR="004750E1" w:rsidRPr="004750E1">
        <w:t xml:space="preserve"> and unpredictable world. </w:t>
      </w:r>
    </w:p>
    <w:p w14:paraId="250A9C10" w14:textId="18EA2A74" w:rsidR="0052781A" w:rsidRDefault="0052781A" w:rsidP="0052781A"/>
    <w:p w14:paraId="531F19D7" w14:textId="77777777" w:rsidR="00D53363" w:rsidRDefault="00D53363" w:rsidP="0052781A"/>
    <w:p w14:paraId="0E3D3DD3" w14:textId="77777777" w:rsidR="00D53363" w:rsidRDefault="00D53363" w:rsidP="0052781A"/>
    <w:p w14:paraId="790D4946" w14:textId="77777777" w:rsidR="00D53363" w:rsidRDefault="00D53363" w:rsidP="0052781A"/>
    <w:p w14:paraId="3E55AC35" w14:textId="77777777" w:rsidR="00D53363" w:rsidRDefault="00D53363" w:rsidP="0052781A"/>
    <w:p w14:paraId="09C73A83" w14:textId="77777777" w:rsidR="00D53363" w:rsidRDefault="00D53363" w:rsidP="0052781A"/>
    <w:p w14:paraId="260907CF" w14:textId="77777777" w:rsidR="006E0958" w:rsidRDefault="006E0958" w:rsidP="00AA6DC0"/>
    <w:p w14:paraId="324DA5D4" w14:textId="3EE7E9D6" w:rsidR="0087522F" w:rsidRPr="0087522F" w:rsidRDefault="0087522F" w:rsidP="003D573E">
      <w:pPr>
        <w:pStyle w:val="Heading1"/>
      </w:pPr>
      <w:r w:rsidRPr="0087522F">
        <w:t>References</w:t>
      </w:r>
    </w:p>
    <w:p w14:paraId="0D346900" w14:textId="77777777" w:rsidR="007A7E30" w:rsidRPr="0052781A" w:rsidRDefault="007A7E30" w:rsidP="0052781A">
      <w:r w:rsidRPr="0052781A">
        <w:t>Accenture</w:t>
      </w:r>
      <w:r>
        <w:t xml:space="preserve">. </w:t>
      </w:r>
      <w:r w:rsidRPr="0052781A">
        <w:t>2023</w:t>
      </w:r>
      <w:r>
        <w:t>.</w:t>
      </w:r>
      <w:r w:rsidRPr="0052781A">
        <w:t xml:space="preserve"> </w:t>
      </w:r>
      <w:r w:rsidRPr="0052781A">
        <w:rPr>
          <w:i/>
          <w:iCs/>
        </w:rPr>
        <w:t>AI and the Future of Consumer Goods</w:t>
      </w:r>
      <w:r w:rsidRPr="0052781A">
        <w:t xml:space="preserve">. Available at: </w:t>
      </w:r>
      <w:hyperlink r:id="rId7" w:history="1">
        <w:r w:rsidRPr="0052781A">
          <w:rPr>
            <w:rStyle w:val="Hyperlink"/>
          </w:rPr>
          <w:t>https://www.accenture.com/us-en/blogs/consumer-goods-services/future-work-consumer-goods</w:t>
        </w:r>
      </w:hyperlink>
      <w:r w:rsidRPr="0052781A">
        <w:t xml:space="preserve"> (Accessed: 19 Oct 2025)</w:t>
      </w:r>
    </w:p>
    <w:p w14:paraId="2EACD914" w14:textId="77777777" w:rsidR="007A7E30" w:rsidRDefault="007A7E30" w:rsidP="0087522F">
      <w:r w:rsidRPr="00822F62">
        <w:t>Brynjolfsson, E. and McAfee, A., 2014. </w:t>
      </w:r>
      <w:r w:rsidRPr="00822F62">
        <w:rPr>
          <w:i/>
          <w:iCs/>
        </w:rPr>
        <w:t>The second machine age: Work, progress, and prosperity in a time of brilliant technologies</w:t>
      </w:r>
      <w:r w:rsidRPr="00822F62">
        <w:t>. WW Norton &amp; company.</w:t>
      </w:r>
    </w:p>
    <w:p w14:paraId="381090F5" w14:textId="77777777" w:rsidR="007A7E30" w:rsidRDefault="007A7E30" w:rsidP="0087522F">
      <w:r w:rsidRPr="00822F62">
        <w:t xml:space="preserve">De Bandt, O., </w:t>
      </w:r>
      <w:proofErr w:type="spellStart"/>
      <w:r w:rsidRPr="00822F62">
        <w:t>Bricongne</w:t>
      </w:r>
      <w:proofErr w:type="spellEnd"/>
      <w:r w:rsidRPr="00822F62">
        <w:t xml:space="preserve">, J.C. and </w:t>
      </w:r>
      <w:proofErr w:type="spellStart"/>
      <w:r w:rsidRPr="00822F62">
        <w:t>Fontagné</w:t>
      </w:r>
      <w:proofErr w:type="spellEnd"/>
      <w:r w:rsidRPr="00822F62">
        <w:t>, L., 2021. </w:t>
      </w:r>
      <w:r w:rsidRPr="00822F62">
        <w:rPr>
          <w:i/>
          <w:iCs/>
        </w:rPr>
        <w:t>Globalisation and uncertainty</w:t>
      </w:r>
      <w:r w:rsidRPr="00822F62">
        <w:t>. Banque de France.</w:t>
      </w:r>
    </w:p>
    <w:p w14:paraId="6E95E5C9" w14:textId="77777777" w:rsidR="007A7E30" w:rsidRPr="0052781A" w:rsidRDefault="007A7E30" w:rsidP="0052781A">
      <w:r w:rsidRPr="0052781A">
        <w:t>Financial Times</w:t>
      </w:r>
      <w:r>
        <w:t>.</w:t>
      </w:r>
      <w:r w:rsidRPr="0052781A">
        <w:t xml:space="preserve"> 2024</w:t>
      </w:r>
      <w:r>
        <w:t xml:space="preserve">. </w:t>
      </w:r>
      <w:r w:rsidRPr="0052781A">
        <w:t xml:space="preserve">‘Supply chain strains hit global consumer goods firms,’ </w:t>
      </w:r>
      <w:r w:rsidRPr="0052781A">
        <w:rPr>
          <w:i/>
          <w:iCs/>
        </w:rPr>
        <w:t>Financial Times</w:t>
      </w:r>
      <w:r w:rsidRPr="0052781A">
        <w:t xml:space="preserve">, 18 March. Available at: </w:t>
      </w:r>
      <w:hyperlink r:id="rId8" w:history="1">
        <w:r w:rsidRPr="0052781A">
          <w:rPr>
            <w:rStyle w:val="Hyperlink"/>
          </w:rPr>
          <w:t>https://www.ft.com/supply-chains</w:t>
        </w:r>
      </w:hyperlink>
      <w:r w:rsidRPr="0052781A">
        <w:t xml:space="preserve"> (Accessed: 19 Oct 2025)</w:t>
      </w:r>
    </w:p>
    <w:p w14:paraId="079D479C" w14:textId="77777777" w:rsidR="007A7E30" w:rsidRDefault="007A7E30" w:rsidP="0087522F">
      <w:r w:rsidRPr="00822F62">
        <w:t>Hummel, K. and Jobst, D., 2024. An overview of corporate sustainability reporting legislation in the European Union. </w:t>
      </w:r>
      <w:r w:rsidRPr="00822F62">
        <w:rPr>
          <w:i/>
          <w:iCs/>
        </w:rPr>
        <w:t>Accounting in Europe</w:t>
      </w:r>
      <w:r w:rsidRPr="00822F62">
        <w:t>, </w:t>
      </w:r>
      <w:r w:rsidRPr="00822F62">
        <w:rPr>
          <w:i/>
          <w:iCs/>
        </w:rPr>
        <w:t>21</w:t>
      </w:r>
      <w:r w:rsidRPr="00822F62">
        <w:t>(3), pp.320-355.</w:t>
      </w:r>
    </w:p>
    <w:p w14:paraId="37D0DB41" w14:textId="77777777" w:rsidR="007A7E30" w:rsidRPr="0087522F" w:rsidRDefault="007A7E30" w:rsidP="0087522F">
      <w:r w:rsidRPr="0087522F">
        <w:lastRenderedPageBreak/>
        <w:t>McKinsey &amp; Company (2024)</w:t>
      </w:r>
      <w:r>
        <w:t>.</w:t>
      </w:r>
      <w:r w:rsidRPr="0087522F">
        <w:t xml:space="preserve"> </w:t>
      </w:r>
      <w:r w:rsidRPr="0087522F">
        <w:rPr>
          <w:i/>
          <w:iCs/>
        </w:rPr>
        <w:t>The Future of Work: Building Digital Talent for a Resilient Organisation.</w:t>
      </w:r>
      <w:r w:rsidRPr="0087522F">
        <w:t xml:space="preserve"> McKinsey Global Institute.</w:t>
      </w:r>
      <w:r>
        <w:t xml:space="preserve"> </w:t>
      </w:r>
      <w:r w:rsidRPr="0052781A">
        <w:t>Available at:</w:t>
      </w:r>
      <w:r>
        <w:t xml:space="preserve"> </w:t>
      </w:r>
      <w:hyperlink r:id="rId9" w:history="1">
        <w:r w:rsidRPr="007E3542">
          <w:rPr>
            <w:rStyle w:val="Hyperlink"/>
          </w:rPr>
          <w:t>https://www.mckinsey.com/featured-insights/future-of-work</w:t>
        </w:r>
      </w:hyperlink>
      <w:r>
        <w:t xml:space="preserve"> </w:t>
      </w:r>
      <w:r w:rsidRPr="0052781A">
        <w:t>(Accessed: 19 Oct 2025)</w:t>
      </w:r>
    </w:p>
    <w:p w14:paraId="62780D33" w14:textId="77777777" w:rsidR="007A7E30" w:rsidRPr="0052781A" w:rsidRDefault="007A7E30" w:rsidP="0052781A">
      <w:r w:rsidRPr="0052781A">
        <w:t>PwC</w:t>
      </w:r>
      <w:r>
        <w:t xml:space="preserve">. </w:t>
      </w:r>
      <w:r w:rsidRPr="0052781A">
        <w:t>2024</w:t>
      </w:r>
      <w:r>
        <w:t>.</w:t>
      </w:r>
      <w:r w:rsidRPr="0052781A">
        <w:t xml:space="preserve"> </w:t>
      </w:r>
      <w:r w:rsidRPr="0052781A">
        <w:rPr>
          <w:i/>
          <w:iCs/>
        </w:rPr>
        <w:t>Artificial Intelligence in Supply Chain Management</w:t>
      </w:r>
      <w:r w:rsidRPr="0052781A">
        <w:t xml:space="preserve">. Available at: </w:t>
      </w:r>
      <w:hyperlink r:id="rId10" w:history="1">
        <w:r w:rsidRPr="007E3542">
          <w:rPr>
            <w:rStyle w:val="Hyperlink"/>
          </w:rPr>
          <w:t>https://www.pwc.co.uk/industries/assets/ai-in-life-sciences-supply-chain.pdf</w:t>
        </w:r>
      </w:hyperlink>
      <w:r>
        <w:t xml:space="preserve"> </w:t>
      </w:r>
      <w:r w:rsidRPr="0052781A">
        <w:t>(Accessed: 19 Oct 2025)</w:t>
      </w:r>
    </w:p>
    <w:p w14:paraId="329F4D65" w14:textId="77777777" w:rsidR="007A7E30" w:rsidRDefault="007A7E30" w:rsidP="0087522F">
      <w:r w:rsidRPr="0059457B">
        <w:t xml:space="preserve">Rasshyvalov, D., Portnov, Y., </w:t>
      </w:r>
      <w:proofErr w:type="spellStart"/>
      <w:r w:rsidRPr="0059457B">
        <w:t>Sigaieva</w:t>
      </w:r>
      <w:proofErr w:type="spellEnd"/>
      <w:r w:rsidRPr="0059457B">
        <w:t xml:space="preserve">, T., </w:t>
      </w:r>
      <w:proofErr w:type="spellStart"/>
      <w:r w:rsidRPr="0059457B">
        <w:t>Alboshchii</w:t>
      </w:r>
      <w:proofErr w:type="spellEnd"/>
      <w:r w:rsidRPr="0059457B">
        <w:t xml:space="preserve">, O. and </w:t>
      </w:r>
      <w:proofErr w:type="spellStart"/>
      <w:r w:rsidRPr="0059457B">
        <w:t>Rozumnyi</w:t>
      </w:r>
      <w:proofErr w:type="spellEnd"/>
      <w:r w:rsidRPr="0059457B">
        <w:t>, O., 2024. Navigating geopolitical risks: Implications for global supply chain management. Multidisciplinary Reviews, 7.</w:t>
      </w:r>
    </w:p>
    <w:p w14:paraId="2468FCCD" w14:textId="77777777" w:rsidR="007A7E30" w:rsidRPr="0052781A" w:rsidRDefault="007A7E30" w:rsidP="0052781A">
      <w:r w:rsidRPr="0052781A">
        <w:t>The Economist</w:t>
      </w:r>
      <w:r>
        <w:t xml:space="preserve">. </w:t>
      </w:r>
      <w:r w:rsidRPr="0052781A">
        <w:t>2024</w:t>
      </w:r>
      <w:r>
        <w:t xml:space="preserve">. </w:t>
      </w:r>
      <w:r w:rsidRPr="0052781A">
        <w:t xml:space="preserve">‘Geopolitics and the new supply chain order,’ </w:t>
      </w:r>
      <w:r w:rsidRPr="0052781A">
        <w:rPr>
          <w:i/>
          <w:iCs/>
        </w:rPr>
        <w:t>The Economist</w:t>
      </w:r>
      <w:r w:rsidRPr="0052781A">
        <w:t xml:space="preserve">, 22 February. Available at: </w:t>
      </w:r>
      <w:hyperlink r:id="rId11" w:history="1">
        <w:r w:rsidRPr="0052781A">
          <w:rPr>
            <w:rStyle w:val="Hyperlink"/>
          </w:rPr>
          <w:t>https://www.economist.com/topics/supply-chains</w:t>
        </w:r>
      </w:hyperlink>
      <w:r w:rsidRPr="0052781A">
        <w:t xml:space="preserve"> (Accessed: 19 Oct 2025)</w:t>
      </w:r>
    </w:p>
    <w:p w14:paraId="6AB70788" w14:textId="77777777" w:rsidR="007A7E30" w:rsidRDefault="007A7E30" w:rsidP="0087522F">
      <w:r w:rsidRPr="0052781A">
        <w:t>Unilever</w:t>
      </w:r>
      <w:r>
        <w:t>.</w:t>
      </w:r>
      <w:r w:rsidRPr="0052781A">
        <w:t xml:space="preserve"> 2024</w:t>
      </w:r>
      <w:r>
        <w:t>.</w:t>
      </w:r>
      <w:r w:rsidRPr="0052781A">
        <w:t xml:space="preserve"> </w:t>
      </w:r>
      <w:r w:rsidRPr="0052781A">
        <w:rPr>
          <w:i/>
          <w:iCs/>
        </w:rPr>
        <w:t>Sustainability and Annual Report 2024</w:t>
      </w:r>
      <w:r w:rsidRPr="0052781A">
        <w:t xml:space="preserve">. London: Unilever PLC. Available at: </w:t>
      </w:r>
      <w:hyperlink r:id="rId12" w:history="1">
        <w:r w:rsidRPr="0052781A">
          <w:rPr>
            <w:rStyle w:val="Hyperlink"/>
          </w:rPr>
          <w:t>https://www.unilever.com/investors/annual-report-and-accounts/</w:t>
        </w:r>
      </w:hyperlink>
      <w:r w:rsidRPr="0052781A">
        <w:t xml:space="preserve"> (Accessed: 19 Oct 2025)</w:t>
      </w:r>
    </w:p>
    <w:p w14:paraId="4707FDA4" w14:textId="5765FEF1" w:rsidR="00D53363" w:rsidRPr="0087522F" w:rsidRDefault="00D53363" w:rsidP="00D53363"/>
    <w:sectPr w:rsidR="00D53363" w:rsidRPr="0087522F" w:rsidSect="00AD2A8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0E3B7" w14:textId="77777777" w:rsidR="00F875EA" w:rsidRDefault="00F875EA" w:rsidP="0052781A">
      <w:pPr>
        <w:spacing w:after="0" w:line="240" w:lineRule="auto"/>
      </w:pPr>
      <w:r>
        <w:separator/>
      </w:r>
    </w:p>
  </w:endnote>
  <w:endnote w:type="continuationSeparator" w:id="0">
    <w:p w14:paraId="01FDE5A1" w14:textId="77777777" w:rsidR="00F875EA" w:rsidRDefault="00F875EA" w:rsidP="00527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938164"/>
      <w:docPartObj>
        <w:docPartGallery w:val="Page Numbers (Bottom of Page)"/>
        <w:docPartUnique/>
      </w:docPartObj>
    </w:sdtPr>
    <w:sdtEndPr>
      <w:rPr>
        <w:noProof/>
      </w:rPr>
    </w:sdtEndPr>
    <w:sdtContent>
      <w:p w14:paraId="4450AB40" w14:textId="0E86E90A" w:rsidR="0052781A" w:rsidRDefault="00527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687D7" w14:textId="77777777" w:rsidR="0052781A" w:rsidRDefault="00527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DBAF8" w14:textId="77777777" w:rsidR="00F875EA" w:rsidRDefault="00F875EA" w:rsidP="0052781A">
      <w:pPr>
        <w:spacing w:after="0" w:line="240" w:lineRule="auto"/>
      </w:pPr>
      <w:r>
        <w:separator/>
      </w:r>
    </w:p>
  </w:footnote>
  <w:footnote w:type="continuationSeparator" w:id="0">
    <w:p w14:paraId="6EFC0B2F" w14:textId="77777777" w:rsidR="00F875EA" w:rsidRDefault="00F875EA" w:rsidP="00527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35952"/>
    <w:multiLevelType w:val="multilevel"/>
    <w:tmpl w:val="E850D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322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35"/>
    <w:rsid w:val="0003127B"/>
    <w:rsid w:val="000A4D3B"/>
    <w:rsid w:val="00200065"/>
    <w:rsid w:val="00200482"/>
    <w:rsid w:val="002027E6"/>
    <w:rsid w:val="00206453"/>
    <w:rsid w:val="002A3A3A"/>
    <w:rsid w:val="002A4611"/>
    <w:rsid w:val="002F13DF"/>
    <w:rsid w:val="002F6440"/>
    <w:rsid w:val="003170E9"/>
    <w:rsid w:val="0034682A"/>
    <w:rsid w:val="003B33C8"/>
    <w:rsid w:val="003D573E"/>
    <w:rsid w:val="004013CA"/>
    <w:rsid w:val="00431475"/>
    <w:rsid w:val="00444521"/>
    <w:rsid w:val="004750E1"/>
    <w:rsid w:val="0048009F"/>
    <w:rsid w:val="004D6528"/>
    <w:rsid w:val="0052781A"/>
    <w:rsid w:val="00563F49"/>
    <w:rsid w:val="00586BB8"/>
    <w:rsid w:val="0059457B"/>
    <w:rsid w:val="005D24B8"/>
    <w:rsid w:val="005E17FD"/>
    <w:rsid w:val="00602B62"/>
    <w:rsid w:val="006705A8"/>
    <w:rsid w:val="006A10EC"/>
    <w:rsid w:val="006E0958"/>
    <w:rsid w:val="007041F2"/>
    <w:rsid w:val="00761163"/>
    <w:rsid w:val="0079484D"/>
    <w:rsid w:val="007A7E30"/>
    <w:rsid w:val="007D61A1"/>
    <w:rsid w:val="007E24D4"/>
    <w:rsid w:val="00806B96"/>
    <w:rsid w:val="00822F50"/>
    <w:rsid w:val="00822F62"/>
    <w:rsid w:val="00830A80"/>
    <w:rsid w:val="00863D8C"/>
    <w:rsid w:val="0087522F"/>
    <w:rsid w:val="0089261F"/>
    <w:rsid w:val="0089549C"/>
    <w:rsid w:val="008A6142"/>
    <w:rsid w:val="009D1F88"/>
    <w:rsid w:val="00A256CC"/>
    <w:rsid w:val="00A54FF9"/>
    <w:rsid w:val="00A5763C"/>
    <w:rsid w:val="00A61CB4"/>
    <w:rsid w:val="00A72F36"/>
    <w:rsid w:val="00AA6DC0"/>
    <w:rsid w:val="00AD2A85"/>
    <w:rsid w:val="00BC6796"/>
    <w:rsid w:val="00BF66E2"/>
    <w:rsid w:val="00C170DA"/>
    <w:rsid w:val="00C2377D"/>
    <w:rsid w:val="00C26FCA"/>
    <w:rsid w:val="00C6527F"/>
    <w:rsid w:val="00CB0E01"/>
    <w:rsid w:val="00CB51FF"/>
    <w:rsid w:val="00CB5FE6"/>
    <w:rsid w:val="00CC4BB0"/>
    <w:rsid w:val="00D02843"/>
    <w:rsid w:val="00D527DB"/>
    <w:rsid w:val="00D53363"/>
    <w:rsid w:val="00D57DEF"/>
    <w:rsid w:val="00DE1365"/>
    <w:rsid w:val="00DF2F1D"/>
    <w:rsid w:val="00E035CF"/>
    <w:rsid w:val="00E35ED9"/>
    <w:rsid w:val="00EC1035"/>
    <w:rsid w:val="00F070B8"/>
    <w:rsid w:val="00F13E45"/>
    <w:rsid w:val="00F81826"/>
    <w:rsid w:val="00F86161"/>
    <w:rsid w:val="00F875EA"/>
    <w:rsid w:val="00FB0996"/>
    <w:rsid w:val="00FB0ED1"/>
    <w:rsid w:val="00FF0F35"/>
    <w:rsid w:val="00FF28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9A8CF"/>
  <w15:chartTrackingRefBased/>
  <w15:docId w15:val="{61729107-A5B0-42F2-81B7-CA3F5AE9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03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B0E0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CB0E01"/>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EC1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E01"/>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semiHidden/>
    <w:rsid w:val="00CB0E01"/>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EC1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035"/>
    <w:rPr>
      <w:rFonts w:eastAsiaTheme="majorEastAsia" w:cstheme="majorBidi"/>
      <w:color w:val="272727" w:themeColor="text1" w:themeTint="D8"/>
    </w:rPr>
  </w:style>
  <w:style w:type="paragraph" w:styleId="Title">
    <w:name w:val="Title"/>
    <w:basedOn w:val="Normal"/>
    <w:next w:val="Normal"/>
    <w:link w:val="TitleChar"/>
    <w:uiPriority w:val="10"/>
    <w:qFormat/>
    <w:rsid w:val="00EC1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035"/>
    <w:pPr>
      <w:spacing w:before="160"/>
      <w:jc w:val="center"/>
    </w:pPr>
    <w:rPr>
      <w:i/>
      <w:iCs/>
      <w:color w:val="404040" w:themeColor="text1" w:themeTint="BF"/>
    </w:rPr>
  </w:style>
  <w:style w:type="character" w:customStyle="1" w:styleId="QuoteChar">
    <w:name w:val="Quote Char"/>
    <w:basedOn w:val="DefaultParagraphFont"/>
    <w:link w:val="Quote"/>
    <w:uiPriority w:val="29"/>
    <w:rsid w:val="00EC1035"/>
    <w:rPr>
      <w:i/>
      <w:iCs/>
      <w:color w:val="404040" w:themeColor="text1" w:themeTint="BF"/>
    </w:rPr>
  </w:style>
  <w:style w:type="paragraph" w:styleId="ListParagraph">
    <w:name w:val="List Paragraph"/>
    <w:basedOn w:val="Normal"/>
    <w:uiPriority w:val="34"/>
    <w:qFormat/>
    <w:rsid w:val="00EC1035"/>
    <w:pPr>
      <w:ind w:left="720"/>
      <w:contextualSpacing/>
    </w:pPr>
  </w:style>
  <w:style w:type="character" w:styleId="IntenseEmphasis">
    <w:name w:val="Intense Emphasis"/>
    <w:basedOn w:val="DefaultParagraphFont"/>
    <w:uiPriority w:val="21"/>
    <w:qFormat/>
    <w:rsid w:val="00EC1035"/>
    <w:rPr>
      <w:i/>
      <w:iCs/>
      <w:color w:val="0F4761" w:themeColor="accent1" w:themeShade="BF"/>
    </w:rPr>
  </w:style>
  <w:style w:type="paragraph" w:styleId="IntenseQuote">
    <w:name w:val="Intense Quote"/>
    <w:basedOn w:val="Normal"/>
    <w:next w:val="Normal"/>
    <w:link w:val="IntenseQuoteChar"/>
    <w:uiPriority w:val="30"/>
    <w:qFormat/>
    <w:rsid w:val="00EC1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035"/>
    <w:rPr>
      <w:i/>
      <w:iCs/>
      <w:color w:val="0F4761" w:themeColor="accent1" w:themeShade="BF"/>
    </w:rPr>
  </w:style>
  <w:style w:type="character" w:styleId="IntenseReference">
    <w:name w:val="Intense Reference"/>
    <w:basedOn w:val="DefaultParagraphFont"/>
    <w:uiPriority w:val="32"/>
    <w:qFormat/>
    <w:rsid w:val="00EC1035"/>
    <w:rPr>
      <w:b/>
      <w:bCs/>
      <w:smallCaps/>
      <w:color w:val="0F4761" w:themeColor="accent1" w:themeShade="BF"/>
      <w:spacing w:val="5"/>
    </w:rPr>
  </w:style>
  <w:style w:type="paragraph" w:styleId="Header">
    <w:name w:val="header"/>
    <w:basedOn w:val="Normal"/>
    <w:link w:val="HeaderChar"/>
    <w:uiPriority w:val="99"/>
    <w:unhideWhenUsed/>
    <w:rsid w:val="00527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81A"/>
    <w:rPr>
      <w:rFonts w:ascii="Times New Roman" w:hAnsi="Times New Roman"/>
      <w:color w:val="000000" w:themeColor="text1"/>
      <w:sz w:val="24"/>
    </w:rPr>
  </w:style>
  <w:style w:type="paragraph" w:styleId="Footer">
    <w:name w:val="footer"/>
    <w:basedOn w:val="Normal"/>
    <w:link w:val="FooterChar"/>
    <w:uiPriority w:val="99"/>
    <w:unhideWhenUsed/>
    <w:rsid w:val="00527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81A"/>
    <w:rPr>
      <w:rFonts w:ascii="Times New Roman" w:hAnsi="Times New Roman"/>
      <w:color w:val="000000" w:themeColor="text1"/>
      <w:sz w:val="24"/>
    </w:rPr>
  </w:style>
  <w:style w:type="character" w:styleId="Hyperlink">
    <w:name w:val="Hyperlink"/>
    <w:basedOn w:val="DefaultParagraphFont"/>
    <w:uiPriority w:val="99"/>
    <w:unhideWhenUsed/>
    <w:rsid w:val="0052781A"/>
    <w:rPr>
      <w:color w:val="467886" w:themeColor="hyperlink"/>
      <w:u w:val="single"/>
    </w:rPr>
  </w:style>
  <w:style w:type="character" w:styleId="UnresolvedMention">
    <w:name w:val="Unresolved Mention"/>
    <w:basedOn w:val="DefaultParagraphFont"/>
    <w:uiPriority w:val="99"/>
    <w:semiHidden/>
    <w:unhideWhenUsed/>
    <w:rsid w:val="00527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supply-chai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centure.com/us-en/blogs/consumer-goods-services/future-work-consumer-goods" TargetMode="External"/><Relationship Id="rId12" Type="http://schemas.openxmlformats.org/officeDocument/2006/relationships/hyperlink" Target="https://www.unilever.com/investors/annual-report-and-accou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st.com/topics/supply-chai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wc.co.uk/industries/assets/ai-in-life-sciences-supply-chain.pdf" TargetMode="External"/><Relationship Id="rId4" Type="http://schemas.openxmlformats.org/officeDocument/2006/relationships/webSettings" Target="webSettings.xml"/><Relationship Id="rId9" Type="http://schemas.openxmlformats.org/officeDocument/2006/relationships/hyperlink" Target="https://www.mckinsey.com/featured-insights/future-of-wo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373</TotalTime>
  <Pages>7</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Dragos Nedelcu (2323249)</cp:lastModifiedBy>
  <cp:revision>26</cp:revision>
  <dcterms:created xsi:type="dcterms:W3CDTF">2025-10-19T06:01:00Z</dcterms:created>
  <dcterms:modified xsi:type="dcterms:W3CDTF">2025-11-17T15:11:00Z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04a8901a-05de-4792-b739-1bebe85a7e08</vt:lpwstr>
  </property>
</Properties>
</file>