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C3446" w14:textId="2F932232" w:rsidR="002951D4" w:rsidRDefault="002951D4" w:rsidP="004679B1">
      <w:pPr>
        <w:spacing w:after="0"/>
        <w:jc w:val="center"/>
        <w:rPr>
          <w:rFonts w:ascii="Cambria" w:hAnsi="Cambria"/>
          <w:sz w:val="24"/>
          <w:szCs w:val="24"/>
        </w:rPr>
      </w:pPr>
      <w:r>
        <w:rPr>
          <w:rFonts w:ascii="Cambria" w:hAnsi="Cambria"/>
          <w:sz w:val="24"/>
          <w:szCs w:val="24"/>
        </w:rPr>
        <w:t>Doing Visual Ethnography. Sarah Pink (2013)</w:t>
      </w:r>
    </w:p>
    <w:p w14:paraId="3A93B214" w14:textId="308BC36A" w:rsidR="005D5E0A" w:rsidRDefault="005D5E0A" w:rsidP="004679B1">
      <w:pPr>
        <w:spacing w:after="0"/>
        <w:jc w:val="center"/>
        <w:rPr>
          <w:rFonts w:ascii="Cambria" w:hAnsi="Cambria"/>
          <w:sz w:val="24"/>
          <w:szCs w:val="24"/>
        </w:rPr>
      </w:pPr>
      <w:r>
        <w:rPr>
          <w:rFonts w:ascii="Cambria" w:hAnsi="Cambria"/>
          <w:sz w:val="24"/>
          <w:szCs w:val="24"/>
        </w:rPr>
        <w:t>1908288</w:t>
      </w:r>
    </w:p>
    <w:p w14:paraId="138E4E27" w14:textId="77777777" w:rsidR="002951D4" w:rsidRDefault="002951D4" w:rsidP="002951D4">
      <w:pPr>
        <w:spacing w:after="0"/>
        <w:jc w:val="center"/>
        <w:rPr>
          <w:rFonts w:ascii="Cambria" w:hAnsi="Cambria"/>
          <w:sz w:val="24"/>
          <w:szCs w:val="24"/>
        </w:rPr>
      </w:pPr>
    </w:p>
    <w:p w14:paraId="5558F726" w14:textId="0FB1DF30" w:rsidR="002951D4" w:rsidRDefault="002951D4" w:rsidP="002951D4">
      <w:pPr>
        <w:spacing w:after="0"/>
        <w:jc w:val="both"/>
        <w:rPr>
          <w:rFonts w:ascii="Cambria" w:hAnsi="Cambria"/>
          <w:sz w:val="24"/>
          <w:szCs w:val="24"/>
        </w:rPr>
      </w:pPr>
      <w:r>
        <w:rPr>
          <w:rFonts w:ascii="Cambria" w:hAnsi="Cambria"/>
          <w:sz w:val="24"/>
          <w:szCs w:val="24"/>
        </w:rPr>
        <w:t xml:space="preserve">Sarah Pink </w:t>
      </w:r>
      <w:r w:rsidR="00892A6B">
        <w:rPr>
          <w:rFonts w:ascii="Cambria" w:hAnsi="Cambria"/>
          <w:sz w:val="24"/>
          <w:szCs w:val="24"/>
        </w:rPr>
        <w:t>is the Director of the Emerging Technologies Research Lab at Monash University</w:t>
      </w:r>
      <w:r w:rsidR="00A130A5">
        <w:rPr>
          <w:rFonts w:ascii="Cambria" w:hAnsi="Cambria"/>
          <w:sz w:val="24"/>
          <w:szCs w:val="24"/>
        </w:rPr>
        <w:t xml:space="preserve">, </w:t>
      </w:r>
      <w:r w:rsidR="00241FB2">
        <w:rPr>
          <w:rFonts w:ascii="Cambria" w:hAnsi="Cambria"/>
          <w:sz w:val="24"/>
          <w:szCs w:val="24"/>
        </w:rPr>
        <w:t xml:space="preserve">where her work currently focuses on </w:t>
      </w:r>
      <w:r w:rsidR="00932059">
        <w:rPr>
          <w:rFonts w:ascii="Cambria" w:hAnsi="Cambria"/>
          <w:sz w:val="24"/>
          <w:szCs w:val="24"/>
        </w:rPr>
        <w:t>the social</w:t>
      </w:r>
      <w:r w:rsidR="008045A4">
        <w:rPr>
          <w:rFonts w:ascii="Cambria" w:hAnsi="Cambria"/>
          <w:sz w:val="24"/>
          <w:szCs w:val="24"/>
        </w:rPr>
        <w:t xml:space="preserve"> and cultural elements </w:t>
      </w:r>
      <w:r w:rsidR="00DC50D8">
        <w:rPr>
          <w:rFonts w:ascii="Cambria" w:hAnsi="Cambria"/>
          <w:sz w:val="24"/>
          <w:szCs w:val="24"/>
        </w:rPr>
        <w:t xml:space="preserve">of the design, use and future of emerging technologies, including current projects around </w:t>
      </w:r>
      <w:r w:rsidR="00167699">
        <w:rPr>
          <w:rFonts w:ascii="Cambria" w:hAnsi="Cambria"/>
          <w:sz w:val="24"/>
          <w:szCs w:val="24"/>
        </w:rPr>
        <w:t>autonomous driving vehicles</w:t>
      </w:r>
      <w:r w:rsidR="009376B2">
        <w:rPr>
          <w:rFonts w:ascii="Cambria" w:hAnsi="Cambria"/>
          <w:sz w:val="24"/>
          <w:szCs w:val="24"/>
        </w:rPr>
        <w:t xml:space="preserve"> and digital technology use in everyday life. </w:t>
      </w:r>
      <w:r w:rsidR="002C1FB0">
        <w:rPr>
          <w:rFonts w:ascii="Cambria" w:hAnsi="Cambria"/>
          <w:sz w:val="24"/>
          <w:szCs w:val="24"/>
        </w:rPr>
        <w:t xml:space="preserve">Pink has over 20 years of experience working </w:t>
      </w:r>
      <w:r w:rsidR="00E15DDC">
        <w:rPr>
          <w:rFonts w:ascii="Cambria" w:hAnsi="Cambria"/>
          <w:sz w:val="24"/>
          <w:szCs w:val="24"/>
        </w:rPr>
        <w:t xml:space="preserve">in academia and research internationally. </w:t>
      </w:r>
      <w:r w:rsidR="00561A45">
        <w:rPr>
          <w:rFonts w:ascii="Cambria" w:hAnsi="Cambria"/>
          <w:sz w:val="24"/>
          <w:szCs w:val="24"/>
        </w:rPr>
        <w:t>Other work from Pink includes</w:t>
      </w:r>
      <w:r w:rsidR="00525C88">
        <w:rPr>
          <w:rFonts w:ascii="Cambria" w:hAnsi="Cambria"/>
          <w:sz w:val="24"/>
          <w:szCs w:val="24"/>
        </w:rPr>
        <w:t xml:space="preserve"> Digital Ethnography: Principles and Practice (</w:t>
      </w:r>
      <w:r w:rsidR="00D82C25">
        <w:rPr>
          <w:rFonts w:ascii="Cambria" w:hAnsi="Cambria"/>
          <w:sz w:val="24"/>
          <w:szCs w:val="24"/>
        </w:rPr>
        <w:t xml:space="preserve">2015) and </w:t>
      </w:r>
      <w:r w:rsidR="00C5005E">
        <w:rPr>
          <w:rFonts w:ascii="Cambria" w:hAnsi="Cambria"/>
          <w:sz w:val="24"/>
          <w:szCs w:val="24"/>
        </w:rPr>
        <w:t>Ethnographic Research in the Construction Industry (2012)</w:t>
      </w:r>
      <w:r w:rsidR="00EE33F9">
        <w:rPr>
          <w:rFonts w:ascii="Cambria" w:hAnsi="Cambria"/>
          <w:sz w:val="24"/>
          <w:szCs w:val="24"/>
        </w:rPr>
        <w:t>.</w:t>
      </w:r>
      <w:r w:rsidR="0089650C">
        <w:rPr>
          <w:rFonts w:ascii="Cambria" w:hAnsi="Cambria"/>
          <w:sz w:val="24"/>
          <w:szCs w:val="24"/>
        </w:rPr>
        <w:t xml:space="preserve"> </w:t>
      </w:r>
      <w:r>
        <w:rPr>
          <w:rFonts w:ascii="Cambria" w:hAnsi="Cambria"/>
          <w:sz w:val="24"/>
          <w:szCs w:val="24"/>
        </w:rPr>
        <w:t>Doing Visual Ethnography (2013) is her third edition of this book, where she ha</w:t>
      </w:r>
      <w:r w:rsidR="008C4AAF">
        <w:rPr>
          <w:rFonts w:ascii="Cambria" w:hAnsi="Cambria"/>
          <w:sz w:val="24"/>
          <w:szCs w:val="24"/>
        </w:rPr>
        <w:t>s</w:t>
      </w:r>
      <w:r>
        <w:rPr>
          <w:rFonts w:ascii="Cambria" w:hAnsi="Cambria"/>
          <w:sz w:val="24"/>
          <w:szCs w:val="24"/>
        </w:rPr>
        <w:t xml:space="preserve"> incorporated her own research experiences with additional research from other academics and discussions about the topic. </w:t>
      </w:r>
    </w:p>
    <w:p w14:paraId="510E437F" w14:textId="323546CA" w:rsidR="002951D4" w:rsidRDefault="002951D4" w:rsidP="002951D4">
      <w:pPr>
        <w:spacing w:after="0"/>
        <w:jc w:val="both"/>
        <w:rPr>
          <w:rFonts w:ascii="Cambria" w:hAnsi="Cambria"/>
          <w:sz w:val="24"/>
          <w:szCs w:val="24"/>
        </w:rPr>
      </w:pPr>
      <w:r>
        <w:rPr>
          <w:rFonts w:ascii="Cambria" w:hAnsi="Cambria"/>
          <w:sz w:val="24"/>
          <w:szCs w:val="24"/>
        </w:rPr>
        <w:t>Pink explains that the book is primarily aimed towards researchers from “across ‘ethnographic’ disciplines and interdisciplinary fields who wish to incorporate audio-visual media into their research practice” (2</w:t>
      </w:r>
      <w:r w:rsidR="00E760D3">
        <w:rPr>
          <w:rFonts w:ascii="Cambria" w:hAnsi="Cambria"/>
          <w:sz w:val="24"/>
          <w:szCs w:val="24"/>
        </w:rPr>
        <w:t>0</w:t>
      </w:r>
      <w:r>
        <w:rPr>
          <w:rFonts w:ascii="Cambria" w:hAnsi="Cambria"/>
          <w:sz w:val="24"/>
          <w:szCs w:val="24"/>
        </w:rPr>
        <w:t xml:space="preserve">13: p2). Pink </w:t>
      </w:r>
      <w:r w:rsidR="00E760D3">
        <w:rPr>
          <w:rFonts w:ascii="Cambria" w:hAnsi="Cambria"/>
          <w:sz w:val="24"/>
          <w:szCs w:val="24"/>
        </w:rPr>
        <w:t xml:space="preserve">suggests an approach to visual ethnography and encourages readers to asses if and how it may work for them and their research, making changes </w:t>
      </w:r>
      <w:r w:rsidR="008B4D5C">
        <w:rPr>
          <w:rFonts w:ascii="Cambria" w:hAnsi="Cambria"/>
          <w:sz w:val="24"/>
          <w:szCs w:val="24"/>
        </w:rPr>
        <w:t xml:space="preserve">where necessary </w:t>
      </w:r>
      <w:r w:rsidR="00E760D3">
        <w:rPr>
          <w:rFonts w:ascii="Cambria" w:hAnsi="Cambria"/>
          <w:sz w:val="24"/>
          <w:szCs w:val="24"/>
        </w:rPr>
        <w:t>(2013: p11).</w:t>
      </w:r>
    </w:p>
    <w:p w14:paraId="7E1F5C4E" w14:textId="7DFCF65C" w:rsidR="00460EEE" w:rsidRDefault="00E760D3" w:rsidP="002951D4">
      <w:pPr>
        <w:spacing w:after="0"/>
        <w:jc w:val="both"/>
        <w:rPr>
          <w:rFonts w:ascii="Cambria" w:hAnsi="Cambria"/>
          <w:sz w:val="24"/>
          <w:szCs w:val="24"/>
        </w:rPr>
      </w:pPr>
      <w:r>
        <w:rPr>
          <w:rFonts w:ascii="Cambria" w:hAnsi="Cambria"/>
          <w:sz w:val="24"/>
          <w:szCs w:val="24"/>
        </w:rPr>
        <w:t>To begin, Pink attempts to explain to the reader the importance of visual ethnography</w:t>
      </w:r>
      <w:r w:rsidR="00460EEE">
        <w:rPr>
          <w:rFonts w:ascii="Cambria" w:hAnsi="Cambria"/>
          <w:sz w:val="24"/>
          <w:szCs w:val="24"/>
        </w:rPr>
        <w:t>,</w:t>
      </w:r>
      <w:r>
        <w:rPr>
          <w:rFonts w:ascii="Cambria" w:hAnsi="Cambria"/>
          <w:sz w:val="24"/>
          <w:szCs w:val="24"/>
        </w:rPr>
        <w:t xml:space="preserve"> with images everywhere</w:t>
      </w:r>
      <w:r w:rsidR="00460EEE">
        <w:rPr>
          <w:rFonts w:ascii="Cambria" w:hAnsi="Cambria"/>
          <w:sz w:val="24"/>
          <w:szCs w:val="24"/>
        </w:rPr>
        <w:t xml:space="preserve"> </w:t>
      </w:r>
      <w:r>
        <w:rPr>
          <w:rFonts w:ascii="Cambria" w:hAnsi="Cambria"/>
          <w:sz w:val="24"/>
          <w:szCs w:val="24"/>
        </w:rPr>
        <w:t>spanning across both academic and everyday lives</w:t>
      </w:r>
      <w:r w:rsidR="00460EEE">
        <w:rPr>
          <w:rFonts w:ascii="Cambria" w:hAnsi="Cambria"/>
          <w:sz w:val="24"/>
          <w:szCs w:val="24"/>
        </w:rPr>
        <w:t>.</w:t>
      </w:r>
      <w:r w:rsidR="00A50BD5">
        <w:rPr>
          <w:rFonts w:ascii="Cambria" w:hAnsi="Cambria"/>
          <w:sz w:val="24"/>
          <w:szCs w:val="24"/>
        </w:rPr>
        <w:t xml:space="preserve"> </w:t>
      </w:r>
      <w:r w:rsidR="00460EEE">
        <w:rPr>
          <w:rFonts w:ascii="Cambria" w:hAnsi="Cambria"/>
          <w:sz w:val="24"/>
          <w:szCs w:val="24"/>
        </w:rPr>
        <w:t>“When ethnographers produce photographs or video, these images become part of their ethnographic knowledge. Images are indeed part of how we experience, learn and know as well as how we communicate and represent knowledge. In research contexts</w:t>
      </w:r>
      <w:r w:rsidR="00AC6000">
        <w:rPr>
          <w:rFonts w:ascii="Cambria" w:hAnsi="Cambria"/>
          <w:sz w:val="24"/>
          <w:szCs w:val="24"/>
        </w:rPr>
        <w:t>,</w:t>
      </w:r>
      <w:r w:rsidR="00460EEE">
        <w:rPr>
          <w:rFonts w:ascii="Cambria" w:hAnsi="Cambria"/>
          <w:sz w:val="24"/>
          <w:szCs w:val="24"/>
        </w:rPr>
        <w:t xml:space="preserve"> images may inspire conversations, conversations might invoke images.” (2013: p1).</w:t>
      </w:r>
      <w:r w:rsidR="00AC6000">
        <w:rPr>
          <w:rFonts w:ascii="Cambria" w:hAnsi="Cambria"/>
          <w:sz w:val="24"/>
          <w:szCs w:val="24"/>
        </w:rPr>
        <w:t xml:space="preserve"> </w:t>
      </w:r>
      <w:r w:rsidR="00460EEE">
        <w:rPr>
          <w:rFonts w:ascii="Cambria" w:hAnsi="Cambria"/>
          <w:sz w:val="24"/>
          <w:szCs w:val="24"/>
        </w:rPr>
        <w:t xml:space="preserve">Here, Pink shows how visual ethnography derives from our connection to the visual; by producing visual ethnographic research or using visual ethnography as a compliment to written work, we can extend the knowledge and add to the discussion. </w:t>
      </w:r>
    </w:p>
    <w:p w14:paraId="4484D35E" w14:textId="08145F6A" w:rsidR="005057B4" w:rsidRDefault="005057B4" w:rsidP="002951D4">
      <w:pPr>
        <w:spacing w:after="0"/>
        <w:jc w:val="both"/>
        <w:rPr>
          <w:rFonts w:ascii="Cambria" w:hAnsi="Cambria"/>
          <w:sz w:val="24"/>
          <w:szCs w:val="24"/>
        </w:rPr>
      </w:pPr>
      <w:r>
        <w:rPr>
          <w:rFonts w:ascii="Cambria" w:hAnsi="Cambria"/>
          <w:sz w:val="24"/>
          <w:szCs w:val="24"/>
        </w:rPr>
        <w:t xml:space="preserve">Pink </w:t>
      </w:r>
      <w:r w:rsidR="0001318E">
        <w:rPr>
          <w:rFonts w:ascii="Cambria" w:hAnsi="Cambria"/>
          <w:sz w:val="24"/>
          <w:szCs w:val="24"/>
        </w:rPr>
        <w:t xml:space="preserve">further </w:t>
      </w:r>
      <w:r>
        <w:rPr>
          <w:rFonts w:ascii="Cambria" w:hAnsi="Cambria"/>
          <w:sz w:val="24"/>
          <w:szCs w:val="24"/>
        </w:rPr>
        <w:t xml:space="preserve">demonstrates the importance of visual ethnography </w:t>
      </w:r>
      <w:r w:rsidR="00F135A1">
        <w:rPr>
          <w:rFonts w:ascii="Cambria" w:hAnsi="Cambria"/>
          <w:sz w:val="24"/>
          <w:szCs w:val="24"/>
        </w:rPr>
        <w:t xml:space="preserve">as she references how, as a practice, it has grown greatly in recent times to become </w:t>
      </w:r>
      <w:r w:rsidR="00A219DE">
        <w:rPr>
          <w:rFonts w:ascii="Cambria" w:hAnsi="Cambria"/>
          <w:sz w:val="24"/>
          <w:szCs w:val="24"/>
        </w:rPr>
        <w:t xml:space="preserve">recognised in various disciplines outside of anthropology including geography, </w:t>
      </w:r>
      <w:r w:rsidR="00C73C95">
        <w:rPr>
          <w:rFonts w:ascii="Cambria" w:hAnsi="Cambria"/>
          <w:sz w:val="24"/>
          <w:szCs w:val="24"/>
        </w:rPr>
        <w:t xml:space="preserve">in addition to interdisciplinary fields including “consumer research, </w:t>
      </w:r>
      <w:r w:rsidR="00E60BE4">
        <w:rPr>
          <w:rFonts w:ascii="Cambria" w:hAnsi="Cambria"/>
          <w:sz w:val="24"/>
          <w:szCs w:val="24"/>
        </w:rPr>
        <w:t xml:space="preserve">health studies, education studies, media studies, organisation studies, design research, </w:t>
      </w:r>
      <w:r w:rsidR="00EB7CB7">
        <w:rPr>
          <w:rFonts w:ascii="Cambria" w:hAnsi="Cambria"/>
          <w:sz w:val="24"/>
          <w:szCs w:val="24"/>
        </w:rPr>
        <w:t>b</w:t>
      </w:r>
      <w:r w:rsidR="00E60BE4">
        <w:rPr>
          <w:rFonts w:ascii="Cambria" w:hAnsi="Cambria"/>
          <w:sz w:val="24"/>
          <w:szCs w:val="24"/>
        </w:rPr>
        <w:t>uildings research and in schools of art</w:t>
      </w:r>
      <w:r w:rsidR="00EB7CB7">
        <w:rPr>
          <w:rFonts w:ascii="Cambria" w:hAnsi="Cambria"/>
          <w:sz w:val="24"/>
          <w:szCs w:val="24"/>
        </w:rPr>
        <w:t>” (2013: p</w:t>
      </w:r>
      <w:r w:rsidR="00155B2A">
        <w:rPr>
          <w:rFonts w:ascii="Cambria" w:hAnsi="Cambria"/>
          <w:sz w:val="24"/>
          <w:szCs w:val="24"/>
        </w:rPr>
        <w:t>2).</w:t>
      </w:r>
    </w:p>
    <w:p w14:paraId="1815A379" w14:textId="66012C0A" w:rsidR="00902545" w:rsidRDefault="00A249B2" w:rsidP="002951D4">
      <w:pPr>
        <w:spacing w:after="0"/>
        <w:jc w:val="both"/>
        <w:rPr>
          <w:rFonts w:ascii="Cambria" w:hAnsi="Cambria"/>
          <w:sz w:val="24"/>
          <w:szCs w:val="24"/>
        </w:rPr>
      </w:pPr>
      <w:r>
        <w:rPr>
          <w:rFonts w:ascii="Cambria" w:hAnsi="Cambria"/>
          <w:sz w:val="24"/>
          <w:szCs w:val="24"/>
        </w:rPr>
        <w:t>For the majority of Doing Visual Ethnography</w:t>
      </w:r>
      <w:r w:rsidR="0048630C">
        <w:rPr>
          <w:rFonts w:ascii="Cambria" w:hAnsi="Cambria"/>
          <w:sz w:val="24"/>
          <w:szCs w:val="24"/>
        </w:rPr>
        <w:t xml:space="preserve">, Pink talks about research being presented </w:t>
      </w:r>
      <w:r w:rsidR="003838FC">
        <w:rPr>
          <w:rFonts w:ascii="Cambria" w:hAnsi="Cambria"/>
          <w:sz w:val="24"/>
          <w:szCs w:val="24"/>
        </w:rPr>
        <w:t xml:space="preserve">via conventional publishing methods and </w:t>
      </w:r>
      <w:r w:rsidR="00D55ECC">
        <w:rPr>
          <w:rFonts w:ascii="Cambria" w:hAnsi="Cambria"/>
          <w:sz w:val="24"/>
          <w:szCs w:val="24"/>
        </w:rPr>
        <w:t>conferences;</w:t>
      </w:r>
      <w:bookmarkStart w:id="0" w:name="_GoBack"/>
      <w:bookmarkEnd w:id="0"/>
      <w:r w:rsidR="00D55ECC">
        <w:rPr>
          <w:rFonts w:ascii="Cambria" w:hAnsi="Cambria"/>
          <w:sz w:val="24"/>
          <w:szCs w:val="24"/>
        </w:rPr>
        <w:t xml:space="preserve"> however, Pink later discusses </w:t>
      </w:r>
      <w:r w:rsidR="00B15B2D">
        <w:rPr>
          <w:rFonts w:ascii="Cambria" w:hAnsi="Cambria"/>
          <w:sz w:val="24"/>
          <w:szCs w:val="24"/>
        </w:rPr>
        <w:t xml:space="preserve">how </w:t>
      </w:r>
      <w:r w:rsidR="00370B71">
        <w:rPr>
          <w:rFonts w:ascii="Cambria" w:hAnsi="Cambria"/>
          <w:sz w:val="24"/>
          <w:szCs w:val="24"/>
        </w:rPr>
        <w:t xml:space="preserve">visual ethnography can be used </w:t>
      </w:r>
      <w:r w:rsidR="001A1E35">
        <w:rPr>
          <w:rFonts w:ascii="Cambria" w:hAnsi="Cambria"/>
          <w:sz w:val="24"/>
          <w:szCs w:val="24"/>
        </w:rPr>
        <w:t>digitally</w:t>
      </w:r>
      <w:r w:rsidR="00DF7A5B">
        <w:rPr>
          <w:rFonts w:ascii="Cambria" w:hAnsi="Cambria"/>
          <w:sz w:val="24"/>
          <w:szCs w:val="24"/>
        </w:rPr>
        <w:t xml:space="preserve">. </w:t>
      </w:r>
      <w:r w:rsidR="00550413">
        <w:rPr>
          <w:rFonts w:ascii="Cambria" w:hAnsi="Cambria"/>
          <w:sz w:val="24"/>
          <w:szCs w:val="24"/>
        </w:rPr>
        <w:t xml:space="preserve">According to Pink, </w:t>
      </w:r>
      <w:r w:rsidR="00901093">
        <w:rPr>
          <w:rFonts w:ascii="Cambria" w:hAnsi="Cambria"/>
          <w:sz w:val="24"/>
          <w:szCs w:val="24"/>
        </w:rPr>
        <w:t xml:space="preserve">with the </w:t>
      </w:r>
      <w:r w:rsidR="0017294C">
        <w:rPr>
          <w:rFonts w:ascii="Cambria" w:hAnsi="Cambria"/>
          <w:sz w:val="24"/>
          <w:szCs w:val="24"/>
        </w:rPr>
        <w:t xml:space="preserve">development in technology, </w:t>
      </w:r>
      <w:r w:rsidR="005976A1">
        <w:rPr>
          <w:rFonts w:ascii="Cambria" w:hAnsi="Cambria"/>
          <w:sz w:val="24"/>
          <w:szCs w:val="24"/>
        </w:rPr>
        <w:t xml:space="preserve">the ways in which we may view or read visual </w:t>
      </w:r>
      <w:r w:rsidR="00934189">
        <w:rPr>
          <w:rFonts w:ascii="Cambria" w:hAnsi="Cambria"/>
          <w:sz w:val="24"/>
          <w:szCs w:val="24"/>
        </w:rPr>
        <w:t xml:space="preserve">ethnography in addition to how is it produced is changing. </w:t>
      </w:r>
      <w:r w:rsidR="00CD6544">
        <w:rPr>
          <w:rFonts w:ascii="Cambria" w:hAnsi="Cambria"/>
          <w:sz w:val="24"/>
          <w:szCs w:val="24"/>
        </w:rPr>
        <w:t>Moreover, with “</w:t>
      </w:r>
      <w:r w:rsidR="00A6510F">
        <w:rPr>
          <w:rFonts w:ascii="Cambria" w:hAnsi="Cambria"/>
          <w:sz w:val="24"/>
          <w:szCs w:val="24"/>
        </w:rPr>
        <w:t xml:space="preserve">increasingly mobile media, touchscreens, and more, the ways that digital visual ethnography presented online can be experienced, shared and </w:t>
      </w:r>
      <w:r w:rsidR="00895E80">
        <w:rPr>
          <w:rFonts w:ascii="Cambria" w:hAnsi="Cambria"/>
          <w:sz w:val="24"/>
          <w:szCs w:val="24"/>
        </w:rPr>
        <w:t xml:space="preserve">interpreted are also changing” (2013: </w:t>
      </w:r>
      <w:r w:rsidR="008242B1">
        <w:rPr>
          <w:rFonts w:ascii="Cambria" w:hAnsi="Cambria"/>
          <w:sz w:val="24"/>
          <w:szCs w:val="24"/>
        </w:rPr>
        <w:t>p204)</w:t>
      </w:r>
      <w:r w:rsidR="004602EE">
        <w:rPr>
          <w:rFonts w:ascii="Cambria" w:hAnsi="Cambria"/>
          <w:sz w:val="24"/>
          <w:szCs w:val="24"/>
        </w:rPr>
        <w:t>.</w:t>
      </w:r>
      <w:r w:rsidR="00530B1C">
        <w:rPr>
          <w:rFonts w:ascii="Cambria" w:hAnsi="Cambria"/>
          <w:sz w:val="24"/>
          <w:szCs w:val="24"/>
        </w:rPr>
        <w:t xml:space="preserve"> Within this section of digital visual ethnography, Pink </w:t>
      </w:r>
      <w:r w:rsidR="00F91F5C">
        <w:rPr>
          <w:rFonts w:ascii="Cambria" w:hAnsi="Cambria"/>
          <w:sz w:val="24"/>
          <w:szCs w:val="24"/>
        </w:rPr>
        <w:t xml:space="preserve">examines the use of </w:t>
      </w:r>
      <w:r w:rsidR="00D11D94">
        <w:rPr>
          <w:rFonts w:ascii="Cambria" w:hAnsi="Cambria"/>
          <w:sz w:val="24"/>
          <w:szCs w:val="24"/>
        </w:rPr>
        <w:t xml:space="preserve">project blogs and web sites to present research findings; </w:t>
      </w:r>
      <w:r w:rsidR="007D3AEC">
        <w:rPr>
          <w:rFonts w:ascii="Cambria" w:hAnsi="Cambria"/>
          <w:sz w:val="24"/>
          <w:szCs w:val="24"/>
        </w:rPr>
        <w:t xml:space="preserve">here, she describes, </w:t>
      </w:r>
      <w:r w:rsidR="00D30611">
        <w:rPr>
          <w:rFonts w:ascii="Cambria" w:hAnsi="Cambria"/>
          <w:sz w:val="24"/>
          <w:szCs w:val="24"/>
        </w:rPr>
        <w:t>research may be presented publicly where it can be discussed and updated as the project continues.</w:t>
      </w:r>
      <w:r w:rsidR="00367427">
        <w:rPr>
          <w:rFonts w:ascii="Cambria" w:hAnsi="Cambria"/>
          <w:sz w:val="24"/>
          <w:szCs w:val="24"/>
        </w:rPr>
        <w:t xml:space="preserve"> Additionally, Pink explains that </w:t>
      </w:r>
      <w:r w:rsidR="00A842C0">
        <w:rPr>
          <w:rFonts w:ascii="Cambria" w:hAnsi="Cambria"/>
          <w:sz w:val="24"/>
          <w:szCs w:val="24"/>
        </w:rPr>
        <w:t xml:space="preserve">preliminary findings and video clips </w:t>
      </w:r>
      <w:r w:rsidR="002D7A7D">
        <w:rPr>
          <w:rFonts w:ascii="Cambria" w:hAnsi="Cambria"/>
          <w:sz w:val="24"/>
          <w:szCs w:val="24"/>
        </w:rPr>
        <w:t xml:space="preserve">from research may be presented online where they can add to </w:t>
      </w:r>
      <w:r w:rsidR="00D13B36">
        <w:rPr>
          <w:rFonts w:ascii="Cambria" w:hAnsi="Cambria"/>
          <w:sz w:val="24"/>
          <w:szCs w:val="24"/>
        </w:rPr>
        <w:t xml:space="preserve">public understanding or to “invite research participants to engage with preliminary </w:t>
      </w:r>
      <w:r w:rsidR="00562189">
        <w:rPr>
          <w:rFonts w:ascii="Cambria" w:hAnsi="Cambria"/>
          <w:sz w:val="24"/>
          <w:szCs w:val="24"/>
        </w:rPr>
        <w:t>thoughts and findings on-goingly throughout the process” (2013: p</w:t>
      </w:r>
      <w:r w:rsidR="005F0980">
        <w:rPr>
          <w:rFonts w:ascii="Cambria" w:hAnsi="Cambria"/>
          <w:sz w:val="24"/>
          <w:szCs w:val="24"/>
        </w:rPr>
        <w:t>210). Within this section of the book, Pink uses Chri</w:t>
      </w:r>
      <w:r w:rsidR="00942C8E">
        <w:rPr>
          <w:rFonts w:ascii="Cambria" w:hAnsi="Cambria"/>
          <w:sz w:val="24"/>
          <w:szCs w:val="24"/>
        </w:rPr>
        <w:t xml:space="preserve">stina Lammer as an example to </w:t>
      </w:r>
      <w:r w:rsidR="00942C8E">
        <w:rPr>
          <w:rFonts w:ascii="Cambria" w:hAnsi="Cambria"/>
          <w:sz w:val="24"/>
          <w:szCs w:val="24"/>
        </w:rPr>
        <w:lastRenderedPageBreak/>
        <w:t>demonstrate how a project blog</w:t>
      </w:r>
      <w:r w:rsidR="00383B22">
        <w:rPr>
          <w:rFonts w:ascii="Cambria" w:hAnsi="Cambria"/>
          <w:sz w:val="24"/>
          <w:szCs w:val="24"/>
        </w:rPr>
        <w:t xml:space="preserve"> may be used; Lammer </w:t>
      </w:r>
      <w:r w:rsidR="001D7386">
        <w:rPr>
          <w:rFonts w:ascii="Cambria" w:hAnsi="Cambria"/>
          <w:sz w:val="24"/>
          <w:szCs w:val="24"/>
        </w:rPr>
        <w:t xml:space="preserve">has used a project website </w:t>
      </w:r>
      <w:r w:rsidR="009D31BD">
        <w:rPr>
          <w:rFonts w:ascii="Cambria" w:hAnsi="Cambria"/>
          <w:sz w:val="24"/>
          <w:szCs w:val="24"/>
        </w:rPr>
        <w:t>an</w:t>
      </w:r>
      <w:r w:rsidR="001D7386">
        <w:rPr>
          <w:rFonts w:ascii="Cambria" w:hAnsi="Cambria"/>
          <w:sz w:val="24"/>
          <w:szCs w:val="24"/>
        </w:rPr>
        <w:t xml:space="preserve">d a blog to show </w:t>
      </w:r>
      <w:r w:rsidR="009D31BD">
        <w:rPr>
          <w:rFonts w:ascii="Cambria" w:hAnsi="Cambria"/>
          <w:sz w:val="24"/>
          <w:szCs w:val="24"/>
        </w:rPr>
        <w:t>visual ethnographic materials including video clips</w:t>
      </w:r>
      <w:r w:rsidR="00E2519B">
        <w:rPr>
          <w:rFonts w:ascii="Cambria" w:hAnsi="Cambria"/>
          <w:sz w:val="24"/>
          <w:szCs w:val="24"/>
        </w:rPr>
        <w:t xml:space="preserve"> and </w:t>
      </w:r>
      <w:r w:rsidR="00CC35D5">
        <w:rPr>
          <w:rFonts w:ascii="Cambria" w:hAnsi="Cambria"/>
          <w:sz w:val="24"/>
          <w:szCs w:val="24"/>
        </w:rPr>
        <w:t xml:space="preserve">to </w:t>
      </w:r>
      <w:r w:rsidR="00E2519B">
        <w:rPr>
          <w:rFonts w:ascii="Cambria" w:hAnsi="Cambria"/>
          <w:sz w:val="24"/>
          <w:szCs w:val="24"/>
        </w:rPr>
        <w:t xml:space="preserve">document her project as it goes on, in order </w:t>
      </w:r>
      <w:r w:rsidR="00FB49BF">
        <w:rPr>
          <w:rFonts w:ascii="Cambria" w:hAnsi="Cambria"/>
          <w:sz w:val="24"/>
          <w:szCs w:val="24"/>
        </w:rPr>
        <w:t>for it to be “accessed equally by the different participants</w:t>
      </w:r>
      <w:r w:rsidR="00775C74">
        <w:rPr>
          <w:rFonts w:ascii="Cambria" w:hAnsi="Cambria"/>
          <w:sz w:val="24"/>
          <w:szCs w:val="24"/>
        </w:rPr>
        <w:t xml:space="preserve"> in her work, the academics, artists and medical practitioners who she collaborates with and</w:t>
      </w:r>
      <w:r w:rsidR="00B41E51">
        <w:rPr>
          <w:rFonts w:ascii="Cambria" w:hAnsi="Cambria"/>
          <w:sz w:val="24"/>
          <w:szCs w:val="24"/>
        </w:rPr>
        <w:t xml:space="preserve"> wider academic or other interested audiences” (2013: p209)</w:t>
      </w:r>
      <w:r w:rsidR="00CF6CEA">
        <w:rPr>
          <w:rFonts w:ascii="Cambria" w:hAnsi="Cambria"/>
          <w:sz w:val="24"/>
          <w:szCs w:val="24"/>
        </w:rPr>
        <w:t>.</w:t>
      </w:r>
    </w:p>
    <w:p w14:paraId="7678E054" w14:textId="7A1188A3" w:rsidR="00CF6CEA" w:rsidRDefault="00CF6CEA" w:rsidP="002951D4">
      <w:pPr>
        <w:spacing w:after="0"/>
        <w:jc w:val="both"/>
        <w:rPr>
          <w:rFonts w:ascii="Cambria" w:hAnsi="Cambria"/>
          <w:sz w:val="24"/>
          <w:szCs w:val="24"/>
        </w:rPr>
      </w:pPr>
      <w:r>
        <w:rPr>
          <w:rFonts w:ascii="Cambria" w:hAnsi="Cambria"/>
          <w:sz w:val="24"/>
          <w:szCs w:val="24"/>
        </w:rPr>
        <w:t xml:space="preserve">Pink chooses to reference several researchers and projects from a variety of fields throughout </w:t>
      </w:r>
      <w:r w:rsidR="00236E2D">
        <w:rPr>
          <w:rFonts w:ascii="Cambria" w:hAnsi="Cambria"/>
          <w:sz w:val="24"/>
          <w:szCs w:val="24"/>
        </w:rPr>
        <w:t>her work</w:t>
      </w:r>
      <w:r w:rsidR="00727876">
        <w:rPr>
          <w:rFonts w:ascii="Cambria" w:hAnsi="Cambria"/>
          <w:sz w:val="24"/>
          <w:szCs w:val="24"/>
        </w:rPr>
        <w:t>; these references</w:t>
      </w:r>
      <w:r w:rsidR="00417F3D">
        <w:rPr>
          <w:rFonts w:ascii="Cambria" w:hAnsi="Cambria"/>
          <w:sz w:val="24"/>
          <w:szCs w:val="24"/>
        </w:rPr>
        <w:t xml:space="preserve"> provide </w:t>
      </w:r>
      <w:r w:rsidR="00727876">
        <w:rPr>
          <w:rFonts w:ascii="Cambria" w:hAnsi="Cambria"/>
          <w:sz w:val="24"/>
          <w:szCs w:val="24"/>
        </w:rPr>
        <w:t xml:space="preserve">readers </w:t>
      </w:r>
      <w:r w:rsidR="00417F3D">
        <w:rPr>
          <w:rFonts w:ascii="Cambria" w:hAnsi="Cambria"/>
          <w:sz w:val="24"/>
          <w:szCs w:val="24"/>
        </w:rPr>
        <w:t>with projects</w:t>
      </w:r>
      <w:r w:rsidR="000F6495">
        <w:rPr>
          <w:rFonts w:ascii="Cambria" w:hAnsi="Cambria"/>
          <w:sz w:val="24"/>
          <w:szCs w:val="24"/>
        </w:rPr>
        <w:t xml:space="preserve"> to represent the work Pink is describin</w:t>
      </w:r>
      <w:r w:rsidR="002F35BA">
        <w:rPr>
          <w:rFonts w:ascii="Cambria" w:hAnsi="Cambria"/>
          <w:sz w:val="24"/>
          <w:szCs w:val="24"/>
        </w:rPr>
        <w:t>g;</w:t>
      </w:r>
      <w:r w:rsidR="000F6495">
        <w:rPr>
          <w:rFonts w:ascii="Cambria" w:hAnsi="Cambria"/>
          <w:sz w:val="24"/>
          <w:szCs w:val="24"/>
        </w:rPr>
        <w:t xml:space="preserve"> for example Pink uses </w:t>
      </w:r>
      <w:r w:rsidR="00FA046A">
        <w:rPr>
          <w:rFonts w:ascii="Cambria" w:hAnsi="Cambria"/>
          <w:sz w:val="24"/>
          <w:szCs w:val="24"/>
        </w:rPr>
        <w:t xml:space="preserve">Heider </w:t>
      </w:r>
      <w:r w:rsidR="00F02FC1">
        <w:rPr>
          <w:rFonts w:ascii="Cambria" w:hAnsi="Cambria"/>
          <w:sz w:val="24"/>
          <w:szCs w:val="24"/>
        </w:rPr>
        <w:t xml:space="preserve">1976 to demonstrate how early ethnographic </w:t>
      </w:r>
      <w:r w:rsidR="00816DF1">
        <w:rPr>
          <w:rFonts w:ascii="Cambria" w:hAnsi="Cambria"/>
          <w:sz w:val="24"/>
          <w:szCs w:val="24"/>
        </w:rPr>
        <w:t xml:space="preserve">film </w:t>
      </w:r>
      <w:r w:rsidR="00D63884">
        <w:rPr>
          <w:rFonts w:ascii="Cambria" w:hAnsi="Cambria"/>
          <w:sz w:val="24"/>
          <w:szCs w:val="24"/>
        </w:rPr>
        <w:t xml:space="preserve">and practice was to </w:t>
      </w:r>
      <w:r w:rsidR="00A3055C">
        <w:rPr>
          <w:rFonts w:ascii="Cambria" w:hAnsi="Cambria"/>
          <w:sz w:val="24"/>
          <w:szCs w:val="24"/>
        </w:rPr>
        <w:t xml:space="preserve">represent whole cultures, </w:t>
      </w:r>
      <w:r w:rsidR="00FE2853">
        <w:rPr>
          <w:rFonts w:ascii="Cambria" w:hAnsi="Cambria"/>
          <w:sz w:val="24"/>
          <w:szCs w:val="24"/>
        </w:rPr>
        <w:t>attempting to film “whole contexts, activities and action</w:t>
      </w:r>
      <w:r w:rsidR="002E7D31">
        <w:rPr>
          <w:rFonts w:ascii="Cambria" w:hAnsi="Cambria"/>
          <w:sz w:val="24"/>
          <w:szCs w:val="24"/>
        </w:rPr>
        <w:t>” with minimal editing (2013: p184)</w:t>
      </w:r>
      <w:r w:rsidR="000210D8">
        <w:rPr>
          <w:rFonts w:ascii="Cambria" w:hAnsi="Cambria"/>
          <w:sz w:val="24"/>
          <w:szCs w:val="24"/>
        </w:rPr>
        <w:t xml:space="preserve">. These references can be seen to further </w:t>
      </w:r>
      <w:r w:rsidR="001932E5">
        <w:rPr>
          <w:rFonts w:ascii="Cambria" w:hAnsi="Cambria"/>
          <w:sz w:val="24"/>
          <w:szCs w:val="24"/>
        </w:rPr>
        <w:t xml:space="preserve">the understanding of the reader towards </w:t>
      </w:r>
      <w:r w:rsidR="00E650B2">
        <w:rPr>
          <w:rFonts w:ascii="Cambria" w:hAnsi="Cambria"/>
          <w:sz w:val="24"/>
          <w:szCs w:val="24"/>
        </w:rPr>
        <w:t>visual ethnographic methods, theories and contexts.</w:t>
      </w:r>
    </w:p>
    <w:p w14:paraId="6A24DD98" w14:textId="73B6B393" w:rsidR="00893F79" w:rsidRDefault="00646EA4" w:rsidP="002951D4">
      <w:pPr>
        <w:spacing w:after="0"/>
        <w:jc w:val="both"/>
        <w:rPr>
          <w:rFonts w:ascii="Cambria" w:hAnsi="Cambria"/>
          <w:sz w:val="24"/>
          <w:szCs w:val="24"/>
        </w:rPr>
      </w:pPr>
      <w:r>
        <w:rPr>
          <w:rFonts w:ascii="Cambria" w:hAnsi="Cambria"/>
          <w:sz w:val="24"/>
          <w:szCs w:val="24"/>
        </w:rPr>
        <w:t>Response to Pink</w:t>
      </w:r>
      <w:r w:rsidR="00F916DD">
        <w:rPr>
          <w:rFonts w:ascii="Cambria" w:hAnsi="Cambria"/>
          <w:sz w:val="24"/>
          <w:szCs w:val="24"/>
        </w:rPr>
        <w:t xml:space="preserve">’s work includes reviews from other academics; Dr Hannah Knox, Department of Anthropology at University College London </w:t>
      </w:r>
      <w:r w:rsidR="00444768">
        <w:rPr>
          <w:rFonts w:ascii="Cambria" w:hAnsi="Cambria"/>
          <w:sz w:val="24"/>
          <w:szCs w:val="24"/>
        </w:rPr>
        <w:t>describes the book as an “accessible and well laid out course text</w:t>
      </w:r>
      <w:r w:rsidR="00862785">
        <w:rPr>
          <w:rFonts w:ascii="Cambria" w:hAnsi="Cambria"/>
          <w:sz w:val="24"/>
          <w:szCs w:val="24"/>
        </w:rPr>
        <w:t xml:space="preserve"> that has proved very helpful in teaching students about using visual methods in ethnographic research”</w:t>
      </w:r>
      <w:r w:rsidR="00ED569B">
        <w:rPr>
          <w:rFonts w:ascii="Cambria" w:hAnsi="Cambria"/>
          <w:sz w:val="24"/>
          <w:szCs w:val="24"/>
        </w:rPr>
        <w:t xml:space="preserve"> (Sage Publishing 2015)</w:t>
      </w:r>
      <w:r w:rsidR="0094004E">
        <w:rPr>
          <w:rFonts w:ascii="Cambria" w:hAnsi="Cambria"/>
          <w:sz w:val="24"/>
          <w:szCs w:val="24"/>
        </w:rPr>
        <w:t>,</w:t>
      </w:r>
      <w:r w:rsidR="00862785">
        <w:rPr>
          <w:rFonts w:ascii="Cambria" w:hAnsi="Cambria"/>
          <w:sz w:val="24"/>
          <w:szCs w:val="24"/>
        </w:rPr>
        <w:t xml:space="preserve"> </w:t>
      </w:r>
      <w:r w:rsidR="005208A3">
        <w:rPr>
          <w:rFonts w:ascii="Cambria" w:hAnsi="Cambria"/>
          <w:sz w:val="24"/>
          <w:szCs w:val="24"/>
        </w:rPr>
        <w:t>while Dr Clancy Wilmott</w:t>
      </w:r>
      <w:r w:rsidR="007773EF">
        <w:rPr>
          <w:rFonts w:ascii="Cambria" w:hAnsi="Cambria"/>
          <w:sz w:val="24"/>
          <w:szCs w:val="24"/>
        </w:rPr>
        <w:t xml:space="preserve">, Department of Geography at Manchester University describes it as “essential for </w:t>
      </w:r>
      <w:r w:rsidR="00ED569B">
        <w:rPr>
          <w:rFonts w:ascii="Cambria" w:hAnsi="Cambria"/>
          <w:sz w:val="24"/>
          <w:szCs w:val="24"/>
        </w:rPr>
        <w:t>a</w:t>
      </w:r>
      <w:r w:rsidR="007773EF">
        <w:rPr>
          <w:rFonts w:ascii="Cambria" w:hAnsi="Cambria"/>
          <w:sz w:val="24"/>
          <w:szCs w:val="24"/>
        </w:rPr>
        <w:t>ny student doing visual ethnography or anthropology” (Sage Publishing</w:t>
      </w:r>
      <w:r w:rsidR="00ED569B">
        <w:rPr>
          <w:rFonts w:ascii="Cambria" w:hAnsi="Cambria"/>
          <w:sz w:val="24"/>
          <w:szCs w:val="24"/>
        </w:rPr>
        <w:t xml:space="preserve"> 2017).</w:t>
      </w:r>
      <w:r w:rsidR="0094004E">
        <w:rPr>
          <w:rFonts w:ascii="Cambria" w:hAnsi="Cambria"/>
          <w:sz w:val="24"/>
          <w:szCs w:val="24"/>
        </w:rPr>
        <w:t xml:space="preserve"> These reviews suggest that Pink </w:t>
      </w:r>
      <w:r w:rsidR="003D5993">
        <w:rPr>
          <w:rFonts w:ascii="Cambria" w:hAnsi="Cambria"/>
          <w:sz w:val="24"/>
          <w:szCs w:val="24"/>
        </w:rPr>
        <w:t xml:space="preserve">has succeeded in </w:t>
      </w:r>
      <w:r w:rsidR="000F01FE">
        <w:rPr>
          <w:rFonts w:ascii="Cambria" w:hAnsi="Cambria"/>
          <w:sz w:val="24"/>
          <w:szCs w:val="24"/>
        </w:rPr>
        <w:t xml:space="preserve">providing a detailed and clear </w:t>
      </w:r>
      <w:r w:rsidR="00DD2271">
        <w:rPr>
          <w:rFonts w:ascii="Cambria" w:hAnsi="Cambria"/>
          <w:sz w:val="24"/>
          <w:szCs w:val="24"/>
        </w:rPr>
        <w:t xml:space="preserve">explanation of </w:t>
      </w:r>
      <w:r w:rsidR="00C21D2F">
        <w:rPr>
          <w:rFonts w:ascii="Cambria" w:hAnsi="Cambria"/>
          <w:sz w:val="24"/>
          <w:szCs w:val="24"/>
        </w:rPr>
        <w:t>the production, presentation and use of visual media within ethnographic research.</w:t>
      </w:r>
    </w:p>
    <w:p w14:paraId="3D30894C" w14:textId="0B4958D3" w:rsidR="006F2F6E" w:rsidRDefault="006F2F6E" w:rsidP="006F2F6E">
      <w:pPr>
        <w:spacing w:after="0"/>
        <w:jc w:val="both"/>
        <w:rPr>
          <w:rFonts w:ascii="Cambria" w:hAnsi="Cambria"/>
          <w:sz w:val="24"/>
          <w:szCs w:val="24"/>
        </w:rPr>
      </w:pPr>
      <w:r>
        <w:rPr>
          <w:rFonts w:ascii="Cambria" w:hAnsi="Cambria"/>
          <w:sz w:val="24"/>
          <w:szCs w:val="24"/>
        </w:rPr>
        <w:t xml:space="preserve">Visual </w:t>
      </w:r>
      <w:r w:rsidR="002A59F0">
        <w:rPr>
          <w:rFonts w:ascii="Cambria" w:hAnsi="Cambria"/>
          <w:sz w:val="24"/>
          <w:szCs w:val="24"/>
        </w:rPr>
        <w:t>e</w:t>
      </w:r>
      <w:r>
        <w:rPr>
          <w:rFonts w:ascii="Cambria" w:hAnsi="Cambria"/>
          <w:sz w:val="24"/>
          <w:szCs w:val="24"/>
        </w:rPr>
        <w:t>thnography is a growing discipline with many universities offering modules based on the practice and methodology</w:t>
      </w:r>
      <w:r w:rsidR="00A72703">
        <w:rPr>
          <w:rFonts w:ascii="Cambria" w:hAnsi="Cambria"/>
          <w:sz w:val="24"/>
          <w:szCs w:val="24"/>
        </w:rPr>
        <w:t>,</w:t>
      </w:r>
      <w:r>
        <w:rPr>
          <w:rFonts w:ascii="Cambria" w:hAnsi="Cambria"/>
          <w:sz w:val="24"/>
          <w:szCs w:val="24"/>
        </w:rPr>
        <w:t xml:space="preserve"> while others now offer courses such as MA Visual Anthropology at Manchester University or BA (Hons) Anthropology and Visual Practice at Goldsmiths, University of London. It </w:t>
      </w:r>
      <w:r w:rsidR="00A72703">
        <w:rPr>
          <w:rFonts w:ascii="Cambria" w:hAnsi="Cambria"/>
          <w:sz w:val="24"/>
          <w:szCs w:val="24"/>
        </w:rPr>
        <w:t>c</w:t>
      </w:r>
      <w:r>
        <w:rPr>
          <w:rFonts w:ascii="Cambria" w:hAnsi="Cambria"/>
          <w:sz w:val="24"/>
          <w:szCs w:val="24"/>
        </w:rPr>
        <w:t xml:space="preserve">an be said, therefore, that Pink’s </w:t>
      </w:r>
      <w:r w:rsidR="004B0338">
        <w:rPr>
          <w:rFonts w:ascii="Cambria" w:hAnsi="Cambria"/>
          <w:sz w:val="24"/>
          <w:szCs w:val="24"/>
        </w:rPr>
        <w:t xml:space="preserve">Doing Visual Ethnography </w:t>
      </w:r>
      <w:r w:rsidR="007927E2">
        <w:rPr>
          <w:rFonts w:ascii="Cambria" w:hAnsi="Cambria"/>
          <w:sz w:val="24"/>
          <w:szCs w:val="24"/>
        </w:rPr>
        <w:t xml:space="preserve">can contribute to </w:t>
      </w:r>
      <w:r w:rsidR="00F10E55">
        <w:rPr>
          <w:rFonts w:ascii="Cambria" w:hAnsi="Cambria"/>
          <w:sz w:val="24"/>
          <w:szCs w:val="24"/>
        </w:rPr>
        <w:t>not only current researchers but also an increasing number of stu</w:t>
      </w:r>
      <w:r w:rsidR="007E568B">
        <w:rPr>
          <w:rFonts w:ascii="Cambria" w:hAnsi="Cambria"/>
          <w:sz w:val="24"/>
          <w:szCs w:val="24"/>
        </w:rPr>
        <w:t>dents</w:t>
      </w:r>
      <w:r w:rsidR="00A9631B">
        <w:rPr>
          <w:rFonts w:ascii="Cambria" w:hAnsi="Cambria"/>
          <w:sz w:val="24"/>
          <w:szCs w:val="24"/>
        </w:rPr>
        <w:t>.</w:t>
      </w:r>
    </w:p>
    <w:p w14:paraId="59F03E35" w14:textId="4D1ACCAF" w:rsidR="005C7FCC" w:rsidRDefault="005C7FCC" w:rsidP="005C7FCC">
      <w:pPr>
        <w:spacing w:after="0"/>
        <w:jc w:val="both"/>
        <w:rPr>
          <w:rFonts w:ascii="Cambria" w:hAnsi="Cambria"/>
          <w:sz w:val="24"/>
          <w:szCs w:val="24"/>
        </w:rPr>
      </w:pPr>
      <w:r>
        <w:rPr>
          <w:rFonts w:ascii="Cambria" w:hAnsi="Cambria"/>
          <w:sz w:val="24"/>
          <w:szCs w:val="24"/>
        </w:rPr>
        <w:t>Throughout the book, Pink explores a variety of aspects of visual ethnography, including the planning and practice of visual ethnography, photography in ethnographic research, video in ethnographic research and making meanings in visual ethnography</w:t>
      </w:r>
      <w:r w:rsidR="00A317B7">
        <w:rPr>
          <w:rFonts w:ascii="Cambria" w:hAnsi="Cambria"/>
          <w:sz w:val="24"/>
          <w:szCs w:val="24"/>
        </w:rPr>
        <w:t>;</w:t>
      </w:r>
      <w:r>
        <w:rPr>
          <w:rFonts w:ascii="Cambria" w:hAnsi="Cambria"/>
          <w:sz w:val="24"/>
          <w:szCs w:val="24"/>
        </w:rPr>
        <w:t xml:space="preserve"> by providing detailed examinations of a range of topics, Pink is able to provide the reader with not only the tools to </w:t>
      </w:r>
      <w:r w:rsidR="003D428D">
        <w:rPr>
          <w:rFonts w:ascii="Cambria" w:hAnsi="Cambria"/>
          <w:sz w:val="24"/>
          <w:szCs w:val="24"/>
        </w:rPr>
        <w:t>conduct visual ethnographic research but to also understand t</w:t>
      </w:r>
      <w:r w:rsidR="00A317B7">
        <w:rPr>
          <w:rFonts w:ascii="Cambria" w:hAnsi="Cambria"/>
          <w:sz w:val="24"/>
          <w:szCs w:val="24"/>
        </w:rPr>
        <w:t>he</w:t>
      </w:r>
      <w:r w:rsidR="003D428D">
        <w:rPr>
          <w:rFonts w:ascii="Cambria" w:hAnsi="Cambria"/>
          <w:sz w:val="24"/>
          <w:szCs w:val="24"/>
        </w:rPr>
        <w:t xml:space="preserve"> development, importance and impact of the practice.</w:t>
      </w:r>
    </w:p>
    <w:p w14:paraId="77AFAE6E" w14:textId="29C3A713" w:rsidR="00AA3FC1" w:rsidRDefault="00AA3FC1" w:rsidP="005C7FCC">
      <w:pPr>
        <w:spacing w:after="0"/>
        <w:jc w:val="both"/>
        <w:rPr>
          <w:rFonts w:ascii="Cambria" w:hAnsi="Cambria"/>
          <w:sz w:val="24"/>
          <w:szCs w:val="24"/>
        </w:rPr>
      </w:pPr>
    </w:p>
    <w:p w14:paraId="51ED5A25" w14:textId="19A819E8" w:rsidR="00AA3FC1" w:rsidRDefault="00AA3FC1" w:rsidP="005C7FCC">
      <w:pPr>
        <w:spacing w:after="0"/>
        <w:jc w:val="both"/>
        <w:rPr>
          <w:rFonts w:ascii="Cambria" w:hAnsi="Cambria"/>
          <w:sz w:val="24"/>
          <w:szCs w:val="24"/>
        </w:rPr>
      </w:pPr>
    </w:p>
    <w:p w14:paraId="60F6924D" w14:textId="4118FE6F" w:rsidR="00AA3FC1" w:rsidRDefault="00AA3FC1" w:rsidP="004679B1">
      <w:pPr>
        <w:spacing w:after="0"/>
        <w:jc w:val="center"/>
        <w:rPr>
          <w:rFonts w:ascii="Cambria" w:hAnsi="Cambria"/>
          <w:sz w:val="24"/>
          <w:szCs w:val="24"/>
        </w:rPr>
      </w:pPr>
      <w:r>
        <w:rPr>
          <w:rFonts w:ascii="Cambria" w:hAnsi="Cambria"/>
          <w:sz w:val="24"/>
          <w:szCs w:val="24"/>
        </w:rPr>
        <w:t>Bibliography.</w:t>
      </w:r>
    </w:p>
    <w:p w14:paraId="76E5CA2E" w14:textId="1BDF679D" w:rsidR="00AA3FC1" w:rsidRDefault="00AA3FC1" w:rsidP="005C7FCC">
      <w:pPr>
        <w:spacing w:after="0"/>
        <w:jc w:val="both"/>
        <w:rPr>
          <w:rFonts w:ascii="Cambria" w:hAnsi="Cambria"/>
          <w:sz w:val="24"/>
          <w:szCs w:val="24"/>
        </w:rPr>
      </w:pPr>
    </w:p>
    <w:p w14:paraId="26DC4F98" w14:textId="2BDC19A1" w:rsidR="00357B5C" w:rsidRPr="002B0FDF" w:rsidRDefault="00357B5C" w:rsidP="002B0FDF">
      <w:pPr>
        <w:jc w:val="both"/>
        <w:rPr>
          <w:rFonts w:ascii="Cambria" w:hAnsi="Cambria"/>
          <w:sz w:val="24"/>
          <w:szCs w:val="24"/>
        </w:rPr>
      </w:pPr>
      <w:r w:rsidRPr="002B0FDF">
        <w:rPr>
          <w:rFonts w:ascii="Cambria" w:hAnsi="Cambria"/>
          <w:sz w:val="24"/>
          <w:szCs w:val="24"/>
        </w:rPr>
        <w:t>Monash University. Sarah Pink. [ONLINE] Available at: https://research.monash.edu/en/persons/sarah-pink. [Accessed 23 September 2019].</w:t>
      </w:r>
    </w:p>
    <w:p w14:paraId="6496A92E" w14:textId="45353FC5" w:rsidR="00323AEB" w:rsidRPr="002B0FDF" w:rsidRDefault="00323AEB" w:rsidP="002B0FDF">
      <w:pPr>
        <w:jc w:val="both"/>
        <w:rPr>
          <w:rFonts w:ascii="Cambria" w:hAnsi="Cambria"/>
          <w:sz w:val="24"/>
          <w:szCs w:val="24"/>
        </w:rPr>
      </w:pPr>
      <w:r w:rsidRPr="002B0FDF">
        <w:rPr>
          <w:rFonts w:ascii="Cambria" w:hAnsi="Cambria"/>
          <w:sz w:val="24"/>
          <w:szCs w:val="24"/>
        </w:rPr>
        <w:t>Pink, S., 2013. Doing Visual Ethnography. 3rd ed. SAGE Publications.</w:t>
      </w:r>
    </w:p>
    <w:p w14:paraId="26126967" w14:textId="5AE186C7" w:rsidR="00ED569B" w:rsidRPr="002951D4" w:rsidRDefault="001F1208" w:rsidP="0002680B">
      <w:pPr>
        <w:jc w:val="both"/>
        <w:rPr>
          <w:rFonts w:ascii="Cambria" w:hAnsi="Cambria"/>
          <w:sz w:val="24"/>
          <w:szCs w:val="24"/>
        </w:rPr>
      </w:pPr>
      <w:r w:rsidRPr="002B0FDF">
        <w:rPr>
          <w:rFonts w:ascii="Cambria" w:hAnsi="Cambria"/>
          <w:sz w:val="24"/>
          <w:szCs w:val="24"/>
        </w:rPr>
        <w:t>Sage Publishing. Doing Visual Ethnography. [ONLINE] Available at: https://uk.sagepub.com/en-gb/eur/doing-visual-ethnography/book237694#reviews. [Accessed 23 September 2019].</w:t>
      </w:r>
    </w:p>
    <w:sectPr w:rsidR="00ED569B" w:rsidRPr="002951D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336C0" w14:textId="77777777" w:rsidR="00F53164" w:rsidRDefault="00F53164" w:rsidP="00F53164">
      <w:pPr>
        <w:spacing w:after="0" w:line="240" w:lineRule="auto"/>
      </w:pPr>
      <w:r>
        <w:separator/>
      </w:r>
    </w:p>
  </w:endnote>
  <w:endnote w:type="continuationSeparator" w:id="0">
    <w:p w14:paraId="5B7EF898" w14:textId="77777777" w:rsidR="00F53164" w:rsidRDefault="00F53164" w:rsidP="00F53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798066"/>
      <w:docPartObj>
        <w:docPartGallery w:val="Page Numbers (Bottom of Page)"/>
        <w:docPartUnique/>
      </w:docPartObj>
    </w:sdtPr>
    <w:sdtEndPr>
      <w:rPr>
        <w:noProof/>
      </w:rPr>
    </w:sdtEndPr>
    <w:sdtContent>
      <w:p w14:paraId="6F062822" w14:textId="2FC4B7C8" w:rsidR="00F53164" w:rsidRDefault="00F531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42D894" w14:textId="77777777" w:rsidR="00F53164" w:rsidRDefault="00F53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CA51E" w14:textId="77777777" w:rsidR="00F53164" w:rsidRDefault="00F53164" w:rsidP="00F53164">
      <w:pPr>
        <w:spacing w:after="0" w:line="240" w:lineRule="auto"/>
      </w:pPr>
      <w:r>
        <w:separator/>
      </w:r>
    </w:p>
  </w:footnote>
  <w:footnote w:type="continuationSeparator" w:id="0">
    <w:p w14:paraId="073C84E3" w14:textId="77777777" w:rsidR="00F53164" w:rsidRDefault="00F53164" w:rsidP="00F531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1D4"/>
    <w:rsid w:val="0001318E"/>
    <w:rsid w:val="000210D8"/>
    <w:rsid w:val="0002680B"/>
    <w:rsid w:val="000F01FE"/>
    <w:rsid w:val="000F6495"/>
    <w:rsid w:val="001254DD"/>
    <w:rsid w:val="00155B2A"/>
    <w:rsid w:val="00157564"/>
    <w:rsid w:val="00167699"/>
    <w:rsid w:val="0017294C"/>
    <w:rsid w:val="001932E5"/>
    <w:rsid w:val="001A1E35"/>
    <w:rsid w:val="001A7F57"/>
    <w:rsid w:val="001D7386"/>
    <w:rsid w:val="001F1208"/>
    <w:rsid w:val="00236E2D"/>
    <w:rsid w:val="00241FB2"/>
    <w:rsid w:val="002951D4"/>
    <w:rsid w:val="002A59F0"/>
    <w:rsid w:val="002B0FDF"/>
    <w:rsid w:val="002C1FB0"/>
    <w:rsid w:val="002D7A7D"/>
    <w:rsid w:val="002E6B30"/>
    <w:rsid w:val="002E7D31"/>
    <w:rsid w:val="002F35BA"/>
    <w:rsid w:val="00323AEB"/>
    <w:rsid w:val="00357B5C"/>
    <w:rsid w:val="00367427"/>
    <w:rsid w:val="00370B71"/>
    <w:rsid w:val="003838FC"/>
    <w:rsid w:val="00383B22"/>
    <w:rsid w:val="003A6185"/>
    <w:rsid w:val="003D428D"/>
    <w:rsid w:val="003D5993"/>
    <w:rsid w:val="003E2124"/>
    <w:rsid w:val="00417F3D"/>
    <w:rsid w:val="00444768"/>
    <w:rsid w:val="004602EE"/>
    <w:rsid w:val="00460EEE"/>
    <w:rsid w:val="004679B1"/>
    <w:rsid w:val="00472D27"/>
    <w:rsid w:val="00474A93"/>
    <w:rsid w:val="0048630C"/>
    <w:rsid w:val="004B0338"/>
    <w:rsid w:val="004E20F6"/>
    <w:rsid w:val="005057B4"/>
    <w:rsid w:val="005208A3"/>
    <w:rsid w:val="00525C88"/>
    <w:rsid w:val="00530B1C"/>
    <w:rsid w:val="00550413"/>
    <w:rsid w:val="00561A45"/>
    <w:rsid w:val="00562189"/>
    <w:rsid w:val="005976A1"/>
    <w:rsid w:val="005B7FED"/>
    <w:rsid w:val="005C7FCC"/>
    <w:rsid w:val="005D5E0A"/>
    <w:rsid w:val="005F0980"/>
    <w:rsid w:val="00646EA4"/>
    <w:rsid w:val="00687E08"/>
    <w:rsid w:val="006F2F6E"/>
    <w:rsid w:val="006F3ED1"/>
    <w:rsid w:val="00727876"/>
    <w:rsid w:val="007613D6"/>
    <w:rsid w:val="00775C74"/>
    <w:rsid w:val="007773EF"/>
    <w:rsid w:val="007927E2"/>
    <w:rsid w:val="007C2E49"/>
    <w:rsid w:val="007D3AEC"/>
    <w:rsid w:val="007E568B"/>
    <w:rsid w:val="0080289A"/>
    <w:rsid w:val="008045A4"/>
    <w:rsid w:val="00815783"/>
    <w:rsid w:val="00816DF1"/>
    <w:rsid w:val="00820002"/>
    <w:rsid w:val="008242B1"/>
    <w:rsid w:val="00862785"/>
    <w:rsid w:val="0086404C"/>
    <w:rsid w:val="008817BB"/>
    <w:rsid w:val="00892A6B"/>
    <w:rsid w:val="00893F79"/>
    <w:rsid w:val="00895E80"/>
    <w:rsid w:val="0089650C"/>
    <w:rsid w:val="008B4D5C"/>
    <w:rsid w:val="008C4AAF"/>
    <w:rsid w:val="008C4AFE"/>
    <w:rsid w:val="00901093"/>
    <w:rsid w:val="00902545"/>
    <w:rsid w:val="00932059"/>
    <w:rsid w:val="00934189"/>
    <w:rsid w:val="009376B2"/>
    <w:rsid w:val="0094004E"/>
    <w:rsid w:val="00942C8E"/>
    <w:rsid w:val="00962007"/>
    <w:rsid w:val="009D31BD"/>
    <w:rsid w:val="009E2C5F"/>
    <w:rsid w:val="009E5800"/>
    <w:rsid w:val="009F132D"/>
    <w:rsid w:val="00A130A5"/>
    <w:rsid w:val="00A219DE"/>
    <w:rsid w:val="00A249B2"/>
    <w:rsid w:val="00A3055C"/>
    <w:rsid w:val="00A317B7"/>
    <w:rsid w:val="00A50BD5"/>
    <w:rsid w:val="00A6510F"/>
    <w:rsid w:val="00A72703"/>
    <w:rsid w:val="00A842C0"/>
    <w:rsid w:val="00A9631B"/>
    <w:rsid w:val="00AA3FC1"/>
    <w:rsid w:val="00AC6000"/>
    <w:rsid w:val="00B15B2D"/>
    <w:rsid w:val="00B41E51"/>
    <w:rsid w:val="00C21D2F"/>
    <w:rsid w:val="00C26BB9"/>
    <w:rsid w:val="00C41EC8"/>
    <w:rsid w:val="00C5005E"/>
    <w:rsid w:val="00C73C95"/>
    <w:rsid w:val="00CC35D5"/>
    <w:rsid w:val="00CD6544"/>
    <w:rsid w:val="00CF6CEA"/>
    <w:rsid w:val="00D11D94"/>
    <w:rsid w:val="00D12AF2"/>
    <w:rsid w:val="00D13B36"/>
    <w:rsid w:val="00D30611"/>
    <w:rsid w:val="00D55ECC"/>
    <w:rsid w:val="00D63884"/>
    <w:rsid w:val="00D82C25"/>
    <w:rsid w:val="00DC50D8"/>
    <w:rsid w:val="00DD2271"/>
    <w:rsid w:val="00DF7A5B"/>
    <w:rsid w:val="00E15DDC"/>
    <w:rsid w:val="00E2519B"/>
    <w:rsid w:val="00E60BE4"/>
    <w:rsid w:val="00E650B2"/>
    <w:rsid w:val="00E760D3"/>
    <w:rsid w:val="00E91EAE"/>
    <w:rsid w:val="00EB7CB7"/>
    <w:rsid w:val="00ED569B"/>
    <w:rsid w:val="00EE33F9"/>
    <w:rsid w:val="00EE4D53"/>
    <w:rsid w:val="00EE7ED5"/>
    <w:rsid w:val="00F02FC1"/>
    <w:rsid w:val="00F10E55"/>
    <w:rsid w:val="00F135A1"/>
    <w:rsid w:val="00F53164"/>
    <w:rsid w:val="00F70612"/>
    <w:rsid w:val="00F916DD"/>
    <w:rsid w:val="00F91F5C"/>
    <w:rsid w:val="00F96275"/>
    <w:rsid w:val="00FA046A"/>
    <w:rsid w:val="00FB49BF"/>
    <w:rsid w:val="00FE2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0484"/>
  <w15:chartTrackingRefBased/>
  <w15:docId w15:val="{0DA74BD0-13FF-4870-8B57-C7341FD31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208"/>
    <w:rPr>
      <w:color w:val="0000FF"/>
      <w:u w:val="single"/>
    </w:rPr>
  </w:style>
  <w:style w:type="character" w:styleId="Emphasis">
    <w:name w:val="Emphasis"/>
    <w:basedOn w:val="DefaultParagraphFont"/>
    <w:uiPriority w:val="20"/>
    <w:qFormat/>
    <w:rsid w:val="00323AEB"/>
    <w:rPr>
      <w:i/>
      <w:iCs/>
    </w:rPr>
  </w:style>
  <w:style w:type="paragraph" w:styleId="Header">
    <w:name w:val="header"/>
    <w:basedOn w:val="Normal"/>
    <w:link w:val="HeaderChar"/>
    <w:uiPriority w:val="99"/>
    <w:unhideWhenUsed/>
    <w:rsid w:val="00F53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164"/>
  </w:style>
  <w:style w:type="paragraph" w:styleId="Footer">
    <w:name w:val="footer"/>
    <w:basedOn w:val="Normal"/>
    <w:link w:val="FooterChar"/>
    <w:uiPriority w:val="99"/>
    <w:unhideWhenUsed/>
    <w:rsid w:val="00F53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976</Words>
  <Characters>5567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Rawlinson</dc:creator>
  <cp:keywords/>
  <dc:description/>
  <cp:lastModifiedBy>Imogen Rawlinson</cp:lastModifiedBy>
  <cp:revision>148</cp:revision>
  <dcterms:created xsi:type="dcterms:W3CDTF">2019-09-22T13:30:00Z</dcterms:created>
  <dcterms:modified xsi:type="dcterms:W3CDTF">2019-09-25T19:12:00Z</dcterms:modified>
</cp:coreProperties>
</file>