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F814DD" w14:textId="77777777" w:rsidR="00A93D20" w:rsidRDefault="00A93D20" w:rsidP="00D15211">
      <w:pPr>
        <w:spacing w:line="360" w:lineRule="auto"/>
        <w:rPr>
          <w:rFonts w:ascii="Arial" w:hAnsi="Arial" w:cs="Arial"/>
          <w:sz w:val="22"/>
          <w:szCs w:val="22"/>
        </w:rPr>
      </w:pPr>
    </w:p>
    <w:p w14:paraId="17BBA251" w14:textId="77777777" w:rsidR="00A93D20" w:rsidRDefault="00A93D20" w:rsidP="00D15211">
      <w:pPr>
        <w:spacing w:line="360" w:lineRule="auto"/>
        <w:rPr>
          <w:rFonts w:ascii="Arial" w:hAnsi="Arial" w:cs="Arial"/>
          <w:sz w:val="22"/>
          <w:szCs w:val="22"/>
        </w:rPr>
      </w:pPr>
    </w:p>
    <w:p w14:paraId="2AF9532D" w14:textId="77777777" w:rsidR="00A93D20" w:rsidRDefault="00A93D20" w:rsidP="00D15211">
      <w:pPr>
        <w:spacing w:line="360" w:lineRule="auto"/>
        <w:rPr>
          <w:rFonts w:ascii="Arial" w:hAnsi="Arial" w:cs="Arial"/>
          <w:sz w:val="22"/>
          <w:szCs w:val="22"/>
        </w:rPr>
      </w:pPr>
    </w:p>
    <w:p w14:paraId="364628A9" w14:textId="144EB819" w:rsidR="00D15211" w:rsidRPr="00D15211" w:rsidRDefault="00D15211" w:rsidP="00D15211">
      <w:pPr>
        <w:spacing w:line="360" w:lineRule="auto"/>
        <w:rPr>
          <w:rFonts w:ascii="Arial" w:hAnsi="Arial" w:cs="Arial"/>
          <w:sz w:val="22"/>
          <w:szCs w:val="22"/>
        </w:rPr>
      </w:pPr>
      <w:r w:rsidRPr="00D15211">
        <w:rPr>
          <w:rFonts w:ascii="Arial" w:hAnsi="Arial" w:cs="Arial"/>
          <w:sz w:val="22"/>
          <w:szCs w:val="22"/>
        </w:rPr>
        <w:drawing>
          <wp:inline distT="0" distB="0" distL="0" distR="0" wp14:anchorId="0C51B980" wp14:editId="6C12DFCF">
            <wp:extent cx="5731510" cy="2865755"/>
            <wp:effectExtent l="0" t="0" r="2540" b="0"/>
            <wp:docPr id="1181877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2F3FB31F" w14:textId="77777777" w:rsidR="00816841" w:rsidRDefault="00816841" w:rsidP="00D15211">
      <w:pPr>
        <w:spacing w:line="360" w:lineRule="auto"/>
        <w:rPr>
          <w:rFonts w:ascii="Arial" w:hAnsi="Arial" w:cs="Arial"/>
          <w:sz w:val="22"/>
          <w:szCs w:val="22"/>
        </w:rPr>
      </w:pPr>
    </w:p>
    <w:p w14:paraId="1D0EF4A9" w14:textId="77777777" w:rsidR="005629A2" w:rsidRPr="005629A2" w:rsidRDefault="005629A2" w:rsidP="005629A2">
      <w:pPr>
        <w:spacing w:line="360" w:lineRule="auto"/>
        <w:rPr>
          <w:rFonts w:ascii="Arial" w:hAnsi="Arial" w:cs="Arial"/>
          <w:b/>
          <w:bCs/>
          <w:sz w:val="22"/>
          <w:szCs w:val="22"/>
        </w:rPr>
      </w:pPr>
      <w:r w:rsidRPr="005629A2">
        <w:rPr>
          <w:rFonts w:ascii="Arial" w:hAnsi="Arial" w:cs="Arial"/>
          <w:b/>
          <w:bCs/>
          <w:sz w:val="22"/>
          <w:szCs w:val="22"/>
        </w:rPr>
        <w:t>Contemporary Human Resource Challenges and Practices at Tesco plc</w:t>
      </w:r>
    </w:p>
    <w:p w14:paraId="186B18BA" w14:textId="77777777" w:rsidR="00D15211" w:rsidRDefault="00D15211" w:rsidP="00D15211">
      <w:pPr>
        <w:spacing w:line="360" w:lineRule="auto"/>
        <w:rPr>
          <w:rFonts w:ascii="Arial" w:hAnsi="Arial" w:cs="Arial"/>
          <w:sz w:val="22"/>
          <w:szCs w:val="22"/>
        </w:rPr>
      </w:pPr>
    </w:p>
    <w:p w14:paraId="6A49463C" w14:textId="26DB2012" w:rsidR="00D15211" w:rsidRPr="00D15211" w:rsidRDefault="00D15211" w:rsidP="00D15211">
      <w:pPr>
        <w:spacing w:line="360" w:lineRule="auto"/>
        <w:rPr>
          <w:rFonts w:ascii="Arial" w:hAnsi="Arial" w:cs="Arial"/>
          <w:b/>
          <w:bCs/>
          <w:sz w:val="22"/>
          <w:szCs w:val="22"/>
        </w:rPr>
      </w:pPr>
      <w:r w:rsidRPr="00D15211">
        <w:rPr>
          <w:rFonts w:ascii="Arial" w:hAnsi="Arial" w:cs="Arial"/>
          <w:b/>
          <w:bCs/>
          <w:sz w:val="22"/>
          <w:szCs w:val="22"/>
        </w:rPr>
        <w:t>Student Name: M</w:t>
      </w:r>
      <w:r>
        <w:rPr>
          <w:rFonts w:ascii="Arial" w:hAnsi="Arial" w:cs="Arial"/>
          <w:b/>
          <w:bCs/>
          <w:sz w:val="22"/>
          <w:szCs w:val="22"/>
        </w:rPr>
        <w:t>ihai</w:t>
      </w:r>
      <w:r w:rsidRPr="00D15211">
        <w:rPr>
          <w:rFonts w:ascii="Arial" w:hAnsi="Arial" w:cs="Arial"/>
          <w:b/>
          <w:bCs/>
          <w:sz w:val="22"/>
          <w:szCs w:val="22"/>
        </w:rPr>
        <w:t xml:space="preserve"> H</w:t>
      </w:r>
      <w:r>
        <w:rPr>
          <w:rFonts w:ascii="Arial" w:hAnsi="Arial" w:cs="Arial"/>
          <w:b/>
          <w:bCs/>
          <w:sz w:val="22"/>
          <w:szCs w:val="22"/>
        </w:rPr>
        <w:t>oria</w:t>
      </w:r>
      <w:r w:rsidRPr="00D15211">
        <w:rPr>
          <w:rFonts w:ascii="Arial" w:hAnsi="Arial" w:cs="Arial"/>
          <w:b/>
          <w:bCs/>
          <w:sz w:val="22"/>
          <w:szCs w:val="22"/>
        </w:rPr>
        <w:t xml:space="preserve"> Z</w:t>
      </w:r>
      <w:r>
        <w:rPr>
          <w:rFonts w:ascii="Arial" w:hAnsi="Arial" w:cs="Arial"/>
          <w:b/>
          <w:bCs/>
          <w:sz w:val="22"/>
          <w:szCs w:val="22"/>
        </w:rPr>
        <w:t>bircea</w:t>
      </w:r>
    </w:p>
    <w:p w14:paraId="18185D2B" w14:textId="77777777" w:rsidR="00D15211" w:rsidRPr="00D15211" w:rsidRDefault="00D15211" w:rsidP="00D15211">
      <w:pPr>
        <w:spacing w:line="360" w:lineRule="auto"/>
        <w:rPr>
          <w:rFonts w:ascii="Arial" w:hAnsi="Arial" w:cs="Arial"/>
          <w:b/>
          <w:bCs/>
          <w:sz w:val="22"/>
          <w:szCs w:val="22"/>
        </w:rPr>
      </w:pPr>
      <w:r w:rsidRPr="00D15211">
        <w:rPr>
          <w:rFonts w:ascii="Arial" w:hAnsi="Arial" w:cs="Arial"/>
          <w:b/>
          <w:bCs/>
          <w:sz w:val="22"/>
          <w:szCs w:val="22"/>
        </w:rPr>
        <w:t>Student Number: 2435086 </w:t>
      </w:r>
    </w:p>
    <w:p w14:paraId="4BCF5CE5" w14:textId="77777777" w:rsidR="00D15211" w:rsidRDefault="00D15211" w:rsidP="00D15211">
      <w:pPr>
        <w:spacing w:line="360" w:lineRule="auto"/>
        <w:rPr>
          <w:rFonts w:ascii="Arial" w:hAnsi="Arial" w:cs="Arial"/>
          <w:b/>
          <w:bCs/>
          <w:sz w:val="22"/>
          <w:szCs w:val="22"/>
        </w:rPr>
      </w:pPr>
      <w:r w:rsidRPr="00D15211">
        <w:rPr>
          <w:rFonts w:ascii="Arial" w:hAnsi="Arial" w:cs="Arial"/>
          <w:b/>
          <w:bCs/>
          <w:sz w:val="22"/>
          <w:szCs w:val="22"/>
        </w:rPr>
        <w:t>Module Name: Developing and Managing Individuals and Teams (LCLM5002_BIRM)</w:t>
      </w:r>
    </w:p>
    <w:p w14:paraId="3C78A3E8" w14:textId="77777777" w:rsidR="00D15211" w:rsidRPr="00D15211" w:rsidRDefault="00D15211" w:rsidP="00D15211">
      <w:pPr>
        <w:spacing w:line="360" w:lineRule="auto"/>
        <w:rPr>
          <w:rFonts w:ascii="Arial" w:hAnsi="Arial" w:cs="Arial"/>
          <w:b/>
          <w:bCs/>
          <w:sz w:val="22"/>
          <w:szCs w:val="22"/>
        </w:rPr>
      </w:pPr>
      <w:r w:rsidRPr="00D15211">
        <w:rPr>
          <w:rFonts w:ascii="Arial" w:hAnsi="Arial" w:cs="Arial"/>
          <w:b/>
          <w:bCs/>
          <w:sz w:val="22"/>
          <w:szCs w:val="22"/>
        </w:rPr>
        <w:t>Lecturer Name: Dr Samson Oladejo </w:t>
      </w:r>
    </w:p>
    <w:p w14:paraId="7B34E2D4" w14:textId="77777777" w:rsidR="00D15211" w:rsidRPr="00D15211" w:rsidRDefault="00D15211" w:rsidP="00D15211">
      <w:pPr>
        <w:spacing w:line="360" w:lineRule="auto"/>
        <w:rPr>
          <w:rFonts w:ascii="Arial" w:hAnsi="Arial" w:cs="Arial"/>
          <w:b/>
          <w:bCs/>
          <w:sz w:val="22"/>
          <w:szCs w:val="22"/>
        </w:rPr>
      </w:pPr>
      <w:r w:rsidRPr="00D15211">
        <w:rPr>
          <w:rFonts w:ascii="Arial" w:hAnsi="Arial" w:cs="Arial"/>
          <w:b/>
          <w:bCs/>
          <w:sz w:val="22"/>
          <w:szCs w:val="22"/>
        </w:rPr>
        <w:t> </w:t>
      </w:r>
    </w:p>
    <w:p w14:paraId="12477287" w14:textId="36EEE045" w:rsidR="00D15211" w:rsidRPr="00D15211" w:rsidRDefault="00D15211" w:rsidP="00D15211">
      <w:pPr>
        <w:spacing w:line="360" w:lineRule="auto"/>
        <w:rPr>
          <w:rFonts w:ascii="Arial" w:hAnsi="Arial" w:cs="Arial"/>
          <w:b/>
          <w:bCs/>
          <w:sz w:val="22"/>
          <w:szCs w:val="22"/>
        </w:rPr>
      </w:pPr>
    </w:p>
    <w:p w14:paraId="2409F5EC" w14:textId="12706FB7" w:rsidR="00A93D20" w:rsidRDefault="00A93D20" w:rsidP="00D15211">
      <w:pPr>
        <w:spacing w:line="360" w:lineRule="auto"/>
        <w:rPr>
          <w:rFonts w:ascii="Arial" w:hAnsi="Arial" w:cs="Arial"/>
          <w:sz w:val="22"/>
          <w:szCs w:val="22"/>
        </w:rPr>
      </w:pPr>
    </w:p>
    <w:p w14:paraId="7E7A75E0" w14:textId="77777777" w:rsidR="00A93D20" w:rsidRDefault="00A93D20">
      <w:pPr>
        <w:rPr>
          <w:rFonts w:ascii="Arial" w:hAnsi="Arial" w:cs="Arial"/>
          <w:sz w:val="22"/>
          <w:szCs w:val="22"/>
        </w:rPr>
      </w:pPr>
      <w:r>
        <w:rPr>
          <w:rFonts w:ascii="Arial" w:hAnsi="Arial" w:cs="Arial"/>
          <w:sz w:val="22"/>
          <w:szCs w:val="22"/>
        </w:rPr>
        <w:br w:type="page"/>
      </w:r>
    </w:p>
    <w:p w14:paraId="14EE3B95" w14:textId="3C6D7971" w:rsidR="00A93D20" w:rsidRPr="0041297C" w:rsidRDefault="0041297C" w:rsidP="00D15211">
      <w:pPr>
        <w:spacing w:line="360" w:lineRule="auto"/>
        <w:rPr>
          <w:rFonts w:ascii="Arial" w:hAnsi="Arial" w:cs="Arial"/>
          <w:b/>
          <w:bCs/>
          <w:sz w:val="28"/>
          <w:szCs w:val="28"/>
        </w:rPr>
      </w:pPr>
      <w:r w:rsidRPr="0041297C">
        <w:rPr>
          <w:rFonts w:ascii="Arial" w:hAnsi="Arial" w:cs="Arial"/>
          <w:b/>
          <w:bCs/>
          <w:sz w:val="28"/>
          <w:szCs w:val="28"/>
        </w:rPr>
        <w:lastRenderedPageBreak/>
        <w:t>Table of Contents</w:t>
      </w:r>
    </w:p>
    <w:p w14:paraId="737D9B5F" w14:textId="77777777" w:rsidR="005629A2" w:rsidRDefault="005629A2" w:rsidP="0041297C">
      <w:pPr>
        <w:spacing w:line="360" w:lineRule="auto"/>
        <w:rPr>
          <w:rFonts w:ascii="Arial" w:hAnsi="Arial" w:cs="Arial"/>
          <w:b/>
          <w:bCs/>
        </w:rPr>
      </w:pPr>
    </w:p>
    <w:p w14:paraId="34892555" w14:textId="1BB114F4" w:rsidR="0041297C" w:rsidRPr="005629A2" w:rsidRDefault="0041297C" w:rsidP="0041297C">
      <w:pPr>
        <w:spacing w:line="360" w:lineRule="auto"/>
        <w:rPr>
          <w:rFonts w:ascii="Arial" w:hAnsi="Arial" w:cs="Arial"/>
        </w:rPr>
      </w:pPr>
      <w:r w:rsidRPr="005629A2">
        <w:rPr>
          <w:rFonts w:ascii="Arial" w:hAnsi="Arial" w:cs="Arial"/>
          <w:b/>
          <w:bCs/>
        </w:rPr>
        <w:t>Introduction</w:t>
      </w:r>
    </w:p>
    <w:p w14:paraId="50264402" w14:textId="21BDF52E" w:rsidR="0041297C" w:rsidRPr="005629A2" w:rsidRDefault="0041297C" w:rsidP="0041297C">
      <w:pPr>
        <w:spacing w:line="360" w:lineRule="auto"/>
        <w:rPr>
          <w:rFonts w:ascii="Arial" w:hAnsi="Arial" w:cs="Arial"/>
          <w:b/>
          <w:bCs/>
        </w:rPr>
      </w:pPr>
      <w:r w:rsidRPr="005629A2">
        <w:rPr>
          <w:rFonts w:ascii="Arial" w:hAnsi="Arial" w:cs="Arial"/>
          <w:b/>
          <w:bCs/>
        </w:rPr>
        <w:t>Explanation of Key Factors</w:t>
      </w:r>
    </w:p>
    <w:p w14:paraId="78D4744A" w14:textId="77777777" w:rsidR="005629A2" w:rsidRPr="005629A2" w:rsidRDefault="0041297C" w:rsidP="005629A2">
      <w:pPr>
        <w:pStyle w:val="ListParagraph"/>
        <w:numPr>
          <w:ilvl w:val="0"/>
          <w:numId w:val="2"/>
        </w:numPr>
        <w:spacing w:line="360" w:lineRule="auto"/>
        <w:rPr>
          <w:rFonts w:ascii="Arial" w:hAnsi="Arial" w:cs="Arial"/>
          <w:b/>
          <w:bCs/>
          <w:sz w:val="22"/>
          <w:szCs w:val="22"/>
        </w:rPr>
      </w:pPr>
      <w:r w:rsidRPr="005629A2">
        <w:rPr>
          <w:rFonts w:ascii="Arial" w:hAnsi="Arial" w:cs="Arial"/>
          <w:b/>
          <w:bCs/>
          <w:sz w:val="22"/>
          <w:szCs w:val="22"/>
        </w:rPr>
        <w:t>Adapting to Technological Advancements</w:t>
      </w:r>
    </w:p>
    <w:p w14:paraId="0CB20649" w14:textId="137489BB" w:rsidR="0041297C" w:rsidRPr="005629A2" w:rsidRDefault="0041297C" w:rsidP="005629A2">
      <w:pPr>
        <w:pStyle w:val="ListParagraph"/>
        <w:numPr>
          <w:ilvl w:val="0"/>
          <w:numId w:val="2"/>
        </w:numPr>
        <w:spacing w:line="360" w:lineRule="auto"/>
        <w:rPr>
          <w:rFonts w:ascii="Arial" w:hAnsi="Arial" w:cs="Arial"/>
          <w:b/>
          <w:bCs/>
          <w:sz w:val="22"/>
          <w:szCs w:val="22"/>
        </w:rPr>
      </w:pPr>
      <w:r w:rsidRPr="005629A2">
        <w:rPr>
          <w:rFonts w:ascii="Arial" w:hAnsi="Arial" w:cs="Arial"/>
          <w:b/>
          <w:bCs/>
          <w:sz w:val="22"/>
          <w:szCs w:val="22"/>
        </w:rPr>
        <w:t>Talent Acquisition and Retention</w:t>
      </w:r>
    </w:p>
    <w:p w14:paraId="4DE40922" w14:textId="77777777" w:rsidR="0041297C" w:rsidRPr="005629A2" w:rsidRDefault="0041297C" w:rsidP="005629A2">
      <w:pPr>
        <w:pStyle w:val="ListParagraph"/>
        <w:numPr>
          <w:ilvl w:val="0"/>
          <w:numId w:val="2"/>
        </w:numPr>
        <w:spacing w:line="360" w:lineRule="auto"/>
        <w:rPr>
          <w:rFonts w:ascii="Arial" w:hAnsi="Arial" w:cs="Arial"/>
          <w:b/>
          <w:bCs/>
          <w:sz w:val="22"/>
          <w:szCs w:val="22"/>
        </w:rPr>
      </w:pPr>
      <w:r w:rsidRPr="005629A2">
        <w:rPr>
          <w:rFonts w:ascii="Arial" w:hAnsi="Arial" w:cs="Arial"/>
          <w:b/>
          <w:bCs/>
          <w:sz w:val="22"/>
          <w:szCs w:val="22"/>
        </w:rPr>
        <w:t>Diversity, Equity and Inclusion (DEI)</w:t>
      </w:r>
    </w:p>
    <w:p w14:paraId="4C347B26" w14:textId="77777777" w:rsidR="005629A2" w:rsidRPr="005629A2" w:rsidRDefault="005629A2" w:rsidP="005629A2">
      <w:pPr>
        <w:spacing w:line="360" w:lineRule="auto"/>
        <w:rPr>
          <w:rFonts w:ascii="Arial" w:hAnsi="Arial" w:cs="Arial"/>
          <w:b/>
          <w:bCs/>
        </w:rPr>
      </w:pPr>
      <w:r w:rsidRPr="005629A2">
        <w:rPr>
          <w:rFonts w:ascii="Arial" w:hAnsi="Arial" w:cs="Arial"/>
          <w:b/>
          <w:bCs/>
        </w:rPr>
        <w:t>Evaluation of Contemporary HR Practices</w:t>
      </w:r>
    </w:p>
    <w:p w14:paraId="30A7200C" w14:textId="77777777" w:rsidR="005629A2" w:rsidRPr="005629A2" w:rsidRDefault="005629A2" w:rsidP="005629A2">
      <w:pPr>
        <w:pStyle w:val="ListParagraph"/>
        <w:numPr>
          <w:ilvl w:val="0"/>
          <w:numId w:val="1"/>
        </w:numPr>
        <w:spacing w:line="360" w:lineRule="auto"/>
        <w:rPr>
          <w:rFonts w:ascii="Arial" w:hAnsi="Arial" w:cs="Arial"/>
          <w:b/>
          <w:bCs/>
          <w:sz w:val="22"/>
          <w:szCs w:val="22"/>
        </w:rPr>
      </w:pPr>
      <w:r w:rsidRPr="005629A2">
        <w:rPr>
          <w:rFonts w:ascii="Arial" w:hAnsi="Arial" w:cs="Arial"/>
          <w:b/>
          <w:bCs/>
          <w:sz w:val="22"/>
          <w:szCs w:val="22"/>
        </w:rPr>
        <w:t>Digital HR Systems and Workforce Analytics</w:t>
      </w:r>
    </w:p>
    <w:p w14:paraId="01EF6DE9" w14:textId="77777777" w:rsidR="005629A2" w:rsidRPr="005629A2" w:rsidRDefault="005629A2" w:rsidP="005629A2">
      <w:pPr>
        <w:pStyle w:val="ListParagraph"/>
        <w:numPr>
          <w:ilvl w:val="0"/>
          <w:numId w:val="1"/>
        </w:numPr>
        <w:spacing w:line="360" w:lineRule="auto"/>
        <w:rPr>
          <w:rFonts w:ascii="Arial" w:hAnsi="Arial" w:cs="Arial"/>
          <w:b/>
          <w:bCs/>
          <w:sz w:val="22"/>
          <w:szCs w:val="22"/>
        </w:rPr>
      </w:pPr>
      <w:r w:rsidRPr="005629A2">
        <w:rPr>
          <w:rFonts w:ascii="Arial" w:hAnsi="Arial" w:cs="Arial"/>
          <w:b/>
          <w:bCs/>
          <w:sz w:val="22"/>
          <w:szCs w:val="22"/>
        </w:rPr>
        <w:t>Employer Branding and Strategic Talent Management</w:t>
      </w:r>
    </w:p>
    <w:p w14:paraId="259A7FAC" w14:textId="77777777" w:rsidR="005629A2" w:rsidRPr="005629A2" w:rsidRDefault="005629A2" w:rsidP="005629A2">
      <w:pPr>
        <w:pStyle w:val="ListParagraph"/>
        <w:numPr>
          <w:ilvl w:val="0"/>
          <w:numId w:val="1"/>
        </w:numPr>
        <w:spacing w:line="360" w:lineRule="auto"/>
        <w:rPr>
          <w:rFonts w:ascii="Arial" w:hAnsi="Arial" w:cs="Arial"/>
          <w:b/>
          <w:bCs/>
          <w:sz w:val="22"/>
          <w:szCs w:val="22"/>
        </w:rPr>
      </w:pPr>
      <w:r w:rsidRPr="005629A2">
        <w:rPr>
          <w:rFonts w:ascii="Arial" w:hAnsi="Arial" w:cs="Arial"/>
          <w:b/>
          <w:bCs/>
          <w:sz w:val="22"/>
          <w:szCs w:val="22"/>
        </w:rPr>
        <w:t>Inclusive Recruitment and Diversity, Equity and Inclusion (DEI) Initiatives</w:t>
      </w:r>
    </w:p>
    <w:p w14:paraId="20E42354" w14:textId="77777777" w:rsidR="005629A2" w:rsidRPr="005629A2" w:rsidRDefault="005629A2" w:rsidP="005629A2">
      <w:pPr>
        <w:spacing w:line="360" w:lineRule="auto"/>
        <w:rPr>
          <w:rFonts w:ascii="Arial" w:hAnsi="Arial" w:cs="Arial"/>
          <w:b/>
          <w:bCs/>
        </w:rPr>
      </w:pPr>
      <w:r w:rsidRPr="005629A2">
        <w:rPr>
          <w:rFonts w:ascii="Arial" w:hAnsi="Arial" w:cs="Arial"/>
          <w:b/>
          <w:bCs/>
        </w:rPr>
        <w:t>Critical Evaluation of Managerial Implementation</w:t>
      </w:r>
    </w:p>
    <w:p w14:paraId="27549DE6" w14:textId="77777777" w:rsidR="005629A2" w:rsidRPr="005629A2" w:rsidRDefault="005629A2" w:rsidP="005629A2">
      <w:pPr>
        <w:spacing w:line="360" w:lineRule="auto"/>
        <w:rPr>
          <w:rFonts w:ascii="Arial" w:hAnsi="Arial" w:cs="Arial"/>
          <w:b/>
          <w:bCs/>
        </w:rPr>
      </w:pPr>
      <w:r w:rsidRPr="005629A2">
        <w:rPr>
          <w:rFonts w:ascii="Arial" w:hAnsi="Arial" w:cs="Arial"/>
          <w:b/>
          <w:bCs/>
        </w:rPr>
        <w:t>Conclusion</w:t>
      </w:r>
    </w:p>
    <w:p w14:paraId="42292B0B" w14:textId="77777777" w:rsidR="005629A2" w:rsidRPr="005629A2" w:rsidRDefault="005629A2" w:rsidP="005629A2">
      <w:pPr>
        <w:spacing w:line="360" w:lineRule="auto"/>
        <w:rPr>
          <w:rFonts w:ascii="Arial" w:hAnsi="Arial" w:cs="Arial"/>
          <w:b/>
          <w:bCs/>
        </w:rPr>
      </w:pPr>
      <w:r w:rsidRPr="005629A2">
        <w:rPr>
          <w:rFonts w:ascii="Arial" w:hAnsi="Arial" w:cs="Arial"/>
          <w:b/>
          <w:bCs/>
        </w:rPr>
        <w:t>Recommendations</w:t>
      </w:r>
    </w:p>
    <w:p w14:paraId="17C8E0AC" w14:textId="77777777" w:rsidR="005629A2" w:rsidRPr="005629A2" w:rsidRDefault="005629A2" w:rsidP="005629A2">
      <w:pPr>
        <w:spacing w:line="360" w:lineRule="auto"/>
        <w:rPr>
          <w:rFonts w:ascii="Arial" w:hAnsi="Arial" w:cs="Arial"/>
          <w:b/>
          <w:bCs/>
        </w:rPr>
      </w:pPr>
      <w:r w:rsidRPr="005629A2">
        <w:rPr>
          <w:rFonts w:ascii="Arial" w:hAnsi="Arial" w:cs="Arial"/>
          <w:b/>
          <w:bCs/>
        </w:rPr>
        <w:t>Reference List</w:t>
      </w:r>
    </w:p>
    <w:p w14:paraId="3083E99C" w14:textId="77777777" w:rsidR="0041297C" w:rsidRPr="0041297C" w:rsidRDefault="0041297C" w:rsidP="0041297C">
      <w:pPr>
        <w:spacing w:line="360" w:lineRule="auto"/>
        <w:rPr>
          <w:rFonts w:ascii="Arial" w:hAnsi="Arial" w:cs="Arial"/>
          <w:b/>
          <w:bCs/>
        </w:rPr>
      </w:pPr>
    </w:p>
    <w:p w14:paraId="7B19F730" w14:textId="77777777" w:rsidR="0041297C" w:rsidRDefault="0041297C" w:rsidP="00D15211">
      <w:pPr>
        <w:spacing w:line="360" w:lineRule="auto"/>
        <w:rPr>
          <w:rFonts w:ascii="Arial" w:hAnsi="Arial" w:cs="Arial"/>
          <w:b/>
          <w:bCs/>
          <w:sz w:val="26"/>
          <w:szCs w:val="26"/>
        </w:rPr>
      </w:pPr>
    </w:p>
    <w:p w14:paraId="293D501D" w14:textId="77777777" w:rsidR="0041297C" w:rsidRDefault="0041297C" w:rsidP="00D15211">
      <w:pPr>
        <w:spacing w:line="360" w:lineRule="auto"/>
        <w:rPr>
          <w:rFonts w:ascii="Arial" w:hAnsi="Arial" w:cs="Arial"/>
          <w:b/>
          <w:bCs/>
          <w:sz w:val="26"/>
          <w:szCs w:val="26"/>
        </w:rPr>
      </w:pPr>
    </w:p>
    <w:p w14:paraId="091B0863" w14:textId="77777777" w:rsidR="0041297C" w:rsidRDefault="0041297C" w:rsidP="00D15211">
      <w:pPr>
        <w:spacing w:line="360" w:lineRule="auto"/>
        <w:rPr>
          <w:rFonts w:ascii="Arial" w:hAnsi="Arial" w:cs="Arial"/>
          <w:b/>
          <w:bCs/>
          <w:sz w:val="26"/>
          <w:szCs w:val="26"/>
        </w:rPr>
      </w:pPr>
    </w:p>
    <w:p w14:paraId="1B59C776" w14:textId="77777777" w:rsidR="0041297C" w:rsidRDefault="0041297C" w:rsidP="00D15211">
      <w:pPr>
        <w:spacing w:line="360" w:lineRule="auto"/>
        <w:rPr>
          <w:rFonts w:ascii="Arial" w:hAnsi="Arial" w:cs="Arial"/>
          <w:b/>
          <w:bCs/>
          <w:sz w:val="26"/>
          <w:szCs w:val="26"/>
        </w:rPr>
      </w:pPr>
    </w:p>
    <w:p w14:paraId="34344254" w14:textId="77777777" w:rsidR="0041297C" w:rsidRDefault="0041297C" w:rsidP="00D15211">
      <w:pPr>
        <w:spacing w:line="360" w:lineRule="auto"/>
        <w:rPr>
          <w:rFonts w:ascii="Arial" w:hAnsi="Arial" w:cs="Arial"/>
          <w:b/>
          <w:bCs/>
          <w:sz w:val="26"/>
          <w:szCs w:val="26"/>
        </w:rPr>
      </w:pPr>
    </w:p>
    <w:p w14:paraId="77426218" w14:textId="77777777" w:rsidR="0041297C" w:rsidRDefault="0041297C" w:rsidP="00D15211">
      <w:pPr>
        <w:spacing w:line="360" w:lineRule="auto"/>
        <w:rPr>
          <w:rFonts w:ascii="Arial" w:hAnsi="Arial" w:cs="Arial"/>
          <w:b/>
          <w:bCs/>
          <w:sz w:val="26"/>
          <w:szCs w:val="26"/>
        </w:rPr>
      </w:pPr>
    </w:p>
    <w:p w14:paraId="28C20AC2" w14:textId="77777777" w:rsidR="0041297C" w:rsidRDefault="0041297C" w:rsidP="00D15211">
      <w:pPr>
        <w:spacing w:line="360" w:lineRule="auto"/>
        <w:rPr>
          <w:rFonts w:ascii="Arial" w:hAnsi="Arial" w:cs="Arial"/>
          <w:b/>
          <w:bCs/>
          <w:sz w:val="26"/>
          <w:szCs w:val="26"/>
        </w:rPr>
      </w:pPr>
    </w:p>
    <w:p w14:paraId="6803C305" w14:textId="77777777" w:rsidR="0041297C" w:rsidRDefault="0041297C" w:rsidP="00D15211">
      <w:pPr>
        <w:spacing w:line="360" w:lineRule="auto"/>
        <w:rPr>
          <w:rFonts w:ascii="Arial" w:hAnsi="Arial" w:cs="Arial"/>
          <w:b/>
          <w:bCs/>
          <w:sz w:val="26"/>
          <w:szCs w:val="26"/>
        </w:rPr>
      </w:pPr>
    </w:p>
    <w:p w14:paraId="67AB55AB" w14:textId="77777777" w:rsidR="0041297C" w:rsidRDefault="0041297C" w:rsidP="00D15211">
      <w:pPr>
        <w:spacing w:line="360" w:lineRule="auto"/>
        <w:rPr>
          <w:rFonts w:ascii="Arial" w:hAnsi="Arial" w:cs="Arial"/>
          <w:b/>
          <w:bCs/>
          <w:sz w:val="26"/>
          <w:szCs w:val="26"/>
        </w:rPr>
      </w:pPr>
    </w:p>
    <w:p w14:paraId="655CD20C" w14:textId="735D91B2" w:rsidR="00D15211" w:rsidRDefault="00A93D20" w:rsidP="00D15211">
      <w:pPr>
        <w:spacing w:line="360" w:lineRule="auto"/>
        <w:rPr>
          <w:rFonts w:ascii="Arial" w:hAnsi="Arial" w:cs="Arial"/>
          <w:b/>
          <w:bCs/>
          <w:sz w:val="26"/>
          <w:szCs w:val="26"/>
        </w:rPr>
      </w:pPr>
      <w:r w:rsidRPr="00A93D20">
        <w:rPr>
          <w:rFonts w:ascii="Arial" w:hAnsi="Arial" w:cs="Arial"/>
          <w:b/>
          <w:bCs/>
          <w:sz w:val="26"/>
          <w:szCs w:val="26"/>
        </w:rPr>
        <w:lastRenderedPageBreak/>
        <w:t>Contemporary Human Resource Challenges and Practices at Tesco plc</w:t>
      </w:r>
    </w:p>
    <w:p w14:paraId="0387E60E" w14:textId="77777777" w:rsidR="00A93D20" w:rsidRDefault="00A93D20" w:rsidP="00D15211">
      <w:pPr>
        <w:spacing w:line="360" w:lineRule="auto"/>
        <w:rPr>
          <w:rFonts w:ascii="Arial" w:hAnsi="Arial" w:cs="Arial"/>
          <w:b/>
          <w:bCs/>
          <w:sz w:val="22"/>
          <w:szCs w:val="22"/>
        </w:rPr>
      </w:pPr>
    </w:p>
    <w:p w14:paraId="3FF63D15" w14:textId="4C2589EB" w:rsidR="00A93D20" w:rsidRPr="00A93D20" w:rsidRDefault="00A93D20" w:rsidP="00A93D20">
      <w:pPr>
        <w:spacing w:line="360" w:lineRule="auto"/>
        <w:rPr>
          <w:rFonts w:ascii="Arial" w:hAnsi="Arial" w:cs="Arial"/>
          <w:b/>
          <w:bCs/>
        </w:rPr>
      </w:pPr>
      <w:r w:rsidRPr="00A93D20">
        <w:rPr>
          <w:rFonts w:ascii="Arial" w:hAnsi="Arial" w:cs="Arial"/>
          <w:b/>
          <w:bCs/>
        </w:rPr>
        <w:t>Introduction</w:t>
      </w:r>
    </w:p>
    <w:p w14:paraId="4A296CDF" w14:textId="77777777" w:rsidR="005F3231" w:rsidRDefault="005F3231" w:rsidP="00A93D20">
      <w:pPr>
        <w:spacing w:line="360" w:lineRule="auto"/>
        <w:rPr>
          <w:rFonts w:ascii="Arial" w:hAnsi="Arial" w:cs="Arial"/>
          <w:sz w:val="22"/>
          <w:szCs w:val="22"/>
        </w:rPr>
      </w:pPr>
    </w:p>
    <w:p w14:paraId="649236DA" w14:textId="0C58EA83" w:rsidR="00A93D20" w:rsidRPr="00A93D20" w:rsidRDefault="00A93D20" w:rsidP="00A93D20">
      <w:pPr>
        <w:spacing w:line="360" w:lineRule="auto"/>
        <w:rPr>
          <w:rFonts w:ascii="Arial" w:hAnsi="Arial" w:cs="Arial"/>
          <w:sz w:val="22"/>
          <w:szCs w:val="22"/>
        </w:rPr>
      </w:pPr>
      <w:r w:rsidRPr="00A93D20">
        <w:rPr>
          <w:rFonts w:ascii="Arial" w:hAnsi="Arial" w:cs="Arial"/>
          <w:sz w:val="22"/>
          <w:szCs w:val="22"/>
        </w:rPr>
        <w:t>Human resource management has become increasingly important as organisations respond to rapid technological developments, changing labour market conditions, and growing expectations regarding diversity, equity, and inclusion (DEI). Effective HR strategies contribute significantly to organisational performance by attracting skilled employees, improving workforce engagement, and supporting long-term business sustainability. Tesco plc, one of the UK's largest retail organisations, operates in a highly competitive environment where innovation and people management are essential to maintaining market leadership. This report examines three contemporary HR challenges facing Tesco: technological advancement, talent acquisition and retention, and diversity, equity, and inclusion. It evaluates current HR practices used to address these challenges and critically analyses how managers can ensure their successful implementation.</w:t>
      </w:r>
    </w:p>
    <w:p w14:paraId="0905090E" w14:textId="77777777" w:rsidR="00A93D20" w:rsidRDefault="00A93D20" w:rsidP="00D15211">
      <w:pPr>
        <w:spacing w:line="360" w:lineRule="auto"/>
        <w:rPr>
          <w:rFonts w:ascii="Arial" w:hAnsi="Arial" w:cs="Arial"/>
        </w:rPr>
      </w:pPr>
    </w:p>
    <w:p w14:paraId="48136C75" w14:textId="77777777" w:rsidR="005F3231" w:rsidRDefault="005F3231" w:rsidP="00D15211">
      <w:pPr>
        <w:spacing w:line="360" w:lineRule="auto"/>
        <w:rPr>
          <w:rFonts w:ascii="Arial" w:hAnsi="Arial" w:cs="Arial"/>
        </w:rPr>
      </w:pPr>
    </w:p>
    <w:p w14:paraId="7C3DAA06" w14:textId="77777777" w:rsidR="005F3231" w:rsidRDefault="005F3231" w:rsidP="00D15211">
      <w:pPr>
        <w:spacing w:line="360" w:lineRule="auto"/>
        <w:rPr>
          <w:rFonts w:ascii="Arial" w:hAnsi="Arial" w:cs="Arial"/>
        </w:rPr>
      </w:pPr>
    </w:p>
    <w:p w14:paraId="64B4D1E6" w14:textId="77777777" w:rsidR="005F3231" w:rsidRDefault="005F3231" w:rsidP="00D15211">
      <w:pPr>
        <w:spacing w:line="360" w:lineRule="auto"/>
        <w:rPr>
          <w:rFonts w:ascii="Arial" w:hAnsi="Arial" w:cs="Arial"/>
        </w:rPr>
      </w:pPr>
    </w:p>
    <w:p w14:paraId="0631D9D5" w14:textId="77777777" w:rsidR="005F3231" w:rsidRDefault="005F3231" w:rsidP="00D15211">
      <w:pPr>
        <w:spacing w:line="360" w:lineRule="auto"/>
        <w:rPr>
          <w:rFonts w:ascii="Arial" w:hAnsi="Arial" w:cs="Arial"/>
        </w:rPr>
      </w:pPr>
    </w:p>
    <w:p w14:paraId="2D65B0C1" w14:textId="77777777" w:rsidR="005F3231" w:rsidRDefault="005F3231" w:rsidP="00D15211">
      <w:pPr>
        <w:spacing w:line="360" w:lineRule="auto"/>
        <w:rPr>
          <w:rFonts w:ascii="Arial" w:hAnsi="Arial" w:cs="Arial"/>
        </w:rPr>
      </w:pPr>
    </w:p>
    <w:p w14:paraId="33634ED3" w14:textId="77777777" w:rsidR="005F3231" w:rsidRDefault="005F3231" w:rsidP="00D15211">
      <w:pPr>
        <w:spacing w:line="360" w:lineRule="auto"/>
        <w:rPr>
          <w:rFonts w:ascii="Arial" w:hAnsi="Arial" w:cs="Arial"/>
        </w:rPr>
      </w:pPr>
    </w:p>
    <w:p w14:paraId="6D0D8751" w14:textId="77777777" w:rsidR="005F3231" w:rsidRDefault="005F3231" w:rsidP="00D15211">
      <w:pPr>
        <w:spacing w:line="360" w:lineRule="auto"/>
        <w:rPr>
          <w:rFonts w:ascii="Arial" w:hAnsi="Arial" w:cs="Arial"/>
        </w:rPr>
      </w:pPr>
    </w:p>
    <w:p w14:paraId="02A05560" w14:textId="77777777" w:rsidR="005F3231" w:rsidRDefault="005F3231" w:rsidP="00D15211">
      <w:pPr>
        <w:spacing w:line="360" w:lineRule="auto"/>
        <w:rPr>
          <w:rFonts w:ascii="Arial" w:hAnsi="Arial" w:cs="Arial"/>
        </w:rPr>
      </w:pPr>
    </w:p>
    <w:p w14:paraId="54011C0C" w14:textId="77777777" w:rsidR="005F3231" w:rsidRDefault="005F3231" w:rsidP="00D15211">
      <w:pPr>
        <w:spacing w:line="360" w:lineRule="auto"/>
        <w:rPr>
          <w:rFonts w:ascii="Arial" w:hAnsi="Arial" w:cs="Arial"/>
        </w:rPr>
      </w:pPr>
    </w:p>
    <w:p w14:paraId="078D0D26" w14:textId="77777777" w:rsidR="005F3231" w:rsidRDefault="005F3231" w:rsidP="00D15211">
      <w:pPr>
        <w:spacing w:line="360" w:lineRule="auto"/>
        <w:rPr>
          <w:rFonts w:ascii="Arial" w:hAnsi="Arial" w:cs="Arial"/>
        </w:rPr>
      </w:pPr>
    </w:p>
    <w:p w14:paraId="3105C5DB" w14:textId="77777777" w:rsidR="005F3231" w:rsidRDefault="005F3231" w:rsidP="00D15211">
      <w:pPr>
        <w:spacing w:line="360" w:lineRule="auto"/>
        <w:rPr>
          <w:rFonts w:ascii="Arial" w:hAnsi="Arial" w:cs="Arial"/>
        </w:rPr>
      </w:pPr>
    </w:p>
    <w:p w14:paraId="70A92FFA" w14:textId="77777777" w:rsidR="005F3231" w:rsidRPr="00A93D20" w:rsidRDefault="005F3231" w:rsidP="00D15211">
      <w:pPr>
        <w:spacing w:line="360" w:lineRule="auto"/>
        <w:rPr>
          <w:rFonts w:ascii="Arial" w:hAnsi="Arial" w:cs="Arial"/>
        </w:rPr>
      </w:pPr>
    </w:p>
    <w:p w14:paraId="46A1BC57" w14:textId="07597B8F" w:rsidR="00A93D20" w:rsidRPr="00A93D20" w:rsidRDefault="00A93D20" w:rsidP="00A93D20">
      <w:pPr>
        <w:spacing w:line="360" w:lineRule="auto"/>
        <w:rPr>
          <w:rFonts w:ascii="Arial" w:hAnsi="Arial" w:cs="Arial"/>
          <w:b/>
          <w:bCs/>
        </w:rPr>
      </w:pPr>
      <w:r w:rsidRPr="00A93D20">
        <w:rPr>
          <w:rFonts w:ascii="Arial" w:hAnsi="Arial" w:cs="Arial"/>
          <w:b/>
          <w:bCs/>
        </w:rPr>
        <w:lastRenderedPageBreak/>
        <w:t>Explanation of Key Factors</w:t>
      </w:r>
    </w:p>
    <w:p w14:paraId="0B951C7A" w14:textId="77777777" w:rsidR="005F3231" w:rsidRDefault="005F3231" w:rsidP="00A93D20">
      <w:pPr>
        <w:spacing w:line="360" w:lineRule="auto"/>
        <w:rPr>
          <w:rFonts w:ascii="Arial" w:hAnsi="Arial" w:cs="Arial"/>
          <w:b/>
          <w:bCs/>
          <w:sz w:val="22"/>
          <w:szCs w:val="22"/>
        </w:rPr>
      </w:pPr>
    </w:p>
    <w:p w14:paraId="45C3343D" w14:textId="07B02557" w:rsidR="00A93D20" w:rsidRPr="00A93D20" w:rsidRDefault="00A93D20" w:rsidP="00A93D20">
      <w:pPr>
        <w:spacing w:line="360" w:lineRule="auto"/>
        <w:rPr>
          <w:rFonts w:ascii="Arial" w:hAnsi="Arial" w:cs="Arial"/>
          <w:b/>
          <w:bCs/>
          <w:sz w:val="22"/>
          <w:szCs w:val="22"/>
        </w:rPr>
      </w:pPr>
      <w:r w:rsidRPr="00A93D20">
        <w:rPr>
          <w:rFonts w:ascii="Arial" w:hAnsi="Arial" w:cs="Arial"/>
          <w:b/>
          <w:bCs/>
          <w:sz w:val="22"/>
          <w:szCs w:val="22"/>
        </w:rPr>
        <w:t>Adapting to Technological Advancements</w:t>
      </w:r>
    </w:p>
    <w:p w14:paraId="2103080F" w14:textId="77777777" w:rsidR="005F3231" w:rsidRDefault="005F3231" w:rsidP="00A93D20">
      <w:pPr>
        <w:spacing w:line="360" w:lineRule="auto"/>
        <w:rPr>
          <w:rFonts w:ascii="Arial" w:hAnsi="Arial" w:cs="Arial"/>
          <w:sz w:val="22"/>
          <w:szCs w:val="22"/>
        </w:rPr>
      </w:pPr>
    </w:p>
    <w:p w14:paraId="6CB7F1CF" w14:textId="72722BB1" w:rsidR="00A93D20" w:rsidRPr="00A93D20" w:rsidRDefault="00A93D20" w:rsidP="00A93D20">
      <w:pPr>
        <w:spacing w:line="360" w:lineRule="auto"/>
        <w:rPr>
          <w:rFonts w:ascii="Arial" w:hAnsi="Arial" w:cs="Arial"/>
          <w:sz w:val="22"/>
          <w:szCs w:val="22"/>
        </w:rPr>
      </w:pPr>
      <w:r w:rsidRPr="00A93D20">
        <w:rPr>
          <w:rFonts w:ascii="Arial" w:hAnsi="Arial" w:cs="Arial"/>
          <w:sz w:val="22"/>
          <w:szCs w:val="22"/>
        </w:rPr>
        <w:t>Rapid technological change has transformed the retail industry, requiring organisations such as Tesco to continually adapt their human resource strategies. Digital technologies, including artificial intelligence (AI), automation, self-service checkouts, electronic inventory management, workforce scheduling software, and data analytics, have significantly changed the way employees perform their duties. While these innovations improve operational efficiency and customer service, they also require employees to develop new digital competencies and adapt to evolving work processes (Armstrong &amp; Taylor, 2023).</w:t>
      </w:r>
    </w:p>
    <w:p w14:paraId="67C47062" w14:textId="77777777" w:rsidR="00A93D20" w:rsidRPr="00A93D20" w:rsidRDefault="00A93D20" w:rsidP="00A93D20">
      <w:pPr>
        <w:spacing w:line="360" w:lineRule="auto"/>
        <w:rPr>
          <w:rFonts w:ascii="Arial" w:hAnsi="Arial" w:cs="Arial"/>
          <w:sz w:val="22"/>
          <w:szCs w:val="22"/>
        </w:rPr>
      </w:pPr>
      <w:r w:rsidRPr="00A93D20">
        <w:rPr>
          <w:rFonts w:ascii="Arial" w:hAnsi="Arial" w:cs="Arial"/>
          <w:sz w:val="22"/>
          <w:szCs w:val="22"/>
        </w:rPr>
        <w:t>For Tesco, technological advancement creates both opportunities and challenges. Automation reduces repetitive manual tasks and increases productivity; however, employees may experience uncertainty regarding job security as certain roles become automated. Consequently, HR departments must invest in continuous learning, digital skills development, and effective change management programmes to ensure employees possess the capabilities needed to work alongside new technologies.</w:t>
      </w:r>
    </w:p>
    <w:p w14:paraId="1C3DA042" w14:textId="637A6233" w:rsidR="00A93D20" w:rsidRDefault="00A93D20" w:rsidP="00A93D20">
      <w:pPr>
        <w:spacing w:line="360" w:lineRule="auto"/>
        <w:rPr>
          <w:rFonts w:ascii="Arial" w:hAnsi="Arial" w:cs="Arial"/>
          <w:sz w:val="22"/>
          <w:szCs w:val="22"/>
        </w:rPr>
      </w:pPr>
      <w:r w:rsidRPr="00A93D20">
        <w:rPr>
          <w:rFonts w:ascii="Arial" w:hAnsi="Arial" w:cs="Arial"/>
          <w:sz w:val="22"/>
          <w:szCs w:val="22"/>
        </w:rPr>
        <w:t>Failure to adapt successfully may reduce employee confidence, increase resistance to organisational change, and negatively affect productivity. Conversely, organisations that successfully integrate technology while supporting employee development can improve operational performance, enhance customer satisfaction, and maintain long-term competitiveness (Bratton &amp; Gold, 2023).</w:t>
      </w:r>
    </w:p>
    <w:p w14:paraId="101EDAE9" w14:textId="77777777" w:rsidR="00A93D20" w:rsidRDefault="00A93D20" w:rsidP="00A93D20">
      <w:pPr>
        <w:spacing w:line="360" w:lineRule="auto"/>
        <w:rPr>
          <w:rFonts w:ascii="Arial" w:hAnsi="Arial" w:cs="Arial"/>
          <w:sz w:val="22"/>
          <w:szCs w:val="22"/>
        </w:rPr>
      </w:pPr>
    </w:p>
    <w:p w14:paraId="35AD4757" w14:textId="77777777" w:rsidR="005F3231" w:rsidRDefault="005F3231" w:rsidP="00A93D20">
      <w:pPr>
        <w:spacing w:line="360" w:lineRule="auto"/>
        <w:rPr>
          <w:rFonts w:ascii="Arial" w:hAnsi="Arial" w:cs="Arial"/>
          <w:sz w:val="22"/>
          <w:szCs w:val="22"/>
        </w:rPr>
      </w:pPr>
    </w:p>
    <w:p w14:paraId="59910AF4" w14:textId="77777777" w:rsidR="005F3231" w:rsidRDefault="005F3231" w:rsidP="00A93D20">
      <w:pPr>
        <w:spacing w:line="360" w:lineRule="auto"/>
        <w:rPr>
          <w:rFonts w:ascii="Arial" w:hAnsi="Arial" w:cs="Arial"/>
          <w:sz w:val="22"/>
          <w:szCs w:val="22"/>
        </w:rPr>
      </w:pPr>
    </w:p>
    <w:p w14:paraId="53A9DFE0" w14:textId="77777777" w:rsidR="005F3231" w:rsidRDefault="005F3231" w:rsidP="00A93D20">
      <w:pPr>
        <w:spacing w:line="360" w:lineRule="auto"/>
        <w:rPr>
          <w:rFonts w:ascii="Arial" w:hAnsi="Arial" w:cs="Arial"/>
          <w:sz w:val="22"/>
          <w:szCs w:val="22"/>
        </w:rPr>
      </w:pPr>
    </w:p>
    <w:p w14:paraId="79D35ACB" w14:textId="77777777" w:rsidR="005629A2" w:rsidRDefault="005629A2" w:rsidP="00A93D20">
      <w:pPr>
        <w:spacing w:line="360" w:lineRule="auto"/>
        <w:rPr>
          <w:rFonts w:ascii="Arial" w:hAnsi="Arial" w:cs="Arial"/>
          <w:sz w:val="22"/>
          <w:szCs w:val="22"/>
        </w:rPr>
      </w:pPr>
    </w:p>
    <w:p w14:paraId="592D6D48" w14:textId="77777777" w:rsidR="005F3231" w:rsidRDefault="005F3231" w:rsidP="00A93D20">
      <w:pPr>
        <w:spacing w:line="360" w:lineRule="auto"/>
        <w:rPr>
          <w:rFonts w:ascii="Arial" w:hAnsi="Arial" w:cs="Arial"/>
          <w:sz w:val="22"/>
          <w:szCs w:val="22"/>
        </w:rPr>
      </w:pPr>
    </w:p>
    <w:p w14:paraId="79031548" w14:textId="77777777" w:rsidR="005F3231" w:rsidRDefault="005F3231" w:rsidP="00A93D20">
      <w:pPr>
        <w:spacing w:line="360" w:lineRule="auto"/>
        <w:rPr>
          <w:rFonts w:ascii="Arial" w:hAnsi="Arial" w:cs="Arial"/>
          <w:sz w:val="22"/>
          <w:szCs w:val="22"/>
        </w:rPr>
      </w:pPr>
    </w:p>
    <w:p w14:paraId="50A8F671" w14:textId="77777777" w:rsidR="005F3231" w:rsidRPr="00A93D20" w:rsidRDefault="005F3231" w:rsidP="00A93D20">
      <w:pPr>
        <w:spacing w:line="360" w:lineRule="auto"/>
        <w:rPr>
          <w:rFonts w:ascii="Arial" w:hAnsi="Arial" w:cs="Arial"/>
          <w:sz w:val="22"/>
          <w:szCs w:val="22"/>
        </w:rPr>
      </w:pPr>
    </w:p>
    <w:p w14:paraId="0339BD73" w14:textId="77777777" w:rsidR="00A93D20" w:rsidRPr="00A93D20" w:rsidRDefault="00A93D20" w:rsidP="00A93D20">
      <w:pPr>
        <w:spacing w:line="360" w:lineRule="auto"/>
        <w:rPr>
          <w:rFonts w:ascii="Arial" w:hAnsi="Arial" w:cs="Arial"/>
          <w:b/>
          <w:bCs/>
          <w:sz w:val="22"/>
          <w:szCs w:val="22"/>
        </w:rPr>
      </w:pPr>
      <w:r w:rsidRPr="00A93D20">
        <w:rPr>
          <w:rFonts w:ascii="Arial" w:hAnsi="Arial" w:cs="Arial"/>
          <w:b/>
          <w:bCs/>
          <w:sz w:val="22"/>
          <w:szCs w:val="22"/>
        </w:rPr>
        <w:lastRenderedPageBreak/>
        <w:t>Talent Acquisition and Retention</w:t>
      </w:r>
    </w:p>
    <w:p w14:paraId="296E4DEC" w14:textId="77777777" w:rsidR="005F3231" w:rsidRDefault="005F3231" w:rsidP="00A93D20">
      <w:pPr>
        <w:spacing w:line="360" w:lineRule="auto"/>
        <w:rPr>
          <w:rFonts w:ascii="Arial" w:hAnsi="Arial" w:cs="Arial"/>
          <w:sz w:val="22"/>
          <w:szCs w:val="22"/>
        </w:rPr>
      </w:pPr>
    </w:p>
    <w:p w14:paraId="5925A477" w14:textId="750DB1E3" w:rsidR="00A93D20" w:rsidRPr="00A93D20" w:rsidRDefault="00A93D20" w:rsidP="00A93D20">
      <w:pPr>
        <w:spacing w:line="360" w:lineRule="auto"/>
        <w:rPr>
          <w:rFonts w:ascii="Arial" w:hAnsi="Arial" w:cs="Arial"/>
          <w:sz w:val="22"/>
          <w:szCs w:val="22"/>
        </w:rPr>
      </w:pPr>
      <w:r w:rsidRPr="00A93D20">
        <w:rPr>
          <w:rFonts w:ascii="Arial" w:hAnsi="Arial" w:cs="Arial"/>
          <w:sz w:val="22"/>
          <w:szCs w:val="22"/>
        </w:rPr>
        <w:t>One of the most significant contemporary HR challenges facing Tesco is attracting and retaining talented employees within an increasingly competitive labour market. The UK retail sector experiences high employee turnover due to demanding working conditions, flexible employment patterns, and competition from other retailers and service industries.</w:t>
      </w:r>
    </w:p>
    <w:p w14:paraId="14235236" w14:textId="77777777" w:rsidR="00A93D20" w:rsidRPr="00A93D20" w:rsidRDefault="00A93D20" w:rsidP="00A93D20">
      <w:pPr>
        <w:spacing w:line="360" w:lineRule="auto"/>
        <w:rPr>
          <w:rFonts w:ascii="Arial" w:hAnsi="Arial" w:cs="Arial"/>
          <w:sz w:val="22"/>
          <w:szCs w:val="22"/>
        </w:rPr>
      </w:pPr>
      <w:r w:rsidRPr="00A93D20">
        <w:rPr>
          <w:rFonts w:ascii="Arial" w:hAnsi="Arial" w:cs="Arial"/>
          <w:sz w:val="22"/>
          <w:szCs w:val="22"/>
        </w:rPr>
        <w:t>Effective talent acquisition enables Tesco to recruit individuals with appropriate technical skills, customer service abilities, and organisational values. However, recruitment alone is insufficient. Organisations must also implement retention strategies that encourage employees to remain committed and motivated. High staff turnover increases recruitment costs, disrupts customer service, reduces organisational knowledge, and negatively affects employee morale (CIPD, 2024).</w:t>
      </w:r>
    </w:p>
    <w:p w14:paraId="2A159817" w14:textId="77777777" w:rsidR="00A93D20" w:rsidRPr="00A93D20" w:rsidRDefault="00A93D20" w:rsidP="00A93D20">
      <w:pPr>
        <w:spacing w:line="360" w:lineRule="auto"/>
        <w:rPr>
          <w:rFonts w:ascii="Arial" w:hAnsi="Arial" w:cs="Arial"/>
          <w:sz w:val="22"/>
          <w:szCs w:val="22"/>
        </w:rPr>
      </w:pPr>
      <w:r w:rsidRPr="00A93D20">
        <w:rPr>
          <w:rFonts w:ascii="Arial" w:hAnsi="Arial" w:cs="Arial"/>
          <w:sz w:val="22"/>
          <w:szCs w:val="22"/>
        </w:rPr>
        <w:t>Employee expectations have changed considerably in recent years. Many employees now seek flexible working arrangements, career progression opportunities, competitive rewards, wellbeing initiatives, and supportive leadership. Tesco therefore faces increasing pressure to create an attractive employer brand capable of appealing to both existing and prospective employees.</w:t>
      </w:r>
    </w:p>
    <w:p w14:paraId="19788638" w14:textId="77777777" w:rsidR="00A93D20" w:rsidRPr="00A93D20" w:rsidRDefault="00A93D20" w:rsidP="00A93D20">
      <w:pPr>
        <w:spacing w:line="360" w:lineRule="auto"/>
        <w:rPr>
          <w:rFonts w:ascii="Arial" w:hAnsi="Arial" w:cs="Arial"/>
          <w:sz w:val="22"/>
          <w:szCs w:val="22"/>
        </w:rPr>
      </w:pPr>
      <w:r w:rsidRPr="00A93D20">
        <w:rPr>
          <w:rFonts w:ascii="Arial" w:hAnsi="Arial" w:cs="Arial"/>
          <w:sz w:val="22"/>
          <w:szCs w:val="22"/>
        </w:rPr>
        <w:t>Strategic talent management contributes directly to organisational performance by improving employee engagement, reducing recruitment costs, strengthening organisational capability, and ensuring the business possesses sufficient skills to support future growth. Organisations that fail to retain skilled employees often experience reduced productivity and diminished competitive advantage (Boxall &amp; Purcell, 2022).</w:t>
      </w:r>
    </w:p>
    <w:p w14:paraId="6069F18C" w14:textId="77777777" w:rsidR="00A93D20" w:rsidRDefault="00A93D20" w:rsidP="00D15211">
      <w:pPr>
        <w:spacing w:line="360" w:lineRule="auto"/>
        <w:rPr>
          <w:rFonts w:ascii="Arial" w:hAnsi="Arial" w:cs="Arial"/>
          <w:sz w:val="22"/>
          <w:szCs w:val="22"/>
        </w:rPr>
      </w:pPr>
    </w:p>
    <w:p w14:paraId="7EB55673" w14:textId="77777777" w:rsidR="005F3231" w:rsidRDefault="005F3231" w:rsidP="00D15211">
      <w:pPr>
        <w:spacing w:line="360" w:lineRule="auto"/>
        <w:rPr>
          <w:rFonts w:ascii="Arial" w:hAnsi="Arial" w:cs="Arial"/>
          <w:sz w:val="22"/>
          <w:szCs w:val="22"/>
        </w:rPr>
      </w:pPr>
    </w:p>
    <w:p w14:paraId="7AC28D6D" w14:textId="77777777" w:rsidR="005F3231" w:rsidRDefault="005F3231" w:rsidP="00D15211">
      <w:pPr>
        <w:spacing w:line="360" w:lineRule="auto"/>
        <w:rPr>
          <w:rFonts w:ascii="Arial" w:hAnsi="Arial" w:cs="Arial"/>
          <w:sz w:val="22"/>
          <w:szCs w:val="22"/>
        </w:rPr>
      </w:pPr>
    </w:p>
    <w:p w14:paraId="45474E45" w14:textId="77777777" w:rsidR="005F3231" w:rsidRDefault="005F3231" w:rsidP="00D15211">
      <w:pPr>
        <w:spacing w:line="360" w:lineRule="auto"/>
        <w:rPr>
          <w:rFonts w:ascii="Arial" w:hAnsi="Arial" w:cs="Arial"/>
          <w:sz w:val="22"/>
          <w:szCs w:val="22"/>
        </w:rPr>
      </w:pPr>
    </w:p>
    <w:p w14:paraId="3A4AD468" w14:textId="77777777" w:rsidR="005F3231" w:rsidRDefault="005F3231" w:rsidP="00D15211">
      <w:pPr>
        <w:spacing w:line="360" w:lineRule="auto"/>
        <w:rPr>
          <w:rFonts w:ascii="Arial" w:hAnsi="Arial" w:cs="Arial"/>
          <w:sz w:val="22"/>
          <w:szCs w:val="22"/>
        </w:rPr>
      </w:pPr>
    </w:p>
    <w:p w14:paraId="6DB350AB" w14:textId="77777777" w:rsidR="005F3231" w:rsidRDefault="005F3231" w:rsidP="00D15211">
      <w:pPr>
        <w:spacing w:line="360" w:lineRule="auto"/>
        <w:rPr>
          <w:rFonts w:ascii="Arial" w:hAnsi="Arial" w:cs="Arial"/>
          <w:sz w:val="22"/>
          <w:szCs w:val="22"/>
        </w:rPr>
      </w:pPr>
    </w:p>
    <w:p w14:paraId="66EF1B01" w14:textId="77777777" w:rsidR="005F3231" w:rsidRDefault="005F3231" w:rsidP="00D15211">
      <w:pPr>
        <w:spacing w:line="360" w:lineRule="auto"/>
        <w:rPr>
          <w:rFonts w:ascii="Arial" w:hAnsi="Arial" w:cs="Arial"/>
          <w:sz w:val="22"/>
          <w:szCs w:val="22"/>
        </w:rPr>
      </w:pPr>
    </w:p>
    <w:p w14:paraId="5E0246D3" w14:textId="77777777" w:rsidR="005F3231" w:rsidRDefault="005F3231" w:rsidP="00D15211">
      <w:pPr>
        <w:spacing w:line="360" w:lineRule="auto"/>
        <w:rPr>
          <w:rFonts w:ascii="Arial" w:hAnsi="Arial" w:cs="Arial"/>
          <w:sz w:val="22"/>
          <w:szCs w:val="22"/>
        </w:rPr>
      </w:pPr>
    </w:p>
    <w:p w14:paraId="1E6E0E0B" w14:textId="77777777" w:rsidR="005F3231" w:rsidRDefault="005F3231" w:rsidP="00D15211">
      <w:pPr>
        <w:spacing w:line="360" w:lineRule="auto"/>
        <w:rPr>
          <w:rFonts w:ascii="Arial" w:hAnsi="Arial" w:cs="Arial"/>
          <w:sz w:val="22"/>
          <w:szCs w:val="22"/>
        </w:rPr>
      </w:pPr>
    </w:p>
    <w:p w14:paraId="6119957A" w14:textId="77777777" w:rsidR="00A93D20" w:rsidRPr="00A93D20" w:rsidRDefault="00A93D20" w:rsidP="00A93D20">
      <w:pPr>
        <w:spacing w:line="360" w:lineRule="auto"/>
        <w:rPr>
          <w:rFonts w:ascii="Arial" w:hAnsi="Arial" w:cs="Arial"/>
          <w:b/>
          <w:bCs/>
          <w:sz w:val="22"/>
          <w:szCs w:val="22"/>
        </w:rPr>
      </w:pPr>
      <w:r w:rsidRPr="00A93D20">
        <w:rPr>
          <w:rFonts w:ascii="Arial" w:hAnsi="Arial" w:cs="Arial"/>
          <w:b/>
          <w:bCs/>
          <w:sz w:val="22"/>
          <w:szCs w:val="22"/>
        </w:rPr>
        <w:lastRenderedPageBreak/>
        <w:t>Diversity, Equity and Inclusion (DEI)</w:t>
      </w:r>
    </w:p>
    <w:p w14:paraId="6F3F9395" w14:textId="77777777" w:rsidR="005F3231" w:rsidRDefault="005F3231" w:rsidP="00A93D20">
      <w:pPr>
        <w:spacing w:line="360" w:lineRule="auto"/>
        <w:rPr>
          <w:rFonts w:ascii="Arial" w:hAnsi="Arial" w:cs="Arial"/>
          <w:sz w:val="22"/>
          <w:szCs w:val="22"/>
        </w:rPr>
      </w:pPr>
    </w:p>
    <w:p w14:paraId="2D885299" w14:textId="36FBA6ED" w:rsidR="00A93D20" w:rsidRPr="00A93D20" w:rsidRDefault="00A93D20" w:rsidP="00A93D20">
      <w:pPr>
        <w:spacing w:line="360" w:lineRule="auto"/>
        <w:rPr>
          <w:rFonts w:ascii="Arial" w:hAnsi="Arial" w:cs="Arial"/>
          <w:sz w:val="22"/>
          <w:szCs w:val="22"/>
        </w:rPr>
      </w:pPr>
      <w:r w:rsidRPr="00A93D20">
        <w:rPr>
          <w:rFonts w:ascii="Arial" w:hAnsi="Arial" w:cs="Arial"/>
          <w:sz w:val="22"/>
          <w:szCs w:val="22"/>
        </w:rPr>
        <w:t>Diversity, equity, and inclusion have become central priorities for contemporary human resource management. Diversity refers to differences among employees, including age, gender, ethnicity, disability, religion, sexual orientation, and cultural background. Equity focuses on providing fair opportunities and removing barriers to success, while inclusion involves creating an organisational culture where every employee feels respected, valued, and able to contribute fully.</w:t>
      </w:r>
    </w:p>
    <w:p w14:paraId="61D572EC" w14:textId="77777777" w:rsidR="00A93D20" w:rsidRPr="00A93D20" w:rsidRDefault="00A93D20" w:rsidP="00A93D20">
      <w:pPr>
        <w:spacing w:line="360" w:lineRule="auto"/>
        <w:rPr>
          <w:rFonts w:ascii="Arial" w:hAnsi="Arial" w:cs="Arial"/>
          <w:sz w:val="22"/>
          <w:szCs w:val="22"/>
        </w:rPr>
      </w:pPr>
      <w:r w:rsidRPr="00A93D20">
        <w:rPr>
          <w:rFonts w:ascii="Arial" w:hAnsi="Arial" w:cs="Arial"/>
          <w:sz w:val="22"/>
          <w:szCs w:val="22"/>
        </w:rPr>
        <w:t>As one of the UK's largest employers, Tesco operates within diverse communities and serves millions of customers from different backgrounds. Developing an inclusive workforce enables Tesco to better understand customer needs, improve decision-making, encourage innovation, and strengthen organisational reputation. Research suggests that diverse teams generate broader perspectives and more creative solutions, leading to improved business performance (McKinsey &amp; Company, 2023).</w:t>
      </w:r>
    </w:p>
    <w:p w14:paraId="54A6C28A" w14:textId="77777777" w:rsidR="00A93D20" w:rsidRPr="00A93D20" w:rsidRDefault="00A93D20" w:rsidP="00A93D20">
      <w:pPr>
        <w:spacing w:line="360" w:lineRule="auto"/>
        <w:rPr>
          <w:rFonts w:ascii="Arial" w:hAnsi="Arial" w:cs="Arial"/>
          <w:sz w:val="22"/>
          <w:szCs w:val="22"/>
        </w:rPr>
      </w:pPr>
      <w:r w:rsidRPr="00A93D20">
        <w:rPr>
          <w:rFonts w:ascii="Arial" w:hAnsi="Arial" w:cs="Arial"/>
          <w:sz w:val="22"/>
          <w:szCs w:val="22"/>
        </w:rPr>
        <w:t>However, achieving genuine inclusion extends beyond recruitment targets. Organisations must eliminate unconscious bias, ensure equal access to career development, promote inclusive leadership, and establish effective mechanisms for addressing discrimination and harassment. Failure to achieve these objectives may reduce employee engagement, increase workplace conflict, damage employer reputation, and expose organisations to legal risks under the Equality Act 2010.</w:t>
      </w:r>
    </w:p>
    <w:p w14:paraId="1C821D2C" w14:textId="77777777" w:rsidR="00A93D20" w:rsidRDefault="00A93D20" w:rsidP="00A93D20">
      <w:pPr>
        <w:spacing w:line="360" w:lineRule="auto"/>
        <w:rPr>
          <w:rFonts w:ascii="Arial" w:hAnsi="Arial" w:cs="Arial"/>
          <w:sz w:val="22"/>
          <w:szCs w:val="22"/>
        </w:rPr>
      </w:pPr>
      <w:r w:rsidRPr="00A93D20">
        <w:rPr>
          <w:rFonts w:ascii="Arial" w:hAnsi="Arial" w:cs="Arial"/>
          <w:sz w:val="22"/>
          <w:szCs w:val="22"/>
        </w:rPr>
        <w:t>A strong DEI strategy contributes to long-term sustainability by improving employee satisfaction, strengthening organisational culture, attracting talented individuals from diverse backgrounds, and supporting ethical business practices. Consequently, diversity and inclusion are increasingly recognised as strategic priorities rather than merely legal compliance requirements (CIPD, 2024).</w:t>
      </w:r>
    </w:p>
    <w:p w14:paraId="6B2BC027" w14:textId="77777777" w:rsidR="00A93D20" w:rsidRDefault="00A93D20" w:rsidP="00A93D20">
      <w:pPr>
        <w:spacing w:line="360" w:lineRule="auto"/>
        <w:rPr>
          <w:rFonts w:ascii="Arial" w:hAnsi="Arial" w:cs="Arial"/>
          <w:sz w:val="22"/>
          <w:szCs w:val="22"/>
        </w:rPr>
      </w:pPr>
    </w:p>
    <w:p w14:paraId="2966AE51" w14:textId="77777777" w:rsidR="005F3231" w:rsidRDefault="005F3231" w:rsidP="00A93D20">
      <w:pPr>
        <w:spacing w:line="360" w:lineRule="auto"/>
        <w:rPr>
          <w:rFonts w:ascii="Arial" w:hAnsi="Arial" w:cs="Arial"/>
          <w:sz w:val="22"/>
          <w:szCs w:val="22"/>
        </w:rPr>
      </w:pPr>
    </w:p>
    <w:p w14:paraId="7B2A1DFA" w14:textId="77777777" w:rsidR="005F3231" w:rsidRDefault="005F3231" w:rsidP="00A93D20">
      <w:pPr>
        <w:spacing w:line="360" w:lineRule="auto"/>
        <w:rPr>
          <w:rFonts w:ascii="Arial" w:hAnsi="Arial" w:cs="Arial"/>
          <w:sz w:val="22"/>
          <w:szCs w:val="22"/>
        </w:rPr>
      </w:pPr>
    </w:p>
    <w:p w14:paraId="699AAB82" w14:textId="77777777" w:rsidR="005F3231" w:rsidRDefault="005F3231" w:rsidP="00A93D20">
      <w:pPr>
        <w:spacing w:line="360" w:lineRule="auto"/>
        <w:rPr>
          <w:rFonts w:ascii="Arial" w:hAnsi="Arial" w:cs="Arial"/>
          <w:sz w:val="22"/>
          <w:szCs w:val="22"/>
        </w:rPr>
      </w:pPr>
    </w:p>
    <w:p w14:paraId="4C6E775C" w14:textId="77777777" w:rsidR="005F3231" w:rsidRDefault="005F3231" w:rsidP="00A93D20">
      <w:pPr>
        <w:spacing w:line="360" w:lineRule="auto"/>
        <w:rPr>
          <w:rFonts w:ascii="Arial" w:hAnsi="Arial" w:cs="Arial"/>
          <w:sz w:val="22"/>
          <w:szCs w:val="22"/>
        </w:rPr>
      </w:pPr>
    </w:p>
    <w:p w14:paraId="77096912" w14:textId="77777777" w:rsidR="005F3231" w:rsidRPr="00A93D20" w:rsidRDefault="005F3231" w:rsidP="00A93D20">
      <w:pPr>
        <w:spacing w:line="360" w:lineRule="auto"/>
        <w:rPr>
          <w:rFonts w:ascii="Arial" w:hAnsi="Arial" w:cs="Arial"/>
          <w:sz w:val="22"/>
          <w:szCs w:val="22"/>
        </w:rPr>
      </w:pPr>
    </w:p>
    <w:p w14:paraId="13252675" w14:textId="1F952573" w:rsidR="00A93D20" w:rsidRPr="00A93D20" w:rsidRDefault="00A93D20" w:rsidP="00A93D20">
      <w:pPr>
        <w:spacing w:line="360" w:lineRule="auto"/>
        <w:rPr>
          <w:rFonts w:ascii="Arial" w:hAnsi="Arial" w:cs="Arial"/>
          <w:b/>
          <w:bCs/>
        </w:rPr>
      </w:pPr>
      <w:r w:rsidRPr="00A93D20">
        <w:rPr>
          <w:rFonts w:ascii="Arial" w:hAnsi="Arial" w:cs="Arial"/>
          <w:b/>
          <w:bCs/>
        </w:rPr>
        <w:lastRenderedPageBreak/>
        <w:t>Evaluation of Contemporary HR Practices</w:t>
      </w:r>
    </w:p>
    <w:p w14:paraId="05B55BA2" w14:textId="77777777" w:rsidR="005F3231" w:rsidRDefault="005F3231" w:rsidP="00A93D20">
      <w:pPr>
        <w:spacing w:line="360" w:lineRule="auto"/>
        <w:rPr>
          <w:rFonts w:ascii="Arial" w:hAnsi="Arial" w:cs="Arial"/>
          <w:sz w:val="22"/>
          <w:szCs w:val="22"/>
        </w:rPr>
      </w:pPr>
    </w:p>
    <w:p w14:paraId="134103FD" w14:textId="3F1AE44E" w:rsidR="00A93D20" w:rsidRPr="00A93D20" w:rsidRDefault="00A93D20" w:rsidP="00A93D20">
      <w:pPr>
        <w:spacing w:line="360" w:lineRule="auto"/>
        <w:rPr>
          <w:rFonts w:ascii="Arial" w:hAnsi="Arial" w:cs="Arial"/>
          <w:sz w:val="22"/>
          <w:szCs w:val="22"/>
        </w:rPr>
      </w:pPr>
      <w:r w:rsidRPr="00A93D20">
        <w:rPr>
          <w:rFonts w:ascii="Arial" w:hAnsi="Arial" w:cs="Arial"/>
          <w:sz w:val="22"/>
          <w:szCs w:val="22"/>
        </w:rPr>
        <w:t>Tesco plc has adopted a range of contemporary HR practices to address the challenges of technological advancement, talent acquisition and retention, and diversity, equity, and inclusion (DEI). These practices aim to improve organisational performance, strengthen employee engagement, and support long-term business sustainability. However, while they offer significant benefits, each practice also presents limitations that require continuous evaluation and improvement.</w:t>
      </w:r>
    </w:p>
    <w:p w14:paraId="239BDEB3" w14:textId="77777777" w:rsidR="00A93D20" w:rsidRDefault="00A93D20" w:rsidP="00D15211">
      <w:pPr>
        <w:spacing w:line="360" w:lineRule="auto"/>
        <w:rPr>
          <w:rFonts w:ascii="Arial" w:hAnsi="Arial" w:cs="Arial"/>
          <w:sz w:val="22"/>
          <w:szCs w:val="22"/>
        </w:rPr>
      </w:pPr>
    </w:p>
    <w:p w14:paraId="3F4D9BE1" w14:textId="1F61CC59" w:rsidR="005F3231" w:rsidRPr="005F3231" w:rsidRDefault="005F3231" w:rsidP="005F3231">
      <w:pPr>
        <w:spacing w:line="360" w:lineRule="auto"/>
        <w:rPr>
          <w:rFonts w:ascii="Arial" w:hAnsi="Arial" w:cs="Arial"/>
          <w:b/>
          <w:bCs/>
          <w:sz w:val="22"/>
          <w:szCs w:val="22"/>
        </w:rPr>
      </w:pPr>
      <w:r w:rsidRPr="005F3231">
        <w:rPr>
          <w:rFonts w:ascii="Arial" w:hAnsi="Arial" w:cs="Arial"/>
          <w:b/>
          <w:bCs/>
          <w:sz w:val="22"/>
          <w:szCs w:val="22"/>
        </w:rPr>
        <w:t>Digital HR Systems and Workforce Analytics</w:t>
      </w:r>
    </w:p>
    <w:p w14:paraId="11369A9E" w14:textId="59C6A94A" w:rsidR="005F3231" w:rsidRPr="005F3231" w:rsidRDefault="005F3231" w:rsidP="005F3231">
      <w:pPr>
        <w:spacing w:line="360" w:lineRule="auto"/>
        <w:rPr>
          <w:rFonts w:ascii="Arial" w:hAnsi="Arial" w:cs="Arial"/>
          <w:sz w:val="22"/>
          <w:szCs w:val="22"/>
        </w:rPr>
      </w:pPr>
      <w:r w:rsidRPr="005F3231">
        <w:rPr>
          <w:rFonts w:ascii="Arial" w:hAnsi="Arial" w:cs="Arial"/>
          <w:sz w:val="22"/>
          <w:szCs w:val="22"/>
        </w:rPr>
        <w:t>Technological advancement has encouraged Tesco to invest in digital HR systems that improve workforce management and decision-making. Human Resource Information Systems (HRIS) enable the organisation to manage recruitment, employee records, payroll, performance management, and learning through integrated digital platforms. Workforce analytics further supports managers by providing real-time data on employee turnover, absence rates, productivity, and training needs. This allows HR professionals to make evidence-based decisions rather than relying solely on intuition (Armstrong &amp; Taylor, 2023).</w:t>
      </w:r>
    </w:p>
    <w:p w14:paraId="76D658CA" w14:textId="77777777" w:rsidR="005F3231" w:rsidRPr="005F3231" w:rsidRDefault="005F3231" w:rsidP="005F3231">
      <w:pPr>
        <w:spacing w:line="360" w:lineRule="auto"/>
        <w:rPr>
          <w:rFonts w:ascii="Arial" w:hAnsi="Arial" w:cs="Arial"/>
          <w:sz w:val="22"/>
          <w:szCs w:val="22"/>
        </w:rPr>
      </w:pPr>
      <w:r w:rsidRPr="005F3231">
        <w:rPr>
          <w:rFonts w:ascii="Arial" w:hAnsi="Arial" w:cs="Arial"/>
          <w:sz w:val="22"/>
          <w:szCs w:val="22"/>
        </w:rPr>
        <w:t>The effectiveness of digital HR systems lies in their ability to improve efficiency and accuracy. Automated administrative tasks reduce paperwork and free HR professionals to focus on strategic activities such as workforce planning and employee development. Data analytics also enables Tesco to identify emerging workforce trends, predict future staffing requirements, and evaluate the success of HR initiatives. During periods of labour shortages or organisational change, these insights can improve operational resilience and reduce recruitment costs.</w:t>
      </w:r>
    </w:p>
    <w:p w14:paraId="181942D5" w14:textId="77777777" w:rsidR="005F3231" w:rsidRPr="005F3231" w:rsidRDefault="005F3231" w:rsidP="005F3231">
      <w:pPr>
        <w:spacing w:line="360" w:lineRule="auto"/>
        <w:rPr>
          <w:rFonts w:ascii="Arial" w:hAnsi="Arial" w:cs="Arial"/>
          <w:sz w:val="22"/>
          <w:szCs w:val="22"/>
        </w:rPr>
      </w:pPr>
      <w:r w:rsidRPr="005F3231">
        <w:rPr>
          <w:rFonts w:ascii="Arial" w:hAnsi="Arial" w:cs="Arial"/>
          <w:sz w:val="22"/>
          <w:szCs w:val="22"/>
        </w:rPr>
        <w:t>Despite these advantages, digital HR systems have limitations. Implementing advanced technology requires substantial financial investment in software, infrastructure, and employee training. Employees with limited digital skills may struggle to adapt, potentially reducing productivity during implementation. Furthermore, workforce analytics depends heavily on accurate data collection, and poor-quality data can lead to incorrect managerial decisions. There are also concerns regarding employee privacy and the ethical use of personal information, requiring Tesco to comply with the UK General Data Protection Regulation (UK GDPR) and maintain employee trust. Therefore, digital HR systems are most effective when supported by appropriate governance, cybersecurity measures, and continuous employee training.</w:t>
      </w:r>
    </w:p>
    <w:p w14:paraId="4E18CEC1" w14:textId="43EE5075" w:rsidR="005F3231" w:rsidRPr="005F3231" w:rsidRDefault="005F3231" w:rsidP="005F3231">
      <w:pPr>
        <w:rPr>
          <w:rFonts w:ascii="Arial" w:hAnsi="Arial" w:cs="Arial"/>
          <w:sz w:val="22"/>
          <w:szCs w:val="22"/>
        </w:rPr>
      </w:pPr>
      <w:r>
        <w:rPr>
          <w:rFonts w:ascii="Arial" w:hAnsi="Arial" w:cs="Arial"/>
          <w:sz w:val="22"/>
          <w:szCs w:val="22"/>
        </w:rPr>
        <w:br w:type="page"/>
      </w:r>
      <w:r w:rsidRPr="005F3231">
        <w:rPr>
          <w:rFonts w:ascii="Arial" w:hAnsi="Arial" w:cs="Arial"/>
          <w:b/>
          <w:bCs/>
          <w:sz w:val="22"/>
          <w:szCs w:val="22"/>
        </w:rPr>
        <w:lastRenderedPageBreak/>
        <w:t>Employer Branding and Strategic Talent Management</w:t>
      </w:r>
    </w:p>
    <w:p w14:paraId="030B0B8C" w14:textId="77777777" w:rsidR="005F3231" w:rsidRDefault="005F3231" w:rsidP="005F3231">
      <w:pPr>
        <w:spacing w:line="360" w:lineRule="auto"/>
        <w:rPr>
          <w:rFonts w:ascii="Arial" w:hAnsi="Arial" w:cs="Arial"/>
          <w:sz w:val="22"/>
          <w:szCs w:val="22"/>
        </w:rPr>
      </w:pPr>
    </w:p>
    <w:p w14:paraId="28C0B0DC" w14:textId="1064B89D" w:rsidR="005F3231" w:rsidRPr="005F3231" w:rsidRDefault="005F3231" w:rsidP="005F3231">
      <w:pPr>
        <w:spacing w:line="360" w:lineRule="auto"/>
        <w:rPr>
          <w:rFonts w:ascii="Arial" w:hAnsi="Arial" w:cs="Arial"/>
          <w:sz w:val="22"/>
          <w:szCs w:val="22"/>
        </w:rPr>
      </w:pPr>
      <w:r w:rsidRPr="005F3231">
        <w:rPr>
          <w:rFonts w:ascii="Arial" w:hAnsi="Arial" w:cs="Arial"/>
          <w:sz w:val="22"/>
          <w:szCs w:val="22"/>
        </w:rPr>
        <w:t>Attracting and retaining talented employees remains a priority for Tesco within the competitive UK retail sector. Contemporary HR practice increasingly focuses on employer branding, strategic workforce planning, and employee engagement initiatives to create an attractive working environment. Tesco promotes opportunities for career progression, apprenticeships, leadership development programmes, flexible working arrangements, employee wellbeing initiatives, and competitive reward packages to strengthen its reputation as an employer of choice.</w:t>
      </w:r>
    </w:p>
    <w:p w14:paraId="034DAD3C" w14:textId="77777777" w:rsidR="005F3231" w:rsidRPr="005F3231" w:rsidRDefault="005F3231" w:rsidP="005F3231">
      <w:pPr>
        <w:spacing w:line="360" w:lineRule="auto"/>
        <w:rPr>
          <w:rFonts w:ascii="Arial" w:hAnsi="Arial" w:cs="Arial"/>
          <w:sz w:val="22"/>
          <w:szCs w:val="22"/>
        </w:rPr>
      </w:pPr>
      <w:r w:rsidRPr="005F3231">
        <w:rPr>
          <w:rFonts w:ascii="Arial" w:hAnsi="Arial" w:cs="Arial"/>
          <w:sz w:val="22"/>
          <w:szCs w:val="22"/>
        </w:rPr>
        <w:t>These practices contribute positively to recruitment by attracting applicants whose values align with the organisation's culture. Strong employer branding can reduce recruitment costs, increase application quality, and improve organisational reputation. Strategic workforce planning also enables Tesco to anticipate future skill shortages and prepare succession plans for critical positions, ensuring business continuity (Boxall &amp; Purcell, 2022).</w:t>
      </w:r>
    </w:p>
    <w:p w14:paraId="55FB8AF2" w14:textId="77777777" w:rsidR="005F3231" w:rsidRPr="005F3231" w:rsidRDefault="005F3231" w:rsidP="005F3231">
      <w:pPr>
        <w:spacing w:line="360" w:lineRule="auto"/>
        <w:rPr>
          <w:rFonts w:ascii="Arial" w:hAnsi="Arial" w:cs="Arial"/>
          <w:sz w:val="22"/>
          <w:szCs w:val="22"/>
        </w:rPr>
      </w:pPr>
      <w:r w:rsidRPr="005F3231">
        <w:rPr>
          <w:rFonts w:ascii="Arial" w:hAnsi="Arial" w:cs="Arial"/>
          <w:sz w:val="22"/>
          <w:szCs w:val="22"/>
        </w:rPr>
        <w:t>Retention strategies such as continuous learning opportunities, mentoring programmes, recognition schemes, and wellbeing support improve employee satisfaction and organisational commitment. According to Herzberg's Two-Factor Theory, opportunities for achievement, recognition, and career development increase intrinsic motivation, reducing voluntary turnover. Similarly, Social Exchange Theory suggests employees are more likely to remain loyal when they perceive organisational support and fair treatment.</w:t>
      </w:r>
    </w:p>
    <w:p w14:paraId="2E0E4FF1" w14:textId="77777777" w:rsidR="005F3231" w:rsidRPr="005F3231" w:rsidRDefault="005F3231" w:rsidP="005F3231">
      <w:pPr>
        <w:spacing w:line="360" w:lineRule="auto"/>
        <w:rPr>
          <w:rFonts w:ascii="Arial" w:hAnsi="Arial" w:cs="Arial"/>
          <w:sz w:val="22"/>
          <w:szCs w:val="22"/>
        </w:rPr>
      </w:pPr>
      <w:r w:rsidRPr="005F3231">
        <w:rPr>
          <w:rFonts w:ascii="Arial" w:hAnsi="Arial" w:cs="Arial"/>
          <w:sz w:val="22"/>
          <w:szCs w:val="22"/>
        </w:rPr>
        <w:t>Nevertheless, these practices are not without challenges. Employer branding may create expectations that differ from employees' actual experiences, leading to dissatisfaction if organisational promises are not fulfilled. Flexible working arrangements may also be more difficult to implement consistently within retail operations where customer-facing roles require physical attendance. Furthermore, reward and development programmes involve significant financial investment, and smaller operational units may experience inconsistencies in implementation. Consequently, employer branding and talent management strategies must be supported by authentic organisational practices and effective leadership to achieve sustainable retention.</w:t>
      </w:r>
    </w:p>
    <w:p w14:paraId="4BC38A66" w14:textId="6C058E52" w:rsidR="005F3231" w:rsidRDefault="005F3231" w:rsidP="00D15211">
      <w:pPr>
        <w:spacing w:line="360" w:lineRule="auto"/>
        <w:rPr>
          <w:rFonts w:ascii="Arial" w:hAnsi="Arial" w:cs="Arial"/>
          <w:sz w:val="22"/>
          <w:szCs w:val="22"/>
        </w:rPr>
      </w:pPr>
    </w:p>
    <w:p w14:paraId="2C31D068" w14:textId="77777777" w:rsidR="005F3231" w:rsidRDefault="005F3231">
      <w:pPr>
        <w:rPr>
          <w:rFonts w:ascii="Arial" w:hAnsi="Arial" w:cs="Arial"/>
          <w:sz w:val="22"/>
          <w:szCs w:val="22"/>
        </w:rPr>
      </w:pPr>
      <w:r>
        <w:rPr>
          <w:rFonts w:ascii="Arial" w:hAnsi="Arial" w:cs="Arial"/>
          <w:sz w:val="22"/>
          <w:szCs w:val="22"/>
        </w:rPr>
        <w:br w:type="page"/>
      </w:r>
    </w:p>
    <w:p w14:paraId="3FCD5CFE" w14:textId="77777777" w:rsidR="005F3231" w:rsidRPr="005F3231" w:rsidRDefault="005F3231" w:rsidP="005F3231">
      <w:pPr>
        <w:spacing w:line="360" w:lineRule="auto"/>
        <w:rPr>
          <w:rFonts w:ascii="Arial" w:hAnsi="Arial" w:cs="Arial"/>
          <w:b/>
          <w:bCs/>
          <w:sz w:val="22"/>
          <w:szCs w:val="22"/>
        </w:rPr>
      </w:pPr>
      <w:r w:rsidRPr="005F3231">
        <w:rPr>
          <w:rFonts w:ascii="Arial" w:hAnsi="Arial" w:cs="Arial"/>
          <w:b/>
          <w:bCs/>
          <w:sz w:val="22"/>
          <w:szCs w:val="22"/>
        </w:rPr>
        <w:lastRenderedPageBreak/>
        <w:t>Inclusive Recruitment and Diversity, Equity and Inclusion (DEI) Initiatives</w:t>
      </w:r>
    </w:p>
    <w:p w14:paraId="052C527A" w14:textId="77777777" w:rsidR="005F3231" w:rsidRDefault="005F3231" w:rsidP="005F3231">
      <w:pPr>
        <w:spacing w:line="360" w:lineRule="auto"/>
        <w:rPr>
          <w:rFonts w:ascii="Arial" w:hAnsi="Arial" w:cs="Arial"/>
          <w:sz w:val="22"/>
          <w:szCs w:val="22"/>
        </w:rPr>
      </w:pPr>
    </w:p>
    <w:p w14:paraId="447557F3" w14:textId="70804D8F" w:rsidR="005F3231" w:rsidRPr="005F3231" w:rsidRDefault="005F3231" w:rsidP="005F3231">
      <w:pPr>
        <w:spacing w:line="360" w:lineRule="auto"/>
        <w:rPr>
          <w:rFonts w:ascii="Arial" w:hAnsi="Arial" w:cs="Arial"/>
          <w:sz w:val="22"/>
          <w:szCs w:val="22"/>
        </w:rPr>
      </w:pPr>
      <w:r w:rsidRPr="005F3231">
        <w:rPr>
          <w:rFonts w:ascii="Arial" w:hAnsi="Arial" w:cs="Arial"/>
          <w:sz w:val="22"/>
          <w:szCs w:val="22"/>
        </w:rPr>
        <w:t>Tesco has strengthened its commitment to diversity, equity, and inclusion through inclusive recruitment practices, equality policies, leadership development, employee networks, and initiatives that promote equal opportunities across the workforce. Inclusive recruitment seeks to reduce unconscious bias by using objective selection criteria, structured interviews, diverse recruitment panels, and wider advertising channels to attract candidates from different backgrounds.</w:t>
      </w:r>
    </w:p>
    <w:p w14:paraId="64BBD500" w14:textId="77777777" w:rsidR="005F3231" w:rsidRPr="005F3231" w:rsidRDefault="005F3231" w:rsidP="005F3231">
      <w:pPr>
        <w:spacing w:line="360" w:lineRule="auto"/>
        <w:rPr>
          <w:rFonts w:ascii="Arial" w:hAnsi="Arial" w:cs="Arial"/>
          <w:sz w:val="22"/>
          <w:szCs w:val="22"/>
        </w:rPr>
      </w:pPr>
      <w:r w:rsidRPr="005F3231">
        <w:rPr>
          <w:rFonts w:ascii="Arial" w:hAnsi="Arial" w:cs="Arial"/>
          <w:sz w:val="22"/>
          <w:szCs w:val="22"/>
        </w:rPr>
        <w:t>These practices offer several organisational benefits. A diverse workforce encourages creativity, improves problem-solving, and enables Tesco to better understand the diverse needs of its customer base. Inclusive leadership programmes help managers develop cultural competence and create psychologically safe working environments where employees feel respected and valued. Employee resource groups also provide support networks that strengthen engagement and improve organisational commitment. Research by McKinsey &amp; Company (2023) indicates that organisations with more diverse leadership teams often achieve stronger financial performance and greater innovation.</w:t>
      </w:r>
    </w:p>
    <w:p w14:paraId="14E74508" w14:textId="77777777" w:rsidR="005F3231" w:rsidRPr="005F3231" w:rsidRDefault="005F3231" w:rsidP="005F3231">
      <w:pPr>
        <w:spacing w:line="360" w:lineRule="auto"/>
        <w:rPr>
          <w:rFonts w:ascii="Arial" w:hAnsi="Arial" w:cs="Arial"/>
          <w:sz w:val="22"/>
          <w:szCs w:val="22"/>
        </w:rPr>
      </w:pPr>
      <w:r w:rsidRPr="005F3231">
        <w:rPr>
          <w:rFonts w:ascii="Arial" w:hAnsi="Arial" w:cs="Arial"/>
          <w:sz w:val="22"/>
          <w:szCs w:val="22"/>
        </w:rPr>
        <w:t>However, the effectiveness of DEI initiatives depends largely on genuine organisational commitment rather than symbolic compliance. There is a risk that diversity targets become superficial if they focus solely on representation rather than creating an inclusive culture. Employees may also perceive DEI initiatives negatively if they believe opportunities are allocated unfairly, potentially creating resistance and workplace tension. Measuring inclusion is more complex than measuring workforce diversity, making evaluation challenging. Therefore, Tesco should combine quantitative measures, such as workforce demographics, with qualitative indicators, including employee engagement surveys, inclusion assessments, and feedback mechanisms, to monitor the effectiveness of its DEI strategy.</w:t>
      </w:r>
    </w:p>
    <w:p w14:paraId="07500A31" w14:textId="77777777" w:rsidR="005F3231" w:rsidRPr="005F3231" w:rsidRDefault="005F3231" w:rsidP="005F3231">
      <w:pPr>
        <w:spacing w:line="360" w:lineRule="auto"/>
        <w:rPr>
          <w:rFonts w:ascii="Arial" w:hAnsi="Arial" w:cs="Arial"/>
          <w:sz w:val="22"/>
          <w:szCs w:val="22"/>
        </w:rPr>
      </w:pPr>
      <w:r w:rsidRPr="005F3231">
        <w:rPr>
          <w:rFonts w:ascii="Arial" w:hAnsi="Arial" w:cs="Arial"/>
          <w:sz w:val="22"/>
          <w:szCs w:val="22"/>
        </w:rPr>
        <w:t>Overall, Tesco's contemporary HR practices demonstrate a strategic approach to managing technological change, attracting and retaining talent, and promoting diversity and inclusion. While these practices provide significant competitive advantages, their long-term success depends on continuous evaluation, effective leadership, employee involvement, and the organisation's ability to adapt HR strategies to changing business and workforce needs.</w:t>
      </w:r>
    </w:p>
    <w:p w14:paraId="6D979A41" w14:textId="61E361CB" w:rsidR="005F3231" w:rsidRDefault="005F3231" w:rsidP="00D15211">
      <w:pPr>
        <w:spacing w:line="360" w:lineRule="auto"/>
        <w:rPr>
          <w:rFonts w:ascii="Arial" w:hAnsi="Arial" w:cs="Arial"/>
          <w:sz w:val="22"/>
          <w:szCs w:val="22"/>
        </w:rPr>
      </w:pPr>
    </w:p>
    <w:p w14:paraId="6B2BA640" w14:textId="77777777" w:rsidR="005F3231" w:rsidRDefault="005F3231">
      <w:pPr>
        <w:rPr>
          <w:rFonts w:ascii="Arial" w:hAnsi="Arial" w:cs="Arial"/>
          <w:sz w:val="22"/>
          <w:szCs w:val="22"/>
        </w:rPr>
      </w:pPr>
      <w:r>
        <w:rPr>
          <w:rFonts w:ascii="Arial" w:hAnsi="Arial" w:cs="Arial"/>
          <w:sz w:val="22"/>
          <w:szCs w:val="22"/>
        </w:rPr>
        <w:br w:type="page"/>
      </w:r>
    </w:p>
    <w:p w14:paraId="6D11B79D" w14:textId="5BE06C2A" w:rsidR="005F3231" w:rsidRPr="005F3231" w:rsidRDefault="005F3231" w:rsidP="005F3231">
      <w:pPr>
        <w:spacing w:line="360" w:lineRule="auto"/>
        <w:rPr>
          <w:rFonts w:ascii="Arial" w:hAnsi="Arial" w:cs="Arial"/>
          <w:b/>
          <w:bCs/>
        </w:rPr>
      </w:pPr>
      <w:r w:rsidRPr="005F3231">
        <w:rPr>
          <w:rFonts w:ascii="Arial" w:hAnsi="Arial" w:cs="Arial"/>
          <w:b/>
          <w:bCs/>
        </w:rPr>
        <w:lastRenderedPageBreak/>
        <w:t>Critical Evaluation of Managerial Implementation</w:t>
      </w:r>
    </w:p>
    <w:p w14:paraId="32A14928" w14:textId="77777777" w:rsidR="005F3231" w:rsidRDefault="005F3231" w:rsidP="005F3231">
      <w:pPr>
        <w:spacing w:line="360" w:lineRule="auto"/>
        <w:rPr>
          <w:rFonts w:ascii="Arial" w:hAnsi="Arial" w:cs="Arial"/>
          <w:sz w:val="22"/>
          <w:szCs w:val="22"/>
        </w:rPr>
      </w:pPr>
    </w:p>
    <w:p w14:paraId="5BBDE5B0" w14:textId="4BA2764D" w:rsidR="005F3231" w:rsidRPr="005F3231" w:rsidRDefault="005F3231" w:rsidP="005F3231">
      <w:pPr>
        <w:spacing w:line="360" w:lineRule="auto"/>
        <w:rPr>
          <w:rFonts w:ascii="Arial" w:hAnsi="Arial" w:cs="Arial"/>
          <w:sz w:val="22"/>
          <w:szCs w:val="22"/>
        </w:rPr>
      </w:pPr>
      <w:r w:rsidRPr="005F3231">
        <w:rPr>
          <w:rFonts w:ascii="Arial" w:hAnsi="Arial" w:cs="Arial"/>
          <w:sz w:val="22"/>
          <w:szCs w:val="22"/>
        </w:rPr>
        <w:t>The successful implementation of contemporary HR practices depends not only on organisational policies but also on the commitment and capability of departmental managers. At Tesco plc, managers play a vital role in translating HR strategies into everyday workplace practices by supporting employees, promoting organisational values, and ensuring consistency across different stores and business functions. Effective managerial implementation requires leadership accountability, clear communication, continuous monitoring, a positive organisational culture, and the ability to overcome barriers to change.</w:t>
      </w:r>
    </w:p>
    <w:p w14:paraId="1F218142" w14:textId="77777777" w:rsidR="005F3231" w:rsidRPr="005F3231" w:rsidRDefault="005F3231" w:rsidP="005F3231">
      <w:pPr>
        <w:spacing w:line="360" w:lineRule="auto"/>
        <w:rPr>
          <w:rFonts w:ascii="Arial" w:hAnsi="Arial" w:cs="Arial"/>
          <w:sz w:val="22"/>
          <w:szCs w:val="22"/>
        </w:rPr>
      </w:pPr>
      <w:r w:rsidRPr="005F3231">
        <w:rPr>
          <w:rFonts w:ascii="Arial" w:hAnsi="Arial" w:cs="Arial"/>
          <w:sz w:val="22"/>
          <w:szCs w:val="22"/>
        </w:rPr>
        <w:t>Leadership accountability is essential for ensuring that HR initiatives achieve their intended outcomes. Departmental managers must take ownership of implementing digital technologies, talent management programmes, and DEI initiatives rather than viewing them solely as the responsibility of the HR department. Transformational leadership is particularly relevant because it encourages managers to inspire employees, communicate a clear vision, and support continuous improvement during organisational change (Bass &amp; Avolio, 1994). At Tesco, managers who actively participate in employee development, provide regular coaching, and model inclusive behaviours are more likely to gain employee trust and encourage commitment to organisational objectives. Without visible managerial commitment, employees may perceive HR initiatives as symbolic rather than meaningful, reducing their effectiveness.</w:t>
      </w:r>
    </w:p>
    <w:p w14:paraId="63687F2A" w14:textId="77777777" w:rsidR="005F3231" w:rsidRPr="005F3231" w:rsidRDefault="005F3231" w:rsidP="005F3231">
      <w:pPr>
        <w:spacing w:line="360" w:lineRule="auto"/>
        <w:rPr>
          <w:rFonts w:ascii="Arial" w:hAnsi="Arial" w:cs="Arial"/>
          <w:sz w:val="22"/>
          <w:szCs w:val="22"/>
        </w:rPr>
      </w:pPr>
      <w:r w:rsidRPr="005F3231">
        <w:rPr>
          <w:rFonts w:ascii="Arial" w:hAnsi="Arial" w:cs="Arial"/>
          <w:sz w:val="22"/>
          <w:szCs w:val="22"/>
        </w:rPr>
        <w:t>Effective communication is another critical factor in successful implementation. Organisational change often creates uncertainty, particularly when new technologies or revised working practices are introduced. Managers should communicate openly about the purpose, benefits, and expected impact of HR initiatives through team meetings, digital communication platforms, and one-to-one discussions. Two-way communication enables employees to express concerns, provide feedback, and contribute ideas, increasing engagement and reducing resistance to change. According to Kotter (1996), continuous communication throughout the change process strengthens employee understanding and supports successful organisational transformation. Tesco managers should therefore encourage transparent communication to ensure employees remain informed and involved.</w:t>
      </w:r>
    </w:p>
    <w:p w14:paraId="3AE36552" w14:textId="77777777" w:rsidR="005F3231" w:rsidRPr="005F3231" w:rsidRDefault="005F3231" w:rsidP="005F3231">
      <w:pPr>
        <w:spacing w:line="360" w:lineRule="auto"/>
        <w:rPr>
          <w:rFonts w:ascii="Arial" w:hAnsi="Arial" w:cs="Arial"/>
          <w:sz w:val="22"/>
          <w:szCs w:val="22"/>
        </w:rPr>
      </w:pPr>
      <w:r w:rsidRPr="005F3231">
        <w:rPr>
          <w:rFonts w:ascii="Arial" w:hAnsi="Arial" w:cs="Arial"/>
          <w:sz w:val="22"/>
          <w:szCs w:val="22"/>
        </w:rPr>
        <w:t xml:space="preserve">Monitoring and performance measurement are necessary to evaluate whether HR practices achieve desired outcomes. Departmental managers should use key performance indicators (KPIs) such as employee turnover, absenteeism, engagement scores, training completion rates, customer satisfaction, and diversity metrics to assess progress. Workforce analytics </w:t>
      </w:r>
      <w:r w:rsidRPr="005F3231">
        <w:rPr>
          <w:rFonts w:ascii="Arial" w:hAnsi="Arial" w:cs="Arial"/>
          <w:sz w:val="22"/>
          <w:szCs w:val="22"/>
        </w:rPr>
        <w:lastRenderedPageBreak/>
        <w:t>can provide valuable insights into areas requiring improvement and support evidence-based decision-making. However, managers should avoid relying solely on quantitative data, as numerical indicators may not fully capture employee experiences or organisational culture. Combining statistical performance measures with employee surveys, feedback sessions, and performance reviews provides a more comprehensive evaluation of HR effectiveness.</w:t>
      </w:r>
    </w:p>
    <w:p w14:paraId="40B2C651" w14:textId="77777777" w:rsidR="005F3231" w:rsidRPr="005F3231" w:rsidRDefault="005F3231" w:rsidP="005F3231">
      <w:pPr>
        <w:spacing w:line="360" w:lineRule="auto"/>
        <w:rPr>
          <w:rFonts w:ascii="Arial" w:hAnsi="Arial" w:cs="Arial"/>
          <w:sz w:val="22"/>
          <w:szCs w:val="22"/>
        </w:rPr>
      </w:pPr>
      <w:r w:rsidRPr="005F3231">
        <w:rPr>
          <w:rFonts w:ascii="Arial" w:hAnsi="Arial" w:cs="Arial"/>
          <w:sz w:val="22"/>
          <w:szCs w:val="22"/>
        </w:rPr>
        <w:t>Organisational culture significantly influences the success of HR implementation. Tesco's values emphasise respect, inclusion, customer focus, and collaboration, and managers must reinforce these values through their daily leadership behaviours. Creating a psychologically safe environment where employees feel respected, supported, and able to express concerns encourages engagement and innovation. Inclusive leadership is particularly important for embedding diversity, equity, and inclusion into everyday working practices rather than treating DEI as a standalone initiative. Managers who demonstrate fairness, recognise employee contributions, and encourage teamwork contribute to stronger organisational commitment and improved performance.</w:t>
      </w:r>
    </w:p>
    <w:p w14:paraId="256EEEDD" w14:textId="77777777" w:rsidR="005F3231" w:rsidRPr="005F3231" w:rsidRDefault="005F3231" w:rsidP="005F3231">
      <w:pPr>
        <w:spacing w:line="360" w:lineRule="auto"/>
        <w:rPr>
          <w:rFonts w:ascii="Arial" w:hAnsi="Arial" w:cs="Arial"/>
          <w:sz w:val="22"/>
          <w:szCs w:val="22"/>
        </w:rPr>
      </w:pPr>
      <w:r w:rsidRPr="005F3231">
        <w:rPr>
          <w:rFonts w:ascii="Arial" w:hAnsi="Arial" w:cs="Arial"/>
          <w:sz w:val="22"/>
          <w:szCs w:val="22"/>
        </w:rPr>
        <w:t>Despite these approaches, several barriers may hinder effective implementation. Resistance to change is common when employees fear job insecurity, increased workloads, or unfamiliar technology. Limited managerial capability, insufficient training, inconsistent leadership practices, budget constraints, and time pressures may also reduce the effectiveness of HR initiatives. To overcome these barriers, Tesco should invest in management development programmes that strengthen leadership, communication, and change management skills. Providing continuous training, involving employees in decision-making, recognising successful adoption of new practices, and allocating sufficient resources can reduce resistance and improve implementation outcomes.</w:t>
      </w:r>
    </w:p>
    <w:p w14:paraId="2BCE5B2B" w14:textId="77777777" w:rsidR="005F3231" w:rsidRPr="005F3231" w:rsidRDefault="005F3231" w:rsidP="005F3231">
      <w:pPr>
        <w:spacing w:line="360" w:lineRule="auto"/>
        <w:rPr>
          <w:rFonts w:ascii="Arial" w:hAnsi="Arial" w:cs="Arial"/>
          <w:sz w:val="22"/>
          <w:szCs w:val="22"/>
        </w:rPr>
      </w:pPr>
      <w:r w:rsidRPr="005F3231">
        <w:rPr>
          <w:rFonts w:ascii="Arial" w:hAnsi="Arial" w:cs="Arial"/>
          <w:sz w:val="22"/>
          <w:szCs w:val="22"/>
        </w:rPr>
        <w:t>Overall, departmental managers are central to the success of Tesco's contemporary HR practices. Through accountable leadership, effective communication, continuous monitoring, and the development of an inclusive organisational culture, managers can ensure that HR initiatives are implemented consistently and effectively. Addressing implementation barriers proactively enables Tesco to maximise employee engagement, improve organisational performance, and maintain long-term competitiveness in the rapidly evolving retail sector.</w:t>
      </w:r>
    </w:p>
    <w:p w14:paraId="72F9529E" w14:textId="7A09A7BE" w:rsidR="005F3231" w:rsidRDefault="005F3231" w:rsidP="00D15211">
      <w:pPr>
        <w:spacing w:line="360" w:lineRule="auto"/>
        <w:rPr>
          <w:rFonts w:ascii="Arial" w:hAnsi="Arial" w:cs="Arial"/>
          <w:sz w:val="22"/>
          <w:szCs w:val="22"/>
        </w:rPr>
      </w:pPr>
    </w:p>
    <w:p w14:paraId="5F750DE5" w14:textId="77777777" w:rsidR="005F3231" w:rsidRDefault="005F3231">
      <w:pPr>
        <w:rPr>
          <w:rFonts w:ascii="Arial" w:hAnsi="Arial" w:cs="Arial"/>
          <w:sz w:val="22"/>
          <w:szCs w:val="22"/>
        </w:rPr>
      </w:pPr>
      <w:r>
        <w:rPr>
          <w:rFonts w:ascii="Arial" w:hAnsi="Arial" w:cs="Arial"/>
          <w:sz w:val="22"/>
          <w:szCs w:val="22"/>
        </w:rPr>
        <w:br w:type="page"/>
      </w:r>
    </w:p>
    <w:p w14:paraId="5652551F" w14:textId="0D73AE0C" w:rsidR="005F3231" w:rsidRPr="005F3231" w:rsidRDefault="005F3231" w:rsidP="005F3231">
      <w:pPr>
        <w:spacing w:line="360" w:lineRule="auto"/>
        <w:rPr>
          <w:rFonts w:ascii="Arial" w:hAnsi="Arial" w:cs="Arial"/>
          <w:b/>
          <w:bCs/>
        </w:rPr>
      </w:pPr>
      <w:r w:rsidRPr="005F3231">
        <w:rPr>
          <w:rFonts w:ascii="Arial" w:hAnsi="Arial" w:cs="Arial"/>
          <w:b/>
          <w:bCs/>
        </w:rPr>
        <w:lastRenderedPageBreak/>
        <w:t>Conclusion</w:t>
      </w:r>
    </w:p>
    <w:p w14:paraId="5050FF66" w14:textId="77777777" w:rsidR="005F3231" w:rsidRDefault="005F3231" w:rsidP="005F3231">
      <w:pPr>
        <w:spacing w:line="360" w:lineRule="auto"/>
        <w:rPr>
          <w:rFonts w:ascii="Arial" w:hAnsi="Arial" w:cs="Arial"/>
          <w:sz w:val="22"/>
          <w:szCs w:val="22"/>
        </w:rPr>
      </w:pPr>
    </w:p>
    <w:p w14:paraId="2F986546" w14:textId="217CEB06" w:rsidR="005F3231" w:rsidRPr="005F3231" w:rsidRDefault="005F3231" w:rsidP="005F3231">
      <w:pPr>
        <w:spacing w:line="360" w:lineRule="auto"/>
        <w:rPr>
          <w:rFonts w:ascii="Arial" w:hAnsi="Arial" w:cs="Arial"/>
          <w:sz w:val="22"/>
          <w:szCs w:val="22"/>
        </w:rPr>
      </w:pPr>
      <w:r w:rsidRPr="005F3231">
        <w:rPr>
          <w:rFonts w:ascii="Arial" w:hAnsi="Arial" w:cs="Arial"/>
          <w:sz w:val="22"/>
          <w:szCs w:val="22"/>
        </w:rPr>
        <w:t>This report has examined the contemporary HR challenges facing Tesco plc, focusing on technological advancements, talent acquisition and retention, and diversity, equity, and inclusion (DEI). These factors significantly influence organisational performance, employee engagement, and long-term sustainability within the highly competitive retail sector. The evaluation demonstrated that digital HR systems, strategic talent management, and inclusive HR practices can effectively address these challenges when supported by strong leadership and continuous improvement. Furthermore, the report highlighted the critical role of departmental managers in ensuring successful implementation through effective communication, leadership accountability, performance monitoring, and the development of an inclusive organisational culture. By responding proactively to these challenges, Tesco can strengthen its workforce capability, enhance employee satisfaction, and maintain its competitive advantage in an evolving business environment.</w:t>
      </w:r>
    </w:p>
    <w:p w14:paraId="60A37699" w14:textId="77777777" w:rsidR="00A93D20" w:rsidRPr="005F3231" w:rsidRDefault="00A93D20" w:rsidP="00D15211">
      <w:pPr>
        <w:spacing w:line="360" w:lineRule="auto"/>
        <w:rPr>
          <w:rFonts w:ascii="Arial" w:hAnsi="Arial" w:cs="Arial"/>
        </w:rPr>
      </w:pPr>
    </w:p>
    <w:p w14:paraId="1D0B8201" w14:textId="0FE01A8B" w:rsidR="005F3231" w:rsidRPr="005F3231" w:rsidRDefault="005F3231" w:rsidP="005F3231">
      <w:pPr>
        <w:spacing w:line="360" w:lineRule="auto"/>
        <w:rPr>
          <w:rFonts w:ascii="Arial" w:hAnsi="Arial" w:cs="Arial"/>
          <w:b/>
          <w:bCs/>
        </w:rPr>
      </w:pPr>
      <w:r w:rsidRPr="005F3231">
        <w:rPr>
          <w:rFonts w:ascii="Arial" w:hAnsi="Arial" w:cs="Arial"/>
          <w:b/>
          <w:bCs/>
        </w:rPr>
        <w:t>Recommendations</w:t>
      </w:r>
    </w:p>
    <w:p w14:paraId="411D70CB" w14:textId="77777777" w:rsidR="005F3231" w:rsidRDefault="005F3231" w:rsidP="005F3231">
      <w:pPr>
        <w:spacing w:line="360" w:lineRule="auto"/>
        <w:rPr>
          <w:rFonts w:ascii="Arial" w:hAnsi="Arial" w:cs="Arial"/>
          <w:sz w:val="22"/>
          <w:szCs w:val="22"/>
        </w:rPr>
      </w:pPr>
    </w:p>
    <w:p w14:paraId="5D872A3E" w14:textId="2366FDA5" w:rsidR="005F3231" w:rsidRPr="005F3231" w:rsidRDefault="005F3231" w:rsidP="005F3231">
      <w:pPr>
        <w:spacing w:line="360" w:lineRule="auto"/>
        <w:rPr>
          <w:rFonts w:ascii="Arial" w:hAnsi="Arial" w:cs="Arial"/>
          <w:sz w:val="22"/>
          <w:szCs w:val="22"/>
        </w:rPr>
      </w:pPr>
      <w:r w:rsidRPr="005F3231">
        <w:rPr>
          <w:rFonts w:ascii="Arial" w:hAnsi="Arial" w:cs="Arial"/>
          <w:sz w:val="22"/>
          <w:szCs w:val="22"/>
        </w:rPr>
        <w:t>Tesco should continue investing in digital HR technologies and provide regular training to ensure employees possess the skills required to adapt to technological change. The organisation should strengthen its employer brand by expanding career development opportunities, wellbeing programmes, and flexible working arrangements to improve employee attraction and retention. In addition, Tesco should enhance its DEI strategy by providing mandatory inclusive leadership training, reducing unconscious bias in recruitment and promotion, and regularly monitoring diversity and inclusion outcomes through workforce analytics and employee feedback. Finally, departmental managers should be held accountable for achieving HR objectives through clear performance measures, regular reviews, and continuous communication with employees to support successful implementation of HR initiatives.</w:t>
      </w:r>
    </w:p>
    <w:p w14:paraId="28EE415B" w14:textId="748EAE84" w:rsidR="00C92DAD" w:rsidRDefault="00C92DAD" w:rsidP="00D15211">
      <w:pPr>
        <w:spacing w:line="360" w:lineRule="auto"/>
        <w:rPr>
          <w:rFonts w:ascii="Arial" w:hAnsi="Arial" w:cs="Arial"/>
          <w:sz w:val="22"/>
          <w:szCs w:val="22"/>
        </w:rPr>
      </w:pPr>
    </w:p>
    <w:p w14:paraId="20C9FCF5" w14:textId="77777777" w:rsidR="00C92DAD" w:rsidRDefault="00C92DAD">
      <w:pPr>
        <w:rPr>
          <w:rFonts w:ascii="Arial" w:hAnsi="Arial" w:cs="Arial"/>
          <w:sz w:val="22"/>
          <w:szCs w:val="22"/>
        </w:rPr>
      </w:pPr>
      <w:r>
        <w:rPr>
          <w:rFonts w:ascii="Arial" w:hAnsi="Arial" w:cs="Arial"/>
          <w:sz w:val="22"/>
          <w:szCs w:val="22"/>
        </w:rPr>
        <w:br w:type="page"/>
      </w:r>
    </w:p>
    <w:p w14:paraId="37B98BA4" w14:textId="70124B7E" w:rsidR="00C92DAD" w:rsidRPr="00C92DAD" w:rsidRDefault="00C92DAD" w:rsidP="00C92DAD">
      <w:pPr>
        <w:spacing w:line="360" w:lineRule="auto"/>
        <w:rPr>
          <w:rFonts w:ascii="Arial" w:hAnsi="Arial" w:cs="Arial"/>
          <w:b/>
          <w:bCs/>
          <w:sz w:val="22"/>
          <w:szCs w:val="22"/>
        </w:rPr>
      </w:pPr>
      <w:r w:rsidRPr="00C92DAD">
        <w:rPr>
          <w:rFonts w:ascii="Arial" w:hAnsi="Arial" w:cs="Arial"/>
          <w:b/>
          <w:bCs/>
          <w:sz w:val="22"/>
          <w:szCs w:val="22"/>
        </w:rPr>
        <w:lastRenderedPageBreak/>
        <w:t>Reference List</w:t>
      </w:r>
    </w:p>
    <w:p w14:paraId="642EF269" w14:textId="77777777" w:rsidR="00C92DAD" w:rsidRPr="00C92DAD" w:rsidRDefault="00C92DAD" w:rsidP="00C92DAD">
      <w:pPr>
        <w:spacing w:line="360" w:lineRule="auto"/>
        <w:rPr>
          <w:rFonts w:ascii="Arial" w:hAnsi="Arial" w:cs="Arial"/>
          <w:sz w:val="22"/>
          <w:szCs w:val="22"/>
        </w:rPr>
      </w:pPr>
      <w:r w:rsidRPr="00C92DAD">
        <w:rPr>
          <w:rFonts w:ascii="Arial" w:hAnsi="Arial" w:cs="Arial"/>
          <w:sz w:val="22"/>
          <w:szCs w:val="22"/>
        </w:rPr>
        <w:t xml:space="preserve">Armstrong, M. and Taylor, S. (2023) </w:t>
      </w:r>
      <w:r w:rsidRPr="00C92DAD">
        <w:rPr>
          <w:rFonts w:ascii="Arial" w:hAnsi="Arial" w:cs="Arial"/>
          <w:i/>
          <w:iCs/>
          <w:sz w:val="22"/>
          <w:szCs w:val="22"/>
        </w:rPr>
        <w:t>Armstrong's handbook of human resource management practice</w:t>
      </w:r>
      <w:r w:rsidRPr="00C92DAD">
        <w:rPr>
          <w:rFonts w:ascii="Arial" w:hAnsi="Arial" w:cs="Arial"/>
          <w:sz w:val="22"/>
          <w:szCs w:val="22"/>
        </w:rPr>
        <w:t xml:space="preserve">. 16th </w:t>
      </w:r>
      <w:proofErr w:type="spellStart"/>
      <w:r w:rsidRPr="00C92DAD">
        <w:rPr>
          <w:rFonts w:ascii="Arial" w:hAnsi="Arial" w:cs="Arial"/>
          <w:sz w:val="22"/>
          <w:szCs w:val="22"/>
        </w:rPr>
        <w:t>edn</w:t>
      </w:r>
      <w:proofErr w:type="spellEnd"/>
      <w:r w:rsidRPr="00C92DAD">
        <w:rPr>
          <w:rFonts w:ascii="Arial" w:hAnsi="Arial" w:cs="Arial"/>
          <w:sz w:val="22"/>
          <w:szCs w:val="22"/>
        </w:rPr>
        <w:t>. London: Kogan Page.</w:t>
      </w:r>
    </w:p>
    <w:p w14:paraId="78168C32" w14:textId="77777777" w:rsidR="00C92DAD" w:rsidRPr="00C92DAD" w:rsidRDefault="00C92DAD" w:rsidP="00C92DAD">
      <w:pPr>
        <w:spacing w:line="360" w:lineRule="auto"/>
        <w:rPr>
          <w:rFonts w:ascii="Arial" w:hAnsi="Arial" w:cs="Arial"/>
          <w:sz w:val="22"/>
          <w:szCs w:val="22"/>
        </w:rPr>
      </w:pPr>
      <w:r w:rsidRPr="00C92DAD">
        <w:rPr>
          <w:rFonts w:ascii="Arial" w:hAnsi="Arial" w:cs="Arial"/>
          <w:sz w:val="22"/>
          <w:szCs w:val="22"/>
        </w:rPr>
        <w:t xml:space="preserve">Bass, B.M. and Avolio, B.J. (1994) </w:t>
      </w:r>
      <w:r w:rsidRPr="00C92DAD">
        <w:rPr>
          <w:rFonts w:ascii="Arial" w:hAnsi="Arial" w:cs="Arial"/>
          <w:i/>
          <w:iCs/>
          <w:sz w:val="22"/>
          <w:szCs w:val="22"/>
        </w:rPr>
        <w:t>Improving organizational effectiveness through transformational leadership</w:t>
      </w:r>
      <w:r w:rsidRPr="00C92DAD">
        <w:rPr>
          <w:rFonts w:ascii="Arial" w:hAnsi="Arial" w:cs="Arial"/>
          <w:sz w:val="22"/>
          <w:szCs w:val="22"/>
        </w:rPr>
        <w:t>. Thousand Oaks, CA: Sage Publications.</w:t>
      </w:r>
    </w:p>
    <w:p w14:paraId="140D4324" w14:textId="77777777" w:rsidR="00C92DAD" w:rsidRPr="00C92DAD" w:rsidRDefault="00C92DAD" w:rsidP="00C92DAD">
      <w:pPr>
        <w:spacing w:line="360" w:lineRule="auto"/>
        <w:rPr>
          <w:rFonts w:ascii="Arial" w:hAnsi="Arial" w:cs="Arial"/>
          <w:sz w:val="22"/>
          <w:szCs w:val="22"/>
        </w:rPr>
      </w:pPr>
      <w:r w:rsidRPr="00C92DAD">
        <w:rPr>
          <w:rFonts w:ascii="Arial" w:hAnsi="Arial" w:cs="Arial"/>
          <w:sz w:val="22"/>
          <w:szCs w:val="22"/>
        </w:rPr>
        <w:t xml:space="preserve">Boxall, P. and Purcell, J. (2022) </w:t>
      </w:r>
      <w:r w:rsidRPr="00C92DAD">
        <w:rPr>
          <w:rFonts w:ascii="Arial" w:hAnsi="Arial" w:cs="Arial"/>
          <w:i/>
          <w:iCs/>
          <w:sz w:val="22"/>
          <w:szCs w:val="22"/>
        </w:rPr>
        <w:t>Strategy and human resource management</w:t>
      </w:r>
      <w:r w:rsidRPr="00C92DAD">
        <w:rPr>
          <w:rFonts w:ascii="Arial" w:hAnsi="Arial" w:cs="Arial"/>
          <w:sz w:val="22"/>
          <w:szCs w:val="22"/>
        </w:rPr>
        <w:t xml:space="preserve">. 6th </w:t>
      </w:r>
      <w:proofErr w:type="spellStart"/>
      <w:r w:rsidRPr="00C92DAD">
        <w:rPr>
          <w:rFonts w:ascii="Arial" w:hAnsi="Arial" w:cs="Arial"/>
          <w:sz w:val="22"/>
          <w:szCs w:val="22"/>
        </w:rPr>
        <w:t>edn</w:t>
      </w:r>
      <w:proofErr w:type="spellEnd"/>
      <w:r w:rsidRPr="00C92DAD">
        <w:rPr>
          <w:rFonts w:ascii="Arial" w:hAnsi="Arial" w:cs="Arial"/>
          <w:sz w:val="22"/>
          <w:szCs w:val="22"/>
        </w:rPr>
        <w:t>. London: Red Globe Press.</w:t>
      </w:r>
    </w:p>
    <w:p w14:paraId="5BD581FC" w14:textId="77777777" w:rsidR="00C92DAD" w:rsidRPr="00C92DAD" w:rsidRDefault="00C92DAD" w:rsidP="00C92DAD">
      <w:pPr>
        <w:spacing w:line="360" w:lineRule="auto"/>
        <w:rPr>
          <w:rFonts w:ascii="Arial" w:hAnsi="Arial" w:cs="Arial"/>
          <w:sz w:val="22"/>
          <w:szCs w:val="22"/>
        </w:rPr>
      </w:pPr>
      <w:r w:rsidRPr="00C92DAD">
        <w:rPr>
          <w:rFonts w:ascii="Arial" w:hAnsi="Arial" w:cs="Arial"/>
          <w:sz w:val="22"/>
          <w:szCs w:val="22"/>
        </w:rPr>
        <w:t xml:space="preserve">Bratton, J. and Gold, J. (2023) </w:t>
      </w:r>
      <w:r w:rsidRPr="00C92DAD">
        <w:rPr>
          <w:rFonts w:ascii="Arial" w:hAnsi="Arial" w:cs="Arial"/>
          <w:i/>
          <w:iCs/>
          <w:sz w:val="22"/>
          <w:szCs w:val="22"/>
        </w:rPr>
        <w:t>Human resource management: Theory and practice</w:t>
      </w:r>
      <w:r w:rsidRPr="00C92DAD">
        <w:rPr>
          <w:rFonts w:ascii="Arial" w:hAnsi="Arial" w:cs="Arial"/>
          <w:sz w:val="22"/>
          <w:szCs w:val="22"/>
        </w:rPr>
        <w:t xml:space="preserve">. 8th </w:t>
      </w:r>
      <w:proofErr w:type="spellStart"/>
      <w:r w:rsidRPr="00C92DAD">
        <w:rPr>
          <w:rFonts w:ascii="Arial" w:hAnsi="Arial" w:cs="Arial"/>
          <w:sz w:val="22"/>
          <w:szCs w:val="22"/>
        </w:rPr>
        <w:t>edn</w:t>
      </w:r>
      <w:proofErr w:type="spellEnd"/>
      <w:r w:rsidRPr="00C92DAD">
        <w:rPr>
          <w:rFonts w:ascii="Arial" w:hAnsi="Arial" w:cs="Arial"/>
          <w:sz w:val="22"/>
          <w:szCs w:val="22"/>
        </w:rPr>
        <w:t>. London: Palgrave Macmillan.</w:t>
      </w:r>
    </w:p>
    <w:p w14:paraId="28E88C72" w14:textId="04CC782D" w:rsidR="00C92DAD" w:rsidRPr="00C92DAD" w:rsidRDefault="00C92DAD" w:rsidP="00C92DAD">
      <w:pPr>
        <w:spacing w:line="360" w:lineRule="auto"/>
        <w:rPr>
          <w:rFonts w:ascii="Arial" w:hAnsi="Arial" w:cs="Arial"/>
          <w:sz w:val="22"/>
          <w:szCs w:val="22"/>
        </w:rPr>
      </w:pPr>
      <w:r w:rsidRPr="00C92DAD">
        <w:rPr>
          <w:rFonts w:ascii="Arial" w:hAnsi="Arial" w:cs="Arial"/>
          <w:sz w:val="22"/>
          <w:szCs w:val="22"/>
        </w:rPr>
        <w:t xml:space="preserve">Chartered Institute of Personnel and Development (CIPD) (2024) </w:t>
      </w:r>
      <w:r w:rsidRPr="00C92DAD">
        <w:rPr>
          <w:rFonts w:ascii="Arial" w:hAnsi="Arial" w:cs="Arial"/>
          <w:i/>
          <w:iCs/>
          <w:sz w:val="22"/>
          <w:szCs w:val="22"/>
        </w:rPr>
        <w:t>Good work index 2024</w:t>
      </w:r>
      <w:r w:rsidRPr="00C92DAD">
        <w:rPr>
          <w:rFonts w:ascii="Arial" w:hAnsi="Arial" w:cs="Arial"/>
          <w:sz w:val="22"/>
          <w:szCs w:val="22"/>
        </w:rPr>
        <w:t xml:space="preserve">. London: CIPD. Available at: https://www.cipd.org/uk/knowledge/reports/good-work-index/ (Accessed: </w:t>
      </w:r>
      <w:r>
        <w:rPr>
          <w:rFonts w:ascii="Arial" w:hAnsi="Arial" w:cs="Arial"/>
          <w:sz w:val="22"/>
          <w:szCs w:val="22"/>
        </w:rPr>
        <w:t>15</w:t>
      </w:r>
      <w:r w:rsidRPr="00C92DAD">
        <w:rPr>
          <w:rFonts w:ascii="Arial" w:hAnsi="Arial" w:cs="Arial"/>
          <w:sz w:val="22"/>
          <w:szCs w:val="22"/>
        </w:rPr>
        <w:t xml:space="preserve"> July 2026).</w:t>
      </w:r>
    </w:p>
    <w:p w14:paraId="7C60BA77" w14:textId="1712175E" w:rsidR="00C92DAD" w:rsidRPr="00C92DAD" w:rsidRDefault="00C92DAD" w:rsidP="00C92DAD">
      <w:pPr>
        <w:spacing w:line="360" w:lineRule="auto"/>
        <w:rPr>
          <w:rFonts w:ascii="Arial" w:hAnsi="Arial" w:cs="Arial"/>
          <w:sz w:val="22"/>
          <w:szCs w:val="22"/>
        </w:rPr>
      </w:pPr>
      <w:r w:rsidRPr="00C92DAD">
        <w:rPr>
          <w:rFonts w:ascii="Arial" w:hAnsi="Arial" w:cs="Arial"/>
          <w:sz w:val="22"/>
          <w:szCs w:val="22"/>
        </w:rPr>
        <w:t xml:space="preserve">Chartered Institute of Personnel and Development (CIPD) (2024) </w:t>
      </w:r>
      <w:r w:rsidRPr="00C92DAD">
        <w:rPr>
          <w:rFonts w:ascii="Arial" w:hAnsi="Arial" w:cs="Arial"/>
          <w:i/>
          <w:iCs/>
          <w:sz w:val="22"/>
          <w:szCs w:val="22"/>
        </w:rPr>
        <w:t>Resourcing and talent planning report</w:t>
      </w:r>
      <w:r w:rsidRPr="00C92DAD">
        <w:rPr>
          <w:rFonts w:ascii="Arial" w:hAnsi="Arial" w:cs="Arial"/>
          <w:sz w:val="22"/>
          <w:szCs w:val="22"/>
        </w:rPr>
        <w:t>. London: CIPD. Available at: https://www.cipd.org/uk/knowledge/reports/resourcing-talent-planning/ (Accessed:</w:t>
      </w:r>
      <w:r>
        <w:rPr>
          <w:rFonts w:ascii="Arial" w:hAnsi="Arial" w:cs="Arial"/>
          <w:sz w:val="22"/>
          <w:szCs w:val="22"/>
        </w:rPr>
        <w:t>15</w:t>
      </w:r>
      <w:r w:rsidRPr="00C92DAD">
        <w:rPr>
          <w:rFonts w:ascii="Arial" w:hAnsi="Arial" w:cs="Arial"/>
          <w:sz w:val="22"/>
          <w:szCs w:val="22"/>
        </w:rPr>
        <w:t xml:space="preserve"> July 2026).</w:t>
      </w:r>
    </w:p>
    <w:p w14:paraId="25DE6B42" w14:textId="77777777" w:rsidR="00C92DAD" w:rsidRPr="00C92DAD" w:rsidRDefault="00C92DAD" w:rsidP="00C92DAD">
      <w:pPr>
        <w:spacing w:line="360" w:lineRule="auto"/>
        <w:rPr>
          <w:rFonts w:ascii="Arial" w:hAnsi="Arial" w:cs="Arial"/>
          <w:sz w:val="22"/>
          <w:szCs w:val="22"/>
        </w:rPr>
      </w:pPr>
      <w:r w:rsidRPr="00C92DAD">
        <w:rPr>
          <w:rFonts w:ascii="Arial" w:hAnsi="Arial" w:cs="Arial"/>
          <w:sz w:val="22"/>
          <w:szCs w:val="22"/>
        </w:rPr>
        <w:t xml:space="preserve">Kotter, J.P. (1996) </w:t>
      </w:r>
      <w:r w:rsidRPr="00C92DAD">
        <w:rPr>
          <w:rFonts w:ascii="Arial" w:hAnsi="Arial" w:cs="Arial"/>
          <w:i/>
          <w:iCs/>
          <w:sz w:val="22"/>
          <w:szCs w:val="22"/>
        </w:rPr>
        <w:t>Leading change</w:t>
      </w:r>
      <w:r w:rsidRPr="00C92DAD">
        <w:rPr>
          <w:rFonts w:ascii="Arial" w:hAnsi="Arial" w:cs="Arial"/>
          <w:sz w:val="22"/>
          <w:szCs w:val="22"/>
        </w:rPr>
        <w:t>. Boston, MA: Harvard Business School Press.</w:t>
      </w:r>
    </w:p>
    <w:p w14:paraId="60C5788C" w14:textId="523CBB07" w:rsidR="00C92DAD" w:rsidRPr="00C92DAD" w:rsidRDefault="00C92DAD" w:rsidP="00C92DAD">
      <w:pPr>
        <w:spacing w:line="360" w:lineRule="auto"/>
        <w:rPr>
          <w:rFonts w:ascii="Arial" w:hAnsi="Arial" w:cs="Arial"/>
          <w:sz w:val="22"/>
          <w:szCs w:val="22"/>
        </w:rPr>
      </w:pPr>
      <w:r w:rsidRPr="00C92DAD">
        <w:rPr>
          <w:rFonts w:ascii="Arial" w:hAnsi="Arial" w:cs="Arial"/>
          <w:sz w:val="22"/>
          <w:szCs w:val="22"/>
        </w:rPr>
        <w:t xml:space="preserve">McKinsey &amp; Company (2023) </w:t>
      </w:r>
      <w:r w:rsidRPr="00C92DAD">
        <w:rPr>
          <w:rFonts w:ascii="Arial" w:hAnsi="Arial" w:cs="Arial"/>
          <w:i/>
          <w:iCs/>
          <w:sz w:val="22"/>
          <w:szCs w:val="22"/>
        </w:rPr>
        <w:t>Diversity matters even more: The case for holistic impact</w:t>
      </w:r>
      <w:r w:rsidRPr="00C92DAD">
        <w:rPr>
          <w:rFonts w:ascii="Arial" w:hAnsi="Arial" w:cs="Arial"/>
          <w:sz w:val="22"/>
          <w:szCs w:val="22"/>
        </w:rPr>
        <w:t xml:space="preserve">. Available at: https://www.mckinsey.com/capabilities/people-and-organizational-performance/our-insights/diversity-matters-even-more (Accessed: </w:t>
      </w:r>
      <w:r>
        <w:rPr>
          <w:rFonts w:ascii="Arial" w:hAnsi="Arial" w:cs="Arial"/>
          <w:sz w:val="22"/>
          <w:szCs w:val="22"/>
        </w:rPr>
        <w:t>14</w:t>
      </w:r>
      <w:r w:rsidRPr="00C92DAD">
        <w:rPr>
          <w:rFonts w:ascii="Arial" w:hAnsi="Arial" w:cs="Arial"/>
          <w:sz w:val="22"/>
          <w:szCs w:val="22"/>
        </w:rPr>
        <w:t xml:space="preserve"> July 2026).</w:t>
      </w:r>
    </w:p>
    <w:p w14:paraId="12AE8E32" w14:textId="77777777" w:rsidR="00C92DAD" w:rsidRPr="00C92DAD" w:rsidRDefault="00C92DAD" w:rsidP="00C92DAD">
      <w:pPr>
        <w:spacing w:line="360" w:lineRule="auto"/>
        <w:rPr>
          <w:rFonts w:ascii="Arial" w:hAnsi="Arial" w:cs="Arial"/>
          <w:sz w:val="22"/>
          <w:szCs w:val="22"/>
        </w:rPr>
      </w:pPr>
      <w:r w:rsidRPr="00C92DAD">
        <w:rPr>
          <w:rFonts w:ascii="Arial" w:hAnsi="Arial" w:cs="Arial"/>
          <w:sz w:val="22"/>
          <w:szCs w:val="22"/>
        </w:rPr>
        <w:t xml:space="preserve">Storey, J. (2019) </w:t>
      </w:r>
      <w:r w:rsidRPr="00C92DAD">
        <w:rPr>
          <w:rFonts w:ascii="Arial" w:hAnsi="Arial" w:cs="Arial"/>
          <w:i/>
          <w:iCs/>
          <w:sz w:val="22"/>
          <w:szCs w:val="22"/>
        </w:rPr>
        <w:t>Human resource management: A critical text</w:t>
      </w:r>
      <w:r w:rsidRPr="00C92DAD">
        <w:rPr>
          <w:rFonts w:ascii="Arial" w:hAnsi="Arial" w:cs="Arial"/>
          <w:sz w:val="22"/>
          <w:szCs w:val="22"/>
        </w:rPr>
        <w:t xml:space="preserve">. 5th </w:t>
      </w:r>
      <w:proofErr w:type="spellStart"/>
      <w:r w:rsidRPr="00C92DAD">
        <w:rPr>
          <w:rFonts w:ascii="Arial" w:hAnsi="Arial" w:cs="Arial"/>
          <w:sz w:val="22"/>
          <w:szCs w:val="22"/>
        </w:rPr>
        <w:t>edn</w:t>
      </w:r>
      <w:proofErr w:type="spellEnd"/>
      <w:r w:rsidRPr="00C92DAD">
        <w:rPr>
          <w:rFonts w:ascii="Arial" w:hAnsi="Arial" w:cs="Arial"/>
          <w:sz w:val="22"/>
          <w:szCs w:val="22"/>
        </w:rPr>
        <w:t>. London: Routledge.</w:t>
      </w:r>
    </w:p>
    <w:p w14:paraId="4D91C6E4" w14:textId="2878799C" w:rsidR="00C92DAD" w:rsidRPr="00C92DAD" w:rsidRDefault="00C92DAD" w:rsidP="00C92DAD">
      <w:pPr>
        <w:spacing w:line="360" w:lineRule="auto"/>
        <w:rPr>
          <w:rFonts w:ascii="Arial" w:hAnsi="Arial" w:cs="Arial"/>
          <w:sz w:val="22"/>
          <w:szCs w:val="22"/>
        </w:rPr>
      </w:pPr>
      <w:r w:rsidRPr="00C92DAD">
        <w:rPr>
          <w:rFonts w:ascii="Arial" w:hAnsi="Arial" w:cs="Arial"/>
          <w:sz w:val="22"/>
          <w:szCs w:val="22"/>
        </w:rPr>
        <w:t xml:space="preserve">Tesco plc (2025) </w:t>
      </w:r>
      <w:r w:rsidRPr="00C92DAD">
        <w:rPr>
          <w:rFonts w:ascii="Arial" w:hAnsi="Arial" w:cs="Arial"/>
          <w:i/>
          <w:iCs/>
          <w:sz w:val="22"/>
          <w:szCs w:val="22"/>
        </w:rPr>
        <w:t>Annual Report and Financial Statements 2025</w:t>
      </w:r>
      <w:r w:rsidRPr="00C92DAD">
        <w:rPr>
          <w:rFonts w:ascii="Arial" w:hAnsi="Arial" w:cs="Arial"/>
          <w:sz w:val="22"/>
          <w:szCs w:val="22"/>
        </w:rPr>
        <w:t xml:space="preserve">. Welwyn Garden City: Tesco plc. Available at: </w:t>
      </w:r>
      <w:hyperlink r:id="rId8" w:tgtFrame="_new" w:history="1">
        <w:r w:rsidRPr="00C92DAD">
          <w:rPr>
            <w:rStyle w:val="Hyperlink"/>
            <w:rFonts w:ascii="Arial" w:hAnsi="Arial" w:cs="Arial"/>
            <w:sz w:val="22"/>
            <w:szCs w:val="22"/>
          </w:rPr>
          <w:t>https://www.tescoplc.com/investors/reports-results-and-presentations/</w:t>
        </w:r>
      </w:hyperlink>
      <w:r w:rsidRPr="00C92DAD">
        <w:rPr>
          <w:rFonts w:ascii="Arial" w:hAnsi="Arial" w:cs="Arial"/>
          <w:sz w:val="22"/>
          <w:szCs w:val="22"/>
        </w:rPr>
        <w:t xml:space="preserve"> (Accessed: </w:t>
      </w:r>
      <w:r>
        <w:rPr>
          <w:rFonts w:ascii="Arial" w:hAnsi="Arial" w:cs="Arial"/>
          <w:sz w:val="22"/>
          <w:szCs w:val="22"/>
        </w:rPr>
        <w:t>10</w:t>
      </w:r>
      <w:r w:rsidRPr="00C92DAD">
        <w:rPr>
          <w:rFonts w:ascii="Arial" w:hAnsi="Arial" w:cs="Arial"/>
          <w:sz w:val="22"/>
          <w:szCs w:val="22"/>
        </w:rPr>
        <w:t xml:space="preserve"> July 2026).</w:t>
      </w:r>
    </w:p>
    <w:p w14:paraId="6C87F18A" w14:textId="426D6702" w:rsidR="00C92DAD" w:rsidRPr="00C92DAD" w:rsidRDefault="00C92DAD" w:rsidP="00C92DAD">
      <w:pPr>
        <w:spacing w:line="360" w:lineRule="auto"/>
        <w:rPr>
          <w:rFonts w:ascii="Arial" w:hAnsi="Arial" w:cs="Arial"/>
          <w:sz w:val="22"/>
          <w:szCs w:val="22"/>
        </w:rPr>
      </w:pPr>
      <w:r w:rsidRPr="00C92DAD">
        <w:rPr>
          <w:rFonts w:ascii="Arial" w:hAnsi="Arial" w:cs="Arial"/>
          <w:sz w:val="22"/>
          <w:szCs w:val="22"/>
        </w:rPr>
        <w:t xml:space="preserve">Tesco plc (2025) </w:t>
      </w:r>
      <w:r w:rsidRPr="00C92DAD">
        <w:rPr>
          <w:rFonts w:ascii="Arial" w:hAnsi="Arial" w:cs="Arial"/>
          <w:i/>
          <w:iCs/>
          <w:sz w:val="22"/>
          <w:szCs w:val="22"/>
        </w:rPr>
        <w:t>Sustainability Report 2025</w:t>
      </w:r>
      <w:r w:rsidRPr="00C92DAD">
        <w:rPr>
          <w:rFonts w:ascii="Arial" w:hAnsi="Arial" w:cs="Arial"/>
          <w:sz w:val="22"/>
          <w:szCs w:val="22"/>
        </w:rPr>
        <w:t xml:space="preserve">. Welwyn Garden City: Tesco plc. Available at: </w:t>
      </w:r>
      <w:hyperlink r:id="rId9" w:tgtFrame="_new" w:history="1">
        <w:r w:rsidRPr="00C92DAD">
          <w:rPr>
            <w:rStyle w:val="Hyperlink"/>
            <w:rFonts w:ascii="Arial" w:hAnsi="Arial" w:cs="Arial"/>
            <w:sz w:val="22"/>
            <w:szCs w:val="22"/>
          </w:rPr>
          <w:t>https://www.tescoplc.com/sustainability/</w:t>
        </w:r>
      </w:hyperlink>
      <w:r w:rsidRPr="00C92DAD">
        <w:rPr>
          <w:rFonts w:ascii="Arial" w:hAnsi="Arial" w:cs="Arial"/>
          <w:sz w:val="22"/>
          <w:szCs w:val="22"/>
        </w:rPr>
        <w:t xml:space="preserve"> (Accessed: </w:t>
      </w:r>
      <w:r>
        <w:rPr>
          <w:rFonts w:ascii="Arial" w:hAnsi="Arial" w:cs="Arial"/>
          <w:sz w:val="22"/>
          <w:szCs w:val="22"/>
        </w:rPr>
        <w:t>10</w:t>
      </w:r>
      <w:r w:rsidRPr="00C92DAD">
        <w:rPr>
          <w:rFonts w:ascii="Arial" w:hAnsi="Arial" w:cs="Arial"/>
          <w:sz w:val="22"/>
          <w:szCs w:val="22"/>
        </w:rPr>
        <w:t xml:space="preserve"> July 2026).</w:t>
      </w:r>
    </w:p>
    <w:p w14:paraId="364A3DBC" w14:textId="77777777" w:rsidR="00C92DAD" w:rsidRPr="00C92DAD" w:rsidRDefault="00C92DAD" w:rsidP="00C92DAD">
      <w:pPr>
        <w:spacing w:line="360" w:lineRule="auto"/>
        <w:rPr>
          <w:rFonts w:ascii="Arial" w:hAnsi="Arial" w:cs="Arial"/>
          <w:sz w:val="22"/>
          <w:szCs w:val="22"/>
        </w:rPr>
      </w:pPr>
      <w:r w:rsidRPr="00C92DAD">
        <w:rPr>
          <w:rFonts w:ascii="Arial" w:hAnsi="Arial" w:cs="Arial"/>
          <w:sz w:val="22"/>
          <w:szCs w:val="22"/>
        </w:rPr>
        <w:t xml:space="preserve">Ulrich, D., Younger, J., Brockbank, W. and Ulrich, M. (2012) </w:t>
      </w:r>
      <w:r w:rsidRPr="00C92DAD">
        <w:rPr>
          <w:rFonts w:ascii="Arial" w:hAnsi="Arial" w:cs="Arial"/>
          <w:i/>
          <w:iCs/>
          <w:sz w:val="22"/>
          <w:szCs w:val="22"/>
        </w:rPr>
        <w:t>HR from the outside in: Six competencies for the future of human resources</w:t>
      </w:r>
      <w:r w:rsidRPr="00C92DAD">
        <w:rPr>
          <w:rFonts w:ascii="Arial" w:hAnsi="Arial" w:cs="Arial"/>
          <w:sz w:val="22"/>
          <w:szCs w:val="22"/>
        </w:rPr>
        <w:t>. New York: McGraw-Hill.</w:t>
      </w:r>
    </w:p>
    <w:p w14:paraId="592F1FD9" w14:textId="747E5E5A" w:rsidR="00C92DAD" w:rsidRPr="00C92DAD" w:rsidRDefault="00C92DAD" w:rsidP="00C92DAD">
      <w:pPr>
        <w:spacing w:line="360" w:lineRule="auto"/>
        <w:rPr>
          <w:rFonts w:ascii="Arial" w:hAnsi="Arial" w:cs="Arial"/>
          <w:sz w:val="22"/>
          <w:szCs w:val="22"/>
        </w:rPr>
      </w:pPr>
      <w:r w:rsidRPr="00C92DAD">
        <w:rPr>
          <w:rFonts w:ascii="Arial" w:hAnsi="Arial" w:cs="Arial"/>
          <w:sz w:val="22"/>
          <w:szCs w:val="22"/>
        </w:rPr>
        <w:t xml:space="preserve">World Economic Forum (2025) </w:t>
      </w:r>
      <w:r w:rsidRPr="00C92DAD">
        <w:rPr>
          <w:rFonts w:ascii="Arial" w:hAnsi="Arial" w:cs="Arial"/>
          <w:i/>
          <w:iCs/>
          <w:sz w:val="22"/>
          <w:szCs w:val="22"/>
        </w:rPr>
        <w:t>The future of jobs report 2025</w:t>
      </w:r>
      <w:r w:rsidRPr="00C92DAD">
        <w:rPr>
          <w:rFonts w:ascii="Arial" w:hAnsi="Arial" w:cs="Arial"/>
          <w:sz w:val="22"/>
          <w:szCs w:val="22"/>
        </w:rPr>
        <w:t xml:space="preserve">. Geneva: World Economic Forum. Available at: </w:t>
      </w:r>
      <w:hyperlink r:id="rId10" w:tgtFrame="_new" w:history="1">
        <w:r w:rsidRPr="00C92DAD">
          <w:rPr>
            <w:rStyle w:val="Hyperlink"/>
            <w:rFonts w:ascii="Arial" w:hAnsi="Arial" w:cs="Arial"/>
            <w:sz w:val="22"/>
            <w:szCs w:val="22"/>
          </w:rPr>
          <w:t>https://www.weforum.org/reports/the-future-of-jobs-report-2025/</w:t>
        </w:r>
      </w:hyperlink>
      <w:r w:rsidRPr="00C92DAD">
        <w:rPr>
          <w:rFonts w:ascii="Arial" w:hAnsi="Arial" w:cs="Arial"/>
          <w:sz w:val="22"/>
          <w:szCs w:val="22"/>
        </w:rPr>
        <w:t xml:space="preserve"> (Accessed: </w:t>
      </w:r>
      <w:r>
        <w:rPr>
          <w:rFonts w:ascii="Arial" w:hAnsi="Arial" w:cs="Arial"/>
          <w:sz w:val="22"/>
          <w:szCs w:val="22"/>
        </w:rPr>
        <w:t>11</w:t>
      </w:r>
      <w:r w:rsidRPr="00C92DAD">
        <w:rPr>
          <w:rFonts w:ascii="Arial" w:hAnsi="Arial" w:cs="Arial"/>
          <w:sz w:val="22"/>
          <w:szCs w:val="22"/>
        </w:rPr>
        <w:t xml:space="preserve"> July 2026).</w:t>
      </w:r>
    </w:p>
    <w:p w14:paraId="2BAE04A9" w14:textId="77777777" w:rsidR="00C92DAD" w:rsidRPr="00C92DAD" w:rsidRDefault="00C92DAD" w:rsidP="00C92DAD">
      <w:pPr>
        <w:spacing w:line="360" w:lineRule="auto"/>
        <w:rPr>
          <w:rFonts w:ascii="Arial" w:hAnsi="Arial" w:cs="Arial"/>
          <w:sz w:val="22"/>
          <w:szCs w:val="22"/>
        </w:rPr>
      </w:pPr>
      <w:r w:rsidRPr="00C92DAD">
        <w:rPr>
          <w:rFonts w:ascii="Arial" w:hAnsi="Arial" w:cs="Arial"/>
          <w:sz w:val="22"/>
          <w:szCs w:val="22"/>
        </w:rPr>
        <w:lastRenderedPageBreak/>
        <w:t>Equality Act 2010, c.15. London: The Stationery Office.</w:t>
      </w:r>
    </w:p>
    <w:p w14:paraId="4DF595FE" w14:textId="677C54DA" w:rsidR="00C92DAD" w:rsidRPr="00C92DAD" w:rsidRDefault="00C92DAD" w:rsidP="00C92DAD">
      <w:pPr>
        <w:spacing w:line="360" w:lineRule="auto"/>
        <w:rPr>
          <w:rFonts w:ascii="Arial" w:hAnsi="Arial" w:cs="Arial"/>
          <w:sz w:val="22"/>
          <w:szCs w:val="22"/>
        </w:rPr>
      </w:pPr>
      <w:r w:rsidRPr="00C92DAD">
        <w:rPr>
          <w:rFonts w:ascii="Arial" w:hAnsi="Arial" w:cs="Arial"/>
          <w:sz w:val="22"/>
          <w:szCs w:val="22"/>
        </w:rPr>
        <w:t xml:space="preserve">UK General Data Protection Regulation (UK GDPR) (2021). Available at: </w:t>
      </w:r>
      <w:hyperlink r:id="rId11" w:tgtFrame="_new" w:history="1">
        <w:r w:rsidRPr="00C92DAD">
          <w:rPr>
            <w:rStyle w:val="Hyperlink"/>
            <w:rFonts w:ascii="Arial" w:hAnsi="Arial" w:cs="Arial"/>
            <w:sz w:val="22"/>
            <w:szCs w:val="22"/>
          </w:rPr>
          <w:t>https://www.legislation.gov.uk/eur/2016/679</w:t>
        </w:r>
      </w:hyperlink>
      <w:r w:rsidRPr="00C92DAD">
        <w:rPr>
          <w:rFonts w:ascii="Arial" w:hAnsi="Arial" w:cs="Arial"/>
          <w:sz w:val="22"/>
          <w:szCs w:val="22"/>
        </w:rPr>
        <w:t xml:space="preserve"> (Accessed: </w:t>
      </w:r>
      <w:r>
        <w:rPr>
          <w:rFonts w:ascii="Arial" w:hAnsi="Arial" w:cs="Arial"/>
          <w:sz w:val="22"/>
          <w:szCs w:val="22"/>
        </w:rPr>
        <w:t>15</w:t>
      </w:r>
      <w:r w:rsidRPr="00C92DAD">
        <w:rPr>
          <w:rFonts w:ascii="Arial" w:hAnsi="Arial" w:cs="Arial"/>
          <w:sz w:val="22"/>
          <w:szCs w:val="22"/>
        </w:rPr>
        <w:t xml:space="preserve"> July 2026).</w:t>
      </w:r>
    </w:p>
    <w:p w14:paraId="5B054757" w14:textId="77777777" w:rsidR="005F3231" w:rsidRPr="00A93D20" w:rsidRDefault="005F3231" w:rsidP="00D15211">
      <w:pPr>
        <w:spacing w:line="360" w:lineRule="auto"/>
        <w:rPr>
          <w:rFonts w:ascii="Arial" w:hAnsi="Arial" w:cs="Arial"/>
          <w:sz w:val="22"/>
          <w:szCs w:val="22"/>
        </w:rPr>
      </w:pPr>
    </w:p>
    <w:sectPr w:rsidR="005F3231" w:rsidRPr="00A93D20" w:rsidSect="0041297C">
      <w:footerReference w:type="default" r:id="rId1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8F73E0" w14:textId="77777777" w:rsidR="000B62A7" w:rsidRDefault="000B62A7" w:rsidP="00C92DAD">
      <w:pPr>
        <w:spacing w:after="0" w:line="240" w:lineRule="auto"/>
      </w:pPr>
      <w:r>
        <w:separator/>
      </w:r>
    </w:p>
  </w:endnote>
  <w:endnote w:type="continuationSeparator" w:id="0">
    <w:p w14:paraId="47BBC36D" w14:textId="77777777" w:rsidR="000B62A7" w:rsidRDefault="000B62A7" w:rsidP="00C92D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E678C0" w14:textId="77777777" w:rsidR="0041297C" w:rsidRDefault="004129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2C84CB" w14:textId="77777777" w:rsidR="000B62A7" w:rsidRDefault="000B62A7" w:rsidP="00C92DAD">
      <w:pPr>
        <w:spacing w:after="0" w:line="240" w:lineRule="auto"/>
      </w:pPr>
      <w:r>
        <w:separator/>
      </w:r>
    </w:p>
  </w:footnote>
  <w:footnote w:type="continuationSeparator" w:id="0">
    <w:p w14:paraId="0AF65969" w14:textId="77777777" w:rsidR="000B62A7" w:rsidRDefault="000B62A7" w:rsidP="00C92D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3B6056"/>
    <w:multiLevelType w:val="hybridMultilevel"/>
    <w:tmpl w:val="3CFAAF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FA32CB"/>
    <w:multiLevelType w:val="hybridMultilevel"/>
    <w:tmpl w:val="8320F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0501113">
    <w:abstractNumId w:val="0"/>
  </w:num>
  <w:num w:numId="2" w16cid:durableId="19894816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211"/>
    <w:rsid w:val="0000616A"/>
    <w:rsid w:val="000B62A7"/>
    <w:rsid w:val="00105DC2"/>
    <w:rsid w:val="003741BC"/>
    <w:rsid w:val="0041297C"/>
    <w:rsid w:val="005629A2"/>
    <w:rsid w:val="005F3231"/>
    <w:rsid w:val="00816841"/>
    <w:rsid w:val="00A93D20"/>
    <w:rsid w:val="00C92DAD"/>
    <w:rsid w:val="00D152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F58B4A"/>
  <w15:chartTrackingRefBased/>
  <w15:docId w15:val="{BBCE6D2A-2EA7-4C89-A8C6-5FF0391705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52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52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52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52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52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52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52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52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52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52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52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52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52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52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52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52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52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5211"/>
    <w:rPr>
      <w:rFonts w:eastAsiaTheme="majorEastAsia" w:cstheme="majorBidi"/>
      <w:color w:val="272727" w:themeColor="text1" w:themeTint="D8"/>
    </w:rPr>
  </w:style>
  <w:style w:type="paragraph" w:styleId="Title">
    <w:name w:val="Title"/>
    <w:basedOn w:val="Normal"/>
    <w:next w:val="Normal"/>
    <w:link w:val="TitleChar"/>
    <w:uiPriority w:val="10"/>
    <w:qFormat/>
    <w:rsid w:val="00D152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52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52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52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5211"/>
    <w:pPr>
      <w:spacing w:before="160"/>
      <w:jc w:val="center"/>
    </w:pPr>
    <w:rPr>
      <w:i/>
      <w:iCs/>
      <w:color w:val="404040" w:themeColor="text1" w:themeTint="BF"/>
    </w:rPr>
  </w:style>
  <w:style w:type="character" w:customStyle="1" w:styleId="QuoteChar">
    <w:name w:val="Quote Char"/>
    <w:basedOn w:val="DefaultParagraphFont"/>
    <w:link w:val="Quote"/>
    <w:uiPriority w:val="29"/>
    <w:rsid w:val="00D15211"/>
    <w:rPr>
      <w:i/>
      <w:iCs/>
      <w:color w:val="404040" w:themeColor="text1" w:themeTint="BF"/>
    </w:rPr>
  </w:style>
  <w:style w:type="paragraph" w:styleId="ListParagraph">
    <w:name w:val="List Paragraph"/>
    <w:basedOn w:val="Normal"/>
    <w:uiPriority w:val="34"/>
    <w:qFormat/>
    <w:rsid w:val="00D15211"/>
    <w:pPr>
      <w:ind w:left="720"/>
      <w:contextualSpacing/>
    </w:pPr>
  </w:style>
  <w:style w:type="character" w:styleId="IntenseEmphasis">
    <w:name w:val="Intense Emphasis"/>
    <w:basedOn w:val="DefaultParagraphFont"/>
    <w:uiPriority w:val="21"/>
    <w:qFormat/>
    <w:rsid w:val="00D15211"/>
    <w:rPr>
      <w:i/>
      <w:iCs/>
      <w:color w:val="0F4761" w:themeColor="accent1" w:themeShade="BF"/>
    </w:rPr>
  </w:style>
  <w:style w:type="paragraph" w:styleId="IntenseQuote">
    <w:name w:val="Intense Quote"/>
    <w:basedOn w:val="Normal"/>
    <w:next w:val="Normal"/>
    <w:link w:val="IntenseQuoteChar"/>
    <w:uiPriority w:val="30"/>
    <w:qFormat/>
    <w:rsid w:val="00D152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5211"/>
    <w:rPr>
      <w:i/>
      <w:iCs/>
      <w:color w:val="0F4761" w:themeColor="accent1" w:themeShade="BF"/>
    </w:rPr>
  </w:style>
  <w:style w:type="character" w:styleId="IntenseReference">
    <w:name w:val="Intense Reference"/>
    <w:basedOn w:val="DefaultParagraphFont"/>
    <w:uiPriority w:val="32"/>
    <w:qFormat/>
    <w:rsid w:val="00D15211"/>
    <w:rPr>
      <w:b/>
      <w:bCs/>
      <w:smallCaps/>
      <w:color w:val="0F4761" w:themeColor="accent1" w:themeShade="BF"/>
      <w:spacing w:val="5"/>
    </w:rPr>
  </w:style>
  <w:style w:type="character" w:styleId="Hyperlink">
    <w:name w:val="Hyperlink"/>
    <w:basedOn w:val="DefaultParagraphFont"/>
    <w:uiPriority w:val="99"/>
    <w:unhideWhenUsed/>
    <w:rsid w:val="00C92DAD"/>
    <w:rPr>
      <w:color w:val="467886" w:themeColor="hyperlink"/>
      <w:u w:val="single"/>
    </w:rPr>
  </w:style>
  <w:style w:type="character" w:styleId="UnresolvedMention">
    <w:name w:val="Unresolved Mention"/>
    <w:basedOn w:val="DefaultParagraphFont"/>
    <w:uiPriority w:val="99"/>
    <w:semiHidden/>
    <w:unhideWhenUsed/>
    <w:rsid w:val="00C92DAD"/>
    <w:rPr>
      <w:color w:val="605E5C"/>
      <w:shd w:val="clear" w:color="auto" w:fill="E1DFDD"/>
    </w:rPr>
  </w:style>
  <w:style w:type="paragraph" w:styleId="Header">
    <w:name w:val="header"/>
    <w:basedOn w:val="Normal"/>
    <w:link w:val="HeaderChar"/>
    <w:uiPriority w:val="99"/>
    <w:unhideWhenUsed/>
    <w:rsid w:val="00C92D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2DAD"/>
  </w:style>
  <w:style w:type="paragraph" w:styleId="Footer">
    <w:name w:val="footer"/>
    <w:basedOn w:val="Normal"/>
    <w:link w:val="FooterChar"/>
    <w:uiPriority w:val="99"/>
    <w:unhideWhenUsed/>
    <w:rsid w:val="00C92D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2D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coplc.com/investors/reports-results-and-presentation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eur/2016/679" TargetMode="External"/><Relationship Id="rId5" Type="http://schemas.openxmlformats.org/officeDocument/2006/relationships/footnotes" Target="footnotes.xml"/><Relationship Id="rId10" Type="http://schemas.openxmlformats.org/officeDocument/2006/relationships/hyperlink" Target="https://www.weforum.org/reports/the-future-of-jobs-report-2025/" TargetMode="External"/><Relationship Id="rId4" Type="http://schemas.openxmlformats.org/officeDocument/2006/relationships/webSettings" Target="webSettings.xml"/><Relationship Id="rId9" Type="http://schemas.openxmlformats.org/officeDocument/2006/relationships/hyperlink" Target="https://www.tescoplc.com/sustainabilit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62</TotalTime>
  <Pages>14</Pages>
  <Words>3554</Words>
  <Characters>20258</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 Horia Zbircea</dc:creator>
  <cp:keywords/>
  <dc:description/>
  <cp:lastModifiedBy>Mihai Horia Zbircea</cp:lastModifiedBy>
  <cp:revision>1</cp:revision>
  <dcterms:created xsi:type="dcterms:W3CDTF">2026-07-27T09:22:00Z</dcterms:created>
  <dcterms:modified xsi:type="dcterms:W3CDTF">2026-07-27T10:37:00Z</dcterms:modified>
</cp:coreProperties>
</file>