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pacing w:after="80" w:line="360" w:lineRule="auto"/>
        <w:jc w:val="center"/>
        <w:rPr>
          <w:b w:val="1"/>
          <w:bCs w:val="1"/>
          <w:sz w:val="40"/>
          <w:szCs w:val="40"/>
        </w:rPr>
      </w:pPr>
      <w:bookmarkStart w:colFirst="0" w:colLast="0" w:name="_l4mii6eowfzr" w:id="0"/>
      <w:bookmarkEnd w:id="0"/>
      <w:r w:rsidDel="00000000" w:rsidR="00000000" w:rsidRPr="00000000">
        <w:rPr>
          <w:b w:val="1"/>
          <w:bCs w:val="1"/>
          <w:sz w:val="40"/>
          <w:szCs w:val="40"/>
          <w:rtl w:val="0"/>
        </w:rPr>
        <w:t xml:space="preserve">The</w:t>
      </w:r>
      <w:r w:rsidDel="00000000" w:rsidR="00000000" w:rsidRPr="00000000">
        <w:rPr>
          <w:b w:val="1"/>
          <w:bCs w:val="1"/>
          <w:i w:val="1"/>
          <w:iCs w:val="1"/>
          <w:sz w:val="40"/>
          <w:szCs w:val="40"/>
          <w:rtl w:val="0"/>
        </w:rPr>
        <w:t xml:space="preserve"> (not so)</w:t>
      </w:r>
      <w:r w:rsidDel="00000000" w:rsidR="00000000" w:rsidRPr="00000000">
        <w:rPr>
          <w:b w:val="1"/>
          <w:bCs w:val="1"/>
          <w:sz w:val="40"/>
          <w:szCs w:val="40"/>
          <w:rtl w:val="0"/>
        </w:rPr>
        <w:t xml:space="preserve"> Cookie Cutter Guide for Extreme Vocals </w:t>
      </w:r>
    </w:p>
    <w:p w:rsidR="00000000" w:rsidDel="00000000" w:rsidP="00000000" w:rsidRDefault="00000000" w:rsidRPr="00000000" w14:paraId="00000002">
      <w:pPr>
        <w:pStyle w:val="Title"/>
        <w:keepNext w:val="0"/>
        <w:keepLines w:val="0"/>
        <w:spacing w:after="80" w:line="360" w:lineRule="auto"/>
        <w:jc w:val="center"/>
        <w:rPr>
          <w:sz w:val="48"/>
          <w:szCs w:val="48"/>
        </w:rPr>
      </w:pPr>
      <w:bookmarkStart w:colFirst="0" w:colLast="0" w:name="_7mw9nkx2g6cb" w:id="1"/>
      <w:bookmarkEnd w:id="1"/>
      <w:r w:rsidDel="00000000" w:rsidR="00000000" w:rsidRPr="00000000">
        <w:rPr>
          <w:i w:val="1"/>
          <w:iCs w:val="1"/>
          <w:sz w:val="32"/>
          <w:szCs w:val="32"/>
          <w:rtl w:val="0"/>
        </w:rPr>
        <w:t xml:space="preserve">An Inclusive Pedagogical Artefact for Diverse Voice Users</w:t>
      </w:r>
      <w:r w:rsidDel="00000000" w:rsidR="00000000" w:rsidRPr="00000000">
        <w:rPr>
          <w:rtl w:val="0"/>
        </w:rPr>
      </w:r>
    </w:p>
    <w:p w:rsidR="00000000" w:rsidDel="00000000" w:rsidP="00000000" w:rsidRDefault="00000000" w:rsidRPr="00000000" w14:paraId="00000003">
      <w:pPr>
        <w:keepNext w:val="0"/>
        <w:keepLines w:val="0"/>
        <w:spacing w:after="80" w:line="360" w:lineRule="auto"/>
        <w:jc w:val="center"/>
        <w:rPr/>
      </w:pPr>
      <w:r w:rsidDel="00000000" w:rsidR="00000000" w:rsidRPr="00000000">
        <w:rPr>
          <w:rtl w:val="0"/>
        </w:rPr>
        <w:t xml:space="preserve">How can trauma-informed, gender-inclusive, and neurodivergent-affirming pedagogical principles inform the design of a safe and accessible workbook for teaching Extreme Vocal Effects (EVEs)?</w:t>
      </w:r>
    </w:p>
    <w:p w:rsidR="00000000" w:rsidDel="00000000" w:rsidP="00000000" w:rsidRDefault="00000000" w:rsidRPr="00000000" w14:paraId="00000004">
      <w:pPr>
        <w:spacing w:after="240" w:before="240" w:lineRule="auto"/>
        <w:jc w:val="center"/>
        <w:rPr>
          <w:i w:val="1"/>
          <w:iCs w:val="1"/>
        </w:rPr>
      </w:pPr>
      <w:r w:rsidDel="00000000" w:rsidR="00000000" w:rsidRPr="00000000">
        <w:rPr>
          <w:i w:val="1"/>
          <w:iCs w:val="1"/>
          <w:rtl w:val="0"/>
        </w:rPr>
        <w:t xml:space="preserve">C Turvey-2317236</w:t>
      </w:r>
    </w:p>
    <w:p w:rsidR="00000000" w:rsidDel="00000000" w:rsidP="00000000" w:rsidRDefault="00000000" w:rsidRPr="00000000" w14:paraId="00000005">
      <w:pPr>
        <w:spacing w:after="240" w:before="240" w:lineRule="auto"/>
        <w:jc w:val="center"/>
        <w:rPr>
          <w:i w:val="1"/>
          <w:iCs w:val="1"/>
        </w:rPr>
      </w:pPr>
      <w:r w:rsidDel="00000000" w:rsidR="00000000" w:rsidRPr="00000000">
        <w:rPr>
          <w:i w:val="1"/>
          <w:iCs w:val="1"/>
          <w:rtl w:val="0"/>
        </w:rPr>
        <w:t xml:space="preserve">Module 7074D-Word Count-8182</w:t>
      </w:r>
      <w:r w:rsidDel="00000000" w:rsidR="00000000" w:rsidRPr="00000000">
        <w:drawing>
          <wp:anchor allowOverlap="1" behindDoc="0" distB="114300" distT="114300" distL="114300" distR="114300" hidden="0" layoutInCell="1" locked="0" relativeHeight="0" simplePos="0">
            <wp:simplePos x="0" y="0"/>
            <wp:positionH relativeFrom="column">
              <wp:posOffset>1133475</wp:posOffset>
            </wp:positionH>
            <wp:positionV relativeFrom="paragraph">
              <wp:posOffset>482977</wp:posOffset>
            </wp:positionV>
            <wp:extent cx="3643313" cy="5809059"/>
            <wp:effectExtent b="25400" l="25400" r="25400" t="25400"/>
            <wp:wrapTopAndBottom distB="114300" distT="114300"/>
            <wp:docPr id="94" name="image126.png"/>
            <a:graphic>
              <a:graphicData uri="http://schemas.openxmlformats.org/drawingml/2006/picture">
                <pic:pic>
                  <pic:nvPicPr>
                    <pic:cNvPr id="0" name="image126.png"/>
                    <pic:cNvPicPr preferRelativeResize="0"/>
                  </pic:nvPicPr>
                  <pic:blipFill>
                    <a:blip r:embed="rId6"/>
                    <a:srcRect b="0" l="0" r="0" t="0"/>
                    <a:stretch>
                      <a:fillRect/>
                    </a:stretch>
                  </pic:blipFill>
                  <pic:spPr>
                    <a:xfrm>
                      <a:off x="0" y="0"/>
                      <a:ext cx="3643313" cy="5809059"/>
                    </a:xfrm>
                    <a:prstGeom prst="rect"/>
                    <a:ln w="25400">
                      <a:solidFill>
                        <a:srgbClr val="000000"/>
                      </a:solidFill>
                      <a:prstDash val="solid"/>
                    </a:ln>
                  </pic:spPr>
                </pic:pic>
              </a:graphicData>
            </a:graphic>
          </wp:anchor>
        </w:drawing>
      </w:r>
    </w:p>
    <w:p w:rsidR="00000000" w:rsidDel="00000000" w:rsidP="00000000" w:rsidRDefault="00000000" w:rsidRPr="00000000" w14:paraId="00000006">
      <w:pPr>
        <w:spacing w:after="240" w:before="240" w:lineRule="auto"/>
        <w:jc w:val="center"/>
        <w:rPr>
          <w:i w:val="1"/>
          <w:iCs w:val="1"/>
        </w:rPr>
      </w:pPr>
      <w:r w:rsidDel="00000000" w:rsidR="00000000" w:rsidRPr="00000000">
        <w:rPr>
          <w:rtl w:val="0"/>
        </w:rPr>
      </w:r>
    </w:p>
    <w:sdt>
      <w:sdtPr>
        <w:id w:val="276007964"/>
        <w:docPartObj>
          <w:docPartGallery w:val="Table of Contents"/>
          <w:docPartUnique w:val="1"/>
        </w:docPartObj>
      </w:sdtPr>
      <w:sdtContent>
        <w:p w:rsidR="00000000" w:rsidDel="00000000" w:rsidP="00000000" w:rsidRDefault="00000000" w:rsidRPr="00000000" w14:paraId="00000007">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vz4q7sno5pl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as7220qf1bm8">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Planned Programme of Study</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kum23nq4s6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Theoretical Influences</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ntz3zasnia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Best Practice Influences</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802nhqdfhv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Methodological Influences</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zfnhf0dypf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Aims and Objectives</w:t>
              <w:tab/>
              <w:t xml:space="preserve">4</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075m91ltcx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Activities and Assessment Criteria</w:t>
              <w:tab/>
              <w:t xml:space="preserve">5</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q6am4i7faq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Methodology</w:t>
              <w:tab/>
              <w:t xml:space="preserve">6</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59eeukwm8um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tab/>
              <w:t xml:space="preserve">8</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vlzymbdol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Know That: Theoretical, Methodological and Best Practice Influences</w:t>
              <w:tab/>
              <w:t xml:space="preserve">9</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2llup36jhk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9</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f0uoiwvx49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Trauma-Informed Pedagogy</w:t>
              <w:tab/>
              <w:t xml:space="preserve">9</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8kn00h4auz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Gender-Inclusive Voice Pedagogy</w:t>
              <w:tab/>
              <w:t xml:space="preserve">10</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0hp6cdv7hu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Neurodiversity and Learning Differences</w:t>
              <w:tab/>
              <w:t xml:space="preserve">12</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qukh76w4v1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Universal Design for Learning (UDL)</w:t>
              <w:tab/>
              <w:t xml:space="preserve">13</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hmrqgbkset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Vocal Science and EVE Physiology</w:t>
              <w:tab/>
              <w:t xml:space="preserve">13</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4gnhr699el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Best Practice in EVE Pedagogy</w:t>
              <w:tab/>
              <w:t xml:space="preserve">14</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zvelh3pmsa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Methodological Influences</w:t>
              <w:tab/>
              <w:t xml:space="preserve">15</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dgg13pxue0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Summary</w:t>
              <w:tab/>
              <w:t xml:space="preserve">16</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u7b0x9356zd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Know How: Factual and Conceptual Knowledge in the Artefact</w:t>
              <w:tab/>
              <w:t xml:space="preserve">16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4m6dz8tbtp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16</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2pxdd8m33e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Applying Core Scientific Knowledge Through Mechanism Design</w:t>
              <w:tab/>
              <w:t xml:space="preserve">17</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2dwfowjux4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Conceptual Framework: How the Artefact Organises Knowledge</w:t>
              <w:tab/>
              <w:t xml:space="preserve">23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reb3m83wum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Accessibility and Inclusivity as Conceptual Design</w:t>
              <w:tab/>
              <w:t xml:space="preserve">24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d5dax58u12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Know What: Critical Evaluation of the Artefact’s Content</w:t>
              <w:tab/>
              <w:t xml:space="preserve">26</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kpfejt9eb8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26</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vlwrmu69di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Strength 1: Effective Translation of Vocal Science</w:t>
              <w:tab/>
              <w:t xml:space="preserve">26</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acoqssvc4q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Strength 2: Embedded Emotional and Physical Safety</w:t>
              <w:tab/>
              <w:t xml:space="preserve">27</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fvoaqa36v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Strength 3: Gender-Inclusive Approach</w:t>
              <w:tab/>
              <w:t xml:space="preserve">27</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6bmy9dfkar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Limitations and Areas for Further Development</w:t>
              <w:tab/>
              <w:t xml:space="preserve">29</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6skqmvc7uq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Achievement of Aims and Objectives</w:t>
              <w:tab/>
              <w:t xml:space="preserve">30</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26vysy2hdw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32</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3xsu9yqofye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Reflection</w:t>
              <w:tab/>
              <w:t xml:space="preserve">32</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okdja6cjqoe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Concrete Experience: What I Actually Lived Through During the Module</w:t>
              <w:tab/>
              <w:t xml:space="preserve">33</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shv44qvy90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Reflective Observation: What I Noticed About These Experiences</w:t>
              <w:tab/>
              <w:t xml:space="preserve">34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j74augfqwj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Abstract Conceptualisation: How Theory and Practice Came Together</w:t>
              <w:tab/>
              <w:t xml:space="preserve">35</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3nx2alijty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Active Experimentation: How These Insights Will Shape My Ongoing Practice</w:t>
              <w:tab/>
              <w:t xml:space="preserve">36</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pvrqr9827a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37</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69ucoxlm6d26">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38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i10w56wz7rr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Appendices</w:t>
              <w:tab/>
              <w:t xml:space="preserve">43</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iby8l8nqvb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Artefact Draft</w:t>
              <w:tab/>
              <w:t xml:space="preserve">43</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055scu3zyi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Module 5 Journal</w:t>
              <w:tab/>
              <w:t xml:space="preserve">146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pStyle w:val="Subtitle"/>
        <w:rPr>
          <w:sz w:val="28"/>
          <w:szCs w:val="28"/>
        </w:rPr>
      </w:pPr>
      <w:bookmarkStart w:colFirst="0" w:colLast="0" w:name="_e5fe0tk1u74n" w:id="2"/>
      <w:bookmarkEnd w:id="2"/>
      <w:r w:rsidDel="00000000" w:rsidR="00000000" w:rsidRPr="00000000">
        <w:rPr>
          <w:sz w:val="28"/>
          <w:szCs w:val="28"/>
          <w:rtl w:val="0"/>
        </w:rPr>
        <w:t xml:space="preserve">Component 1: Project Portfolio</w:t>
      </w:r>
    </w:p>
    <w:p w:rsidR="00000000" w:rsidDel="00000000" w:rsidP="00000000" w:rsidRDefault="00000000" w:rsidRPr="00000000" w14:paraId="00000032">
      <w:pPr>
        <w:pStyle w:val="Heading1"/>
        <w:spacing w:before="200" w:line="480" w:lineRule="auto"/>
        <w:rPr>
          <w:sz w:val="24"/>
          <w:szCs w:val="24"/>
        </w:rPr>
      </w:pPr>
      <w:bookmarkStart w:colFirst="0" w:colLast="0" w:name="_vz4q7sno5ply" w:id="3"/>
      <w:bookmarkEnd w:id="3"/>
      <w:r w:rsidDel="00000000" w:rsidR="00000000" w:rsidRPr="00000000">
        <w:rPr>
          <w:sz w:val="24"/>
          <w:szCs w:val="24"/>
          <w:rtl w:val="0"/>
        </w:rPr>
        <w:t xml:space="preserve">Introduction</w:t>
      </w:r>
    </w:p>
    <w:p w:rsidR="00000000" w:rsidDel="00000000" w:rsidP="00000000" w:rsidRDefault="00000000" w:rsidRPr="00000000" w14:paraId="00000033">
      <w:pPr>
        <w:spacing w:after="240" w:before="200" w:line="480" w:lineRule="auto"/>
        <w:rPr/>
      </w:pPr>
      <w:r w:rsidDel="00000000" w:rsidR="00000000" w:rsidRPr="00000000">
        <w:rPr>
          <w:rtl w:val="0"/>
        </w:rPr>
        <w:t xml:space="preserve">Extreme Vocal Effects (EVEs), such as growls and screams, are increasingly common across contemporary music, yet remain poorly understood in both pedagogy and vocal science. Much of the existing literature has either focused narrowly on physiological mechanisms (e.g. Echternach et al., 2017; Kob et al., 2019) or has relied on practitioner accounts with little empirical validation (Blackwood, 2024). In particular, there is a striking gap in how EVEs are experienced and produced across diverse genders and bodies. As Sauerland (2022) highlights in </w:t>
      </w:r>
      <w:r w:rsidDel="00000000" w:rsidR="00000000" w:rsidRPr="00000000">
        <w:rPr>
          <w:i w:val="1"/>
          <w:iCs w:val="1"/>
          <w:rtl w:val="0"/>
        </w:rPr>
        <w:t xml:space="preserve">Queering Vocal Pedagogy</w:t>
      </w:r>
      <w:r w:rsidDel="00000000" w:rsidR="00000000" w:rsidRPr="00000000">
        <w:rPr>
          <w:rtl w:val="0"/>
        </w:rPr>
        <w:t xml:space="preserve">, traditional pedagogical approaches often reinforce binary assumptions, neglecting the needs of trans and nonbinary students. A gender-inclusive physiological perspective is therefore essential to better support learners whose voices may not conform to standardised models.</w:t>
      </w:r>
    </w:p>
    <w:p w:rsidR="00000000" w:rsidDel="00000000" w:rsidP="00000000" w:rsidRDefault="00000000" w:rsidRPr="00000000" w14:paraId="00000034">
      <w:pPr>
        <w:spacing w:after="240" w:before="200" w:line="480" w:lineRule="auto"/>
        <w:rPr/>
      </w:pPr>
      <w:r w:rsidDel="00000000" w:rsidR="00000000" w:rsidRPr="00000000">
        <w:rPr>
          <w:rtl w:val="0"/>
        </w:rPr>
        <w:t xml:space="preserve">This project is directly relevant to my professional context as a gender-diverse vocal coach working predominantly with neurodiverse learners. Many of my students express interest in EVEs but also face heightened performance anxiety and concerns about vocal safety. My artefact will be a student-facing workbook and practice journal. It introduces the physiology of EVEs in accessible language, highlights gender-related differences, and provides structured exercises with reflective space for self-monitoring.</w:t>
      </w:r>
    </w:p>
    <w:p w:rsidR="00000000" w:rsidDel="00000000" w:rsidP="00000000" w:rsidRDefault="00000000" w:rsidRPr="00000000" w14:paraId="00000035">
      <w:pPr>
        <w:spacing w:after="240" w:before="200" w:line="480" w:lineRule="auto"/>
        <w:rPr/>
      </w:pPr>
      <w:r w:rsidDel="00000000" w:rsidR="00000000" w:rsidRPr="00000000">
        <w:rPr>
          <w:rtl w:val="0"/>
        </w:rPr>
        <w:t xml:space="preserve">By combining accessible pedagogy with physiological insight, the artefact should address both professional needs and scholarly gaps, providing an inclusive tool that empowers students while contributing to the underdeveloped discourse around gender and EVEs.</w:t>
      </w:r>
    </w:p>
    <w:p w:rsidR="00000000" w:rsidDel="00000000" w:rsidP="00000000" w:rsidRDefault="00000000" w:rsidRPr="00000000" w14:paraId="00000036">
      <w:pPr>
        <w:pStyle w:val="Heading1"/>
        <w:keepNext w:val="0"/>
        <w:keepLines w:val="0"/>
        <w:spacing w:before="200" w:line="480" w:lineRule="auto"/>
        <w:rPr>
          <w:sz w:val="24"/>
          <w:szCs w:val="24"/>
        </w:rPr>
      </w:pPr>
      <w:bookmarkStart w:colFirst="0" w:colLast="0" w:name="_as7220qf1bm8" w:id="4"/>
      <w:bookmarkEnd w:id="4"/>
      <w:r w:rsidDel="00000000" w:rsidR="00000000" w:rsidRPr="00000000">
        <w:rPr>
          <w:rtl w:val="0"/>
        </w:rPr>
        <w:t xml:space="preserve">Planned Programme of Study</w:t>
      </w:r>
      <w:r w:rsidDel="00000000" w:rsidR="00000000" w:rsidRPr="00000000">
        <w:rPr>
          <w:rtl w:val="0"/>
        </w:rPr>
      </w:r>
    </w:p>
    <w:p w:rsidR="00000000" w:rsidDel="00000000" w:rsidP="00000000" w:rsidRDefault="00000000" w:rsidRPr="00000000" w14:paraId="00000037">
      <w:pPr>
        <w:pStyle w:val="Heading2"/>
        <w:keepNext w:val="0"/>
        <w:keepLines w:val="0"/>
        <w:spacing w:after="40" w:before="200" w:line="480" w:lineRule="auto"/>
        <w:rPr/>
      </w:pPr>
      <w:bookmarkStart w:colFirst="0" w:colLast="0" w:name="_qkum23nq4s6q" w:id="5"/>
      <w:bookmarkEnd w:id="5"/>
      <w:r w:rsidDel="00000000" w:rsidR="00000000" w:rsidRPr="00000000">
        <w:rPr>
          <w:rtl w:val="0"/>
        </w:rPr>
        <w:t xml:space="preserve">Theoretical Influences</w:t>
      </w:r>
    </w:p>
    <w:p w:rsidR="00000000" w:rsidDel="00000000" w:rsidP="00000000" w:rsidRDefault="00000000" w:rsidRPr="00000000" w14:paraId="00000038">
      <w:pPr>
        <w:spacing w:after="240" w:before="200" w:line="480" w:lineRule="auto"/>
        <w:rPr/>
      </w:pPr>
      <w:r w:rsidDel="00000000" w:rsidR="00000000" w:rsidRPr="00000000">
        <w:rPr>
          <w:rtl w:val="0"/>
        </w:rPr>
        <w:t xml:space="preserve">This project is influenced by several theoretical perspectives that inform the design of a student-facing workbook and practice journal for Extreme Vocal Effects (EVEs). Vocal physiology provides the foundation, with research by Echternach et al. (2017), Kob et al. (2019), and Herbst (2014) clarifying mechanisms such as fry, false fold vibration, and supraglottic activity. This knowledge will underpin diagrams and accessible explanations in the workbook. Research on gender-diverse voices (Azul, 2015; Davies et al., 2015; Spencer, 2020) demonstrates how factors such as vocal fold length and hormone therapy affect sound production, highlighting the need for inclusive framing.</w:t>
      </w:r>
    </w:p>
    <w:p w:rsidR="00000000" w:rsidDel="00000000" w:rsidP="00000000" w:rsidRDefault="00000000" w:rsidRPr="00000000" w14:paraId="00000039">
      <w:pPr>
        <w:spacing w:after="240" w:before="200" w:line="480" w:lineRule="auto"/>
        <w:rPr/>
      </w:pPr>
      <w:r w:rsidDel="00000000" w:rsidR="00000000" w:rsidRPr="00000000">
        <w:rPr>
          <w:rtl w:val="0"/>
        </w:rPr>
        <w:t xml:space="preserve">Educational theory further supports the project. Trauma-informed pedagogy emphasises the importance of emotional safety (Block, 2019; Bauman-Field, 2024), while Ginsborg (2018) stresses how wellbeing shapes vocal learning. Scaffolding and chunking models (Wood et al., 1976; Sweller, 1998) provide a structure for breaking complex techniques into manageable steps, and recent research confirms that neurodiverse learners benefit from such strategies to reduce overload (Le Cunff et al., 2024; AERO, 2023). Universal Design for Learning (CAST, 2018) underpins the approach, ensuring that students have multiple ways to engage. Together, these theories integrate physiology, gender inclusivity, and accessibility.</w:t>
      </w:r>
    </w:p>
    <w:p w:rsidR="00000000" w:rsidDel="00000000" w:rsidP="00000000" w:rsidRDefault="00000000" w:rsidRPr="00000000" w14:paraId="0000003A">
      <w:pPr>
        <w:pStyle w:val="Heading2"/>
        <w:keepNext w:val="0"/>
        <w:keepLines w:val="0"/>
        <w:spacing w:after="40" w:before="200" w:line="480" w:lineRule="auto"/>
        <w:rPr/>
      </w:pPr>
      <w:bookmarkStart w:colFirst="0" w:colLast="0" w:name="_jntz3zasniaz" w:id="6"/>
      <w:bookmarkEnd w:id="6"/>
      <w:r w:rsidDel="00000000" w:rsidR="00000000" w:rsidRPr="00000000">
        <w:rPr>
          <w:rtl w:val="0"/>
        </w:rPr>
        <w:t xml:space="preserve">Best Practice Influences</w:t>
      </w:r>
    </w:p>
    <w:p w:rsidR="00000000" w:rsidDel="00000000" w:rsidP="00000000" w:rsidRDefault="00000000" w:rsidRPr="00000000" w14:paraId="0000003B">
      <w:pPr>
        <w:spacing w:after="240" w:before="200" w:line="480" w:lineRule="auto"/>
        <w:rPr/>
      </w:pPr>
      <w:r w:rsidDel="00000000" w:rsidR="00000000" w:rsidRPr="00000000">
        <w:rPr>
          <w:rtl w:val="0"/>
        </w:rPr>
        <w:t xml:space="preserve">The workbook also draws on existing practices in music and related disciplines. Popular EVE methods, such as the </w:t>
      </w:r>
      <w:r w:rsidDel="00000000" w:rsidR="00000000" w:rsidRPr="00000000">
        <w:rPr>
          <w:i w:val="1"/>
          <w:iCs w:val="1"/>
          <w:rtl w:val="0"/>
        </w:rPr>
        <w:t xml:space="preserve">Zen of Screaming</w:t>
      </w:r>
      <w:r w:rsidDel="00000000" w:rsidR="00000000" w:rsidRPr="00000000">
        <w:rPr>
          <w:rtl w:val="0"/>
        </w:rPr>
        <w:t xml:space="preserve"> (Cross, 2005) and Complete Vocal Technique (Sadolin, 2012), offer practical exercises but are limited by inconsistent physiological explanations and a lack of inclusivity. This project critiques these methods, adopting beneficial aspects while addressing their gaps.</w:t>
      </w:r>
    </w:p>
    <w:p w:rsidR="00000000" w:rsidDel="00000000" w:rsidP="00000000" w:rsidRDefault="00000000" w:rsidRPr="00000000" w14:paraId="0000003C">
      <w:pPr>
        <w:spacing w:after="240" w:before="200" w:line="480" w:lineRule="auto"/>
        <w:rPr/>
      </w:pPr>
      <w:r w:rsidDel="00000000" w:rsidR="00000000" w:rsidRPr="00000000">
        <w:rPr>
          <w:rtl w:val="0"/>
        </w:rPr>
        <w:t xml:space="preserve">From adjacent disciplines, musical theatre training offers examples of scaffolded warm-ups and reflective journaling, while speech therapy models provide approaches to vocal hygiene and progressive skill development. Inclusive pedagogy research also informs best practices. Hamilton and Petty (2023) argue for a compassionate pedagogy that balances empathy with high expectations for neurodiverse students. Cates (2022) shows how gender-inclusive practices are emerging in choral teaching, although confidence is lower regarding physiological changes resulting from hormone therapy. These findings support the need for a resource that affirms diverse identities while remaining physiologically accurate.</w:t>
      </w:r>
    </w:p>
    <w:p w:rsidR="00000000" w:rsidDel="00000000" w:rsidP="00000000" w:rsidRDefault="00000000" w:rsidRPr="00000000" w14:paraId="0000003D">
      <w:pPr>
        <w:pStyle w:val="Heading2"/>
        <w:keepNext w:val="0"/>
        <w:keepLines w:val="0"/>
        <w:spacing w:after="40" w:before="200" w:line="480" w:lineRule="auto"/>
        <w:rPr/>
      </w:pPr>
      <w:bookmarkStart w:colFirst="0" w:colLast="0" w:name="_s802nhqdfhve" w:id="7"/>
      <w:bookmarkEnd w:id="7"/>
      <w:r w:rsidDel="00000000" w:rsidR="00000000" w:rsidRPr="00000000">
        <w:rPr>
          <w:rtl w:val="0"/>
        </w:rPr>
        <w:t xml:space="preserve">Methodological Influences</w:t>
      </w:r>
    </w:p>
    <w:p w:rsidR="00000000" w:rsidDel="00000000" w:rsidP="00000000" w:rsidRDefault="00000000" w:rsidRPr="00000000" w14:paraId="0000003E">
      <w:pPr>
        <w:spacing w:after="240" w:before="200" w:line="480" w:lineRule="auto"/>
        <w:rPr/>
      </w:pPr>
      <w:r w:rsidDel="00000000" w:rsidR="00000000" w:rsidRPr="00000000">
        <w:rPr>
          <w:rtl w:val="0"/>
        </w:rPr>
        <w:t xml:space="preserve">The project adopts a design-based research approach (Anderson &amp; Shattuck, 2012), translating theory into a practical artefact. The literature review remains central, but its emphasis shifts toward pedagogy and accessibility, rather than purely physiological mechanisms. Reflective journaling underpins the process: students will be encouraged to log their practice within the workbook, while I will maintain a weekly reflective journal to document decisions and challenges.</w:t>
      </w:r>
    </w:p>
    <w:p w:rsidR="00000000" w:rsidDel="00000000" w:rsidP="00000000" w:rsidRDefault="00000000" w:rsidRPr="00000000" w14:paraId="0000003F">
      <w:pPr>
        <w:spacing w:after="240" w:before="200" w:line="480" w:lineRule="auto"/>
        <w:rPr/>
      </w:pPr>
      <w:r w:rsidDel="00000000" w:rsidR="00000000" w:rsidRPr="00000000">
        <w:rPr>
          <w:rtl w:val="0"/>
        </w:rPr>
        <w:t xml:space="preserve">Frameworks such as Palmer’s (2025) INSPECT model emphasise the importance of structure and consistency for trauma-informed, neurodivergent-affirming classrooms, which informs the workbook’s tone and layout. Autoethnographic insight is also valuable, as my lived experience as a gender-diverse vocalist informs both content and accessibility.</w:t>
      </w:r>
    </w:p>
    <w:p w:rsidR="00000000" w:rsidDel="00000000" w:rsidP="00000000" w:rsidRDefault="00000000" w:rsidRPr="00000000" w14:paraId="00000040">
      <w:pPr>
        <w:pStyle w:val="Heading2"/>
        <w:keepNext w:val="0"/>
        <w:keepLines w:val="0"/>
        <w:spacing w:after="40" w:before="200" w:line="480" w:lineRule="auto"/>
        <w:rPr/>
      </w:pPr>
      <w:bookmarkStart w:colFirst="0" w:colLast="0" w:name="_zfnhf0dypfs5" w:id="8"/>
      <w:bookmarkEnd w:id="8"/>
      <w:r w:rsidDel="00000000" w:rsidR="00000000" w:rsidRPr="00000000">
        <w:rPr>
          <w:rtl w:val="0"/>
        </w:rPr>
        <w:t xml:space="preserve">Aims and Objectives</w:t>
      </w:r>
    </w:p>
    <w:p w:rsidR="00000000" w:rsidDel="00000000" w:rsidP="00000000" w:rsidRDefault="00000000" w:rsidRPr="00000000" w14:paraId="00000041">
      <w:pPr>
        <w:spacing w:after="0" w:before="200" w:line="480" w:lineRule="auto"/>
        <w:rPr/>
      </w:pPr>
      <w:r w:rsidDel="00000000" w:rsidR="00000000" w:rsidRPr="00000000">
        <w:rPr>
          <w:b w:val="1"/>
          <w:bCs w:val="1"/>
          <w:rtl w:val="0"/>
        </w:rPr>
        <w:t xml:space="preserve">Aim:</w:t>
      </w:r>
      <w:r w:rsidDel="00000000" w:rsidR="00000000" w:rsidRPr="00000000">
        <w:rPr>
          <w:rtl w:val="0"/>
        </w:rPr>
        <w:br w:type="textWrapping"/>
        <w:t xml:space="preserve">To design a student-facing workbook and practice journal that explains the physiology of EVEs in an accessible and inclusive way, supporting learners across genders and neurodiverse profiles in developing safe and confident techniques.</w:t>
      </w:r>
    </w:p>
    <w:p w:rsidR="00000000" w:rsidDel="00000000" w:rsidP="00000000" w:rsidRDefault="00000000" w:rsidRPr="00000000" w14:paraId="00000042">
      <w:pPr>
        <w:spacing w:before="200" w:line="480" w:lineRule="auto"/>
        <w:rPr>
          <w:b w:val="1"/>
          <w:bCs w:val="1"/>
        </w:rPr>
      </w:pPr>
      <w:r w:rsidDel="00000000" w:rsidR="00000000" w:rsidRPr="00000000">
        <w:rPr>
          <w:b w:val="1"/>
          <w:bCs w:val="1"/>
          <w:rtl w:val="0"/>
        </w:rPr>
        <w:t xml:space="preserve">Objectives:</w:t>
      </w:r>
    </w:p>
    <w:p w:rsidR="00000000" w:rsidDel="00000000" w:rsidP="00000000" w:rsidRDefault="00000000" w:rsidRPr="00000000" w14:paraId="00000043">
      <w:pPr>
        <w:numPr>
          <w:ilvl w:val="0"/>
          <w:numId w:val="2"/>
        </w:numPr>
        <w:spacing w:after="240" w:before="200" w:line="480" w:lineRule="auto"/>
        <w:ind w:left="720" w:hanging="360"/>
      </w:pPr>
      <w:r w:rsidDel="00000000" w:rsidR="00000000" w:rsidRPr="00000000">
        <w:rPr>
          <w:rtl w:val="0"/>
        </w:rPr>
        <w:t xml:space="preserve">Review literature on trauma-informed pedagogy, scaffolding, and inclusive voice teaching.</w:t>
      </w:r>
    </w:p>
    <w:p w:rsidR="00000000" w:rsidDel="00000000" w:rsidP="00000000" w:rsidRDefault="00000000" w:rsidRPr="00000000" w14:paraId="00000044">
      <w:pPr>
        <w:numPr>
          <w:ilvl w:val="0"/>
          <w:numId w:val="2"/>
        </w:numPr>
        <w:spacing w:after="0" w:before="200" w:line="480" w:lineRule="auto"/>
        <w:ind w:left="720" w:hanging="360"/>
      </w:pPr>
      <w:r w:rsidDel="00000000" w:rsidR="00000000" w:rsidRPr="00000000">
        <w:rPr>
          <w:rtl w:val="0"/>
        </w:rPr>
        <w:t xml:space="preserve">Translate physiological and gender-related research into accessible diagrams and explanations.</w:t>
      </w:r>
    </w:p>
    <w:p w:rsidR="00000000" w:rsidDel="00000000" w:rsidP="00000000" w:rsidRDefault="00000000" w:rsidRPr="00000000" w14:paraId="00000045">
      <w:pPr>
        <w:numPr>
          <w:ilvl w:val="0"/>
          <w:numId w:val="2"/>
        </w:numPr>
        <w:spacing w:after="0" w:before="200" w:line="480" w:lineRule="auto"/>
        <w:ind w:left="720" w:hanging="360"/>
      </w:pPr>
      <w:r w:rsidDel="00000000" w:rsidR="00000000" w:rsidRPr="00000000">
        <w:rPr>
          <w:rtl w:val="0"/>
        </w:rPr>
        <w:t xml:space="preserve">Design reflective journal pages using scaffolding to reduce overwhelm.</w:t>
      </w:r>
    </w:p>
    <w:p w:rsidR="00000000" w:rsidDel="00000000" w:rsidP="00000000" w:rsidRDefault="00000000" w:rsidRPr="00000000" w14:paraId="00000046">
      <w:pPr>
        <w:numPr>
          <w:ilvl w:val="0"/>
          <w:numId w:val="2"/>
        </w:numPr>
        <w:spacing w:after="0" w:before="200" w:line="480" w:lineRule="auto"/>
        <w:ind w:left="720" w:hanging="360"/>
      </w:pPr>
      <w:r w:rsidDel="00000000" w:rsidR="00000000" w:rsidRPr="00000000">
        <w:rPr>
          <w:rtl w:val="0"/>
        </w:rPr>
        <w:t xml:space="preserve">Critically evaluate existing EVE pedagogies and address gaps in inclusivity.</w:t>
      </w:r>
    </w:p>
    <w:p w:rsidR="00000000" w:rsidDel="00000000" w:rsidP="00000000" w:rsidRDefault="00000000" w:rsidRPr="00000000" w14:paraId="00000047">
      <w:pPr>
        <w:numPr>
          <w:ilvl w:val="0"/>
          <w:numId w:val="2"/>
        </w:numPr>
        <w:spacing w:after="0" w:before="200" w:line="480" w:lineRule="auto"/>
        <w:ind w:left="720" w:hanging="360"/>
      </w:pPr>
      <w:r w:rsidDel="00000000" w:rsidR="00000000" w:rsidRPr="00000000">
        <w:rPr>
          <w:rtl w:val="0"/>
        </w:rPr>
        <w:t xml:space="preserve">Prepare the artefact for later implementation and evaluation.</w:t>
      </w:r>
    </w:p>
    <w:p w:rsidR="00000000" w:rsidDel="00000000" w:rsidP="00000000" w:rsidRDefault="00000000" w:rsidRPr="00000000" w14:paraId="00000048">
      <w:pPr>
        <w:numPr>
          <w:ilvl w:val="0"/>
          <w:numId w:val="2"/>
        </w:numPr>
        <w:spacing w:after="240" w:before="200" w:line="480" w:lineRule="auto"/>
        <w:ind w:left="720" w:hanging="360"/>
      </w:pPr>
      <w:r w:rsidDel="00000000" w:rsidR="00000000" w:rsidRPr="00000000">
        <w:rPr>
          <w:rtl w:val="0"/>
        </w:rPr>
        <w:t xml:space="preserve">Reflect on the design process and ethical considerations for future testing.</w:t>
      </w:r>
    </w:p>
    <w:p w:rsidR="00000000" w:rsidDel="00000000" w:rsidP="00000000" w:rsidRDefault="00000000" w:rsidRPr="00000000" w14:paraId="00000049">
      <w:pPr>
        <w:keepNext w:val="0"/>
        <w:keepLines w:val="0"/>
        <w:spacing w:after="40" w:before="200" w:line="480" w:lineRule="auto"/>
        <w:rPr>
          <w:b w:val="1"/>
          <w:bCs w:val="1"/>
        </w:rPr>
      </w:pPr>
      <w:r w:rsidDel="00000000" w:rsidR="00000000" w:rsidRPr="00000000">
        <w:rPr>
          <w:b w:val="1"/>
          <w:bCs w:val="1"/>
          <w:rtl w:val="0"/>
        </w:rPr>
        <w:t xml:space="preserve">Expected Learning Outcomes</w:t>
      </w:r>
    </w:p>
    <w:p w:rsidR="00000000" w:rsidDel="00000000" w:rsidP="00000000" w:rsidRDefault="00000000" w:rsidRPr="00000000" w14:paraId="0000004A">
      <w:pPr>
        <w:numPr>
          <w:ilvl w:val="0"/>
          <w:numId w:val="5"/>
        </w:numPr>
        <w:spacing w:after="240" w:before="200" w:line="480" w:lineRule="auto"/>
        <w:ind w:left="720" w:hanging="360"/>
      </w:pPr>
      <w:r w:rsidDel="00000000" w:rsidR="00000000" w:rsidRPr="00000000">
        <w:rPr>
          <w:rtl w:val="0"/>
        </w:rPr>
        <w:t xml:space="preserve">Understand how vocal physiology and gender identity intersect in EVEs.</w:t>
      </w:r>
    </w:p>
    <w:p w:rsidR="00000000" w:rsidDel="00000000" w:rsidP="00000000" w:rsidRDefault="00000000" w:rsidRPr="00000000" w14:paraId="0000004B">
      <w:pPr>
        <w:numPr>
          <w:ilvl w:val="0"/>
          <w:numId w:val="5"/>
        </w:numPr>
        <w:spacing w:after="0" w:before="200" w:line="480" w:lineRule="auto"/>
        <w:ind w:left="720" w:hanging="360"/>
      </w:pPr>
      <w:r w:rsidDel="00000000" w:rsidR="00000000" w:rsidRPr="00000000">
        <w:rPr>
          <w:rtl w:val="0"/>
        </w:rPr>
        <w:t xml:space="preserve">Develop skill in designing inclusive and accessible resources.</w:t>
      </w:r>
    </w:p>
    <w:p w:rsidR="00000000" w:rsidDel="00000000" w:rsidP="00000000" w:rsidRDefault="00000000" w:rsidRPr="00000000" w14:paraId="0000004C">
      <w:pPr>
        <w:numPr>
          <w:ilvl w:val="0"/>
          <w:numId w:val="5"/>
        </w:numPr>
        <w:spacing w:after="0" w:before="200" w:line="480" w:lineRule="auto"/>
        <w:ind w:left="720" w:hanging="360"/>
      </w:pPr>
      <w:r w:rsidDel="00000000" w:rsidR="00000000" w:rsidRPr="00000000">
        <w:rPr>
          <w:rtl w:val="0"/>
        </w:rPr>
        <w:t xml:space="preserve">Apply scaffolding and trauma-informed approaches in practice.</w:t>
      </w:r>
    </w:p>
    <w:p w:rsidR="00000000" w:rsidDel="00000000" w:rsidP="00000000" w:rsidRDefault="00000000" w:rsidRPr="00000000" w14:paraId="0000004D">
      <w:pPr>
        <w:numPr>
          <w:ilvl w:val="0"/>
          <w:numId w:val="5"/>
        </w:numPr>
        <w:spacing w:after="0" w:before="200" w:line="480" w:lineRule="auto"/>
        <w:ind w:left="720" w:hanging="360"/>
      </w:pPr>
      <w:r w:rsidDel="00000000" w:rsidR="00000000" w:rsidRPr="00000000">
        <w:rPr>
          <w:rtl w:val="0"/>
        </w:rPr>
        <w:t xml:space="preserve">Critically analyse and adapt pedagogical models.</w:t>
      </w:r>
    </w:p>
    <w:p w:rsidR="00000000" w:rsidDel="00000000" w:rsidP="00000000" w:rsidRDefault="00000000" w:rsidRPr="00000000" w14:paraId="0000004E">
      <w:pPr>
        <w:numPr>
          <w:ilvl w:val="0"/>
          <w:numId w:val="5"/>
        </w:numPr>
        <w:spacing w:after="240" w:before="200" w:line="480" w:lineRule="auto"/>
        <w:ind w:left="720" w:hanging="360"/>
      </w:pPr>
      <w:r w:rsidDel="00000000" w:rsidR="00000000" w:rsidRPr="00000000">
        <w:rPr>
          <w:rtl w:val="0"/>
        </w:rPr>
        <w:t xml:space="preserve">Demonstrate reflective practice and the progression from theory into application.</w:t>
      </w:r>
    </w:p>
    <w:p w:rsidR="00000000" w:rsidDel="00000000" w:rsidP="00000000" w:rsidRDefault="00000000" w:rsidRPr="00000000" w14:paraId="0000004F">
      <w:pPr>
        <w:pStyle w:val="Heading2"/>
        <w:keepNext w:val="0"/>
        <w:keepLines w:val="0"/>
        <w:spacing w:after="40" w:before="200" w:line="480" w:lineRule="auto"/>
        <w:rPr/>
      </w:pPr>
      <w:bookmarkStart w:colFirst="0" w:colLast="0" w:name="_s075m91ltcxg" w:id="9"/>
      <w:bookmarkEnd w:id="9"/>
      <w:r w:rsidDel="00000000" w:rsidR="00000000" w:rsidRPr="00000000">
        <w:rPr>
          <w:rtl w:val="0"/>
        </w:rPr>
        <w:t xml:space="preserve">Activities and Assessment Criteria</w:t>
      </w:r>
    </w:p>
    <w:p w:rsidR="00000000" w:rsidDel="00000000" w:rsidP="00000000" w:rsidRDefault="00000000" w:rsidRPr="00000000" w14:paraId="00000050">
      <w:pPr>
        <w:spacing w:before="200" w:line="480" w:lineRule="auto"/>
        <w:rPr>
          <w:b w:val="1"/>
          <w:bCs w:val="1"/>
        </w:rPr>
      </w:pPr>
      <w:r w:rsidDel="00000000" w:rsidR="00000000" w:rsidRPr="00000000">
        <w:rPr>
          <w:b w:val="1"/>
          <w:bCs w:val="1"/>
          <w:rtl w:val="0"/>
        </w:rPr>
        <w:t xml:space="preserve">Activities:</w:t>
      </w:r>
    </w:p>
    <w:p w:rsidR="00000000" w:rsidDel="00000000" w:rsidP="00000000" w:rsidRDefault="00000000" w:rsidRPr="00000000" w14:paraId="00000051">
      <w:pPr>
        <w:numPr>
          <w:ilvl w:val="0"/>
          <w:numId w:val="1"/>
        </w:numPr>
        <w:spacing w:after="240" w:before="200" w:line="480" w:lineRule="auto"/>
        <w:ind w:left="720" w:hanging="360"/>
        <w:rPr>
          <w:u w:val="none"/>
        </w:rPr>
      </w:pPr>
      <w:r w:rsidDel="00000000" w:rsidR="00000000" w:rsidRPr="00000000">
        <w:rPr>
          <w:rtl w:val="0"/>
        </w:rPr>
        <w:t xml:space="preserve">Weekly literature analysis on pedagogy, inclusivity, and accessibility.</w:t>
      </w:r>
    </w:p>
    <w:p w:rsidR="00000000" w:rsidDel="00000000" w:rsidP="00000000" w:rsidRDefault="00000000" w:rsidRPr="00000000" w14:paraId="00000052">
      <w:pPr>
        <w:numPr>
          <w:ilvl w:val="0"/>
          <w:numId w:val="1"/>
        </w:numPr>
        <w:spacing w:after="0" w:before="200" w:line="480" w:lineRule="auto"/>
        <w:ind w:left="720" w:hanging="360"/>
        <w:rPr>
          <w:u w:val="none"/>
        </w:rPr>
      </w:pPr>
      <w:r w:rsidDel="00000000" w:rsidR="00000000" w:rsidRPr="00000000">
        <w:rPr>
          <w:rtl w:val="0"/>
        </w:rPr>
        <w:t xml:space="preserve">Drafting physiology and exercise sections of the workbook.</w:t>
      </w:r>
    </w:p>
    <w:p w:rsidR="00000000" w:rsidDel="00000000" w:rsidP="00000000" w:rsidRDefault="00000000" w:rsidRPr="00000000" w14:paraId="00000053">
      <w:pPr>
        <w:numPr>
          <w:ilvl w:val="0"/>
          <w:numId w:val="1"/>
        </w:numPr>
        <w:spacing w:after="0" w:before="200" w:line="480" w:lineRule="auto"/>
        <w:ind w:left="720" w:hanging="360"/>
      </w:pPr>
      <w:r w:rsidDel="00000000" w:rsidR="00000000" w:rsidRPr="00000000">
        <w:rPr>
          <w:rtl w:val="0"/>
        </w:rPr>
        <w:t xml:space="preserve">Creating diagrams to support student understanding.</w:t>
      </w:r>
    </w:p>
    <w:p w:rsidR="00000000" w:rsidDel="00000000" w:rsidP="00000000" w:rsidRDefault="00000000" w:rsidRPr="00000000" w14:paraId="00000054">
      <w:pPr>
        <w:numPr>
          <w:ilvl w:val="0"/>
          <w:numId w:val="1"/>
        </w:numPr>
        <w:spacing w:after="0" w:before="200" w:line="480" w:lineRule="auto"/>
        <w:ind w:left="720" w:hanging="360"/>
      </w:pPr>
      <w:r w:rsidDel="00000000" w:rsidR="00000000" w:rsidRPr="00000000">
        <w:rPr>
          <w:rtl w:val="0"/>
        </w:rPr>
        <w:t xml:space="preserve">Designing reflective journal templates using scaffolding.</w:t>
      </w:r>
    </w:p>
    <w:p w:rsidR="00000000" w:rsidDel="00000000" w:rsidP="00000000" w:rsidRDefault="00000000" w:rsidRPr="00000000" w14:paraId="00000055">
      <w:pPr>
        <w:numPr>
          <w:ilvl w:val="0"/>
          <w:numId w:val="1"/>
        </w:numPr>
        <w:spacing w:after="240" w:before="200" w:line="480" w:lineRule="auto"/>
        <w:ind w:left="720" w:hanging="360"/>
      </w:pPr>
      <w:r w:rsidDel="00000000" w:rsidR="00000000" w:rsidRPr="00000000">
        <w:rPr>
          <w:rtl w:val="0"/>
        </w:rPr>
        <w:t xml:space="preserve">Maintaining a weekly reflective journal of progress.</w:t>
      </w:r>
    </w:p>
    <w:p w:rsidR="00000000" w:rsidDel="00000000" w:rsidP="00000000" w:rsidRDefault="00000000" w:rsidRPr="00000000" w14:paraId="00000056">
      <w:pPr>
        <w:spacing w:before="200" w:line="480" w:lineRule="auto"/>
        <w:rPr>
          <w:b w:val="1"/>
          <w:bCs w:val="1"/>
        </w:rPr>
      </w:pPr>
      <w:r w:rsidDel="00000000" w:rsidR="00000000" w:rsidRPr="00000000">
        <w:rPr>
          <w:b w:val="1"/>
          <w:bCs w:val="1"/>
          <w:rtl w:val="0"/>
        </w:rPr>
        <w:t xml:space="preserve">Assessment Criteria:</w:t>
      </w:r>
    </w:p>
    <w:p w:rsidR="00000000" w:rsidDel="00000000" w:rsidP="00000000" w:rsidRDefault="00000000" w:rsidRPr="00000000" w14:paraId="00000057">
      <w:pPr>
        <w:numPr>
          <w:ilvl w:val="0"/>
          <w:numId w:val="4"/>
        </w:numPr>
        <w:spacing w:after="240" w:before="200" w:line="480" w:lineRule="auto"/>
        <w:ind w:left="720" w:hanging="360"/>
      </w:pPr>
      <w:r w:rsidDel="00000000" w:rsidR="00000000" w:rsidRPr="00000000">
        <w:rPr>
          <w:rtl w:val="0"/>
        </w:rPr>
        <w:t xml:space="preserve">Artefact is informed by relevant theory and best practice.</w:t>
      </w:r>
    </w:p>
    <w:p w:rsidR="00000000" w:rsidDel="00000000" w:rsidP="00000000" w:rsidRDefault="00000000" w:rsidRPr="00000000" w14:paraId="00000058">
      <w:pPr>
        <w:numPr>
          <w:ilvl w:val="0"/>
          <w:numId w:val="4"/>
        </w:numPr>
        <w:spacing w:after="0" w:before="200" w:line="480" w:lineRule="auto"/>
        <w:ind w:left="720" w:hanging="360"/>
      </w:pPr>
      <w:r w:rsidDel="00000000" w:rsidR="00000000" w:rsidRPr="00000000">
        <w:rPr>
          <w:rtl w:val="0"/>
        </w:rPr>
        <w:t xml:space="preserve">The literature review is robust and critically applied.</w:t>
      </w:r>
    </w:p>
    <w:p w:rsidR="00000000" w:rsidDel="00000000" w:rsidP="00000000" w:rsidRDefault="00000000" w:rsidRPr="00000000" w14:paraId="00000059">
      <w:pPr>
        <w:numPr>
          <w:ilvl w:val="0"/>
          <w:numId w:val="4"/>
        </w:numPr>
        <w:spacing w:after="0" w:before="200" w:line="480" w:lineRule="auto"/>
        <w:ind w:left="720" w:hanging="360"/>
      </w:pPr>
      <w:r w:rsidDel="00000000" w:rsidR="00000000" w:rsidRPr="00000000">
        <w:rPr>
          <w:rtl w:val="0"/>
        </w:rPr>
        <w:t xml:space="preserve">The workbook demonstrates accessibility, inclusivity, and clarity.</w:t>
      </w:r>
    </w:p>
    <w:p w:rsidR="00000000" w:rsidDel="00000000" w:rsidP="00000000" w:rsidRDefault="00000000" w:rsidRPr="00000000" w14:paraId="0000005A">
      <w:pPr>
        <w:numPr>
          <w:ilvl w:val="0"/>
          <w:numId w:val="4"/>
        </w:numPr>
        <w:spacing w:after="240" w:before="200" w:line="480" w:lineRule="auto"/>
        <w:ind w:left="720" w:hanging="360"/>
      </w:pPr>
      <w:r w:rsidDel="00000000" w:rsidR="00000000" w:rsidRPr="00000000">
        <w:rPr>
          <w:rtl w:val="0"/>
        </w:rPr>
        <w:t xml:space="preserve">Reflection evidences critical engagement with process and learning.</w:t>
      </w:r>
      <w:r w:rsidDel="00000000" w:rsidR="00000000" w:rsidRPr="00000000">
        <w:rPr>
          <w:rtl w:val="0"/>
        </w:rPr>
      </w:r>
    </w:p>
    <w:p w:rsidR="00000000" w:rsidDel="00000000" w:rsidP="00000000" w:rsidRDefault="00000000" w:rsidRPr="00000000" w14:paraId="0000005B">
      <w:pPr>
        <w:pStyle w:val="Heading2"/>
        <w:keepNext w:val="0"/>
        <w:keepLines w:val="0"/>
        <w:spacing w:before="200" w:line="480" w:lineRule="auto"/>
        <w:rPr/>
      </w:pPr>
      <w:bookmarkStart w:colFirst="0" w:colLast="0" w:name="_cq6am4i7faqf" w:id="10"/>
      <w:bookmarkEnd w:id="10"/>
      <w:r w:rsidDel="00000000" w:rsidR="00000000" w:rsidRPr="00000000">
        <w:rPr>
          <w:rtl w:val="0"/>
        </w:rPr>
        <w:t xml:space="preserve">Methodology </w:t>
      </w:r>
    </w:p>
    <w:p w:rsidR="00000000" w:rsidDel="00000000" w:rsidP="00000000" w:rsidRDefault="00000000" w:rsidRPr="00000000" w14:paraId="0000005C">
      <w:pPr>
        <w:spacing w:after="0" w:before="200" w:line="480" w:lineRule="auto"/>
        <w:rPr/>
      </w:pPr>
      <w:r w:rsidDel="00000000" w:rsidR="00000000" w:rsidRPr="00000000">
        <w:rPr>
          <w:b w:val="1"/>
          <w:bCs w:val="1"/>
          <w:rtl w:val="0"/>
        </w:rPr>
        <w:t xml:space="preserve">Methodology type</w:t>
      </w:r>
      <w:r w:rsidDel="00000000" w:rsidR="00000000" w:rsidRPr="00000000">
        <w:rPr>
          <w:b w:val="1"/>
          <w:bCs w:val="1"/>
          <w:rtl w:val="0"/>
        </w:rPr>
        <w:br w:type="textWrapping"/>
      </w:r>
      <w:r w:rsidDel="00000000" w:rsidR="00000000" w:rsidRPr="00000000">
        <w:rPr>
          <w:rtl w:val="0"/>
        </w:rPr>
        <w:t xml:space="preserve">This project will adopt a qualitative, literature-led design methodology, informed by my professional practice as a vocalist and teacher. Qualitative methodologies are well-suited to exploring pedagogical issues where meaning, interpretation, and practice are central (Smith &amp; Dean, 2009). While no empirical testing will be conducted at this stage, the project will draw on practitioner reflection and a critical engagement with the literature to establish a framework that is both evidence-based and pedagogically relevant (Nelson, 2013).</w:t>
      </w:r>
    </w:p>
    <w:p w:rsidR="00000000" w:rsidDel="00000000" w:rsidP="00000000" w:rsidRDefault="00000000" w:rsidRPr="00000000" w14:paraId="0000005D">
      <w:pPr>
        <w:spacing w:before="200" w:line="480" w:lineRule="auto"/>
        <w:rPr/>
      </w:pPr>
      <w:r w:rsidDel="00000000" w:rsidR="00000000" w:rsidRPr="00000000">
        <w:rPr>
          <w:b w:val="1"/>
          <w:bCs w:val="1"/>
          <w:rtl w:val="0"/>
        </w:rPr>
        <w:t xml:space="preserve">Rationale for choice</w:t>
      </w:r>
      <w:r w:rsidDel="00000000" w:rsidR="00000000" w:rsidRPr="00000000">
        <w:rPr>
          <w:b w:val="1"/>
          <w:bCs w:val="1"/>
          <w:rtl w:val="0"/>
        </w:rPr>
        <w:br w:type="textWrapping"/>
      </w:r>
      <w:r w:rsidDel="00000000" w:rsidR="00000000" w:rsidRPr="00000000">
        <w:rPr>
          <w:rtl w:val="0"/>
        </w:rPr>
        <w:t xml:space="preserve">A literature-led design approach is particularly appropriate because the field of Extreme Vocal Effects (EVEs) is still developing and lacks a universally recognised pedagogy (Blackwood, 2024). By synthesising existing research and evaluating practitioner perspectives, the study will provide the foundations for a structured teaching resource. As Borg (2013) suggests, practitioner knowledge is most effective when placed in dialogue with wider theory, which in this case includes inclusive and trauma-informed pedagogical models (Brunzell, Stokes &amp; Waters, 2016; Cameron &amp; Carlisle, 2022). These frameworks ensure that the artefact will be adaptable for neurodiverse and gender-diverse learners, aligning with inclusive education principles advocated by Hooks (1994).</w:t>
      </w:r>
    </w:p>
    <w:p w:rsidR="00000000" w:rsidDel="00000000" w:rsidP="00000000" w:rsidRDefault="00000000" w:rsidRPr="00000000" w14:paraId="0000005E">
      <w:pPr>
        <w:spacing w:before="200" w:line="480" w:lineRule="auto"/>
        <w:rPr/>
      </w:pPr>
      <w:r w:rsidDel="00000000" w:rsidR="00000000" w:rsidRPr="00000000">
        <w:rPr>
          <w:b w:val="1"/>
          <w:bCs w:val="1"/>
          <w:rtl w:val="0"/>
        </w:rPr>
        <w:t xml:space="preserve">Search strategy</w:t>
      </w:r>
      <w:r w:rsidDel="00000000" w:rsidR="00000000" w:rsidRPr="00000000">
        <w:rPr>
          <w:b w:val="1"/>
          <w:bCs w:val="1"/>
          <w:rtl w:val="0"/>
        </w:rPr>
        <w:br w:type="textWrapping"/>
      </w:r>
      <w:r w:rsidDel="00000000" w:rsidR="00000000" w:rsidRPr="00000000">
        <w:rPr>
          <w:rtl w:val="0"/>
        </w:rPr>
        <w:t xml:space="preserve">The literature search will be iterative, beginning with broad explorations of research into EVEs before narrowing to physiological, pedagogical, and inclusive teaching perspectives. Hart (2018) emphasises the importance of such iterative processes in ensuring both breadth and depth, while Booth, Sutton, and Papaioannou (2016) recommend the systematic use of Boolean operators to refine results. Searches will be conducted through academic databases such as Google Scholar, JSTOR, Taylor &amp; Francis Online, and ResearchGate, alongside practitioner and grey literature sources, which Aaen (2024) notes remain a dominant influence in the absence of extensive peer-reviewed work.</w:t>
      </w:r>
    </w:p>
    <w:p w:rsidR="00000000" w:rsidDel="00000000" w:rsidP="00000000" w:rsidRDefault="00000000" w:rsidRPr="00000000" w14:paraId="0000005F">
      <w:pPr>
        <w:spacing w:after="200" w:before="200" w:line="480" w:lineRule="auto"/>
        <w:rPr/>
      </w:pPr>
      <w:r w:rsidDel="00000000" w:rsidR="00000000" w:rsidRPr="00000000">
        <w:rPr>
          <w:b w:val="1"/>
          <w:bCs w:val="1"/>
          <w:rtl w:val="0"/>
        </w:rPr>
        <w:t xml:space="preserve">Inclusion and exclusion</w:t>
      </w:r>
      <w:r w:rsidDel="00000000" w:rsidR="00000000" w:rsidRPr="00000000">
        <w:rPr>
          <w:b w:val="1"/>
          <w:bCs w:val="1"/>
          <w:rtl w:val="0"/>
        </w:rPr>
        <w:br w:type="textWrapping"/>
      </w:r>
      <w:r w:rsidDel="00000000" w:rsidR="00000000" w:rsidRPr="00000000">
        <w:rPr>
          <w:rtl w:val="0"/>
        </w:rPr>
        <w:t xml:space="preserve">Sources will be included if they address vocal physiology, pedagogy of harsh vocal techniques or inclusive and trauma-informed approaches to teaching. Practitioner and grey literature, such as tutorials and coaching blogs will be considered where they reflect widely used practices. By contrast, sources will be excluded if they are outdated, anecdotal without pedagogical grounding, or irrelevant to voice training.</w:t>
      </w:r>
    </w:p>
    <w:p w:rsidR="00000000" w:rsidDel="00000000" w:rsidP="00000000" w:rsidRDefault="00000000" w:rsidRPr="00000000" w14:paraId="00000060">
      <w:pPr>
        <w:spacing w:after="0" w:before="0" w:line="480" w:lineRule="auto"/>
        <w:rPr>
          <w:b w:val="1"/>
          <w:bCs w:val="1"/>
        </w:rPr>
      </w:pPr>
      <w:r w:rsidDel="00000000" w:rsidR="00000000" w:rsidRPr="00000000">
        <w:rPr>
          <w:b w:val="1"/>
          <w:bCs w:val="1"/>
          <w:rtl w:val="0"/>
        </w:rPr>
        <w:t xml:space="preserve">Source types and quality</w:t>
      </w:r>
    </w:p>
    <w:p w:rsidR="00000000" w:rsidDel="00000000" w:rsidP="00000000" w:rsidRDefault="00000000" w:rsidRPr="00000000" w14:paraId="00000061">
      <w:pPr>
        <w:spacing w:after="0" w:before="0" w:line="480" w:lineRule="auto"/>
        <w:ind w:left="0" w:firstLine="0"/>
        <w:rPr/>
      </w:pPr>
      <w:r w:rsidDel="00000000" w:rsidR="00000000" w:rsidRPr="00000000">
        <w:rPr>
          <w:rtl w:val="0"/>
        </w:rPr>
        <w:t xml:space="preserve">The review will draw on peer-reviewed journal articles, textbooks, and dissertations, while also critically engaging with practitioner and grey sources. As Aaen (2024) argues, these informal resources often shape vocalists' learning more than academic literature. To evaluate quality, peer-reviewed material will be prioritised, and the CRAAP test (Blakeslee, 2004) will be applied to assess the validity of grey literature.</w:t>
      </w:r>
    </w:p>
    <w:p w:rsidR="00000000" w:rsidDel="00000000" w:rsidP="00000000" w:rsidRDefault="00000000" w:rsidRPr="00000000" w14:paraId="00000062">
      <w:pPr>
        <w:spacing w:before="0" w:line="480" w:lineRule="auto"/>
        <w:rPr>
          <w:b w:val="1"/>
          <w:bCs w:val="1"/>
        </w:rPr>
      </w:pPr>
      <w:r w:rsidDel="00000000" w:rsidR="00000000" w:rsidRPr="00000000">
        <w:rPr>
          <w:b w:val="1"/>
          <w:bCs w:val="1"/>
          <w:rtl w:val="0"/>
        </w:rPr>
        <w:t xml:space="preserve">Integration</w:t>
      </w:r>
    </w:p>
    <w:p w:rsidR="00000000" w:rsidDel="00000000" w:rsidP="00000000" w:rsidRDefault="00000000" w:rsidRPr="00000000" w14:paraId="00000063">
      <w:pPr>
        <w:spacing w:after="240" w:before="0" w:line="480" w:lineRule="auto"/>
        <w:ind w:left="0" w:firstLine="0"/>
        <w:rPr/>
      </w:pPr>
      <w:r w:rsidDel="00000000" w:rsidR="00000000" w:rsidRPr="00000000">
        <w:rPr>
          <w:rtl w:val="0"/>
        </w:rPr>
        <w:t xml:space="preserve">Insights from physiological studies will underpin safe, accurate descriptions of EVEs (Lamesch, Döllinger &amp; Berry, 2023), while inclusive and trauma-informed frameworks will guide accessibility (Cameron &amp; Carlisle, 2022). Practitioner sources will provide a practical counterbalance to academic research, highlighting gaps in formal knowledge (Blackwood, 2024). Together, these strands will inform the design of an artefact that bridges theory and practice.</w:t>
      </w:r>
    </w:p>
    <w:p w:rsidR="00000000" w:rsidDel="00000000" w:rsidP="00000000" w:rsidRDefault="00000000" w:rsidRPr="00000000" w14:paraId="00000064">
      <w:pPr>
        <w:pStyle w:val="Subtitle"/>
        <w:keepNext w:val="0"/>
        <w:keepLines w:val="0"/>
        <w:spacing w:after="80" w:before="200" w:line="480" w:lineRule="auto"/>
        <w:rPr/>
      </w:pPr>
      <w:bookmarkStart w:colFirst="0" w:colLast="0" w:name="_ckrcrisamqib" w:id="11"/>
      <w:bookmarkEnd w:id="11"/>
      <w:r w:rsidDel="00000000" w:rsidR="00000000" w:rsidRPr="00000000">
        <w:rPr>
          <w:rtl w:val="0"/>
        </w:rPr>
      </w:r>
    </w:p>
    <w:p w:rsidR="00000000" w:rsidDel="00000000" w:rsidP="00000000" w:rsidRDefault="00000000" w:rsidRPr="00000000" w14:paraId="00000065">
      <w:pPr>
        <w:pStyle w:val="Subtitle"/>
        <w:keepNext w:val="0"/>
        <w:keepLines w:val="0"/>
        <w:spacing w:after="80" w:before="200" w:line="480" w:lineRule="auto"/>
        <w:rPr/>
      </w:pPr>
      <w:bookmarkStart w:colFirst="0" w:colLast="0" w:name="_yl5soeh0mcb5" w:id="12"/>
      <w:bookmarkEnd w:id="12"/>
      <w:r w:rsidDel="00000000" w:rsidR="00000000" w:rsidRPr="00000000">
        <w:rPr>
          <w:rtl w:val="0"/>
        </w:rPr>
      </w:r>
    </w:p>
    <w:p w:rsidR="00000000" w:rsidDel="00000000" w:rsidP="00000000" w:rsidRDefault="00000000" w:rsidRPr="00000000" w14:paraId="00000066">
      <w:pPr>
        <w:pStyle w:val="Subtitle"/>
        <w:keepNext w:val="0"/>
        <w:keepLines w:val="0"/>
        <w:spacing w:after="80" w:before="200" w:line="480" w:lineRule="auto"/>
        <w:rPr>
          <w:sz w:val="28"/>
          <w:szCs w:val="28"/>
        </w:rPr>
      </w:pPr>
      <w:bookmarkStart w:colFirst="0" w:colLast="0" w:name="_y9qo64uubhac" w:id="13"/>
      <w:bookmarkEnd w:id="13"/>
      <w:r w:rsidDel="00000000" w:rsidR="00000000" w:rsidRPr="00000000">
        <w:rPr>
          <w:sz w:val="28"/>
          <w:szCs w:val="28"/>
          <w:rtl w:val="0"/>
        </w:rPr>
        <w:t xml:space="preserve">Component 2 Review</w:t>
      </w:r>
    </w:p>
    <w:p w:rsidR="00000000" w:rsidDel="00000000" w:rsidP="00000000" w:rsidRDefault="00000000" w:rsidRPr="00000000" w14:paraId="00000067">
      <w:pPr>
        <w:pStyle w:val="Heading1"/>
        <w:keepNext w:val="0"/>
        <w:keepLines w:val="0"/>
        <w:spacing w:after="80" w:before="200" w:line="480" w:lineRule="auto"/>
        <w:rPr/>
      </w:pPr>
      <w:bookmarkStart w:colFirst="0" w:colLast="0" w:name="_59eeukwm8umq" w:id="14"/>
      <w:bookmarkEnd w:id="14"/>
      <w:r w:rsidDel="00000000" w:rsidR="00000000" w:rsidRPr="00000000">
        <w:rPr>
          <w:rtl w:val="0"/>
        </w:rPr>
        <w:t xml:space="preserve">Introduction</w:t>
      </w:r>
    </w:p>
    <w:p w:rsidR="00000000" w:rsidDel="00000000" w:rsidP="00000000" w:rsidRDefault="00000000" w:rsidRPr="00000000" w14:paraId="00000068">
      <w:pPr>
        <w:spacing w:after="240" w:before="200" w:line="480" w:lineRule="auto"/>
        <w:rPr/>
      </w:pPr>
      <w:r w:rsidDel="00000000" w:rsidR="00000000" w:rsidRPr="00000000">
        <w:rPr>
          <w:rtl w:val="0"/>
        </w:rPr>
        <w:t xml:space="preserve">Extreme Vocal Effects (EVEs), such as growls, screams and false-fold distortion, are becoming increasingly visible in contemporary music. However, they are still rarely addressed in depth within formal vocal pedagogy. Much of the existing research focuses on physiological description (Echternach et al., 2017; Kob, Murphy and Echternach, 2019; Herbst, 2014), while many practical teaching methods rely on experience rather than empirical evidence (Sadolin, 2012; Cross, 2005). This gap between scientific understanding and everyday pedagogy often leads to confusion about safety and can leave learners without clear or inclusive guidance.</w:t>
      </w:r>
    </w:p>
    <w:p w:rsidR="00000000" w:rsidDel="00000000" w:rsidP="00000000" w:rsidRDefault="00000000" w:rsidRPr="00000000" w14:paraId="00000069">
      <w:pPr>
        <w:spacing w:after="240" w:before="200" w:line="480" w:lineRule="auto"/>
        <w:rPr/>
      </w:pPr>
      <w:r w:rsidDel="00000000" w:rsidR="00000000" w:rsidRPr="00000000">
        <w:rPr>
          <w:rtl w:val="0"/>
        </w:rPr>
        <w:t xml:space="preserve">My own teaching experience reflects this divide. As a gender-diverse vocal coach working mainly with neurodiverse students in further education, I often meet singers who want to learn EVEs but cannot find resources that feel accessible or relevant to them. Conventional approaches tend to overlook emotional regulation, sensory needs and the wide variation in voice users' identities and experiences (Azul, 2015; Cates, 2022; Hamilton and Petty, 2023). This makes it clear that there is a need for learning materials that are trauma-informed, structured, and genuinely affirming.</w:t>
      </w:r>
    </w:p>
    <w:p w:rsidR="00000000" w:rsidDel="00000000" w:rsidP="00000000" w:rsidRDefault="00000000" w:rsidRPr="00000000" w14:paraId="0000006A">
      <w:pPr>
        <w:spacing w:after="240" w:before="200" w:line="480" w:lineRule="auto"/>
        <w:rPr/>
      </w:pPr>
      <w:r w:rsidDel="00000000" w:rsidR="00000000" w:rsidRPr="00000000">
        <w:rPr>
          <w:rtl w:val="0"/>
        </w:rPr>
        <w:t xml:space="preserve">The artefact developed for this project, </w:t>
      </w:r>
      <w:r w:rsidDel="00000000" w:rsidR="00000000" w:rsidRPr="00000000">
        <w:rPr>
          <w:i w:val="1"/>
          <w:iCs w:val="1"/>
          <w:rtl w:val="0"/>
        </w:rPr>
        <w:t xml:space="preserve">The (Not So) Cookie Cutter Guide to Extreme Vocals</w:t>
      </w:r>
      <w:r w:rsidDel="00000000" w:rsidR="00000000" w:rsidRPr="00000000">
        <w:rPr>
          <w:rtl w:val="0"/>
        </w:rPr>
        <w:t xml:space="preserve">, responds directly to those needs. It is a student-facing workbook and practice journal that blends physiological explanation with scaffolded exercises and reflective prompts. The design draws on trauma-informed and neurodivergent-affirming approaches (Bauman-Field, 2024; Palmer, 2025), with the aim of making EVE training safer, more accessible and more inclusive of individual identity and vocal variability.</w:t>
      </w:r>
    </w:p>
    <w:p w:rsidR="00000000" w:rsidDel="00000000" w:rsidP="00000000" w:rsidRDefault="00000000" w:rsidRPr="00000000" w14:paraId="0000006B">
      <w:pPr>
        <w:spacing w:after="240" w:before="200" w:line="480" w:lineRule="auto"/>
        <w:rPr/>
      </w:pPr>
      <w:r w:rsidDel="00000000" w:rsidR="00000000" w:rsidRPr="00000000">
        <w:rPr>
          <w:rtl w:val="0"/>
        </w:rPr>
        <w:t xml:space="preserve">This report provides a critical examination of the theoretical, methodological and experiential processes that shaped the artefact. Nelson’s (2013) Know That, Know How and Know What framework is used to organise this review. The report ends with a critical reflection that considers my professional learning throughout the module and how this will influence future development.</w:t>
      </w:r>
      <w:r w:rsidDel="00000000" w:rsidR="00000000" w:rsidRPr="00000000">
        <w:rPr>
          <w:rtl w:val="0"/>
        </w:rPr>
      </w:r>
    </w:p>
    <w:p w:rsidR="00000000" w:rsidDel="00000000" w:rsidP="00000000" w:rsidRDefault="00000000" w:rsidRPr="00000000" w14:paraId="0000006C">
      <w:pPr>
        <w:pStyle w:val="Heading1"/>
        <w:spacing w:before="200" w:line="480" w:lineRule="auto"/>
        <w:rPr/>
      </w:pPr>
      <w:bookmarkStart w:colFirst="0" w:colLast="0" w:name="_4vlzymbdoly" w:id="15"/>
      <w:bookmarkEnd w:id="15"/>
      <w:r w:rsidDel="00000000" w:rsidR="00000000" w:rsidRPr="00000000">
        <w:rPr>
          <w:rtl w:val="0"/>
        </w:rPr>
        <w:t xml:space="preserve">Know That: Theoretical, Methodological and Best Practice Influences</w:t>
      </w:r>
      <w:r w:rsidDel="00000000" w:rsidR="00000000" w:rsidRPr="00000000">
        <w:rPr>
          <w:rtl w:val="0"/>
        </w:rPr>
      </w:r>
    </w:p>
    <w:p w:rsidR="00000000" w:rsidDel="00000000" w:rsidP="00000000" w:rsidRDefault="00000000" w:rsidRPr="00000000" w14:paraId="0000006D">
      <w:pPr>
        <w:pStyle w:val="Heading2"/>
        <w:spacing w:before="200" w:line="480" w:lineRule="auto"/>
        <w:rPr/>
      </w:pPr>
      <w:bookmarkStart w:colFirst="0" w:colLast="0" w:name="_y2llup36jhkk" w:id="16"/>
      <w:bookmarkEnd w:id="16"/>
      <w:r w:rsidDel="00000000" w:rsidR="00000000" w:rsidRPr="00000000">
        <w:rPr>
          <w:rtl w:val="0"/>
        </w:rPr>
        <w:t xml:space="preserve">Introduction</w:t>
      </w:r>
    </w:p>
    <w:p w:rsidR="00000000" w:rsidDel="00000000" w:rsidP="00000000" w:rsidRDefault="00000000" w:rsidRPr="00000000" w14:paraId="0000006E">
      <w:pPr>
        <w:spacing w:after="240" w:before="200" w:line="480" w:lineRule="auto"/>
        <w:rPr/>
      </w:pPr>
      <w:r w:rsidDel="00000000" w:rsidR="00000000" w:rsidRPr="00000000">
        <w:rPr>
          <w:rtl w:val="0"/>
        </w:rPr>
        <w:t xml:space="preserve">The development of </w:t>
      </w:r>
      <w:r w:rsidDel="00000000" w:rsidR="00000000" w:rsidRPr="00000000">
        <w:rPr>
          <w:i w:val="1"/>
          <w:iCs w:val="1"/>
          <w:rtl w:val="0"/>
        </w:rPr>
        <w:t xml:space="preserve">The (Not So) Cookie Cutter Guide to Extreme Vocals</w:t>
      </w:r>
      <w:r w:rsidDel="00000000" w:rsidR="00000000" w:rsidRPr="00000000">
        <w:rPr>
          <w:rtl w:val="0"/>
        </w:rPr>
        <w:t xml:space="preserve"> was shaped by a wide range of theoretical, methodological and pedagogical research. Engaging with literature on trauma-informed education, gender-inclusive voice pedagogy, neurodiversity, Universal Design for Learning (UDL), and vocal science helped clarify what is already known about supporting diverse learners in the performing arts. It also highlighted areas that remain underdeveloped within current approaches to Extreme Vocal Effects (EVEs). These insights provided the groundwork for the decisions made throughout the artefact’s design.</w:t>
      </w:r>
    </w:p>
    <w:p w:rsidR="00000000" w:rsidDel="00000000" w:rsidP="00000000" w:rsidRDefault="00000000" w:rsidRPr="00000000" w14:paraId="0000006F">
      <w:pPr>
        <w:spacing w:after="240" w:before="200" w:line="480" w:lineRule="auto"/>
        <w:rPr/>
      </w:pPr>
      <w:r w:rsidDel="00000000" w:rsidR="00000000" w:rsidRPr="00000000">
        <w:rPr>
          <w:rtl w:val="0"/>
        </w:rPr>
        <w:t xml:space="preserve">This section outlines the key theoretical influences that informed the project and explains how each research area addressed a distinct gap in existing knowledge or practice. Presenting the gaps within each subsection avoids unnecessary repetition and clearly shows how specific ideas shaped particular features of the artefact.</w:t>
      </w:r>
    </w:p>
    <w:p w:rsidR="00000000" w:rsidDel="00000000" w:rsidP="00000000" w:rsidRDefault="00000000" w:rsidRPr="00000000" w14:paraId="00000070">
      <w:pPr>
        <w:pStyle w:val="Heading2"/>
        <w:spacing w:before="200" w:line="480" w:lineRule="auto"/>
        <w:rPr>
          <w:sz w:val="34"/>
          <w:szCs w:val="34"/>
        </w:rPr>
      </w:pPr>
      <w:bookmarkStart w:colFirst="0" w:colLast="0" w:name="_uf0uoiwvx49a" w:id="17"/>
      <w:bookmarkEnd w:id="17"/>
      <w:r w:rsidDel="00000000" w:rsidR="00000000" w:rsidRPr="00000000">
        <w:rPr>
          <w:rtl w:val="0"/>
        </w:rPr>
        <w:t xml:space="preserve">Trauma-Informed Pedagogy</w:t>
      </w:r>
      <w:r w:rsidDel="00000000" w:rsidR="00000000" w:rsidRPr="00000000">
        <w:rPr>
          <w:rtl w:val="0"/>
        </w:rPr>
      </w:r>
    </w:p>
    <w:p w:rsidR="00000000" w:rsidDel="00000000" w:rsidP="00000000" w:rsidRDefault="00000000" w:rsidRPr="00000000" w14:paraId="00000071">
      <w:pPr>
        <w:spacing w:after="240" w:before="200" w:line="480" w:lineRule="auto"/>
        <w:rPr/>
      </w:pPr>
      <w:r w:rsidDel="00000000" w:rsidR="00000000" w:rsidRPr="00000000">
        <w:rPr>
          <w:rtl w:val="0"/>
        </w:rPr>
        <w:t xml:space="preserve">Trauma-informed pedagogy was a central theoretical influence because vocal work involves vulnerability, emotional exposure and a close connection between body and identity. The literature repeatedly shows that trauma is common in both educational and performing arts settings, which means that safety, predictability and autonomy must be embedded from the outset. Durham (2023) highlights the importance of permission-based language and learner choice. However, her work is primarily conceptual rather than empirically validated, so the transferability of these ideas to EVE training requires careful interpretation. Bauman-Field (2024) also argues that trauma-informed practice reduces shame responses and supports confidence in music education, though the study is grounded in small-scale qualitative reflection, meaning its implications for high-intensity vocal work must be applied cautiously.</w:t>
      </w:r>
    </w:p>
    <w:p w:rsidR="00000000" w:rsidDel="00000000" w:rsidP="00000000" w:rsidRDefault="00000000" w:rsidRPr="00000000" w14:paraId="00000072">
      <w:pPr>
        <w:spacing w:after="240" w:before="200" w:line="480" w:lineRule="auto"/>
        <w:rPr/>
      </w:pPr>
      <w:r w:rsidDel="00000000" w:rsidR="00000000" w:rsidRPr="00000000">
        <w:rPr>
          <w:rtl w:val="0"/>
        </w:rPr>
        <w:t xml:space="preserve">Sauerland (2021) stresses that trauma is often invisible, meaning such practices should apply universally rather than only when a tutor is aware of a learner’s history. His work emerges from practitioner observations within voice pedagogy rather than controlled studies, which limits the generalisability but still offers valuable insight. Brunzell, Stokes and Waters (2016) add that predictable routines strengthen wellbeing for trauma-affected students, although their research is situated within school-based environments rather than specialist arts training, so adaptation is required for performance contexts. Block (2019) and Cameron and Carlisle (2022) both argue that dysregulation can surface quickly in artistic work, especially when exercises demand emotional intensity without adequate scaffolding, yet these studies again rely on case-based findings rather than empirical trials.</w:t>
      </w:r>
    </w:p>
    <w:p w:rsidR="00000000" w:rsidDel="00000000" w:rsidP="00000000" w:rsidRDefault="00000000" w:rsidRPr="00000000" w14:paraId="00000073">
      <w:pPr>
        <w:spacing w:after="240" w:before="200" w:line="480" w:lineRule="auto"/>
        <w:rPr/>
      </w:pPr>
      <w:r w:rsidDel="00000000" w:rsidR="00000000" w:rsidRPr="00000000">
        <w:rPr>
          <w:rtl w:val="0"/>
        </w:rPr>
        <w:t xml:space="preserve">Care-based research also strengthened this approach. Morelli (2023) connects musicking with care and relational safety, while Ginsborg (2018) notes the importance of wellbeing structures in higher music education, though both emphasise conceptual models rather than intervention-tested frameworks.</w:t>
      </w:r>
    </w:p>
    <w:p w:rsidR="00000000" w:rsidDel="00000000" w:rsidP="00000000" w:rsidRDefault="00000000" w:rsidRPr="00000000" w14:paraId="00000074">
      <w:pPr>
        <w:spacing w:after="240" w:before="200" w:line="480" w:lineRule="auto"/>
        <w:rPr/>
      </w:pPr>
      <w:r w:rsidDel="00000000" w:rsidR="00000000" w:rsidRPr="00000000">
        <w:rPr>
          <w:b w:val="1"/>
          <w:bCs w:val="1"/>
          <w:rtl w:val="0"/>
        </w:rPr>
        <w:t xml:space="preserve">Gap identified in this field:</w:t>
        <w:br w:type="textWrapping"/>
      </w:r>
      <w:r w:rsidDel="00000000" w:rsidR="00000000" w:rsidRPr="00000000">
        <w:rPr>
          <w:rtl w:val="0"/>
        </w:rPr>
        <w:t xml:space="preserve">Although trauma-informed practice is increasingly visible in performing arts education, there are almost no trauma-informed, learner-facing EVE resources. Existing guides often assume emotional resilience or prioritise stylistic authenticity over regulation and safety. This gap demonstrated the need for an EVE resource that centres emotional safety, predictability, and self-regulation in technique development.</w:t>
      </w:r>
      <w:r w:rsidDel="00000000" w:rsidR="00000000" w:rsidRPr="00000000">
        <w:rPr>
          <w:rtl w:val="0"/>
        </w:rPr>
      </w:r>
    </w:p>
    <w:p w:rsidR="00000000" w:rsidDel="00000000" w:rsidP="00000000" w:rsidRDefault="00000000" w:rsidRPr="00000000" w14:paraId="00000075">
      <w:pPr>
        <w:pStyle w:val="Heading2"/>
        <w:spacing w:before="200" w:line="480" w:lineRule="auto"/>
        <w:rPr/>
      </w:pPr>
      <w:bookmarkStart w:colFirst="0" w:colLast="0" w:name="_68kn00h4auzb" w:id="18"/>
      <w:bookmarkEnd w:id="18"/>
      <w:r w:rsidDel="00000000" w:rsidR="00000000" w:rsidRPr="00000000">
        <w:rPr>
          <w:rtl w:val="0"/>
        </w:rPr>
        <w:t xml:space="preserve">Gender-Inclusive Voice Pedagogy</w:t>
      </w:r>
    </w:p>
    <w:p w:rsidR="00000000" w:rsidDel="00000000" w:rsidP="00000000" w:rsidRDefault="00000000" w:rsidRPr="00000000" w14:paraId="00000076">
      <w:pPr>
        <w:spacing w:after="240" w:before="200" w:line="480" w:lineRule="auto"/>
        <w:rPr/>
      </w:pPr>
      <w:r w:rsidDel="00000000" w:rsidR="00000000" w:rsidRPr="00000000">
        <w:rPr>
          <w:rtl w:val="0"/>
        </w:rPr>
        <w:t xml:space="preserve">Gender-inclusive pedagogy formed the second major theoretical foundation. Research shows that many educators are committed to inclusive practice but feel under-equipped to support trans and gender-diverse learners. Cates (2022) reports that teachers often struggle with the implications of hormone therapy, voice transition and non-binary identity, but the study relies on self-reported teacher perceptions, which may not capture the full complexity of student experiences. This supported the decision to remove binary voice labels from the artefact and to use flexible range descriptions instead.</w:t>
      </w:r>
    </w:p>
    <w:p w:rsidR="00000000" w:rsidDel="00000000" w:rsidP="00000000" w:rsidRDefault="00000000" w:rsidRPr="00000000" w14:paraId="00000077">
      <w:pPr>
        <w:spacing w:after="240" w:before="200" w:line="480" w:lineRule="auto"/>
        <w:rPr/>
      </w:pPr>
      <w:r w:rsidDel="00000000" w:rsidR="00000000" w:rsidRPr="00000000">
        <w:rPr>
          <w:rtl w:val="0"/>
        </w:rPr>
        <w:t xml:space="preserve">Sauerland (2022) argues that voice instruction must allow learners to explore identity without being positioned against normative vocal categories; however, Sauerland’s arguments are largely theoretical and based on practitioner insight rather than longitudinal data. Azul (2015) also highlights the inseparability of voice and gendered embodiment. However, the work is grounded in qualitative interviews and may not reflect the variability of experiences across different genres and training levels. Spencer (2020) similarly emphasises the psychological importance of affirming vocal identity, although the study focuses primarily on choral contexts rather than extreme vocals. Davies, Papp, and Antoni (2015) provide further evidence that gender-nonconforming singers often lack accessible materials that reflect their needs. Still, their research sample was small, meaning broader conclusions must be made cautiously.</w:t>
      </w:r>
    </w:p>
    <w:p w:rsidR="00000000" w:rsidDel="00000000" w:rsidP="00000000" w:rsidRDefault="00000000" w:rsidRPr="00000000" w14:paraId="00000078">
      <w:pPr>
        <w:spacing w:after="240" w:before="200" w:line="480" w:lineRule="auto"/>
        <w:rPr/>
      </w:pPr>
      <w:r w:rsidDel="00000000" w:rsidR="00000000" w:rsidRPr="00000000">
        <w:rPr>
          <w:rtl w:val="0"/>
        </w:rPr>
        <w:t xml:space="preserve">The Healthy Conservatoires Network (2025) also stresses that identity safety is a prerequisite for vocal risk-taking, though the recommendation is presented as best-practice guidance rather than empirically tested intervention.</w:t>
      </w:r>
    </w:p>
    <w:p w:rsidR="00000000" w:rsidDel="00000000" w:rsidP="00000000" w:rsidRDefault="00000000" w:rsidRPr="00000000" w14:paraId="00000079">
      <w:pPr>
        <w:spacing w:after="240" w:before="200" w:line="480" w:lineRule="auto"/>
        <w:rPr/>
      </w:pPr>
      <w:r w:rsidDel="00000000" w:rsidR="00000000" w:rsidRPr="00000000">
        <w:rPr>
          <w:b w:val="1"/>
          <w:bCs w:val="1"/>
          <w:rtl w:val="0"/>
        </w:rPr>
        <w:t xml:space="preserve">Gap identified in this field:</w:t>
        <w:br w:type="textWrapping"/>
      </w:r>
      <w:r w:rsidDel="00000000" w:rsidR="00000000" w:rsidRPr="00000000">
        <w:rPr>
          <w:rtl w:val="0"/>
        </w:rPr>
        <w:t xml:space="preserve">Despite growing research on gender-inclusive pedagogy, accessible EVE resources that meaningfully support trans, non-binary and gender-diverse learners are rare. Most EVE materials assume cis male stylistic norms and physiology. This gap highlighted the need for a guide that avoids binary terminology, offers broad flexibility, and supports identity-based reflection.</w:t>
      </w:r>
    </w:p>
    <w:p w:rsidR="00000000" w:rsidDel="00000000" w:rsidP="00000000" w:rsidRDefault="00000000" w:rsidRPr="00000000" w14:paraId="0000007A">
      <w:pPr>
        <w:pStyle w:val="Heading2"/>
        <w:spacing w:after="240" w:before="200" w:line="480" w:lineRule="auto"/>
        <w:rPr/>
      </w:pPr>
      <w:bookmarkStart w:colFirst="0" w:colLast="0" w:name="_e0hp6cdv7huq" w:id="19"/>
      <w:bookmarkEnd w:id="19"/>
      <w:r w:rsidDel="00000000" w:rsidR="00000000" w:rsidRPr="00000000">
        <w:rPr>
          <w:rtl w:val="0"/>
        </w:rPr>
        <w:t xml:space="preserve">Neurodiversity and Learning Differences</w:t>
      </w:r>
    </w:p>
    <w:p w:rsidR="00000000" w:rsidDel="00000000" w:rsidP="00000000" w:rsidRDefault="00000000" w:rsidRPr="00000000" w14:paraId="0000007B">
      <w:pPr>
        <w:spacing w:after="240" w:before="200" w:line="480" w:lineRule="auto"/>
        <w:rPr/>
      </w:pPr>
      <w:r w:rsidDel="00000000" w:rsidR="00000000" w:rsidRPr="00000000">
        <w:rPr>
          <w:rtl w:val="0"/>
        </w:rPr>
        <w:t xml:space="preserve">The third significant theoretical influence came from neurodiversity research. Oram (2018) explains how learners with dyslexia, dyspraxia and other learning differences often struggle in performing arts contexts where instruction is predominantly verbal or fast-paced. However, Oram’s recommendations are not explicitly tested within vocal training, so their application to EVEs is interpretive rather than directly evidence-driven. His guidance on precise sequencing, predictable routines, and reduced verbal load shaped the use of icons, chunked instructions, and simplified explanations in the artefact.</w:t>
      </w:r>
    </w:p>
    <w:p w:rsidR="00000000" w:rsidDel="00000000" w:rsidP="00000000" w:rsidRDefault="00000000" w:rsidRPr="00000000" w14:paraId="0000007C">
      <w:pPr>
        <w:spacing w:after="240" w:before="200" w:line="480" w:lineRule="auto"/>
        <w:rPr/>
      </w:pPr>
      <w:r w:rsidDel="00000000" w:rsidR="00000000" w:rsidRPr="00000000">
        <w:rPr>
          <w:rtl w:val="0"/>
        </w:rPr>
        <w:t xml:space="preserve">Hamilton and Petty (2023) outline the importance of compassionate pedagogy that recognises cognitive accessibility, although the work focuses on general FE learners rather than vocalists. Armstrong (2017) and Botha (2020) emphasise the benefits of autonomy, sensory regulation and multiple engagement modes for neurodivergent learners; however, their models include broad neurodiversity categories and may not fully capture the sensory demands of phonation-based tasks. These ideas align with the Healthy Conservatoires Network (2025), which recommends eyes-open breathing, multimodal tools and flexible pacing, though again, these recommendations are advisory rather than empirically validated.</w:t>
      </w:r>
    </w:p>
    <w:p w:rsidR="00000000" w:rsidDel="00000000" w:rsidP="00000000" w:rsidRDefault="00000000" w:rsidRPr="00000000" w14:paraId="0000007D">
      <w:pPr>
        <w:spacing w:after="240" w:before="200" w:line="480" w:lineRule="auto"/>
        <w:rPr/>
      </w:pPr>
      <w:r w:rsidDel="00000000" w:rsidR="00000000" w:rsidRPr="00000000">
        <w:rPr>
          <w:rtl w:val="0"/>
        </w:rPr>
        <w:t xml:space="preserve">The importance of reducing cognitive overload was reinforced by Le Cunff et al. (2024), who show that multimodal input improves processing for neurodiverse learners, but the study was conducted in digital learning contexts rather than somatic performing arts. CAST (2018) similarly recommends designing materials that offer varied engagement pathways, though UDL as a framework is intentionally broad and therefore requires contextual adaptation.</w:t>
      </w:r>
    </w:p>
    <w:p w:rsidR="00000000" w:rsidDel="00000000" w:rsidP="00000000" w:rsidRDefault="00000000" w:rsidRPr="00000000" w14:paraId="0000007E">
      <w:pPr>
        <w:spacing w:after="240" w:before="200" w:line="480" w:lineRule="auto"/>
        <w:rPr/>
      </w:pPr>
      <w:r w:rsidDel="00000000" w:rsidR="00000000" w:rsidRPr="00000000">
        <w:rPr>
          <w:b w:val="1"/>
          <w:bCs w:val="1"/>
          <w:rtl w:val="0"/>
        </w:rPr>
        <w:t xml:space="preserve">Gap identified in this field:</w:t>
        <w:br w:type="textWrapping"/>
      </w:r>
      <w:r w:rsidDel="00000000" w:rsidR="00000000" w:rsidRPr="00000000">
        <w:rPr>
          <w:rtl w:val="0"/>
        </w:rPr>
        <w:t xml:space="preserve">There are currently no EVE resources that account for sensory processing differences, executive functioning or cognitive load. Many distortion guides are visually dense, verbally complex or heavily technical. This gap highlighted the need for a clear, spacious, predictable and accessible guide designed with neurodivergent learners in mind.</w:t>
      </w:r>
      <w:r w:rsidDel="00000000" w:rsidR="00000000" w:rsidRPr="00000000">
        <w:rPr>
          <w:rtl w:val="0"/>
        </w:rPr>
      </w:r>
    </w:p>
    <w:p w:rsidR="00000000" w:rsidDel="00000000" w:rsidP="00000000" w:rsidRDefault="00000000" w:rsidRPr="00000000" w14:paraId="0000007F">
      <w:pPr>
        <w:pStyle w:val="Heading2"/>
        <w:spacing w:before="200" w:line="480" w:lineRule="auto"/>
        <w:rPr/>
      </w:pPr>
      <w:bookmarkStart w:colFirst="0" w:colLast="0" w:name="_uqukh76w4v18" w:id="20"/>
      <w:bookmarkEnd w:id="20"/>
      <w:r w:rsidDel="00000000" w:rsidR="00000000" w:rsidRPr="00000000">
        <w:rPr>
          <w:rtl w:val="0"/>
        </w:rPr>
        <w:t xml:space="preserve">Universal Design for Learning (UDL)</w:t>
      </w:r>
    </w:p>
    <w:p w:rsidR="00000000" w:rsidDel="00000000" w:rsidP="00000000" w:rsidRDefault="00000000" w:rsidRPr="00000000" w14:paraId="00000080">
      <w:pPr>
        <w:spacing w:after="240" w:before="200" w:line="480" w:lineRule="auto"/>
        <w:rPr/>
      </w:pPr>
      <w:r w:rsidDel="00000000" w:rsidR="00000000" w:rsidRPr="00000000">
        <w:rPr>
          <w:rtl w:val="0"/>
        </w:rPr>
        <w:t xml:space="preserve">UDL brought these ideas together into a broader structural framework. Conway (2020) explains that UDL involves offering multiple representations of information, varied engagement opportunities and flexible methods for learners to express understanding; however, the application of UDL to vocal performance pedagogy is still emerging and therefore requires adaptation rather than direct transfer. This reinforced the decision to provide adaptable warm-ups, reflective tasks, drawing-based responses and QR-coded demonstrations.</w:t>
      </w:r>
    </w:p>
    <w:p w:rsidR="00000000" w:rsidDel="00000000" w:rsidP="00000000" w:rsidRDefault="00000000" w:rsidRPr="00000000" w14:paraId="00000081">
      <w:pPr>
        <w:spacing w:after="240" w:before="200" w:line="480" w:lineRule="auto"/>
        <w:rPr/>
      </w:pPr>
      <w:r w:rsidDel="00000000" w:rsidR="00000000" w:rsidRPr="00000000">
        <w:rPr>
          <w:rtl w:val="0"/>
        </w:rPr>
        <w:t xml:space="preserve">Cognitive load theory further justified these design choices. Sweller (1998) argues that reducing extraneous load improves learning efficiency, though his studies were initially conducted in mathematical and problem-solving tasks rather than embodied arts practices. Cappello (2022) shows how visual hierarchy and typographic choices affect readability, yet the study focuses on digital interfaces, meaning application to print media must be nuanced. Wood, Bruner, and Ross (1976) describe scaffolding as essential for developing complex skills, though their framework predates contemporary understandings of sensory processing and therefore requires careful adaptation. Walzer (2015) highlights the benefits of multimodal learning in vocal instruction, though the study examines classical and musical theatre repertoire rather than distortion-heavy genres.</w:t>
      </w:r>
    </w:p>
    <w:p w:rsidR="00000000" w:rsidDel="00000000" w:rsidP="00000000" w:rsidRDefault="00000000" w:rsidRPr="00000000" w14:paraId="00000082">
      <w:pPr>
        <w:spacing w:after="240" w:before="200" w:line="480" w:lineRule="auto"/>
        <w:rPr/>
      </w:pPr>
      <w:r w:rsidDel="00000000" w:rsidR="00000000" w:rsidRPr="00000000">
        <w:rPr>
          <w:b w:val="1"/>
          <w:bCs w:val="1"/>
          <w:rtl w:val="0"/>
        </w:rPr>
        <w:t xml:space="preserve">Gap identified in this field:</w:t>
        <w:br w:type="textWrapping"/>
      </w:r>
      <w:r w:rsidDel="00000000" w:rsidR="00000000" w:rsidRPr="00000000">
        <w:rPr>
          <w:rtl w:val="0"/>
        </w:rPr>
        <w:t xml:space="preserve">Although UDL is widely used in mainstream and special education, it is rarely applied in contemporary vocal pedagogy or to EVEs. This scarcity of accessible design within distortion materials demonstrated a need for a clearly structured, student-friendly guide.</w:t>
      </w:r>
      <w:r w:rsidDel="00000000" w:rsidR="00000000" w:rsidRPr="00000000">
        <w:rPr>
          <w:rtl w:val="0"/>
        </w:rPr>
      </w:r>
    </w:p>
    <w:p w:rsidR="00000000" w:rsidDel="00000000" w:rsidP="00000000" w:rsidRDefault="00000000" w:rsidRPr="00000000" w14:paraId="00000083">
      <w:pPr>
        <w:pStyle w:val="Heading2"/>
        <w:spacing w:after="240" w:before="200" w:line="480" w:lineRule="auto"/>
        <w:rPr/>
      </w:pPr>
      <w:bookmarkStart w:colFirst="0" w:colLast="0" w:name="_jhmrqgbkset3" w:id="21"/>
      <w:bookmarkEnd w:id="21"/>
      <w:r w:rsidDel="00000000" w:rsidR="00000000" w:rsidRPr="00000000">
        <w:rPr>
          <w:rtl w:val="0"/>
        </w:rPr>
        <w:t xml:space="preserve">Vocal Science and EVE Physiology</w:t>
      </w:r>
    </w:p>
    <w:p w:rsidR="00000000" w:rsidDel="00000000" w:rsidP="00000000" w:rsidRDefault="00000000" w:rsidRPr="00000000" w14:paraId="00000084">
      <w:pPr>
        <w:spacing w:after="240" w:before="200" w:line="480" w:lineRule="auto"/>
        <w:rPr/>
      </w:pPr>
      <w:r w:rsidDel="00000000" w:rsidR="00000000" w:rsidRPr="00000000">
        <w:rPr>
          <w:rtl w:val="0"/>
        </w:rPr>
        <w:t xml:space="preserve">Physiological research on EVEs has grown significantly, providing empirical insight into distortion mechanisms such as false fold engagement and airflow modulation. Echternach et al. (2017), Herbst (2014), and Kob, Murphy, and Echternach (2019) describe supraglottic behaviours, resonance shaping, and airflow characteristics that underpin safe vocal distortion. However, each study uses very small sample sizes and laboratory setups that may not reflect real-world singing conditions. These studies formed the basis for the short science explanations in the artefact.</w:t>
      </w:r>
    </w:p>
    <w:p w:rsidR="00000000" w:rsidDel="00000000" w:rsidP="00000000" w:rsidRDefault="00000000" w:rsidRPr="00000000" w14:paraId="00000085">
      <w:pPr>
        <w:spacing w:after="240" w:before="200" w:line="480" w:lineRule="auto"/>
        <w:rPr/>
      </w:pPr>
      <w:r w:rsidDel="00000000" w:rsidR="00000000" w:rsidRPr="00000000">
        <w:rPr>
          <w:rtl w:val="0"/>
        </w:rPr>
        <w:t xml:space="preserve">Aaen et al. (2024) provide rare electroglottographic and acoustic data on EVEs in healthy professional singers, but again, the sample is limited to trained vocalists, meaning applicability to beginners remains uncertain. Lamesch, Döllinger, and Berry (2023) present a model of irregular vibratory patterns observed in distortion work, though as a simulation-based study, it does not capture the full complexity of lived vocal technique. Berry et al. (2019) examine the biomechanics of creaky voice, which informed the explanation of fry-based distortion, but the study does not directly investigate screaming contexts.</w:t>
      </w:r>
    </w:p>
    <w:p w:rsidR="00000000" w:rsidDel="00000000" w:rsidP="00000000" w:rsidRDefault="00000000" w:rsidRPr="00000000" w14:paraId="00000086">
      <w:pPr>
        <w:spacing w:after="240" w:before="200" w:line="480" w:lineRule="auto"/>
        <w:rPr/>
      </w:pPr>
      <w:r w:rsidDel="00000000" w:rsidR="00000000" w:rsidRPr="00000000">
        <w:rPr>
          <w:b w:val="1"/>
          <w:bCs w:val="1"/>
          <w:rtl w:val="0"/>
        </w:rPr>
        <w:t xml:space="preserve">Gap identified in this field:</w:t>
        <w:br w:type="textWrapping"/>
      </w:r>
      <w:r w:rsidDel="00000000" w:rsidR="00000000" w:rsidRPr="00000000">
        <w:rPr>
          <w:rtl w:val="0"/>
        </w:rPr>
        <w:t xml:space="preserve">Although scientific knowledge exists, it is rarely translated into plain-language material for beginners. Scientific papers are too technical, while practitioner guides often lack empirical grounding. This gap justified the creation of simplified diagrams, metaphors and short science boxes that make physiological information accessible.</w:t>
      </w:r>
      <w:r w:rsidDel="00000000" w:rsidR="00000000" w:rsidRPr="00000000">
        <w:rPr>
          <w:rtl w:val="0"/>
        </w:rPr>
      </w:r>
    </w:p>
    <w:p w:rsidR="00000000" w:rsidDel="00000000" w:rsidP="00000000" w:rsidRDefault="00000000" w:rsidRPr="00000000" w14:paraId="00000087">
      <w:pPr>
        <w:pStyle w:val="Heading2"/>
        <w:spacing w:before="200" w:line="480" w:lineRule="auto"/>
        <w:rPr/>
      </w:pPr>
      <w:bookmarkStart w:colFirst="0" w:colLast="0" w:name="_l4gnhr699elr" w:id="22"/>
      <w:bookmarkEnd w:id="22"/>
      <w:r w:rsidDel="00000000" w:rsidR="00000000" w:rsidRPr="00000000">
        <w:rPr>
          <w:rtl w:val="0"/>
        </w:rPr>
        <w:t xml:space="preserve">Best Practice in EVE Pedagogy</w:t>
      </w:r>
    </w:p>
    <w:p w:rsidR="00000000" w:rsidDel="00000000" w:rsidP="00000000" w:rsidRDefault="00000000" w:rsidRPr="00000000" w14:paraId="00000088">
      <w:pPr>
        <w:spacing w:after="240" w:before="200" w:line="480" w:lineRule="auto"/>
        <w:rPr/>
      </w:pPr>
      <w:r w:rsidDel="00000000" w:rsidR="00000000" w:rsidRPr="00000000">
        <w:rPr>
          <w:rtl w:val="0"/>
        </w:rPr>
        <w:t xml:space="preserve">Practitioner-led approaches also contributed to the project. Sadolin’s (2012) Complete Vocal Technique provides a systematic classification of vocal modes, including rough effects, though the method has not been empirically tested for safety or efficacy. Cross (2005) offers energetic demonstrations and motivational framing, but her approach relies heavily on high-arousal coaching that may not suit neurodivergent learners.</w:t>
      </w:r>
    </w:p>
    <w:p w:rsidR="00000000" w:rsidDel="00000000" w:rsidP="00000000" w:rsidRDefault="00000000" w:rsidRPr="00000000" w14:paraId="00000089">
      <w:pPr>
        <w:spacing w:after="240" w:before="200" w:line="480" w:lineRule="auto"/>
        <w:rPr/>
      </w:pPr>
      <w:r w:rsidDel="00000000" w:rsidR="00000000" w:rsidRPr="00000000">
        <w:rPr>
          <w:rtl w:val="0"/>
        </w:rPr>
        <w:t xml:space="preserve">Algoet (2024) proposes that distortion often emerges naturally during childhood vocal play and argues that shame around rough sounds is socially learned; however, this argument is based on thematic analysis and may not translate uniformly across cultures or training backgrounds. Walzer (2015) identifies multimodal demonstrations as valuable for vocal learning, although the research focuses on classical vocal technique rather than extreme vocals.</w:t>
      </w:r>
    </w:p>
    <w:p w:rsidR="00000000" w:rsidDel="00000000" w:rsidP="00000000" w:rsidRDefault="00000000" w:rsidRPr="00000000" w14:paraId="0000008A">
      <w:pPr>
        <w:spacing w:after="240" w:before="200" w:line="480" w:lineRule="auto"/>
        <w:rPr/>
      </w:pPr>
      <w:r w:rsidDel="00000000" w:rsidR="00000000" w:rsidRPr="00000000">
        <w:rPr>
          <w:rtl w:val="0"/>
        </w:rPr>
        <w:t xml:space="preserve">CAST (2018) stresses that accessibility must be integrated from the start rather than added later, which influenced the decision to design each chapter with mental load reduction and low-pressure sequencing in mind.</w:t>
      </w:r>
    </w:p>
    <w:p w:rsidR="00000000" w:rsidDel="00000000" w:rsidP="00000000" w:rsidRDefault="00000000" w:rsidRPr="00000000" w14:paraId="0000008B">
      <w:pPr>
        <w:spacing w:after="0" w:before="0" w:line="480" w:lineRule="auto"/>
        <w:rPr>
          <w:b w:val="1"/>
          <w:bCs w:val="1"/>
        </w:rPr>
      </w:pPr>
      <w:r w:rsidDel="00000000" w:rsidR="00000000" w:rsidRPr="00000000">
        <w:rPr>
          <w:b w:val="1"/>
          <w:bCs w:val="1"/>
          <w:rtl w:val="0"/>
        </w:rPr>
        <w:t xml:space="preserve">Gap identified in this field: </w:t>
      </w:r>
    </w:p>
    <w:p w:rsidR="00000000" w:rsidDel="00000000" w:rsidP="00000000" w:rsidRDefault="00000000" w:rsidRPr="00000000" w14:paraId="0000008C">
      <w:pPr>
        <w:spacing w:after="0" w:before="0" w:line="480" w:lineRule="auto"/>
        <w:rPr/>
      </w:pPr>
      <w:r w:rsidDel="00000000" w:rsidR="00000000" w:rsidRPr="00000000">
        <w:rPr>
          <w:rtl w:val="0"/>
        </w:rPr>
        <w:t xml:space="preserve">Most EVE manuals either focus on complex technical classification or rely on high-energy coaching. Neither approach fully supports learners who need grounded, accessible and identity-affirming pathways. This gap highlighted the need for a guide that blends clarity, sequencing, playfulness and emotional safety.</w:t>
      </w:r>
      <w:r w:rsidDel="00000000" w:rsidR="00000000" w:rsidRPr="00000000">
        <w:rPr>
          <w:rtl w:val="0"/>
        </w:rPr>
      </w:r>
    </w:p>
    <w:p w:rsidR="00000000" w:rsidDel="00000000" w:rsidP="00000000" w:rsidRDefault="00000000" w:rsidRPr="00000000" w14:paraId="0000008D">
      <w:pPr>
        <w:pStyle w:val="Heading2"/>
        <w:spacing w:before="200" w:line="480" w:lineRule="auto"/>
        <w:rPr/>
      </w:pPr>
      <w:bookmarkStart w:colFirst="0" w:colLast="0" w:name="_gzvelh3pmsa0" w:id="23"/>
      <w:bookmarkEnd w:id="23"/>
      <w:r w:rsidDel="00000000" w:rsidR="00000000" w:rsidRPr="00000000">
        <w:rPr>
          <w:rtl w:val="0"/>
        </w:rPr>
        <w:t xml:space="preserve">Methodological Influences</w:t>
      </w:r>
    </w:p>
    <w:p w:rsidR="00000000" w:rsidDel="00000000" w:rsidP="00000000" w:rsidRDefault="00000000" w:rsidRPr="00000000" w14:paraId="0000008E">
      <w:pPr>
        <w:spacing w:after="240" w:before="200" w:line="480" w:lineRule="auto"/>
        <w:rPr/>
      </w:pPr>
      <w:r w:rsidDel="00000000" w:rsidR="00000000" w:rsidRPr="00000000">
        <w:rPr>
          <w:rtl w:val="0"/>
        </w:rPr>
        <w:t xml:space="preserve">Design-based research (DBR) provided the overarching methodological framework. DBR supports iterative development, in which theory and practice inform each other, making it suitable for artistic processes that evolve through experimentation (Anderson and Shattuck, 2012). However, DBR inherently prioritises context-specific insight over generalisable data, meaning findings must be understood as situated rather than universally representative. Smith and Dean (2009) describe this cyclical relationship as central to practice-led research, while Wang and Hannafin (2005) present DBR as a method where theoretical understanding grows alongside applied practice, though their model was developed for digital learning settings rather than arts pedagogy.</w:t>
      </w:r>
    </w:p>
    <w:p w:rsidR="00000000" w:rsidDel="00000000" w:rsidP="00000000" w:rsidRDefault="00000000" w:rsidRPr="00000000" w14:paraId="0000008F">
      <w:pPr>
        <w:spacing w:after="240" w:before="200" w:line="480" w:lineRule="auto"/>
        <w:rPr/>
      </w:pPr>
      <w:r w:rsidDel="00000000" w:rsidR="00000000" w:rsidRPr="00000000">
        <w:rPr>
          <w:rtl w:val="0"/>
        </w:rPr>
        <w:t xml:space="preserve">Autoethnographic thinking also shaped the process. As a gender-diverse and neurodivergent practitioner, my lived experience provided insight into inaccessible or dysphoria-triggering aspects of traditional vocal pedagogy. Autoethnography positions personal experience as a valid source of knowledge (Ellis, 2011), though its subjectivity requires explicit reflexivity to maintain rigour. Barrett and Bolt (2010) add that artistic practice itself can generate new understanding, but practice-led insights cannot be assumed to generalise beyond the practitioner's own context.</w:t>
      </w:r>
    </w:p>
    <w:p w:rsidR="00000000" w:rsidDel="00000000" w:rsidP="00000000" w:rsidRDefault="00000000" w:rsidRPr="00000000" w14:paraId="00000090">
      <w:pPr>
        <w:spacing w:after="240" w:before="200" w:line="480" w:lineRule="auto"/>
        <w:rPr/>
      </w:pPr>
      <w:r w:rsidDel="00000000" w:rsidR="00000000" w:rsidRPr="00000000">
        <w:rPr>
          <w:b w:val="1"/>
          <w:bCs w:val="1"/>
          <w:rtl w:val="0"/>
        </w:rPr>
        <w:t xml:space="preserve">Gap identified in this field:</w:t>
        <w:br w:type="textWrapping"/>
      </w:r>
      <w:r w:rsidDel="00000000" w:rsidR="00000000" w:rsidRPr="00000000">
        <w:rPr>
          <w:rtl w:val="0"/>
        </w:rPr>
        <w:t xml:space="preserve">There is little research that combines DBR with contemporary vocal distortion pedagogy or that explores EVEs through an autoethnographic lens. This gap validated the use of practitioner insight as a legitimate and necessary contribution to artefact creation.</w:t>
      </w:r>
      <w:r w:rsidDel="00000000" w:rsidR="00000000" w:rsidRPr="00000000">
        <w:rPr>
          <w:rtl w:val="0"/>
        </w:rPr>
      </w:r>
    </w:p>
    <w:p w:rsidR="00000000" w:rsidDel="00000000" w:rsidP="00000000" w:rsidRDefault="00000000" w:rsidRPr="00000000" w14:paraId="00000091">
      <w:pPr>
        <w:pStyle w:val="Heading2"/>
        <w:spacing w:before="200" w:line="480" w:lineRule="auto"/>
        <w:rPr/>
      </w:pPr>
      <w:bookmarkStart w:colFirst="0" w:colLast="0" w:name="_6dgg13pxue08" w:id="24"/>
      <w:bookmarkEnd w:id="24"/>
      <w:r w:rsidDel="00000000" w:rsidR="00000000" w:rsidRPr="00000000">
        <w:rPr>
          <w:rtl w:val="0"/>
        </w:rPr>
        <w:t xml:space="preserve">Summary</w:t>
      </w:r>
    </w:p>
    <w:p w:rsidR="00000000" w:rsidDel="00000000" w:rsidP="00000000" w:rsidRDefault="00000000" w:rsidRPr="00000000" w14:paraId="00000092">
      <w:pPr>
        <w:spacing w:after="240" w:before="200" w:line="480" w:lineRule="auto"/>
        <w:rPr>
          <w:shd w:fill="f4cccc" w:val="clear"/>
        </w:rPr>
      </w:pPr>
      <w:r w:rsidDel="00000000" w:rsidR="00000000" w:rsidRPr="00000000">
        <w:rPr>
          <w:rtl w:val="0"/>
        </w:rPr>
        <w:t xml:space="preserve">Across all these theoretical domains, the literature reveals consistent gaps in existing EVE resources. Trauma-informed principles are rarely applied, gender-inclusive strategies are missing, neurodivergent needs are not meaningfully considered, scientific research is not translated for beginners, and established practitioner manuals can be exclusionary or overwhelming. These gaps collectively justify the creation of </w:t>
      </w:r>
      <w:r w:rsidDel="00000000" w:rsidR="00000000" w:rsidRPr="00000000">
        <w:rPr>
          <w:i w:val="1"/>
          <w:iCs w:val="1"/>
          <w:rtl w:val="0"/>
        </w:rPr>
        <w:t xml:space="preserve">The (Not So) Cookie Cutter Guide to Extreme Vocals</w:t>
      </w:r>
      <w:r w:rsidDel="00000000" w:rsidR="00000000" w:rsidRPr="00000000">
        <w:rPr>
          <w:rtl w:val="0"/>
        </w:rPr>
        <w:t xml:space="preserve">. The artefact integrates insights from trauma-informed education, gender-inclusive pedagogy, neurodiversity, UDL and vocal science to create a resource that is accessible, identity-affirming and pedagogically robust.</w:t>
      </w:r>
      <w:r w:rsidDel="00000000" w:rsidR="00000000" w:rsidRPr="00000000">
        <w:rPr>
          <w:rtl w:val="0"/>
        </w:rPr>
      </w:r>
    </w:p>
    <w:p w:rsidR="00000000" w:rsidDel="00000000" w:rsidP="00000000" w:rsidRDefault="00000000" w:rsidRPr="00000000" w14:paraId="00000093">
      <w:pPr>
        <w:pStyle w:val="Heading1"/>
        <w:spacing w:before="200" w:line="480" w:lineRule="auto"/>
        <w:rPr/>
      </w:pPr>
      <w:bookmarkStart w:colFirst="0" w:colLast="0" w:name="_u7b0x9356zd7" w:id="25"/>
      <w:bookmarkEnd w:id="25"/>
      <w:r w:rsidDel="00000000" w:rsidR="00000000" w:rsidRPr="00000000">
        <w:rPr>
          <w:rtl w:val="0"/>
        </w:rPr>
        <w:t xml:space="preserve">Know How: Factual and Conceptual Knowledge in the Artefact</w:t>
      </w:r>
    </w:p>
    <w:p w:rsidR="00000000" w:rsidDel="00000000" w:rsidP="00000000" w:rsidRDefault="00000000" w:rsidRPr="00000000" w14:paraId="00000094">
      <w:pPr>
        <w:pStyle w:val="Heading2"/>
        <w:keepNext w:val="0"/>
        <w:keepLines w:val="0"/>
        <w:spacing w:after="80" w:before="200" w:line="480" w:lineRule="auto"/>
        <w:rPr/>
      </w:pPr>
      <w:bookmarkStart w:colFirst="0" w:colLast="0" w:name="_54m6dz8tbtp5" w:id="26"/>
      <w:bookmarkEnd w:id="26"/>
      <w:r w:rsidDel="00000000" w:rsidR="00000000" w:rsidRPr="00000000">
        <w:rPr>
          <w:rtl w:val="0"/>
        </w:rPr>
        <w:t xml:space="preserve">Introduction</w:t>
      </w:r>
    </w:p>
    <w:p w:rsidR="00000000" w:rsidDel="00000000" w:rsidP="00000000" w:rsidRDefault="00000000" w:rsidRPr="00000000" w14:paraId="00000095">
      <w:pPr>
        <w:spacing w:after="240" w:before="200" w:line="480" w:lineRule="auto"/>
        <w:rPr/>
      </w:pPr>
      <w:r w:rsidDel="00000000" w:rsidR="00000000" w:rsidRPr="00000000">
        <w:rPr>
          <w:rtl w:val="0"/>
        </w:rPr>
        <w:t xml:space="preserve">In this section, I focus on how the factual and conceptual knowledge underpinning the project was translated into the practical design of the artefact. Within Nelson’s framework, Know How refers to the applied, procedural, and embodied decisions that shaped the artefact’s development. This section explains how I structured the content, how I communicated information to learners, and how theoretical principles guided design decisions throughout the creation process.</w:t>
      </w:r>
    </w:p>
    <w:p w:rsidR="00000000" w:rsidDel="00000000" w:rsidP="00000000" w:rsidRDefault="00000000" w:rsidRPr="00000000" w14:paraId="00000096">
      <w:pPr>
        <w:spacing w:after="240" w:before="200" w:line="480" w:lineRule="auto"/>
        <w:rPr/>
      </w:pPr>
      <w:r w:rsidDel="00000000" w:rsidR="00000000" w:rsidRPr="00000000">
        <w:rPr>
          <w:rtl w:val="0"/>
        </w:rPr>
        <w:t xml:space="preserve">What follows is a review of how </w:t>
      </w:r>
      <w:r w:rsidDel="00000000" w:rsidR="00000000" w:rsidRPr="00000000">
        <w:rPr>
          <w:i w:val="1"/>
          <w:iCs w:val="1"/>
          <w:rtl w:val="0"/>
        </w:rPr>
        <w:t xml:space="preserve">The (Not So) Cookie Cutter Guide to Extreme Vocals</w:t>
      </w:r>
      <w:r w:rsidDel="00000000" w:rsidR="00000000" w:rsidRPr="00000000">
        <w:rPr>
          <w:rtl w:val="0"/>
        </w:rPr>
        <w:t xml:space="preserve"> was built, paying particular attention to the organisation of content, the accessibility of communication, and the practical embedding of inclusive principles. Each element is linked back to gaps identified in the Know That section, particularly around trauma-informed pedagogy, gender inclusivity, neurodiversity, and the lack of accessible physiological explanations for EVEs.</w:t>
      </w:r>
    </w:p>
    <w:p w:rsidR="00000000" w:rsidDel="00000000" w:rsidP="00000000" w:rsidRDefault="00000000" w:rsidRPr="00000000" w14:paraId="00000097">
      <w:pPr>
        <w:pStyle w:val="Heading2"/>
        <w:keepNext w:val="0"/>
        <w:keepLines w:val="0"/>
        <w:spacing w:after="80" w:before="200" w:line="480" w:lineRule="auto"/>
        <w:rPr/>
      </w:pPr>
      <w:bookmarkStart w:colFirst="0" w:colLast="0" w:name="_32pxdd8m33eo" w:id="27"/>
      <w:bookmarkEnd w:id="27"/>
      <w:r w:rsidDel="00000000" w:rsidR="00000000" w:rsidRPr="00000000">
        <w:rPr>
          <w:rtl w:val="0"/>
        </w:rPr>
        <w:t xml:space="preserve">Applying Core Scientific Knowledge Through Mechanism Design</w:t>
      </w:r>
    </w:p>
    <w:p w:rsidR="00000000" w:rsidDel="00000000" w:rsidP="00000000" w:rsidRDefault="00000000" w:rsidRPr="00000000" w14:paraId="00000098">
      <w:pPr>
        <w:keepNext w:val="0"/>
        <w:keepLines w:val="0"/>
        <w:spacing w:after="40" w:before="200" w:line="480" w:lineRule="auto"/>
        <w:rPr>
          <w:b w:val="1"/>
          <w:bCs w:val="1"/>
        </w:rPr>
      </w:pPr>
      <w:r w:rsidDel="00000000" w:rsidR="00000000" w:rsidRPr="00000000">
        <w:rPr>
          <w:b w:val="1"/>
          <w:bCs w:val="1"/>
          <w:rtl w:val="0"/>
        </w:rPr>
        <w:t xml:space="preserve">Explaining EVEs Through Clear Mechanisms</w:t>
      </w:r>
    </w:p>
    <w:p w:rsidR="00000000" w:rsidDel="00000000" w:rsidP="00000000" w:rsidRDefault="00000000" w:rsidRPr="00000000" w14:paraId="00000099">
      <w:pPr>
        <w:spacing w:after="240" w:before="200" w:line="480" w:lineRule="auto"/>
        <w:rPr/>
      </w:pPr>
      <w:r w:rsidDel="00000000" w:rsidR="00000000" w:rsidRPr="00000000">
        <w:rPr>
          <w:rtl w:val="0"/>
        </w:rPr>
        <w:t xml:space="preserve">A significant part of the design process involved translating complex scientific descriptions of Extreme Vocal Effects (EVEs) into mechanisms that a beginner could understand and safely attempt. Scientific studies such as Herbst (2014), Berry et al. (2019), Kob, Murphy and Echternach (2019), and the more recent modelling by Lamesch, Döllinger and Berry (2023), provide detailed accounts of false fold vibration, supraglottic involvement, and irregular phonatory patterns. However, as discussed in Know That, these explanations can be inaccessible to learners due to dense terminology and specialist framing. At the other extreme, practitioner resources often rely solely on metaphors and sensation, without anchoring explanations in physiology.</w:t>
      </w:r>
    </w:p>
    <w:p w:rsidR="00000000" w:rsidDel="00000000" w:rsidP="00000000" w:rsidRDefault="00000000" w:rsidRPr="00000000" w14:paraId="0000009A">
      <w:pPr>
        <w:spacing w:after="240" w:before="200" w:line="480" w:lineRule="auto"/>
        <w:rPr/>
      </w:pPr>
      <w:r w:rsidDel="00000000" w:rsidR="00000000" w:rsidRPr="00000000">
        <w:rPr>
          <w:rtl w:val="0"/>
        </w:rPr>
        <w:t xml:space="preserve">The artefact was designed to sit between these two extremes, bridging the gap between science and accessible pedagogy. For example, the 'How Sound Works' page explains phonation as 'a mix of air, muscle, vibration, and imagination working together' (page 9). This reframing allowed scientific knowledge to enter the learner’s experience without overwhelming them. Similarly, the fry scream is introduced using the sensory metaphor of 'a soft, tickly buzz around the lips' (page 32), while the false fold growl is described as 'a low, rumbley buzz in the throat' (page 39). These descriptions translate physiological findings into embodied cues that beginners, and particularly neurodivergent learners, can access quickly without needing specialist vocabulary. This design decision addresses the gap identified in Know That: while scientifically grounded EVE research exists, it is rarely translated into learner-facing explanations.</w:t>
      </w:r>
    </w:p>
    <w:p w:rsidR="00000000" w:rsidDel="00000000" w:rsidP="00000000" w:rsidRDefault="00000000" w:rsidRPr="00000000" w14:paraId="0000009B">
      <w:pPr>
        <w:spacing w:after="240" w:before="200" w:line="480" w:lineRule="auto"/>
        <w:rPr/>
      </w:pPr>
      <w:r w:rsidDel="00000000" w:rsidR="00000000" w:rsidRPr="00000000">
        <w:rPr/>
        <w:drawing>
          <wp:inline distB="114300" distT="114300" distL="114300" distR="114300">
            <wp:extent cx="2876550" cy="2713000"/>
            <wp:effectExtent b="0" l="0" r="0" t="0"/>
            <wp:docPr id="118" name="image121.png"/>
            <a:graphic>
              <a:graphicData uri="http://schemas.openxmlformats.org/drawingml/2006/picture">
                <pic:pic>
                  <pic:nvPicPr>
                    <pic:cNvPr id="0" name="image121.png"/>
                    <pic:cNvPicPr preferRelativeResize="0"/>
                  </pic:nvPicPr>
                  <pic:blipFill>
                    <a:blip r:embed="rId7"/>
                    <a:srcRect b="40713" l="0" r="0" t="0"/>
                    <a:stretch>
                      <a:fillRect/>
                    </a:stretch>
                  </pic:blipFill>
                  <pic:spPr>
                    <a:xfrm>
                      <a:off x="0" y="0"/>
                      <a:ext cx="2876550" cy="2713000"/>
                    </a:xfrm>
                    <a:prstGeom prst="rect"/>
                    <a:ln/>
                  </pic:spPr>
                </pic:pic>
              </a:graphicData>
            </a:graphic>
          </wp:inline>
        </w:drawing>
      </w:r>
      <w:r w:rsidDel="00000000" w:rsidR="00000000" w:rsidRPr="00000000">
        <w:rPr/>
        <w:drawing>
          <wp:inline distB="114300" distT="114300" distL="114300" distR="114300">
            <wp:extent cx="2733675" cy="2724216"/>
            <wp:effectExtent b="0" l="0" r="0" t="0"/>
            <wp:docPr id="53" name="image67.png"/>
            <a:graphic>
              <a:graphicData uri="http://schemas.openxmlformats.org/drawingml/2006/picture">
                <pic:pic>
                  <pic:nvPicPr>
                    <pic:cNvPr id="0" name="image67.png"/>
                    <pic:cNvPicPr preferRelativeResize="0"/>
                  </pic:nvPicPr>
                  <pic:blipFill>
                    <a:blip r:embed="rId8"/>
                    <a:srcRect b="37434" l="0" r="0" t="0"/>
                    <a:stretch>
                      <a:fillRect/>
                    </a:stretch>
                  </pic:blipFill>
                  <pic:spPr>
                    <a:xfrm>
                      <a:off x="0" y="0"/>
                      <a:ext cx="2733675" cy="2724216"/>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after="240" w:before="200" w:line="480" w:lineRule="auto"/>
        <w:jc w:val="center"/>
        <w:rPr/>
      </w:pPr>
      <w:r w:rsidDel="00000000" w:rsidR="00000000" w:rsidRPr="00000000">
        <w:rPr/>
        <w:drawing>
          <wp:inline distB="114300" distT="114300" distL="114300" distR="114300">
            <wp:extent cx="2354100" cy="3709491"/>
            <wp:effectExtent b="0" l="0" r="0" t="0"/>
            <wp:docPr id="71" name="image75.png"/>
            <a:graphic>
              <a:graphicData uri="http://schemas.openxmlformats.org/drawingml/2006/picture">
                <pic:pic>
                  <pic:nvPicPr>
                    <pic:cNvPr id="0" name="image75.png"/>
                    <pic:cNvPicPr preferRelativeResize="0"/>
                  </pic:nvPicPr>
                  <pic:blipFill>
                    <a:blip r:embed="rId9"/>
                    <a:srcRect b="0" l="0" r="0" t="0"/>
                    <a:stretch>
                      <a:fillRect/>
                    </a:stretch>
                  </pic:blipFill>
                  <pic:spPr>
                    <a:xfrm>
                      <a:off x="0" y="0"/>
                      <a:ext cx="2354100" cy="3709491"/>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spacing w:after="240" w:before="200" w:line="480" w:lineRule="auto"/>
        <w:jc w:val="center"/>
        <w:rPr/>
      </w:pPr>
      <w:r w:rsidDel="00000000" w:rsidR="00000000" w:rsidRPr="00000000">
        <w:rPr>
          <w:rtl w:val="0"/>
        </w:rPr>
        <w:t xml:space="preserve">(Page 9, Page 32 and Page 39)</w:t>
      </w:r>
    </w:p>
    <w:p w:rsidR="00000000" w:rsidDel="00000000" w:rsidP="00000000" w:rsidRDefault="00000000" w:rsidRPr="00000000" w14:paraId="0000009E">
      <w:pPr>
        <w:spacing w:after="240" w:before="200" w:line="480" w:lineRule="auto"/>
        <w:rPr/>
      </w:pPr>
      <w:r w:rsidDel="00000000" w:rsidR="00000000" w:rsidRPr="00000000">
        <w:rPr>
          <w:rtl w:val="0"/>
        </w:rPr>
        <w:t xml:space="preserve">This translation strategy also reflects a deliberate pedagogical trade-off. While simplifying physiological mechanisms through metaphor reduces cognitive overload, it may also obscure biomechanical specificity for some learners. This tension between scientific precision and pedagogical accessibility is a recognised challenge within practice-led research. In prioritising embodied cues over anatomical terminology, the artefact assumes that experiential understanding provides a sufficient foundation for safe coordination at the beginner level. This assumption is informed by my studio teaching experience, where learners often respond more effectively to sensory instruction than abstract anatomical explanation, particularly within neurodivergent contexts.</w:t>
      </w:r>
    </w:p>
    <w:p w:rsidR="00000000" w:rsidDel="00000000" w:rsidP="00000000" w:rsidRDefault="00000000" w:rsidRPr="00000000" w14:paraId="0000009F">
      <w:pPr>
        <w:spacing w:after="240" w:before="200" w:line="480" w:lineRule="auto"/>
        <w:rPr/>
      </w:pPr>
      <w:r w:rsidDel="00000000" w:rsidR="00000000" w:rsidRPr="00000000">
        <w:rPr>
          <w:rtl w:val="0"/>
        </w:rPr>
        <w:t xml:space="preserve">However, this decision also carries risk. Without visual or real-time feedback, learners may interpret metaphors differently and map them inconsistently onto their own vocal sensations. To mitigate this, the workbook consistently emphasises regulation, low-intensity exploration, and stopping criteria. The artefact therefore balances accessibility with ethical caution, and Module 6 will explore whether learners experience these metaphors as clarifying or whether additional symbolic or diagrammatic scaffolding is required to support conceptual accuracy without reintroducing cognitive overload.</w:t>
      </w:r>
    </w:p>
    <w:p w:rsidR="00000000" w:rsidDel="00000000" w:rsidP="00000000" w:rsidRDefault="00000000" w:rsidRPr="00000000" w14:paraId="000000A0">
      <w:pPr>
        <w:spacing w:before="200" w:line="480" w:lineRule="auto"/>
        <w:rPr>
          <w:b w:val="1"/>
          <w:bCs w:val="1"/>
        </w:rPr>
      </w:pPr>
      <w:r w:rsidDel="00000000" w:rsidR="00000000" w:rsidRPr="00000000">
        <w:rPr>
          <w:b w:val="1"/>
          <w:bCs w:val="1"/>
          <w:rtl w:val="0"/>
        </w:rPr>
        <w:t xml:space="preserve">Safety and Vocal Care Information</w:t>
      </w:r>
    </w:p>
    <w:p w:rsidR="00000000" w:rsidDel="00000000" w:rsidP="00000000" w:rsidRDefault="00000000" w:rsidRPr="00000000" w14:paraId="000000A1">
      <w:pPr>
        <w:spacing w:after="240" w:before="200" w:line="480" w:lineRule="auto"/>
        <w:rPr/>
      </w:pPr>
      <w:r w:rsidDel="00000000" w:rsidR="00000000" w:rsidRPr="00000000">
        <w:rPr>
          <w:rtl w:val="0"/>
        </w:rPr>
        <w:t xml:space="preserve">Another core part of the Know How process was embedding safety into the workbook as a procedural element rather than a theoretical warning. In Know That, I identified that many existing resources lack trauma-informed safety framing and that some encourage high-intensity attempts without adequate preparation. To address this, the artefact includes the '5 Golden Rules of Safe EVE Practice' (page 6), presented as short, memorable statements such as 'EVEs are about texture, not power'. These align with vocal health guidance (LeBorgne and Rosenberg, 2024) and trauma-informed emphasis on clarity, predictability, and permission (Durham, 2023).</w:t>
      </w:r>
    </w:p>
    <w:p w:rsidR="00000000" w:rsidDel="00000000" w:rsidP="00000000" w:rsidRDefault="00000000" w:rsidRPr="00000000" w14:paraId="000000A2">
      <w:pPr>
        <w:spacing w:after="240" w:before="200" w:line="480" w:lineRule="auto"/>
        <w:jc w:val="center"/>
        <w:rPr/>
      </w:pPr>
      <w:r w:rsidDel="00000000" w:rsidR="00000000" w:rsidRPr="00000000">
        <w:rPr/>
        <w:drawing>
          <wp:inline distB="114300" distT="114300" distL="114300" distR="114300">
            <wp:extent cx="3135150" cy="4989431"/>
            <wp:effectExtent b="0" l="0" r="0" t="0"/>
            <wp:docPr id="124" name="image122.png"/>
            <a:graphic>
              <a:graphicData uri="http://schemas.openxmlformats.org/drawingml/2006/picture">
                <pic:pic>
                  <pic:nvPicPr>
                    <pic:cNvPr id="0" name="image122.png"/>
                    <pic:cNvPicPr preferRelativeResize="0"/>
                  </pic:nvPicPr>
                  <pic:blipFill>
                    <a:blip r:embed="rId10"/>
                    <a:srcRect b="0" l="0" r="0" t="0"/>
                    <a:stretch>
                      <a:fillRect/>
                    </a:stretch>
                  </pic:blipFill>
                  <pic:spPr>
                    <a:xfrm>
                      <a:off x="0" y="0"/>
                      <a:ext cx="3135150" cy="4989431"/>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240" w:before="200" w:line="480" w:lineRule="auto"/>
        <w:jc w:val="center"/>
        <w:rPr/>
      </w:pPr>
      <w:r w:rsidDel="00000000" w:rsidR="00000000" w:rsidRPr="00000000">
        <w:rPr>
          <w:rtl w:val="0"/>
        </w:rPr>
        <w:t xml:space="preserve">(Page 6)</w:t>
      </w:r>
    </w:p>
    <w:p w:rsidR="00000000" w:rsidDel="00000000" w:rsidP="00000000" w:rsidRDefault="00000000" w:rsidRPr="00000000" w14:paraId="000000A4">
      <w:pPr>
        <w:spacing w:after="240" w:before="200" w:line="480" w:lineRule="auto"/>
        <w:rPr/>
      </w:pPr>
      <w:r w:rsidDel="00000000" w:rsidR="00000000" w:rsidRPr="00000000">
        <w:rPr>
          <w:rtl w:val="0"/>
        </w:rPr>
        <w:t xml:space="preserve">Safety reminders also appear at the point of action rather than being confined to the front of the workbook. For example, in the false fold growl section, the learner is instructed: 'Stop immediately. Pain is never part of safe technique' (page 43). This decision was informed by cognitive load research, which shows that recall can drop under stress or excitement (Sweller, 1998). In practice, it also reflects my tacit knowledge from studio teaching, where students often forget safety guidance once they become focused on achieving a sound. Embedding safety reminders within the flow of exercises mirrors how I naturally intervene during lessons, prompting regulation without breaking momentum.</w:t>
      </w:r>
    </w:p>
    <w:p w:rsidR="00000000" w:rsidDel="00000000" w:rsidP="00000000" w:rsidRDefault="00000000" w:rsidRPr="00000000" w14:paraId="000000A5">
      <w:pPr>
        <w:spacing w:after="240" w:before="200" w:line="480" w:lineRule="auto"/>
        <w:jc w:val="center"/>
        <w:rPr/>
      </w:pPr>
      <w:r w:rsidDel="00000000" w:rsidR="00000000" w:rsidRPr="00000000">
        <w:rPr/>
        <w:drawing>
          <wp:inline distB="114300" distT="114300" distL="114300" distR="114300">
            <wp:extent cx="2832970" cy="4495800"/>
            <wp:effectExtent b="0" l="0" r="0" t="0"/>
            <wp:docPr id="56" name="image66.png"/>
            <a:graphic>
              <a:graphicData uri="http://schemas.openxmlformats.org/drawingml/2006/picture">
                <pic:pic>
                  <pic:nvPicPr>
                    <pic:cNvPr id="0" name="image66.png"/>
                    <pic:cNvPicPr preferRelativeResize="0"/>
                  </pic:nvPicPr>
                  <pic:blipFill>
                    <a:blip r:embed="rId11"/>
                    <a:srcRect b="0" l="0" r="0" t="0"/>
                    <a:stretch>
                      <a:fillRect/>
                    </a:stretch>
                  </pic:blipFill>
                  <pic:spPr>
                    <a:xfrm>
                      <a:off x="0" y="0"/>
                      <a:ext cx="2832970" cy="449580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after="240" w:before="200" w:line="480" w:lineRule="auto"/>
        <w:jc w:val="center"/>
        <w:rPr/>
      </w:pPr>
      <w:r w:rsidDel="00000000" w:rsidR="00000000" w:rsidRPr="00000000">
        <w:rPr>
          <w:rtl w:val="0"/>
        </w:rPr>
        <w:t xml:space="preserve">(Page 43)</w:t>
      </w:r>
    </w:p>
    <w:p w:rsidR="00000000" w:rsidDel="00000000" w:rsidP="00000000" w:rsidRDefault="00000000" w:rsidRPr="00000000" w14:paraId="000000A7">
      <w:pPr>
        <w:spacing w:after="240" w:before="200" w:line="480" w:lineRule="auto"/>
        <w:rPr/>
      </w:pPr>
      <w:r w:rsidDel="00000000" w:rsidR="00000000" w:rsidRPr="00000000">
        <w:rPr>
          <w:rtl w:val="0"/>
        </w:rPr>
        <w:t xml:space="preserve">Embedding safety procedurally rather than theoretically also reflects an ethical stance toward learner autonomy. Rather than positioning safety as a set of externally imposed rules, the artefact frames regulation as an ongoing self-monitoring process that develops alongside technique. This aligns with trauma-informed pedagogy, which emphasises consent, agency, and learner choice. Module 6 will explore whether learners experience this approach as empowering or whether additional external scaffolding is required to support independent judgement.</w:t>
      </w:r>
    </w:p>
    <w:p w:rsidR="00000000" w:rsidDel="00000000" w:rsidP="00000000" w:rsidRDefault="00000000" w:rsidRPr="00000000" w14:paraId="000000A8">
      <w:pPr>
        <w:keepNext w:val="0"/>
        <w:keepLines w:val="0"/>
        <w:spacing w:after="80" w:before="200" w:line="480" w:lineRule="auto"/>
        <w:rPr>
          <w:b w:val="1"/>
          <w:bCs w:val="1"/>
        </w:rPr>
      </w:pPr>
      <w:r w:rsidDel="00000000" w:rsidR="00000000" w:rsidRPr="00000000">
        <w:rPr>
          <w:b w:val="1"/>
          <w:bCs w:val="1"/>
          <w:rtl w:val="0"/>
        </w:rPr>
        <w:t xml:space="preserve">Emotional and Sensory Information</w:t>
      </w:r>
    </w:p>
    <w:p w:rsidR="00000000" w:rsidDel="00000000" w:rsidP="00000000" w:rsidRDefault="00000000" w:rsidRPr="00000000" w14:paraId="000000A9">
      <w:pPr>
        <w:spacing w:after="240" w:before="200" w:line="480" w:lineRule="auto"/>
        <w:rPr/>
      </w:pPr>
      <w:r w:rsidDel="00000000" w:rsidR="00000000" w:rsidRPr="00000000">
        <w:rPr>
          <w:rtl w:val="0"/>
        </w:rPr>
        <w:t xml:space="preserve">As identified in Know That, emotional regulation is largely absent from most EVE pedagogy. Chrismon and Carter (2023) suggest that embodied voice work can trigger emotional or autonomic responses, yet few learner-facing resources prepare singers for this. Because many of my learners are neurodivergent and experience sensory or emotional overwhelm, the artefact frames emotional responses as usual rather than disruptive.</w:t>
      </w:r>
    </w:p>
    <w:p w:rsidR="00000000" w:rsidDel="00000000" w:rsidP="00000000" w:rsidRDefault="00000000" w:rsidRPr="00000000" w14:paraId="000000AA">
      <w:pPr>
        <w:spacing w:after="240" w:before="200" w:line="480" w:lineRule="auto"/>
        <w:rPr/>
      </w:pPr>
      <w:r w:rsidDel="00000000" w:rsidR="00000000" w:rsidRPr="00000000">
        <w:rPr>
          <w:rtl w:val="0"/>
        </w:rPr>
        <w:t xml:space="preserve">For this reason, grounding cues appear throughout the workbook, including: 'You will find short, simple exercises, reflection pages, and little ‘pause points’ that help you check in with your voice and your feelings' (page 3). These cues are placed within practical steps because emotional awareness is treated as part of embodied control rather than an optional add-on. This design decision directly addresses the gap identified in Know That concerning the lack of trauma-informed and emotionally literate EVE resources.</w:t>
      </w:r>
    </w:p>
    <w:p w:rsidR="00000000" w:rsidDel="00000000" w:rsidP="00000000" w:rsidRDefault="00000000" w:rsidRPr="00000000" w14:paraId="000000AB">
      <w:pPr>
        <w:spacing w:after="240" w:before="200" w:line="480" w:lineRule="auto"/>
        <w:jc w:val="center"/>
        <w:rPr/>
      </w:pPr>
      <w:r w:rsidDel="00000000" w:rsidR="00000000" w:rsidRPr="00000000">
        <w:rPr/>
        <w:drawing>
          <wp:inline distB="114300" distT="114300" distL="114300" distR="114300">
            <wp:extent cx="3099245" cy="4957763"/>
            <wp:effectExtent b="0" l="0" r="0" t="0"/>
            <wp:docPr id="127" name="image124.png"/>
            <a:graphic>
              <a:graphicData uri="http://schemas.openxmlformats.org/drawingml/2006/picture">
                <pic:pic>
                  <pic:nvPicPr>
                    <pic:cNvPr id="0" name="image124.png"/>
                    <pic:cNvPicPr preferRelativeResize="0"/>
                  </pic:nvPicPr>
                  <pic:blipFill>
                    <a:blip r:embed="rId12"/>
                    <a:srcRect b="0" l="0" r="0" t="0"/>
                    <a:stretch>
                      <a:fillRect/>
                    </a:stretch>
                  </pic:blipFill>
                  <pic:spPr>
                    <a:xfrm>
                      <a:off x="0" y="0"/>
                      <a:ext cx="3099245" cy="4957763"/>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spacing w:after="240" w:before="200" w:line="480" w:lineRule="auto"/>
        <w:jc w:val="center"/>
        <w:rPr/>
      </w:pPr>
      <w:r w:rsidDel="00000000" w:rsidR="00000000" w:rsidRPr="00000000">
        <w:rPr>
          <w:rtl w:val="0"/>
        </w:rPr>
        <w:t xml:space="preserve">(Page 3)</w:t>
      </w:r>
    </w:p>
    <w:p w:rsidR="00000000" w:rsidDel="00000000" w:rsidP="00000000" w:rsidRDefault="00000000" w:rsidRPr="00000000" w14:paraId="000000AD">
      <w:pPr>
        <w:pStyle w:val="Heading2"/>
        <w:spacing w:after="80" w:before="200" w:line="480" w:lineRule="auto"/>
        <w:rPr/>
      </w:pPr>
      <w:bookmarkStart w:colFirst="0" w:colLast="0" w:name="_t2dwfowjux4b" w:id="28"/>
      <w:bookmarkEnd w:id="28"/>
      <w:r w:rsidDel="00000000" w:rsidR="00000000" w:rsidRPr="00000000">
        <w:rPr>
          <w:rtl w:val="0"/>
        </w:rPr>
        <w:t xml:space="preserve">Conceptual Framework: How the Artefact Organises Knowledge</w:t>
      </w:r>
    </w:p>
    <w:p w:rsidR="00000000" w:rsidDel="00000000" w:rsidP="00000000" w:rsidRDefault="00000000" w:rsidRPr="00000000" w14:paraId="000000AE">
      <w:pPr>
        <w:keepNext w:val="0"/>
        <w:keepLines w:val="0"/>
        <w:spacing w:after="40" w:before="200" w:line="480" w:lineRule="auto"/>
        <w:rPr>
          <w:b w:val="1"/>
          <w:bCs w:val="1"/>
        </w:rPr>
      </w:pPr>
      <w:r w:rsidDel="00000000" w:rsidR="00000000" w:rsidRPr="00000000">
        <w:rPr>
          <w:b w:val="1"/>
          <w:bCs w:val="1"/>
          <w:rtl w:val="0"/>
        </w:rPr>
        <w:t xml:space="preserve">Consistent Chapter Sequencing</w:t>
      </w:r>
    </w:p>
    <w:p w:rsidR="00000000" w:rsidDel="00000000" w:rsidP="00000000" w:rsidRDefault="00000000" w:rsidRPr="00000000" w14:paraId="000000AF">
      <w:pPr>
        <w:spacing w:after="240" w:before="200" w:line="480" w:lineRule="auto"/>
        <w:rPr/>
      </w:pPr>
      <w:r w:rsidDel="00000000" w:rsidR="00000000" w:rsidRPr="00000000">
        <w:rPr>
          <w:rtl w:val="0"/>
        </w:rPr>
        <w:t xml:space="preserve">Every technique chapter follows the same conceptual sequence: what the technique is, how it works, how to start, exploration tasks, common challenges, cooldown and reflection (page 29). This structure was developed to address two gaps identified in Know That: the lack of scaffolding in existing EVE pedagogy and the difficulty neurodivergent learners can face when instruction is unpredictable.</w:t>
      </w:r>
    </w:p>
    <w:p w:rsidR="00000000" w:rsidDel="00000000" w:rsidP="00000000" w:rsidRDefault="00000000" w:rsidRPr="00000000" w14:paraId="000000B0">
      <w:pPr>
        <w:spacing w:after="240" w:before="200" w:line="480" w:lineRule="auto"/>
        <w:jc w:val="center"/>
        <w:rPr/>
      </w:pPr>
      <w:r w:rsidDel="00000000" w:rsidR="00000000" w:rsidRPr="00000000">
        <w:rPr/>
        <w:drawing>
          <wp:inline distB="114300" distT="114300" distL="114300" distR="114300">
            <wp:extent cx="4123909" cy="3854958"/>
            <wp:effectExtent b="0" l="0" r="0" t="0"/>
            <wp:docPr id="68" name="image89.png"/>
            <a:graphic>
              <a:graphicData uri="http://schemas.openxmlformats.org/drawingml/2006/picture">
                <pic:pic>
                  <pic:nvPicPr>
                    <pic:cNvPr id="0" name="image89.png"/>
                    <pic:cNvPicPr preferRelativeResize="0"/>
                  </pic:nvPicPr>
                  <pic:blipFill>
                    <a:blip r:embed="rId13"/>
                    <a:srcRect b="40885" l="0" r="0" t="0"/>
                    <a:stretch>
                      <a:fillRect/>
                    </a:stretch>
                  </pic:blipFill>
                  <pic:spPr>
                    <a:xfrm>
                      <a:off x="0" y="0"/>
                      <a:ext cx="4123909" cy="3854958"/>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spacing w:after="240" w:before="200" w:line="480" w:lineRule="auto"/>
        <w:jc w:val="center"/>
        <w:rPr/>
      </w:pPr>
      <w:r w:rsidDel="00000000" w:rsidR="00000000" w:rsidRPr="00000000">
        <w:rPr>
          <w:rtl w:val="0"/>
        </w:rPr>
        <w:t xml:space="preserve">(Page 29)</w:t>
      </w:r>
    </w:p>
    <w:p w:rsidR="00000000" w:rsidDel="00000000" w:rsidP="00000000" w:rsidRDefault="00000000" w:rsidRPr="00000000" w14:paraId="000000B2">
      <w:pPr>
        <w:spacing w:after="240" w:before="200" w:line="480" w:lineRule="auto"/>
        <w:rPr/>
      </w:pPr>
      <w:r w:rsidDel="00000000" w:rsidR="00000000" w:rsidRPr="00000000">
        <w:rPr>
          <w:rtl w:val="0"/>
        </w:rPr>
        <w:t xml:space="preserve">Scaffolding literature (Wood, Bruner and Ross, 1976) and trauma-informed frameworks (Brunzell, Stokes and Waters, 2016) emphasise a predictable progression for building confidence and reducing anxiety. The repeated structure allows learners to anticipate what comes next, lowering cognitive strain and supporting self-directed practice.</w:t>
      </w:r>
    </w:p>
    <w:p w:rsidR="00000000" w:rsidDel="00000000" w:rsidP="00000000" w:rsidRDefault="00000000" w:rsidRPr="00000000" w14:paraId="000000B3">
      <w:pPr>
        <w:keepNext w:val="0"/>
        <w:keepLines w:val="0"/>
        <w:spacing w:after="80" w:before="200" w:line="480" w:lineRule="auto"/>
        <w:rPr>
          <w:b w:val="1"/>
          <w:bCs w:val="1"/>
        </w:rPr>
      </w:pPr>
      <w:r w:rsidDel="00000000" w:rsidR="00000000" w:rsidRPr="00000000">
        <w:rPr>
          <w:b w:val="1"/>
          <w:bCs w:val="1"/>
          <w:rtl w:val="0"/>
        </w:rPr>
        <w:t xml:space="preserve">Justification of Workbook Format</w:t>
      </w:r>
    </w:p>
    <w:p w:rsidR="00000000" w:rsidDel="00000000" w:rsidP="00000000" w:rsidRDefault="00000000" w:rsidRPr="00000000" w14:paraId="000000B4">
      <w:pPr>
        <w:spacing w:after="240" w:before="200" w:line="480" w:lineRule="auto"/>
        <w:rPr/>
      </w:pPr>
      <w:r w:rsidDel="00000000" w:rsidR="00000000" w:rsidRPr="00000000">
        <w:rPr>
          <w:rtl w:val="0"/>
        </w:rPr>
        <w:t xml:space="preserve">The decision to use a workbook format was intentional and grounded in the needs identified in the literature. Trauma-informed approaches emphasise autonomy, emotional pacing, and learner control (Durham, 2023), all of which are supported by a self-paced workbook. Neurodivergent learners may also benefit from processing information non-linearly and revisiting concepts as needed (Oram, 2018; Armstrong, 2017). A workbook aligns with UDL principles by offering multiple modes of engagement, including written explanation, diagrams, reflection tasks, and future QR-linked multimedia, rather than relying on a single mode (CAST, 2018; Conway, 2020). It also enables structured scaffolding that reduces cognitive load (Wood, Bruner and Ross, 1976).</w:t>
      </w:r>
    </w:p>
    <w:p w:rsidR="00000000" w:rsidDel="00000000" w:rsidP="00000000" w:rsidRDefault="00000000" w:rsidRPr="00000000" w14:paraId="000000B5">
      <w:pPr>
        <w:keepNext w:val="0"/>
        <w:keepLines w:val="0"/>
        <w:spacing w:after="80" w:before="200" w:line="480" w:lineRule="auto"/>
        <w:rPr>
          <w:b w:val="1"/>
          <w:bCs w:val="1"/>
        </w:rPr>
      </w:pPr>
      <w:r w:rsidDel="00000000" w:rsidR="00000000" w:rsidRPr="00000000">
        <w:rPr>
          <w:b w:val="1"/>
          <w:bCs w:val="1"/>
          <w:rtl w:val="0"/>
        </w:rPr>
        <w:t xml:space="preserve">Low Cognitive Load Layout</w:t>
      </w:r>
    </w:p>
    <w:p w:rsidR="00000000" w:rsidDel="00000000" w:rsidP="00000000" w:rsidRDefault="00000000" w:rsidRPr="00000000" w14:paraId="000000B6">
      <w:pPr>
        <w:spacing w:after="240" w:before="200" w:line="480" w:lineRule="auto"/>
        <w:rPr/>
      </w:pPr>
      <w:r w:rsidDel="00000000" w:rsidR="00000000" w:rsidRPr="00000000">
        <w:rPr>
          <w:rtl w:val="0"/>
        </w:rPr>
        <w:t xml:space="preserve">The use of white space, chunked text, and simple graphics supports learners with dyslexia, ADHD, and other neurodivergent profiles. ‘Know That’ identified that much existing EVE pedagogy is visually dense and linguistically complex, which can create barriers to access. To counter this, the artefact follows recommendations that emphasise reducing extraneous cognitive load (Sweller, 1998; Oram, 2018; Cappello, 2022). The layout therefore supports comprehension before the learner even begins reading, aligning with UDL principles of offering multiple means of engagement (Conway, 2020).</w:t>
      </w:r>
    </w:p>
    <w:p w:rsidR="00000000" w:rsidDel="00000000" w:rsidP="00000000" w:rsidRDefault="00000000" w:rsidRPr="00000000" w14:paraId="000000B7">
      <w:pPr>
        <w:pStyle w:val="Heading2"/>
        <w:spacing w:after="240" w:before="200" w:line="480" w:lineRule="auto"/>
        <w:rPr/>
      </w:pPr>
      <w:bookmarkStart w:colFirst="0" w:colLast="0" w:name="_areb3m83wumv" w:id="29"/>
      <w:bookmarkEnd w:id="29"/>
      <w:r w:rsidDel="00000000" w:rsidR="00000000" w:rsidRPr="00000000">
        <w:rPr>
          <w:rtl w:val="0"/>
        </w:rPr>
        <w:t xml:space="preserve">Accessibility and Inclusivity as Conceptual Design</w:t>
      </w:r>
    </w:p>
    <w:p w:rsidR="00000000" w:rsidDel="00000000" w:rsidP="00000000" w:rsidRDefault="00000000" w:rsidRPr="00000000" w14:paraId="000000B8">
      <w:pPr>
        <w:keepNext w:val="0"/>
        <w:keepLines w:val="0"/>
        <w:spacing w:after="40" w:before="200" w:line="480" w:lineRule="auto"/>
        <w:rPr>
          <w:b w:val="1"/>
          <w:bCs w:val="1"/>
        </w:rPr>
      </w:pPr>
      <w:r w:rsidDel="00000000" w:rsidR="00000000" w:rsidRPr="00000000">
        <w:rPr>
          <w:b w:val="1"/>
          <w:bCs w:val="1"/>
          <w:rtl w:val="0"/>
        </w:rPr>
        <w:t xml:space="preserve">Font, Icons, and Colour Choices</w:t>
      </w:r>
    </w:p>
    <w:p w:rsidR="00000000" w:rsidDel="00000000" w:rsidP="00000000" w:rsidRDefault="00000000" w:rsidRPr="00000000" w14:paraId="000000B9">
      <w:pPr>
        <w:spacing w:after="240" w:before="200" w:line="480" w:lineRule="auto"/>
        <w:rPr/>
      </w:pPr>
      <w:r w:rsidDel="00000000" w:rsidR="00000000" w:rsidRPr="00000000">
        <w:rPr>
          <w:rtl w:val="0"/>
        </w:rPr>
        <w:t xml:space="preserve">Dyslexia-friendly fonts, rounded shapes, and gentle colour gradients were chosen to support perceptual clarity and reduce sensory strain. These decisions reflect UDL guidelines and research on visual accessibility (Conway, 2020; Cappello, 2022) and directly address the gap identified in Know That: many EVE resources do not consider sensory needs or accessibility.</w:t>
      </w:r>
    </w:p>
    <w:p w:rsidR="00000000" w:rsidDel="00000000" w:rsidP="00000000" w:rsidRDefault="00000000" w:rsidRPr="00000000" w14:paraId="000000BA">
      <w:pPr>
        <w:keepNext w:val="0"/>
        <w:keepLines w:val="0"/>
        <w:spacing w:after="40" w:before="200" w:line="480" w:lineRule="auto"/>
        <w:rPr>
          <w:b w:val="1"/>
          <w:bCs w:val="1"/>
        </w:rPr>
      </w:pPr>
      <w:r w:rsidDel="00000000" w:rsidR="00000000" w:rsidRPr="00000000">
        <w:rPr>
          <w:b w:val="1"/>
          <w:bCs w:val="1"/>
          <w:rtl w:val="0"/>
        </w:rPr>
        <w:t xml:space="preserve">Identity Affirmation and Gender Inclusivity</w:t>
      </w:r>
    </w:p>
    <w:p w:rsidR="00000000" w:rsidDel="00000000" w:rsidP="00000000" w:rsidRDefault="00000000" w:rsidRPr="00000000" w14:paraId="000000BB">
      <w:pPr>
        <w:spacing w:after="240" w:before="200" w:line="480" w:lineRule="auto"/>
        <w:rPr/>
      </w:pPr>
      <w:r w:rsidDel="00000000" w:rsidR="00000000" w:rsidRPr="00000000">
        <w:rPr>
          <w:rtl w:val="0"/>
        </w:rPr>
        <w:t xml:space="preserve">The artefact avoids gendered terminology entirely, using phrases such as 'higher voices' and 'lower voices', or referring to vocal fold thickness or resonance tendencies without linking them to gender. This responds to gaps identified by Cates (2022), Sauerland (2022), and Azul (2015), who highlight exclusion experienced by trans and non-binary singers in traditional pedagogy. Removing gendered framing allows learners to locate their voice without being forced into binary categories.</w:t>
      </w:r>
    </w:p>
    <w:p w:rsidR="00000000" w:rsidDel="00000000" w:rsidP="00000000" w:rsidRDefault="00000000" w:rsidRPr="00000000" w14:paraId="000000BC">
      <w:pPr>
        <w:keepNext w:val="0"/>
        <w:keepLines w:val="0"/>
        <w:spacing w:after="40" w:before="200" w:line="480" w:lineRule="auto"/>
        <w:rPr>
          <w:b w:val="1"/>
          <w:bCs w:val="1"/>
        </w:rPr>
      </w:pPr>
      <w:r w:rsidDel="00000000" w:rsidR="00000000" w:rsidRPr="00000000">
        <w:rPr>
          <w:b w:val="1"/>
          <w:bCs w:val="1"/>
          <w:rtl w:val="0"/>
        </w:rPr>
        <w:t xml:space="preserve">Trauma-Informed Tone</w:t>
      </w:r>
    </w:p>
    <w:p w:rsidR="00000000" w:rsidDel="00000000" w:rsidP="00000000" w:rsidRDefault="00000000" w:rsidRPr="00000000" w14:paraId="000000BD">
      <w:pPr>
        <w:spacing w:after="240" w:before="200" w:line="480" w:lineRule="auto"/>
        <w:jc w:val="left"/>
        <w:rPr/>
      </w:pPr>
      <w:r w:rsidDel="00000000" w:rsidR="00000000" w:rsidRPr="00000000">
        <w:rPr>
          <w:rtl w:val="0"/>
        </w:rPr>
        <w:t xml:space="preserve">Throughout the workbook, the tone remains gentle, invitational, and permissive. Examples include 'If you feel overwhelmed, anxious, or frustrated, stop for a moment' (page 23) and 'There is no perfect voice. There is only your voice' (page 13). Trauma-informed practice encourages non-directive language to reduce shutdown or overwhelm (Durham, 2023). In teaching practice, anxious learners often disengage when instructions feel overly directive, and the artefact’s tone reflects both literature and lived teaching insight.</w:t>
      </w:r>
    </w:p>
    <w:p w:rsidR="00000000" w:rsidDel="00000000" w:rsidP="00000000" w:rsidRDefault="00000000" w:rsidRPr="00000000" w14:paraId="000000BE">
      <w:pPr>
        <w:spacing w:after="240" w:before="200" w:line="480" w:lineRule="auto"/>
        <w:jc w:val="center"/>
        <w:rPr/>
      </w:pPr>
      <w:r w:rsidDel="00000000" w:rsidR="00000000" w:rsidRPr="00000000">
        <w:rPr/>
        <w:drawing>
          <wp:inline distB="114300" distT="114300" distL="114300" distR="114300">
            <wp:extent cx="2067840" cy="3280346"/>
            <wp:effectExtent b="0" l="0" r="0" t="0"/>
            <wp:docPr id="84" name="image97.png"/>
            <a:graphic>
              <a:graphicData uri="http://schemas.openxmlformats.org/drawingml/2006/picture">
                <pic:pic>
                  <pic:nvPicPr>
                    <pic:cNvPr id="0" name="image97.png"/>
                    <pic:cNvPicPr preferRelativeResize="0"/>
                  </pic:nvPicPr>
                  <pic:blipFill>
                    <a:blip r:embed="rId14"/>
                    <a:srcRect b="0" l="0" r="0" t="0"/>
                    <a:stretch>
                      <a:fillRect/>
                    </a:stretch>
                  </pic:blipFill>
                  <pic:spPr>
                    <a:xfrm>
                      <a:off x="0" y="0"/>
                      <a:ext cx="2067840" cy="3280346"/>
                    </a:xfrm>
                    <a:prstGeom prst="rect"/>
                    <a:ln/>
                  </pic:spPr>
                </pic:pic>
              </a:graphicData>
            </a:graphic>
          </wp:inline>
        </w:drawing>
      </w:r>
      <w:r w:rsidDel="00000000" w:rsidR="00000000" w:rsidRPr="00000000">
        <w:rPr/>
        <w:drawing>
          <wp:inline distB="114300" distT="114300" distL="114300" distR="114300">
            <wp:extent cx="2052614" cy="3280346"/>
            <wp:effectExtent b="0" l="0" r="0" t="0"/>
            <wp:docPr id="64" name="image73.png"/>
            <a:graphic>
              <a:graphicData uri="http://schemas.openxmlformats.org/drawingml/2006/picture">
                <pic:pic>
                  <pic:nvPicPr>
                    <pic:cNvPr id="0" name="image73.png"/>
                    <pic:cNvPicPr preferRelativeResize="0"/>
                  </pic:nvPicPr>
                  <pic:blipFill>
                    <a:blip r:embed="rId15"/>
                    <a:srcRect b="0" l="0" r="0" t="0"/>
                    <a:stretch>
                      <a:fillRect/>
                    </a:stretch>
                  </pic:blipFill>
                  <pic:spPr>
                    <a:xfrm>
                      <a:off x="0" y="0"/>
                      <a:ext cx="2052614" cy="3280346"/>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after="240" w:before="200" w:line="480" w:lineRule="auto"/>
        <w:jc w:val="center"/>
        <w:rPr/>
      </w:pPr>
      <w:r w:rsidDel="00000000" w:rsidR="00000000" w:rsidRPr="00000000">
        <w:rPr>
          <w:rtl w:val="0"/>
        </w:rPr>
        <w:t xml:space="preserve">(Page 23 and Page 13)</w:t>
      </w:r>
    </w:p>
    <w:p w:rsidR="00000000" w:rsidDel="00000000" w:rsidP="00000000" w:rsidRDefault="00000000" w:rsidRPr="00000000" w14:paraId="000000C0">
      <w:pPr>
        <w:pStyle w:val="Heading1"/>
        <w:spacing w:before="200" w:line="480" w:lineRule="auto"/>
        <w:rPr/>
      </w:pPr>
      <w:bookmarkStart w:colFirst="0" w:colLast="0" w:name="_fd5dax58u12y" w:id="30"/>
      <w:bookmarkEnd w:id="30"/>
      <w:r w:rsidDel="00000000" w:rsidR="00000000" w:rsidRPr="00000000">
        <w:rPr>
          <w:rtl w:val="0"/>
        </w:rPr>
        <w:t xml:space="preserve">Know What: Critical Evaluation of the Artefact’s Content</w:t>
      </w:r>
    </w:p>
    <w:p w:rsidR="00000000" w:rsidDel="00000000" w:rsidP="00000000" w:rsidRDefault="00000000" w:rsidRPr="00000000" w14:paraId="000000C1">
      <w:pPr>
        <w:pStyle w:val="Heading2"/>
        <w:keepNext w:val="0"/>
        <w:keepLines w:val="0"/>
        <w:spacing w:after="80" w:before="200" w:line="480" w:lineRule="auto"/>
        <w:rPr/>
      </w:pPr>
      <w:bookmarkStart w:colFirst="0" w:colLast="0" w:name="_akpfejt9eb87" w:id="31"/>
      <w:bookmarkEnd w:id="31"/>
      <w:r w:rsidDel="00000000" w:rsidR="00000000" w:rsidRPr="00000000">
        <w:rPr>
          <w:rtl w:val="0"/>
        </w:rPr>
        <w:t xml:space="preserve">Introduction</w:t>
      </w:r>
    </w:p>
    <w:p w:rsidR="00000000" w:rsidDel="00000000" w:rsidP="00000000" w:rsidRDefault="00000000" w:rsidRPr="00000000" w14:paraId="000000C2">
      <w:pPr>
        <w:spacing w:after="240" w:before="200" w:line="480" w:lineRule="auto"/>
        <w:rPr/>
      </w:pPr>
      <w:r w:rsidDel="00000000" w:rsidR="00000000" w:rsidRPr="00000000">
        <w:rPr>
          <w:rtl w:val="0"/>
        </w:rPr>
        <w:t xml:space="preserve">This section evaluates the factual and conceptual knowledge embedded within </w:t>
      </w:r>
      <w:r w:rsidDel="00000000" w:rsidR="00000000" w:rsidRPr="00000000">
        <w:rPr>
          <w:i w:val="1"/>
          <w:iCs w:val="1"/>
          <w:rtl w:val="0"/>
        </w:rPr>
        <w:t xml:space="preserve">The (Not So) Cookie Cutter Guide to Extreme Vocals</w:t>
      </w:r>
      <w:r w:rsidDel="00000000" w:rsidR="00000000" w:rsidRPr="00000000">
        <w:rPr>
          <w:rtl w:val="0"/>
        </w:rPr>
        <w:t xml:space="preserve"> and considers how effectively the artefact communicates this knowledge to learners. Within Nelson’s framework, Know What refers to the content a project contains and the extent to which that content is accurate, relevant, coherent, and pedagogically effective. This evaluation focuses on strengths, limitations, and boundaries, including what cannot yet be claimed without learner feedback. It also acknowledges the difference between design intention and demonstrated impact, identifying evaluative questions to be explored through Module 6.</w:t>
      </w:r>
    </w:p>
    <w:p w:rsidR="00000000" w:rsidDel="00000000" w:rsidP="00000000" w:rsidRDefault="00000000" w:rsidRPr="00000000" w14:paraId="000000C3">
      <w:pPr>
        <w:pStyle w:val="Heading2"/>
        <w:spacing w:after="240" w:before="200" w:line="480" w:lineRule="auto"/>
        <w:rPr/>
      </w:pPr>
      <w:bookmarkStart w:colFirst="0" w:colLast="0" w:name="_svlwrmu69di0" w:id="32"/>
      <w:bookmarkEnd w:id="32"/>
      <w:r w:rsidDel="00000000" w:rsidR="00000000" w:rsidRPr="00000000">
        <w:rPr>
          <w:rtl w:val="0"/>
        </w:rPr>
        <w:t xml:space="preserve">Strength 1: Effective Translation of Vocal Science</w:t>
      </w:r>
    </w:p>
    <w:p w:rsidR="00000000" w:rsidDel="00000000" w:rsidP="00000000" w:rsidRDefault="00000000" w:rsidRPr="00000000" w14:paraId="000000C4">
      <w:pPr>
        <w:spacing w:after="240" w:before="200" w:line="480" w:lineRule="auto"/>
        <w:rPr/>
      </w:pPr>
      <w:r w:rsidDel="00000000" w:rsidR="00000000" w:rsidRPr="00000000">
        <w:rPr>
          <w:rtl w:val="0"/>
        </w:rPr>
        <w:t xml:space="preserve">A key strength of the artefact is the balance it aims to strike between scientific credibility and learner accessibility. The workbook introduces core principles of airflow, vibration, and resonance in plain language, then connects these ideas to specific EVEs through technique pages. This responds to the gap identified in Know That, where the science is often either inaccessible to beginners or absent from widely used EVEs resources. Grounding explanations in vocal research supports the accuracy of the information provided (Herbst, 2014; Kob, Murphy and Echternach, 2019; Berry et al., 2019), while the simplified presentation aims to reduce cognitive overload.</w:t>
      </w:r>
    </w:p>
    <w:p w:rsidR="00000000" w:rsidDel="00000000" w:rsidP="00000000" w:rsidRDefault="00000000" w:rsidRPr="00000000" w14:paraId="000000C5">
      <w:pPr>
        <w:spacing w:after="240" w:before="200" w:line="480" w:lineRule="auto"/>
        <w:rPr>
          <w:i w:val="1"/>
          <w:iCs w:val="1"/>
        </w:rPr>
      </w:pPr>
      <w:r w:rsidDel="00000000" w:rsidR="00000000" w:rsidRPr="00000000">
        <w:rPr>
          <w:rtl w:val="0"/>
        </w:rPr>
        <w:t xml:space="preserve">However, this strength remains a design claim rather than an evidenced outcome. Without learner testing, I cannot yet confirm whether the mechanisms are understood as intended or whether learners interpret the simplified explanations accurately. There is also an inherent trade-off here: simplifying complex mechanisms improves accessibility but may reduce biomechanical specificity, meaning that different learners may interpret metaphors and embodied cues differently. This matters in EVE training because misunderstanding coordination could lead to unsafe attempts even when safety advice is present. A key Module 6 question will therefore be:</w:t>
        <w:br w:type="textWrapping"/>
      </w:r>
      <w:r w:rsidDel="00000000" w:rsidR="00000000" w:rsidRPr="00000000">
        <w:rPr>
          <w:i w:val="1"/>
          <w:iCs w:val="1"/>
          <w:rtl w:val="0"/>
        </w:rPr>
        <w:t xml:space="preserve">Do learners report increased confidence and understanding of vocal physiology after using the science explanations, or do they require additional step-based visuals or multimedia to support comprehension?</w:t>
      </w:r>
    </w:p>
    <w:p w:rsidR="00000000" w:rsidDel="00000000" w:rsidP="00000000" w:rsidRDefault="00000000" w:rsidRPr="00000000" w14:paraId="000000C6">
      <w:pPr>
        <w:pStyle w:val="Heading2"/>
        <w:keepNext w:val="0"/>
        <w:keepLines w:val="0"/>
        <w:spacing w:after="80" w:before="200" w:line="480" w:lineRule="auto"/>
        <w:rPr/>
      </w:pPr>
      <w:bookmarkStart w:colFirst="0" w:colLast="0" w:name="_lacoqssvc4qe" w:id="33"/>
      <w:bookmarkEnd w:id="33"/>
      <w:r w:rsidDel="00000000" w:rsidR="00000000" w:rsidRPr="00000000">
        <w:rPr>
          <w:rtl w:val="0"/>
        </w:rPr>
        <w:t xml:space="preserve">Strength 2: Embedded Emotional and Physical Safety</w:t>
      </w:r>
    </w:p>
    <w:p w:rsidR="00000000" w:rsidDel="00000000" w:rsidP="00000000" w:rsidRDefault="00000000" w:rsidRPr="00000000" w14:paraId="000000C7">
      <w:pPr>
        <w:spacing w:after="240" w:before="200" w:line="480" w:lineRule="auto"/>
        <w:rPr/>
      </w:pPr>
      <w:r w:rsidDel="00000000" w:rsidR="00000000" w:rsidRPr="00000000">
        <w:rPr>
          <w:rtl w:val="0"/>
        </w:rPr>
        <w:t xml:space="preserve">Another strength is the consistent inclusion of safety knowledge as part of the learning experience rather than an isolated warning. The workbook contains repeated reminders to stop if pain occurs, reduce intensity, and prioritise regulation. This aligns with trauma-informed principles that prioritise autonomy and learner control (Durham, 2023) and with research suggesting that embodied voice work can activate emotional responses (Chrismon and Carter, 2023). The artefact treats grounding, pacing, and permission as part of the technical process, which is significant given how many mainstream EVE resources foreground intensity and stylistic authenticity over wellbeing.</w:t>
      </w:r>
    </w:p>
    <w:p w:rsidR="00000000" w:rsidDel="00000000" w:rsidP="00000000" w:rsidRDefault="00000000" w:rsidRPr="00000000" w14:paraId="000000C8">
      <w:pPr>
        <w:spacing w:after="240" w:before="200" w:line="480" w:lineRule="auto"/>
        <w:rPr>
          <w:i w:val="1"/>
          <w:iCs w:val="1"/>
        </w:rPr>
      </w:pPr>
      <w:r w:rsidDel="00000000" w:rsidR="00000000" w:rsidRPr="00000000">
        <w:rPr>
          <w:rtl w:val="0"/>
        </w:rPr>
        <w:t xml:space="preserve">A key limitation is that safety features may not function uniformly across learners. For example, some learners may skip grounding cues or may not recognise their own early signs of overload. Others may require more concrete regulation strategies than text prompts can provide. It also remains unclear whether learners interpret 'pain' and 'discomfort' consistently, particularly if they have high anxiety, sensory processing differences, or limited prior vocal experience. This creates a Module 6 evaluative question:</w:t>
        <w:br w:type="textWrapping"/>
      </w:r>
      <w:r w:rsidDel="00000000" w:rsidR="00000000" w:rsidRPr="00000000">
        <w:rPr>
          <w:i w:val="1"/>
          <w:iCs w:val="1"/>
          <w:rtl w:val="0"/>
        </w:rPr>
        <w:t xml:space="preserve">Do learners, particularly neurodivergent or trauma-affected learners, use the grounding and safety cues as intended, and do these cues reduce overwhelm during practice?</w:t>
      </w:r>
    </w:p>
    <w:p w:rsidR="00000000" w:rsidDel="00000000" w:rsidP="00000000" w:rsidRDefault="00000000" w:rsidRPr="00000000" w14:paraId="000000C9">
      <w:pPr>
        <w:pStyle w:val="Heading2"/>
        <w:keepNext w:val="0"/>
        <w:keepLines w:val="0"/>
        <w:spacing w:after="80" w:before="200" w:line="480" w:lineRule="auto"/>
        <w:rPr/>
      </w:pPr>
      <w:bookmarkStart w:colFirst="0" w:colLast="0" w:name="_pfvoaqa36vo" w:id="34"/>
      <w:bookmarkEnd w:id="34"/>
      <w:r w:rsidDel="00000000" w:rsidR="00000000" w:rsidRPr="00000000">
        <w:rPr>
          <w:rtl w:val="0"/>
        </w:rPr>
        <w:t xml:space="preserve">Strength 3: Gender-Inclusive Approach</w:t>
      </w:r>
    </w:p>
    <w:p w:rsidR="00000000" w:rsidDel="00000000" w:rsidP="00000000" w:rsidRDefault="00000000" w:rsidRPr="00000000" w14:paraId="000000CA">
      <w:pPr>
        <w:spacing w:after="240" w:before="200" w:line="480" w:lineRule="auto"/>
        <w:rPr/>
      </w:pPr>
      <w:r w:rsidDel="00000000" w:rsidR="00000000" w:rsidRPr="00000000">
        <w:rPr>
          <w:rtl w:val="0"/>
        </w:rPr>
        <w:t xml:space="preserve">The artefact’s non-gendered language is a clear strength in terms of inclusive practice. By removing binary voice categories and avoiding gendered assumptions, the workbook responds directly to the critique that much vocal pedagogy remains shaped by normative gender frameworks (Azul, 2015; Cates, 2022; Sauerland, 2022). This positions the artefact as an alternative to mainstream EVE resources that often assume cis male bodies or stereotyped vocal identities.</w:t>
      </w:r>
    </w:p>
    <w:p w:rsidR="00000000" w:rsidDel="00000000" w:rsidP="00000000" w:rsidRDefault="00000000" w:rsidRPr="00000000" w14:paraId="000000CB">
      <w:pPr>
        <w:spacing w:after="240" w:before="200" w:line="480" w:lineRule="auto"/>
        <w:rPr>
          <w:i w:val="1"/>
          <w:iCs w:val="1"/>
        </w:rPr>
      </w:pPr>
      <w:r w:rsidDel="00000000" w:rsidR="00000000" w:rsidRPr="00000000">
        <w:rPr>
          <w:rtl w:val="0"/>
        </w:rPr>
        <w:t xml:space="preserve">At this stage, however, inclusivity remains an intention rather than an evidenced learner experience. Until trans and non-binary learners engage with the workbook, I cannot confirm whether the phrasing actively reduces dysphoria-related barriers or whether additional affirming cues are needed to create complete identity safety. While non-gendered terminology reduces harm, some learners may still benefit from explicit reassurance about vocal change, variation, and identity safety, particularly if they are navigating dysphoria or prior negative experiences in voice training. A Module 6 question will be:</w:t>
        <w:br w:type="textWrapping"/>
      </w:r>
      <w:r w:rsidDel="00000000" w:rsidR="00000000" w:rsidRPr="00000000">
        <w:rPr>
          <w:i w:val="1"/>
          <w:iCs w:val="1"/>
          <w:rtl w:val="0"/>
        </w:rPr>
        <w:t xml:space="preserve"> Do trans and non-binary learners experience the non-gendered terminology as affirming and usable in practice, or do they require more explicit guidance to feel fully supported?</w:t>
      </w:r>
    </w:p>
    <w:p w:rsidR="00000000" w:rsidDel="00000000" w:rsidP="00000000" w:rsidRDefault="00000000" w:rsidRPr="00000000" w14:paraId="000000CC">
      <w:pPr>
        <w:keepNext w:val="0"/>
        <w:keepLines w:val="0"/>
        <w:spacing w:after="80" w:before="200" w:line="480" w:lineRule="auto"/>
        <w:rPr>
          <w:b w:val="1"/>
          <w:bCs w:val="1"/>
        </w:rPr>
      </w:pPr>
      <w:r w:rsidDel="00000000" w:rsidR="00000000" w:rsidRPr="00000000">
        <w:rPr>
          <w:b w:val="1"/>
          <w:bCs w:val="1"/>
          <w:rtl w:val="0"/>
        </w:rPr>
        <w:t xml:space="preserve">Strength 4: Neurodivergent-Friendly Structure</w:t>
      </w:r>
    </w:p>
    <w:p w:rsidR="00000000" w:rsidDel="00000000" w:rsidP="00000000" w:rsidRDefault="00000000" w:rsidRPr="00000000" w14:paraId="000000CD">
      <w:pPr>
        <w:spacing w:after="240" w:before="200" w:line="480" w:lineRule="auto"/>
        <w:rPr/>
      </w:pPr>
      <w:r w:rsidDel="00000000" w:rsidR="00000000" w:rsidRPr="00000000">
        <w:rPr>
          <w:rtl w:val="0"/>
        </w:rPr>
        <w:t xml:space="preserve">The workbook’s predictable sequencing, chunked text, and spacious layout are strong design features aligned with neurodiversity-aware pedagogy and UDL principles (CAST, 2018; Conway, 2020; Oram, 2018; Armstrong, 2017). The artefact aims to reduce visual overload and executive functioning demands by maintaining consistent chapter structure and limiting dense blocks of text. This directly addresses the gap identified in Know That that existing EVE materials are frequently visually busy, terminology-heavy, and challenging to navigate for learners who require predictability.</w:t>
      </w:r>
    </w:p>
    <w:p w:rsidR="00000000" w:rsidDel="00000000" w:rsidP="00000000" w:rsidRDefault="00000000" w:rsidRPr="00000000" w14:paraId="000000CE">
      <w:pPr>
        <w:spacing w:after="240" w:before="200" w:line="480" w:lineRule="auto"/>
        <w:rPr/>
      </w:pPr>
      <w:r w:rsidDel="00000000" w:rsidR="00000000" w:rsidRPr="00000000">
        <w:rPr>
          <w:rtl w:val="0"/>
        </w:rPr>
        <w:t xml:space="preserve">However, the extent to which the structure feels supportive will vary across learners. Some neurodivergent learners may find the layout calming, while others may require more visual sequencing, audio support, or navigation aids. It is also important not to present accessibility as a fixed outcome, as neurodivergent needs are not uniform. Predictability may reduce anxiety for some learners, but feel restrictive or repetitive for others, and low visual density may support focus for some while feeling under-stimulating for others. This leads to a Module 6 evaluative question:</w:t>
        <w:br w:type="textWrapping"/>
      </w:r>
      <w:r w:rsidDel="00000000" w:rsidR="00000000" w:rsidRPr="00000000">
        <w:rPr>
          <w:i w:val="1"/>
          <w:iCs w:val="1"/>
          <w:rtl w:val="0"/>
        </w:rPr>
        <w:t xml:space="preserve">Do neurodivergent learners find the layout and sequencing manageable and calming, or would further sensory adjustments and alternative formats improve accessibility?</w:t>
      </w:r>
      <w:r w:rsidDel="00000000" w:rsidR="00000000" w:rsidRPr="00000000">
        <w:rPr>
          <w:rtl w:val="0"/>
        </w:rPr>
      </w:r>
    </w:p>
    <w:p w:rsidR="00000000" w:rsidDel="00000000" w:rsidP="00000000" w:rsidRDefault="00000000" w:rsidRPr="00000000" w14:paraId="000000CF">
      <w:pPr>
        <w:pStyle w:val="Heading2"/>
        <w:spacing w:before="200" w:line="480" w:lineRule="auto"/>
        <w:rPr/>
      </w:pPr>
      <w:bookmarkStart w:colFirst="0" w:colLast="0" w:name="_y6bmy9dfkarf" w:id="35"/>
      <w:bookmarkEnd w:id="35"/>
      <w:r w:rsidDel="00000000" w:rsidR="00000000" w:rsidRPr="00000000">
        <w:rPr>
          <w:rtl w:val="0"/>
        </w:rPr>
        <w:t xml:space="preserve">Limitations and Areas for Further Development</w:t>
      </w:r>
    </w:p>
    <w:p w:rsidR="00000000" w:rsidDel="00000000" w:rsidP="00000000" w:rsidRDefault="00000000" w:rsidRPr="00000000" w14:paraId="000000D0">
      <w:pPr>
        <w:keepNext w:val="0"/>
        <w:keepLines w:val="0"/>
        <w:spacing w:after="80" w:before="200" w:line="480" w:lineRule="auto"/>
        <w:rPr>
          <w:b w:val="1"/>
          <w:bCs w:val="1"/>
        </w:rPr>
      </w:pPr>
      <w:r w:rsidDel="00000000" w:rsidR="00000000" w:rsidRPr="00000000">
        <w:rPr>
          <w:b w:val="1"/>
          <w:bCs w:val="1"/>
          <w:rtl w:val="0"/>
        </w:rPr>
        <w:t xml:space="preserve">Limited Diagrams</w:t>
      </w:r>
    </w:p>
    <w:p w:rsidR="00000000" w:rsidDel="00000000" w:rsidP="00000000" w:rsidRDefault="00000000" w:rsidRPr="00000000" w14:paraId="000000D1">
      <w:pPr>
        <w:spacing w:after="240" w:before="200" w:line="480" w:lineRule="auto"/>
        <w:rPr/>
      </w:pPr>
      <w:r w:rsidDel="00000000" w:rsidR="00000000" w:rsidRPr="00000000">
        <w:rPr>
          <w:rtl w:val="0"/>
        </w:rPr>
        <w:t xml:space="preserve">The artefact currently includes fewer diagrams than initially intended due to insufficient time to create appropriate ones. While the existing visuals are clear, increasing the quantity of diagrams could enhance comprehension and retention, particularly for learners who rely on visual processing (Cappello, 2022). Additional visuals showing airflow, resonance shifts, or safe versus unsafe coordination may strengthen conceptual clarity. However, this also requires careful design decisions, as too many visuals could increase sensory load for some learners. Any diagram expansion should therefore be tested in Module 6 to ensure it improves clarity without increasing overwhelm.</w:t>
      </w:r>
    </w:p>
    <w:p w:rsidR="00000000" w:rsidDel="00000000" w:rsidP="00000000" w:rsidRDefault="00000000" w:rsidRPr="00000000" w14:paraId="000000D2">
      <w:pPr>
        <w:keepNext w:val="0"/>
        <w:keepLines w:val="0"/>
        <w:spacing w:after="80" w:before="200" w:line="480" w:lineRule="auto"/>
        <w:rPr>
          <w:b w:val="1"/>
          <w:bCs w:val="1"/>
        </w:rPr>
      </w:pPr>
      <w:r w:rsidDel="00000000" w:rsidR="00000000" w:rsidRPr="00000000">
        <w:rPr>
          <w:b w:val="1"/>
          <w:bCs w:val="1"/>
          <w:rtl w:val="0"/>
        </w:rPr>
        <w:t xml:space="preserve">Lack of Embedded Multimedia</w:t>
      </w:r>
    </w:p>
    <w:p w:rsidR="00000000" w:rsidDel="00000000" w:rsidP="00000000" w:rsidRDefault="00000000" w:rsidRPr="00000000" w14:paraId="000000D3">
      <w:pPr>
        <w:spacing w:after="240" w:before="200" w:line="480" w:lineRule="auto"/>
        <w:rPr/>
      </w:pPr>
      <w:r w:rsidDel="00000000" w:rsidR="00000000" w:rsidRPr="00000000">
        <w:rPr>
          <w:rtl w:val="0"/>
        </w:rPr>
        <w:t xml:space="preserve">QR codes are referenced but not yet functional. Research on multimodal learning suggests that auditory and visual modelling can strengthen technique learning, particularly for complex coordination tasks (Walzer, 2015). The absence of embedded multimedia limits access for learners who benefit from demonstration, and may increase reliance on textual interpretation. Before Module 6, embedding at least one demonstration per technique would strengthen accessibility and reduce ambiguity.</w:t>
      </w:r>
    </w:p>
    <w:p w:rsidR="00000000" w:rsidDel="00000000" w:rsidP="00000000" w:rsidRDefault="00000000" w:rsidRPr="00000000" w14:paraId="000000D4">
      <w:pPr>
        <w:keepNext w:val="0"/>
        <w:keepLines w:val="0"/>
        <w:spacing w:after="80" w:before="200" w:line="480" w:lineRule="auto"/>
        <w:rPr>
          <w:b w:val="1"/>
          <w:bCs w:val="1"/>
        </w:rPr>
      </w:pPr>
      <w:r w:rsidDel="00000000" w:rsidR="00000000" w:rsidRPr="00000000">
        <w:rPr>
          <w:b w:val="1"/>
          <w:bCs w:val="1"/>
          <w:rtl w:val="0"/>
        </w:rPr>
        <w:t xml:space="preserve">Depth of Technique Pages</w:t>
      </w:r>
    </w:p>
    <w:p w:rsidR="00000000" w:rsidDel="00000000" w:rsidP="00000000" w:rsidRDefault="00000000" w:rsidRPr="00000000" w14:paraId="000000D5">
      <w:pPr>
        <w:spacing w:after="240" w:before="200" w:line="480" w:lineRule="auto"/>
        <w:rPr/>
      </w:pPr>
      <w:r w:rsidDel="00000000" w:rsidR="00000000" w:rsidRPr="00000000">
        <w:rPr>
          <w:rtl w:val="0"/>
        </w:rPr>
        <w:t xml:space="preserve">Some chapters, particularly those addressing growls, remain concise. Expanding troubleshooting pathways, step-by-step progressions, and stylistic applications would support learners who struggle with initial coordination or who want clearer links between technique and genre use. However, this must be balanced against cognitive load and overwhelm, so expansion should prioritise high-impact support (e.g. short 'If X happens, try Y' troubleshooting) rather than significant increases in text volume.</w:t>
      </w:r>
    </w:p>
    <w:p w:rsidR="00000000" w:rsidDel="00000000" w:rsidP="00000000" w:rsidRDefault="00000000" w:rsidRPr="00000000" w14:paraId="000000D6">
      <w:pPr>
        <w:keepNext w:val="0"/>
        <w:keepLines w:val="0"/>
        <w:spacing w:after="80" w:before="200" w:line="480" w:lineRule="auto"/>
        <w:rPr>
          <w:b w:val="1"/>
          <w:bCs w:val="1"/>
        </w:rPr>
      </w:pPr>
      <w:r w:rsidDel="00000000" w:rsidR="00000000" w:rsidRPr="00000000">
        <w:rPr>
          <w:b w:val="1"/>
          <w:bCs w:val="1"/>
          <w:rtl w:val="0"/>
        </w:rPr>
        <w:t xml:space="preserve">Navigation and Indexing</w:t>
      </w:r>
    </w:p>
    <w:p w:rsidR="00000000" w:rsidDel="00000000" w:rsidP="00000000" w:rsidRDefault="00000000" w:rsidRPr="00000000" w14:paraId="000000D7">
      <w:pPr>
        <w:spacing w:after="240" w:before="200" w:line="480" w:lineRule="auto"/>
        <w:rPr/>
      </w:pPr>
      <w:r w:rsidDel="00000000" w:rsidR="00000000" w:rsidRPr="00000000">
        <w:rPr>
          <w:rtl w:val="0"/>
        </w:rPr>
        <w:t xml:space="preserve">The contents page is functional but could further support executive functioning needs through clearer section signposting. Options include colour coding, tabs, or a more detailed index to reduce time spent searching for relevant pages and improve independent navigation. This is particularly relevant for learners with ADHD or those who struggle with multi-step task management, where 'finding the right page' can become a barrier to practice.</w:t>
      </w:r>
    </w:p>
    <w:p w:rsidR="00000000" w:rsidDel="00000000" w:rsidP="00000000" w:rsidRDefault="00000000" w:rsidRPr="00000000" w14:paraId="000000D8">
      <w:pPr>
        <w:pStyle w:val="Heading2"/>
        <w:spacing w:before="200" w:line="480" w:lineRule="auto"/>
        <w:rPr/>
      </w:pPr>
      <w:bookmarkStart w:colFirst="0" w:colLast="0" w:name="_b6skqmvc7uqr" w:id="36"/>
      <w:bookmarkEnd w:id="36"/>
      <w:r w:rsidDel="00000000" w:rsidR="00000000" w:rsidRPr="00000000">
        <w:rPr>
          <w:rtl w:val="0"/>
        </w:rPr>
        <w:t xml:space="preserve">Achievement of Aims and Objectives</w:t>
      </w:r>
    </w:p>
    <w:p w:rsidR="00000000" w:rsidDel="00000000" w:rsidP="00000000" w:rsidRDefault="00000000" w:rsidRPr="00000000" w14:paraId="000000D9">
      <w:pPr>
        <w:keepNext w:val="0"/>
        <w:keepLines w:val="0"/>
        <w:spacing w:after="80" w:before="200" w:line="480" w:lineRule="auto"/>
        <w:rPr>
          <w:b w:val="1"/>
          <w:bCs w:val="1"/>
        </w:rPr>
      </w:pPr>
      <w:r w:rsidDel="00000000" w:rsidR="00000000" w:rsidRPr="00000000">
        <w:rPr>
          <w:b w:val="1"/>
          <w:bCs w:val="1"/>
          <w:rtl w:val="0"/>
        </w:rPr>
        <w:t xml:space="preserve">Aim: Create an accessible, inclusive EVE workbook grounded in clear physiology and suitable for diverse learners</w:t>
      </w:r>
    </w:p>
    <w:p w:rsidR="00000000" w:rsidDel="00000000" w:rsidP="00000000" w:rsidRDefault="00000000" w:rsidRPr="00000000" w14:paraId="000000DA">
      <w:pPr>
        <w:spacing w:after="240" w:before="200" w:line="480" w:lineRule="auto"/>
        <w:rPr/>
      </w:pPr>
      <w:r w:rsidDel="00000000" w:rsidR="00000000" w:rsidRPr="00000000">
        <w:rPr>
          <w:rtl w:val="0"/>
        </w:rPr>
        <w:t xml:space="preserve">Achieved at the design stage. The artefact demonstrates an inclusive and accessible approach through plain-language explanations, consistent scaffolding, sensory-aware layout, and non-gendered framing. However, the claim that it is accessible for diverse learners remains provisional until Module 6 user engagement confirms how learners experience the content in practice. At this stage, the artefact can be evaluated as theoretically aligned with inclusive frameworks, but not yet demonstrated to be effective in lived-learning contexts.</w:t>
      </w:r>
    </w:p>
    <w:p w:rsidR="00000000" w:rsidDel="00000000" w:rsidP="00000000" w:rsidRDefault="00000000" w:rsidRPr="00000000" w14:paraId="000000DB">
      <w:pPr>
        <w:keepNext w:val="0"/>
        <w:keepLines w:val="0"/>
        <w:spacing w:after="80" w:before="200" w:line="480" w:lineRule="auto"/>
        <w:rPr>
          <w:b w:val="1"/>
          <w:bCs w:val="1"/>
        </w:rPr>
      </w:pPr>
      <w:r w:rsidDel="00000000" w:rsidR="00000000" w:rsidRPr="00000000">
        <w:rPr>
          <w:b w:val="1"/>
          <w:bCs w:val="1"/>
          <w:rtl w:val="0"/>
        </w:rPr>
        <w:t xml:space="preserve">Objective 1: Review literature on trauma-informed, scaffolding and inclusive teaching</w:t>
      </w:r>
    </w:p>
    <w:p w:rsidR="00000000" w:rsidDel="00000000" w:rsidP="00000000" w:rsidRDefault="00000000" w:rsidRPr="00000000" w14:paraId="000000DC">
      <w:pPr>
        <w:spacing w:after="240" w:before="200" w:line="480" w:lineRule="auto"/>
        <w:rPr/>
      </w:pPr>
      <w:r w:rsidDel="00000000" w:rsidR="00000000" w:rsidRPr="00000000">
        <w:rPr>
          <w:rtl w:val="0"/>
        </w:rPr>
        <w:t xml:space="preserve">Achieved. The workbook reflects these frameworks through invitational language, predictable sequencing, and identity-affirming design. The connection between literature and design choices is explicit across the artefact.</w:t>
      </w:r>
    </w:p>
    <w:p w:rsidR="00000000" w:rsidDel="00000000" w:rsidP="00000000" w:rsidRDefault="00000000" w:rsidRPr="00000000" w14:paraId="000000DD">
      <w:pPr>
        <w:keepNext w:val="0"/>
        <w:keepLines w:val="0"/>
        <w:spacing w:after="80" w:before="200" w:line="480" w:lineRule="auto"/>
        <w:rPr>
          <w:b w:val="1"/>
          <w:bCs w:val="1"/>
        </w:rPr>
      </w:pPr>
      <w:r w:rsidDel="00000000" w:rsidR="00000000" w:rsidRPr="00000000">
        <w:rPr>
          <w:b w:val="1"/>
          <w:bCs w:val="1"/>
          <w:rtl w:val="0"/>
        </w:rPr>
        <w:t xml:space="preserve">Objective 2: Translate physiological and gender-related research into accessible visuals and explanations</w:t>
      </w:r>
    </w:p>
    <w:p w:rsidR="00000000" w:rsidDel="00000000" w:rsidP="00000000" w:rsidRDefault="00000000" w:rsidRPr="00000000" w14:paraId="000000DE">
      <w:pPr>
        <w:spacing w:after="240" w:before="200" w:line="480" w:lineRule="auto"/>
        <w:rPr/>
      </w:pPr>
      <w:r w:rsidDel="00000000" w:rsidR="00000000" w:rsidRPr="00000000">
        <w:rPr>
          <w:rtl w:val="0"/>
        </w:rPr>
        <w:t xml:space="preserve">Partially achieved. Explanations are accurate and accessible, but diagrams and multimedia elements require expansion. This objective will be strengthened by increasing visual supports and embedding QR-linked demonstrations before Module 6.</w:t>
      </w:r>
    </w:p>
    <w:p w:rsidR="00000000" w:rsidDel="00000000" w:rsidP="00000000" w:rsidRDefault="00000000" w:rsidRPr="00000000" w14:paraId="000000DF">
      <w:pPr>
        <w:keepNext w:val="0"/>
        <w:keepLines w:val="0"/>
        <w:spacing w:after="80" w:before="200" w:line="480" w:lineRule="auto"/>
        <w:rPr>
          <w:b w:val="1"/>
          <w:bCs w:val="1"/>
        </w:rPr>
      </w:pPr>
      <w:r w:rsidDel="00000000" w:rsidR="00000000" w:rsidRPr="00000000">
        <w:rPr>
          <w:b w:val="1"/>
          <w:bCs w:val="1"/>
          <w:rtl w:val="0"/>
        </w:rPr>
        <w:t xml:space="preserve">Objective 3: Design scaffolded reflective pages that avoid overwhelm</w:t>
      </w:r>
    </w:p>
    <w:p w:rsidR="00000000" w:rsidDel="00000000" w:rsidP="00000000" w:rsidRDefault="00000000" w:rsidRPr="00000000" w14:paraId="000000E0">
      <w:pPr>
        <w:spacing w:after="240" w:before="200" w:line="480" w:lineRule="auto"/>
        <w:rPr/>
      </w:pPr>
      <w:r w:rsidDel="00000000" w:rsidR="00000000" w:rsidRPr="00000000">
        <w:rPr>
          <w:rtl w:val="0"/>
        </w:rPr>
        <w:t xml:space="preserve">Achieved. Reflection pages are minimal and low-pressure. Module 6 will help determine whether optional extended prompts would benefit some learners without increasing overwhelm.</w:t>
      </w:r>
    </w:p>
    <w:p w:rsidR="00000000" w:rsidDel="00000000" w:rsidP="00000000" w:rsidRDefault="00000000" w:rsidRPr="00000000" w14:paraId="000000E1">
      <w:pPr>
        <w:keepNext w:val="0"/>
        <w:keepLines w:val="0"/>
        <w:spacing w:after="80" w:before="200" w:line="480" w:lineRule="auto"/>
        <w:rPr>
          <w:b w:val="1"/>
          <w:bCs w:val="1"/>
        </w:rPr>
      </w:pPr>
      <w:r w:rsidDel="00000000" w:rsidR="00000000" w:rsidRPr="00000000">
        <w:rPr>
          <w:b w:val="1"/>
          <w:bCs w:val="1"/>
          <w:rtl w:val="0"/>
        </w:rPr>
        <w:t xml:space="preserve">Objective 4: Critically evaluate existing EVE pedagogies and address inclusivity gaps</w:t>
      </w:r>
    </w:p>
    <w:p w:rsidR="00000000" w:rsidDel="00000000" w:rsidP="00000000" w:rsidRDefault="00000000" w:rsidRPr="00000000" w14:paraId="000000E2">
      <w:pPr>
        <w:spacing w:after="240" w:before="200" w:line="480" w:lineRule="auto"/>
        <w:rPr/>
      </w:pPr>
      <w:r w:rsidDel="00000000" w:rsidR="00000000" w:rsidRPr="00000000">
        <w:rPr>
          <w:rtl w:val="0"/>
        </w:rPr>
        <w:t xml:space="preserve">Achieved. The artefact positions itself as an inclusive alternative to dominant resources that assume cis male, neurotypical, or emotionally resilient learners. The limitations of mainstream approaches have been addressed through design choices grounded in the Know That section. However, the relative effectiveness of this alternative approach remains to be evaluated through learner experience in Module 6 rather than claimed at the design stage.</w:t>
      </w:r>
    </w:p>
    <w:p w:rsidR="00000000" w:rsidDel="00000000" w:rsidP="00000000" w:rsidRDefault="00000000" w:rsidRPr="00000000" w14:paraId="000000E3">
      <w:pPr>
        <w:keepNext w:val="0"/>
        <w:keepLines w:val="0"/>
        <w:spacing w:after="80" w:before="200" w:line="480" w:lineRule="auto"/>
        <w:rPr>
          <w:b w:val="1"/>
          <w:bCs w:val="1"/>
        </w:rPr>
      </w:pPr>
      <w:r w:rsidDel="00000000" w:rsidR="00000000" w:rsidRPr="00000000">
        <w:rPr>
          <w:b w:val="1"/>
          <w:bCs w:val="1"/>
          <w:rtl w:val="0"/>
        </w:rPr>
        <w:t xml:space="preserve">Objective 5: Prepare the artefact for implementation</w:t>
      </w:r>
    </w:p>
    <w:p w:rsidR="00000000" w:rsidDel="00000000" w:rsidP="00000000" w:rsidRDefault="00000000" w:rsidRPr="00000000" w14:paraId="000000E4">
      <w:pPr>
        <w:spacing w:after="240" w:before="200" w:line="480" w:lineRule="auto"/>
        <w:rPr/>
      </w:pPr>
      <w:r w:rsidDel="00000000" w:rsidR="00000000" w:rsidRPr="00000000">
        <w:rPr>
          <w:rtl w:val="0"/>
        </w:rPr>
        <w:t xml:space="preserve">Achieved with minor refinements pending. The workbook is structurally ready for piloting. The remaining preparation concerns diagrams, QR codes, and navigation improvements.</w:t>
      </w:r>
    </w:p>
    <w:p w:rsidR="00000000" w:rsidDel="00000000" w:rsidP="00000000" w:rsidRDefault="00000000" w:rsidRPr="00000000" w14:paraId="000000E5">
      <w:pPr>
        <w:keepNext w:val="0"/>
        <w:keepLines w:val="0"/>
        <w:spacing w:after="80" w:before="200" w:line="480" w:lineRule="auto"/>
        <w:rPr>
          <w:b w:val="1"/>
          <w:bCs w:val="1"/>
        </w:rPr>
      </w:pPr>
      <w:r w:rsidDel="00000000" w:rsidR="00000000" w:rsidRPr="00000000">
        <w:rPr>
          <w:b w:val="1"/>
          <w:bCs w:val="1"/>
          <w:rtl w:val="0"/>
        </w:rPr>
        <w:t xml:space="preserve">Objective 6: Embed ethical considerations throughout the design process</w:t>
      </w:r>
    </w:p>
    <w:p w:rsidR="00000000" w:rsidDel="00000000" w:rsidP="00000000" w:rsidRDefault="00000000" w:rsidRPr="00000000" w14:paraId="000000E6">
      <w:pPr>
        <w:spacing w:after="240" w:before="200" w:line="480" w:lineRule="auto"/>
        <w:rPr/>
      </w:pPr>
      <w:r w:rsidDel="00000000" w:rsidR="00000000" w:rsidRPr="00000000">
        <w:rPr>
          <w:rtl w:val="0"/>
        </w:rPr>
        <w:t xml:space="preserve">Achieved. Autonomy, safety, and identity awareness are embedded throughout the workbook through permission-based language, clear safety boundaries, and non-pathologising framing.</w:t>
      </w:r>
    </w:p>
    <w:p w:rsidR="00000000" w:rsidDel="00000000" w:rsidP="00000000" w:rsidRDefault="00000000" w:rsidRPr="00000000" w14:paraId="000000E7">
      <w:pPr>
        <w:pStyle w:val="Heading2"/>
        <w:spacing w:before="200" w:line="480" w:lineRule="auto"/>
        <w:rPr/>
      </w:pPr>
      <w:bookmarkStart w:colFirst="0" w:colLast="0" w:name="_m26vysy2hdwy" w:id="37"/>
      <w:bookmarkEnd w:id="37"/>
      <w:r w:rsidDel="00000000" w:rsidR="00000000" w:rsidRPr="00000000">
        <w:rPr>
          <w:rtl w:val="0"/>
        </w:rPr>
        <w:t xml:space="preserve">Conclusion</w:t>
      </w:r>
      <w:r w:rsidDel="00000000" w:rsidR="00000000" w:rsidRPr="00000000">
        <w:rPr>
          <w:rtl w:val="0"/>
        </w:rPr>
      </w:r>
    </w:p>
    <w:p w:rsidR="00000000" w:rsidDel="00000000" w:rsidP="00000000" w:rsidRDefault="00000000" w:rsidRPr="00000000" w14:paraId="000000E8">
      <w:pPr>
        <w:spacing w:after="240" w:before="200" w:line="480" w:lineRule="auto"/>
        <w:rPr/>
      </w:pPr>
      <w:r w:rsidDel="00000000" w:rsidR="00000000" w:rsidRPr="00000000">
        <w:rPr>
          <w:rtl w:val="0"/>
        </w:rPr>
        <w:t xml:space="preserve">Overall, the artefact demonstrates coherent factual and conceptual knowledge delivered through an accessible, inclusive structure. The workbook addresses significant gaps in EVE pedagogy through scientifically grounded explanations, embedded safety, gender-inclusive framing, and neurodivergent-aware design. At this stage, these strengths remain design intentions supported by theory rather than evidenced outcomes. The next phase of work in Module 6 will evaluate whether these choices translate into meaningful learner experience, including whether users understand the physiology, use the grounding tools, feel affirmed by the language, and experience the structure as accessible in practice. It will also allow evaluation of who these design decisions work best for, under what conditions, and where adaptation is required.</w:t>
      </w:r>
      <w:r w:rsidDel="00000000" w:rsidR="00000000" w:rsidRPr="00000000">
        <w:rPr>
          <w:rtl w:val="0"/>
        </w:rPr>
      </w:r>
    </w:p>
    <w:p w:rsidR="00000000" w:rsidDel="00000000" w:rsidP="00000000" w:rsidRDefault="00000000" w:rsidRPr="00000000" w14:paraId="000000E9">
      <w:pPr>
        <w:pStyle w:val="Heading1"/>
        <w:spacing w:after="240" w:before="200" w:line="480" w:lineRule="auto"/>
        <w:rPr/>
      </w:pPr>
      <w:bookmarkStart w:colFirst="0" w:colLast="0" w:name="_3xsu9yqofyen" w:id="38"/>
      <w:bookmarkEnd w:id="38"/>
      <w:r w:rsidDel="00000000" w:rsidR="00000000" w:rsidRPr="00000000">
        <w:rPr>
          <w:rtl w:val="0"/>
        </w:rPr>
        <w:t xml:space="preserve">Critical Reflection</w:t>
      </w:r>
    </w:p>
    <w:p w:rsidR="00000000" w:rsidDel="00000000" w:rsidP="00000000" w:rsidRDefault="00000000" w:rsidRPr="00000000" w14:paraId="000000EA">
      <w:pPr>
        <w:spacing w:after="240" w:before="200" w:line="480" w:lineRule="auto"/>
        <w:rPr/>
      </w:pPr>
      <w:r w:rsidDel="00000000" w:rsidR="00000000" w:rsidRPr="00000000">
        <w:rPr>
          <w:b w:val="1"/>
          <w:bCs w:val="1"/>
          <w:rtl w:val="0"/>
        </w:rPr>
        <w:t xml:space="preserve">Introduction</w:t>
        <w:br w:type="textWrapping"/>
      </w:r>
      <w:r w:rsidDel="00000000" w:rsidR="00000000" w:rsidRPr="00000000">
        <w:rPr>
          <w:rtl w:val="0"/>
        </w:rPr>
        <w:t xml:space="preserve">I chose Kolb’s (1984) Experiential Learning Cycle as the framework for this reflection because it mirrors how this module unfolded for me. Much of my learning did not happen in a straight theoretical line; it happened through cycles of doing, noticing, adjusting and re-doing. Kolb emphasises the movement between concrete experience, reflection, conceptualisation and experimentation, which reflects how my artefact developed through practice-led processes, journaling, identity-based insights and responsive design choices. This model also allows space for lived experience, including my gender identity and neurodivergence, to sit alongside academic theory in shaping understanding. Through using this framework, I began to recognise reflection not simply as something that happens after the work, but as a method that actively shaped the artefact itself.</w:t>
      </w:r>
      <w:r w:rsidDel="00000000" w:rsidR="00000000" w:rsidRPr="00000000">
        <w:rPr>
          <w:rtl w:val="0"/>
        </w:rPr>
      </w:r>
    </w:p>
    <w:p w:rsidR="00000000" w:rsidDel="00000000" w:rsidP="00000000" w:rsidRDefault="00000000" w:rsidRPr="00000000" w14:paraId="000000EB">
      <w:pPr>
        <w:pStyle w:val="Heading2"/>
        <w:spacing w:before="200" w:line="480" w:lineRule="auto"/>
        <w:rPr/>
      </w:pPr>
      <w:bookmarkStart w:colFirst="0" w:colLast="0" w:name="_okdja6cjqoeh" w:id="39"/>
      <w:bookmarkEnd w:id="39"/>
      <w:r w:rsidDel="00000000" w:rsidR="00000000" w:rsidRPr="00000000">
        <w:rPr>
          <w:rtl w:val="0"/>
        </w:rPr>
        <w:t xml:space="preserve">Concrete Experience: What I Actually Lived Through During the Module</w:t>
      </w:r>
    </w:p>
    <w:p w:rsidR="00000000" w:rsidDel="00000000" w:rsidP="00000000" w:rsidRDefault="00000000" w:rsidRPr="00000000" w14:paraId="000000EC">
      <w:pPr>
        <w:spacing w:after="240" w:before="200" w:line="480" w:lineRule="auto"/>
        <w:rPr/>
      </w:pPr>
      <w:r w:rsidDel="00000000" w:rsidR="00000000" w:rsidRPr="00000000">
        <w:rPr>
          <w:rtl w:val="0"/>
        </w:rPr>
        <w:t xml:space="preserve">This module involved a constant back-and-forth between reading literature, interpreting it through my teaching practice, and translating it into concrete design decisions for the artefact. Weekly journaling became a record not just of tasks completed but of how I made sense of decisions emotionally and intellectually. Early weeks were spent defining the project and realising how central trauma-informed, gender-inclusive and neurodivergent-aware frameworks would be. I noticed myself repeatedly returning to themes of safety, autonomy and identity long before I had finalised a research question. This showed me that my assumptions about what 'mattered' in EVE pedagogy were already being reshaped by the reading and by my own lived experience.</w:t>
      </w:r>
    </w:p>
    <w:p w:rsidR="00000000" w:rsidDel="00000000" w:rsidP="00000000" w:rsidRDefault="00000000" w:rsidRPr="00000000" w14:paraId="000000ED">
      <w:pPr>
        <w:spacing w:after="240" w:before="200" w:line="480" w:lineRule="auto"/>
        <w:rPr/>
      </w:pPr>
      <w:r w:rsidDel="00000000" w:rsidR="00000000" w:rsidRPr="00000000">
        <w:rPr>
          <w:rtl w:val="0"/>
        </w:rPr>
        <w:t xml:space="preserve">As the module progressed, the practical side of creating the artefact became dominant. I spent considerable time experimenting with vocal distortions myself, fry phonation, false fold engagement and resonance strategies, paying close attention to sensations, airflow and emotional responses, which helped me simplify explanations in the workbook. Alongside this, I was managing burnout, workload and life events, which influenced the pacing of my research and design process. At times, I felt stalled, and my journal reflects frustration followed by clarity when I returned to the work. These fluctuations became embodied data about learning under pressure.</w:t>
      </w:r>
    </w:p>
    <w:p w:rsidR="00000000" w:rsidDel="00000000" w:rsidP="00000000" w:rsidRDefault="00000000" w:rsidRPr="00000000" w14:paraId="000000EE">
      <w:pPr>
        <w:spacing w:after="240" w:before="200" w:line="480" w:lineRule="auto"/>
        <w:rPr/>
      </w:pPr>
      <w:r w:rsidDel="00000000" w:rsidR="00000000" w:rsidRPr="00000000">
        <w:rPr>
          <w:rtl w:val="0"/>
        </w:rPr>
        <w:t xml:space="preserve">Key turning points included:</w:t>
        <w:br w:type="textWrapping"/>
        <w:t xml:space="preserve"> </w:t>
      </w:r>
      <w:r w:rsidDel="00000000" w:rsidR="00000000" w:rsidRPr="00000000">
        <w:rPr>
          <w:b w:val="1"/>
          <w:bCs w:val="1"/>
          <w:rtl w:val="0"/>
        </w:rPr>
        <w:t xml:space="preserve">Week 5:</w:t>
      </w:r>
      <w:r w:rsidDel="00000000" w:rsidR="00000000" w:rsidRPr="00000000">
        <w:rPr>
          <w:rtl w:val="0"/>
        </w:rPr>
        <w:t xml:space="preserve"> Realising that playful metaphors ('creaky door', 'grumbly engine') communicated technique more effectively than purely scientific terminology.</w:t>
        <w:br w:type="textWrapping"/>
        <w:t xml:space="preserve"> </w:t>
      </w:r>
      <w:r w:rsidDel="00000000" w:rsidR="00000000" w:rsidRPr="00000000">
        <w:rPr>
          <w:b w:val="1"/>
          <w:bCs w:val="1"/>
          <w:rtl w:val="0"/>
        </w:rPr>
        <w:t xml:space="preserve">Week 6:</w:t>
      </w:r>
      <w:r w:rsidDel="00000000" w:rsidR="00000000" w:rsidRPr="00000000">
        <w:rPr>
          <w:rtl w:val="0"/>
        </w:rPr>
        <w:t xml:space="preserve"> Noticing how my sensory processing shaped layout decisions, such as chunked text and calm visuals.</w:t>
        <w:br w:type="textWrapping"/>
        <w:t xml:space="preserve"> </w:t>
      </w:r>
      <w:r w:rsidDel="00000000" w:rsidR="00000000" w:rsidRPr="00000000">
        <w:rPr>
          <w:b w:val="1"/>
          <w:bCs w:val="1"/>
          <w:rtl w:val="0"/>
        </w:rPr>
        <w:t xml:space="preserve">Week 10:</w:t>
      </w:r>
      <w:r w:rsidDel="00000000" w:rsidR="00000000" w:rsidRPr="00000000">
        <w:rPr>
          <w:rtl w:val="0"/>
        </w:rPr>
        <w:t xml:space="preserve"> Recognising that the tone of the artefact needed to be grounding because voice work can trigger emotional responses.</w:t>
        <w:br w:type="textWrapping"/>
        <w:t xml:space="preserve"> </w:t>
      </w:r>
      <w:r w:rsidDel="00000000" w:rsidR="00000000" w:rsidRPr="00000000">
        <w:rPr>
          <w:b w:val="1"/>
          <w:bCs w:val="1"/>
          <w:rtl w:val="0"/>
        </w:rPr>
        <w:t xml:space="preserve">Final drafting:</w:t>
      </w:r>
      <w:r w:rsidDel="00000000" w:rsidR="00000000" w:rsidRPr="00000000">
        <w:rPr>
          <w:rtl w:val="0"/>
        </w:rPr>
        <w:t xml:space="preserve"> Understanding that the artefact reflected my identity and values, not just vocal technique.</w:t>
      </w:r>
    </w:p>
    <w:p w:rsidR="00000000" w:rsidDel="00000000" w:rsidP="00000000" w:rsidRDefault="00000000" w:rsidRPr="00000000" w14:paraId="000000EF">
      <w:pPr>
        <w:spacing w:after="240" w:before="200" w:line="480" w:lineRule="auto"/>
        <w:rPr/>
      </w:pPr>
      <w:r w:rsidDel="00000000" w:rsidR="00000000" w:rsidRPr="00000000">
        <w:rPr>
          <w:rtl w:val="0"/>
        </w:rPr>
        <w:t xml:space="preserve">These experiences formed the raw material for deeper learning, reflecting Kolb’s emphasis on experience as the starting point of understanding.</w:t>
      </w:r>
    </w:p>
    <w:p w:rsidR="00000000" w:rsidDel="00000000" w:rsidP="00000000" w:rsidRDefault="00000000" w:rsidRPr="00000000" w14:paraId="000000F0">
      <w:pPr>
        <w:pStyle w:val="Heading2"/>
        <w:spacing w:before="200" w:line="480" w:lineRule="auto"/>
        <w:rPr/>
      </w:pPr>
      <w:bookmarkStart w:colFirst="0" w:colLast="0" w:name="_2shv44qvy905" w:id="40"/>
      <w:bookmarkEnd w:id="40"/>
      <w:r w:rsidDel="00000000" w:rsidR="00000000" w:rsidRPr="00000000">
        <w:rPr>
          <w:rtl w:val="0"/>
        </w:rPr>
        <w:t xml:space="preserve">Reflective Observation: What I Noticed About These Experiences</w:t>
      </w:r>
    </w:p>
    <w:p w:rsidR="00000000" w:rsidDel="00000000" w:rsidP="00000000" w:rsidRDefault="00000000" w:rsidRPr="00000000" w14:paraId="000000F1">
      <w:pPr>
        <w:spacing w:after="240" w:before="200" w:line="480" w:lineRule="auto"/>
        <w:rPr/>
      </w:pPr>
      <w:r w:rsidDel="00000000" w:rsidR="00000000" w:rsidRPr="00000000">
        <w:rPr>
          <w:rtl w:val="0"/>
        </w:rPr>
        <w:t xml:space="preserve">Looking back, I noticed clear patterns in how I approached the work. One theme was that theory rarely felt meaningful until I had tried something practically. Reading about trauma-informed practice made sense, but its significance only crystallised when I drafted technique pages and instinctively softened directive language. My emotional reaction to specific phrasing became evidence of what Durham (2023) calls emotional safety cues. I found myself noticing discomfort before I could articulate the theoretical reason, which aligns with Kolb’s idea that reflection often crystallises tacit knowledge.</w:t>
      </w:r>
    </w:p>
    <w:p w:rsidR="00000000" w:rsidDel="00000000" w:rsidP="00000000" w:rsidRDefault="00000000" w:rsidRPr="00000000" w14:paraId="000000F2">
      <w:pPr>
        <w:spacing w:after="240" w:before="200" w:line="480" w:lineRule="auto"/>
        <w:rPr/>
      </w:pPr>
      <w:r w:rsidDel="00000000" w:rsidR="00000000" w:rsidRPr="00000000">
        <w:rPr>
          <w:rtl w:val="0"/>
        </w:rPr>
        <w:t xml:space="preserve">Another observation was how strongly my identity shaped decision-making. As a gender-diverse vocalist, binary voice labels felt uncomfortable even before I revisited research by Cates (2022) and Sauerland (2022). This discomfort made me realise how quickly traditional pedagogy can retraumatise or exclude. My identity served not only as insight but also as a lens that shaped what I considered problematic. At the same time, I recognised that this lens could limit me; I occasionally assumed that what felt affirming for me would automatically feel affirming for all learners, which is something I plan to investigate in Module 6.</w:t>
      </w:r>
    </w:p>
    <w:p w:rsidR="00000000" w:rsidDel="00000000" w:rsidP="00000000" w:rsidRDefault="00000000" w:rsidRPr="00000000" w14:paraId="000000F3">
      <w:pPr>
        <w:spacing w:after="240" w:before="200" w:line="480" w:lineRule="auto"/>
        <w:rPr/>
      </w:pPr>
      <w:r w:rsidDel="00000000" w:rsidR="00000000" w:rsidRPr="00000000">
        <w:rPr>
          <w:rtl w:val="0"/>
        </w:rPr>
        <w:t xml:space="preserve">As a neurodivergent practitioner, I also observed that dense text, cluttered visuals or unexpected formatting overwhelmed me while designing. This prompted me to notice the inaccessibility of many existing EVE resources and the reliance of those resources on rapid processing or strong executive functioning. Burnout during the module further shaped my empathy for learners who struggle with motivation or pacing. Weeks where I felt unable to engage academically helped me understand the need for non-linear, low-pressure design.</w:t>
      </w:r>
    </w:p>
    <w:p w:rsidR="00000000" w:rsidDel="00000000" w:rsidP="00000000" w:rsidRDefault="00000000" w:rsidRPr="00000000" w14:paraId="000000F4">
      <w:pPr>
        <w:spacing w:after="240" w:before="200" w:line="480" w:lineRule="auto"/>
        <w:rPr/>
      </w:pPr>
      <w:r w:rsidDel="00000000" w:rsidR="00000000" w:rsidRPr="00000000">
        <w:rPr>
          <w:rtl w:val="0"/>
        </w:rPr>
        <w:t xml:space="preserve">Journaling revealed that my reflective processes were emotional before they became analytical. I often wrote, 'this feels overwhelming' or 'this tone feels too sharp,' and only later linked these reactions to theory. Kolb’s model helped me understand this as experiential meaning-making rather than a lack of rigour.</w:t>
      </w:r>
    </w:p>
    <w:p w:rsidR="00000000" w:rsidDel="00000000" w:rsidP="00000000" w:rsidRDefault="00000000" w:rsidRPr="00000000" w14:paraId="000000F5">
      <w:pPr>
        <w:pStyle w:val="Heading2"/>
        <w:spacing w:before="200" w:line="480" w:lineRule="auto"/>
        <w:rPr/>
      </w:pPr>
      <w:bookmarkStart w:colFirst="0" w:colLast="0" w:name="_ej74augfqwjp" w:id="41"/>
      <w:bookmarkEnd w:id="41"/>
      <w:r w:rsidDel="00000000" w:rsidR="00000000" w:rsidRPr="00000000">
        <w:rPr>
          <w:rtl w:val="0"/>
        </w:rPr>
        <w:t xml:space="preserve">Abstract Conceptualisation: How Theory and Practice Came Together</w:t>
      </w:r>
    </w:p>
    <w:p w:rsidR="00000000" w:rsidDel="00000000" w:rsidP="00000000" w:rsidRDefault="00000000" w:rsidRPr="00000000" w14:paraId="000000F6">
      <w:pPr>
        <w:spacing w:after="240" w:before="200" w:line="480" w:lineRule="auto"/>
        <w:rPr/>
      </w:pPr>
      <w:r w:rsidDel="00000000" w:rsidR="00000000" w:rsidRPr="00000000">
        <w:rPr>
          <w:rtl w:val="0"/>
        </w:rPr>
        <w:t xml:space="preserve">Through reflection, I began to understand why these experiences mattered. Trauma-informed pedagogy helped me see that my instinct toward gentle, invitational language was not simply a preference but aligned with best practice for learners who may feel vulnerable or dysregulated. My aversion to harsh wording mirrored the withdrawal some students experience in high-pressure environments. The tone of the artefact became both a pedagogical tool and an ethical commitment.</w:t>
      </w:r>
    </w:p>
    <w:p w:rsidR="00000000" w:rsidDel="00000000" w:rsidP="00000000" w:rsidRDefault="00000000" w:rsidRPr="00000000" w14:paraId="000000F7">
      <w:pPr>
        <w:spacing w:after="240" w:before="200" w:line="480" w:lineRule="auto"/>
        <w:rPr/>
      </w:pPr>
      <w:r w:rsidDel="00000000" w:rsidR="00000000" w:rsidRPr="00000000">
        <w:rPr>
          <w:rtl w:val="0"/>
        </w:rPr>
        <w:t xml:space="preserve">Similarly, gender-inclusive pedagogy offered theoretical grounding for decisions I initially made intuitively. Azul (2015) and Cates (2022) argue that validating diverse vocal identities is essential for equitable learning. This helped me conceptualise my discomfort with gendered voice categories not as personal bias but as an autoethnographic insight. I realised that my lived experience was a methodological asset, revealing gaps in traditional pedagogy that might otherwise go unnoticed.</w:t>
      </w:r>
    </w:p>
    <w:p w:rsidR="00000000" w:rsidDel="00000000" w:rsidP="00000000" w:rsidRDefault="00000000" w:rsidRPr="00000000" w14:paraId="000000F8">
      <w:pPr>
        <w:spacing w:after="240" w:before="200" w:line="480" w:lineRule="auto"/>
        <w:rPr/>
      </w:pPr>
      <w:r w:rsidDel="00000000" w:rsidR="00000000" w:rsidRPr="00000000">
        <w:rPr>
          <w:rtl w:val="0"/>
        </w:rPr>
        <w:t xml:space="preserve">Neurodiversity research helped me articulate why specific structures felt necessary. Cognitive load theory explained why open layout and simplified visuals were not just aesthetic choices but accessibility decisions. UDL principles justified the inclusion of multiple representation formats, grounding pages and reflective tasks. By connecting my tendencies to established frameworks, I understood how my embodied preferences reflected genuine pedagogical gaps.</w:t>
      </w:r>
    </w:p>
    <w:p w:rsidR="00000000" w:rsidDel="00000000" w:rsidP="00000000" w:rsidRDefault="00000000" w:rsidRPr="00000000" w14:paraId="000000F9">
      <w:pPr>
        <w:spacing w:after="240" w:before="200" w:line="480" w:lineRule="auto"/>
        <w:rPr/>
      </w:pPr>
      <w:r w:rsidDel="00000000" w:rsidR="00000000" w:rsidRPr="00000000">
        <w:rPr>
          <w:rtl w:val="0"/>
        </w:rPr>
        <w:t xml:space="preserve">Finally, practice-led research theory reframed my frustration with the slow, iterative pace of progress. Nelson (2013) and Schön (1983) describe artistic inquiry as cyclical and emergent. What I perceived as inefficiency was actually the methodology functioning as intended. My journal became evidence of meaning-making in action rather than a record of obstacles.</w:t>
      </w:r>
    </w:p>
    <w:p w:rsidR="00000000" w:rsidDel="00000000" w:rsidP="00000000" w:rsidRDefault="00000000" w:rsidRPr="00000000" w14:paraId="000000FA">
      <w:pPr>
        <w:pStyle w:val="Heading2"/>
        <w:spacing w:before="200" w:line="480" w:lineRule="auto"/>
        <w:rPr/>
      </w:pPr>
      <w:bookmarkStart w:colFirst="0" w:colLast="0" w:name="_13nx2alijtyo" w:id="42"/>
      <w:bookmarkEnd w:id="42"/>
      <w:r w:rsidDel="00000000" w:rsidR="00000000" w:rsidRPr="00000000">
        <w:rPr>
          <w:rtl w:val="0"/>
        </w:rPr>
        <w:t xml:space="preserve">Active Experimentation: How These Insights Will Shape My Ongoing Practice</w:t>
      </w:r>
    </w:p>
    <w:p w:rsidR="00000000" w:rsidDel="00000000" w:rsidP="00000000" w:rsidRDefault="00000000" w:rsidRPr="00000000" w14:paraId="000000FB">
      <w:pPr>
        <w:spacing w:after="240" w:before="200" w:line="480" w:lineRule="auto"/>
        <w:rPr/>
      </w:pPr>
      <w:r w:rsidDel="00000000" w:rsidR="00000000" w:rsidRPr="00000000">
        <w:rPr>
          <w:rtl w:val="0"/>
        </w:rPr>
        <w:t xml:space="preserve">By the end of the module, these insights reshaped how I plan to approach Module 6 and my teaching practice more broadly.</w:t>
      </w:r>
    </w:p>
    <w:p w:rsidR="00000000" w:rsidDel="00000000" w:rsidP="00000000" w:rsidRDefault="00000000" w:rsidRPr="00000000" w14:paraId="000000FC">
      <w:pPr>
        <w:spacing w:after="240" w:before="200" w:line="480" w:lineRule="auto"/>
        <w:rPr/>
      </w:pPr>
      <w:r w:rsidDel="00000000" w:rsidR="00000000" w:rsidRPr="00000000">
        <w:rPr>
          <w:rtl w:val="0"/>
        </w:rPr>
        <w:t xml:space="preserve">First, I now recognise that learner testing is not an optional add-on but essential to evaluating the assumptions embedded in my artefact. My identity and reflective insights shaped many design decisions, but I cannot assume that these automatically translate into accessible or affirming experiences for all learners. This leads to key evaluative questions for Module 6:</w:t>
      </w:r>
    </w:p>
    <w:p w:rsidR="00000000" w:rsidDel="00000000" w:rsidP="00000000" w:rsidRDefault="00000000" w:rsidRPr="00000000" w14:paraId="000000FD">
      <w:pPr>
        <w:numPr>
          <w:ilvl w:val="0"/>
          <w:numId w:val="3"/>
        </w:numPr>
        <w:spacing w:after="240" w:before="200" w:line="480" w:lineRule="auto"/>
        <w:ind w:left="720" w:hanging="360"/>
      </w:pPr>
      <w:r w:rsidDel="00000000" w:rsidR="00000000" w:rsidRPr="00000000">
        <w:rPr>
          <w:rtl w:val="0"/>
        </w:rPr>
        <w:t xml:space="preserve">Do neurodivergent learners actually find the chunked layout less overwhelming?</w:t>
      </w:r>
    </w:p>
    <w:p w:rsidR="00000000" w:rsidDel="00000000" w:rsidP="00000000" w:rsidRDefault="00000000" w:rsidRPr="00000000" w14:paraId="000000FE">
      <w:pPr>
        <w:numPr>
          <w:ilvl w:val="0"/>
          <w:numId w:val="3"/>
        </w:numPr>
        <w:spacing w:after="0" w:before="200" w:line="480" w:lineRule="auto"/>
        <w:ind w:left="720" w:hanging="360"/>
      </w:pPr>
      <w:r w:rsidDel="00000000" w:rsidR="00000000" w:rsidRPr="00000000">
        <w:rPr>
          <w:rtl w:val="0"/>
        </w:rPr>
        <w:t xml:space="preserve">Does non-linear structure reduce pressure or create uncertainty?</w:t>
      </w:r>
    </w:p>
    <w:p w:rsidR="00000000" w:rsidDel="00000000" w:rsidP="00000000" w:rsidRDefault="00000000" w:rsidRPr="00000000" w14:paraId="000000FF">
      <w:pPr>
        <w:numPr>
          <w:ilvl w:val="0"/>
          <w:numId w:val="3"/>
        </w:numPr>
        <w:spacing w:after="0" w:before="200" w:line="480" w:lineRule="auto"/>
        <w:ind w:left="720" w:hanging="360"/>
      </w:pPr>
      <w:r w:rsidDel="00000000" w:rsidR="00000000" w:rsidRPr="00000000">
        <w:rPr>
          <w:rtl w:val="0"/>
        </w:rPr>
        <w:t xml:space="preserve">How do trans learners experience range-based terminology in practice?</w:t>
      </w:r>
    </w:p>
    <w:p w:rsidR="00000000" w:rsidDel="00000000" w:rsidP="00000000" w:rsidRDefault="00000000" w:rsidRPr="00000000" w14:paraId="00000100">
      <w:pPr>
        <w:numPr>
          <w:ilvl w:val="0"/>
          <w:numId w:val="3"/>
        </w:numPr>
        <w:spacing w:after="240" w:before="200" w:line="480" w:lineRule="auto"/>
        <w:ind w:left="720" w:hanging="360"/>
      </w:pPr>
      <w:r w:rsidDel="00000000" w:rsidR="00000000" w:rsidRPr="00000000">
        <w:rPr>
          <w:rtl w:val="0"/>
        </w:rPr>
        <w:t xml:space="preserve">Are grounding activities used as intended, or skipped?</w:t>
      </w:r>
    </w:p>
    <w:p w:rsidR="00000000" w:rsidDel="00000000" w:rsidP="00000000" w:rsidRDefault="00000000" w:rsidRPr="00000000" w14:paraId="00000101">
      <w:pPr>
        <w:spacing w:after="240" w:before="200" w:line="480" w:lineRule="auto"/>
        <w:rPr/>
      </w:pPr>
      <w:r w:rsidDel="00000000" w:rsidR="00000000" w:rsidRPr="00000000">
        <w:rPr>
          <w:rtl w:val="0"/>
        </w:rPr>
        <w:t xml:space="preserve">These questions emerged directly from the reflection cycle and represent Kolb’s shift into active experimentation.</w:t>
      </w:r>
    </w:p>
    <w:p w:rsidR="00000000" w:rsidDel="00000000" w:rsidP="00000000" w:rsidRDefault="00000000" w:rsidRPr="00000000" w14:paraId="00000102">
      <w:pPr>
        <w:spacing w:after="240" w:before="200" w:line="480" w:lineRule="auto"/>
        <w:rPr/>
      </w:pPr>
      <w:r w:rsidDel="00000000" w:rsidR="00000000" w:rsidRPr="00000000">
        <w:rPr>
          <w:rtl w:val="0"/>
        </w:rPr>
        <w:t xml:space="preserve">Second, I plan to refine the artefact before testing by adding more diagrams, embedded multimedia and more precise navigation. My reflection showed me that these features are not optional enhancements but central accessibility tools.</w:t>
      </w:r>
    </w:p>
    <w:p w:rsidR="00000000" w:rsidDel="00000000" w:rsidP="00000000" w:rsidRDefault="00000000" w:rsidRPr="00000000" w14:paraId="00000103">
      <w:pPr>
        <w:spacing w:after="240" w:before="200" w:line="480" w:lineRule="auto"/>
        <w:rPr/>
      </w:pPr>
      <w:r w:rsidDel="00000000" w:rsidR="00000000" w:rsidRPr="00000000">
        <w:rPr>
          <w:rtl w:val="0"/>
        </w:rPr>
        <w:t xml:space="preserve">Third, I intend to adopt more intentional reflective practices in my teaching, including brief journaling after lessons to capture emotional, analytical and identity-based insights. This module showed me that my instincts often signal deeper theoretical issues worth exploring.</w:t>
      </w:r>
    </w:p>
    <w:p w:rsidR="00000000" w:rsidDel="00000000" w:rsidP="00000000" w:rsidRDefault="00000000" w:rsidRPr="00000000" w14:paraId="00000104">
      <w:pPr>
        <w:spacing w:after="240" w:before="200" w:line="480" w:lineRule="auto"/>
        <w:rPr/>
      </w:pPr>
      <w:r w:rsidDel="00000000" w:rsidR="00000000" w:rsidRPr="00000000">
        <w:rPr>
          <w:rtl w:val="0"/>
        </w:rPr>
        <w:t xml:space="preserve">Finally, I learned that design itself is a pedagogical act. Formatting, tone, pacing and sequencing communicate values and shape learner experience; they are not neutral. This realisation will influence how I design future resources, workshops and lessons.</w:t>
      </w:r>
    </w:p>
    <w:p w:rsidR="00000000" w:rsidDel="00000000" w:rsidP="00000000" w:rsidRDefault="00000000" w:rsidRPr="00000000" w14:paraId="00000105">
      <w:pPr>
        <w:pStyle w:val="Heading2"/>
        <w:spacing w:before="200" w:line="480" w:lineRule="auto"/>
        <w:rPr/>
      </w:pPr>
      <w:bookmarkStart w:colFirst="0" w:colLast="0" w:name="_epvrqr9827aq" w:id="43"/>
      <w:bookmarkEnd w:id="43"/>
      <w:r w:rsidDel="00000000" w:rsidR="00000000" w:rsidRPr="00000000">
        <w:rPr>
          <w:rtl w:val="0"/>
        </w:rPr>
        <w:t xml:space="preserve">Conclusion</w:t>
      </w:r>
    </w:p>
    <w:p w:rsidR="00000000" w:rsidDel="00000000" w:rsidP="00000000" w:rsidRDefault="00000000" w:rsidRPr="00000000" w14:paraId="00000106">
      <w:pPr>
        <w:spacing w:after="240" w:before="200" w:line="480" w:lineRule="auto"/>
        <w:rPr/>
      </w:pPr>
      <w:r w:rsidDel="00000000" w:rsidR="00000000" w:rsidRPr="00000000">
        <w:rPr>
          <w:rtl w:val="0"/>
        </w:rPr>
        <w:t xml:space="preserve">Through this module, I have gained a clearer understanding of myself as a practitioner and of practice-led research. I now recognise that embodied knowledge, identity and reflective noticing are as essential as theoretical reading in shaping pedagogy. Trauma-informed, gender-inclusive and neurodivergent-aware principles no longer feel like abstract frameworks; they influence my instincts and design decisions. I have learned that accessibility is relational, responsive and evolving. Importantly, I now see my lived experience not as separate from my methodology but as part of it. While my own positionality shapes my reflection, acknowledging this strengthens rather than weakens the work's rigour. I am better prepared to carry these insights into Module 6 and to evaluate how effectively the artefact functions in practice.</w:t>
      </w:r>
    </w:p>
    <w:p w:rsidR="00000000" w:rsidDel="00000000" w:rsidP="00000000" w:rsidRDefault="00000000" w:rsidRPr="00000000" w14:paraId="00000107">
      <w:pPr>
        <w:spacing w:after="240" w:before="240" w:line="480" w:lineRule="auto"/>
        <w:rPr/>
      </w:pPr>
      <w:r w:rsidDel="00000000" w:rsidR="00000000" w:rsidRPr="00000000">
        <w:rPr>
          <w:rtl w:val="0"/>
        </w:rPr>
      </w:r>
    </w:p>
    <w:p w:rsidR="00000000" w:rsidDel="00000000" w:rsidP="00000000" w:rsidRDefault="00000000" w:rsidRPr="00000000" w14:paraId="00000108">
      <w:pPr>
        <w:spacing w:after="240" w:before="240" w:line="480" w:lineRule="auto"/>
        <w:rPr/>
      </w:pPr>
      <w:r w:rsidDel="00000000" w:rsidR="00000000" w:rsidRPr="00000000">
        <w:rPr>
          <w:rtl w:val="0"/>
        </w:rPr>
      </w:r>
    </w:p>
    <w:p w:rsidR="00000000" w:rsidDel="00000000" w:rsidP="00000000" w:rsidRDefault="00000000" w:rsidRPr="00000000" w14:paraId="00000109">
      <w:pPr>
        <w:pStyle w:val="Heading4"/>
        <w:keepNext w:val="0"/>
        <w:keepLines w:val="0"/>
        <w:spacing w:after="240" w:before="240" w:line="480" w:lineRule="auto"/>
        <w:rPr>
          <w:color w:val="000000"/>
          <w:sz w:val="22"/>
          <w:szCs w:val="22"/>
        </w:rPr>
      </w:pPr>
      <w:bookmarkStart w:colFirst="0" w:colLast="0" w:name="_n5fz4iekc4yz" w:id="44"/>
      <w:bookmarkEnd w:id="44"/>
      <w:r w:rsidDel="00000000" w:rsidR="00000000" w:rsidRPr="00000000">
        <w:rPr>
          <w:rtl w:val="0"/>
        </w:rPr>
      </w:r>
    </w:p>
    <w:p w:rsidR="00000000" w:rsidDel="00000000" w:rsidP="00000000" w:rsidRDefault="00000000" w:rsidRPr="00000000" w14:paraId="0000010A">
      <w:pPr>
        <w:pStyle w:val="Heading1"/>
        <w:spacing w:line="480" w:lineRule="auto"/>
        <w:rPr/>
      </w:pPr>
      <w:bookmarkStart w:colFirst="0" w:colLast="0" w:name="_nms6nly2dkmv" w:id="45"/>
      <w:bookmarkEnd w:id="45"/>
      <w:r w:rsidDel="00000000" w:rsidR="00000000" w:rsidRPr="00000000">
        <w:rPr>
          <w:rtl w:val="0"/>
        </w:rPr>
      </w:r>
    </w:p>
    <w:p w:rsidR="00000000" w:rsidDel="00000000" w:rsidP="00000000" w:rsidRDefault="00000000" w:rsidRPr="00000000" w14:paraId="0000010B">
      <w:pPr>
        <w:pStyle w:val="Heading1"/>
        <w:spacing w:line="480" w:lineRule="auto"/>
        <w:rPr/>
      </w:pPr>
      <w:bookmarkStart w:colFirst="0" w:colLast="0" w:name="_vapqimnhfxtl" w:id="46"/>
      <w:bookmarkEnd w:id="46"/>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pStyle w:val="Heading1"/>
        <w:spacing w:line="480" w:lineRule="auto"/>
        <w:rPr>
          <w:sz w:val="28"/>
          <w:szCs w:val="28"/>
        </w:rPr>
      </w:pPr>
      <w:bookmarkStart w:colFirst="0" w:colLast="0" w:name="_69ucoxlm6d26" w:id="47"/>
      <w:bookmarkEnd w:id="47"/>
      <w:r w:rsidDel="00000000" w:rsidR="00000000" w:rsidRPr="00000000">
        <w:rPr>
          <w:sz w:val="28"/>
          <w:szCs w:val="28"/>
          <w:rtl w:val="0"/>
        </w:rPr>
        <w:t xml:space="preserve">References</w:t>
      </w:r>
    </w:p>
    <w:p w:rsidR="00000000" w:rsidDel="00000000" w:rsidP="00000000" w:rsidRDefault="00000000" w:rsidRPr="00000000" w14:paraId="0000010E">
      <w:pPr>
        <w:spacing w:after="240" w:before="240" w:line="480" w:lineRule="auto"/>
        <w:rPr/>
      </w:pPr>
      <w:r w:rsidDel="00000000" w:rsidR="00000000" w:rsidRPr="00000000">
        <w:rPr>
          <w:rtl w:val="0"/>
        </w:rPr>
        <w:t xml:space="preserve">Aaen, M. et al. (2024) ‘Extreme Vocal Effects (Distortion, Growl, Grunt, Rattle, Creaking) as measured by EGG and acoustics in healthy professional singers’, </w:t>
      </w:r>
      <w:r w:rsidDel="00000000" w:rsidR="00000000" w:rsidRPr="00000000">
        <w:rPr>
          <w:i w:val="1"/>
          <w:iCs w:val="1"/>
          <w:rtl w:val="0"/>
        </w:rPr>
        <w:t xml:space="preserve">Journal of Voice</w:t>
      </w:r>
      <w:r w:rsidDel="00000000" w:rsidR="00000000" w:rsidRPr="00000000">
        <w:rPr>
          <w:rtl w:val="0"/>
        </w:rPr>
        <w:t xml:space="preserve">, 38(3), pp. 795.e21–795.e35.</w:t>
      </w:r>
    </w:p>
    <w:p w:rsidR="00000000" w:rsidDel="00000000" w:rsidP="00000000" w:rsidRDefault="00000000" w:rsidRPr="00000000" w14:paraId="0000010F">
      <w:pPr>
        <w:spacing w:after="240" w:before="240" w:lineRule="auto"/>
        <w:rPr/>
      </w:pPr>
      <w:r w:rsidDel="00000000" w:rsidR="00000000" w:rsidRPr="00000000">
        <w:rPr>
          <w:rtl w:val="0"/>
        </w:rPr>
        <w:t xml:space="preserve">AERO (Australian Education Research Organisation). (2023) </w:t>
      </w:r>
      <w:r w:rsidDel="00000000" w:rsidR="00000000" w:rsidRPr="00000000">
        <w:rPr>
          <w:i w:val="1"/>
          <w:iCs w:val="1"/>
          <w:rtl w:val="0"/>
        </w:rPr>
        <w:t xml:space="preserve">How students learn best</w:t>
      </w:r>
      <w:r w:rsidDel="00000000" w:rsidR="00000000" w:rsidRPr="00000000">
        <w:rPr>
          <w:rtl w:val="0"/>
        </w:rPr>
        <w:t xml:space="preserve">. Sydney: AERO.</w:t>
      </w:r>
    </w:p>
    <w:p w:rsidR="00000000" w:rsidDel="00000000" w:rsidP="00000000" w:rsidRDefault="00000000" w:rsidRPr="00000000" w14:paraId="00000110">
      <w:pPr>
        <w:spacing w:after="240" w:before="240" w:line="480" w:lineRule="auto"/>
        <w:rPr/>
      </w:pPr>
      <w:r w:rsidDel="00000000" w:rsidR="00000000" w:rsidRPr="00000000">
        <w:rPr>
          <w:rtl w:val="0"/>
        </w:rPr>
        <w:t xml:space="preserve">Algoet, S. (2024) ‘Scream like a kid! The therapeutic effects of the extreme vocal effects’, </w:t>
      </w:r>
      <w:r w:rsidDel="00000000" w:rsidR="00000000" w:rsidRPr="00000000">
        <w:rPr>
          <w:i w:val="1"/>
          <w:iCs w:val="1"/>
          <w:rtl w:val="0"/>
        </w:rPr>
        <w:t xml:space="preserve">SingSing.be Blog</w:t>
      </w:r>
      <w:r w:rsidDel="00000000" w:rsidR="00000000" w:rsidRPr="00000000">
        <w:rPr>
          <w:rtl w:val="0"/>
        </w:rPr>
        <w:t xml:space="preserve">, 15 February.</w:t>
      </w:r>
    </w:p>
    <w:p w:rsidR="00000000" w:rsidDel="00000000" w:rsidP="00000000" w:rsidRDefault="00000000" w:rsidRPr="00000000" w14:paraId="00000111">
      <w:pPr>
        <w:spacing w:after="240" w:before="240" w:line="480" w:lineRule="auto"/>
        <w:rPr/>
      </w:pPr>
      <w:r w:rsidDel="00000000" w:rsidR="00000000" w:rsidRPr="00000000">
        <w:rPr>
          <w:rtl w:val="0"/>
        </w:rPr>
        <w:t xml:space="preserve">Anderson, T. and Shattuck, J. (2012) ‘Design-based research: A decade of progress in education research?’, </w:t>
      </w:r>
      <w:r w:rsidDel="00000000" w:rsidR="00000000" w:rsidRPr="00000000">
        <w:rPr>
          <w:i w:val="1"/>
          <w:iCs w:val="1"/>
          <w:rtl w:val="0"/>
        </w:rPr>
        <w:t xml:space="preserve">Educational Researcher</w:t>
      </w:r>
      <w:r w:rsidDel="00000000" w:rsidR="00000000" w:rsidRPr="00000000">
        <w:rPr>
          <w:rtl w:val="0"/>
        </w:rPr>
        <w:t xml:space="preserve">, 41(1), pp. 16–25.</w:t>
      </w:r>
    </w:p>
    <w:p w:rsidR="00000000" w:rsidDel="00000000" w:rsidP="00000000" w:rsidRDefault="00000000" w:rsidRPr="00000000" w14:paraId="00000112">
      <w:pPr>
        <w:spacing w:after="240" w:before="240" w:line="480" w:lineRule="auto"/>
        <w:rPr/>
      </w:pPr>
      <w:r w:rsidDel="00000000" w:rsidR="00000000" w:rsidRPr="00000000">
        <w:rPr>
          <w:rtl w:val="0"/>
        </w:rPr>
        <w:t xml:space="preserve">Armstrong, T. (2017) </w:t>
      </w:r>
      <w:r w:rsidDel="00000000" w:rsidR="00000000" w:rsidRPr="00000000">
        <w:rPr>
          <w:i w:val="1"/>
          <w:iCs w:val="1"/>
          <w:rtl w:val="0"/>
        </w:rPr>
        <w:t xml:space="preserve">The power of neurodiversity: Unleashing the advantages of your differently wired brain</w:t>
      </w:r>
      <w:r w:rsidDel="00000000" w:rsidR="00000000" w:rsidRPr="00000000">
        <w:rPr>
          <w:rtl w:val="0"/>
        </w:rPr>
        <w:t xml:space="preserve">. Cambridge, MA: Da Capo Press.</w:t>
      </w:r>
    </w:p>
    <w:p w:rsidR="00000000" w:rsidDel="00000000" w:rsidP="00000000" w:rsidRDefault="00000000" w:rsidRPr="00000000" w14:paraId="00000113">
      <w:pPr>
        <w:spacing w:after="240" w:before="240" w:line="480" w:lineRule="auto"/>
        <w:rPr/>
      </w:pPr>
      <w:r w:rsidDel="00000000" w:rsidR="00000000" w:rsidRPr="00000000">
        <w:rPr>
          <w:rtl w:val="0"/>
        </w:rPr>
        <w:t xml:space="preserve">Azul, D. (2015) ‘Transmasculine people’s vocal situations: Voice function, voice identity, and voice-related quality of life’, </w:t>
      </w:r>
      <w:r w:rsidDel="00000000" w:rsidR="00000000" w:rsidRPr="00000000">
        <w:rPr>
          <w:i w:val="1"/>
          <w:iCs w:val="1"/>
          <w:rtl w:val="0"/>
        </w:rPr>
        <w:t xml:space="preserve">Journal of Voice</w:t>
      </w:r>
      <w:r w:rsidDel="00000000" w:rsidR="00000000" w:rsidRPr="00000000">
        <w:rPr>
          <w:rtl w:val="0"/>
        </w:rPr>
        <w:t xml:space="preserve">, 29(2), pp. 161–170.</w:t>
      </w:r>
    </w:p>
    <w:p w:rsidR="00000000" w:rsidDel="00000000" w:rsidP="00000000" w:rsidRDefault="00000000" w:rsidRPr="00000000" w14:paraId="00000114">
      <w:pPr>
        <w:spacing w:after="240" w:before="240" w:line="480" w:lineRule="auto"/>
        <w:rPr/>
      </w:pPr>
      <w:r w:rsidDel="00000000" w:rsidR="00000000" w:rsidRPr="00000000">
        <w:rPr>
          <w:rtl w:val="0"/>
        </w:rPr>
        <w:t xml:space="preserve">Bauman-Field, B. (2024) ‘Trauma-informed classroom management in music education: A literature review’, </w:t>
      </w:r>
      <w:r w:rsidDel="00000000" w:rsidR="00000000" w:rsidRPr="00000000">
        <w:rPr>
          <w:i w:val="1"/>
          <w:iCs w:val="1"/>
          <w:rtl w:val="0"/>
        </w:rPr>
        <w:t xml:space="preserve">Update: Applications of Research in Music Education</w:t>
      </w:r>
      <w:r w:rsidDel="00000000" w:rsidR="00000000" w:rsidRPr="00000000">
        <w:rPr>
          <w:rtl w:val="0"/>
        </w:rPr>
        <w:t xml:space="preserve">, 42(1), pp. 47–55.</w:t>
      </w:r>
    </w:p>
    <w:p w:rsidR="00000000" w:rsidDel="00000000" w:rsidP="00000000" w:rsidRDefault="00000000" w:rsidRPr="00000000" w14:paraId="00000115">
      <w:pPr>
        <w:spacing w:after="240" w:before="240" w:line="480" w:lineRule="auto"/>
        <w:rPr/>
      </w:pPr>
      <w:r w:rsidDel="00000000" w:rsidR="00000000" w:rsidRPr="00000000">
        <w:rPr>
          <w:rtl w:val="0"/>
        </w:rPr>
        <w:t xml:space="preserve">Berry, D. A. et al. (2019) ‘Mechanics of creaky voice production: A modelling approach’, </w:t>
      </w:r>
      <w:r w:rsidDel="00000000" w:rsidR="00000000" w:rsidRPr="00000000">
        <w:rPr>
          <w:i w:val="1"/>
          <w:iCs w:val="1"/>
          <w:rtl w:val="0"/>
        </w:rPr>
        <w:t xml:space="preserve">Journal of the Acoustical Society of America</w:t>
      </w:r>
      <w:r w:rsidDel="00000000" w:rsidR="00000000" w:rsidRPr="00000000">
        <w:rPr>
          <w:rtl w:val="0"/>
        </w:rPr>
        <w:t xml:space="preserve">, 146(4), pp. 2254–2268.</w:t>
      </w:r>
    </w:p>
    <w:p w:rsidR="00000000" w:rsidDel="00000000" w:rsidP="00000000" w:rsidRDefault="00000000" w:rsidRPr="00000000" w14:paraId="00000116">
      <w:pPr>
        <w:spacing w:after="240" w:before="240" w:line="480" w:lineRule="auto"/>
        <w:rPr/>
      </w:pPr>
      <w:r w:rsidDel="00000000" w:rsidR="00000000" w:rsidRPr="00000000">
        <w:rPr>
          <w:rtl w:val="0"/>
        </w:rPr>
        <w:t xml:space="preserve">Blackwood, E. (2024) ‘'Like a frog in a sock': The challenges and opportunities of Australian heavy-metal vocalists learning to growl’, </w:t>
      </w:r>
      <w:r w:rsidDel="00000000" w:rsidR="00000000" w:rsidRPr="00000000">
        <w:rPr>
          <w:i w:val="1"/>
          <w:iCs w:val="1"/>
          <w:rtl w:val="0"/>
        </w:rPr>
        <w:t xml:space="preserve">Journal of Music Research Online</w:t>
      </w:r>
      <w:r w:rsidDel="00000000" w:rsidR="00000000" w:rsidRPr="00000000">
        <w:rPr>
          <w:rtl w:val="0"/>
        </w:rPr>
        <w:t xml:space="preserve">. Available at:</w:t>
      </w:r>
      <w:hyperlink r:id="rId16">
        <w:r w:rsidDel="00000000" w:rsidR="00000000" w:rsidRPr="00000000">
          <w:rPr>
            <w:rtl w:val="0"/>
          </w:rPr>
          <w:t xml:space="preserve"> </w:t>
        </w:r>
      </w:hyperlink>
      <w:hyperlink r:id="rId17">
        <w:r w:rsidDel="00000000" w:rsidR="00000000" w:rsidRPr="00000000">
          <w:rPr>
            <w:u w:val="single"/>
            <w:rtl w:val="0"/>
          </w:rPr>
          <w:t xml:space="preserve">https://www.jmro.org.au</w:t>
        </w:r>
      </w:hyperlink>
      <w:r w:rsidDel="00000000" w:rsidR="00000000" w:rsidRPr="00000000">
        <w:rPr>
          <w:rtl w:val="0"/>
        </w:rPr>
        <w:t xml:space="preserve"> (Accessed: date).</w:t>
      </w:r>
    </w:p>
    <w:p w:rsidR="00000000" w:rsidDel="00000000" w:rsidP="00000000" w:rsidRDefault="00000000" w:rsidRPr="00000000" w14:paraId="00000117">
      <w:pPr>
        <w:spacing w:after="240" w:before="240" w:line="480" w:lineRule="auto"/>
        <w:rPr/>
      </w:pPr>
      <w:r w:rsidDel="00000000" w:rsidR="00000000" w:rsidRPr="00000000">
        <w:rPr>
          <w:highlight w:val="white"/>
          <w:rtl w:val="0"/>
        </w:rPr>
        <w:t xml:space="preserve">Blakeslee, S., 2004. The CRAAP test. </w:t>
      </w:r>
      <w:r w:rsidDel="00000000" w:rsidR="00000000" w:rsidRPr="00000000">
        <w:rPr>
          <w:i w:val="1"/>
          <w:iCs w:val="1"/>
          <w:highlight w:val="white"/>
          <w:rtl w:val="0"/>
        </w:rPr>
        <w:t xml:space="preserve">Loex Quarterly</w:t>
      </w:r>
      <w:r w:rsidDel="00000000" w:rsidR="00000000" w:rsidRPr="00000000">
        <w:rPr>
          <w:highlight w:val="white"/>
          <w:rtl w:val="0"/>
        </w:rPr>
        <w:t xml:space="preserve">, </w:t>
      </w:r>
      <w:r w:rsidDel="00000000" w:rsidR="00000000" w:rsidRPr="00000000">
        <w:rPr>
          <w:i w:val="1"/>
          <w:iCs w:val="1"/>
          <w:highlight w:val="white"/>
          <w:rtl w:val="0"/>
        </w:rPr>
        <w:t xml:space="preserve">31</w:t>
      </w:r>
      <w:r w:rsidDel="00000000" w:rsidR="00000000" w:rsidRPr="00000000">
        <w:rPr>
          <w:highlight w:val="white"/>
          <w:rtl w:val="0"/>
        </w:rPr>
        <w:t xml:space="preserve">(3), p.4.</w:t>
      </w:r>
      <w:r w:rsidDel="00000000" w:rsidR="00000000" w:rsidRPr="00000000">
        <w:rPr>
          <w:rtl w:val="0"/>
        </w:rPr>
      </w:r>
    </w:p>
    <w:p w:rsidR="00000000" w:rsidDel="00000000" w:rsidP="00000000" w:rsidRDefault="00000000" w:rsidRPr="00000000" w14:paraId="00000118">
      <w:pPr>
        <w:spacing w:after="240" w:before="240" w:line="480" w:lineRule="auto"/>
        <w:rPr/>
      </w:pPr>
      <w:r w:rsidDel="00000000" w:rsidR="00000000" w:rsidRPr="00000000">
        <w:rPr>
          <w:rtl w:val="0"/>
        </w:rPr>
        <w:t xml:space="preserve">Block, S. (2019) ‘Trauma-informed music pedagogy’, </w:t>
      </w:r>
      <w:r w:rsidDel="00000000" w:rsidR="00000000" w:rsidRPr="00000000">
        <w:rPr>
          <w:i w:val="1"/>
          <w:iCs w:val="1"/>
          <w:rtl w:val="0"/>
        </w:rPr>
        <w:t xml:space="preserve">Music Educators Journal</w:t>
      </w:r>
      <w:r w:rsidDel="00000000" w:rsidR="00000000" w:rsidRPr="00000000">
        <w:rPr>
          <w:rtl w:val="0"/>
        </w:rPr>
        <w:t xml:space="preserve">, 106(1), pp. 27–32.</w:t>
      </w:r>
    </w:p>
    <w:p w:rsidR="00000000" w:rsidDel="00000000" w:rsidP="00000000" w:rsidRDefault="00000000" w:rsidRPr="00000000" w14:paraId="00000119">
      <w:pPr>
        <w:spacing w:after="240" w:before="240" w:line="480" w:lineRule="auto"/>
        <w:rPr/>
      </w:pPr>
      <w:r w:rsidDel="00000000" w:rsidR="00000000" w:rsidRPr="00000000">
        <w:rPr>
          <w:rtl w:val="0"/>
        </w:rPr>
        <w:t xml:space="preserve">Booth, A., Sutton, A. and Papaioannou, D., 2016. Taking a systematic approach to your literature review. </w:t>
      </w:r>
      <w:r w:rsidDel="00000000" w:rsidR="00000000" w:rsidRPr="00000000">
        <w:rPr>
          <w:i w:val="1"/>
          <w:iCs w:val="1"/>
          <w:rtl w:val="0"/>
        </w:rPr>
        <w:t xml:space="preserve">Systematic Approaches to Successful Literature Review</w:t>
      </w:r>
      <w:r w:rsidDel="00000000" w:rsidR="00000000" w:rsidRPr="00000000">
        <w:rPr>
          <w:rtl w:val="0"/>
        </w:rPr>
        <w:t xml:space="preserve">, pp.9-35.</w:t>
      </w:r>
      <w:r w:rsidDel="00000000" w:rsidR="00000000" w:rsidRPr="00000000">
        <w:rPr>
          <w:rtl w:val="0"/>
        </w:rPr>
      </w:r>
    </w:p>
    <w:p w:rsidR="00000000" w:rsidDel="00000000" w:rsidP="00000000" w:rsidRDefault="00000000" w:rsidRPr="00000000" w14:paraId="0000011A">
      <w:pPr>
        <w:spacing w:after="240" w:before="240" w:line="480" w:lineRule="auto"/>
        <w:rPr/>
      </w:pPr>
      <w:r w:rsidDel="00000000" w:rsidR="00000000" w:rsidRPr="00000000">
        <w:rPr>
          <w:rtl w:val="0"/>
        </w:rPr>
        <w:t xml:space="preserve">Borg, E. (2013) ‘Disciplined reflexivity: Thinking about thinking in qualitative research’, </w:t>
      </w:r>
      <w:r w:rsidDel="00000000" w:rsidR="00000000" w:rsidRPr="00000000">
        <w:rPr>
          <w:i w:val="1"/>
          <w:iCs w:val="1"/>
          <w:rtl w:val="0"/>
        </w:rPr>
        <w:t xml:space="preserve">Qualitative Sociology Review</w:t>
      </w:r>
      <w:r w:rsidDel="00000000" w:rsidR="00000000" w:rsidRPr="00000000">
        <w:rPr>
          <w:rtl w:val="0"/>
        </w:rPr>
        <w:t xml:space="preserve">, 9(3), pp. 163–181.</w:t>
      </w:r>
    </w:p>
    <w:p w:rsidR="00000000" w:rsidDel="00000000" w:rsidP="00000000" w:rsidRDefault="00000000" w:rsidRPr="00000000" w14:paraId="0000011B">
      <w:pPr>
        <w:spacing w:after="240" w:before="240" w:line="480" w:lineRule="auto"/>
        <w:rPr/>
      </w:pPr>
      <w:r w:rsidDel="00000000" w:rsidR="00000000" w:rsidRPr="00000000">
        <w:rPr>
          <w:rtl w:val="0"/>
        </w:rPr>
        <w:t xml:space="preserve">Botha, M. (2020) </w:t>
      </w:r>
      <w:r w:rsidDel="00000000" w:rsidR="00000000" w:rsidRPr="00000000">
        <w:rPr>
          <w:i w:val="1"/>
          <w:iCs w:val="1"/>
          <w:rtl w:val="0"/>
        </w:rPr>
        <w:t xml:space="preserve">Autistic masking: Adult experiences and its impact</w:t>
      </w:r>
      <w:r w:rsidDel="00000000" w:rsidR="00000000" w:rsidRPr="00000000">
        <w:rPr>
          <w:rtl w:val="0"/>
        </w:rPr>
        <w:t xml:space="preserve">. London: UCL Press.</w:t>
      </w:r>
    </w:p>
    <w:p w:rsidR="00000000" w:rsidDel="00000000" w:rsidP="00000000" w:rsidRDefault="00000000" w:rsidRPr="00000000" w14:paraId="0000011C">
      <w:pPr>
        <w:spacing w:after="240" w:before="240" w:line="480" w:lineRule="auto"/>
        <w:rPr/>
      </w:pPr>
      <w:r w:rsidDel="00000000" w:rsidR="00000000" w:rsidRPr="00000000">
        <w:rPr>
          <w:rtl w:val="0"/>
        </w:rPr>
        <w:t xml:space="preserve">Brunzell, T., Stokes, H. and Waters, L. (2016) ‘Trauma-informed flexible learning: Classrooms that strengthen student wellbeing’, </w:t>
      </w:r>
      <w:r w:rsidDel="00000000" w:rsidR="00000000" w:rsidRPr="00000000">
        <w:rPr>
          <w:i w:val="1"/>
          <w:iCs w:val="1"/>
          <w:rtl w:val="0"/>
        </w:rPr>
        <w:t xml:space="preserve">Journal of Student Wellbeing</w:t>
      </w:r>
      <w:r w:rsidDel="00000000" w:rsidR="00000000" w:rsidRPr="00000000">
        <w:rPr>
          <w:rtl w:val="0"/>
        </w:rPr>
        <w:t xml:space="preserve">, 10(1), pp. 1–14.</w:t>
      </w:r>
    </w:p>
    <w:p w:rsidR="00000000" w:rsidDel="00000000" w:rsidP="00000000" w:rsidRDefault="00000000" w:rsidRPr="00000000" w14:paraId="0000011D">
      <w:pPr>
        <w:spacing w:after="240" w:before="240" w:line="480" w:lineRule="auto"/>
        <w:rPr/>
      </w:pPr>
      <w:r w:rsidDel="00000000" w:rsidR="00000000" w:rsidRPr="00000000">
        <w:rPr>
          <w:rtl w:val="0"/>
        </w:rPr>
        <w:t xml:space="preserve">Cameron, C. and Carlisle, K. (2022) ‘Understanding inclusion through the lens of trauma-informed education’, </w:t>
      </w:r>
      <w:r w:rsidDel="00000000" w:rsidR="00000000" w:rsidRPr="00000000">
        <w:rPr>
          <w:i w:val="1"/>
          <w:iCs w:val="1"/>
          <w:rtl w:val="0"/>
        </w:rPr>
        <w:t xml:space="preserve">International Journal of Inclusive Education</w:t>
      </w:r>
      <w:r w:rsidDel="00000000" w:rsidR="00000000" w:rsidRPr="00000000">
        <w:rPr>
          <w:rtl w:val="0"/>
        </w:rPr>
        <w:t xml:space="preserve">, 26(5), pp. 560–577.</w:t>
      </w:r>
    </w:p>
    <w:p w:rsidR="00000000" w:rsidDel="00000000" w:rsidP="00000000" w:rsidRDefault="00000000" w:rsidRPr="00000000" w14:paraId="0000011E">
      <w:pPr>
        <w:spacing w:after="240" w:before="240" w:line="480" w:lineRule="auto"/>
        <w:rPr/>
      </w:pPr>
      <w:r w:rsidDel="00000000" w:rsidR="00000000" w:rsidRPr="00000000">
        <w:rPr>
          <w:rtl w:val="0"/>
        </w:rPr>
        <w:t xml:space="preserve">Cappello, M. (2022) ‘Visual literacy and accessibility in educational design’, </w:t>
      </w:r>
      <w:r w:rsidDel="00000000" w:rsidR="00000000" w:rsidRPr="00000000">
        <w:rPr>
          <w:i w:val="1"/>
          <w:iCs w:val="1"/>
          <w:rtl w:val="0"/>
        </w:rPr>
        <w:t xml:space="preserve">Journal of Visual Literacy</w:t>
      </w:r>
      <w:r w:rsidDel="00000000" w:rsidR="00000000" w:rsidRPr="00000000">
        <w:rPr>
          <w:rtl w:val="0"/>
        </w:rPr>
        <w:t xml:space="preserve">, 41(2), pp. 215–229.</w:t>
      </w:r>
    </w:p>
    <w:p w:rsidR="00000000" w:rsidDel="00000000" w:rsidP="00000000" w:rsidRDefault="00000000" w:rsidRPr="00000000" w14:paraId="0000011F">
      <w:pPr>
        <w:spacing w:after="240" w:before="240" w:line="480" w:lineRule="auto"/>
        <w:rPr/>
      </w:pPr>
      <w:r w:rsidDel="00000000" w:rsidR="00000000" w:rsidRPr="00000000">
        <w:rPr>
          <w:rtl w:val="0"/>
        </w:rPr>
        <w:t xml:space="preserve">CAST (2018) </w:t>
      </w:r>
      <w:r w:rsidDel="00000000" w:rsidR="00000000" w:rsidRPr="00000000">
        <w:rPr>
          <w:i w:val="1"/>
          <w:iCs w:val="1"/>
          <w:rtl w:val="0"/>
        </w:rPr>
        <w:t xml:space="preserve">Universal design for learning guidelines version 2.2</w:t>
      </w:r>
      <w:r w:rsidDel="00000000" w:rsidR="00000000" w:rsidRPr="00000000">
        <w:rPr>
          <w:rtl w:val="0"/>
        </w:rPr>
        <w:t xml:space="preserve">. Wakefield, MA: CAST.</w:t>
      </w:r>
    </w:p>
    <w:p w:rsidR="00000000" w:rsidDel="00000000" w:rsidP="00000000" w:rsidRDefault="00000000" w:rsidRPr="00000000" w14:paraId="00000120">
      <w:pPr>
        <w:spacing w:after="240" w:before="240" w:line="480" w:lineRule="auto"/>
        <w:rPr/>
      </w:pPr>
      <w:r w:rsidDel="00000000" w:rsidR="00000000" w:rsidRPr="00000000">
        <w:rPr>
          <w:rtl w:val="0"/>
        </w:rPr>
        <w:t xml:space="preserve">Cates, D. S. (2022) ‘Key changes: Choral directors’ experiences with gender-inclusive teaching’, </w:t>
      </w:r>
      <w:r w:rsidDel="00000000" w:rsidR="00000000" w:rsidRPr="00000000">
        <w:rPr>
          <w:i w:val="1"/>
          <w:iCs w:val="1"/>
          <w:rtl w:val="0"/>
        </w:rPr>
        <w:t xml:space="preserve">International Journal of Research in Choral Singing</w:t>
      </w:r>
      <w:r w:rsidDel="00000000" w:rsidR="00000000" w:rsidRPr="00000000">
        <w:rPr>
          <w:rtl w:val="0"/>
        </w:rPr>
        <w:t xml:space="preserve">, 10, pp. 242–271.</w:t>
      </w:r>
    </w:p>
    <w:p w:rsidR="00000000" w:rsidDel="00000000" w:rsidP="00000000" w:rsidRDefault="00000000" w:rsidRPr="00000000" w14:paraId="00000121">
      <w:pPr>
        <w:spacing w:after="240" w:before="240" w:line="480" w:lineRule="auto"/>
        <w:rPr/>
      </w:pPr>
      <w:r w:rsidDel="00000000" w:rsidR="00000000" w:rsidRPr="00000000">
        <w:rPr>
          <w:rtl w:val="0"/>
        </w:rPr>
        <w:t xml:space="preserve">Chrismon, J. and Carter, A. (2023) ‘The absence of trauma-informed practices in the high school production process: A qualitative study’, </w:t>
      </w:r>
      <w:r w:rsidDel="00000000" w:rsidR="00000000" w:rsidRPr="00000000">
        <w:rPr>
          <w:i w:val="1"/>
          <w:iCs w:val="1"/>
          <w:rtl w:val="0"/>
        </w:rPr>
        <w:t xml:space="preserve">Youth Theatre Journal</w:t>
      </w:r>
      <w:r w:rsidDel="00000000" w:rsidR="00000000" w:rsidRPr="00000000">
        <w:rPr>
          <w:rtl w:val="0"/>
        </w:rPr>
        <w:t xml:space="preserve">, 37(1), pp. 68–83.</w:t>
      </w:r>
    </w:p>
    <w:p w:rsidR="00000000" w:rsidDel="00000000" w:rsidP="00000000" w:rsidRDefault="00000000" w:rsidRPr="00000000" w14:paraId="00000122">
      <w:pPr>
        <w:spacing w:after="240" w:before="240" w:line="480" w:lineRule="auto"/>
        <w:rPr/>
      </w:pPr>
      <w:r w:rsidDel="00000000" w:rsidR="00000000" w:rsidRPr="00000000">
        <w:rPr>
          <w:rtl w:val="0"/>
        </w:rPr>
        <w:t xml:space="preserve">Conway, C. (2020) ‘Universal design for learning in music education’, </w:t>
      </w:r>
      <w:r w:rsidDel="00000000" w:rsidR="00000000" w:rsidRPr="00000000">
        <w:rPr>
          <w:i w:val="1"/>
          <w:iCs w:val="1"/>
          <w:rtl w:val="0"/>
        </w:rPr>
        <w:t xml:space="preserve">Alfred Music Blog</w:t>
      </w:r>
      <w:r w:rsidDel="00000000" w:rsidR="00000000" w:rsidRPr="00000000">
        <w:rPr>
          <w:rtl w:val="0"/>
        </w:rPr>
        <w:t xml:space="preserve">.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https://www.alfred.com/blog</w:t>
        </w:r>
      </w:hyperlink>
      <w:r w:rsidDel="00000000" w:rsidR="00000000" w:rsidRPr="00000000">
        <w:rPr>
          <w:rtl w:val="0"/>
        </w:rPr>
        <w:t xml:space="preserve"> </w:t>
      </w:r>
    </w:p>
    <w:p w:rsidR="00000000" w:rsidDel="00000000" w:rsidP="00000000" w:rsidRDefault="00000000" w:rsidRPr="00000000" w14:paraId="00000123">
      <w:pPr>
        <w:spacing w:after="240" w:before="240" w:line="480" w:lineRule="auto"/>
        <w:rPr/>
      </w:pPr>
      <w:r w:rsidDel="00000000" w:rsidR="00000000" w:rsidRPr="00000000">
        <w:rPr>
          <w:rtl w:val="0"/>
        </w:rPr>
        <w:t xml:space="preserve">Cross, M. (2005) </w:t>
      </w:r>
      <w:r w:rsidDel="00000000" w:rsidR="00000000" w:rsidRPr="00000000">
        <w:rPr>
          <w:i w:val="1"/>
          <w:iCs w:val="1"/>
          <w:rtl w:val="0"/>
        </w:rPr>
        <w:t xml:space="preserve">The Zen of Screaming</w:t>
      </w:r>
      <w:r w:rsidDel="00000000" w:rsidR="00000000" w:rsidRPr="00000000">
        <w:rPr>
          <w:rtl w:val="0"/>
        </w:rPr>
        <w:t xml:space="preserve">. New York: Alfred Music.</w:t>
      </w:r>
    </w:p>
    <w:p w:rsidR="00000000" w:rsidDel="00000000" w:rsidP="00000000" w:rsidRDefault="00000000" w:rsidRPr="00000000" w14:paraId="00000124">
      <w:pPr>
        <w:spacing w:after="240" w:before="240" w:line="480" w:lineRule="auto"/>
        <w:rPr/>
      </w:pPr>
      <w:r w:rsidDel="00000000" w:rsidR="00000000" w:rsidRPr="00000000">
        <w:rPr>
          <w:rtl w:val="0"/>
        </w:rPr>
        <w:t xml:space="preserve">Davies, S., Papp, V. G. and Antoni, C. (2015) ‘Voice and communication change for gender nonconforming individuals: Giving voice to the person inside’, </w:t>
      </w:r>
      <w:r w:rsidDel="00000000" w:rsidR="00000000" w:rsidRPr="00000000">
        <w:rPr>
          <w:i w:val="1"/>
          <w:iCs w:val="1"/>
          <w:rtl w:val="0"/>
        </w:rPr>
        <w:t xml:space="preserve">International Journal of Transgenderism</w:t>
      </w:r>
      <w:r w:rsidDel="00000000" w:rsidR="00000000" w:rsidRPr="00000000">
        <w:rPr>
          <w:rtl w:val="0"/>
        </w:rPr>
        <w:t xml:space="preserve">, 16(3), pp. 117–159.</w:t>
      </w:r>
    </w:p>
    <w:p w:rsidR="00000000" w:rsidDel="00000000" w:rsidP="00000000" w:rsidRDefault="00000000" w:rsidRPr="00000000" w14:paraId="00000125">
      <w:pPr>
        <w:spacing w:after="240" w:before="240" w:line="480" w:lineRule="auto"/>
        <w:rPr/>
      </w:pPr>
      <w:r w:rsidDel="00000000" w:rsidR="00000000" w:rsidRPr="00000000">
        <w:rPr>
          <w:rtl w:val="0"/>
        </w:rPr>
        <w:t xml:space="preserve">Dewey, J., 1934. The supreme intellectual obligation. </w:t>
      </w:r>
      <w:r w:rsidDel="00000000" w:rsidR="00000000" w:rsidRPr="00000000">
        <w:rPr>
          <w:i w:val="1"/>
          <w:iCs w:val="1"/>
          <w:rtl w:val="0"/>
        </w:rPr>
        <w:t xml:space="preserve">Science</w:t>
      </w:r>
      <w:r w:rsidDel="00000000" w:rsidR="00000000" w:rsidRPr="00000000">
        <w:rPr>
          <w:rtl w:val="0"/>
        </w:rPr>
        <w:t xml:space="preserve">, </w:t>
      </w:r>
      <w:r w:rsidDel="00000000" w:rsidR="00000000" w:rsidRPr="00000000">
        <w:rPr>
          <w:i w:val="1"/>
          <w:iCs w:val="1"/>
          <w:rtl w:val="0"/>
        </w:rPr>
        <w:t xml:space="preserve">79</w:t>
      </w:r>
      <w:r w:rsidDel="00000000" w:rsidR="00000000" w:rsidRPr="00000000">
        <w:rPr>
          <w:rtl w:val="0"/>
        </w:rPr>
        <w:t xml:space="preserve">(2046), pp.240-243.</w:t>
      </w:r>
      <w:r w:rsidDel="00000000" w:rsidR="00000000" w:rsidRPr="00000000">
        <w:rPr>
          <w:rtl w:val="0"/>
        </w:rPr>
      </w:r>
    </w:p>
    <w:p w:rsidR="00000000" w:rsidDel="00000000" w:rsidP="00000000" w:rsidRDefault="00000000" w:rsidRPr="00000000" w14:paraId="00000126">
      <w:pPr>
        <w:spacing w:after="240" w:before="240" w:line="480" w:lineRule="auto"/>
        <w:rPr/>
      </w:pPr>
      <w:r w:rsidDel="00000000" w:rsidR="00000000" w:rsidRPr="00000000">
        <w:rPr>
          <w:rtl w:val="0"/>
        </w:rPr>
        <w:t xml:space="preserve">Durham, M. (2023) ‘Singing in co-harmony: An introduction to trauma-informed voice care’, </w:t>
      </w:r>
      <w:r w:rsidDel="00000000" w:rsidR="00000000" w:rsidRPr="00000000">
        <w:rPr>
          <w:i w:val="1"/>
          <w:iCs w:val="1"/>
          <w:rtl w:val="0"/>
        </w:rPr>
        <w:t xml:space="preserve">Journal of Singing</w:t>
      </w:r>
      <w:r w:rsidDel="00000000" w:rsidR="00000000" w:rsidRPr="00000000">
        <w:rPr>
          <w:rtl w:val="0"/>
        </w:rPr>
        <w:t xml:space="preserve">, 79(3), pp. 369–378.</w:t>
      </w:r>
    </w:p>
    <w:p w:rsidR="00000000" w:rsidDel="00000000" w:rsidP="00000000" w:rsidRDefault="00000000" w:rsidRPr="00000000" w14:paraId="00000127">
      <w:pPr>
        <w:spacing w:after="240" w:before="240" w:line="480" w:lineRule="auto"/>
        <w:rPr/>
      </w:pPr>
      <w:r w:rsidDel="00000000" w:rsidR="00000000" w:rsidRPr="00000000">
        <w:rPr>
          <w:rtl w:val="0"/>
        </w:rPr>
        <w:t xml:space="preserve">Echternach, M. et al. (2017) ‘Vocal tract and register changes analysed by real-time MRI in professional singers’, </w:t>
      </w:r>
      <w:r w:rsidDel="00000000" w:rsidR="00000000" w:rsidRPr="00000000">
        <w:rPr>
          <w:i w:val="1"/>
          <w:iCs w:val="1"/>
          <w:rtl w:val="0"/>
        </w:rPr>
        <w:t xml:space="preserve">PLoS ONE</w:t>
      </w:r>
      <w:r w:rsidDel="00000000" w:rsidR="00000000" w:rsidRPr="00000000">
        <w:rPr>
          <w:rtl w:val="0"/>
        </w:rPr>
        <w:t xml:space="preserve">, 12(1), e0169287.</w:t>
      </w:r>
    </w:p>
    <w:p w:rsidR="00000000" w:rsidDel="00000000" w:rsidP="00000000" w:rsidRDefault="00000000" w:rsidRPr="00000000" w14:paraId="00000128">
      <w:pPr>
        <w:spacing w:after="240" w:before="240" w:line="480" w:lineRule="auto"/>
        <w:rPr/>
      </w:pPr>
      <w:r w:rsidDel="00000000" w:rsidR="00000000" w:rsidRPr="00000000">
        <w:rPr>
          <w:rtl w:val="0"/>
        </w:rPr>
        <w:t xml:space="preserve">Ellis, C. (2011) </w:t>
      </w:r>
      <w:r w:rsidDel="00000000" w:rsidR="00000000" w:rsidRPr="00000000">
        <w:rPr>
          <w:i w:val="1"/>
          <w:iCs w:val="1"/>
          <w:rtl w:val="0"/>
        </w:rPr>
        <w:t xml:space="preserve">The ethnographic I: A methodological novel about autoethnography</w:t>
      </w:r>
      <w:r w:rsidDel="00000000" w:rsidR="00000000" w:rsidRPr="00000000">
        <w:rPr>
          <w:rtl w:val="0"/>
        </w:rPr>
        <w:t xml:space="preserve">. Walnut Creek, CA: AltaMira Press.</w:t>
      </w:r>
    </w:p>
    <w:p w:rsidR="00000000" w:rsidDel="00000000" w:rsidP="00000000" w:rsidRDefault="00000000" w:rsidRPr="00000000" w14:paraId="00000129">
      <w:pPr>
        <w:spacing w:after="240" w:before="240" w:line="480" w:lineRule="auto"/>
        <w:rPr/>
      </w:pPr>
      <w:r w:rsidDel="00000000" w:rsidR="00000000" w:rsidRPr="00000000">
        <w:rPr>
          <w:rtl w:val="0"/>
        </w:rPr>
        <w:t xml:space="preserve">Ginsborg, J. (2018) ‘Health and wellbeing in higher education music institutions’, in Creech, R., Papageorgi, I. and Welch, H. (eds.) </w:t>
      </w:r>
      <w:r w:rsidDel="00000000" w:rsidR="00000000" w:rsidRPr="00000000">
        <w:rPr>
          <w:i w:val="1"/>
          <w:iCs w:val="1"/>
          <w:rtl w:val="0"/>
        </w:rPr>
        <w:t xml:space="preserve">Narratives of Musicians’ Wellbeing</w:t>
      </w:r>
      <w:r w:rsidDel="00000000" w:rsidR="00000000" w:rsidRPr="00000000">
        <w:rPr>
          <w:rtl w:val="0"/>
        </w:rPr>
        <w:t xml:space="preserve">. London: Routledge, pp. 96–110.</w:t>
      </w:r>
    </w:p>
    <w:p w:rsidR="00000000" w:rsidDel="00000000" w:rsidP="00000000" w:rsidRDefault="00000000" w:rsidRPr="00000000" w14:paraId="0000012A">
      <w:pPr>
        <w:spacing w:after="240" w:before="240" w:line="480" w:lineRule="auto"/>
        <w:rPr/>
      </w:pPr>
      <w:r w:rsidDel="00000000" w:rsidR="00000000" w:rsidRPr="00000000">
        <w:rPr>
          <w:rtl w:val="0"/>
        </w:rPr>
        <w:t xml:space="preserve">Hamilton, L. G. and Petty, S. (2023) ‘Compassionate pedagogy for neurodiversity in higher education: A conceptual analysis’, </w:t>
      </w:r>
      <w:r w:rsidDel="00000000" w:rsidR="00000000" w:rsidRPr="00000000">
        <w:rPr>
          <w:i w:val="1"/>
          <w:iCs w:val="1"/>
          <w:rtl w:val="0"/>
        </w:rPr>
        <w:t xml:space="preserve">Frontiers in Psychology</w:t>
      </w:r>
      <w:r w:rsidDel="00000000" w:rsidR="00000000" w:rsidRPr="00000000">
        <w:rPr>
          <w:rtl w:val="0"/>
        </w:rPr>
        <w:t xml:space="preserve">, 14, 1093290.</w:t>
      </w:r>
    </w:p>
    <w:p w:rsidR="00000000" w:rsidDel="00000000" w:rsidP="00000000" w:rsidRDefault="00000000" w:rsidRPr="00000000" w14:paraId="0000012B">
      <w:pPr>
        <w:spacing w:after="240" w:before="240" w:line="480" w:lineRule="auto"/>
        <w:rPr/>
      </w:pPr>
      <w:r w:rsidDel="00000000" w:rsidR="00000000" w:rsidRPr="00000000">
        <w:rPr>
          <w:rtl w:val="0"/>
        </w:rPr>
        <w:t xml:space="preserve">Hart, A. (2018) </w:t>
      </w:r>
      <w:r w:rsidDel="00000000" w:rsidR="00000000" w:rsidRPr="00000000">
        <w:rPr>
          <w:i w:val="1"/>
          <w:iCs w:val="1"/>
          <w:rtl w:val="0"/>
        </w:rPr>
        <w:t xml:space="preserve">Supporting neurodivergent students in higher education</w:t>
      </w:r>
      <w:r w:rsidDel="00000000" w:rsidR="00000000" w:rsidRPr="00000000">
        <w:rPr>
          <w:rtl w:val="0"/>
        </w:rPr>
        <w:t xml:space="preserve">. London: Sage.</w:t>
      </w:r>
    </w:p>
    <w:p w:rsidR="00000000" w:rsidDel="00000000" w:rsidP="00000000" w:rsidRDefault="00000000" w:rsidRPr="00000000" w14:paraId="0000012C">
      <w:pPr>
        <w:spacing w:after="240" w:before="240" w:line="480" w:lineRule="auto"/>
        <w:rPr/>
      </w:pPr>
      <w:r w:rsidDel="00000000" w:rsidR="00000000" w:rsidRPr="00000000">
        <w:rPr>
          <w:rtl w:val="0"/>
        </w:rPr>
        <w:t xml:space="preserve">Healthy Conservatoires Network (2025) </w:t>
      </w:r>
      <w:r w:rsidDel="00000000" w:rsidR="00000000" w:rsidRPr="00000000">
        <w:rPr>
          <w:i w:val="1"/>
          <w:iCs w:val="1"/>
          <w:rtl w:val="0"/>
        </w:rPr>
        <w:t xml:space="preserve">Supporting Neurodiversity in Performing Arts Education – Case Study</w:t>
      </w:r>
      <w:r w:rsidDel="00000000" w:rsidR="00000000" w:rsidRPr="00000000">
        <w:rPr>
          <w:rtl w:val="0"/>
        </w:rPr>
        <w:t xml:space="preserve">. Healthy Conservatoires Reports.</w:t>
      </w:r>
    </w:p>
    <w:p w:rsidR="00000000" w:rsidDel="00000000" w:rsidP="00000000" w:rsidRDefault="00000000" w:rsidRPr="00000000" w14:paraId="0000012D">
      <w:pPr>
        <w:spacing w:after="240" w:before="240" w:line="480" w:lineRule="auto"/>
        <w:rPr/>
      </w:pPr>
      <w:r w:rsidDel="00000000" w:rsidR="00000000" w:rsidRPr="00000000">
        <w:rPr>
          <w:rtl w:val="0"/>
        </w:rPr>
        <w:t xml:space="preserve">Herbst, C. T. (2014) ‘The physics and physiology of distorted vocalizations’, </w:t>
      </w:r>
      <w:r w:rsidDel="00000000" w:rsidR="00000000" w:rsidRPr="00000000">
        <w:rPr>
          <w:i w:val="1"/>
          <w:iCs w:val="1"/>
          <w:rtl w:val="0"/>
        </w:rPr>
        <w:t xml:space="preserve">Journal of Voice</w:t>
      </w:r>
      <w:r w:rsidDel="00000000" w:rsidR="00000000" w:rsidRPr="00000000">
        <w:rPr>
          <w:rtl w:val="0"/>
        </w:rPr>
        <w:t xml:space="preserve">, 28(5), pp. 649.e1–649.e17.</w:t>
      </w:r>
    </w:p>
    <w:p w:rsidR="00000000" w:rsidDel="00000000" w:rsidP="00000000" w:rsidRDefault="00000000" w:rsidRPr="00000000" w14:paraId="0000012E">
      <w:pPr>
        <w:spacing w:after="240" w:before="240" w:line="480" w:lineRule="auto"/>
        <w:rPr/>
      </w:pPr>
      <w:r w:rsidDel="00000000" w:rsidR="00000000" w:rsidRPr="00000000">
        <w:rPr>
          <w:rtl w:val="0"/>
        </w:rPr>
        <w:t xml:space="preserve">Hooks, B. (1994) </w:t>
      </w:r>
      <w:r w:rsidDel="00000000" w:rsidR="00000000" w:rsidRPr="00000000">
        <w:rPr>
          <w:i w:val="1"/>
          <w:iCs w:val="1"/>
          <w:rtl w:val="0"/>
        </w:rPr>
        <w:t xml:space="preserve">Teaching to Transgress: Education as the Practice of Freedom</w:t>
      </w:r>
      <w:r w:rsidDel="00000000" w:rsidR="00000000" w:rsidRPr="00000000">
        <w:rPr>
          <w:rtl w:val="0"/>
        </w:rPr>
        <w:t xml:space="preserve">. New York: Routledge.</w:t>
      </w:r>
    </w:p>
    <w:p w:rsidR="00000000" w:rsidDel="00000000" w:rsidP="00000000" w:rsidRDefault="00000000" w:rsidRPr="00000000" w14:paraId="0000012F">
      <w:pPr>
        <w:spacing w:after="240" w:before="240" w:line="480" w:lineRule="auto"/>
        <w:rPr/>
      </w:pPr>
      <w:r w:rsidDel="00000000" w:rsidR="00000000" w:rsidRPr="00000000">
        <w:rPr>
          <w:rtl w:val="0"/>
        </w:rPr>
        <w:t xml:space="preserve">Kob, M., Murphy, P. and Echternach, M. (2019) ‘Modelling sound production in death metal growls and screams’, </w:t>
      </w:r>
      <w:r w:rsidDel="00000000" w:rsidR="00000000" w:rsidRPr="00000000">
        <w:rPr>
          <w:i w:val="1"/>
          <w:iCs w:val="1"/>
          <w:rtl w:val="0"/>
        </w:rPr>
        <w:t xml:space="preserve">Logopedics Phoniatrics Vocology</w:t>
      </w:r>
      <w:r w:rsidDel="00000000" w:rsidR="00000000" w:rsidRPr="00000000">
        <w:rPr>
          <w:rtl w:val="0"/>
        </w:rPr>
        <w:t xml:space="preserve">, 44(1), pp. 13–23.</w:t>
      </w:r>
    </w:p>
    <w:p w:rsidR="00000000" w:rsidDel="00000000" w:rsidP="00000000" w:rsidRDefault="00000000" w:rsidRPr="00000000" w14:paraId="00000130">
      <w:pPr>
        <w:spacing w:after="240" w:before="240" w:line="480" w:lineRule="auto"/>
        <w:rPr/>
      </w:pPr>
      <w:r w:rsidDel="00000000" w:rsidR="00000000" w:rsidRPr="00000000">
        <w:rPr>
          <w:rtl w:val="0"/>
        </w:rPr>
        <w:t xml:space="preserve">Kolb, D. (1984) </w:t>
      </w:r>
      <w:r w:rsidDel="00000000" w:rsidR="00000000" w:rsidRPr="00000000">
        <w:rPr>
          <w:i w:val="1"/>
          <w:iCs w:val="1"/>
          <w:rtl w:val="0"/>
        </w:rPr>
        <w:t xml:space="preserve">Experiential Learning: Experience as the Source of Learning and Development</w:t>
      </w:r>
      <w:r w:rsidDel="00000000" w:rsidR="00000000" w:rsidRPr="00000000">
        <w:rPr>
          <w:rtl w:val="0"/>
        </w:rPr>
        <w:t xml:space="preserve">. Englewood Cliffs, NJ: Prentice Hall.</w:t>
      </w:r>
    </w:p>
    <w:p w:rsidR="00000000" w:rsidDel="00000000" w:rsidP="00000000" w:rsidRDefault="00000000" w:rsidRPr="00000000" w14:paraId="00000131">
      <w:pPr>
        <w:spacing w:after="240" w:before="240" w:line="480" w:lineRule="auto"/>
        <w:rPr/>
      </w:pPr>
      <w:r w:rsidDel="00000000" w:rsidR="00000000" w:rsidRPr="00000000">
        <w:rPr>
          <w:rtl w:val="0"/>
        </w:rPr>
        <w:t xml:space="preserve">Lamesch, C., Döllinger, M. and Berry, D. (2023) ‘Exploring supraglottic activity in extreme vocalisation’, </w:t>
      </w:r>
      <w:r w:rsidDel="00000000" w:rsidR="00000000" w:rsidRPr="00000000">
        <w:rPr>
          <w:i w:val="1"/>
          <w:iCs w:val="1"/>
          <w:rtl w:val="0"/>
        </w:rPr>
        <w:t xml:space="preserve">Journal of Voice</w:t>
      </w:r>
      <w:r w:rsidDel="00000000" w:rsidR="00000000" w:rsidRPr="00000000">
        <w:rPr>
          <w:rtl w:val="0"/>
        </w:rPr>
        <w:t xml:space="preserve">. Available online ahead of print.</w:t>
      </w:r>
    </w:p>
    <w:p w:rsidR="00000000" w:rsidDel="00000000" w:rsidP="00000000" w:rsidRDefault="00000000" w:rsidRPr="00000000" w14:paraId="00000132">
      <w:pPr>
        <w:spacing w:after="240" w:before="240" w:line="480" w:lineRule="auto"/>
        <w:rPr/>
      </w:pPr>
      <w:r w:rsidDel="00000000" w:rsidR="00000000" w:rsidRPr="00000000">
        <w:rPr>
          <w:color w:val="222222"/>
          <w:highlight w:val="white"/>
          <w:rtl w:val="0"/>
        </w:rPr>
        <w:t xml:space="preserve">LeBorgne, W.D. and Rosenberg, M.D., 2024. </w:t>
      </w:r>
      <w:r w:rsidDel="00000000" w:rsidR="00000000" w:rsidRPr="00000000">
        <w:rPr>
          <w:i w:val="1"/>
          <w:iCs w:val="1"/>
          <w:color w:val="222222"/>
          <w:highlight w:val="white"/>
          <w:rtl w:val="0"/>
        </w:rPr>
        <w:t xml:space="preserve">The vocal athlete</w:t>
      </w:r>
      <w:r w:rsidDel="00000000" w:rsidR="00000000" w:rsidRPr="00000000">
        <w:rPr>
          <w:color w:val="222222"/>
          <w:highlight w:val="white"/>
          <w:rtl w:val="0"/>
        </w:rPr>
        <w:t xml:space="preserve"> (Vol. 1). Plural Publishing</w:t>
      </w:r>
      <w:r w:rsidDel="00000000" w:rsidR="00000000" w:rsidRPr="00000000">
        <w:rPr>
          <w:color w:val="222222"/>
          <w:sz w:val="20"/>
          <w:szCs w:val="20"/>
          <w:highlight w:val="white"/>
          <w:rtl w:val="0"/>
        </w:rPr>
        <w:t xml:space="preserve">.</w:t>
      </w:r>
      <w:r w:rsidDel="00000000" w:rsidR="00000000" w:rsidRPr="00000000">
        <w:rPr>
          <w:rtl w:val="0"/>
        </w:rPr>
      </w:r>
    </w:p>
    <w:p w:rsidR="00000000" w:rsidDel="00000000" w:rsidP="00000000" w:rsidRDefault="00000000" w:rsidRPr="00000000" w14:paraId="00000133">
      <w:pPr>
        <w:spacing w:after="240" w:before="240" w:line="480" w:lineRule="auto"/>
        <w:rPr/>
      </w:pPr>
      <w:r w:rsidDel="00000000" w:rsidR="00000000" w:rsidRPr="00000000">
        <w:rPr>
          <w:rtl w:val="0"/>
        </w:rPr>
        <w:t xml:space="preserve">Le Cunff, A.-L., Giampietro, V. and Dommett, E. J. (2024) ‘Neurodiversity and cognitive load in online learning’, </w:t>
      </w:r>
      <w:r w:rsidDel="00000000" w:rsidR="00000000" w:rsidRPr="00000000">
        <w:rPr>
          <w:i w:val="1"/>
          <w:iCs w:val="1"/>
          <w:rtl w:val="0"/>
        </w:rPr>
        <w:t xml:space="preserve">Educational Research Review</w:t>
      </w:r>
      <w:r w:rsidDel="00000000" w:rsidR="00000000" w:rsidRPr="00000000">
        <w:rPr>
          <w:rtl w:val="0"/>
        </w:rPr>
        <w:t xml:space="preserve">, 43, 100604.</w:t>
      </w:r>
    </w:p>
    <w:p w:rsidR="00000000" w:rsidDel="00000000" w:rsidP="00000000" w:rsidRDefault="00000000" w:rsidRPr="00000000" w14:paraId="00000134">
      <w:pPr>
        <w:spacing w:after="240" w:before="240" w:line="480" w:lineRule="auto"/>
        <w:rPr/>
      </w:pPr>
      <w:r w:rsidDel="00000000" w:rsidR="00000000" w:rsidRPr="00000000">
        <w:rPr>
          <w:rtl w:val="0"/>
        </w:rPr>
        <w:t xml:space="preserve">Leman, M. (2016) </w:t>
      </w:r>
      <w:r w:rsidDel="00000000" w:rsidR="00000000" w:rsidRPr="00000000">
        <w:rPr>
          <w:i w:val="1"/>
          <w:iCs w:val="1"/>
          <w:rtl w:val="0"/>
        </w:rPr>
        <w:t xml:space="preserve">The Expressive Moment: How Interaction (with Music) Shapes Human Experience</w:t>
      </w:r>
      <w:r w:rsidDel="00000000" w:rsidR="00000000" w:rsidRPr="00000000">
        <w:rPr>
          <w:rtl w:val="0"/>
        </w:rPr>
        <w:t xml:space="preserve">. Cambridge, MA: MIT Press.</w:t>
      </w:r>
    </w:p>
    <w:p w:rsidR="00000000" w:rsidDel="00000000" w:rsidP="00000000" w:rsidRDefault="00000000" w:rsidRPr="00000000" w14:paraId="00000135">
      <w:pPr>
        <w:spacing w:after="240" w:before="240" w:line="480" w:lineRule="auto"/>
        <w:rPr/>
      </w:pPr>
      <w:r w:rsidDel="00000000" w:rsidR="00000000" w:rsidRPr="00000000">
        <w:rPr>
          <w:rtl w:val="0"/>
        </w:rPr>
        <w:t xml:space="preserve">Madison, B. (2018) </w:t>
      </w:r>
      <w:r w:rsidDel="00000000" w:rsidR="00000000" w:rsidRPr="00000000">
        <w:rPr>
          <w:i w:val="1"/>
          <w:iCs w:val="1"/>
          <w:rtl w:val="0"/>
        </w:rPr>
        <w:t xml:space="preserve">Critical reflection for practitioners</w:t>
      </w:r>
      <w:r w:rsidDel="00000000" w:rsidR="00000000" w:rsidRPr="00000000">
        <w:rPr>
          <w:rtl w:val="0"/>
        </w:rPr>
        <w:t xml:space="preserve">. London: Sage.</w:t>
      </w:r>
    </w:p>
    <w:p w:rsidR="00000000" w:rsidDel="00000000" w:rsidP="00000000" w:rsidRDefault="00000000" w:rsidRPr="00000000" w14:paraId="00000136">
      <w:pPr>
        <w:spacing w:after="240" w:before="240" w:line="480" w:lineRule="auto"/>
        <w:rPr/>
      </w:pPr>
      <w:r w:rsidDel="00000000" w:rsidR="00000000" w:rsidRPr="00000000">
        <w:rPr>
          <w:rtl w:val="0"/>
        </w:rPr>
        <w:t xml:space="preserve">Nelson, R. (2013) </w:t>
      </w:r>
      <w:r w:rsidDel="00000000" w:rsidR="00000000" w:rsidRPr="00000000">
        <w:rPr>
          <w:i w:val="1"/>
          <w:iCs w:val="1"/>
          <w:rtl w:val="0"/>
        </w:rPr>
        <w:t xml:space="preserve">Practice as Research in the Arts: Principles, Protocols, Pedagogies, Resistances</w:t>
      </w:r>
      <w:r w:rsidDel="00000000" w:rsidR="00000000" w:rsidRPr="00000000">
        <w:rPr>
          <w:rtl w:val="0"/>
        </w:rPr>
        <w:t xml:space="preserve">. Basingstoke: Palgrave Macmillan.</w:t>
      </w:r>
    </w:p>
    <w:p w:rsidR="00000000" w:rsidDel="00000000" w:rsidP="00000000" w:rsidRDefault="00000000" w:rsidRPr="00000000" w14:paraId="00000137">
      <w:pPr>
        <w:spacing w:after="240" w:before="240" w:line="480" w:lineRule="auto"/>
        <w:rPr/>
      </w:pPr>
      <w:r w:rsidDel="00000000" w:rsidR="00000000" w:rsidRPr="00000000">
        <w:rPr>
          <w:rtl w:val="0"/>
        </w:rPr>
        <w:t xml:space="preserve">Oram, D. (2018) ‘Finding a way: Dyslexia and dyspraxia in psychophysical actor training’, </w:t>
      </w:r>
      <w:r w:rsidDel="00000000" w:rsidR="00000000" w:rsidRPr="00000000">
        <w:rPr>
          <w:i w:val="1"/>
          <w:iCs w:val="1"/>
          <w:rtl w:val="0"/>
        </w:rPr>
        <w:t xml:space="preserve">Voice and Speech Review</w:t>
      </w:r>
      <w:r w:rsidDel="00000000" w:rsidR="00000000" w:rsidRPr="00000000">
        <w:rPr>
          <w:rtl w:val="0"/>
        </w:rPr>
        <w:t xml:space="preserve">, 12(3), pp. 276–294.</w:t>
      </w:r>
    </w:p>
    <w:p w:rsidR="00000000" w:rsidDel="00000000" w:rsidP="00000000" w:rsidRDefault="00000000" w:rsidRPr="00000000" w14:paraId="00000138">
      <w:pPr>
        <w:spacing w:after="240" w:before="240" w:line="480" w:lineRule="auto"/>
        <w:rPr/>
      </w:pPr>
      <w:r w:rsidDel="00000000" w:rsidR="00000000" w:rsidRPr="00000000">
        <w:rPr>
          <w:rtl w:val="0"/>
        </w:rPr>
        <w:t xml:space="preserve">Palmer, D. A. (2025) </w:t>
      </w:r>
      <w:r w:rsidDel="00000000" w:rsidR="00000000" w:rsidRPr="00000000">
        <w:rPr>
          <w:i w:val="1"/>
          <w:iCs w:val="1"/>
          <w:rtl w:val="0"/>
        </w:rPr>
        <w:t xml:space="preserve">The Educational Imperative of INSPECT: A Trauma-Informed, Neurodivergent-Affirming Classroom Culture Framework</w:t>
      </w:r>
      <w:r w:rsidDel="00000000" w:rsidR="00000000" w:rsidRPr="00000000">
        <w:rPr>
          <w:rtl w:val="0"/>
        </w:rPr>
        <w:t xml:space="preserve">. Master’s Project, California State University, San Bernardino.</w:t>
      </w:r>
    </w:p>
    <w:p w:rsidR="00000000" w:rsidDel="00000000" w:rsidP="00000000" w:rsidRDefault="00000000" w:rsidRPr="00000000" w14:paraId="00000139">
      <w:pPr>
        <w:spacing w:after="240" w:before="240" w:line="480" w:lineRule="auto"/>
        <w:rPr/>
      </w:pPr>
      <w:r w:rsidDel="00000000" w:rsidR="00000000" w:rsidRPr="00000000">
        <w:rPr>
          <w:rtl w:val="0"/>
        </w:rPr>
        <w:t xml:space="preserve">Sadolin, C. (2012) </w:t>
      </w:r>
      <w:r w:rsidDel="00000000" w:rsidR="00000000" w:rsidRPr="00000000">
        <w:rPr>
          <w:i w:val="1"/>
          <w:iCs w:val="1"/>
          <w:rtl w:val="0"/>
        </w:rPr>
        <w:t xml:space="preserve">Complete Vocal Technique</w:t>
      </w:r>
      <w:r w:rsidDel="00000000" w:rsidR="00000000" w:rsidRPr="00000000">
        <w:rPr>
          <w:rtl w:val="0"/>
        </w:rPr>
        <w:t xml:space="preserve">. Copenhagen: Shout Publishing.</w:t>
      </w:r>
    </w:p>
    <w:p w:rsidR="00000000" w:rsidDel="00000000" w:rsidP="00000000" w:rsidRDefault="00000000" w:rsidRPr="00000000" w14:paraId="0000013A">
      <w:pPr>
        <w:spacing w:after="240" w:before="240" w:line="480" w:lineRule="auto"/>
        <w:rPr/>
      </w:pPr>
      <w:r w:rsidDel="00000000" w:rsidR="00000000" w:rsidRPr="00000000">
        <w:rPr>
          <w:rtl w:val="0"/>
        </w:rPr>
        <w:t xml:space="preserve">Sauerland, W. (2021) ‘Sound teaching: Trauma-informed pedagogy in choir’, </w:t>
      </w:r>
      <w:r w:rsidDel="00000000" w:rsidR="00000000" w:rsidRPr="00000000">
        <w:rPr>
          <w:i w:val="1"/>
          <w:iCs w:val="1"/>
          <w:rtl w:val="0"/>
        </w:rPr>
        <w:t xml:space="preserve">Choral Journal</w:t>
      </w:r>
      <w:r w:rsidDel="00000000" w:rsidR="00000000" w:rsidRPr="00000000">
        <w:rPr>
          <w:rtl w:val="0"/>
        </w:rPr>
        <w:t xml:space="preserve">, 62(3), pp. 32–44.</w:t>
      </w:r>
    </w:p>
    <w:p w:rsidR="00000000" w:rsidDel="00000000" w:rsidP="00000000" w:rsidRDefault="00000000" w:rsidRPr="00000000" w14:paraId="0000013B">
      <w:pPr>
        <w:spacing w:after="240" w:before="240" w:line="480" w:lineRule="auto"/>
        <w:rPr/>
      </w:pPr>
      <w:r w:rsidDel="00000000" w:rsidR="00000000" w:rsidRPr="00000000">
        <w:rPr>
          <w:rtl w:val="0"/>
        </w:rPr>
        <w:t xml:space="preserve">Sauerland, W. (2022) </w:t>
      </w:r>
      <w:r w:rsidDel="00000000" w:rsidR="00000000" w:rsidRPr="00000000">
        <w:rPr>
          <w:i w:val="1"/>
          <w:iCs w:val="1"/>
          <w:rtl w:val="0"/>
        </w:rPr>
        <w:t xml:space="preserve">Queering Vocal Pedagogy: A Handbook for Teaching Trans and Genderqueer Singers and Fostering Gender-Affirming Spaces</w:t>
      </w:r>
      <w:r w:rsidDel="00000000" w:rsidR="00000000" w:rsidRPr="00000000">
        <w:rPr>
          <w:rtl w:val="0"/>
        </w:rPr>
        <w:t xml:space="preserve">. Lanham, MD: Rowman and Littlefield.</w:t>
      </w:r>
    </w:p>
    <w:p w:rsidR="00000000" w:rsidDel="00000000" w:rsidP="00000000" w:rsidRDefault="00000000" w:rsidRPr="00000000" w14:paraId="0000013C">
      <w:pPr>
        <w:spacing w:after="240" w:before="240" w:line="480" w:lineRule="auto"/>
        <w:rPr/>
      </w:pPr>
      <w:r w:rsidDel="00000000" w:rsidR="00000000" w:rsidRPr="00000000">
        <w:rPr>
          <w:rtl w:val="0"/>
        </w:rPr>
        <w:t xml:space="preserve">Schön, D. (1983) </w:t>
      </w:r>
      <w:r w:rsidDel="00000000" w:rsidR="00000000" w:rsidRPr="00000000">
        <w:rPr>
          <w:i w:val="1"/>
          <w:iCs w:val="1"/>
          <w:rtl w:val="0"/>
        </w:rPr>
        <w:t xml:space="preserve">The Reflective Practitioner</w:t>
      </w:r>
      <w:r w:rsidDel="00000000" w:rsidR="00000000" w:rsidRPr="00000000">
        <w:rPr>
          <w:rtl w:val="0"/>
        </w:rPr>
        <w:t xml:space="preserve">. New York: Basic Books.</w:t>
      </w:r>
    </w:p>
    <w:p w:rsidR="00000000" w:rsidDel="00000000" w:rsidP="00000000" w:rsidRDefault="00000000" w:rsidRPr="00000000" w14:paraId="0000013D">
      <w:pPr>
        <w:spacing w:after="240" w:before="240" w:line="480" w:lineRule="auto"/>
        <w:rPr/>
      </w:pPr>
      <w:r w:rsidDel="00000000" w:rsidR="00000000" w:rsidRPr="00000000">
        <w:rPr>
          <w:rtl w:val="0"/>
        </w:rPr>
        <w:t xml:space="preserve">Smith, H. and Dean, R. (2009) </w:t>
      </w:r>
      <w:r w:rsidDel="00000000" w:rsidR="00000000" w:rsidRPr="00000000">
        <w:rPr>
          <w:i w:val="1"/>
          <w:iCs w:val="1"/>
          <w:rtl w:val="0"/>
        </w:rPr>
        <w:t xml:space="preserve">Practice-led Research, Research-led Practice in the Creative Arts</w:t>
      </w:r>
      <w:r w:rsidDel="00000000" w:rsidR="00000000" w:rsidRPr="00000000">
        <w:rPr>
          <w:rtl w:val="0"/>
        </w:rPr>
        <w:t xml:space="preserve">. Edinburgh: Edinburgh University Press.</w:t>
      </w:r>
    </w:p>
    <w:p w:rsidR="00000000" w:rsidDel="00000000" w:rsidP="00000000" w:rsidRDefault="00000000" w:rsidRPr="00000000" w14:paraId="0000013E">
      <w:pPr>
        <w:spacing w:after="240" w:before="240" w:line="480" w:lineRule="auto"/>
        <w:rPr/>
      </w:pPr>
      <w:r w:rsidDel="00000000" w:rsidR="00000000" w:rsidRPr="00000000">
        <w:rPr>
          <w:rtl w:val="0"/>
        </w:rPr>
        <w:t xml:space="preserve">Spencer, C. A. (2020) ‘Voice and identity: Transgender experiences’, </w:t>
      </w:r>
      <w:r w:rsidDel="00000000" w:rsidR="00000000" w:rsidRPr="00000000">
        <w:rPr>
          <w:i w:val="1"/>
          <w:iCs w:val="1"/>
          <w:rtl w:val="0"/>
        </w:rPr>
        <w:t xml:space="preserve">Journal of Singing</w:t>
      </w:r>
      <w:r w:rsidDel="00000000" w:rsidR="00000000" w:rsidRPr="00000000">
        <w:rPr>
          <w:rtl w:val="0"/>
        </w:rPr>
        <w:t xml:space="preserve">, 76(3), pp. 317–324.</w:t>
      </w:r>
    </w:p>
    <w:p w:rsidR="00000000" w:rsidDel="00000000" w:rsidP="00000000" w:rsidRDefault="00000000" w:rsidRPr="00000000" w14:paraId="0000013F">
      <w:pPr>
        <w:spacing w:after="240" w:before="240" w:line="480" w:lineRule="auto"/>
        <w:rPr/>
      </w:pPr>
      <w:r w:rsidDel="00000000" w:rsidR="00000000" w:rsidRPr="00000000">
        <w:rPr>
          <w:rtl w:val="0"/>
        </w:rPr>
        <w:t xml:space="preserve">Sweller, J. (1998) ‘Cognitive load during problem solving: Effects on learning’, </w:t>
      </w:r>
      <w:r w:rsidDel="00000000" w:rsidR="00000000" w:rsidRPr="00000000">
        <w:rPr>
          <w:i w:val="1"/>
          <w:iCs w:val="1"/>
          <w:rtl w:val="0"/>
        </w:rPr>
        <w:t xml:space="preserve">Cognitive Science</w:t>
      </w:r>
      <w:r w:rsidDel="00000000" w:rsidR="00000000" w:rsidRPr="00000000">
        <w:rPr>
          <w:rtl w:val="0"/>
        </w:rPr>
        <w:t xml:space="preserve">, 12(2), pp. 257–285.</w:t>
      </w:r>
    </w:p>
    <w:p w:rsidR="00000000" w:rsidDel="00000000" w:rsidP="00000000" w:rsidRDefault="00000000" w:rsidRPr="00000000" w14:paraId="00000140">
      <w:pPr>
        <w:spacing w:after="240" w:before="240" w:line="480" w:lineRule="auto"/>
        <w:rPr/>
      </w:pPr>
      <w:r w:rsidDel="00000000" w:rsidR="00000000" w:rsidRPr="00000000">
        <w:rPr>
          <w:rtl w:val="0"/>
        </w:rPr>
        <w:t xml:space="preserve">Wang, F. and Hannafin, M. J. (2005) ‘Design-based research and technology-enhanced learning environments’, </w:t>
      </w:r>
      <w:r w:rsidDel="00000000" w:rsidR="00000000" w:rsidRPr="00000000">
        <w:rPr>
          <w:i w:val="1"/>
          <w:iCs w:val="1"/>
          <w:rtl w:val="0"/>
        </w:rPr>
        <w:t xml:space="preserve">Educational Technology Research and Development</w:t>
      </w:r>
      <w:r w:rsidDel="00000000" w:rsidR="00000000" w:rsidRPr="00000000">
        <w:rPr>
          <w:rtl w:val="0"/>
        </w:rPr>
        <w:t xml:space="preserve">, 53(4), pp. 5–23</w:t>
      </w:r>
    </w:p>
    <w:p w:rsidR="00000000" w:rsidDel="00000000" w:rsidP="00000000" w:rsidRDefault="00000000" w:rsidRPr="00000000" w14:paraId="00000141">
      <w:pPr>
        <w:spacing w:after="240" w:before="240" w:line="480" w:lineRule="auto"/>
        <w:rPr/>
      </w:pPr>
      <w:r w:rsidDel="00000000" w:rsidR="00000000" w:rsidRPr="00000000">
        <w:rPr>
          <w:rtl w:val="0"/>
        </w:rPr>
        <w:t xml:space="preserve">Wood, D., Bruner, J. S. and Ross, G. (1976) ‘The role of tutoring in problem solving’, </w:t>
      </w:r>
      <w:r w:rsidDel="00000000" w:rsidR="00000000" w:rsidRPr="00000000">
        <w:rPr>
          <w:i w:val="1"/>
          <w:iCs w:val="1"/>
          <w:rtl w:val="0"/>
        </w:rPr>
        <w:t xml:space="preserve">Journal of Child Psychology and Psychiatry</w:t>
      </w:r>
      <w:r w:rsidDel="00000000" w:rsidR="00000000" w:rsidRPr="00000000">
        <w:rPr>
          <w:rtl w:val="0"/>
        </w:rPr>
        <w:t xml:space="preserve">, 17(2), pp. 89–100.</w:t>
      </w:r>
    </w:p>
    <w:p w:rsidR="00000000" w:rsidDel="00000000" w:rsidP="00000000" w:rsidRDefault="00000000" w:rsidRPr="00000000" w14:paraId="00000142">
      <w:pPr>
        <w:pStyle w:val="Heading1"/>
        <w:spacing w:after="0" w:before="0" w:line="480" w:lineRule="auto"/>
        <w:rPr/>
      </w:pPr>
      <w:bookmarkStart w:colFirst="0" w:colLast="0" w:name="_i10w56wz7rr4" w:id="48"/>
      <w:bookmarkEnd w:id="48"/>
      <w:r w:rsidDel="00000000" w:rsidR="00000000" w:rsidRPr="00000000">
        <w:rPr>
          <w:rtl w:val="0"/>
        </w:rPr>
        <w:t xml:space="preserve">Appendices</w:t>
      </w:r>
    </w:p>
    <w:p w:rsidR="00000000" w:rsidDel="00000000" w:rsidP="00000000" w:rsidRDefault="00000000" w:rsidRPr="00000000" w14:paraId="00000143">
      <w:pPr>
        <w:pStyle w:val="Heading2"/>
        <w:rPr/>
      </w:pPr>
      <w:bookmarkStart w:colFirst="0" w:colLast="0" w:name="_diby8l8nqvbi" w:id="49"/>
      <w:bookmarkEnd w:id="49"/>
      <w:r w:rsidDel="00000000" w:rsidR="00000000" w:rsidRPr="00000000">
        <w:rPr>
          <w:rtl w:val="0"/>
        </w:rPr>
        <w:t xml:space="preserve">Artefact Draft</w:t>
      </w:r>
    </w:p>
    <w:p w:rsidR="00000000" w:rsidDel="00000000" w:rsidP="00000000" w:rsidRDefault="00000000" w:rsidRPr="00000000" w14:paraId="00000144">
      <w:pPr>
        <w:jc w:val="center"/>
        <w:rPr/>
      </w:pPr>
      <w:r w:rsidDel="00000000" w:rsidR="00000000" w:rsidRPr="00000000">
        <w:rPr/>
        <w:drawing>
          <wp:inline distB="114300" distT="114300" distL="114300" distR="114300">
            <wp:extent cx="4661314" cy="7443788"/>
            <wp:effectExtent b="0" l="0" r="0" t="0"/>
            <wp:docPr id="104" name="image105.png"/>
            <a:graphic>
              <a:graphicData uri="http://schemas.openxmlformats.org/drawingml/2006/picture">
                <pic:pic>
                  <pic:nvPicPr>
                    <pic:cNvPr id="0" name="image105.png"/>
                    <pic:cNvPicPr preferRelativeResize="0"/>
                  </pic:nvPicPr>
                  <pic:blipFill>
                    <a:blip r:embed="rId20"/>
                    <a:srcRect b="0" l="0" r="0" t="0"/>
                    <a:stretch>
                      <a:fillRect/>
                    </a:stretch>
                  </pic:blipFill>
                  <pic:spPr>
                    <a:xfrm>
                      <a:off x="0" y="0"/>
                      <a:ext cx="4661314" cy="7443788"/>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pStyle w:val="Subtitle"/>
        <w:spacing w:after="0" w:before="0" w:line="480" w:lineRule="auto"/>
        <w:rPr/>
      </w:pPr>
      <w:bookmarkStart w:colFirst="0" w:colLast="0" w:name="_9w020doggb34" w:id="50"/>
      <w:bookmarkEnd w:id="50"/>
      <w:r w:rsidDel="00000000" w:rsidR="00000000" w:rsidRPr="00000000">
        <w:rPr/>
        <w:drawing>
          <wp:inline distB="114300" distT="114300" distL="114300" distR="114300">
            <wp:extent cx="5731200" cy="9144000"/>
            <wp:effectExtent b="0" l="0" r="0" t="0"/>
            <wp:docPr id="102" name="image96.png"/>
            <a:graphic>
              <a:graphicData uri="http://schemas.openxmlformats.org/drawingml/2006/picture">
                <pic:pic>
                  <pic:nvPicPr>
                    <pic:cNvPr id="0" name="image96.png"/>
                    <pic:cNvPicPr preferRelativeResize="0"/>
                  </pic:nvPicPr>
                  <pic:blipFill>
                    <a:blip r:embed="rId2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2" name="image112.png"/>
            <a:graphic>
              <a:graphicData uri="http://schemas.openxmlformats.org/drawingml/2006/picture">
                <pic:pic>
                  <pic:nvPicPr>
                    <pic:cNvPr id="0" name="image112.png"/>
                    <pic:cNvPicPr preferRelativeResize="0"/>
                  </pic:nvPicPr>
                  <pic:blipFill>
                    <a:blip r:embed="rId2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8" name="image62.png"/>
            <a:graphic>
              <a:graphicData uri="http://schemas.openxmlformats.org/drawingml/2006/picture">
                <pic:pic>
                  <pic:nvPicPr>
                    <pic:cNvPr id="0" name="image62.png"/>
                    <pic:cNvPicPr preferRelativeResize="0"/>
                  </pic:nvPicPr>
                  <pic:blipFill>
                    <a:blip r:embed="rId2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9" name="image64.png"/>
            <a:graphic>
              <a:graphicData uri="http://schemas.openxmlformats.org/drawingml/2006/picture">
                <pic:pic>
                  <pic:nvPicPr>
                    <pic:cNvPr id="0" name="image64.png"/>
                    <pic:cNvPicPr preferRelativeResize="0"/>
                  </pic:nvPicPr>
                  <pic:blipFill>
                    <a:blip r:embed="rId2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0" name="image99.png"/>
            <a:graphic>
              <a:graphicData uri="http://schemas.openxmlformats.org/drawingml/2006/picture">
                <pic:pic>
                  <pic:nvPicPr>
                    <pic:cNvPr id="0" name="image99.png"/>
                    <pic:cNvPicPr preferRelativeResize="0"/>
                  </pic:nvPicPr>
                  <pic:blipFill>
                    <a:blip r:embed="rId2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5" name="image85.png"/>
            <a:graphic>
              <a:graphicData uri="http://schemas.openxmlformats.org/drawingml/2006/picture">
                <pic:pic>
                  <pic:nvPicPr>
                    <pic:cNvPr id="0" name="image85.png"/>
                    <pic:cNvPicPr preferRelativeResize="0"/>
                  </pic:nvPicPr>
                  <pic:blipFill>
                    <a:blip r:embed="rId2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0" name="image37.png"/>
            <a:graphic>
              <a:graphicData uri="http://schemas.openxmlformats.org/drawingml/2006/picture">
                <pic:pic>
                  <pic:nvPicPr>
                    <pic:cNvPr id="0" name="image37.png"/>
                    <pic:cNvPicPr preferRelativeResize="0"/>
                  </pic:nvPicPr>
                  <pic:blipFill>
                    <a:blip r:embed="rId2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7" name="image103.png"/>
            <a:graphic>
              <a:graphicData uri="http://schemas.openxmlformats.org/drawingml/2006/picture">
                <pic:pic>
                  <pic:nvPicPr>
                    <pic:cNvPr id="0" name="image103.png"/>
                    <pic:cNvPicPr preferRelativeResize="0"/>
                  </pic:nvPicPr>
                  <pic:blipFill>
                    <a:blip r:embed="rId2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0" name="image87.png"/>
            <a:graphic>
              <a:graphicData uri="http://schemas.openxmlformats.org/drawingml/2006/picture">
                <pic:pic>
                  <pic:nvPicPr>
                    <pic:cNvPr id="0" name="image87.png"/>
                    <pic:cNvPicPr preferRelativeResize="0"/>
                  </pic:nvPicPr>
                  <pic:blipFill>
                    <a:blip r:embed="rId2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1" name="image119.png"/>
            <a:graphic>
              <a:graphicData uri="http://schemas.openxmlformats.org/drawingml/2006/picture">
                <pic:pic>
                  <pic:nvPicPr>
                    <pic:cNvPr id="0" name="image119.png"/>
                    <pic:cNvPicPr preferRelativeResize="0"/>
                  </pic:nvPicPr>
                  <pic:blipFill>
                    <a:blip r:embed="rId3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5" name="image94.png"/>
            <a:graphic>
              <a:graphicData uri="http://schemas.openxmlformats.org/drawingml/2006/picture">
                <pic:pic>
                  <pic:nvPicPr>
                    <pic:cNvPr id="0" name="image94.png"/>
                    <pic:cNvPicPr preferRelativeResize="0"/>
                  </pic:nvPicPr>
                  <pic:blipFill>
                    <a:blip r:embed="rId3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7" name="image60.png"/>
            <a:graphic>
              <a:graphicData uri="http://schemas.openxmlformats.org/drawingml/2006/picture">
                <pic:pic>
                  <pic:nvPicPr>
                    <pic:cNvPr id="0" name="image60.png"/>
                    <pic:cNvPicPr preferRelativeResize="0"/>
                  </pic:nvPicPr>
                  <pic:blipFill>
                    <a:blip r:embed="rId3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3" name="image115.png"/>
            <a:graphic>
              <a:graphicData uri="http://schemas.openxmlformats.org/drawingml/2006/picture">
                <pic:pic>
                  <pic:nvPicPr>
                    <pic:cNvPr id="0" name="image115.png"/>
                    <pic:cNvPicPr preferRelativeResize="0"/>
                  </pic:nvPicPr>
                  <pic:blipFill>
                    <a:blip r:embed="rId3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8" name="image74.png"/>
            <a:graphic>
              <a:graphicData uri="http://schemas.openxmlformats.org/drawingml/2006/picture">
                <pic:pic>
                  <pic:nvPicPr>
                    <pic:cNvPr id="0" name="image74.png"/>
                    <pic:cNvPicPr preferRelativeResize="0"/>
                  </pic:nvPicPr>
                  <pic:blipFill>
                    <a:blip r:embed="rId3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6" name="image65.png"/>
            <a:graphic>
              <a:graphicData uri="http://schemas.openxmlformats.org/drawingml/2006/picture">
                <pic:pic>
                  <pic:nvPicPr>
                    <pic:cNvPr id="0" name="image65.png"/>
                    <pic:cNvPicPr preferRelativeResize="0"/>
                  </pic:nvPicPr>
                  <pic:blipFill>
                    <a:blip r:embed="rId3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2"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9" name="image6.png"/>
            <a:graphic>
              <a:graphicData uri="http://schemas.openxmlformats.org/drawingml/2006/picture">
                <pic:pic>
                  <pic:nvPicPr>
                    <pic:cNvPr id="0" name="image6.png"/>
                    <pic:cNvPicPr preferRelativeResize="0"/>
                  </pic:nvPicPr>
                  <pic:blipFill>
                    <a:blip r:embed="rId3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 name="image9.png"/>
            <a:graphic>
              <a:graphicData uri="http://schemas.openxmlformats.org/drawingml/2006/picture">
                <pic:pic>
                  <pic:nvPicPr>
                    <pic:cNvPr id="0" name="image9.png"/>
                    <pic:cNvPicPr preferRelativeResize="0"/>
                  </pic:nvPicPr>
                  <pic:blipFill>
                    <a:blip r:embed="rId3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2" name="image51.png"/>
            <a:graphic>
              <a:graphicData uri="http://schemas.openxmlformats.org/drawingml/2006/picture">
                <pic:pic>
                  <pic:nvPicPr>
                    <pic:cNvPr id="0" name="image51.png"/>
                    <pic:cNvPicPr preferRelativeResize="0"/>
                  </pic:nvPicPr>
                  <pic:blipFill>
                    <a:blip r:embed="rId3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 name="image11.png"/>
            <a:graphic>
              <a:graphicData uri="http://schemas.openxmlformats.org/drawingml/2006/picture">
                <pic:pic>
                  <pic:nvPicPr>
                    <pic:cNvPr id="0" name="image11.png"/>
                    <pic:cNvPicPr preferRelativeResize="0"/>
                  </pic:nvPicPr>
                  <pic:blipFill>
                    <a:blip r:embed="rId4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6" name="image95.png"/>
            <a:graphic>
              <a:graphicData uri="http://schemas.openxmlformats.org/drawingml/2006/picture">
                <pic:pic>
                  <pic:nvPicPr>
                    <pic:cNvPr id="0" name="image95.png"/>
                    <pic:cNvPicPr preferRelativeResize="0"/>
                  </pic:nvPicPr>
                  <pic:blipFill>
                    <a:blip r:embed="rId4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9" name="image83.png"/>
            <a:graphic>
              <a:graphicData uri="http://schemas.openxmlformats.org/drawingml/2006/picture">
                <pic:pic>
                  <pic:nvPicPr>
                    <pic:cNvPr id="0" name="image83.png"/>
                    <pic:cNvPicPr preferRelativeResize="0"/>
                  </pic:nvPicPr>
                  <pic:blipFill>
                    <a:blip r:embed="rId4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4" name="image2.png"/>
            <a:graphic>
              <a:graphicData uri="http://schemas.openxmlformats.org/drawingml/2006/picture">
                <pic:pic>
                  <pic:nvPicPr>
                    <pic:cNvPr id="0" name="image2.png"/>
                    <pic:cNvPicPr preferRelativeResize="0"/>
                  </pic:nvPicPr>
                  <pic:blipFill>
                    <a:blip r:embed="rId4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 name="image3.png"/>
            <a:graphic>
              <a:graphicData uri="http://schemas.openxmlformats.org/drawingml/2006/picture">
                <pic:pic>
                  <pic:nvPicPr>
                    <pic:cNvPr id="0" name="image3.png"/>
                    <pic:cNvPicPr preferRelativeResize="0"/>
                  </pic:nvPicPr>
                  <pic:blipFill>
                    <a:blip r:embed="rId4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7" name="image63.png"/>
            <a:graphic>
              <a:graphicData uri="http://schemas.openxmlformats.org/drawingml/2006/picture">
                <pic:pic>
                  <pic:nvPicPr>
                    <pic:cNvPr id="0" name="image63.png"/>
                    <pic:cNvPicPr preferRelativeResize="0"/>
                  </pic:nvPicPr>
                  <pic:blipFill>
                    <a:blip r:embed="rId4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2" name="image70.png"/>
            <a:graphic>
              <a:graphicData uri="http://schemas.openxmlformats.org/drawingml/2006/picture">
                <pic:pic>
                  <pic:nvPicPr>
                    <pic:cNvPr id="0" name="image70.png"/>
                    <pic:cNvPicPr preferRelativeResize="0"/>
                  </pic:nvPicPr>
                  <pic:blipFill>
                    <a:blip r:embed="rId4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5" name="image22.png"/>
            <a:graphic>
              <a:graphicData uri="http://schemas.openxmlformats.org/drawingml/2006/picture">
                <pic:pic>
                  <pic:nvPicPr>
                    <pic:cNvPr id="0" name="image22.png"/>
                    <pic:cNvPicPr preferRelativeResize="0"/>
                  </pic:nvPicPr>
                  <pic:blipFill>
                    <a:blip r:embed="rId4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3" name="image4.png"/>
            <a:graphic>
              <a:graphicData uri="http://schemas.openxmlformats.org/drawingml/2006/picture">
                <pic:pic>
                  <pic:nvPicPr>
                    <pic:cNvPr id="0" name="image4.png"/>
                    <pic:cNvPicPr preferRelativeResize="0"/>
                  </pic:nvPicPr>
                  <pic:blipFill>
                    <a:blip r:embed="rId4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8" name="image7.png"/>
            <a:graphic>
              <a:graphicData uri="http://schemas.openxmlformats.org/drawingml/2006/picture">
                <pic:pic>
                  <pic:nvPicPr>
                    <pic:cNvPr id="0" name="image7.png"/>
                    <pic:cNvPicPr preferRelativeResize="0"/>
                  </pic:nvPicPr>
                  <pic:blipFill>
                    <a:blip r:embed="rId4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2" name="image50.png"/>
            <a:graphic>
              <a:graphicData uri="http://schemas.openxmlformats.org/drawingml/2006/picture">
                <pic:pic>
                  <pic:nvPicPr>
                    <pic:cNvPr id="0" name="image50.png"/>
                    <pic:cNvPicPr preferRelativeResize="0"/>
                  </pic:nvPicPr>
                  <pic:blipFill>
                    <a:blip r:embed="rId5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5" name="image113.png"/>
            <a:graphic>
              <a:graphicData uri="http://schemas.openxmlformats.org/drawingml/2006/picture">
                <pic:pic>
                  <pic:nvPicPr>
                    <pic:cNvPr id="0" name="image113.png"/>
                    <pic:cNvPicPr preferRelativeResize="0"/>
                  </pic:nvPicPr>
                  <pic:blipFill>
                    <a:blip r:embed="rId5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4" name="image25.png"/>
            <a:graphic>
              <a:graphicData uri="http://schemas.openxmlformats.org/drawingml/2006/picture">
                <pic:pic>
                  <pic:nvPicPr>
                    <pic:cNvPr id="0" name="image25.png"/>
                    <pic:cNvPicPr preferRelativeResize="0"/>
                  </pic:nvPicPr>
                  <pic:blipFill>
                    <a:blip r:embed="rId5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2" name="image107.png"/>
            <a:graphic>
              <a:graphicData uri="http://schemas.openxmlformats.org/drawingml/2006/picture">
                <pic:pic>
                  <pic:nvPicPr>
                    <pic:cNvPr id="0" name="image107.png"/>
                    <pic:cNvPicPr preferRelativeResize="0"/>
                  </pic:nvPicPr>
                  <pic:blipFill>
                    <a:blip r:embed="rId5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7" name="image98.png"/>
            <a:graphic>
              <a:graphicData uri="http://schemas.openxmlformats.org/drawingml/2006/picture">
                <pic:pic>
                  <pic:nvPicPr>
                    <pic:cNvPr id="0" name="image98.png"/>
                    <pic:cNvPicPr preferRelativeResize="0"/>
                  </pic:nvPicPr>
                  <pic:blipFill>
                    <a:blip r:embed="rId5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7" name="image86.png"/>
            <a:graphic>
              <a:graphicData uri="http://schemas.openxmlformats.org/drawingml/2006/picture">
                <pic:pic>
                  <pic:nvPicPr>
                    <pic:cNvPr id="0" name="image86.png"/>
                    <pic:cNvPicPr preferRelativeResize="0"/>
                  </pic:nvPicPr>
                  <pic:blipFill>
                    <a:blip r:embed="rId5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8" name="image92.png"/>
            <a:graphic>
              <a:graphicData uri="http://schemas.openxmlformats.org/drawingml/2006/picture">
                <pic:pic>
                  <pic:nvPicPr>
                    <pic:cNvPr id="0" name="image92.png"/>
                    <pic:cNvPicPr preferRelativeResize="0"/>
                  </pic:nvPicPr>
                  <pic:blipFill>
                    <a:blip r:embed="rId5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4" name="image30.png"/>
            <a:graphic>
              <a:graphicData uri="http://schemas.openxmlformats.org/drawingml/2006/picture">
                <pic:pic>
                  <pic:nvPicPr>
                    <pic:cNvPr id="0" name="image30.png"/>
                    <pic:cNvPicPr preferRelativeResize="0"/>
                  </pic:nvPicPr>
                  <pic:blipFill>
                    <a:blip r:embed="rId5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0" name="image28.png"/>
            <a:graphic>
              <a:graphicData uri="http://schemas.openxmlformats.org/drawingml/2006/picture">
                <pic:pic>
                  <pic:nvPicPr>
                    <pic:cNvPr id="0" name="image28.png"/>
                    <pic:cNvPicPr preferRelativeResize="0"/>
                  </pic:nvPicPr>
                  <pic:blipFill>
                    <a:blip r:embed="rId5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3" name="image79.png"/>
            <a:graphic>
              <a:graphicData uri="http://schemas.openxmlformats.org/drawingml/2006/picture">
                <pic:pic>
                  <pic:nvPicPr>
                    <pic:cNvPr id="0" name="image79.png"/>
                    <pic:cNvPicPr preferRelativeResize="0"/>
                  </pic:nvPicPr>
                  <pic:blipFill>
                    <a:blip r:embed="rId5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7" name="image42.png"/>
            <a:graphic>
              <a:graphicData uri="http://schemas.openxmlformats.org/drawingml/2006/picture">
                <pic:pic>
                  <pic:nvPicPr>
                    <pic:cNvPr id="0" name="image42.png"/>
                    <pic:cNvPicPr preferRelativeResize="0"/>
                  </pic:nvPicPr>
                  <pic:blipFill>
                    <a:blip r:embed="rId6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3" name="image68.png"/>
            <a:graphic>
              <a:graphicData uri="http://schemas.openxmlformats.org/drawingml/2006/picture">
                <pic:pic>
                  <pic:nvPicPr>
                    <pic:cNvPr id="0" name="image68.png"/>
                    <pic:cNvPicPr preferRelativeResize="0"/>
                  </pic:nvPicPr>
                  <pic:blipFill>
                    <a:blip r:embed="rId6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0" name="image80.png"/>
            <a:graphic>
              <a:graphicData uri="http://schemas.openxmlformats.org/drawingml/2006/picture">
                <pic:pic>
                  <pic:nvPicPr>
                    <pic:cNvPr id="0" name="image80.png"/>
                    <pic:cNvPicPr preferRelativeResize="0"/>
                  </pic:nvPicPr>
                  <pic:blipFill>
                    <a:blip r:embed="rId6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0" name="image33.png"/>
            <a:graphic>
              <a:graphicData uri="http://schemas.openxmlformats.org/drawingml/2006/picture">
                <pic:pic>
                  <pic:nvPicPr>
                    <pic:cNvPr id="0" name="image33.png"/>
                    <pic:cNvPicPr preferRelativeResize="0"/>
                  </pic:nvPicPr>
                  <pic:blipFill>
                    <a:blip r:embed="rId6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7" name="image8.png"/>
            <a:graphic>
              <a:graphicData uri="http://schemas.openxmlformats.org/drawingml/2006/picture">
                <pic:pic>
                  <pic:nvPicPr>
                    <pic:cNvPr id="0" name="image8.png"/>
                    <pic:cNvPicPr preferRelativeResize="0"/>
                  </pic:nvPicPr>
                  <pic:blipFill>
                    <a:blip r:embed="rId6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0" name="image55.png"/>
            <a:graphic>
              <a:graphicData uri="http://schemas.openxmlformats.org/drawingml/2006/picture">
                <pic:pic>
                  <pic:nvPicPr>
                    <pic:cNvPr id="0" name="image55.png"/>
                    <pic:cNvPicPr preferRelativeResize="0"/>
                  </pic:nvPicPr>
                  <pic:blipFill>
                    <a:blip r:embed="rId6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1" name="image48.png"/>
            <a:graphic>
              <a:graphicData uri="http://schemas.openxmlformats.org/drawingml/2006/picture">
                <pic:pic>
                  <pic:nvPicPr>
                    <pic:cNvPr id="0" name="image48.png"/>
                    <pic:cNvPicPr preferRelativeResize="0"/>
                  </pic:nvPicPr>
                  <pic:blipFill>
                    <a:blip r:embed="rId6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1" name="image53.png"/>
            <a:graphic>
              <a:graphicData uri="http://schemas.openxmlformats.org/drawingml/2006/picture">
                <pic:pic>
                  <pic:nvPicPr>
                    <pic:cNvPr id="0" name="image53.png"/>
                    <pic:cNvPicPr preferRelativeResize="0"/>
                  </pic:nvPicPr>
                  <pic:blipFill>
                    <a:blip r:embed="rId6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3" name="image102.png"/>
            <a:graphic>
              <a:graphicData uri="http://schemas.openxmlformats.org/drawingml/2006/picture">
                <pic:pic>
                  <pic:nvPicPr>
                    <pic:cNvPr id="0" name="image102.png"/>
                    <pic:cNvPicPr preferRelativeResize="0"/>
                  </pic:nvPicPr>
                  <pic:blipFill>
                    <a:blip r:embed="rId6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6" name="image20.png"/>
            <a:graphic>
              <a:graphicData uri="http://schemas.openxmlformats.org/drawingml/2006/picture">
                <pic:pic>
                  <pic:nvPicPr>
                    <pic:cNvPr id="0" name="image20.png"/>
                    <pic:cNvPicPr preferRelativeResize="0"/>
                  </pic:nvPicPr>
                  <pic:blipFill>
                    <a:blip r:embed="rId6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2" name="image81.png"/>
            <a:graphic>
              <a:graphicData uri="http://schemas.openxmlformats.org/drawingml/2006/picture">
                <pic:pic>
                  <pic:nvPicPr>
                    <pic:cNvPr id="0" name="image81.png"/>
                    <pic:cNvPicPr preferRelativeResize="0"/>
                  </pic:nvPicPr>
                  <pic:blipFill>
                    <a:blip r:embed="rId7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9" name="image40.png"/>
            <a:graphic>
              <a:graphicData uri="http://schemas.openxmlformats.org/drawingml/2006/picture">
                <pic:pic>
                  <pic:nvPicPr>
                    <pic:cNvPr id="0" name="image40.png"/>
                    <pic:cNvPicPr preferRelativeResize="0"/>
                  </pic:nvPicPr>
                  <pic:blipFill>
                    <a:blip r:embed="rId7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6" name="image77.png"/>
            <a:graphic>
              <a:graphicData uri="http://schemas.openxmlformats.org/drawingml/2006/picture">
                <pic:pic>
                  <pic:nvPicPr>
                    <pic:cNvPr id="0" name="image77.png"/>
                    <pic:cNvPicPr preferRelativeResize="0"/>
                  </pic:nvPicPr>
                  <pic:blipFill>
                    <a:blip r:embed="rId7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5" name="image59.png"/>
            <a:graphic>
              <a:graphicData uri="http://schemas.openxmlformats.org/drawingml/2006/picture">
                <pic:pic>
                  <pic:nvPicPr>
                    <pic:cNvPr id="0" name="image59.png"/>
                    <pic:cNvPicPr preferRelativeResize="0"/>
                  </pic:nvPicPr>
                  <pic:blipFill>
                    <a:blip r:embed="rId7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7" name="image114.png"/>
            <a:graphic>
              <a:graphicData uri="http://schemas.openxmlformats.org/drawingml/2006/picture">
                <pic:pic>
                  <pic:nvPicPr>
                    <pic:cNvPr id="0" name="image114.png"/>
                    <pic:cNvPicPr preferRelativeResize="0"/>
                  </pic:nvPicPr>
                  <pic:blipFill>
                    <a:blip r:embed="rId7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0" name="image71.png"/>
            <a:graphic>
              <a:graphicData uri="http://schemas.openxmlformats.org/drawingml/2006/picture">
                <pic:pic>
                  <pic:nvPicPr>
                    <pic:cNvPr id="0" name="image71.png"/>
                    <pic:cNvPicPr preferRelativeResize="0"/>
                  </pic:nvPicPr>
                  <pic:blipFill>
                    <a:blip r:embed="rId7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8" name="image41.png"/>
            <a:graphic>
              <a:graphicData uri="http://schemas.openxmlformats.org/drawingml/2006/picture">
                <pic:pic>
                  <pic:nvPicPr>
                    <pic:cNvPr id="0" name="image41.png"/>
                    <pic:cNvPicPr preferRelativeResize="0"/>
                  </pic:nvPicPr>
                  <pic:blipFill>
                    <a:blip r:embed="rId7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5" name="image34.png"/>
            <a:graphic>
              <a:graphicData uri="http://schemas.openxmlformats.org/drawingml/2006/picture">
                <pic:pic>
                  <pic:nvPicPr>
                    <pic:cNvPr id="0" name="image34.png"/>
                    <pic:cNvPicPr preferRelativeResize="0"/>
                  </pic:nvPicPr>
                  <pic:blipFill>
                    <a:blip r:embed="rId7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6" name="image123.png"/>
            <a:graphic>
              <a:graphicData uri="http://schemas.openxmlformats.org/drawingml/2006/picture">
                <pic:pic>
                  <pic:nvPicPr>
                    <pic:cNvPr id="0" name="image123.png"/>
                    <pic:cNvPicPr preferRelativeResize="0"/>
                  </pic:nvPicPr>
                  <pic:blipFill>
                    <a:blip r:embed="rId7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2" name="image88.png"/>
            <a:graphic>
              <a:graphicData uri="http://schemas.openxmlformats.org/drawingml/2006/picture">
                <pic:pic>
                  <pic:nvPicPr>
                    <pic:cNvPr id="0" name="image88.png"/>
                    <pic:cNvPicPr preferRelativeResize="0"/>
                  </pic:nvPicPr>
                  <pic:blipFill>
                    <a:blip r:embed="rId7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7" name="image26.png"/>
            <a:graphic>
              <a:graphicData uri="http://schemas.openxmlformats.org/drawingml/2006/picture">
                <pic:pic>
                  <pic:nvPicPr>
                    <pic:cNvPr id="0" name="image26.png"/>
                    <pic:cNvPicPr preferRelativeResize="0"/>
                  </pic:nvPicPr>
                  <pic:blipFill>
                    <a:blip r:embed="rId8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8" name="image27.png"/>
            <a:graphic>
              <a:graphicData uri="http://schemas.openxmlformats.org/drawingml/2006/picture">
                <pic:pic>
                  <pic:nvPicPr>
                    <pic:cNvPr id="0" name="image27.png"/>
                    <pic:cNvPicPr preferRelativeResize="0"/>
                  </pic:nvPicPr>
                  <pic:blipFill>
                    <a:blip r:embed="rId8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8" name="image101.png"/>
            <a:graphic>
              <a:graphicData uri="http://schemas.openxmlformats.org/drawingml/2006/picture">
                <pic:pic>
                  <pic:nvPicPr>
                    <pic:cNvPr id="0" name="image101.png"/>
                    <pic:cNvPicPr preferRelativeResize="0"/>
                  </pic:nvPicPr>
                  <pic:blipFill>
                    <a:blip r:embed="rId8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4" name="image45.png"/>
            <a:graphic>
              <a:graphicData uri="http://schemas.openxmlformats.org/drawingml/2006/picture">
                <pic:pic>
                  <pic:nvPicPr>
                    <pic:cNvPr id="0" name="image45.png"/>
                    <pic:cNvPicPr preferRelativeResize="0"/>
                  </pic:nvPicPr>
                  <pic:blipFill>
                    <a:blip r:embed="rId8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1" name="image21.png"/>
            <a:graphic>
              <a:graphicData uri="http://schemas.openxmlformats.org/drawingml/2006/picture">
                <pic:pic>
                  <pic:nvPicPr>
                    <pic:cNvPr id="0" name="image21.png"/>
                    <pic:cNvPicPr preferRelativeResize="0"/>
                  </pic:nvPicPr>
                  <pic:blipFill>
                    <a:blip r:embed="rId8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5" name="image47.png"/>
            <a:graphic>
              <a:graphicData uri="http://schemas.openxmlformats.org/drawingml/2006/picture">
                <pic:pic>
                  <pic:nvPicPr>
                    <pic:cNvPr id="0" name="image47.png"/>
                    <pic:cNvPicPr preferRelativeResize="0"/>
                  </pic:nvPicPr>
                  <pic:blipFill>
                    <a:blip r:embed="rId8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3" name="image90.png"/>
            <a:graphic>
              <a:graphicData uri="http://schemas.openxmlformats.org/drawingml/2006/picture">
                <pic:pic>
                  <pic:nvPicPr>
                    <pic:cNvPr id="0" name="image90.png"/>
                    <pic:cNvPicPr preferRelativeResize="0"/>
                  </pic:nvPicPr>
                  <pic:blipFill>
                    <a:blip r:embed="rId8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3" name="image19.png"/>
            <a:graphic>
              <a:graphicData uri="http://schemas.openxmlformats.org/drawingml/2006/picture">
                <pic:pic>
                  <pic:nvPicPr>
                    <pic:cNvPr id="0" name="image19.png"/>
                    <pic:cNvPicPr preferRelativeResize="0"/>
                  </pic:nvPicPr>
                  <pic:blipFill>
                    <a:blip r:embed="rId8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0" name="image91.png"/>
            <a:graphic>
              <a:graphicData uri="http://schemas.openxmlformats.org/drawingml/2006/picture">
                <pic:pic>
                  <pic:nvPicPr>
                    <pic:cNvPr id="0" name="image91.png"/>
                    <pic:cNvPicPr preferRelativeResize="0"/>
                  </pic:nvPicPr>
                  <pic:blipFill>
                    <a:blip r:embed="rId8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1" name="image104.png"/>
            <a:graphic>
              <a:graphicData uri="http://schemas.openxmlformats.org/drawingml/2006/picture">
                <pic:pic>
                  <pic:nvPicPr>
                    <pic:cNvPr id="0" name="image104.png"/>
                    <pic:cNvPicPr preferRelativeResize="0"/>
                  </pic:nvPicPr>
                  <pic:blipFill>
                    <a:blip r:embed="rId8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6" name="image46.png"/>
            <a:graphic>
              <a:graphicData uri="http://schemas.openxmlformats.org/drawingml/2006/picture">
                <pic:pic>
                  <pic:nvPicPr>
                    <pic:cNvPr id="0" name="image46.png"/>
                    <pic:cNvPicPr preferRelativeResize="0"/>
                  </pic:nvPicPr>
                  <pic:blipFill>
                    <a:blip r:embed="rId9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3" name="image100.png"/>
            <a:graphic>
              <a:graphicData uri="http://schemas.openxmlformats.org/drawingml/2006/picture">
                <pic:pic>
                  <pic:nvPicPr>
                    <pic:cNvPr id="0" name="image100.png"/>
                    <pic:cNvPicPr preferRelativeResize="0"/>
                  </pic:nvPicPr>
                  <pic:blipFill>
                    <a:blip r:embed="rId9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0" name="image117.png"/>
            <a:graphic>
              <a:graphicData uri="http://schemas.openxmlformats.org/drawingml/2006/picture">
                <pic:pic>
                  <pic:nvPicPr>
                    <pic:cNvPr id="0" name="image117.png"/>
                    <pic:cNvPicPr preferRelativeResize="0"/>
                  </pic:nvPicPr>
                  <pic:blipFill>
                    <a:blip r:embed="rId9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5" name="image108.png"/>
            <a:graphic>
              <a:graphicData uri="http://schemas.openxmlformats.org/drawingml/2006/picture">
                <pic:pic>
                  <pic:nvPicPr>
                    <pic:cNvPr id="0" name="image108.png"/>
                    <pic:cNvPicPr preferRelativeResize="0"/>
                  </pic:nvPicPr>
                  <pic:blipFill>
                    <a:blip r:embed="rId9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7" name="image49.png"/>
            <a:graphic>
              <a:graphicData uri="http://schemas.openxmlformats.org/drawingml/2006/picture">
                <pic:pic>
                  <pic:nvPicPr>
                    <pic:cNvPr id="0" name="image49.png"/>
                    <pic:cNvPicPr preferRelativeResize="0"/>
                  </pic:nvPicPr>
                  <pic:blipFill>
                    <a:blip r:embed="rId9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9" name="image82.png"/>
            <a:graphic>
              <a:graphicData uri="http://schemas.openxmlformats.org/drawingml/2006/picture">
                <pic:pic>
                  <pic:nvPicPr>
                    <pic:cNvPr id="0" name="image82.png"/>
                    <pic:cNvPicPr preferRelativeResize="0"/>
                  </pic:nvPicPr>
                  <pic:blipFill>
                    <a:blip r:embed="rId9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1" name="image39.png"/>
            <a:graphic>
              <a:graphicData uri="http://schemas.openxmlformats.org/drawingml/2006/picture">
                <pic:pic>
                  <pic:nvPicPr>
                    <pic:cNvPr id="0" name="image39.png"/>
                    <pic:cNvPicPr preferRelativeResize="0"/>
                  </pic:nvPicPr>
                  <pic:blipFill>
                    <a:blip r:embed="rId9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 name="image10.png"/>
            <a:graphic>
              <a:graphicData uri="http://schemas.openxmlformats.org/drawingml/2006/picture">
                <pic:pic>
                  <pic:nvPicPr>
                    <pic:cNvPr id="0" name="image10.png"/>
                    <pic:cNvPicPr preferRelativeResize="0"/>
                  </pic:nvPicPr>
                  <pic:blipFill>
                    <a:blip r:embed="rId9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1" name="image84.png"/>
            <a:graphic>
              <a:graphicData uri="http://schemas.openxmlformats.org/drawingml/2006/picture">
                <pic:pic>
                  <pic:nvPicPr>
                    <pic:cNvPr id="0" name="image84.png"/>
                    <pic:cNvPicPr preferRelativeResize="0"/>
                  </pic:nvPicPr>
                  <pic:blipFill>
                    <a:blip r:embed="rId9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9" name="image23.png"/>
            <a:graphic>
              <a:graphicData uri="http://schemas.openxmlformats.org/drawingml/2006/picture">
                <pic:pic>
                  <pic:nvPicPr>
                    <pic:cNvPr id="0" name="image23.png"/>
                    <pic:cNvPicPr preferRelativeResize="0"/>
                  </pic:nvPicPr>
                  <pic:blipFill>
                    <a:blip r:embed="rId9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25" name="image120.png"/>
            <a:graphic>
              <a:graphicData uri="http://schemas.openxmlformats.org/drawingml/2006/picture">
                <pic:pic>
                  <pic:nvPicPr>
                    <pic:cNvPr id="0" name="image120.png"/>
                    <pic:cNvPicPr preferRelativeResize="0"/>
                  </pic:nvPicPr>
                  <pic:blipFill>
                    <a:blip r:embed="rId10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9" name="image52.png"/>
            <a:graphic>
              <a:graphicData uri="http://schemas.openxmlformats.org/drawingml/2006/picture">
                <pic:pic>
                  <pic:nvPicPr>
                    <pic:cNvPr id="0" name="image52.png"/>
                    <pic:cNvPicPr preferRelativeResize="0"/>
                  </pic:nvPicPr>
                  <pic:blipFill>
                    <a:blip r:embed="rId10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9" name="image110.png"/>
            <a:graphic>
              <a:graphicData uri="http://schemas.openxmlformats.org/drawingml/2006/picture">
                <pic:pic>
                  <pic:nvPicPr>
                    <pic:cNvPr id="0" name="image110.png"/>
                    <pic:cNvPicPr preferRelativeResize="0"/>
                  </pic:nvPicPr>
                  <pic:blipFill>
                    <a:blip r:embed="rId10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9" name="image111.png"/>
            <a:graphic>
              <a:graphicData uri="http://schemas.openxmlformats.org/drawingml/2006/picture">
                <pic:pic>
                  <pic:nvPicPr>
                    <pic:cNvPr id="0" name="image111.png"/>
                    <pic:cNvPicPr preferRelativeResize="0"/>
                  </pic:nvPicPr>
                  <pic:blipFill>
                    <a:blip r:embed="rId10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3" name="image43.png"/>
            <a:graphic>
              <a:graphicData uri="http://schemas.openxmlformats.org/drawingml/2006/picture">
                <pic:pic>
                  <pic:nvPicPr>
                    <pic:cNvPr id="0" name="image43.png"/>
                    <pic:cNvPicPr preferRelativeResize="0"/>
                  </pic:nvPicPr>
                  <pic:blipFill>
                    <a:blip r:embed="rId10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3" name="image17.png"/>
            <a:graphic>
              <a:graphicData uri="http://schemas.openxmlformats.org/drawingml/2006/picture">
                <pic:pic>
                  <pic:nvPicPr>
                    <pic:cNvPr id="0" name="image17.png"/>
                    <pic:cNvPicPr preferRelativeResize="0"/>
                  </pic:nvPicPr>
                  <pic:blipFill>
                    <a:blip r:embed="rId10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9" name="image12.png"/>
            <a:graphic>
              <a:graphicData uri="http://schemas.openxmlformats.org/drawingml/2006/picture">
                <pic:pic>
                  <pic:nvPicPr>
                    <pic:cNvPr id="0" name="image12.png"/>
                    <pic:cNvPicPr preferRelativeResize="0"/>
                  </pic:nvPicPr>
                  <pic:blipFill>
                    <a:blip r:embed="rId10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66" name="image58.png"/>
            <a:graphic>
              <a:graphicData uri="http://schemas.openxmlformats.org/drawingml/2006/picture">
                <pic:pic>
                  <pic:nvPicPr>
                    <pic:cNvPr id="0" name="image58.png"/>
                    <pic:cNvPicPr preferRelativeResize="0"/>
                  </pic:nvPicPr>
                  <pic:blipFill>
                    <a:blip r:embed="rId10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2" name="image35.png"/>
            <a:graphic>
              <a:graphicData uri="http://schemas.openxmlformats.org/drawingml/2006/picture">
                <pic:pic>
                  <pic:nvPicPr>
                    <pic:cNvPr id="0" name="image35.png"/>
                    <pic:cNvPicPr preferRelativeResize="0"/>
                  </pic:nvPicPr>
                  <pic:blipFill>
                    <a:blip r:embed="rId10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7" name="image32.png"/>
            <a:graphic>
              <a:graphicData uri="http://schemas.openxmlformats.org/drawingml/2006/picture">
                <pic:pic>
                  <pic:nvPicPr>
                    <pic:cNvPr id="0" name="image32.png"/>
                    <pic:cNvPicPr preferRelativeResize="0"/>
                  </pic:nvPicPr>
                  <pic:blipFill>
                    <a:blip r:embed="rId10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0" name="image5.png"/>
            <a:graphic>
              <a:graphicData uri="http://schemas.openxmlformats.org/drawingml/2006/picture">
                <pic:pic>
                  <pic:nvPicPr>
                    <pic:cNvPr id="0" name="image5.png"/>
                    <pic:cNvPicPr preferRelativeResize="0"/>
                  </pic:nvPicPr>
                  <pic:blipFill>
                    <a:blip r:embed="rId11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5" name="image1.png"/>
            <a:graphic>
              <a:graphicData uri="http://schemas.openxmlformats.org/drawingml/2006/picture">
                <pic:pic>
                  <pic:nvPicPr>
                    <pic:cNvPr id="0" name="image1.png"/>
                    <pic:cNvPicPr preferRelativeResize="0"/>
                  </pic:nvPicPr>
                  <pic:blipFill>
                    <a:blip r:embed="rId11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9" name="image56.png"/>
            <a:graphic>
              <a:graphicData uri="http://schemas.openxmlformats.org/drawingml/2006/picture">
                <pic:pic>
                  <pic:nvPicPr>
                    <pic:cNvPr id="0" name="image56.png"/>
                    <pic:cNvPicPr preferRelativeResize="0"/>
                  </pic:nvPicPr>
                  <pic:blipFill>
                    <a:blip r:embed="rId112"/>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8" name="image93.png"/>
            <a:graphic>
              <a:graphicData uri="http://schemas.openxmlformats.org/drawingml/2006/picture">
                <pic:pic>
                  <pic:nvPicPr>
                    <pic:cNvPr id="0" name="image93.png"/>
                    <pic:cNvPicPr preferRelativeResize="0"/>
                  </pic:nvPicPr>
                  <pic:blipFill>
                    <a:blip r:embed="rId113"/>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1" name="image76.png"/>
            <a:graphic>
              <a:graphicData uri="http://schemas.openxmlformats.org/drawingml/2006/picture">
                <pic:pic>
                  <pic:nvPicPr>
                    <pic:cNvPr id="0" name="image76.png"/>
                    <pic:cNvPicPr preferRelativeResize="0"/>
                  </pic:nvPicPr>
                  <pic:blipFill>
                    <a:blip r:embed="rId114"/>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20" name="image13.png"/>
            <a:graphic>
              <a:graphicData uri="http://schemas.openxmlformats.org/drawingml/2006/picture">
                <pic:pic>
                  <pic:nvPicPr>
                    <pic:cNvPr id="0" name="image13.png"/>
                    <pic:cNvPicPr preferRelativeResize="0"/>
                  </pic:nvPicPr>
                  <pic:blipFill>
                    <a:blip r:embed="rId115"/>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83" name="image78.png"/>
            <a:graphic>
              <a:graphicData uri="http://schemas.openxmlformats.org/drawingml/2006/picture">
                <pic:pic>
                  <pic:nvPicPr>
                    <pic:cNvPr id="0" name="image78.png"/>
                    <pic:cNvPicPr preferRelativeResize="0"/>
                  </pic:nvPicPr>
                  <pic:blipFill>
                    <a:blip r:embed="rId116"/>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5" name="image15.png"/>
            <a:graphic>
              <a:graphicData uri="http://schemas.openxmlformats.org/drawingml/2006/picture">
                <pic:pic>
                  <pic:nvPicPr>
                    <pic:cNvPr id="0" name="image15.png"/>
                    <pic:cNvPicPr preferRelativeResize="0"/>
                  </pic:nvPicPr>
                  <pic:blipFill>
                    <a:blip r:embed="rId117"/>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2" name="image18.png"/>
            <a:graphic>
              <a:graphicData uri="http://schemas.openxmlformats.org/drawingml/2006/picture">
                <pic:pic>
                  <pic:nvPicPr>
                    <pic:cNvPr id="0" name="image18.png"/>
                    <pic:cNvPicPr preferRelativeResize="0"/>
                  </pic:nvPicPr>
                  <pic:blipFill>
                    <a:blip r:embed="rId118"/>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114" name="image109.png"/>
            <a:graphic>
              <a:graphicData uri="http://schemas.openxmlformats.org/drawingml/2006/picture">
                <pic:pic>
                  <pic:nvPicPr>
                    <pic:cNvPr id="0" name="image109.png"/>
                    <pic:cNvPicPr preferRelativeResize="0"/>
                  </pic:nvPicPr>
                  <pic:blipFill>
                    <a:blip r:embed="rId119"/>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36" name="image36.png"/>
            <a:graphic>
              <a:graphicData uri="http://schemas.openxmlformats.org/drawingml/2006/picture">
                <pic:pic>
                  <pic:nvPicPr>
                    <pic:cNvPr id="0" name="image36.png"/>
                    <pic:cNvPicPr preferRelativeResize="0"/>
                  </pic:nvPicPr>
                  <pic:blipFill>
                    <a:blip r:embed="rId120"/>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4" name="image14.png"/>
            <a:graphic>
              <a:graphicData uri="http://schemas.openxmlformats.org/drawingml/2006/picture">
                <pic:pic>
                  <pic:nvPicPr>
                    <pic:cNvPr id="0" name="image14.png"/>
                    <pic:cNvPicPr preferRelativeResize="0"/>
                  </pic:nvPicPr>
                  <pic:blipFill>
                    <a:blip r:embed="rId121"/>
                    <a:srcRect b="0" l="0" r="0" t="0"/>
                    <a:stretch>
                      <a:fillRect/>
                    </a:stretch>
                  </pic:blipFill>
                  <pic:spPr>
                    <a:xfrm>
                      <a:off x="0" y="0"/>
                      <a:ext cx="5731200" cy="9144000"/>
                    </a:xfrm>
                    <a:prstGeom prst="rect"/>
                    <a:ln/>
                  </pic:spPr>
                </pic:pic>
              </a:graphicData>
            </a:graphic>
          </wp:inline>
        </w:drawing>
      </w:r>
      <w:r w:rsidDel="00000000" w:rsidR="00000000" w:rsidRPr="00000000">
        <w:rPr/>
        <w:drawing>
          <wp:inline distB="114300" distT="114300" distL="114300" distR="114300">
            <wp:extent cx="5731200" cy="9144000"/>
            <wp:effectExtent b="0" l="0" r="0" t="0"/>
            <wp:docPr id="74" name="image61.png"/>
            <a:graphic>
              <a:graphicData uri="http://schemas.openxmlformats.org/drawingml/2006/picture">
                <pic:pic>
                  <pic:nvPicPr>
                    <pic:cNvPr id="0" name="image61.png"/>
                    <pic:cNvPicPr preferRelativeResize="0"/>
                  </pic:nvPicPr>
                  <pic:blipFill>
                    <a:blip r:embed="rId122"/>
                    <a:srcRect b="0" l="0" r="0" t="0"/>
                    <a:stretch>
                      <a:fillRect/>
                    </a:stretch>
                  </pic:blipFill>
                  <pic:spPr>
                    <a:xfrm>
                      <a:off x="0" y="0"/>
                      <a:ext cx="5731200" cy="9144000"/>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pStyle w:val="Heading2"/>
        <w:rPr/>
      </w:pPr>
      <w:bookmarkStart w:colFirst="0" w:colLast="0" w:name="_9055scu3zyif" w:id="51"/>
      <w:bookmarkEnd w:id="51"/>
      <w:r w:rsidDel="00000000" w:rsidR="00000000" w:rsidRPr="00000000">
        <w:rPr>
          <w:rtl w:val="0"/>
        </w:rPr>
        <w:t xml:space="preserve">Module 5 Journal </w:t>
      </w:r>
    </w:p>
    <w:p w:rsidR="00000000" w:rsidDel="00000000" w:rsidP="00000000" w:rsidRDefault="00000000" w:rsidRPr="00000000" w14:paraId="00000147">
      <w:pPr>
        <w:spacing w:after="120" w:before="360" w:line="276" w:lineRule="auto"/>
        <w:jc w:val="center"/>
        <w:rPr>
          <w:b w:val="1"/>
          <w:bCs w:val="1"/>
        </w:rPr>
      </w:pPr>
      <w:r w:rsidDel="00000000" w:rsidR="00000000" w:rsidRPr="00000000">
        <w:rPr>
          <w:b w:val="1"/>
          <w:bCs w:val="1"/>
          <w:rtl w:val="0"/>
        </w:rPr>
        <w:t xml:space="preserve">Reflective Journal for Mod 5</w:t>
      </w:r>
    </w:p>
    <w:p w:rsidR="00000000" w:rsidDel="00000000" w:rsidP="00000000" w:rsidRDefault="00000000" w:rsidRPr="00000000" w14:paraId="00000148">
      <w:pPr>
        <w:jc w:val="center"/>
        <w:rPr>
          <w:i w:val="1"/>
          <w:iCs w:val="1"/>
          <w:sz w:val="24"/>
          <w:szCs w:val="24"/>
        </w:rPr>
      </w:pPr>
      <w:r w:rsidDel="00000000" w:rsidR="00000000" w:rsidRPr="00000000">
        <w:rPr>
          <w:i w:val="1"/>
          <w:iCs w:val="1"/>
          <w:sz w:val="24"/>
          <w:szCs w:val="24"/>
          <w:rtl w:val="0"/>
        </w:rPr>
        <w:t xml:space="preserve">*AI was used to create the format and structure of this journal with prompts for each section so I could easily fill it out alongside writing my essay and creating my artefact*</w:t>
      </w:r>
    </w:p>
    <w:p w:rsidR="00000000" w:rsidDel="00000000" w:rsidP="00000000" w:rsidRDefault="00000000" w:rsidRPr="00000000" w14:paraId="00000149">
      <w:pPr>
        <w:spacing w:after="120" w:before="360" w:line="276" w:lineRule="auto"/>
        <w:rPr/>
      </w:pPr>
      <w:r w:rsidDel="00000000" w:rsidR="00000000" w:rsidRPr="00000000">
        <w:rPr>
          <w:rtl w:val="0"/>
        </w:rPr>
        <w:t xml:space="preserve">WEEK 1 – 28 July to 3 August 2025</w:t>
      </w:r>
    </w:p>
    <w:p w:rsidR="00000000" w:rsidDel="00000000" w:rsidP="00000000" w:rsidRDefault="00000000" w:rsidRPr="00000000" w14:paraId="0000014A">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4B">
      <w:pPr>
        <w:rPr>
          <w:sz w:val="28"/>
          <w:szCs w:val="28"/>
        </w:rPr>
      </w:pPr>
      <w:r w:rsidDel="00000000" w:rsidR="00000000" w:rsidRPr="00000000">
        <w:rPr>
          <w:sz w:val="28"/>
          <w:szCs w:val="28"/>
          <w:rtl w:val="0"/>
        </w:rPr>
        <w:t xml:space="preserve">This week was all about figuring out what I actually want to explore in this module and how it connects to my teaching. I’ve been thinking a lot about where my practice is heading and what part of it I want to improve or understand better.</w:t>
      </w:r>
    </w:p>
    <w:p w:rsidR="00000000" w:rsidDel="00000000" w:rsidP="00000000" w:rsidRDefault="00000000" w:rsidRPr="00000000" w14:paraId="0000014C">
      <w:pPr>
        <w:rPr>
          <w:sz w:val="28"/>
          <w:szCs w:val="28"/>
        </w:rPr>
      </w:pPr>
      <w:r w:rsidDel="00000000" w:rsidR="00000000" w:rsidRPr="00000000">
        <w:rPr>
          <w:sz w:val="28"/>
          <w:szCs w:val="28"/>
          <w:rtl w:val="0"/>
        </w:rPr>
        <w:t xml:space="preserve">My aim was to get a clearer idea of what this project will be about and what type of artefact might make sense, even though I didn’t really have a clue yet.</w:t>
      </w:r>
    </w:p>
    <w:p w:rsidR="00000000" w:rsidDel="00000000" w:rsidP="00000000" w:rsidRDefault="00000000" w:rsidRPr="00000000" w14:paraId="0000014D">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4E">
      <w:pPr>
        <w:rPr>
          <w:sz w:val="28"/>
          <w:szCs w:val="28"/>
        </w:rPr>
      </w:pPr>
      <w:r w:rsidDel="00000000" w:rsidR="00000000" w:rsidRPr="00000000">
        <w:rPr>
          <w:sz w:val="28"/>
          <w:szCs w:val="28"/>
          <w:rtl w:val="0"/>
        </w:rPr>
        <w:t xml:space="preserve">I reread some of my work from Module 4 and made notes on what I still feel drawn to; inclusivity, accessibility, and understanding how research can make teaching more meaningful. I also read Nelson (2013) and Anderson &amp; Shattuck (2012) to refresh myself on design-based research and how practice can actually be research rather than just something that happens afterwards.</w:t>
      </w:r>
    </w:p>
    <w:p w:rsidR="00000000" w:rsidDel="00000000" w:rsidP="00000000" w:rsidRDefault="00000000" w:rsidRPr="00000000" w14:paraId="0000014F">
      <w:pPr>
        <w:rPr>
          <w:sz w:val="28"/>
          <w:szCs w:val="28"/>
        </w:rPr>
      </w:pPr>
      <w:r w:rsidDel="00000000" w:rsidR="00000000" w:rsidRPr="00000000">
        <w:rPr>
          <w:sz w:val="28"/>
          <w:szCs w:val="28"/>
          <w:rtl w:val="0"/>
        </w:rPr>
        <w:t xml:space="preserve">I started jotting down rough ideas for possible artefacts but nothing clicked yet.</w:t>
      </w:r>
    </w:p>
    <w:p w:rsidR="00000000" w:rsidDel="00000000" w:rsidP="00000000" w:rsidRDefault="00000000" w:rsidRPr="00000000" w14:paraId="00000150">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51">
      <w:pPr>
        <w:rPr>
          <w:sz w:val="28"/>
          <w:szCs w:val="28"/>
        </w:rPr>
      </w:pPr>
      <w:r w:rsidDel="00000000" w:rsidR="00000000" w:rsidRPr="00000000">
        <w:rPr>
          <w:sz w:val="28"/>
          <w:szCs w:val="28"/>
          <w:rtl w:val="0"/>
        </w:rPr>
        <w:t xml:space="preserve">I felt a bit scattered at first, like I was starting from scratch again. But once I started reading, I realised that my interest in inclusive and trauma-informed teaching still feels very relevant. Nelson’s idea of knowledge-through-practice helped me stop overthinking it and just trust the process.</w:t>
      </w:r>
    </w:p>
    <w:p w:rsidR="00000000" w:rsidDel="00000000" w:rsidP="00000000" w:rsidRDefault="00000000" w:rsidRPr="00000000" w14:paraId="00000152">
      <w:pPr>
        <w:rPr>
          <w:sz w:val="28"/>
          <w:szCs w:val="28"/>
        </w:rPr>
      </w:pPr>
      <w:r w:rsidDel="00000000" w:rsidR="00000000" w:rsidRPr="00000000">
        <w:rPr>
          <w:sz w:val="28"/>
          <w:szCs w:val="28"/>
          <w:rtl w:val="0"/>
        </w:rPr>
        <w:t xml:space="preserve">I didn’t land on a specific artefact yet, but I’m getting a clearer sense of direction.</w:t>
      </w:r>
    </w:p>
    <w:p w:rsidR="00000000" w:rsidDel="00000000" w:rsidP="00000000" w:rsidRDefault="00000000" w:rsidRPr="00000000" w14:paraId="00000153">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54">
      <w:pPr>
        <w:rPr>
          <w:sz w:val="28"/>
          <w:szCs w:val="28"/>
        </w:rPr>
      </w:pPr>
      <w:r w:rsidDel="00000000" w:rsidR="00000000" w:rsidRPr="00000000">
        <w:rPr>
          <w:sz w:val="28"/>
          <w:szCs w:val="28"/>
          <w:rtl w:val="0"/>
        </w:rPr>
        <w:t xml:space="preserve">Target Set: None yet.</w:t>
      </w:r>
    </w:p>
    <w:p w:rsidR="00000000" w:rsidDel="00000000" w:rsidP="00000000" w:rsidRDefault="00000000" w:rsidRPr="00000000" w14:paraId="00000155">
      <w:pPr>
        <w:spacing w:after="80" w:before="320" w:line="276" w:lineRule="auto"/>
        <w:rPr/>
      </w:pPr>
      <w:r w:rsidDel="00000000" w:rsidR="00000000" w:rsidRPr="00000000">
        <w:rPr>
          <w:rtl w:val="0"/>
        </w:rPr>
        <w:t xml:space="preserve">5. New SMART Target for Next Week</w:t>
      </w:r>
    </w:p>
    <w:p w:rsidR="00000000" w:rsidDel="00000000" w:rsidP="00000000" w:rsidRDefault="00000000" w:rsidRPr="00000000" w14:paraId="00000156">
      <w:pPr>
        <w:rPr>
          <w:sz w:val="28"/>
          <w:szCs w:val="28"/>
        </w:rPr>
      </w:pPr>
      <w:r w:rsidDel="00000000" w:rsidR="00000000" w:rsidRPr="00000000">
        <w:rPr>
          <w:sz w:val="28"/>
          <w:szCs w:val="28"/>
          <w:rtl w:val="0"/>
        </w:rPr>
        <w:t xml:space="preserve">Get my head properly into the literature , aim to find and summarise around 10 good sources that might help me decide where this project is heading.</w:t>
      </w:r>
    </w:p>
    <w:p w:rsidR="00000000" w:rsidDel="00000000" w:rsidP="00000000" w:rsidRDefault="00000000" w:rsidRPr="00000000" w14:paraId="00000157">
      <w:pPr>
        <w:rPr>
          <w:sz w:val="28"/>
          <w:szCs w:val="28"/>
        </w:rPr>
      </w:pPr>
      <w:r w:rsidDel="00000000" w:rsidR="00000000" w:rsidRPr="00000000">
        <w:rPr>
          <w:rtl w:val="0"/>
        </w:rPr>
      </w:r>
    </w:p>
    <w:p w:rsidR="00000000" w:rsidDel="00000000" w:rsidP="00000000" w:rsidRDefault="00000000" w:rsidRPr="00000000" w14:paraId="00000158">
      <w:pPr>
        <w:spacing w:after="120" w:before="360" w:line="276" w:lineRule="auto"/>
        <w:rPr/>
      </w:pPr>
      <w:r w:rsidDel="00000000" w:rsidR="00000000" w:rsidRPr="00000000">
        <w:rPr>
          <w:rtl w:val="0"/>
        </w:rPr>
        <w:t xml:space="preserve">WEEK 2 – 4 to 10 August 2025</w:t>
      </w:r>
    </w:p>
    <w:p w:rsidR="00000000" w:rsidDel="00000000" w:rsidP="00000000" w:rsidRDefault="00000000" w:rsidRPr="00000000" w14:paraId="00000159">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5A">
      <w:pPr>
        <w:rPr>
          <w:sz w:val="28"/>
          <w:szCs w:val="28"/>
        </w:rPr>
      </w:pPr>
      <w:r w:rsidDel="00000000" w:rsidR="00000000" w:rsidRPr="00000000">
        <w:rPr>
          <w:sz w:val="28"/>
          <w:szCs w:val="28"/>
          <w:rtl w:val="0"/>
        </w:rPr>
        <w:t xml:space="preserve">This week I wanted to start building a proper foundation for my thinking looking into trauma-informed education, neurodiversity, and how people learn best. I’m still in that early 'information overload' stage, but I know this groundwork will shape everything later.</w:t>
      </w:r>
    </w:p>
    <w:p w:rsidR="00000000" w:rsidDel="00000000" w:rsidP="00000000" w:rsidRDefault="00000000" w:rsidRPr="00000000" w14:paraId="0000015B">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5C">
      <w:pPr>
        <w:rPr>
          <w:sz w:val="28"/>
          <w:szCs w:val="28"/>
        </w:rPr>
      </w:pPr>
      <w:r w:rsidDel="00000000" w:rsidR="00000000" w:rsidRPr="00000000">
        <w:rPr>
          <w:sz w:val="28"/>
          <w:szCs w:val="28"/>
          <w:rtl w:val="0"/>
        </w:rPr>
        <w:t xml:space="preserve">I spent most of the week reading and taking notes. I looked at Bauman-Field (2024) on trauma-informed classroom management, Palmer’s INSPECT framework (2025), and Le Cunff et al. (2024) about cognitive load and neurodiversity. I made links between them and started thinking about how consistency, scaffolding, and emotional safety could feed into my own artefact idea.</w:t>
      </w:r>
    </w:p>
    <w:p w:rsidR="00000000" w:rsidDel="00000000" w:rsidP="00000000" w:rsidRDefault="00000000" w:rsidRPr="00000000" w14:paraId="0000015D">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5E">
      <w:pPr>
        <w:rPr>
          <w:sz w:val="28"/>
          <w:szCs w:val="28"/>
        </w:rPr>
      </w:pPr>
      <w:r w:rsidDel="00000000" w:rsidR="00000000" w:rsidRPr="00000000">
        <w:rPr>
          <w:sz w:val="28"/>
          <w:szCs w:val="28"/>
          <w:rtl w:val="0"/>
        </w:rPr>
        <w:t xml:space="preserve">The more I read, the more I kept coming back to my students. So many of them struggle with anxiety or sensory overload, and I want to make sure whatever I create feels calm, predictable, and flexible. Palmer’s framework really clicked with me, especially the bit about co-regulation and structure being a form of support, not control.</w:t>
      </w:r>
    </w:p>
    <w:p w:rsidR="00000000" w:rsidDel="00000000" w:rsidP="00000000" w:rsidRDefault="00000000" w:rsidRPr="00000000" w14:paraId="0000015F">
      <w:pPr>
        <w:rPr>
          <w:sz w:val="28"/>
          <w:szCs w:val="28"/>
        </w:rPr>
      </w:pPr>
      <w:r w:rsidDel="00000000" w:rsidR="00000000" w:rsidRPr="00000000">
        <w:rPr>
          <w:sz w:val="28"/>
          <w:szCs w:val="28"/>
          <w:rtl w:val="0"/>
        </w:rPr>
        <w:t xml:space="preserve">I still didn’t have a concrete artefact idea yet, but I knew it had to involve helping students feel safe while exploring something creative or technical.</w:t>
      </w:r>
    </w:p>
    <w:p w:rsidR="00000000" w:rsidDel="00000000" w:rsidP="00000000" w:rsidRDefault="00000000" w:rsidRPr="00000000" w14:paraId="00000160">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61">
      <w:pPr>
        <w:rPr>
          <w:sz w:val="28"/>
          <w:szCs w:val="28"/>
        </w:rPr>
      </w:pPr>
      <w:r w:rsidDel="00000000" w:rsidR="00000000" w:rsidRPr="00000000">
        <w:rPr>
          <w:sz w:val="28"/>
          <w:szCs w:val="28"/>
          <w:rtl w:val="0"/>
        </w:rPr>
        <w:t xml:space="preserve">Last Week’s Target: Build a literature base of 10 sources.</w:t>
        <w:br w:type="textWrapping"/>
        <w:t xml:space="preserve"> Was it Achieved? Yes. I summarised 12 and found several I’ll keep coming back to.</w:t>
      </w:r>
    </w:p>
    <w:p w:rsidR="00000000" w:rsidDel="00000000" w:rsidP="00000000" w:rsidRDefault="00000000" w:rsidRPr="00000000" w14:paraId="00000162">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63">
      <w:pPr>
        <w:rPr>
          <w:sz w:val="28"/>
          <w:szCs w:val="28"/>
        </w:rPr>
      </w:pPr>
      <w:r w:rsidDel="00000000" w:rsidR="00000000" w:rsidRPr="00000000">
        <w:rPr>
          <w:sz w:val="28"/>
          <w:szCs w:val="28"/>
          <w:rtl w:val="0"/>
        </w:rPr>
        <w:t xml:space="preserve">Write around 500 words of my introduction for Component 1, focusing on my rationale and early ideas.</w:t>
      </w:r>
    </w:p>
    <w:p w:rsidR="00000000" w:rsidDel="00000000" w:rsidP="00000000" w:rsidRDefault="00000000" w:rsidRPr="00000000" w14:paraId="00000164">
      <w:pPr>
        <w:rPr>
          <w:sz w:val="28"/>
          <w:szCs w:val="28"/>
        </w:rPr>
      </w:pPr>
      <w:r w:rsidDel="00000000" w:rsidR="00000000" w:rsidRPr="00000000">
        <w:rPr>
          <w:rtl w:val="0"/>
        </w:rPr>
      </w:r>
    </w:p>
    <w:p w:rsidR="00000000" w:rsidDel="00000000" w:rsidP="00000000" w:rsidRDefault="00000000" w:rsidRPr="00000000" w14:paraId="00000165">
      <w:pPr>
        <w:spacing w:after="120" w:before="360" w:line="276" w:lineRule="auto"/>
        <w:rPr/>
      </w:pPr>
      <w:r w:rsidDel="00000000" w:rsidR="00000000" w:rsidRPr="00000000">
        <w:rPr>
          <w:rtl w:val="0"/>
        </w:rPr>
        <w:t xml:space="preserve">WEEK 3 – 11 to 17 August 2025</w:t>
      </w:r>
    </w:p>
    <w:p w:rsidR="00000000" w:rsidDel="00000000" w:rsidP="00000000" w:rsidRDefault="00000000" w:rsidRPr="00000000" w14:paraId="00000166">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67">
      <w:pPr>
        <w:rPr>
          <w:sz w:val="28"/>
          <w:szCs w:val="28"/>
        </w:rPr>
      </w:pPr>
      <w:r w:rsidDel="00000000" w:rsidR="00000000" w:rsidRPr="00000000">
        <w:rPr>
          <w:sz w:val="28"/>
          <w:szCs w:val="28"/>
          <w:rtl w:val="0"/>
        </w:rPr>
        <w:t xml:space="preserve">This week I wanted to move from 'reading mode' to 'creating mode.' I’m still not totally sure what my artefact is yet, but I can feel it forming.</w:t>
      </w:r>
    </w:p>
    <w:p w:rsidR="00000000" w:rsidDel="00000000" w:rsidP="00000000" w:rsidRDefault="00000000" w:rsidRPr="00000000" w14:paraId="00000168">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69">
      <w:pPr>
        <w:rPr>
          <w:sz w:val="28"/>
          <w:szCs w:val="28"/>
        </w:rPr>
      </w:pPr>
      <w:r w:rsidDel="00000000" w:rsidR="00000000" w:rsidRPr="00000000">
        <w:rPr>
          <w:sz w:val="28"/>
          <w:szCs w:val="28"/>
          <w:rtl w:val="0"/>
        </w:rPr>
        <w:t xml:space="preserve">I read Nelson (2013) on practice as research and started understanding that my creative process itself could be the research. That took a lot of pressure off. I began sketching ideas and reflecting on what I actually enjoy teaching most. I kept coming back to how passionate my students are about metal and screaming , that’s where I feel most alive too.</w:t>
      </w:r>
    </w:p>
    <w:p w:rsidR="00000000" w:rsidDel="00000000" w:rsidP="00000000" w:rsidRDefault="00000000" w:rsidRPr="00000000" w14:paraId="0000016A">
      <w:pPr>
        <w:rPr>
          <w:sz w:val="28"/>
          <w:szCs w:val="28"/>
        </w:rPr>
      </w:pPr>
      <w:r w:rsidDel="00000000" w:rsidR="00000000" w:rsidRPr="00000000">
        <w:rPr>
          <w:sz w:val="28"/>
          <w:szCs w:val="28"/>
          <w:rtl w:val="0"/>
        </w:rPr>
        <w:t xml:space="preserve">By the end of the week, I had the start of an idea: something that helps people learn Extreme Vocal Effects (EVEs) safely and confidently.</w:t>
      </w:r>
    </w:p>
    <w:p w:rsidR="00000000" w:rsidDel="00000000" w:rsidP="00000000" w:rsidRDefault="00000000" w:rsidRPr="00000000" w14:paraId="0000016B">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6C">
      <w:pPr>
        <w:rPr>
          <w:sz w:val="28"/>
          <w:szCs w:val="28"/>
        </w:rPr>
      </w:pPr>
      <w:r w:rsidDel="00000000" w:rsidR="00000000" w:rsidRPr="00000000">
        <w:rPr>
          <w:sz w:val="28"/>
          <w:szCs w:val="28"/>
          <w:rtl w:val="0"/>
        </w:rPr>
        <w:t xml:space="preserve">This felt like the first week I could see the bigger picture forming. I realised I want to combine the academic side (physiology, pedagogy) with the human side (safety, identity, emotion). I haven’t worked out what format this will take yet, but it’s starting to make sense.</w:t>
      </w:r>
    </w:p>
    <w:p w:rsidR="00000000" w:rsidDel="00000000" w:rsidP="00000000" w:rsidRDefault="00000000" w:rsidRPr="00000000" w14:paraId="0000016D">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6E">
      <w:pPr>
        <w:rPr>
          <w:sz w:val="28"/>
          <w:szCs w:val="28"/>
        </w:rPr>
      </w:pPr>
      <w:r w:rsidDel="00000000" w:rsidR="00000000" w:rsidRPr="00000000">
        <w:rPr>
          <w:sz w:val="28"/>
          <w:szCs w:val="28"/>
          <w:rtl w:val="0"/>
        </w:rPr>
        <w:t xml:space="preserve">Last Week’s Target: Write 500 words of my introduction.</w:t>
        <w:br w:type="textWrapping"/>
        <w:t xml:space="preserve">Was it Achieved? Yes, and I’ve started drafting notes for the next section too.</w:t>
      </w:r>
    </w:p>
    <w:p w:rsidR="00000000" w:rsidDel="00000000" w:rsidP="00000000" w:rsidRDefault="00000000" w:rsidRPr="00000000" w14:paraId="0000016F">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70">
      <w:pPr>
        <w:rPr>
          <w:sz w:val="28"/>
          <w:szCs w:val="28"/>
        </w:rPr>
      </w:pPr>
      <w:r w:rsidDel="00000000" w:rsidR="00000000" w:rsidRPr="00000000">
        <w:rPr>
          <w:sz w:val="28"/>
          <w:szCs w:val="28"/>
          <w:rtl w:val="0"/>
        </w:rPr>
        <w:t xml:space="preserve">Write 600 words for my Planned Programme of Study and start rough planning for the artefact.</w:t>
      </w:r>
    </w:p>
    <w:p w:rsidR="00000000" w:rsidDel="00000000" w:rsidP="00000000" w:rsidRDefault="00000000" w:rsidRPr="00000000" w14:paraId="00000171">
      <w:pPr>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-1019174</wp:posOffset>
            </wp:positionH>
            <wp:positionV relativeFrom="paragraph">
              <wp:posOffset>246221</wp:posOffset>
            </wp:positionV>
            <wp:extent cx="7386638" cy="3609380"/>
            <wp:effectExtent b="0" l="0" r="0" t="0"/>
            <wp:wrapTopAndBottom distB="114300" distT="114300"/>
            <wp:docPr id="101" name="image125.png"/>
            <a:graphic>
              <a:graphicData uri="http://schemas.openxmlformats.org/drawingml/2006/picture">
                <pic:pic>
                  <pic:nvPicPr>
                    <pic:cNvPr id="0" name="image125.png"/>
                    <pic:cNvPicPr preferRelativeResize="0"/>
                  </pic:nvPicPr>
                  <pic:blipFill>
                    <a:blip r:embed="rId123"/>
                    <a:srcRect b="0" l="0" r="0" t="13033"/>
                    <a:stretch>
                      <a:fillRect/>
                    </a:stretch>
                  </pic:blipFill>
                  <pic:spPr>
                    <a:xfrm>
                      <a:off x="0" y="0"/>
                      <a:ext cx="7386638" cy="3609380"/>
                    </a:xfrm>
                    <a:prstGeom prst="rect"/>
                    <a:ln/>
                  </pic:spPr>
                </pic:pic>
              </a:graphicData>
            </a:graphic>
          </wp:anchor>
        </w:drawing>
      </w:r>
    </w:p>
    <w:p w:rsidR="00000000" w:rsidDel="00000000" w:rsidP="00000000" w:rsidRDefault="00000000" w:rsidRPr="00000000" w14:paraId="00000172">
      <w:pPr>
        <w:spacing w:after="120" w:before="360" w:line="276" w:lineRule="auto"/>
        <w:rPr/>
      </w:pPr>
      <w:r w:rsidDel="00000000" w:rsidR="00000000" w:rsidRPr="00000000">
        <w:rPr>
          <w:rtl w:val="0"/>
        </w:rPr>
        <w:t xml:space="preserve">WEEK 4 – 18 to 24 August 2025</w:t>
      </w:r>
    </w:p>
    <w:p w:rsidR="00000000" w:rsidDel="00000000" w:rsidP="00000000" w:rsidRDefault="00000000" w:rsidRPr="00000000" w14:paraId="00000173">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74">
      <w:pPr>
        <w:rPr>
          <w:sz w:val="28"/>
          <w:szCs w:val="28"/>
        </w:rPr>
      </w:pPr>
      <w:r w:rsidDel="00000000" w:rsidR="00000000" w:rsidRPr="00000000">
        <w:rPr>
          <w:sz w:val="28"/>
          <w:szCs w:val="28"/>
          <w:rtl w:val="0"/>
        </w:rPr>
        <w:t xml:space="preserve">This week’s focus was on reflection , not just writing reflectively but actually using it to shape what I’m creating.</w:t>
      </w:r>
    </w:p>
    <w:p w:rsidR="00000000" w:rsidDel="00000000" w:rsidP="00000000" w:rsidRDefault="00000000" w:rsidRPr="00000000" w14:paraId="00000175">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76">
      <w:pPr>
        <w:rPr>
          <w:sz w:val="28"/>
          <w:szCs w:val="28"/>
        </w:rPr>
      </w:pPr>
      <w:r w:rsidDel="00000000" w:rsidR="00000000" w:rsidRPr="00000000">
        <w:rPr>
          <w:sz w:val="28"/>
          <w:szCs w:val="28"/>
          <w:rtl w:val="0"/>
        </w:rPr>
        <w:t xml:space="preserve">I spent time reading Kolb’s learning cycle (1984) and Gibbs’ model (1988). I realised how often I already teach this way without naming it: experiment, reflect, adjust, repeat. I started applying that to my artefact idea, sketching possible sections and thinking about the flow of learning.</w:t>
      </w:r>
    </w:p>
    <w:p w:rsidR="00000000" w:rsidDel="00000000" w:rsidP="00000000" w:rsidRDefault="00000000" w:rsidRPr="00000000" w14:paraId="00000177">
      <w:pPr>
        <w:rPr>
          <w:sz w:val="28"/>
          <w:szCs w:val="28"/>
        </w:rPr>
      </w:pPr>
      <w:r w:rsidDel="00000000" w:rsidR="00000000" w:rsidRPr="00000000">
        <w:rPr>
          <w:sz w:val="28"/>
          <w:szCs w:val="28"/>
          <w:rtl w:val="0"/>
        </w:rPr>
        <w:t xml:space="preserve">This was also the week I finally settled on my artefact idea: The (Not So) Cookie Cutter Guide to Extreme Vocals.</w:t>
      </w:r>
    </w:p>
    <w:p w:rsidR="00000000" w:rsidDel="00000000" w:rsidP="00000000" w:rsidRDefault="00000000" w:rsidRPr="00000000" w14:paraId="00000178">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79">
      <w:pPr>
        <w:rPr>
          <w:sz w:val="28"/>
          <w:szCs w:val="28"/>
        </w:rPr>
      </w:pPr>
      <w:r w:rsidDel="00000000" w:rsidR="00000000" w:rsidRPr="00000000">
        <w:rPr>
          <w:sz w:val="28"/>
          <w:szCs w:val="28"/>
          <w:rtl w:val="0"/>
        </w:rPr>
        <w:t xml:space="preserve">Committing to the idea felt like a relief. It connects my teaching, research, and identity all at once. I know it’s ambitious, but I’m excited by it. The reflective models helped me see that the artefact itself should teach reflection, not just content.</w:t>
      </w:r>
    </w:p>
    <w:p w:rsidR="00000000" w:rsidDel="00000000" w:rsidP="00000000" w:rsidRDefault="00000000" w:rsidRPr="00000000" w14:paraId="0000017A">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7B">
      <w:pPr>
        <w:rPr>
          <w:sz w:val="28"/>
          <w:szCs w:val="28"/>
        </w:rPr>
      </w:pPr>
      <w:r w:rsidDel="00000000" w:rsidR="00000000" w:rsidRPr="00000000">
        <w:rPr>
          <w:sz w:val="28"/>
          <w:szCs w:val="28"/>
          <w:rtl w:val="0"/>
        </w:rPr>
        <w:t xml:space="preserve">Last Week’s Target: Write 600 words for my Planned Programme of Study.</w:t>
        <w:br w:type="textWrapping"/>
        <w:t xml:space="preserve"> Was it Achieved? Yes, and I even drafted my methodology section.</w:t>
      </w:r>
    </w:p>
    <w:p w:rsidR="00000000" w:rsidDel="00000000" w:rsidP="00000000" w:rsidRDefault="00000000" w:rsidRPr="00000000" w14:paraId="0000017C">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7D">
      <w:pPr>
        <w:rPr>
          <w:sz w:val="28"/>
          <w:szCs w:val="28"/>
        </w:rPr>
      </w:pPr>
      <w:r w:rsidDel="00000000" w:rsidR="00000000" w:rsidRPr="00000000">
        <w:rPr>
          <w:sz w:val="28"/>
          <w:szCs w:val="28"/>
          <w:rtl w:val="0"/>
        </w:rPr>
        <w:t xml:space="preserve">Finish and proofread Component 1.</w:t>
      </w:r>
    </w:p>
    <w:p w:rsidR="00000000" w:rsidDel="00000000" w:rsidP="00000000" w:rsidRDefault="00000000" w:rsidRPr="00000000" w14:paraId="0000017E">
      <w:pPr>
        <w:rPr>
          <w:sz w:val="28"/>
          <w:szCs w:val="28"/>
        </w:rPr>
      </w:pPr>
      <w:r w:rsidDel="00000000" w:rsidR="00000000" w:rsidRPr="00000000">
        <w:rPr>
          <w:rtl w:val="0"/>
        </w:rPr>
      </w:r>
    </w:p>
    <w:p w:rsidR="00000000" w:rsidDel="00000000" w:rsidP="00000000" w:rsidRDefault="00000000" w:rsidRPr="00000000" w14:paraId="0000017F">
      <w:pPr>
        <w:spacing w:after="200" w:line="276" w:lineRule="auto"/>
        <w:rPr>
          <w:sz w:val="28"/>
          <w:szCs w:val="28"/>
        </w:rPr>
      </w:pPr>
      <w:r w:rsidDel="00000000" w:rsidR="00000000" w:rsidRPr="00000000">
        <w:rPr>
          <w:sz w:val="28"/>
          <w:szCs w:val="28"/>
        </w:rPr>
        <w:drawing>
          <wp:inline distB="114300" distT="114300" distL="114300" distR="114300">
            <wp:extent cx="2286754" cy="3567113"/>
            <wp:effectExtent b="0" l="0" r="0" t="0"/>
            <wp:docPr id="116" name="image127.png"/>
            <a:graphic>
              <a:graphicData uri="http://schemas.openxmlformats.org/drawingml/2006/picture">
                <pic:pic>
                  <pic:nvPicPr>
                    <pic:cNvPr id="0" name="image127.png"/>
                    <pic:cNvPicPr preferRelativeResize="0"/>
                  </pic:nvPicPr>
                  <pic:blipFill>
                    <a:blip r:embed="rId124"/>
                    <a:srcRect b="0" l="0" r="0" t="0"/>
                    <a:stretch>
                      <a:fillRect/>
                    </a:stretch>
                  </pic:blipFill>
                  <pic:spPr>
                    <a:xfrm>
                      <a:off x="0" y="0"/>
                      <a:ext cx="2286754" cy="3567113"/>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rPr>
          <w:sz w:val="28"/>
          <w:szCs w:val="28"/>
        </w:rPr>
      </w:pPr>
      <w:r w:rsidDel="00000000" w:rsidR="00000000" w:rsidRPr="00000000">
        <w:rPr>
          <w:rtl w:val="0"/>
        </w:rPr>
      </w:r>
    </w:p>
    <w:p w:rsidR="00000000" w:rsidDel="00000000" w:rsidP="00000000" w:rsidRDefault="00000000" w:rsidRPr="00000000" w14:paraId="00000181">
      <w:pPr>
        <w:spacing w:after="120" w:before="360" w:line="276" w:lineRule="auto"/>
        <w:rPr/>
      </w:pPr>
      <w:r w:rsidDel="00000000" w:rsidR="00000000" w:rsidRPr="00000000">
        <w:rPr>
          <w:rtl w:val="0"/>
        </w:rPr>
        <w:t xml:space="preserve">WEEK 5 – 25 to 31 August 2025</w:t>
      </w:r>
    </w:p>
    <w:p w:rsidR="00000000" w:rsidDel="00000000" w:rsidP="00000000" w:rsidRDefault="00000000" w:rsidRPr="00000000" w14:paraId="00000182">
      <w:pPr>
        <w:keepNext w:val="0"/>
        <w:keepLines w:val="0"/>
        <w:spacing w:after="80" w:before="360" w:line="276" w:lineRule="auto"/>
        <w:rPr/>
      </w:pPr>
      <w:r w:rsidDel="00000000" w:rsidR="00000000" w:rsidRPr="00000000">
        <w:rPr>
          <w:rtl w:val="0"/>
        </w:rPr>
        <w:t xml:space="preserve">1. Overview of the Week Ahead</w:t>
      </w:r>
    </w:p>
    <w:p w:rsidR="00000000" w:rsidDel="00000000" w:rsidP="00000000" w:rsidRDefault="00000000" w:rsidRPr="00000000" w14:paraId="00000183">
      <w:pPr>
        <w:spacing w:after="240" w:before="240" w:lineRule="auto"/>
        <w:rPr>
          <w:sz w:val="28"/>
          <w:szCs w:val="28"/>
        </w:rPr>
      </w:pPr>
      <w:r w:rsidDel="00000000" w:rsidR="00000000" w:rsidRPr="00000000">
        <w:rPr>
          <w:sz w:val="28"/>
          <w:szCs w:val="28"/>
          <w:rtl w:val="0"/>
        </w:rPr>
        <w:t xml:space="preserve">This week was all about getting Component 1 finished and making sure it clearly linked my research to my teaching practice. I also wanted to start shaping the tone of the artefact so it felt accessible and safe for learners.</w:t>
      </w:r>
    </w:p>
    <w:p w:rsidR="00000000" w:rsidDel="00000000" w:rsidP="00000000" w:rsidRDefault="00000000" w:rsidRPr="00000000" w14:paraId="00000184">
      <w:pPr>
        <w:keepNext w:val="0"/>
        <w:keepLines w:val="0"/>
        <w:spacing w:after="80" w:before="360" w:line="276" w:lineRule="auto"/>
        <w:rPr/>
      </w:pPr>
      <w:r w:rsidDel="00000000" w:rsidR="00000000" w:rsidRPr="00000000">
        <w:rPr>
          <w:rtl w:val="0"/>
        </w:rPr>
        <w:t xml:space="preserve">2. Activity Log – What I Actually Did</w:t>
      </w:r>
    </w:p>
    <w:p w:rsidR="00000000" w:rsidDel="00000000" w:rsidP="00000000" w:rsidRDefault="00000000" w:rsidRPr="00000000" w14:paraId="00000185">
      <w:pPr>
        <w:spacing w:after="240" w:before="240" w:lineRule="auto"/>
        <w:rPr>
          <w:sz w:val="28"/>
          <w:szCs w:val="28"/>
        </w:rPr>
      </w:pPr>
      <w:r w:rsidDel="00000000" w:rsidR="00000000" w:rsidRPr="00000000">
        <w:rPr>
          <w:sz w:val="28"/>
          <w:szCs w:val="28"/>
          <w:rtl w:val="0"/>
        </w:rPr>
        <w:t xml:space="preserve">I edited and finalised my Component 1 Portfolio, tightening the structure and double-checking references. I also drafted early pages for the artefact, mainly the </w:t>
      </w:r>
      <w:r w:rsidDel="00000000" w:rsidR="00000000" w:rsidRPr="00000000">
        <w:rPr>
          <w:i w:val="1"/>
          <w:iCs w:val="1"/>
          <w:sz w:val="28"/>
          <w:szCs w:val="28"/>
          <w:rtl w:val="0"/>
        </w:rPr>
        <w:t xml:space="preserve">How to Use This Workbook</w:t>
      </w:r>
      <w:r w:rsidDel="00000000" w:rsidR="00000000" w:rsidRPr="00000000">
        <w:rPr>
          <w:sz w:val="28"/>
          <w:szCs w:val="28"/>
          <w:rtl w:val="0"/>
        </w:rPr>
        <w:t xml:space="preserve"> and </w:t>
      </w:r>
      <w:r w:rsidDel="00000000" w:rsidR="00000000" w:rsidRPr="00000000">
        <w:rPr>
          <w:i w:val="1"/>
          <w:iCs w:val="1"/>
          <w:sz w:val="28"/>
          <w:szCs w:val="28"/>
          <w:rtl w:val="0"/>
        </w:rPr>
        <w:t xml:space="preserve">Vocal Health and Safety</w:t>
      </w:r>
      <w:r w:rsidDel="00000000" w:rsidR="00000000" w:rsidRPr="00000000">
        <w:rPr>
          <w:sz w:val="28"/>
          <w:szCs w:val="28"/>
          <w:rtl w:val="0"/>
        </w:rPr>
        <w:t xml:space="preserve"> sections. Reading Durham (2023) really helped me focus on safety, permission and choice.</w:t>
      </w:r>
    </w:p>
    <w:p w:rsidR="00000000" w:rsidDel="00000000" w:rsidP="00000000" w:rsidRDefault="00000000" w:rsidRPr="00000000" w14:paraId="00000186">
      <w:pPr>
        <w:spacing w:after="240" w:before="240" w:lineRule="auto"/>
        <w:rPr>
          <w:sz w:val="28"/>
          <w:szCs w:val="28"/>
        </w:rPr>
      </w:pPr>
      <w:r w:rsidDel="00000000" w:rsidR="00000000" w:rsidRPr="00000000">
        <w:rPr>
          <w:sz w:val="28"/>
          <w:szCs w:val="28"/>
          <w:rtl w:val="0"/>
        </w:rPr>
        <w:t xml:space="preserve">While drafting these pages, I also started thinking about how overwhelming technical terminology can be for some of my students. In past lessons, I’ve noticed that using scientific terms too early often causes them to disengage or freeze up. That reminder made me more intentional about using simple explanations and playful entry points right from the start of the artefact.</w:t>
      </w:r>
    </w:p>
    <w:p w:rsidR="00000000" w:rsidDel="00000000" w:rsidP="00000000" w:rsidRDefault="00000000" w:rsidRPr="00000000" w14:paraId="00000187">
      <w:pPr>
        <w:keepNext w:val="0"/>
        <w:keepLines w:val="0"/>
        <w:spacing w:after="80" w:before="360" w:line="276" w:lineRule="auto"/>
        <w:rPr/>
      </w:pPr>
      <w:r w:rsidDel="00000000" w:rsidR="00000000" w:rsidRPr="00000000">
        <w:rPr>
          <w:rtl w:val="0"/>
        </w:rPr>
        <w:t xml:space="preserve">3. Critical Reflection</w:t>
      </w:r>
    </w:p>
    <w:p w:rsidR="00000000" w:rsidDel="00000000" w:rsidP="00000000" w:rsidRDefault="00000000" w:rsidRPr="00000000" w14:paraId="00000188">
      <w:pPr>
        <w:spacing w:after="240" w:before="240" w:lineRule="auto"/>
        <w:rPr>
          <w:sz w:val="28"/>
          <w:szCs w:val="28"/>
        </w:rPr>
      </w:pPr>
      <w:r w:rsidDel="00000000" w:rsidR="00000000" w:rsidRPr="00000000">
        <w:rPr>
          <w:sz w:val="28"/>
          <w:szCs w:val="28"/>
          <w:rtl w:val="0"/>
        </w:rPr>
        <w:t xml:space="preserve">Finishing Component 1 felt like a milestone. I’m proud of how it ties theory and inclusivity together. Drafting the early artefact pages also made me more aware of how important clear, non-intimidating language is for many of my learners. I’m also aware that I need to pace myself going forward; this module is long, and I don’t want to burn out.</w:t>
      </w:r>
    </w:p>
    <w:p w:rsidR="00000000" w:rsidDel="00000000" w:rsidP="00000000" w:rsidRDefault="00000000" w:rsidRPr="00000000" w14:paraId="00000189">
      <w:pPr>
        <w:keepNext w:val="0"/>
        <w:keepLines w:val="0"/>
        <w:spacing w:after="80" w:before="360" w:line="276" w:lineRule="auto"/>
        <w:rPr/>
      </w:pPr>
      <w:r w:rsidDel="00000000" w:rsidR="00000000" w:rsidRPr="00000000">
        <w:rPr>
          <w:rtl w:val="0"/>
        </w:rPr>
        <w:t xml:space="preserve">4. SMART Target Review</w:t>
      </w:r>
    </w:p>
    <w:p w:rsidR="00000000" w:rsidDel="00000000" w:rsidP="00000000" w:rsidRDefault="00000000" w:rsidRPr="00000000" w14:paraId="0000018A">
      <w:pPr>
        <w:spacing w:after="240" w:before="240" w:lineRule="auto"/>
        <w:rPr>
          <w:sz w:val="28"/>
          <w:szCs w:val="28"/>
        </w:rPr>
      </w:pPr>
      <w:r w:rsidDel="00000000" w:rsidR="00000000" w:rsidRPr="00000000">
        <w:rPr>
          <w:sz w:val="28"/>
          <w:szCs w:val="28"/>
          <w:rtl w:val="0"/>
        </w:rPr>
        <w:t xml:space="preserve">Last Week’s Target: Finish and proofread Component 1.</w:t>
        <w:br w:type="textWrapping"/>
        <w:t xml:space="preserve"> Was it Achieved? Yes.</w:t>
      </w:r>
    </w:p>
    <w:p w:rsidR="00000000" w:rsidDel="00000000" w:rsidP="00000000" w:rsidRDefault="00000000" w:rsidRPr="00000000" w14:paraId="0000018B">
      <w:pPr>
        <w:keepNext w:val="0"/>
        <w:keepLines w:val="0"/>
        <w:spacing w:after="80" w:before="360" w:line="276" w:lineRule="auto"/>
        <w:rPr/>
      </w:pPr>
      <w:r w:rsidDel="00000000" w:rsidR="00000000" w:rsidRPr="00000000">
        <w:rPr>
          <w:rtl w:val="0"/>
        </w:rPr>
        <w:t xml:space="preserve">5. New SMART Target</w:t>
      </w:r>
    </w:p>
    <w:p w:rsidR="00000000" w:rsidDel="00000000" w:rsidP="00000000" w:rsidRDefault="00000000" w:rsidRPr="00000000" w14:paraId="0000018C">
      <w:pPr>
        <w:spacing w:after="240" w:before="240" w:lineRule="auto"/>
        <w:rPr>
          <w:sz w:val="28"/>
          <w:szCs w:val="28"/>
        </w:rPr>
      </w:pPr>
      <w:r w:rsidDel="00000000" w:rsidR="00000000" w:rsidRPr="00000000">
        <w:rPr>
          <w:sz w:val="28"/>
          <w:szCs w:val="28"/>
          <w:rtl w:val="0"/>
        </w:rPr>
        <w:t xml:space="preserve">Start experimenting with layout ideas for the artefact and draft three sample pages by the end of next week.</w:t>
      </w:r>
    </w:p>
    <w:p w:rsidR="00000000" w:rsidDel="00000000" w:rsidP="00000000" w:rsidRDefault="00000000" w:rsidRPr="00000000" w14:paraId="0000018D">
      <w:pPr>
        <w:rPr>
          <w:sz w:val="28"/>
          <w:szCs w:val="28"/>
        </w:rPr>
      </w:pPr>
      <w:r w:rsidDel="00000000" w:rsidR="00000000" w:rsidRPr="00000000">
        <w:rPr>
          <w:rtl w:val="0"/>
        </w:rPr>
      </w:r>
    </w:p>
    <w:p w:rsidR="00000000" w:rsidDel="00000000" w:rsidP="00000000" w:rsidRDefault="00000000" w:rsidRPr="00000000" w14:paraId="0000018E">
      <w:pPr>
        <w:rPr>
          <w:sz w:val="28"/>
          <w:szCs w:val="28"/>
        </w:rPr>
      </w:pPr>
      <w:r w:rsidDel="00000000" w:rsidR="00000000" w:rsidRPr="00000000">
        <w:rPr>
          <w:sz w:val="28"/>
          <w:szCs w:val="28"/>
        </w:rPr>
        <w:drawing>
          <wp:inline distB="114300" distT="114300" distL="114300" distR="114300">
            <wp:extent cx="2445931" cy="3900488"/>
            <wp:effectExtent b="0" l="0" r="0" t="0"/>
            <wp:docPr id="11" name="image38.png"/>
            <a:graphic>
              <a:graphicData uri="http://schemas.openxmlformats.org/drawingml/2006/picture">
                <pic:pic>
                  <pic:nvPicPr>
                    <pic:cNvPr id="0" name="image38.png"/>
                    <pic:cNvPicPr preferRelativeResize="0"/>
                  </pic:nvPicPr>
                  <pic:blipFill>
                    <a:blip r:embed="rId125"/>
                    <a:srcRect b="0" l="0" r="0" t="0"/>
                    <a:stretch>
                      <a:fillRect/>
                    </a:stretch>
                  </pic:blipFill>
                  <pic:spPr>
                    <a:xfrm>
                      <a:off x="0" y="0"/>
                      <a:ext cx="2445931" cy="3900488"/>
                    </a:xfrm>
                    <a:prstGeom prst="rect"/>
                    <a:ln/>
                  </pic:spPr>
                </pic:pic>
              </a:graphicData>
            </a:graphic>
          </wp:inline>
        </w:drawing>
      </w:r>
      <w:r w:rsidDel="00000000" w:rsidR="00000000" w:rsidRPr="00000000">
        <w:rPr>
          <w:sz w:val="28"/>
          <w:szCs w:val="28"/>
        </w:rPr>
        <w:drawing>
          <wp:inline distB="114300" distT="114300" distL="114300" distR="114300">
            <wp:extent cx="2452103" cy="3911206"/>
            <wp:effectExtent b="0" l="0" r="0" t="0"/>
            <wp:docPr id="21" name="image54.png"/>
            <a:graphic>
              <a:graphicData uri="http://schemas.openxmlformats.org/drawingml/2006/picture">
                <pic:pic>
                  <pic:nvPicPr>
                    <pic:cNvPr id="0" name="image54.png"/>
                    <pic:cNvPicPr preferRelativeResize="0"/>
                  </pic:nvPicPr>
                  <pic:blipFill>
                    <a:blip r:embed="rId126"/>
                    <a:srcRect b="0" l="0" r="0" t="0"/>
                    <a:stretch>
                      <a:fillRect/>
                    </a:stretch>
                  </pic:blipFill>
                  <pic:spPr>
                    <a:xfrm>
                      <a:off x="0" y="0"/>
                      <a:ext cx="2452103" cy="3911206"/>
                    </a:xfrm>
                    <a:prstGeom prst="rect"/>
                    <a:ln/>
                  </pic:spPr>
                </pic:pic>
              </a:graphicData>
            </a:graphic>
          </wp:inline>
        </w:drawing>
      </w:r>
      <w:r w:rsidDel="00000000" w:rsidR="00000000" w:rsidRPr="00000000">
        <w:rPr>
          <w:rtl w:val="0"/>
        </w:rPr>
      </w:r>
    </w:p>
    <w:p w:rsidR="00000000" w:rsidDel="00000000" w:rsidP="00000000" w:rsidRDefault="00000000" w:rsidRPr="00000000" w14:paraId="0000018F">
      <w:pPr>
        <w:spacing w:after="120" w:before="360" w:line="276" w:lineRule="auto"/>
        <w:rPr/>
      </w:pPr>
      <w:r w:rsidDel="00000000" w:rsidR="00000000" w:rsidRPr="00000000">
        <w:rPr>
          <w:rtl w:val="0"/>
        </w:rPr>
        <w:t xml:space="preserve">WEEK 6 – 1 to 7 September 2025</w:t>
      </w:r>
    </w:p>
    <w:p w:rsidR="00000000" w:rsidDel="00000000" w:rsidP="00000000" w:rsidRDefault="00000000" w:rsidRPr="00000000" w14:paraId="00000190">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91">
      <w:pPr>
        <w:rPr>
          <w:sz w:val="28"/>
          <w:szCs w:val="28"/>
        </w:rPr>
      </w:pPr>
      <w:r w:rsidDel="00000000" w:rsidR="00000000" w:rsidRPr="00000000">
        <w:rPr>
          <w:sz w:val="28"/>
          <w:szCs w:val="28"/>
          <w:rtl w:val="0"/>
        </w:rPr>
        <w:t xml:space="preserve">This week I wanted to start translating my ideas into something visual and tangible. I was still teaching full time, but I knew even small steps would help.</w:t>
      </w:r>
    </w:p>
    <w:p w:rsidR="00000000" w:rsidDel="00000000" w:rsidP="00000000" w:rsidRDefault="00000000" w:rsidRPr="00000000" w14:paraId="00000192">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93">
      <w:pPr>
        <w:rPr>
          <w:sz w:val="28"/>
          <w:szCs w:val="28"/>
        </w:rPr>
      </w:pPr>
      <w:r w:rsidDel="00000000" w:rsidR="00000000" w:rsidRPr="00000000">
        <w:rPr>
          <w:sz w:val="28"/>
          <w:szCs w:val="28"/>
          <w:rtl w:val="0"/>
        </w:rPr>
        <w:t xml:space="preserve">I started playing around with layout ideas for the artefact , experimenting with fonts, colours, and icons. I wanted it to look welcoming, not clinical or intimidating. I also wrote the first full draft of my 'Welcome and Ethos Statement.' I decided to use the font ‘Open Dyslexic’ for the main text as I want it to be as easy as it can be to read, including people with dyslexia. I have also opted to use a neutral coloured background, again for ease of reading. </w:t>
      </w:r>
    </w:p>
    <w:p w:rsidR="00000000" w:rsidDel="00000000" w:rsidP="00000000" w:rsidRDefault="00000000" w:rsidRPr="00000000" w14:paraId="00000194">
      <w:pPr>
        <w:rPr>
          <w:sz w:val="28"/>
          <w:szCs w:val="28"/>
        </w:rPr>
      </w:pPr>
      <w:r w:rsidDel="00000000" w:rsidR="00000000" w:rsidRPr="00000000">
        <w:rPr>
          <w:sz w:val="28"/>
          <w:szCs w:val="28"/>
          <w:rtl w:val="0"/>
        </w:rPr>
        <w:t xml:space="preserve">I revisited Palmer’s INSPECT framework (2025) to remind myself of the need for consistency and nurturing tone. That really influenced the voice I used, warm, supportive, and friendly, especially for neurodivergent or anxious learners.</w:t>
      </w:r>
    </w:p>
    <w:p w:rsidR="00000000" w:rsidDel="00000000" w:rsidP="00000000" w:rsidRDefault="00000000" w:rsidRPr="00000000" w14:paraId="00000195">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96">
      <w:pPr>
        <w:rPr>
          <w:sz w:val="28"/>
          <w:szCs w:val="28"/>
        </w:rPr>
      </w:pPr>
      <w:r w:rsidDel="00000000" w:rsidR="00000000" w:rsidRPr="00000000">
        <w:rPr>
          <w:sz w:val="28"/>
          <w:szCs w:val="28"/>
          <w:rtl w:val="0"/>
        </w:rPr>
        <w:t xml:space="preserve">Even though I didn’t get loads done this week, the parts I did do felt meaningful. The design work gave me space to think about tone and accessibility. Durham’s (2023) article on trauma-informed singing made me think about how the visuals themselves can feel safe, soft colours, predictable icons, and encouraging language.</w:t>
      </w:r>
    </w:p>
    <w:p w:rsidR="00000000" w:rsidDel="00000000" w:rsidP="00000000" w:rsidRDefault="00000000" w:rsidRPr="00000000" w14:paraId="00000197">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98">
      <w:pPr>
        <w:rPr>
          <w:sz w:val="28"/>
          <w:szCs w:val="28"/>
        </w:rPr>
      </w:pPr>
      <w:r w:rsidDel="00000000" w:rsidR="00000000" w:rsidRPr="00000000">
        <w:rPr>
          <w:sz w:val="28"/>
          <w:szCs w:val="28"/>
          <w:rtl w:val="0"/>
        </w:rPr>
        <w:t xml:space="preserve">Last Week’s Target: Draft three sample pages of the artefact.</w:t>
        <w:br w:type="textWrapping"/>
        <w:t xml:space="preserve"> Was it Achieved? Partially, I made two pages and sketched ideas for more.</w:t>
      </w:r>
    </w:p>
    <w:p w:rsidR="00000000" w:rsidDel="00000000" w:rsidP="00000000" w:rsidRDefault="00000000" w:rsidRPr="00000000" w14:paraId="00000199">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9A">
      <w:pPr>
        <w:rPr>
          <w:sz w:val="28"/>
          <w:szCs w:val="28"/>
        </w:rPr>
      </w:pPr>
      <w:r w:rsidDel="00000000" w:rsidR="00000000" w:rsidRPr="00000000">
        <w:rPr>
          <w:sz w:val="28"/>
          <w:szCs w:val="28"/>
          <w:rtl w:val="0"/>
        </w:rPr>
        <w:t xml:space="preserve">Add a short section explaining how to use the workbook and start drafting the 'Understanding Your Voice' section.</w:t>
      </w:r>
    </w:p>
    <w:p w:rsidR="00000000" w:rsidDel="00000000" w:rsidP="00000000" w:rsidRDefault="00000000" w:rsidRPr="00000000" w14:paraId="0000019B">
      <w:pPr>
        <w:rPr>
          <w:sz w:val="28"/>
          <w:szCs w:val="28"/>
        </w:rPr>
      </w:pPr>
      <w:r w:rsidDel="00000000" w:rsidR="00000000" w:rsidRPr="00000000">
        <w:rPr>
          <w:sz w:val="28"/>
          <w:szCs w:val="28"/>
        </w:rPr>
        <w:drawing>
          <wp:inline distB="114300" distT="114300" distL="114300" distR="114300">
            <wp:extent cx="2300288" cy="3612631"/>
            <wp:effectExtent b="0" l="0" r="0" t="0"/>
            <wp:docPr id="2" name="image57.png"/>
            <a:graphic>
              <a:graphicData uri="http://schemas.openxmlformats.org/drawingml/2006/picture">
                <pic:pic>
                  <pic:nvPicPr>
                    <pic:cNvPr id="0" name="image57.png"/>
                    <pic:cNvPicPr preferRelativeResize="0"/>
                  </pic:nvPicPr>
                  <pic:blipFill>
                    <a:blip r:embed="rId127"/>
                    <a:srcRect b="0" l="0" r="0" t="0"/>
                    <a:stretch>
                      <a:fillRect/>
                    </a:stretch>
                  </pic:blipFill>
                  <pic:spPr>
                    <a:xfrm>
                      <a:off x="0" y="0"/>
                      <a:ext cx="2300288" cy="3612631"/>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spacing w:after="120" w:before="360" w:line="276" w:lineRule="auto"/>
        <w:rPr/>
      </w:pPr>
      <w:r w:rsidDel="00000000" w:rsidR="00000000" w:rsidRPr="00000000">
        <w:rPr>
          <w:rtl w:val="0"/>
        </w:rPr>
        <w:t xml:space="preserve">WEEK 7 – 8 to 14 September 2025</w:t>
      </w:r>
    </w:p>
    <w:p w:rsidR="00000000" w:rsidDel="00000000" w:rsidP="00000000" w:rsidRDefault="00000000" w:rsidRPr="00000000" w14:paraId="0000019D">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9E">
      <w:pPr>
        <w:rPr>
          <w:sz w:val="28"/>
          <w:szCs w:val="28"/>
        </w:rPr>
      </w:pPr>
      <w:r w:rsidDel="00000000" w:rsidR="00000000" w:rsidRPr="00000000">
        <w:rPr>
          <w:sz w:val="28"/>
          <w:szCs w:val="28"/>
          <w:rtl w:val="0"/>
        </w:rPr>
        <w:t xml:space="preserve">My goal this week was to start thinking about how learners will use reflection within the artefact. I wanted the journal section to be simple but meaningful, especially for neurodivergent students who might find big chunks of writing overwhelming. I need to make reflection boxes smaller to avoid overwhelm.</w:t>
      </w:r>
    </w:p>
    <w:p w:rsidR="00000000" w:rsidDel="00000000" w:rsidP="00000000" w:rsidRDefault="00000000" w:rsidRPr="00000000" w14:paraId="0000019F">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A0">
      <w:pPr>
        <w:rPr>
          <w:sz w:val="28"/>
          <w:szCs w:val="28"/>
        </w:rPr>
      </w:pPr>
      <w:r w:rsidDel="00000000" w:rsidR="00000000" w:rsidRPr="00000000">
        <w:rPr>
          <w:sz w:val="28"/>
          <w:szCs w:val="28"/>
          <w:rtl w:val="0"/>
        </w:rPr>
        <w:t xml:space="preserve">I looked at Kolb’s learning cycle and Gibbs’ reflective model again and compared them to Palmer’s INSPECT structure. I ended up mixing ideas from all three to make something that felt less formal and more user-friendly.</w:t>
      </w:r>
    </w:p>
    <w:p w:rsidR="00000000" w:rsidDel="00000000" w:rsidP="00000000" w:rsidRDefault="00000000" w:rsidRPr="00000000" w14:paraId="000001A1">
      <w:pPr>
        <w:rPr>
          <w:sz w:val="28"/>
          <w:szCs w:val="28"/>
        </w:rPr>
      </w:pPr>
      <w:r w:rsidDel="00000000" w:rsidR="00000000" w:rsidRPr="00000000">
        <w:rPr>
          <w:sz w:val="28"/>
          <w:szCs w:val="28"/>
          <w:rtl w:val="0"/>
        </w:rPr>
        <w:t xml:space="preserve">I drafted prompts like 'How did my voice feel?' and 'What helped me stay calm or grounded?' and planned short reflection boxes to break things up visually.</w:t>
      </w:r>
    </w:p>
    <w:p w:rsidR="00000000" w:rsidDel="00000000" w:rsidP="00000000" w:rsidRDefault="00000000" w:rsidRPr="00000000" w14:paraId="000001A2">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A3">
      <w:pPr>
        <w:rPr>
          <w:sz w:val="28"/>
          <w:szCs w:val="28"/>
        </w:rPr>
      </w:pPr>
      <w:r w:rsidDel="00000000" w:rsidR="00000000" w:rsidRPr="00000000">
        <w:rPr>
          <w:sz w:val="28"/>
          <w:szCs w:val="28"/>
          <w:rtl w:val="0"/>
        </w:rPr>
        <w:t xml:space="preserve">I love the reflective element because it connects the emotional and technical sides of singing. It also gives students agency , something I wish I’d had when I was learning. I’ve realised the artefact isn’t just about teaching EVEs; it’s about teaching self-awareness and self-trust.</w:t>
      </w:r>
    </w:p>
    <w:p w:rsidR="00000000" w:rsidDel="00000000" w:rsidP="00000000" w:rsidRDefault="00000000" w:rsidRPr="00000000" w14:paraId="000001A4">
      <w:pPr>
        <w:rPr>
          <w:sz w:val="28"/>
          <w:szCs w:val="28"/>
        </w:rPr>
      </w:pPr>
      <w:r w:rsidDel="00000000" w:rsidR="00000000" w:rsidRPr="00000000">
        <w:rPr>
          <w:sz w:val="28"/>
          <w:szCs w:val="28"/>
          <w:rtl w:val="0"/>
        </w:rPr>
        <w:t xml:space="preserve">Work has been really busy this week, so I didn’t manage as much practical writing as I hoped, but the reflection design feels strong.</w:t>
      </w:r>
    </w:p>
    <w:p w:rsidR="00000000" w:rsidDel="00000000" w:rsidP="00000000" w:rsidRDefault="00000000" w:rsidRPr="00000000" w14:paraId="000001A5">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A6">
      <w:pPr>
        <w:rPr>
          <w:sz w:val="28"/>
          <w:szCs w:val="28"/>
        </w:rPr>
      </w:pPr>
      <w:r w:rsidDel="00000000" w:rsidR="00000000" w:rsidRPr="00000000">
        <w:rPr>
          <w:sz w:val="28"/>
          <w:szCs w:val="28"/>
          <w:rtl w:val="0"/>
        </w:rPr>
        <w:t xml:space="preserve">Last Week’s Target: Start drafting 'Understanding Your Voice.'</w:t>
        <w:br w:type="textWrapping"/>
        <w:t xml:space="preserve"> Was it Achieved? Partially, I’ve outlined the what needs to be covered in this section. </w:t>
      </w:r>
    </w:p>
    <w:p w:rsidR="00000000" w:rsidDel="00000000" w:rsidP="00000000" w:rsidRDefault="00000000" w:rsidRPr="00000000" w14:paraId="000001A7">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A8">
      <w:pPr>
        <w:rPr>
          <w:sz w:val="28"/>
          <w:szCs w:val="28"/>
        </w:rPr>
      </w:pPr>
      <w:r w:rsidDel="00000000" w:rsidR="00000000" w:rsidRPr="00000000">
        <w:rPr>
          <w:sz w:val="28"/>
          <w:szCs w:val="28"/>
          <w:rtl w:val="0"/>
        </w:rPr>
        <w:t xml:space="preserve">Draft one full 'Understanding Your Voice' page and plan ideas for the reflective section.</w:t>
      </w:r>
    </w:p>
    <w:p w:rsidR="00000000" w:rsidDel="00000000" w:rsidP="00000000" w:rsidRDefault="00000000" w:rsidRPr="00000000" w14:paraId="000001A9">
      <w:pPr>
        <w:rPr>
          <w:sz w:val="28"/>
          <w:szCs w:val="28"/>
        </w:rPr>
      </w:pPr>
      <w:r w:rsidDel="00000000" w:rsidR="00000000" w:rsidRPr="00000000">
        <w:rPr>
          <w:rtl w:val="0"/>
        </w:rPr>
      </w:r>
    </w:p>
    <w:p w:rsidR="00000000" w:rsidDel="00000000" w:rsidP="00000000" w:rsidRDefault="00000000" w:rsidRPr="00000000" w14:paraId="000001AA">
      <w:pPr>
        <w:spacing w:after="120" w:before="360" w:line="276" w:lineRule="auto"/>
        <w:rPr/>
      </w:pPr>
      <w:r w:rsidDel="00000000" w:rsidR="00000000" w:rsidRPr="00000000">
        <w:rPr>
          <w:rtl w:val="0"/>
        </w:rPr>
        <w:t xml:space="preserve">WEEK 8 – 15 to 21 September 2025</w:t>
      </w:r>
    </w:p>
    <w:p w:rsidR="00000000" w:rsidDel="00000000" w:rsidP="00000000" w:rsidRDefault="00000000" w:rsidRPr="00000000" w14:paraId="000001AB">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AC">
      <w:pPr>
        <w:rPr>
          <w:sz w:val="28"/>
          <w:szCs w:val="28"/>
        </w:rPr>
      </w:pPr>
      <w:r w:rsidDel="00000000" w:rsidR="00000000" w:rsidRPr="00000000">
        <w:rPr>
          <w:sz w:val="28"/>
          <w:szCs w:val="28"/>
          <w:rtl w:val="0"/>
        </w:rPr>
        <w:t xml:space="preserve">This week was chaotic with going back to work. I picked up extra hours of cover teaching and barely had time to breathe, let alone study. Still, I wanted to stay connected to my project, even in small ways.</w:t>
      </w:r>
    </w:p>
    <w:p w:rsidR="00000000" w:rsidDel="00000000" w:rsidP="00000000" w:rsidRDefault="00000000" w:rsidRPr="00000000" w14:paraId="000001AD">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AE">
      <w:pPr>
        <w:rPr>
          <w:sz w:val="28"/>
          <w:szCs w:val="28"/>
        </w:rPr>
      </w:pPr>
      <w:r w:rsidDel="00000000" w:rsidR="00000000" w:rsidRPr="00000000">
        <w:rPr>
          <w:sz w:val="28"/>
          <w:szCs w:val="28"/>
          <w:rtl w:val="0"/>
        </w:rPr>
        <w:t xml:space="preserve">I didn’t do much writing, but I reread parts of my Component 1 and reflected on what I’d achieved so far. I also read small sections of Cates (2022) about gender-inclusive choral teaching. It reminded me how often gendered expectations still appear in vocal pedagogy, and how important it is that my artefact avoids that completely.</w:t>
      </w:r>
    </w:p>
    <w:p w:rsidR="00000000" w:rsidDel="00000000" w:rsidP="00000000" w:rsidRDefault="00000000" w:rsidRPr="00000000" w14:paraId="000001AF">
      <w:pPr>
        <w:rPr>
          <w:sz w:val="28"/>
          <w:szCs w:val="28"/>
        </w:rPr>
      </w:pPr>
      <w:r w:rsidDel="00000000" w:rsidR="00000000" w:rsidRPr="00000000">
        <w:rPr>
          <w:sz w:val="28"/>
          <w:szCs w:val="28"/>
          <w:rtl w:val="0"/>
        </w:rPr>
        <w:t xml:space="preserve">I also made a quick note to include a section explaining how transitioning or hormone therapy might affect the voice, something that’s often ignored.</w:t>
      </w:r>
    </w:p>
    <w:p w:rsidR="00000000" w:rsidDel="00000000" w:rsidP="00000000" w:rsidRDefault="00000000" w:rsidRPr="00000000" w14:paraId="000001B0">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B1">
      <w:pPr>
        <w:rPr>
          <w:sz w:val="28"/>
          <w:szCs w:val="28"/>
        </w:rPr>
      </w:pPr>
      <w:r w:rsidDel="00000000" w:rsidR="00000000" w:rsidRPr="00000000">
        <w:rPr>
          <w:sz w:val="28"/>
          <w:szCs w:val="28"/>
          <w:rtl w:val="0"/>
        </w:rPr>
        <w:t xml:space="preserve">It’s frustrating when work takes over, but I’m trying not to beat myself up about it. This project is about compassion and patience, so I need to apply that to myself too.</w:t>
      </w:r>
    </w:p>
    <w:p w:rsidR="00000000" w:rsidDel="00000000" w:rsidP="00000000" w:rsidRDefault="00000000" w:rsidRPr="00000000" w14:paraId="000001B2">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B3">
      <w:pPr>
        <w:rPr>
          <w:sz w:val="28"/>
          <w:szCs w:val="28"/>
        </w:rPr>
      </w:pPr>
      <w:r w:rsidDel="00000000" w:rsidR="00000000" w:rsidRPr="00000000">
        <w:rPr>
          <w:sz w:val="28"/>
          <w:szCs w:val="28"/>
          <w:rtl w:val="0"/>
        </w:rPr>
        <w:t xml:space="preserve">Last Week’s Target: Draft 'Understanding Your Voice' page and one reflection exercise.</w:t>
        <w:br w:type="textWrapping"/>
        <w:t xml:space="preserve"> Was it Achieved? Not fully , I’ve outlined ideas but haven’t written them up yet.</w:t>
      </w:r>
    </w:p>
    <w:p w:rsidR="00000000" w:rsidDel="00000000" w:rsidP="00000000" w:rsidRDefault="00000000" w:rsidRPr="00000000" w14:paraId="000001B4">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B5">
      <w:pPr>
        <w:rPr>
          <w:sz w:val="28"/>
          <w:szCs w:val="28"/>
        </w:rPr>
      </w:pPr>
      <w:r w:rsidDel="00000000" w:rsidR="00000000" w:rsidRPr="00000000">
        <w:rPr>
          <w:sz w:val="28"/>
          <w:szCs w:val="28"/>
          <w:rtl w:val="0"/>
        </w:rPr>
        <w:t xml:space="preserve">Do one hour of focused work this week , even if it’s just finishing that first 'Understanding Your Voice' draft.</w:t>
      </w:r>
    </w:p>
    <w:p w:rsidR="00000000" w:rsidDel="00000000" w:rsidP="00000000" w:rsidRDefault="00000000" w:rsidRPr="00000000" w14:paraId="000001B6">
      <w:pPr>
        <w:spacing w:after="120" w:before="360" w:line="276" w:lineRule="auto"/>
        <w:rPr/>
      </w:pPr>
      <w:r w:rsidDel="00000000" w:rsidR="00000000" w:rsidRPr="00000000">
        <w:rPr>
          <w:rtl w:val="0"/>
        </w:rPr>
        <w:t xml:space="preserve">WEEK 9 – 22 to 28 September 2025</w:t>
      </w:r>
    </w:p>
    <w:p w:rsidR="00000000" w:rsidDel="00000000" w:rsidP="00000000" w:rsidRDefault="00000000" w:rsidRPr="00000000" w14:paraId="000001B7">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B8">
      <w:pPr>
        <w:rPr>
          <w:sz w:val="28"/>
          <w:szCs w:val="28"/>
        </w:rPr>
      </w:pPr>
      <w:r w:rsidDel="00000000" w:rsidR="00000000" w:rsidRPr="00000000">
        <w:rPr>
          <w:sz w:val="28"/>
          <w:szCs w:val="28"/>
          <w:rtl w:val="0"/>
        </w:rPr>
        <w:t xml:space="preserve">This week I wanted to reconnect with the creative side of the project. My workload was still heavy, but I am trying not to fall too far behind.</w:t>
      </w:r>
    </w:p>
    <w:p w:rsidR="00000000" w:rsidDel="00000000" w:rsidP="00000000" w:rsidRDefault="00000000" w:rsidRPr="00000000" w14:paraId="000001B9">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BA">
      <w:pPr>
        <w:rPr>
          <w:sz w:val="28"/>
          <w:szCs w:val="28"/>
        </w:rPr>
      </w:pPr>
      <w:r w:rsidDel="00000000" w:rsidR="00000000" w:rsidRPr="00000000">
        <w:rPr>
          <w:sz w:val="28"/>
          <w:szCs w:val="28"/>
          <w:rtl w:val="0"/>
        </w:rPr>
        <w:t xml:space="preserve">As I sketched the Understanding Your Voice pages, I realised the diagrams need to be simpler and more symbolic, with less detail and clearer shapes. Rereading Le Cunff et al. (2024) supported this, emphasising the importance of chunking and multi-sensory formats for neurodiverse learners.</w:t>
      </w:r>
    </w:p>
    <w:p w:rsidR="00000000" w:rsidDel="00000000" w:rsidP="00000000" w:rsidRDefault="00000000" w:rsidRPr="00000000" w14:paraId="000001BB">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BC">
      <w:pPr>
        <w:rPr>
          <w:sz w:val="28"/>
          <w:szCs w:val="28"/>
        </w:rPr>
      </w:pPr>
      <w:r w:rsidDel="00000000" w:rsidR="00000000" w:rsidRPr="00000000">
        <w:rPr>
          <w:sz w:val="28"/>
          <w:szCs w:val="28"/>
          <w:rtl w:val="0"/>
        </w:rPr>
        <w:t xml:space="preserve">This week reminded me how much I enjoy designing learning materials. It’s creative but still grounded in pedagogy. I think the strength of this artefact will come from the balance between clarity and warmth.</w:t>
      </w:r>
    </w:p>
    <w:p w:rsidR="00000000" w:rsidDel="00000000" w:rsidP="00000000" w:rsidRDefault="00000000" w:rsidRPr="00000000" w14:paraId="000001BD">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BE">
      <w:pPr>
        <w:rPr>
          <w:sz w:val="28"/>
          <w:szCs w:val="28"/>
        </w:rPr>
      </w:pPr>
      <w:r w:rsidDel="00000000" w:rsidR="00000000" w:rsidRPr="00000000">
        <w:rPr>
          <w:sz w:val="28"/>
          <w:szCs w:val="28"/>
          <w:rtl w:val="0"/>
        </w:rPr>
        <w:t xml:space="preserve">Last Week’s Target: Do one hour of focused work and complete the first 'Understanding Your Voice' draft.</w:t>
        <w:br w:type="textWrapping"/>
        <w:t xml:space="preserve"> Was it Achieved? Yes, I wrote the first full draft and sketched out the layout.</w:t>
      </w:r>
    </w:p>
    <w:p w:rsidR="00000000" w:rsidDel="00000000" w:rsidP="00000000" w:rsidRDefault="00000000" w:rsidRPr="00000000" w14:paraId="000001BF">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C0">
      <w:pPr>
        <w:rPr>
          <w:sz w:val="28"/>
          <w:szCs w:val="28"/>
        </w:rPr>
      </w:pPr>
      <w:r w:rsidDel="00000000" w:rsidR="00000000" w:rsidRPr="00000000">
        <w:rPr>
          <w:sz w:val="28"/>
          <w:szCs w:val="28"/>
          <w:rtl w:val="0"/>
        </w:rPr>
        <w:t xml:space="preserve">Plan the next section: 'History of Extreme Vocal Effects.' Find examples and make notes for QR codes or listening prompts.</w:t>
      </w:r>
    </w:p>
    <w:p w:rsidR="00000000" w:rsidDel="00000000" w:rsidP="00000000" w:rsidRDefault="00000000" w:rsidRPr="00000000" w14:paraId="000001C1">
      <w:pPr>
        <w:rPr>
          <w:sz w:val="28"/>
          <w:szCs w:val="28"/>
        </w:rPr>
      </w:pPr>
      <w:r w:rsidDel="00000000" w:rsidR="00000000" w:rsidRPr="00000000">
        <w:rPr>
          <w:rtl w:val="0"/>
        </w:rPr>
      </w:r>
    </w:p>
    <w:p w:rsidR="00000000" w:rsidDel="00000000" w:rsidP="00000000" w:rsidRDefault="00000000" w:rsidRPr="00000000" w14:paraId="000001C2">
      <w:pPr>
        <w:rPr>
          <w:sz w:val="28"/>
          <w:szCs w:val="28"/>
        </w:rPr>
      </w:pPr>
      <w:r w:rsidDel="00000000" w:rsidR="00000000" w:rsidRPr="00000000">
        <w:rPr>
          <w:sz w:val="28"/>
          <w:szCs w:val="28"/>
        </w:rPr>
        <w:drawing>
          <wp:inline distB="114300" distT="114300" distL="114300" distR="114300">
            <wp:extent cx="2547938" cy="4043308"/>
            <wp:effectExtent b="0" l="0" r="0" t="0"/>
            <wp:docPr id="44" name="image69.png"/>
            <a:graphic>
              <a:graphicData uri="http://schemas.openxmlformats.org/drawingml/2006/picture">
                <pic:pic>
                  <pic:nvPicPr>
                    <pic:cNvPr id="0" name="image69.png"/>
                    <pic:cNvPicPr preferRelativeResize="0"/>
                  </pic:nvPicPr>
                  <pic:blipFill>
                    <a:blip r:embed="rId128"/>
                    <a:srcRect b="0" l="0" r="0" t="0"/>
                    <a:stretch>
                      <a:fillRect/>
                    </a:stretch>
                  </pic:blipFill>
                  <pic:spPr>
                    <a:xfrm>
                      <a:off x="0" y="0"/>
                      <a:ext cx="2547938" cy="4043308"/>
                    </a:xfrm>
                    <a:prstGeom prst="rect"/>
                    <a:ln/>
                  </pic:spPr>
                </pic:pic>
              </a:graphicData>
            </a:graphic>
          </wp:inline>
        </w:drawing>
      </w:r>
      <w:r w:rsidDel="00000000" w:rsidR="00000000" w:rsidRPr="00000000">
        <w:rPr>
          <w:sz w:val="28"/>
          <w:szCs w:val="28"/>
        </w:rPr>
        <w:drawing>
          <wp:inline distB="114300" distT="114300" distL="114300" distR="114300">
            <wp:extent cx="2504419" cy="4005263"/>
            <wp:effectExtent b="0" l="0" r="0" t="0"/>
            <wp:docPr id="1" name="image29.png"/>
            <a:graphic>
              <a:graphicData uri="http://schemas.openxmlformats.org/drawingml/2006/picture">
                <pic:pic>
                  <pic:nvPicPr>
                    <pic:cNvPr id="0" name="image29.png"/>
                    <pic:cNvPicPr preferRelativeResize="0"/>
                  </pic:nvPicPr>
                  <pic:blipFill>
                    <a:blip r:embed="rId129"/>
                    <a:srcRect b="0" l="0" r="0" t="0"/>
                    <a:stretch>
                      <a:fillRect/>
                    </a:stretch>
                  </pic:blipFill>
                  <pic:spPr>
                    <a:xfrm>
                      <a:off x="0" y="0"/>
                      <a:ext cx="2504419" cy="4005263"/>
                    </a:xfrm>
                    <a:prstGeom prst="rect"/>
                    <a:ln/>
                  </pic:spPr>
                </pic:pic>
              </a:graphicData>
            </a:graphic>
          </wp:inline>
        </w:drawing>
      </w:r>
      <w:r w:rsidDel="00000000" w:rsidR="00000000" w:rsidRPr="00000000">
        <w:rPr>
          <w:sz w:val="28"/>
          <w:szCs w:val="28"/>
        </w:rPr>
        <w:drawing>
          <wp:inline distB="114300" distT="114300" distL="114300" distR="114300">
            <wp:extent cx="2452688" cy="3906498"/>
            <wp:effectExtent b="0" l="0" r="0" t="0"/>
            <wp:docPr id="75" name="image106.png"/>
            <a:graphic>
              <a:graphicData uri="http://schemas.openxmlformats.org/drawingml/2006/picture">
                <pic:pic>
                  <pic:nvPicPr>
                    <pic:cNvPr id="0" name="image106.png"/>
                    <pic:cNvPicPr preferRelativeResize="0"/>
                  </pic:nvPicPr>
                  <pic:blipFill>
                    <a:blip r:embed="rId130"/>
                    <a:srcRect b="0" l="0" r="0" t="0"/>
                    <a:stretch>
                      <a:fillRect/>
                    </a:stretch>
                  </pic:blipFill>
                  <pic:spPr>
                    <a:xfrm>
                      <a:off x="0" y="0"/>
                      <a:ext cx="2452688" cy="3906498"/>
                    </a:xfrm>
                    <a:prstGeom prst="rect"/>
                    <a:ln/>
                  </pic:spPr>
                </pic:pic>
              </a:graphicData>
            </a:graphic>
          </wp:inline>
        </w:drawing>
      </w:r>
      <w:r w:rsidDel="00000000" w:rsidR="00000000" w:rsidRPr="00000000">
        <w:rPr>
          <w:sz w:val="28"/>
          <w:szCs w:val="28"/>
        </w:rPr>
        <w:drawing>
          <wp:inline distB="114300" distT="114300" distL="114300" distR="114300">
            <wp:extent cx="2443163" cy="3894749"/>
            <wp:effectExtent b="0" l="0" r="0" t="0"/>
            <wp:docPr id="16" name="image24.png"/>
            <a:graphic>
              <a:graphicData uri="http://schemas.openxmlformats.org/drawingml/2006/picture">
                <pic:pic>
                  <pic:nvPicPr>
                    <pic:cNvPr id="0" name="image24.png"/>
                    <pic:cNvPicPr preferRelativeResize="0"/>
                  </pic:nvPicPr>
                  <pic:blipFill>
                    <a:blip r:embed="rId131"/>
                    <a:srcRect b="0" l="0" r="0" t="0"/>
                    <a:stretch>
                      <a:fillRect/>
                    </a:stretch>
                  </pic:blipFill>
                  <pic:spPr>
                    <a:xfrm>
                      <a:off x="0" y="0"/>
                      <a:ext cx="2443163" cy="3894749"/>
                    </a:xfrm>
                    <a:prstGeom prst="rect"/>
                    <a:ln/>
                  </pic:spPr>
                </pic:pic>
              </a:graphicData>
            </a:graphic>
          </wp:inline>
        </w:drawing>
      </w:r>
      <w:r w:rsidDel="00000000" w:rsidR="00000000" w:rsidRPr="00000000">
        <w:rPr>
          <w:rtl w:val="0"/>
        </w:rPr>
      </w:r>
    </w:p>
    <w:p w:rsidR="00000000" w:rsidDel="00000000" w:rsidP="00000000" w:rsidRDefault="00000000" w:rsidRPr="00000000" w14:paraId="000001C3">
      <w:pPr>
        <w:spacing w:after="120" w:before="360" w:line="276" w:lineRule="auto"/>
        <w:rPr/>
      </w:pPr>
      <w:r w:rsidDel="00000000" w:rsidR="00000000" w:rsidRPr="00000000">
        <w:rPr>
          <w:rtl w:val="0"/>
        </w:rPr>
        <w:t xml:space="preserve">WEEK 10 – 29 September to 12 October 2025</w:t>
      </w:r>
    </w:p>
    <w:p w:rsidR="00000000" w:rsidDel="00000000" w:rsidP="00000000" w:rsidRDefault="00000000" w:rsidRPr="00000000" w14:paraId="000001C4">
      <w:pPr>
        <w:keepNext w:val="0"/>
        <w:keepLines w:val="0"/>
        <w:spacing w:after="80" w:before="360" w:line="276" w:lineRule="auto"/>
        <w:rPr/>
      </w:pPr>
      <w:r w:rsidDel="00000000" w:rsidR="00000000" w:rsidRPr="00000000">
        <w:rPr>
          <w:rtl w:val="0"/>
        </w:rPr>
        <w:t xml:space="preserve">1. Overview of the Week Ahead</w:t>
      </w:r>
    </w:p>
    <w:p w:rsidR="00000000" w:rsidDel="00000000" w:rsidP="00000000" w:rsidRDefault="00000000" w:rsidRPr="00000000" w14:paraId="000001C5">
      <w:pPr>
        <w:spacing w:after="240" w:before="240" w:lineRule="auto"/>
        <w:rPr>
          <w:sz w:val="28"/>
          <w:szCs w:val="28"/>
        </w:rPr>
      </w:pPr>
      <w:r w:rsidDel="00000000" w:rsidR="00000000" w:rsidRPr="00000000">
        <w:rPr>
          <w:sz w:val="28"/>
          <w:szCs w:val="28"/>
          <w:rtl w:val="0"/>
        </w:rPr>
        <w:t xml:space="preserve">The start of November has still been quite draining. With a lot happening at work and at home, I’ve been tired and struggling for focus. Even so, I’m trying to keep the project moving by making small edits that strengthen the emotional and identity-based tone of the artefact.</w:t>
      </w:r>
    </w:p>
    <w:p w:rsidR="00000000" w:rsidDel="00000000" w:rsidP="00000000" w:rsidRDefault="00000000" w:rsidRPr="00000000" w14:paraId="000001C6">
      <w:pPr>
        <w:keepNext w:val="0"/>
        <w:keepLines w:val="0"/>
        <w:spacing w:after="80" w:before="360" w:line="276" w:lineRule="auto"/>
        <w:rPr/>
      </w:pPr>
      <w:r w:rsidDel="00000000" w:rsidR="00000000" w:rsidRPr="00000000">
        <w:rPr>
          <w:rtl w:val="0"/>
        </w:rPr>
        <w:t xml:space="preserve">2. Activity Log – What I Actually Did</w:t>
      </w:r>
    </w:p>
    <w:p w:rsidR="00000000" w:rsidDel="00000000" w:rsidP="00000000" w:rsidRDefault="00000000" w:rsidRPr="00000000" w14:paraId="000001C7">
      <w:pPr>
        <w:spacing w:after="240" w:before="240" w:lineRule="auto"/>
        <w:rPr>
          <w:sz w:val="28"/>
          <w:szCs w:val="28"/>
        </w:rPr>
      </w:pPr>
      <w:r w:rsidDel="00000000" w:rsidR="00000000" w:rsidRPr="00000000">
        <w:rPr>
          <w:sz w:val="28"/>
          <w:szCs w:val="28"/>
          <w:rtl w:val="0"/>
        </w:rPr>
        <w:t xml:space="preserve">I read more of Algoet (2024), which helped me think about how playful, uninhibited vocal exploration can reduce the pressure learners feel. This encouraged me to adjust the “Playful Exploration” pages so they emphasise curiosity and freedom rather than correctness.</w:t>
      </w:r>
    </w:p>
    <w:p w:rsidR="00000000" w:rsidDel="00000000" w:rsidP="00000000" w:rsidRDefault="00000000" w:rsidRPr="00000000" w14:paraId="000001C8">
      <w:pPr>
        <w:spacing w:after="240" w:before="240" w:lineRule="auto"/>
        <w:rPr>
          <w:sz w:val="28"/>
          <w:szCs w:val="28"/>
        </w:rPr>
      </w:pPr>
      <w:r w:rsidDel="00000000" w:rsidR="00000000" w:rsidRPr="00000000">
        <w:rPr>
          <w:sz w:val="28"/>
          <w:szCs w:val="28"/>
          <w:rtl w:val="0"/>
        </w:rPr>
        <w:t xml:space="preserve">I also returned to the “Vocal Health and Safety” and early welcome pages, adding more trauma-sensitive reminders based on Durham (2023), like taking breaks, noticing sensations and choosing your own pace. While editing, I realised how important it is for the workbook to make learners feel safe </w:t>
      </w:r>
      <w:r w:rsidDel="00000000" w:rsidR="00000000" w:rsidRPr="00000000">
        <w:rPr>
          <w:i w:val="1"/>
          <w:iCs w:val="1"/>
          <w:sz w:val="28"/>
          <w:szCs w:val="28"/>
          <w:rtl w:val="0"/>
        </w:rPr>
        <w:t xml:space="preserve">before</w:t>
      </w:r>
      <w:r w:rsidDel="00000000" w:rsidR="00000000" w:rsidRPr="00000000">
        <w:rPr>
          <w:sz w:val="28"/>
          <w:szCs w:val="28"/>
          <w:rtl w:val="0"/>
        </w:rPr>
        <w:t xml:space="preserve"> they attempt any technique. That meant adopting a warmer, more conversational tone and removing anything that sounded strict or judgmental.</w:t>
      </w:r>
    </w:p>
    <w:p w:rsidR="00000000" w:rsidDel="00000000" w:rsidP="00000000" w:rsidRDefault="00000000" w:rsidRPr="00000000" w14:paraId="000001C9">
      <w:pPr>
        <w:spacing w:after="240" w:before="240" w:lineRule="auto"/>
        <w:rPr>
          <w:sz w:val="28"/>
          <w:szCs w:val="28"/>
        </w:rPr>
      </w:pPr>
      <w:r w:rsidDel="00000000" w:rsidR="00000000" w:rsidRPr="00000000">
        <w:rPr>
          <w:sz w:val="28"/>
          <w:szCs w:val="28"/>
          <w:rtl w:val="0"/>
        </w:rPr>
        <w:t xml:space="preserve">I added small phrases such as “your voice is valid” and “you can explore this in your own time” because they align with the inclusive, identity-affirming approach I want the resource to have. I also checked that my wording made it clear that all voices — regardless of gender — can explore EVEs.</w:t>
      </w:r>
    </w:p>
    <w:p w:rsidR="00000000" w:rsidDel="00000000" w:rsidP="00000000" w:rsidRDefault="00000000" w:rsidRPr="00000000" w14:paraId="000001CA">
      <w:pPr>
        <w:keepNext w:val="0"/>
        <w:keepLines w:val="0"/>
        <w:spacing w:after="80" w:before="360" w:line="276" w:lineRule="auto"/>
        <w:rPr/>
      </w:pPr>
      <w:r w:rsidDel="00000000" w:rsidR="00000000" w:rsidRPr="00000000">
        <w:rPr>
          <w:rtl w:val="0"/>
        </w:rPr>
        <w:t xml:space="preserve">3. Critical Reflection</w:t>
      </w:r>
    </w:p>
    <w:p w:rsidR="00000000" w:rsidDel="00000000" w:rsidP="00000000" w:rsidRDefault="00000000" w:rsidRPr="00000000" w14:paraId="000001CB">
      <w:pPr>
        <w:spacing w:after="240" w:before="240" w:lineRule="auto"/>
        <w:rPr>
          <w:sz w:val="28"/>
          <w:szCs w:val="28"/>
        </w:rPr>
      </w:pPr>
      <w:r w:rsidDel="00000000" w:rsidR="00000000" w:rsidRPr="00000000">
        <w:rPr>
          <w:sz w:val="28"/>
          <w:szCs w:val="28"/>
          <w:rtl w:val="0"/>
        </w:rPr>
        <w:t xml:space="preserve">Even though my workload is heavy, these small edits helped the artefact feel more grounded in the trauma-informed principles I’ve been reading about. This week reminded me that the tone of the guide is just as important as the technical content. If the resource feels safe and warm, learners are more likely to experiment without fear or self-judgment.</w:t>
      </w:r>
    </w:p>
    <w:p w:rsidR="00000000" w:rsidDel="00000000" w:rsidP="00000000" w:rsidRDefault="00000000" w:rsidRPr="00000000" w14:paraId="000001CC">
      <w:pPr>
        <w:keepNext w:val="0"/>
        <w:keepLines w:val="0"/>
        <w:spacing w:after="80" w:before="360" w:line="276" w:lineRule="auto"/>
        <w:rPr/>
      </w:pPr>
      <w:r w:rsidDel="00000000" w:rsidR="00000000" w:rsidRPr="00000000">
        <w:rPr>
          <w:rtl w:val="0"/>
        </w:rPr>
        <w:t xml:space="preserve">4. SMART Target Review</w:t>
      </w:r>
    </w:p>
    <w:p w:rsidR="00000000" w:rsidDel="00000000" w:rsidP="00000000" w:rsidRDefault="00000000" w:rsidRPr="00000000" w14:paraId="000001CD">
      <w:pPr>
        <w:spacing w:after="240" w:before="240" w:lineRule="auto"/>
        <w:rPr>
          <w:sz w:val="28"/>
          <w:szCs w:val="28"/>
        </w:rPr>
      </w:pPr>
      <w:r w:rsidDel="00000000" w:rsidR="00000000" w:rsidRPr="00000000">
        <w:rPr>
          <w:sz w:val="28"/>
          <w:szCs w:val="28"/>
          <w:rtl w:val="0"/>
        </w:rPr>
        <w:t xml:space="preserve">Last Week’s Target: Plan the “History of EVEs” section and find listening examples.</w:t>
        <w:br w:type="textWrapping"/>
        <w:t xml:space="preserve"> Was it Achieved? Partially — I found examples but didn’t draft the section.</w:t>
      </w:r>
    </w:p>
    <w:p w:rsidR="00000000" w:rsidDel="00000000" w:rsidP="00000000" w:rsidRDefault="00000000" w:rsidRPr="00000000" w14:paraId="000001CE">
      <w:pPr>
        <w:keepNext w:val="0"/>
        <w:keepLines w:val="0"/>
        <w:spacing w:after="80" w:before="360" w:line="276" w:lineRule="auto"/>
        <w:rPr/>
      </w:pPr>
      <w:r w:rsidDel="00000000" w:rsidR="00000000" w:rsidRPr="00000000">
        <w:rPr>
          <w:rtl w:val="0"/>
        </w:rPr>
        <w:t xml:space="preserve">5. New SMART Target</w:t>
      </w:r>
    </w:p>
    <w:p w:rsidR="00000000" w:rsidDel="00000000" w:rsidP="00000000" w:rsidRDefault="00000000" w:rsidRPr="00000000" w14:paraId="000001CF">
      <w:pPr>
        <w:spacing w:after="240" w:before="240" w:lineRule="auto"/>
        <w:rPr>
          <w:sz w:val="28"/>
          <w:szCs w:val="28"/>
        </w:rPr>
      </w:pPr>
      <w:r w:rsidDel="00000000" w:rsidR="00000000" w:rsidRPr="00000000">
        <w:rPr>
          <w:sz w:val="28"/>
          <w:szCs w:val="28"/>
          <w:rtl w:val="0"/>
        </w:rPr>
        <w:t xml:space="preserve">Finish the first full draft of the “History of EVEs” section and continue refining the tone of the artefact so it stays warm, accessible and non-judgmental.</w:t>
      </w:r>
    </w:p>
    <w:p w:rsidR="00000000" w:rsidDel="00000000" w:rsidP="00000000" w:rsidRDefault="00000000" w:rsidRPr="00000000" w14:paraId="000001D0">
      <w:pPr>
        <w:rPr>
          <w:sz w:val="28"/>
          <w:szCs w:val="28"/>
        </w:rPr>
      </w:pPr>
      <w:r w:rsidDel="00000000" w:rsidR="00000000" w:rsidRPr="00000000">
        <w:rPr>
          <w:rtl w:val="0"/>
        </w:rPr>
      </w:r>
    </w:p>
    <w:p w:rsidR="00000000" w:rsidDel="00000000" w:rsidP="00000000" w:rsidRDefault="00000000" w:rsidRPr="00000000" w14:paraId="000001D1">
      <w:pPr>
        <w:spacing w:after="120" w:before="360" w:line="276" w:lineRule="auto"/>
        <w:rPr/>
      </w:pPr>
      <w:r w:rsidDel="00000000" w:rsidR="00000000" w:rsidRPr="00000000">
        <w:rPr>
          <w:rtl w:val="0"/>
        </w:rPr>
        <w:t xml:space="preserve">WEEK 11 – 13 to 19 October 2025</w:t>
      </w:r>
    </w:p>
    <w:p w:rsidR="00000000" w:rsidDel="00000000" w:rsidP="00000000" w:rsidRDefault="00000000" w:rsidRPr="00000000" w14:paraId="000001D2">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D3">
      <w:pPr>
        <w:rPr>
          <w:sz w:val="28"/>
          <w:szCs w:val="28"/>
        </w:rPr>
      </w:pPr>
      <w:r w:rsidDel="00000000" w:rsidR="00000000" w:rsidRPr="00000000">
        <w:rPr>
          <w:sz w:val="28"/>
          <w:szCs w:val="28"/>
          <w:rtl w:val="0"/>
        </w:rPr>
        <w:t xml:space="preserve">After a really hectic start to term, I finally carved out time to get properly back into uni mode. I needed to remind myself where I left off with both the artefact and the essay, especially as the draft deadline is creeping up. My goal this week was to review my progress so far and start mapping out the structure of Component 2.</w:t>
      </w:r>
    </w:p>
    <w:p w:rsidR="00000000" w:rsidDel="00000000" w:rsidP="00000000" w:rsidRDefault="00000000" w:rsidRPr="00000000" w14:paraId="000001D4">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D5">
      <w:pPr>
        <w:rPr>
          <w:sz w:val="28"/>
          <w:szCs w:val="28"/>
        </w:rPr>
      </w:pPr>
      <w:r w:rsidDel="00000000" w:rsidR="00000000" w:rsidRPr="00000000">
        <w:rPr>
          <w:sz w:val="28"/>
          <w:szCs w:val="28"/>
          <w:rtl w:val="0"/>
        </w:rPr>
        <w:t xml:space="preserve">I reread my Component 1 and early notes to get my bearings again. I created a detailed essay plan for Component 2 using the headings from the handbook ('Know That,' 'Know How,' and 'Know What'). I sketched what evidence from my artefact could be linked to each section and noted down relevant literature.</w:t>
      </w:r>
    </w:p>
    <w:p w:rsidR="00000000" w:rsidDel="00000000" w:rsidP="00000000" w:rsidRDefault="00000000" w:rsidRPr="00000000" w14:paraId="000001D6">
      <w:pPr>
        <w:rPr>
          <w:sz w:val="28"/>
          <w:szCs w:val="28"/>
        </w:rPr>
      </w:pPr>
      <w:r w:rsidDel="00000000" w:rsidR="00000000" w:rsidRPr="00000000">
        <w:rPr>
          <w:sz w:val="28"/>
          <w:szCs w:val="28"/>
          <w:rtl w:val="0"/>
        </w:rPr>
        <w:t xml:space="preserve">I also spent time revising the 'History of EVEs' page for the artefact and pulled quotes from Aaen et al. (2024) to show evidence that EVEs can be performed safely.</w:t>
      </w:r>
    </w:p>
    <w:p w:rsidR="00000000" w:rsidDel="00000000" w:rsidP="00000000" w:rsidRDefault="00000000" w:rsidRPr="00000000" w14:paraId="000001D7">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D8">
      <w:pPr>
        <w:rPr>
          <w:sz w:val="28"/>
          <w:szCs w:val="28"/>
        </w:rPr>
      </w:pPr>
      <w:r w:rsidDel="00000000" w:rsidR="00000000" w:rsidRPr="00000000">
        <w:rPr>
          <w:sz w:val="28"/>
          <w:szCs w:val="28"/>
          <w:rtl w:val="0"/>
        </w:rPr>
        <w:t xml:space="preserve">Getting organised felt great. I’d been feeling disconnected from the academic side, but this week helped me see how my artefact and essay are intertwined. Planning out the structure made me realise I already have a lot of the theory covered; it just needs writing up clearly.</w:t>
      </w:r>
    </w:p>
    <w:p w:rsidR="00000000" w:rsidDel="00000000" w:rsidP="00000000" w:rsidRDefault="00000000" w:rsidRPr="00000000" w14:paraId="000001D9">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DA">
      <w:pPr>
        <w:rPr>
          <w:sz w:val="28"/>
          <w:szCs w:val="28"/>
        </w:rPr>
      </w:pPr>
      <w:r w:rsidDel="00000000" w:rsidR="00000000" w:rsidRPr="00000000">
        <w:rPr>
          <w:sz w:val="28"/>
          <w:szCs w:val="28"/>
          <w:rtl w:val="0"/>
        </w:rPr>
        <w:t xml:space="preserve">Last Week’s Target: Finish 'History of EVEs' section and update reflective journal.</w:t>
        <w:br w:type="textWrapping"/>
        <w:t xml:space="preserve"> Was it Achieved? Yes, and I also began mapping the essay layout.</w:t>
      </w:r>
    </w:p>
    <w:p w:rsidR="00000000" w:rsidDel="00000000" w:rsidP="00000000" w:rsidRDefault="00000000" w:rsidRPr="00000000" w14:paraId="000001DB">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DC">
      <w:pPr>
        <w:rPr>
          <w:sz w:val="28"/>
          <w:szCs w:val="28"/>
        </w:rPr>
      </w:pPr>
      <w:r w:rsidDel="00000000" w:rsidR="00000000" w:rsidRPr="00000000">
        <w:rPr>
          <w:sz w:val="28"/>
          <w:szCs w:val="28"/>
          <w:rtl w:val="0"/>
        </w:rPr>
        <w:t xml:space="preserve">Draft at least 500 words of the 'Know That' section and finish the 'Exploring EVEs' section outline in the artefact.</w:t>
      </w:r>
    </w:p>
    <w:p w:rsidR="00000000" w:rsidDel="00000000" w:rsidP="00000000" w:rsidRDefault="00000000" w:rsidRPr="00000000" w14:paraId="000001DD">
      <w:pPr>
        <w:rPr>
          <w:sz w:val="28"/>
          <w:szCs w:val="28"/>
        </w:rPr>
      </w:pPr>
      <w:r w:rsidDel="00000000" w:rsidR="00000000" w:rsidRPr="00000000">
        <w:rPr>
          <w:rtl w:val="0"/>
        </w:rPr>
      </w:r>
    </w:p>
    <w:p w:rsidR="00000000" w:rsidDel="00000000" w:rsidP="00000000" w:rsidRDefault="00000000" w:rsidRPr="00000000" w14:paraId="000001DE">
      <w:pPr>
        <w:spacing w:after="120" w:before="360" w:line="276" w:lineRule="auto"/>
        <w:rPr/>
      </w:pPr>
      <w:r w:rsidDel="00000000" w:rsidR="00000000" w:rsidRPr="00000000">
        <w:rPr>
          <w:rtl w:val="0"/>
        </w:rPr>
        <w:t xml:space="preserve">WEEK 12 – 20 to 26 October 2025</w:t>
      </w:r>
    </w:p>
    <w:p w:rsidR="00000000" w:rsidDel="00000000" w:rsidP="00000000" w:rsidRDefault="00000000" w:rsidRPr="00000000" w14:paraId="000001DF">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E0">
      <w:pPr>
        <w:rPr>
          <w:sz w:val="28"/>
          <w:szCs w:val="28"/>
        </w:rPr>
      </w:pPr>
      <w:r w:rsidDel="00000000" w:rsidR="00000000" w:rsidRPr="00000000">
        <w:rPr>
          <w:sz w:val="28"/>
          <w:szCs w:val="28"/>
          <w:rtl w:val="0"/>
        </w:rPr>
        <w:t xml:space="preserve">This week’s focus was on getting stuck into the essay properly while still developing artefact content. I knew I wanted both to evolve together, with theory directly feeding into my design decisions.</w:t>
      </w:r>
    </w:p>
    <w:p w:rsidR="00000000" w:rsidDel="00000000" w:rsidP="00000000" w:rsidRDefault="00000000" w:rsidRPr="00000000" w14:paraId="000001E1">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E2">
      <w:pPr>
        <w:rPr>
          <w:sz w:val="28"/>
          <w:szCs w:val="28"/>
        </w:rPr>
      </w:pPr>
      <w:r w:rsidDel="00000000" w:rsidR="00000000" w:rsidRPr="00000000">
        <w:rPr>
          <w:sz w:val="28"/>
          <w:szCs w:val="28"/>
          <w:rtl w:val="0"/>
        </w:rPr>
        <w:t xml:space="preserve">I wrote the first 1,200 words of the 'Know That' section, focusing on trauma-informed and inclusive pedagogy. I used Durham (2023), Bauman-Field (2024), and Palmer (2025) to discuss how these ideas underpin the workbook’s language and structure.</w:t>
      </w:r>
    </w:p>
    <w:p w:rsidR="00000000" w:rsidDel="00000000" w:rsidP="00000000" w:rsidRDefault="00000000" w:rsidRPr="00000000" w14:paraId="000001E3">
      <w:pPr>
        <w:rPr>
          <w:sz w:val="28"/>
          <w:szCs w:val="28"/>
        </w:rPr>
      </w:pPr>
      <w:r w:rsidDel="00000000" w:rsidR="00000000" w:rsidRPr="00000000">
        <w:rPr>
          <w:sz w:val="28"/>
          <w:szCs w:val="28"/>
          <w:rtl w:val="0"/>
        </w:rPr>
        <w:t xml:space="preserve">At the same time, I finished the 'Fry Scream' section in the artefact and added reflective prompts like 'How does this feel in your body?' a direct application of Durham’s and Palmer’s work.</w:t>
      </w:r>
    </w:p>
    <w:p w:rsidR="00000000" w:rsidDel="00000000" w:rsidP="00000000" w:rsidRDefault="00000000" w:rsidRPr="00000000" w14:paraId="000001E4">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E5">
      <w:pPr>
        <w:rPr>
          <w:sz w:val="28"/>
          <w:szCs w:val="28"/>
        </w:rPr>
      </w:pPr>
      <w:r w:rsidDel="00000000" w:rsidR="00000000" w:rsidRPr="00000000">
        <w:rPr>
          <w:sz w:val="28"/>
          <w:szCs w:val="28"/>
          <w:rtl w:val="0"/>
        </w:rPr>
        <w:t xml:space="preserve">Balancing writing and design was tricky, but it also made everything feel more coherent. Writing and designing at the same time helps embed the theory naturally. The trauma-informed reading also pushed me to check my tone, making sure the workbook never feels judgemental or overly technical.</w:t>
      </w:r>
    </w:p>
    <w:p w:rsidR="00000000" w:rsidDel="00000000" w:rsidP="00000000" w:rsidRDefault="00000000" w:rsidRPr="00000000" w14:paraId="000001E6">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E7">
      <w:pPr>
        <w:rPr>
          <w:sz w:val="28"/>
          <w:szCs w:val="28"/>
        </w:rPr>
      </w:pPr>
      <w:r w:rsidDel="00000000" w:rsidR="00000000" w:rsidRPr="00000000">
        <w:rPr>
          <w:sz w:val="28"/>
          <w:szCs w:val="28"/>
          <w:rtl w:val="0"/>
        </w:rPr>
        <w:t xml:space="preserve">Last Week’s Target: Draft 500 words of 'Know That' and outline 'Exploring EVEs.'</w:t>
        <w:br w:type="textWrapping"/>
        <w:t xml:space="preserve"> Was it Achieved? Yes , and exceeded!</w:t>
      </w:r>
    </w:p>
    <w:p w:rsidR="00000000" w:rsidDel="00000000" w:rsidP="00000000" w:rsidRDefault="00000000" w:rsidRPr="00000000" w14:paraId="000001E8">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E9">
      <w:pPr>
        <w:rPr>
          <w:sz w:val="28"/>
          <w:szCs w:val="28"/>
        </w:rPr>
      </w:pPr>
      <w:r w:rsidDel="00000000" w:rsidR="00000000" w:rsidRPr="00000000">
        <w:rPr>
          <w:sz w:val="28"/>
          <w:szCs w:val="28"/>
          <w:rtl w:val="0"/>
        </w:rPr>
        <w:t xml:space="preserve">Draft the rest of the 'Know That' section and start outlining 'Know How.' Aim for 2,000 words total.</w:t>
      </w:r>
    </w:p>
    <w:p w:rsidR="00000000" w:rsidDel="00000000" w:rsidP="00000000" w:rsidRDefault="00000000" w:rsidRPr="00000000" w14:paraId="000001EA">
      <w:pPr>
        <w:rPr>
          <w:sz w:val="28"/>
          <w:szCs w:val="28"/>
        </w:rPr>
      </w:pPr>
      <w:r w:rsidDel="00000000" w:rsidR="00000000" w:rsidRPr="00000000">
        <w:rPr>
          <w:sz w:val="28"/>
          <w:szCs w:val="28"/>
        </w:rPr>
        <w:drawing>
          <wp:inline distB="114300" distT="114300" distL="114300" distR="114300">
            <wp:extent cx="2328863" cy="3697369"/>
            <wp:effectExtent b="0" l="0" r="0" t="0"/>
            <wp:docPr id="55" name="image72.png"/>
            <a:graphic>
              <a:graphicData uri="http://schemas.openxmlformats.org/drawingml/2006/picture">
                <pic:pic>
                  <pic:nvPicPr>
                    <pic:cNvPr id="0" name="image72.png"/>
                    <pic:cNvPicPr preferRelativeResize="0"/>
                  </pic:nvPicPr>
                  <pic:blipFill>
                    <a:blip r:embed="rId132"/>
                    <a:srcRect b="0" l="0" r="0" t="0"/>
                    <a:stretch>
                      <a:fillRect/>
                    </a:stretch>
                  </pic:blipFill>
                  <pic:spPr>
                    <a:xfrm>
                      <a:off x="0" y="0"/>
                      <a:ext cx="2328863" cy="3697369"/>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spacing w:after="120" w:before="360" w:line="276" w:lineRule="auto"/>
        <w:rPr/>
      </w:pPr>
      <w:r w:rsidDel="00000000" w:rsidR="00000000" w:rsidRPr="00000000">
        <w:rPr>
          <w:rtl w:val="0"/>
        </w:rPr>
        <w:t xml:space="preserve">WEEK 13 – 27 October to 2 November 2025</w:t>
      </w:r>
    </w:p>
    <w:p w:rsidR="00000000" w:rsidDel="00000000" w:rsidP="00000000" w:rsidRDefault="00000000" w:rsidRPr="00000000" w14:paraId="000001EC">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ED">
      <w:pPr>
        <w:rPr>
          <w:sz w:val="28"/>
          <w:szCs w:val="28"/>
        </w:rPr>
      </w:pPr>
      <w:r w:rsidDel="00000000" w:rsidR="00000000" w:rsidRPr="00000000">
        <w:rPr>
          <w:sz w:val="28"/>
          <w:szCs w:val="28"/>
          <w:rtl w:val="0"/>
        </w:rPr>
        <w:t xml:space="preserve">This week was about deepening the essay’s discussion of inclusivity and embodiment. I wanted to make sure my 'Know That' and 'Know How' sections both addressed gender and neurodiversity with the same depth as the artefact.</w:t>
      </w:r>
    </w:p>
    <w:p w:rsidR="00000000" w:rsidDel="00000000" w:rsidP="00000000" w:rsidRDefault="00000000" w:rsidRPr="00000000" w14:paraId="000001EE">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EF">
      <w:pPr>
        <w:rPr>
          <w:sz w:val="28"/>
          <w:szCs w:val="28"/>
        </w:rPr>
      </w:pPr>
      <w:r w:rsidDel="00000000" w:rsidR="00000000" w:rsidRPr="00000000">
        <w:rPr>
          <w:sz w:val="28"/>
          <w:szCs w:val="28"/>
          <w:rtl w:val="0"/>
        </w:rPr>
        <w:t xml:space="preserve">I finished the 'Know That' section and began drafting 'Know How,' focusing on embodied knowledge and reflective practice. I used Nelson (2013) to define experiential learning and connected that to my creative process.</w:t>
      </w:r>
    </w:p>
    <w:p w:rsidR="00000000" w:rsidDel="00000000" w:rsidP="00000000" w:rsidRDefault="00000000" w:rsidRPr="00000000" w14:paraId="000001F0">
      <w:pPr>
        <w:rPr>
          <w:sz w:val="28"/>
          <w:szCs w:val="28"/>
        </w:rPr>
      </w:pPr>
      <w:r w:rsidDel="00000000" w:rsidR="00000000" w:rsidRPr="00000000">
        <w:rPr>
          <w:sz w:val="28"/>
          <w:szCs w:val="28"/>
          <w:rtl w:val="0"/>
        </w:rPr>
        <w:t xml:space="preserve">For the artefact, I outlined most of the EVE technique sections and planned what I need to research to finalise each one. I reread Sauerland (2022) and Cates (2022) and added a paragraph to the artefact encouraging singers to explore their voice identity without gendered expectations.</w:t>
      </w:r>
    </w:p>
    <w:p w:rsidR="00000000" w:rsidDel="00000000" w:rsidP="00000000" w:rsidRDefault="00000000" w:rsidRPr="00000000" w14:paraId="000001F1">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F2">
      <w:pPr>
        <w:rPr>
          <w:sz w:val="28"/>
          <w:szCs w:val="28"/>
        </w:rPr>
      </w:pPr>
      <w:r w:rsidDel="00000000" w:rsidR="00000000" w:rsidRPr="00000000">
        <w:rPr>
          <w:sz w:val="28"/>
          <w:szCs w:val="28"/>
          <w:rtl w:val="0"/>
        </w:rPr>
        <w:t xml:space="preserve">This week made me realise that inclusivity isn’t just a 'topic' in the essay, it’s the backbone of the whole project. The more I write, the more I see how my own teaching philosophy shapes everything. Using the 'Know How' framework helped me explain my decisions more confidently.</w:t>
      </w:r>
    </w:p>
    <w:p w:rsidR="00000000" w:rsidDel="00000000" w:rsidP="00000000" w:rsidRDefault="00000000" w:rsidRPr="00000000" w14:paraId="000001F3">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1F4">
      <w:pPr>
        <w:rPr>
          <w:sz w:val="28"/>
          <w:szCs w:val="28"/>
        </w:rPr>
      </w:pPr>
      <w:r w:rsidDel="00000000" w:rsidR="00000000" w:rsidRPr="00000000">
        <w:rPr>
          <w:sz w:val="28"/>
          <w:szCs w:val="28"/>
          <w:rtl w:val="0"/>
        </w:rPr>
        <w:t xml:space="preserve">Last Week’s Target: Finish 'Know That' and outline 'Know How.'</w:t>
        <w:br w:type="textWrapping"/>
        <w:t xml:space="preserve"> Was it Achieved? Yes, 3,000 words total now written.</w:t>
      </w:r>
    </w:p>
    <w:p w:rsidR="00000000" w:rsidDel="00000000" w:rsidP="00000000" w:rsidRDefault="00000000" w:rsidRPr="00000000" w14:paraId="000001F5">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1F6">
      <w:pPr>
        <w:rPr>
          <w:sz w:val="28"/>
          <w:szCs w:val="28"/>
        </w:rPr>
      </w:pPr>
      <w:r w:rsidDel="00000000" w:rsidR="00000000" w:rsidRPr="00000000">
        <w:rPr>
          <w:sz w:val="28"/>
          <w:szCs w:val="28"/>
          <w:rtl w:val="0"/>
        </w:rPr>
        <w:t xml:space="preserve">Complete the 'Know How' draft and continue developing artefact pages for EVE techniques</w:t>
      </w:r>
    </w:p>
    <w:p w:rsidR="00000000" w:rsidDel="00000000" w:rsidP="00000000" w:rsidRDefault="00000000" w:rsidRPr="00000000" w14:paraId="000001F7">
      <w:pPr>
        <w:spacing w:after="120" w:before="360" w:line="276" w:lineRule="auto"/>
        <w:rPr/>
      </w:pPr>
      <w:r w:rsidDel="00000000" w:rsidR="00000000" w:rsidRPr="00000000">
        <w:rPr>
          <w:rtl w:val="0"/>
        </w:rPr>
        <w:t xml:space="preserve">WEEK 14 – 3 to 9 November 2025</w:t>
      </w:r>
    </w:p>
    <w:p w:rsidR="00000000" w:rsidDel="00000000" w:rsidP="00000000" w:rsidRDefault="00000000" w:rsidRPr="00000000" w14:paraId="000001F8">
      <w:pPr>
        <w:spacing w:after="80" w:before="320" w:line="276" w:lineRule="auto"/>
        <w:rPr/>
      </w:pPr>
      <w:r w:rsidDel="00000000" w:rsidR="00000000" w:rsidRPr="00000000">
        <w:rPr>
          <w:rtl w:val="0"/>
        </w:rPr>
        <w:t xml:space="preserve">1. Overview of the Week Ahead</w:t>
      </w:r>
    </w:p>
    <w:p w:rsidR="00000000" w:rsidDel="00000000" w:rsidP="00000000" w:rsidRDefault="00000000" w:rsidRPr="00000000" w14:paraId="000001F9">
      <w:pPr>
        <w:rPr>
          <w:sz w:val="28"/>
          <w:szCs w:val="28"/>
        </w:rPr>
      </w:pPr>
      <w:r w:rsidDel="00000000" w:rsidR="00000000" w:rsidRPr="00000000">
        <w:rPr>
          <w:sz w:val="28"/>
          <w:szCs w:val="28"/>
          <w:rtl w:val="0"/>
        </w:rPr>
        <w:t xml:space="preserve">I wanted to spend this week bringing together the artefact and essay so they felt like two sides of the same coin. My goal was to finalise the 'Know How' draft and start the 'Know What' section for the essay.</w:t>
      </w:r>
    </w:p>
    <w:p w:rsidR="00000000" w:rsidDel="00000000" w:rsidP="00000000" w:rsidRDefault="00000000" w:rsidRPr="00000000" w14:paraId="000001FA">
      <w:pPr>
        <w:spacing w:after="80" w:before="320" w:line="276" w:lineRule="auto"/>
        <w:rPr/>
      </w:pPr>
      <w:r w:rsidDel="00000000" w:rsidR="00000000" w:rsidRPr="00000000">
        <w:rPr>
          <w:rtl w:val="0"/>
        </w:rPr>
        <w:t xml:space="preserve">2. Activity Log – What I Actually Did</w:t>
      </w:r>
    </w:p>
    <w:p w:rsidR="00000000" w:rsidDel="00000000" w:rsidP="00000000" w:rsidRDefault="00000000" w:rsidRPr="00000000" w14:paraId="000001FB">
      <w:pPr>
        <w:rPr>
          <w:sz w:val="28"/>
          <w:szCs w:val="28"/>
        </w:rPr>
      </w:pPr>
      <w:r w:rsidDel="00000000" w:rsidR="00000000" w:rsidRPr="00000000">
        <w:rPr>
          <w:sz w:val="28"/>
          <w:szCs w:val="28"/>
          <w:rtl w:val="0"/>
        </w:rPr>
        <w:t xml:space="preserve">I wrote around 1,400 words for 'Know How,' reflecting on my creative process , how I used design-based research, reflective journaling, and inclusive pedagogy. I used Palmer (2025), Kolb (1984), and Brunzell et al. (2016) to back up my reflections.</w:t>
      </w:r>
    </w:p>
    <w:p w:rsidR="00000000" w:rsidDel="00000000" w:rsidP="00000000" w:rsidRDefault="00000000" w:rsidRPr="00000000" w14:paraId="000001FC">
      <w:pPr>
        <w:rPr>
          <w:sz w:val="28"/>
          <w:szCs w:val="28"/>
        </w:rPr>
      </w:pPr>
      <w:r w:rsidDel="00000000" w:rsidR="00000000" w:rsidRPr="00000000">
        <w:rPr>
          <w:sz w:val="28"/>
          <w:szCs w:val="28"/>
          <w:rtl w:val="0"/>
        </w:rPr>
        <w:t xml:space="preserve">I also completed the ‘EVE techniques’ section and the 'Reflective Journal' sections in the artefact, ensuring tone and structure stayed trauma-informed (Durham, 2023).</w:t>
      </w:r>
    </w:p>
    <w:p w:rsidR="00000000" w:rsidDel="00000000" w:rsidP="00000000" w:rsidRDefault="00000000" w:rsidRPr="00000000" w14:paraId="000001FD">
      <w:pPr>
        <w:spacing w:after="80" w:before="320" w:line="276" w:lineRule="auto"/>
        <w:rPr/>
      </w:pPr>
      <w:r w:rsidDel="00000000" w:rsidR="00000000" w:rsidRPr="00000000">
        <w:rPr>
          <w:rtl w:val="0"/>
        </w:rPr>
        <w:t xml:space="preserve">3. Critical Reflection</w:t>
      </w:r>
    </w:p>
    <w:p w:rsidR="00000000" w:rsidDel="00000000" w:rsidP="00000000" w:rsidRDefault="00000000" w:rsidRPr="00000000" w14:paraId="000001FE">
      <w:pPr>
        <w:rPr>
          <w:sz w:val="28"/>
          <w:szCs w:val="28"/>
        </w:rPr>
      </w:pPr>
      <w:r w:rsidDel="00000000" w:rsidR="00000000" w:rsidRPr="00000000">
        <w:rPr>
          <w:sz w:val="28"/>
          <w:szCs w:val="28"/>
          <w:rtl w:val="0"/>
        </w:rPr>
        <w:t xml:space="preserve">This week felt productive and satisfying. I’m seeing real coherence between the practical and theoretical sides. I think one of the strongest aspects of the artefact is how it teaches reflection, not just technique, something I’ll definitely highlight in the essay’s final section.</w:t>
      </w:r>
    </w:p>
    <w:p w:rsidR="00000000" w:rsidDel="00000000" w:rsidP="00000000" w:rsidRDefault="00000000" w:rsidRPr="00000000" w14:paraId="000001FF">
      <w:pPr>
        <w:spacing w:after="80" w:before="320" w:line="276" w:lineRule="auto"/>
        <w:rPr/>
      </w:pPr>
      <w:r w:rsidDel="00000000" w:rsidR="00000000" w:rsidRPr="00000000">
        <w:rPr>
          <w:rtl w:val="0"/>
        </w:rPr>
        <w:t xml:space="preserve">4. SMART Target Review</w:t>
      </w:r>
    </w:p>
    <w:p w:rsidR="00000000" w:rsidDel="00000000" w:rsidP="00000000" w:rsidRDefault="00000000" w:rsidRPr="00000000" w14:paraId="00000200">
      <w:pPr>
        <w:rPr>
          <w:sz w:val="28"/>
          <w:szCs w:val="28"/>
        </w:rPr>
      </w:pPr>
      <w:r w:rsidDel="00000000" w:rsidR="00000000" w:rsidRPr="00000000">
        <w:rPr>
          <w:sz w:val="28"/>
          <w:szCs w:val="28"/>
          <w:rtl w:val="0"/>
        </w:rPr>
        <w:t xml:space="preserve">Last Week’s Target: Complete 'Know How' draft and continue developing artefact pages for EVE techniques sections.</w:t>
        <w:br w:type="textWrapping"/>
        <w:t xml:space="preserve"> Was it Achieved? Yes, both the writing and artefact made great progress.</w:t>
      </w:r>
    </w:p>
    <w:p w:rsidR="00000000" w:rsidDel="00000000" w:rsidP="00000000" w:rsidRDefault="00000000" w:rsidRPr="00000000" w14:paraId="00000201">
      <w:pPr>
        <w:spacing w:after="80" w:before="320" w:line="276" w:lineRule="auto"/>
        <w:rPr/>
      </w:pPr>
      <w:r w:rsidDel="00000000" w:rsidR="00000000" w:rsidRPr="00000000">
        <w:rPr>
          <w:rtl w:val="0"/>
        </w:rPr>
        <w:t xml:space="preserve">5. New SMART Target</w:t>
      </w:r>
    </w:p>
    <w:p w:rsidR="00000000" w:rsidDel="00000000" w:rsidP="00000000" w:rsidRDefault="00000000" w:rsidRPr="00000000" w14:paraId="00000202">
      <w:pPr>
        <w:rPr>
          <w:sz w:val="28"/>
          <w:szCs w:val="28"/>
        </w:rPr>
      </w:pPr>
      <w:r w:rsidDel="00000000" w:rsidR="00000000" w:rsidRPr="00000000">
        <w:rPr>
          <w:sz w:val="28"/>
          <w:szCs w:val="28"/>
          <w:rtl w:val="0"/>
        </w:rPr>
        <w:t xml:space="preserve">Write at least half of the 'Know What' section (factual and conceptual discussion) and start proofreading earlier sections before the 17 November draft deadline. </w:t>
      </w:r>
    </w:p>
    <w:p w:rsidR="00000000" w:rsidDel="00000000" w:rsidP="00000000" w:rsidRDefault="00000000" w:rsidRPr="00000000" w14:paraId="00000203">
      <w:pPr>
        <w:rPr>
          <w:sz w:val="28"/>
          <w:szCs w:val="28"/>
        </w:rPr>
      </w:pPr>
      <w:r w:rsidDel="00000000" w:rsidR="00000000" w:rsidRPr="00000000">
        <w:rPr>
          <w:sz w:val="28"/>
          <w:szCs w:val="28"/>
        </w:rPr>
        <w:drawing>
          <wp:inline distB="114300" distT="114300" distL="114300" distR="114300">
            <wp:extent cx="2205038" cy="3475220"/>
            <wp:effectExtent b="0" l="0" r="0" t="0"/>
            <wp:docPr id="3" name="image31.png"/>
            <a:graphic>
              <a:graphicData uri="http://schemas.openxmlformats.org/drawingml/2006/picture">
                <pic:pic>
                  <pic:nvPicPr>
                    <pic:cNvPr id="0" name="image31.png"/>
                    <pic:cNvPicPr preferRelativeResize="0"/>
                  </pic:nvPicPr>
                  <pic:blipFill>
                    <a:blip r:embed="rId133"/>
                    <a:srcRect b="0" l="0" r="0" t="0"/>
                    <a:stretch>
                      <a:fillRect/>
                    </a:stretch>
                  </pic:blipFill>
                  <pic:spPr>
                    <a:xfrm>
                      <a:off x="0" y="0"/>
                      <a:ext cx="2205038" cy="3475220"/>
                    </a:xfrm>
                    <a:prstGeom prst="rect"/>
                    <a:ln/>
                  </pic:spPr>
                </pic:pic>
              </a:graphicData>
            </a:graphic>
          </wp:inline>
        </w:drawing>
      </w:r>
      <w:r w:rsidDel="00000000" w:rsidR="00000000" w:rsidRPr="00000000">
        <w:rPr>
          <w:sz w:val="28"/>
          <w:szCs w:val="28"/>
        </w:rPr>
        <w:drawing>
          <wp:inline distB="114300" distT="114300" distL="114300" distR="114300">
            <wp:extent cx="2216985" cy="3441753"/>
            <wp:effectExtent b="0" l="0" r="0" t="0"/>
            <wp:docPr id="28" name="image44.png"/>
            <a:graphic>
              <a:graphicData uri="http://schemas.openxmlformats.org/drawingml/2006/picture">
                <pic:pic>
                  <pic:nvPicPr>
                    <pic:cNvPr id="0" name="image44.png"/>
                    <pic:cNvPicPr preferRelativeResize="0"/>
                  </pic:nvPicPr>
                  <pic:blipFill>
                    <a:blip r:embed="rId134"/>
                    <a:srcRect b="0" l="0" r="0" t="0"/>
                    <a:stretch>
                      <a:fillRect/>
                    </a:stretch>
                  </pic:blipFill>
                  <pic:spPr>
                    <a:xfrm>
                      <a:off x="0" y="0"/>
                      <a:ext cx="2216985" cy="3441753"/>
                    </a:xfrm>
                    <a:prstGeom prst="rect"/>
                    <a:ln/>
                  </pic:spPr>
                </pic:pic>
              </a:graphicData>
            </a:graphic>
          </wp:inline>
        </w:drawing>
      </w:r>
      <w:r w:rsidDel="00000000" w:rsidR="00000000" w:rsidRPr="00000000">
        <w:rPr>
          <w:rtl w:val="0"/>
        </w:rPr>
      </w:r>
    </w:p>
    <w:p w:rsidR="00000000" w:rsidDel="00000000" w:rsidP="00000000" w:rsidRDefault="00000000" w:rsidRPr="00000000" w14:paraId="00000204">
      <w:pPr>
        <w:rPr>
          <w:sz w:val="28"/>
          <w:szCs w:val="28"/>
        </w:rPr>
      </w:pPr>
      <w:r w:rsidDel="00000000" w:rsidR="00000000" w:rsidRPr="00000000">
        <w:rPr>
          <w:sz w:val="28"/>
          <w:szCs w:val="28"/>
        </w:rPr>
        <w:drawing>
          <wp:inline distB="114300" distT="114300" distL="114300" distR="114300">
            <wp:extent cx="2281238" cy="3611107"/>
            <wp:effectExtent b="0" l="0" r="0" t="0"/>
            <wp:docPr id="106" name="image118.png"/>
            <a:graphic>
              <a:graphicData uri="http://schemas.openxmlformats.org/drawingml/2006/picture">
                <pic:pic>
                  <pic:nvPicPr>
                    <pic:cNvPr id="0" name="image118.png"/>
                    <pic:cNvPicPr preferRelativeResize="0"/>
                  </pic:nvPicPr>
                  <pic:blipFill>
                    <a:blip r:embed="rId135"/>
                    <a:srcRect b="0" l="0" r="0" t="0"/>
                    <a:stretch>
                      <a:fillRect/>
                    </a:stretch>
                  </pic:blipFill>
                  <pic:spPr>
                    <a:xfrm>
                      <a:off x="0" y="0"/>
                      <a:ext cx="2281238" cy="3611107"/>
                    </a:xfrm>
                    <a:prstGeom prst="rect"/>
                    <a:ln/>
                  </pic:spPr>
                </pic:pic>
              </a:graphicData>
            </a:graphic>
          </wp:inline>
        </w:drawing>
      </w:r>
      <w:r w:rsidDel="00000000" w:rsidR="00000000" w:rsidRPr="00000000">
        <w:rPr>
          <w:sz w:val="28"/>
          <w:szCs w:val="28"/>
        </w:rPr>
        <w:drawing>
          <wp:inline distB="114300" distT="114300" distL="114300" distR="114300">
            <wp:extent cx="2281238" cy="3550270"/>
            <wp:effectExtent b="0" l="0" r="0" t="0"/>
            <wp:docPr id="99" name="image116.png"/>
            <a:graphic>
              <a:graphicData uri="http://schemas.openxmlformats.org/drawingml/2006/picture">
                <pic:pic>
                  <pic:nvPicPr>
                    <pic:cNvPr id="0" name="image116.png"/>
                    <pic:cNvPicPr preferRelativeResize="0"/>
                  </pic:nvPicPr>
                  <pic:blipFill>
                    <a:blip r:embed="rId136"/>
                    <a:srcRect b="0" l="0" r="0" t="0"/>
                    <a:stretch>
                      <a:fillRect/>
                    </a:stretch>
                  </pic:blipFill>
                  <pic:spPr>
                    <a:xfrm>
                      <a:off x="0" y="0"/>
                      <a:ext cx="2281238" cy="3550270"/>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rPr>
          <w:sz w:val="28"/>
          <w:szCs w:val="28"/>
        </w:rPr>
      </w:pPr>
      <w:r w:rsidDel="00000000" w:rsidR="00000000" w:rsidRPr="00000000">
        <w:rPr>
          <w:rtl w:val="0"/>
        </w:rPr>
      </w:r>
    </w:p>
    <w:p w:rsidR="00000000" w:rsidDel="00000000" w:rsidP="00000000" w:rsidRDefault="00000000" w:rsidRPr="00000000" w14:paraId="00000206">
      <w:pPr>
        <w:spacing w:after="120" w:before="400" w:line="276" w:lineRule="auto"/>
        <w:rPr/>
      </w:pPr>
      <w:r w:rsidDel="00000000" w:rsidR="00000000" w:rsidRPr="00000000">
        <w:rPr>
          <w:rtl w:val="0"/>
        </w:rPr>
        <w:t xml:space="preserve">WEEK 15 – 10 to 16 November 2025</w:t>
      </w:r>
    </w:p>
    <w:p w:rsidR="00000000" w:rsidDel="00000000" w:rsidP="00000000" w:rsidRDefault="00000000" w:rsidRPr="00000000" w14:paraId="00000207">
      <w:pPr>
        <w:spacing w:after="120" w:before="360" w:line="276" w:lineRule="auto"/>
        <w:rPr/>
      </w:pPr>
      <w:r w:rsidDel="00000000" w:rsidR="00000000" w:rsidRPr="00000000">
        <w:rPr>
          <w:rtl w:val="0"/>
        </w:rPr>
        <w:t xml:space="preserve">1. Overview of the Week Ahead</w:t>
      </w:r>
    </w:p>
    <w:p w:rsidR="00000000" w:rsidDel="00000000" w:rsidP="00000000" w:rsidRDefault="00000000" w:rsidRPr="00000000" w14:paraId="00000208">
      <w:pPr>
        <w:rPr>
          <w:sz w:val="28"/>
          <w:szCs w:val="28"/>
        </w:rPr>
      </w:pPr>
      <w:r w:rsidDel="00000000" w:rsidR="00000000" w:rsidRPr="00000000">
        <w:rPr>
          <w:sz w:val="28"/>
          <w:szCs w:val="28"/>
          <w:rtl w:val="0"/>
        </w:rPr>
        <w:t xml:space="preserve">This week was about getting Component 2 into a full draft now that my deadline has been extended. With the 1 December draft submission in place, my focus was on strengthening the final sections and tightening the overall flow so the argument felt cohesive.</w:t>
      </w:r>
    </w:p>
    <w:p w:rsidR="00000000" w:rsidDel="00000000" w:rsidP="00000000" w:rsidRDefault="00000000" w:rsidRPr="00000000" w14:paraId="00000209">
      <w:pPr>
        <w:spacing w:after="120" w:before="360" w:line="276" w:lineRule="auto"/>
        <w:rPr/>
      </w:pPr>
      <w:r w:rsidDel="00000000" w:rsidR="00000000" w:rsidRPr="00000000">
        <w:rPr>
          <w:rtl w:val="0"/>
        </w:rPr>
        <w:t xml:space="preserve">2. Activity Log – What I Actually Did</w:t>
      </w:r>
    </w:p>
    <w:p w:rsidR="00000000" w:rsidDel="00000000" w:rsidP="00000000" w:rsidRDefault="00000000" w:rsidRPr="00000000" w14:paraId="0000020A">
      <w:pPr>
        <w:rPr>
          <w:sz w:val="28"/>
          <w:szCs w:val="28"/>
        </w:rPr>
      </w:pPr>
      <w:r w:rsidDel="00000000" w:rsidR="00000000" w:rsidRPr="00000000">
        <w:rPr>
          <w:sz w:val="28"/>
          <w:szCs w:val="28"/>
          <w:rtl w:val="0"/>
        </w:rPr>
        <w:t xml:space="preserve">I finished the ‘Know What’ section and did a full readthrough of the entire essay to check for repetition, clarity, and consistency. I edited transitions between the Nelson sections and added missing citations.</w:t>
        <w:br w:type="textWrapping"/>
        <w:t xml:space="preserve"> For the artefact, I made small improvements to the “Exploring EVEs” pages, refined headings and spacing, and checked that the accessibility features (fonts, icons, clear layout) still worked after the edits.</w:t>
      </w:r>
    </w:p>
    <w:p w:rsidR="00000000" w:rsidDel="00000000" w:rsidP="00000000" w:rsidRDefault="00000000" w:rsidRPr="00000000" w14:paraId="0000020B">
      <w:pPr>
        <w:spacing w:after="120" w:before="360" w:line="276" w:lineRule="auto"/>
        <w:rPr/>
      </w:pPr>
      <w:r w:rsidDel="00000000" w:rsidR="00000000" w:rsidRPr="00000000">
        <w:rPr>
          <w:rtl w:val="0"/>
        </w:rPr>
        <w:t xml:space="preserve">3. Critical Reflection</w:t>
      </w:r>
    </w:p>
    <w:p w:rsidR="00000000" w:rsidDel="00000000" w:rsidP="00000000" w:rsidRDefault="00000000" w:rsidRPr="00000000" w14:paraId="0000020C">
      <w:pPr>
        <w:rPr>
          <w:sz w:val="28"/>
          <w:szCs w:val="28"/>
        </w:rPr>
      </w:pPr>
      <w:r w:rsidDel="00000000" w:rsidR="00000000" w:rsidRPr="00000000">
        <w:rPr>
          <w:sz w:val="28"/>
          <w:szCs w:val="28"/>
          <w:rtl w:val="0"/>
        </w:rPr>
        <w:t xml:space="preserve">This week showed me how much progress I’ve actually made. Seeing the essay and artefact side by side helped me understand how each part supports the other. Getting the extension reduced a lot of stress and meant I could focus on improving clarity rather than rushing.</w:t>
      </w:r>
    </w:p>
    <w:p w:rsidR="00000000" w:rsidDel="00000000" w:rsidP="00000000" w:rsidRDefault="00000000" w:rsidRPr="00000000" w14:paraId="0000020D">
      <w:pPr>
        <w:spacing w:after="120" w:before="360" w:line="276" w:lineRule="auto"/>
        <w:rPr/>
      </w:pPr>
      <w:r w:rsidDel="00000000" w:rsidR="00000000" w:rsidRPr="00000000">
        <w:rPr>
          <w:rtl w:val="0"/>
        </w:rPr>
        <w:t xml:space="preserve">4. SMART Target Review</w:t>
      </w:r>
    </w:p>
    <w:p w:rsidR="00000000" w:rsidDel="00000000" w:rsidP="00000000" w:rsidRDefault="00000000" w:rsidRPr="00000000" w14:paraId="0000020E">
      <w:pPr>
        <w:rPr>
          <w:sz w:val="28"/>
          <w:szCs w:val="28"/>
        </w:rPr>
      </w:pPr>
      <w:r w:rsidDel="00000000" w:rsidR="00000000" w:rsidRPr="00000000">
        <w:rPr>
          <w:sz w:val="28"/>
          <w:szCs w:val="28"/>
          <w:rtl w:val="0"/>
        </w:rPr>
        <w:t xml:space="preserve">Last Week’s Target: Draft half of ‘Know What’ and proofread earlier sections.</w:t>
        <w:br w:type="textWrapping"/>
        <w:t xml:space="preserve"> Was it Achieved? Yes. The full section is now complete and integrated.</w:t>
      </w:r>
    </w:p>
    <w:p w:rsidR="00000000" w:rsidDel="00000000" w:rsidP="00000000" w:rsidRDefault="00000000" w:rsidRPr="00000000" w14:paraId="0000020F">
      <w:pPr>
        <w:spacing w:after="120" w:before="360" w:line="276" w:lineRule="auto"/>
        <w:rPr/>
      </w:pPr>
      <w:r w:rsidDel="00000000" w:rsidR="00000000" w:rsidRPr="00000000">
        <w:rPr>
          <w:rtl w:val="0"/>
        </w:rPr>
        <w:t xml:space="preserve">5. New SMART Target</w:t>
      </w:r>
    </w:p>
    <w:p w:rsidR="00000000" w:rsidDel="00000000" w:rsidP="00000000" w:rsidRDefault="00000000" w:rsidRPr="00000000" w14:paraId="00000210">
      <w:pPr>
        <w:rPr>
          <w:sz w:val="28"/>
          <w:szCs w:val="28"/>
        </w:rPr>
      </w:pPr>
      <w:r w:rsidDel="00000000" w:rsidR="00000000" w:rsidRPr="00000000">
        <w:rPr>
          <w:sz w:val="28"/>
          <w:szCs w:val="28"/>
          <w:rtl w:val="0"/>
        </w:rPr>
        <w:t xml:space="preserve">Refine the argument structure across all three Nelson sections and start preparing notes for the Critical Reflection</w:t>
      </w:r>
    </w:p>
    <w:p w:rsidR="00000000" w:rsidDel="00000000" w:rsidP="00000000" w:rsidRDefault="00000000" w:rsidRPr="00000000" w14:paraId="00000211">
      <w:pPr>
        <w:rPr>
          <w:sz w:val="28"/>
          <w:szCs w:val="28"/>
        </w:rPr>
      </w:pPr>
      <w:r w:rsidDel="00000000" w:rsidR="00000000" w:rsidRPr="00000000">
        <w:rPr>
          <w:rtl w:val="0"/>
        </w:rPr>
      </w:r>
    </w:p>
    <w:p w:rsidR="00000000" w:rsidDel="00000000" w:rsidP="00000000" w:rsidRDefault="00000000" w:rsidRPr="00000000" w14:paraId="00000212">
      <w:pPr>
        <w:rPr>
          <w:sz w:val="28"/>
          <w:szCs w:val="28"/>
        </w:rPr>
      </w:pPr>
      <w:r w:rsidDel="00000000" w:rsidR="00000000" w:rsidRPr="00000000">
        <w:rPr>
          <w:sz w:val="28"/>
          <w:szCs w:val="28"/>
          <w:rtl w:val="0"/>
        </w:rPr>
        <w:t xml:space="preserve"> WEEK 16 – 17 to 23 November 2025</w:t>
      </w:r>
    </w:p>
    <w:p w:rsidR="00000000" w:rsidDel="00000000" w:rsidP="00000000" w:rsidRDefault="00000000" w:rsidRPr="00000000" w14:paraId="00000213">
      <w:pPr>
        <w:spacing w:after="120" w:before="360" w:line="276" w:lineRule="auto"/>
        <w:rPr/>
      </w:pPr>
      <w:r w:rsidDel="00000000" w:rsidR="00000000" w:rsidRPr="00000000">
        <w:rPr>
          <w:rtl w:val="0"/>
        </w:rPr>
        <w:t xml:space="preserve">1. Overview of the Week Ahead</w:t>
      </w:r>
    </w:p>
    <w:p w:rsidR="00000000" w:rsidDel="00000000" w:rsidP="00000000" w:rsidRDefault="00000000" w:rsidRPr="00000000" w14:paraId="00000214">
      <w:pPr>
        <w:rPr>
          <w:sz w:val="28"/>
          <w:szCs w:val="28"/>
        </w:rPr>
      </w:pPr>
      <w:r w:rsidDel="00000000" w:rsidR="00000000" w:rsidRPr="00000000">
        <w:rPr>
          <w:sz w:val="28"/>
          <w:szCs w:val="28"/>
          <w:rtl w:val="0"/>
        </w:rPr>
        <w:t xml:space="preserve">This week was focused on editing and strengthening Component 2, especially making sure the three Nelson sections felt distinct and purposeful. I wanted the theoretical grounding to be clearer so the draft would be strong enough for submission.</w:t>
      </w:r>
    </w:p>
    <w:p w:rsidR="00000000" w:rsidDel="00000000" w:rsidP="00000000" w:rsidRDefault="00000000" w:rsidRPr="00000000" w14:paraId="00000215">
      <w:pPr>
        <w:spacing w:after="120" w:before="360" w:line="276" w:lineRule="auto"/>
        <w:rPr/>
      </w:pPr>
      <w:r w:rsidDel="00000000" w:rsidR="00000000" w:rsidRPr="00000000">
        <w:rPr>
          <w:rtl w:val="0"/>
        </w:rPr>
        <w:t xml:space="preserve">2. Activity Log – What I Actually Did</w:t>
      </w:r>
    </w:p>
    <w:p w:rsidR="00000000" w:rsidDel="00000000" w:rsidP="00000000" w:rsidRDefault="00000000" w:rsidRPr="00000000" w14:paraId="00000216">
      <w:pPr>
        <w:rPr>
          <w:sz w:val="28"/>
          <w:szCs w:val="28"/>
        </w:rPr>
      </w:pPr>
      <w:r w:rsidDel="00000000" w:rsidR="00000000" w:rsidRPr="00000000">
        <w:rPr>
          <w:sz w:val="28"/>
          <w:szCs w:val="28"/>
          <w:rtl w:val="0"/>
        </w:rPr>
        <w:t xml:space="preserve">I reworked parts of ‘Know That’ and ‘Know How’ to reduce overlap and added more precise justification for several design decisions. I checked the reference list for accuracy and made small improvements to the artefact layout.</w:t>
        <w:br w:type="textWrapping"/>
        <w:t xml:space="preserve"> I also reread Nelson (2013) and Palmer (2025) so I could align the methodology section more clearly with design-based research.</w:t>
      </w:r>
    </w:p>
    <w:p w:rsidR="00000000" w:rsidDel="00000000" w:rsidP="00000000" w:rsidRDefault="00000000" w:rsidRPr="00000000" w14:paraId="00000217">
      <w:pPr>
        <w:spacing w:after="120" w:before="360" w:line="276" w:lineRule="auto"/>
        <w:rPr/>
      </w:pPr>
      <w:r w:rsidDel="00000000" w:rsidR="00000000" w:rsidRPr="00000000">
        <w:rPr>
          <w:rtl w:val="0"/>
        </w:rPr>
        <w:t xml:space="preserve">3. Critical Reflection</w:t>
      </w:r>
    </w:p>
    <w:p w:rsidR="00000000" w:rsidDel="00000000" w:rsidP="00000000" w:rsidRDefault="00000000" w:rsidRPr="00000000" w14:paraId="00000218">
      <w:pPr>
        <w:rPr>
          <w:sz w:val="28"/>
          <w:szCs w:val="28"/>
        </w:rPr>
      </w:pPr>
      <w:r w:rsidDel="00000000" w:rsidR="00000000" w:rsidRPr="00000000">
        <w:rPr>
          <w:sz w:val="28"/>
          <w:szCs w:val="28"/>
          <w:rtl w:val="0"/>
        </w:rPr>
        <w:t xml:space="preserve">This week helped me clarify the boundaries between the three knowledge types in Nelson’s framework. Editing with this in mind made the whole piece read more smoothly. I also realised the importance of staying close to the literature while still letting my practitioner voice come through.</w:t>
      </w:r>
    </w:p>
    <w:p w:rsidR="00000000" w:rsidDel="00000000" w:rsidP="00000000" w:rsidRDefault="00000000" w:rsidRPr="00000000" w14:paraId="00000219">
      <w:pPr>
        <w:spacing w:after="120" w:before="360" w:line="276" w:lineRule="auto"/>
        <w:rPr/>
      </w:pPr>
      <w:r w:rsidDel="00000000" w:rsidR="00000000" w:rsidRPr="00000000">
        <w:rPr>
          <w:rtl w:val="0"/>
        </w:rPr>
        <w:t xml:space="preserve">4. SMART Target Review</w:t>
      </w:r>
    </w:p>
    <w:p w:rsidR="00000000" w:rsidDel="00000000" w:rsidP="00000000" w:rsidRDefault="00000000" w:rsidRPr="00000000" w14:paraId="0000021A">
      <w:pPr>
        <w:rPr>
          <w:sz w:val="28"/>
          <w:szCs w:val="28"/>
        </w:rPr>
      </w:pPr>
      <w:r w:rsidDel="00000000" w:rsidR="00000000" w:rsidRPr="00000000">
        <w:rPr>
          <w:sz w:val="28"/>
          <w:szCs w:val="28"/>
          <w:rtl w:val="0"/>
        </w:rPr>
        <w:t xml:space="preserve">Last Week’s Target: Refine arguments and prepare Critical Reflection notes.</w:t>
        <w:br w:type="textWrapping"/>
        <w:t xml:space="preserve"> Was it Achieved? Partially. I improved the arguments but only created loose notes for the reflection.</w:t>
      </w:r>
    </w:p>
    <w:p w:rsidR="00000000" w:rsidDel="00000000" w:rsidP="00000000" w:rsidRDefault="00000000" w:rsidRPr="00000000" w14:paraId="0000021B">
      <w:pPr>
        <w:spacing w:after="120" w:before="360" w:line="276" w:lineRule="auto"/>
        <w:rPr/>
      </w:pPr>
      <w:r w:rsidDel="00000000" w:rsidR="00000000" w:rsidRPr="00000000">
        <w:rPr>
          <w:rtl w:val="0"/>
        </w:rPr>
        <w:t xml:space="preserve">5. New SMART Target</w:t>
      </w:r>
    </w:p>
    <w:p w:rsidR="00000000" w:rsidDel="00000000" w:rsidP="00000000" w:rsidRDefault="00000000" w:rsidRPr="00000000" w14:paraId="0000021C">
      <w:pPr>
        <w:rPr>
          <w:sz w:val="28"/>
          <w:szCs w:val="28"/>
        </w:rPr>
      </w:pPr>
      <w:r w:rsidDel="00000000" w:rsidR="00000000" w:rsidRPr="00000000">
        <w:rPr>
          <w:sz w:val="28"/>
          <w:szCs w:val="28"/>
          <w:rtl w:val="0"/>
        </w:rPr>
        <w:t xml:space="preserve">Create a clear structure for the Critical Reflection and outline each section before starting the full write-up.</w:t>
      </w:r>
    </w:p>
    <w:p w:rsidR="00000000" w:rsidDel="00000000" w:rsidP="00000000" w:rsidRDefault="00000000" w:rsidRPr="00000000" w14:paraId="0000021D">
      <w:pPr>
        <w:spacing w:after="120" w:before="400" w:line="276" w:lineRule="auto"/>
        <w:rPr/>
      </w:pPr>
      <w:r w:rsidDel="00000000" w:rsidR="00000000" w:rsidRPr="00000000">
        <w:rPr>
          <w:rtl w:val="0"/>
        </w:rPr>
        <w:t xml:space="preserve"> WEEK 17 – 24 to 30 November 2025</w:t>
      </w:r>
    </w:p>
    <w:p w:rsidR="00000000" w:rsidDel="00000000" w:rsidP="00000000" w:rsidRDefault="00000000" w:rsidRPr="00000000" w14:paraId="0000021E">
      <w:pPr>
        <w:spacing w:after="120" w:before="360" w:line="276" w:lineRule="auto"/>
        <w:rPr/>
      </w:pPr>
      <w:r w:rsidDel="00000000" w:rsidR="00000000" w:rsidRPr="00000000">
        <w:rPr>
          <w:rtl w:val="0"/>
        </w:rPr>
        <w:t xml:space="preserve">1. Overview of the Week Ahead</w:t>
      </w:r>
    </w:p>
    <w:p w:rsidR="00000000" w:rsidDel="00000000" w:rsidP="00000000" w:rsidRDefault="00000000" w:rsidRPr="00000000" w14:paraId="0000021F">
      <w:pPr>
        <w:rPr>
          <w:sz w:val="28"/>
          <w:szCs w:val="28"/>
        </w:rPr>
      </w:pPr>
      <w:r w:rsidDel="00000000" w:rsidR="00000000" w:rsidRPr="00000000">
        <w:rPr>
          <w:sz w:val="28"/>
          <w:szCs w:val="28"/>
          <w:rtl w:val="0"/>
        </w:rPr>
        <w:t xml:space="preserve">This week was focused on polishing the draft for the 1 December submission. I wanted the essay to feel coherent, with each Nelson section answering a different question. I also aimed to set up the Critical Reflection so I can start it after the draft is submitted.</w:t>
      </w:r>
    </w:p>
    <w:p w:rsidR="00000000" w:rsidDel="00000000" w:rsidP="00000000" w:rsidRDefault="00000000" w:rsidRPr="00000000" w14:paraId="00000220">
      <w:pPr>
        <w:spacing w:after="120" w:before="360" w:line="276" w:lineRule="auto"/>
        <w:rPr/>
      </w:pPr>
      <w:r w:rsidDel="00000000" w:rsidR="00000000" w:rsidRPr="00000000">
        <w:rPr>
          <w:rtl w:val="0"/>
        </w:rPr>
        <w:t xml:space="preserve">2. Activity Log – What I Actually Did</w:t>
      </w:r>
    </w:p>
    <w:p w:rsidR="00000000" w:rsidDel="00000000" w:rsidP="00000000" w:rsidRDefault="00000000" w:rsidRPr="00000000" w14:paraId="00000221">
      <w:pPr>
        <w:rPr>
          <w:sz w:val="28"/>
          <w:szCs w:val="28"/>
        </w:rPr>
      </w:pPr>
      <w:r w:rsidDel="00000000" w:rsidR="00000000" w:rsidRPr="00000000">
        <w:rPr>
          <w:sz w:val="28"/>
          <w:szCs w:val="28"/>
          <w:rtl w:val="0"/>
        </w:rPr>
        <w:t xml:space="preserve">I rewrote parts of ‘Know What’ and added the Wang and Hannafin reference to strengthen the methodological explanation. I checked the transitions between sections, reorganised a few paragraphs, and made final formatting adjustments.</w:t>
        <w:br w:type="textWrapping"/>
        <w:t xml:space="preserve"> For the Critical Reflection, I set up the headings and created bullet points for each stage of the Gibbs/Kolb hybrid framework so the section is ready to write next week.</w:t>
      </w:r>
    </w:p>
    <w:p w:rsidR="00000000" w:rsidDel="00000000" w:rsidP="00000000" w:rsidRDefault="00000000" w:rsidRPr="00000000" w14:paraId="00000222">
      <w:pPr>
        <w:spacing w:after="120" w:before="360" w:line="276" w:lineRule="auto"/>
        <w:rPr/>
      </w:pPr>
      <w:r w:rsidDel="00000000" w:rsidR="00000000" w:rsidRPr="00000000">
        <w:rPr>
          <w:rtl w:val="0"/>
        </w:rPr>
        <w:t xml:space="preserve">3. Critical Reflection</w:t>
      </w:r>
    </w:p>
    <w:p w:rsidR="00000000" w:rsidDel="00000000" w:rsidP="00000000" w:rsidRDefault="00000000" w:rsidRPr="00000000" w14:paraId="00000223">
      <w:pPr>
        <w:rPr>
          <w:sz w:val="28"/>
          <w:szCs w:val="28"/>
        </w:rPr>
      </w:pPr>
      <w:r w:rsidDel="00000000" w:rsidR="00000000" w:rsidRPr="00000000">
        <w:rPr>
          <w:sz w:val="28"/>
          <w:szCs w:val="28"/>
          <w:rtl w:val="0"/>
        </w:rPr>
        <w:t xml:space="preserve">Even though I haven’t written it yet, planning the structure made me feel much more prepared. Laying out the bullet points helped me see the main themes that have shaped my learning, especially around workload management, iterative development, and reflective decision making.</w:t>
      </w:r>
    </w:p>
    <w:p w:rsidR="00000000" w:rsidDel="00000000" w:rsidP="00000000" w:rsidRDefault="00000000" w:rsidRPr="00000000" w14:paraId="00000224">
      <w:pPr>
        <w:spacing w:after="120" w:before="360" w:line="276" w:lineRule="auto"/>
        <w:rPr/>
      </w:pPr>
      <w:r w:rsidDel="00000000" w:rsidR="00000000" w:rsidRPr="00000000">
        <w:rPr>
          <w:rtl w:val="0"/>
        </w:rPr>
        <w:t xml:space="preserve">4. SMART Target Review</w:t>
      </w:r>
    </w:p>
    <w:p w:rsidR="00000000" w:rsidDel="00000000" w:rsidP="00000000" w:rsidRDefault="00000000" w:rsidRPr="00000000" w14:paraId="00000225">
      <w:pPr>
        <w:rPr>
          <w:sz w:val="28"/>
          <w:szCs w:val="28"/>
        </w:rPr>
      </w:pPr>
      <w:r w:rsidDel="00000000" w:rsidR="00000000" w:rsidRPr="00000000">
        <w:rPr>
          <w:sz w:val="28"/>
          <w:szCs w:val="28"/>
          <w:rtl w:val="0"/>
        </w:rPr>
        <w:t xml:space="preserve">Last Week’s Target: Create the structure and outline for the Critical Reflection.</w:t>
        <w:br w:type="textWrapping"/>
        <w:t xml:space="preserve"> Was it Achieved? Yes — the full framework and bullet points are ready.</w:t>
      </w:r>
    </w:p>
    <w:p w:rsidR="00000000" w:rsidDel="00000000" w:rsidP="00000000" w:rsidRDefault="00000000" w:rsidRPr="00000000" w14:paraId="00000226">
      <w:pPr>
        <w:spacing w:after="120" w:before="360" w:line="276" w:lineRule="auto"/>
        <w:rPr/>
      </w:pPr>
      <w:r w:rsidDel="00000000" w:rsidR="00000000" w:rsidRPr="00000000">
        <w:rPr>
          <w:rtl w:val="0"/>
        </w:rPr>
        <w:t xml:space="preserve">5. New SMART Target</w:t>
      </w:r>
    </w:p>
    <w:p w:rsidR="00000000" w:rsidDel="00000000" w:rsidP="00000000" w:rsidRDefault="00000000" w:rsidRPr="00000000" w14:paraId="00000227">
      <w:pPr>
        <w:rPr>
          <w:sz w:val="28"/>
          <w:szCs w:val="28"/>
        </w:rPr>
      </w:pPr>
      <w:r w:rsidDel="00000000" w:rsidR="00000000" w:rsidRPr="00000000">
        <w:rPr>
          <w:sz w:val="28"/>
          <w:szCs w:val="28"/>
          <w:rtl w:val="0"/>
        </w:rPr>
        <w:t xml:space="preserve">Begin writing the Critical Reflection and aim to complete the first 400 words after the draft submission.</w:t>
      </w:r>
    </w:p>
    <w:p w:rsidR="00000000" w:rsidDel="00000000" w:rsidP="00000000" w:rsidRDefault="00000000" w:rsidRPr="00000000" w14:paraId="00000228">
      <w:pPr>
        <w:spacing w:after="240" w:before="240" w:line="276" w:lineRule="auto"/>
        <w:rPr>
          <w:sz w:val="28"/>
          <w:szCs w:val="28"/>
        </w:rPr>
      </w:pPr>
      <w:r w:rsidDel="00000000" w:rsidR="00000000" w:rsidRPr="00000000">
        <w:rPr>
          <w:rtl w:val="0"/>
        </w:rPr>
      </w:r>
    </w:p>
    <w:p w:rsidR="00000000" w:rsidDel="00000000" w:rsidP="00000000" w:rsidRDefault="00000000" w:rsidRPr="00000000" w14:paraId="00000229">
      <w:pPr>
        <w:spacing w:after="200" w:line="276" w:lineRule="auto"/>
        <w:rPr>
          <w:sz w:val="28"/>
          <w:szCs w:val="28"/>
        </w:rPr>
      </w:pPr>
      <w:r w:rsidDel="00000000" w:rsidR="00000000" w:rsidRPr="00000000">
        <w:rPr>
          <w:rtl w:val="0"/>
        </w:rPr>
      </w:r>
    </w:p>
    <w:p w:rsidR="00000000" w:rsidDel="00000000" w:rsidP="00000000" w:rsidRDefault="00000000" w:rsidRPr="00000000" w14:paraId="0000022A">
      <w:pPr>
        <w:spacing w:after="200" w:line="276" w:lineRule="auto"/>
        <w:rPr>
          <w:sz w:val="28"/>
          <w:szCs w:val="28"/>
        </w:rPr>
      </w:pPr>
      <w:r w:rsidDel="00000000" w:rsidR="00000000" w:rsidRPr="00000000">
        <w:rPr>
          <w:rtl w:val="0"/>
        </w:rPr>
      </w:r>
    </w:p>
    <w:p w:rsidR="00000000" w:rsidDel="00000000" w:rsidP="00000000" w:rsidRDefault="00000000" w:rsidRPr="00000000" w14:paraId="0000022B">
      <w:pPr>
        <w:spacing w:after="200"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sectPr>
      <w:headerReference r:id="rId137" w:type="default"/>
      <w:footerReference r:id="rId138" w:type="default"/>
      <w:footerReference r:id="rId139"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280" w:line="360" w:lineRule="auto"/>
    </w:pPr>
    <w:rPr>
      <w:b w:val="1"/>
      <w:bCs w:val="1"/>
      <w:sz w:val="24"/>
      <w:szCs w:val="24"/>
    </w:rPr>
  </w:style>
  <w:style w:type="paragraph" w:styleId="Heading2">
    <w:name w:val="heading 2"/>
    <w:basedOn w:val="Normal"/>
    <w:next w:val="Normal"/>
    <w:pPr>
      <w:keepNext w:val="1"/>
      <w:keepLines w:val="1"/>
      <w:spacing w:after="240" w:before="240" w:line="360" w:lineRule="auto"/>
    </w:pPr>
    <w:rPr>
      <w:b w:val="1"/>
      <w:bCs w:val="1"/>
    </w:rPr>
  </w:style>
  <w:style w:type="paragraph" w:styleId="Heading3">
    <w:name w:val="heading 3"/>
    <w:basedOn w:val="Normal"/>
    <w:next w:val="Normal"/>
    <w:pPr>
      <w:keepNext w:val="1"/>
      <w:keepLines w:val="1"/>
      <w:spacing w:after="240" w:before="240" w:line="360" w:lineRule="auto"/>
    </w:pPr>
    <w:rPr>
      <w:b w:val="1"/>
      <w:bCs w:val="1"/>
      <w:i w:val="1"/>
      <w:iCs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spacing w:after="80" w:before="360" w:lineRule="auto"/>
    </w:pPr>
    <w:rPr>
      <w:b w:val="1"/>
      <w:bCs w:val="1"/>
      <w:sz w:val="34"/>
      <w:szCs w:val="34"/>
    </w:rPr>
  </w:style>
</w:styles>
</file>

<file path=word/_rels/document.xml.rels><?xml version="1.0" encoding="UTF-8" standalone="yes"?><Relationships xmlns="http://schemas.openxmlformats.org/package/2006/relationships"><Relationship Id="rId40" Type="http://schemas.openxmlformats.org/officeDocument/2006/relationships/image" Target="media/image11.png"/><Relationship Id="rId42" Type="http://schemas.openxmlformats.org/officeDocument/2006/relationships/image" Target="media/image83.png"/><Relationship Id="rId41" Type="http://schemas.openxmlformats.org/officeDocument/2006/relationships/image" Target="media/image95.png"/><Relationship Id="rId44" Type="http://schemas.openxmlformats.org/officeDocument/2006/relationships/image" Target="media/image3.png"/><Relationship Id="rId43" Type="http://schemas.openxmlformats.org/officeDocument/2006/relationships/image" Target="media/image2.png"/><Relationship Id="rId46" Type="http://schemas.openxmlformats.org/officeDocument/2006/relationships/image" Target="media/image70.png"/><Relationship Id="rId45" Type="http://schemas.openxmlformats.org/officeDocument/2006/relationships/image" Target="media/image63.png"/><Relationship Id="rId107" Type="http://schemas.openxmlformats.org/officeDocument/2006/relationships/image" Target="media/image58.png"/><Relationship Id="rId106" Type="http://schemas.openxmlformats.org/officeDocument/2006/relationships/image" Target="media/image12.png"/><Relationship Id="rId105" Type="http://schemas.openxmlformats.org/officeDocument/2006/relationships/image" Target="media/image17.png"/><Relationship Id="rId104" Type="http://schemas.openxmlformats.org/officeDocument/2006/relationships/image" Target="media/image43.png"/><Relationship Id="rId109" Type="http://schemas.openxmlformats.org/officeDocument/2006/relationships/image" Target="media/image32.png"/><Relationship Id="rId108" Type="http://schemas.openxmlformats.org/officeDocument/2006/relationships/image" Target="media/image35.png"/><Relationship Id="rId48" Type="http://schemas.openxmlformats.org/officeDocument/2006/relationships/image" Target="media/image4.png"/><Relationship Id="rId47" Type="http://schemas.openxmlformats.org/officeDocument/2006/relationships/image" Target="media/image22.png"/><Relationship Id="rId49" Type="http://schemas.openxmlformats.org/officeDocument/2006/relationships/image" Target="media/image7.png"/><Relationship Id="rId103" Type="http://schemas.openxmlformats.org/officeDocument/2006/relationships/image" Target="media/image111.png"/><Relationship Id="rId102" Type="http://schemas.openxmlformats.org/officeDocument/2006/relationships/image" Target="media/image110.png"/><Relationship Id="rId101" Type="http://schemas.openxmlformats.org/officeDocument/2006/relationships/image" Target="media/image52.png"/><Relationship Id="rId100" Type="http://schemas.openxmlformats.org/officeDocument/2006/relationships/image" Target="media/image120.png"/><Relationship Id="rId31" Type="http://schemas.openxmlformats.org/officeDocument/2006/relationships/image" Target="media/image94.png"/><Relationship Id="rId30" Type="http://schemas.openxmlformats.org/officeDocument/2006/relationships/image" Target="media/image119.png"/><Relationship Id="rId33" Type="http://schemas.openxmlformats.org/officeDocument/2006/relationships/image" Target="media/image115.png"/><Relationship Id="rId32" Type="http://schemas.openxmlformats.org/officeDocument/2006/relationships/image" Target="media/image60.png"/><Relationship Id="rId35" Type="http://schemas.openxmlformats.org/officeDocument/2006/relationships/image" Target="media/image65.png"/><Relationship Id="rId34" Type="http://schemas.openxmlformats.org/officeDocument/2006/relationships/image" Target="media/image74.png"/><Relationship Id="rId37" Type="http://schemas.openxmlformats.org/officeDocument/2006/relationships/image" Target="media/image6.png"/><Relationship Id="rId36" Type="http://schemas.openxmlformats.org/officeDocument/2006/relationships/image" Target="media/image16.png"/><Relationship Id="rId39" Type="http://schemas.openxmlformats.org/officeDocument/2006/relationships/image" Target="media/image51.png"/><Relationship Id="rId38" Type="http://schemas.openxmlformats.org/officeDocument/2006/relationships/image" Target="media/image9.png"/><Relationship Id="rId20" Type="http://schemas.openxmlformats.org/officeDocument/2006/relationships/image" Target="media/image105.png"/><Relationship Id="rId22" Type="http://schemas.openxmlformats.org/officeDocument/2006/relationships/image" Target="media/image112.png"/><Relationship Id="rId21" Type="http://schemas.openxmlformats.org/officeDocument/2006/relationships/image" Target="media/image96.png"/><Relationship Id="rId24" Type="http://schemas.openxmlformats.org/officeDocument/2006/relationships/image" Target="media/image64.png"/><Relationship Id="rId23" Type="http://schemas.openxmlformats.org/officeDocument/2006/relationships/image" Target="media/image62.png"/><Relationship Id="rId129" Type="http://schemas.openxmlformats.org/officeDocument/2006/relationships/image" Target="media/image29.png"/><Relationship Id="rId128" Type="http://schemas.openxmlformats.org/officeDocument/2006/relationships/image" Target="media/image69.png"/><Relationship Id="rId127" Type="http://schemas.openxmlformats.org/officeDocument/2006/relationships/image" Target="media/image57.png"/><Relationship Id="rId126" Type="http://schemas.openxmlformats.org/officeDocument/2006/relationships/image" Target="media/image54.png"/><Relationship Id="rId26" Type="http://schemas.openxmlformats.org/officeDocument/2006/relationships/image" Target="media/image85.png"/><Relationship Id="rId121" Type="http://schemas.openxmlformats.org/officeDocument/2006/relationships/image" Target="media/image14.png"/><Relationship Id="rId25" Type="http://schemas.openxmlformats.org/officeDocument/2006/relationships/image" Target="media/image99.png"/><Relationship Id="rId120" Type="http://schemas.openxmlformats.org/officeDocument/2006/relationships/image" Target="media/image36.png"/><Relationship Id="rId28" Type="http://schemas.openxmlformats.org/officeDocument/2006/relationships/image" Target="media/image103.png"/><Relationship Id="rId27" Type="http://schemas.openxmlformats.org/officeDocument/2006/relationships/image" Target="media/image37.png"/><Relationship Id="rId125" Type="http://schemas.openxmlformats.org/officeDocument/2006/relationships/image" Target="media/image38.png"/><Relationship Id="rId29" Type="http://schemas.openxmlformats.org/officeDocument/2006/relationships/image" Target="media/image87.png"/><Relationship Id="rId124" Type="http://schemas.openxmlformats.org/officeDocument/2006/relationships/image" Target="media/image127.png"/><Relationship Id="rId123" Type="http://schemas.openxmlformats.org/officeDocument/2006/relationships/image" Target="media/image125.png"/><Relationship Id="rId122" Type="http://schemas.openxmlformats.org/officeDocument/2006/relationships/image" Target="media/image61.png"/><Relationship Id="rId95" Type="http://schemas.openxmlformats.org/officeDocument/2006/relationships/image" Target="media/image82.png"/><Relationship Id="rId94" Type="http://schemas.openxmlformats.org/officeDocument/2006/relationships/image" Target="media/image49.png"/><Relationship Id="rId97" Type="http://schemas.openxmlformats.org/officeDocument/2006/relationships/image" Target="media/image10.png"/><Relationship Id="rId96" Type="http://schemas.openxmlformats.org/officeDocument/2006/relationships/image" Target="media/image39.png"/><Relationship Id="rId11" Type="http://schemas.openxmlformats.org/officeDocument/2006/relationships/image" Target="media/image66.png"/><Relationship Id="rId99" Type="http://schemas.openxmlformats.org/officeDocument/2006/relationships/image" Target="media/image23.png"/><Relationship Id="rId10" Type="http://schemas.openxmlformats.org/officeDocument/2006/relationships/image" Target="media/image122.png"/><Relationship Id="rId98" Type="http://schemas.openxmlformats.org/officeDocument/2006/relationships/image" Target="media/image84.png"/><Relationship Id="rId13" Type="http://schemas.openxmlformats.org/officeDocument/2006/relationships/image" Target="media/image89.png"/><Relationship Id="rId12" Type="http://schemas.openxmlformats.org/officeDocument/2006/relationships/image" Target="media/image124.png"/><Relationship Id="rId91" Type="http://schemas.openxmlformats.org/officeDocument/2006/relationships/image" Target="media/image100.png"/><Relationship Id="rId90" Type="http://schemas.openxmlformats.org/officeDocument/2006/relationships/image" Target="media/image46.png"/><Relationship Id="rId93" Type="http://schemas.openxmlformats.org/officeDocument/2006/relationships/image" Target="media/image108.png"/><Relationship Id="rId92" Type="http://schemas.openxmlformats.org/officeDocument/2006/relationships/image" Target="media/image117.png"/><Relationship Id="rId118" Type="http://schemas.openxmlformats.org/officeDocument/2006/relationships/image" Target="media/image18.png"/><Relationship Id="rId117" Type="http://schemas.openxmlformats.org/officeDocument/2006/relationships/image" Target="media/image15.png"/><Relationship Id="rId116" Type="http://schemas.openxmlformats.org/officeDocument/2006/relationships/image" Target="media/image78.png"/><Relationship Id="rId115" Type="http://schemas.openxmlformats.org/officeDocument/2006/relationships/image" Target="media/image13.png"/><Relationship Id="rId119" Type="http://schemas.openxmlformats.org/officeDocument/2006/relationships/image" Target="media/image109.png"/><Relationship Id="rId15" Type="http://schemas.openxmlformats.org/officeDocument/2006/relationships/image" Target="media/image73.png"/><Relationship Id="rId110" Type="http://schemas.openxmlformats.org/officeDocument/2006/relationships/image" Target="media/image5.png"/><Relationship Id="rId14" Type="http://schemas.openxmlformats.org/officeDocument/2006/relationships/image" Target="media/image97.png"/><Relationship Id="rId17" Type="http://schemas.openxmlformats.org/officeDocument/2006/relationships/hyperlink" Target="https://www.jmro.org.au" TargetMode="External"/><Relationship Id="rId16" Type="http://schemas.openxmlformats.org/officeDocument/2006/relationships/hyperlink" Target="https://www.jmro.org.au" TargetMode="External"/><Relationship Id="rId19" Type="http://schemas.openxmlformats.org/officeDocument/2006/relationships/hyperlink" Target="https://www.alfred.com/blog" TargetMode="External"/><Relationship Id="rId114" Type="http://schemas.openxmlformats.org/officeDocument/2006/relationships/image" Target="media/image76.png"/><Relationship Id="rId18" Type="http://schemas.openxmlformats.org/officeDocument/2006/relationships/hyperlink" Target="https://www.alfred.com/blog" TargetMode="External"/><Relationship Id="rId113" Type="http://schemas.openxmlformats.org/officeDocument/2006/relationships/image" Target="media/image93.png"/><Relationship Id="rId112" Type="http://schemas.openxmlformats.org/officeDocument/2006/relationships/image" Target="media/image56.png"/><Relationship Id="rId111" Type="http://schemas.openxmlformats.org/officeDocument/2006/relationships/image" Target="media/image1.png"/><Relationship Id="rId84" Type="http://schemas.openxmlformats.org/officeDocument/2006/relationships/image" Target="media/image21.png"/><Relationship Id="rId83" Type="http://schemas.openxmlformats.org/officeDocument/2006/relationships/image" Target="media/image45.png"/><Relationship Id="rId86" Type="http://schemas.openxmlformats.org/officeDocument/2006/relationships/image" Target="media/image90.png"/><Relationship Id="rId85" Type="http://schemas.openxmlformats.org/officeDocument/2006/relationships/image" Target="media/image47.png"/><Relationship Id="rId88" Type="http://schemas.openxmlformats.org/officeDocument/2006/relationships/image" Target="media/image91.png"/><Relationship Id="rId87" Type="http://schemas.openxmlformats.org/officeDocument/2006/relationships/image" Target="media/image19.png"/><Relationship Id="rId89" Type="http://schemas.openxmlformats.org/officeDocument/2006/relationships/image" Target="media/image104.png"/><Relationship Id="rId80" Type="http://schemas.openxmlformats.org/officeDocument/2006/relationships/image" Target="media/image26.png"/><Relationship Id="rId82" Type="http://schemas.openxmlformats.org/officeDocument/2006/relationships/image" Target="media/image101.png"/><Relationship Id="rId81" Type="http://schemas.openxmlformats.org/officeDocument/2006/relationships/image" Target="media/image2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5.png"/><Relationship Id="rId5" Type="http://schemas.openxmlformats.org/officeDocument/2006/relationships/styles" Target="styles.xml"/><Relationship Id="rId6" Type="http://schemas.openxmlformats.org/officeDocument/2006/relationships/image" Target="media/image126.png"/><Relationship Id="rId7" Type="http://schemas.openxmlformats.org/officeDocument/2006/relationships/image" Target="media/image121.png"/><Relationship Id="rId8" Type="http://schemas.openxmlformats.org/officeDocument/2006/relationships/image" Target="media/image67.png"/><Relationship Id="rId73" Type="http://schemas.openxmlformats.org/officeDocument/2006/relationships/image" Target="media/image59.png"/><Relationship Id="rId72" Type="http://schemas.openxmlformats.org/officeDocument/2006/relationships/image" Target="media/image77.png"/><Relationship Id="rId75" Type="http://schemas.openxmlformats.org/officeDocument/2006/relationships/image" Target="media/image71.png"/><Relationship Id="rId74" Type="http://schemas.openxmlformats.org/officeDocument/2006/relationships/image" Target="media/image114.png"/><Relationship Id="rId77" Type="http://schemas.openxmlformats.org/officeDocument/2006/relationships/image" Target="media/image34.png"/><Relationship Id="rId76" Type="http://schemas.openxmlformats.org/officeDocument/2006/relationships/image" Target="media/image41.png"/><Relationship Id="rId79" Type="http://schemas.openxmlformats.org/officeDocument/2006/relationships/image" Target="media/image88.png"/><Relationship Id="rId78" Type="http://schemas.openxmlformats.org/officeDocument/2006/relationships/image" Target="media/image123.png"/><Relationship Id="rId71" Type="http://schemas.openxmlformats.org/officeDocument/2006/relationships/image" Target="media/image40.png"/><Relationship Id="rId70" Type="http://schemas.openxmlformats.org/officeDocument/2006/relationships/image" Target="media/image81.png"/><Relationship Id="rId139" Type="http://schemas.openxmlformats.org/officeDocument/2006/relationships/footer" Target="footer1.xml"/><Relationship Id="rId138" Type="http://schemas.openxmlformats.org/officeDocument/2006/relationships/footer" Target="footer2.xml"/><Relationship Id="rId137" Type="http://schemas.openxmlformats.org/officeDocument/2006/relationships/header" Target="header1.xml"/><Relationship Id="rId132" Type="http://schemas.openxmlformats.org/officeDocument/2006/relationships/image" Target="media/image72.png"/><Relationship Id="rId131" Type="http://schemas.openxmlformats.org/officeDocument/2006/relationships/image" Target="media/image24.png"/><Relationship Id="rId130" Type="http://schemas.openxmlformats.org/officeDocument/2006/relationships/image" Target="media/image106.png"/><Relationship Id="rId136" Type="http://schemas.openxmlformats.org/officeDocument/2006/relationships/image" Target="media/image116.png"/><Relationship Id="rId135" Type="http://schemas.openxmlformats.org/officeDocument/2006/relationships/image" Target="media/image118.png"/><Relationship Id="rId134" Type="http://schemas.openxmlformats.org/officeDocument/2006/relationships/image" Target="media/image44.png"/><Relationship Id="rId133" Type="http://schemas.openxmlformats.org/officeDocument/2006/relationships/image" Target="media/image31.png"/><Relationship Id="rId62" Type="http://schemas.openxmlformats.org/officeDocument/2006/relationships/image" Target="media/image80.png"/><Relationship Id="rId61" Type="http://schemas.openxmlformats.org/officeDocument/2006/relationships/image" Target="media/image68.png"/><Relationship Id="rId64" Type="http://schemas.openxmlformats.org/officeDocument/2006/relationships/image" Target="media/image8.png"/><Relationship Id="rId63" Type="http://schemas.openxmlformats.org/officeDocument/2006/relationships/image" Target="media/image33.png"/><Relationship Id="rId66" Type="http://schemas.openxmlformats.org/officeDocument/2006/relationships/image" Target="media/image48.png"/><Relationship Id="rId65" Type="http://schemas.openxmlformats.org/officeDocument/2006/relationships/image" Target="media/image55.png"/><Relationship Id="rId68" Type="http://schemas.openxmlformats.org/officeDocument/2006/relationships/image" Target="media/image102.png"/><Relationship Id="rId67" Type="http://schemas.openxmlformats.org/officeDocument/2006/relationships/image" Target="media/image53.png"/><Relationship Id="rId60" Type="http://schemas.openxmlformats.org/officeDocument/2006/relationships/image" Target="media/image42.png"/><Relationship Id="rId69" Type="http://schemas.openxmlformats.org/officeDocument/2006/relationships/image" Target="media/image20.png"/><Relationship Id="rId51" Type="http://schemas.openxmlformats.org/officeDocument/2006/relationships/image" Target="media/image113.png"/><Relationship Id="rId50" Type="http://schemas.openxmlformats.org/officeDocument/2006/relationships/image" Target="media/image50.png"/><Relationship Id="rId53" Type="http://schemas.openxmlformats.org/officeDocument/2006/relationships/image" Target="media/image107.png"/><Relationship Id="rId52" Type="http://schemas.openxmlformats.org/officeDocument/2006/relationships/image" Target="media/image25.png"/><Relationship Id="rId55" Type="http://schemas.openxmlformats.org/officeDocument/2006/relationships/image" Target="media/image86.png"/><Relationship Id="rId54" Type="http://schemas.openxmlformats.org/officeDocument/2006/relationships/image" Target="media/image98.png"/><Relationship Id="rId57" Type="http://schemas.openxmlformats.org/officeDocument/2006/relationships/image" Target="media/image30.png"/><Relationship Id="rId56" Type="http://schemas.openxmlformats.org/officeDocument/2006/relationships/image" Target="media/image92.png"/><Relationship Id="rId59" Type="http://schemas.openxmlformats.org/officeDocument/2006/relationships/image" Target="media/image79.png"/><Relationship Id="rId5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