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C1C21A" w14:textId="77777777" w:rsidR="00696F6B" w:rsidRDefault="00696F6B" w:rsidP="00696F6B">
      <w:r>
        <w:t>Introduction</w:t>
      </w:r>
    </w:p>
    <w:p w14:paraId="6E402E91" w14:textId="77777777" w:rsidR="00696F6B" w:rsidRDefault="00696F6B" w:rsidP="00696F6B">
      <w:r>
        <w:t>The primary function of this report is to identify the dominant current perceived global risks and discuss their impacts on sustainable developments efforts globally. The risks identified are assessed with use of academic sources and application of sustainability theories so that further understanding of their impact and suitable pathways forward can be suggested.</w:t>
      </w:r>
    </w:p>
    <w:p w14:paraId="2F4769B0" w14:textId="77777777" w:rsidR="00696F6B" w:rsidRDefault="00696F6B" w:rsidP="00696F6B"/>
    <w:p w14:paraId="61AE45E6" w14:textId="77777777" w:rsidR="00696F6B" w:rsidRDefault="00696F6B" w:rsidP="00696F6B">
      <w:r>
        <w:t>To achieve the reports’ function, there were three objectives:</w:t>
      </w:r>
    </w:p>
    <w:p w14:paraId="75BC74E6" w14:textId="77777777" w:rsidR="00696F6B" w:rsidRDefault="00696F6B" w:rsidP="00696F6B">
      <w:r>
        <w:t>1.</w:t>
      </w:r>
      <w:r>
        <w:tab/>
        <w:t>To conduct secondary research determining the dynamics and contributing factors of the identified risks, and potential impact they may have on global sustainable development efforts.</w:t>
      </w:r>
    </w:p>
    <w:p w14:paraId="59DD8E6B" w14:textId="77777777" w:rsidR="00696F6B" w:rsidRDefault="00696F6B" w:rsidP="00696F6B">
      <w:r>
        <w:t>2.</w:t>
      </w:r>
      <w:r>
        <w:tab/>
        <w:t>To conduct secondary research theorising the impacts effects of these risks on sustainable development and discuss by applying relevant theories.</w:t>
      </w:r>
    </w:p>
    <w:p w14:paraId="23AD8A3F" w14:textId="77777777" w:rsidR="00696F6B" w:rsidRDefault="00696F6B" w:rsidP="00696F6B">
      <w:r>
        <w:t>3.</w:t>
      </w:r>
      <w:r>
        <w:tab/>
        <w:t>Introduce the sustainable development goals and propose implementable recommendations to mitigate the risks reported.</w:t>
      </w:r>
    </w:p>
    <w:p w14:paraId="539D5187" w14:textId="77777777" w:rsidR="00696F6B" w:rsidRDefault="00696F6B" w:rsidP="00696F6B"/>
    <w:p w14:paraId="554D7C30" w14:textId="77777777" w:rsidR="00696F6B" w:rsidRDefault="00696F6B" w:rsidP="00696F6B">
      <w:r>
        <w:t xml:space="preserve">The World Economic Forum (WEF) publishes a report named ‘Global Risks’ annually, which, although criticised by Bood, who questions its “flawed methodology” (2022), is taken on face value by most as a key resource (Harvard University, 2024) (SDG Knowledge Hub, 2024). The report identifies the perceived global risks gathered from “field (and) leading experts”, and the Global Risks Perception Survey (GPRS), over a twelve-month period, showing current, short- and long-term risk perceptions and categorises the results by economic, environmental, geopolitical, societal, and technological considerations (2024). </w:t>
      </w:r>
    </w:p>
    <w:p w14:paraId="18A2169B" w14:textId="77777777" w:rsidR="00696F6B" w:rsidRDefault="00696F6B" w:rsidP="00696F6B">
      <w:r>
        <w:t xml:space="preserve">The global outlook short to long term was reported a predominantly negative outlook and highlighted the current risk landscape in figure 1. </w:t>
      </w:r>
    </w:p>
    <w:p w14:paraId="1D49F1A2" w14:textId="77777777" w:rsidR="00696F6B" w:rsidRDefault="00696F6B" w:rsidP="00696F6B"/>
    <w:p w14:paraId="38C7859B" w14:textId="77777777" w:rsidR="00696F6B" w:rsidRDefault="00696F6B" w:rsidP="00696F6B">
      <w:r>
        <w:t xml:space="preserve"> </w:t>
      </w:r>
    </w:p>
    <w:p w14:paraId="595D5629" w14:textId="77777777" w:rsidR="00696F6B" w:rsidRDefault="00696F6B" w:rsidP="00696F6B">
      <w:r>
        <w:t>Figure 1: Current Risk Landscape (WEF, 2024)</w:t>
      </w:r>
    </w:p>
    <w:p w14:paraId="6CBF4E57" w14:textId="77777777" w:rsidR="00696F6B" w:rsidRDefault="00696F6B" w:rsidP="00696F6B"/>
    <w:p w14:paraId="022D4B95" w14:textId="77777777" w:rsidR="00696F6B" w:rsidRDefault="00696F6B" w:rsidP="00696F6B">
      <w:r>
        <w:t>The dominance of extreme weather risk followed by technologies AI related issues reverses in the 2-year prediction, ho</w:t>
      </w:r>
      <w:r w:rsidRPr="00696F6B">
        <w:t>wever, long term is dominated by environmental factors. The WEF report contextualised long term risk through four underlying influences that shape global risk, Climate change, Demographic bifurcation, Technological</w:t>
      </w:r>
      <w:r>
        <w:t xml:space="preserve"> acceleration, and Geostrategic shifts; and, as per figure 2, found that the highest four risks to the world over the next 10 years are environmental. </w:t>
      </w:r>
    </w:p>
    <w:p w14:paraId="1EB93CDE" w14:textId="77777777" w:rsidR="00696F6B" w:rsidRDefault="00696F6B" w:rsidP="00696F6B"/>
    <w:p w14:paraId="4360CACC" w14:textId="77777777" w:rsidR="00696F6B" w:rsidRDefault="00696F6B" w:rsidP="00696F6B">
      <w:r>
        <w:t xml:space="preserve"> </w:t>
      </w:r>
    </w:p>
    <w:p w14:paraId="7350BCC9" w14:textId="77777777" w:rsidR="00696F6B" w:rsidRDefault="00696F6B" w:rsidP="00696F6B">
      <w:r>
        <w:t>Figure 2: Global risks ranked by severity over the short and long term (WEF, 2024)</w:t>
      </w:r>
    </w:p>
    <w:p w14:paraId="7B677290" w14:textId="77777777" w:rsidR="00696F6B" w:rsidRDefault="00696F6B" w:rsidP="00696F6B"/>
    <w:p w14:paraId="4AA2EEC8" w14:textId="77777777" w:rsidR="00696F6B" w:rsidRDefault="00696F6B" w:rsidP="00696F6B">
      <w:r>
        <w:lastRenderedPageBreak/>
        <w:t>As the Environmental risks are the current highest risk, and dominate the long-term risks, this will be explored in this report. As extreme weather, changes to earth systems and natural resources could lead to loss of biodiversity and ecosystem collapse, this threat will be the focus of this report and its recommendations.</w:t>
      </w:r>
    </w:p>
    <w:p w14:paraId="67AF3ADB" w14:textId="77777777" w:rsidR="00696F6B" w:rsidRDefault="00696F6B" w:rsidP="00696F6B">
      <w:r>
        <w:t>Main Body</w:t>
      </w:r>
    </w:p>
    <w:p w14:paraId="4871D958" w14:textId="77777777" w:rsidR="00696F6B" w:rsidRDefault="00696F6B" w:rsidP="00696F6B">
      <w:r>
        <w:t>Overview of Risk</w:t>
      </w:r>
    </w:p>
    <w:p w14:paraId="52ABF37D" w14:textId="77777777" w:rsidR="00696F6B" w:rsidRDefault="00696F6B" w:rsidP="00696F6B">
      <w:r>
        <w:t>Biodiversity loss is, according to Rafferty, a decrease in the variety of species within a habitat (2024), which are living organisms which rely on their interrelationships, or ecosystems (</w:t>
      </w:r>
      <w:proofErr w:type="spellStart"/>
      <w:r>
        <w:t>Encyclopedia</w:t>
      </w:r>
      <w:proofErr w:type="spellEnd"/>
      <w:r>
        <w:t xml:space="preserve"> Britannica, 2024), therefore the environmental risk at the focus of this report is the risk to all living things on our planet. With over an estimated 8.7 million species native to our planet according to Mora et al., of which humas are one, humanity has sped the risk of, and road to, extinction for many species (2011)</w:t>
      </w:r>
    </w:p>
    <w:p w14:paraId="29A8D92E" w14:textId="77777777" w:rsidR="00696F6B" w:rsidRDefault="00696F6B" w:rsidP="00696F6B"/>
    <w:p w14:paraId="4DA07A39" w14:textId="77777777" w:rsidR="00696F6B" w:rsidRDefault="00696F6B" w:rsidP="00696F6B">
      <w:r>
        <w:t>According to Rafferty, attributing biodiversity loss to extinction misses “other subtle phenomena” that threaten the ecosystems sustainability, stating that the two are linked, where the ecosystem and species’ variety and numbers are codependent (Rafferty, 2024).</w:t>
      </w:r>
    </w:p>
    <w:p w14:paraId="207DC59C" w14:textId="77777777" w:rsidR="00696F6B" w:rsidRDefault="00696F6B" w:rsidP="00696F6B">
      <w:r>
        <w:t xml:space="preserve">Humanities reliance on nature is ingrained, there is of course dependency on our planet’s resources for food and water, but also for goods, services, and medicines, such as the humble Aspirin, derived from tree bark, or penicillin from microorganisms (Adebayo, 2019). Maintaining the diversity of species on our planet is paramount for their own survival according to Cardinale, who stated that the evolution of a lifeform is key to fulfilling its niche ecosystem requirement, and, in reply to the notion of a few species’ redundancy, he quoted Ehrlich in likening humans species dependency on rivets in an aeroplane wing, for a few rivets (species) may be lost, but once you lose enough, humanity would be in peril (2012). </w:t>
      </w:r>
    </w:p>
    <w:p w14:paraId="1412B08A" w14:textId="77777777" w:rsidR="00696F6B" w:rsidRDefault="00696F6B" w:rsidP="00696F6B"/>
    <w:p w14:paraId="2C0B60D2" w14:textId="77777777" w:rsidR="00696F6B" w:rsidRDefault="00696F6B" w:rsidP="00696F6B">
      <w:r>
        <w:t xml:space="preserve">According to European Union External Action, as of 2021, humans demand roughly 1.6 times what the planet can provide yearly (2021). Through this human demand of resources, Hunter tells us, and the pollutants we create and disperse, species’ habitats have been depleted or changed affecting their ability to survive within (2007). Hunter continues to argue that many species have adapted to the change, suggesting signs of evolution. This however is dismissible, as the adaptation states reliance on human wates and activities for survival and continued plundering of resources and pollution without effective sustainability by humans would lead to eventual species extinctions, supported by the living species index (LPI), who’s data shows a 69% decline in species abundance between 1970 and 2016 (Living </w:t>
      </w:r>
      <w:proofErr w:type="spellStart"/>
      <w:r>
        <w:t>PLanet</w:t>
      </w:r>
      <w:proofErr w:type="spellEnd"/>
      <w:r>
        <w:t xml:space="preserve"> Index, n.d.), and although is unmeasured on this report, in the distant future, could include humans. </w:t>
      </w:r>
    </w:p>
    <w:p w14:paraId="4B8E2517" w14:textId="77777777" w:rsidR="00696F6B" w:rsidRDefault="00696F6B" w:rsidP="00696F6B"/>
    <w:p w14:paraId="2731C42A" w14:textId="77777777" w:rsidR="00696F6B" w:rsidRDefault="00696F6B" w:rsidP="00696F6B">
      <w:r>
        <w:t>The root causes for loss of biodiversity and ecosystem collapse can be attributed as follows:</w:t>
      </w:r>
    </w:p>
    <w:p w14:paraId="3B3F4CCF" w14:textId="77777777" w:rsidR="00696F6B" w:rsidRDefault="00696F6B" w:rsidP="00696F6B"/>
    <w:p w14:paraId="06727AF8" w14:textId="77777777" w:rsidR="00696F6B" w:rsidRDefault="00696F6B" w:rsidP="00696F6B">
      <w:r>
        <w:t xml:space="preserve">Habitat loss caused by urbanisation, agriculture, and infrastructure. The natural habitats that organisms depend on for survival are lost to human development and needs. Deforestation of the Amazon rainforest’ dominant cause is to pasture cattle for meat (WWF, n.d.), this combined </w:t>
      </w:r>
      <w:r>
        <w:lastRenderedPageBreak/>
        <w:t>with the increasing urban area expansion, its global land use, as well as the infrastructure necessitated by such developments as power stations, roads, and mining, is having a negative effect and depleting natural habitats (</w:t>
      </w:r>
      <w:proofErr w:type="spellStart"/>
      <w:r>
        <w:t>Scanes</w:t>
      </w:r>
      <w:proofErr w:type="spellEnd"/>
      <w:r>
        <w:t>, 2018).</w:t>
      </w:r>
    </w:p>
    <w:p w14:paraId="70E4206E" w14:textId="77777777" w:rsidR="00696F6B" w:rsidRDefault="00696F6B" w:rsidP="00696F6B"/>
    <w:p w14:paraId="7ABD1FD5" w14:textId="77777777" w:rsidR="00696F6B" w:rsidRDefault="00696F6B" w:rsidP="00696F6B">
      <w:r>
        <w:t>Invasive species are the dominant driver for extinction in insular ecosystems, such as islands according to Towns et al. (2006), insular ecosystems allow for a focused study on scalable ecosystems, and this finding is a re-enforcement of Gurevitch and Padilla’s statement that there is “no questions that invasive species are profoundly altering many communities and ecosystems” (2004), however, Donlan and Wilcox found that invasive species alone were not the sole threat to others, where carrying capacity and climate conditions also played significant roles (2008). A more recent study found that 60% of animal and plant species extinctions had been markedly affected by invasive species, and that 16% solely affected, with invasive species as a whole having an 85% negative effect on others (Roy, et al., 2024).</w:t>
      </w:r>
    </w:p>
    <w:p w14:paraId="447B2298" w14:textId="77777777" w:rsidR="00696F6B" w:rsidRDefault="00696F6B" w:rsidP="00696F6B"/>
    <w:p w14:paraId="42EAF091" w14:textId="77777777" w:rsidR="00696F6B" w:rsidRDefault="00696F6B" w:rsidP="00696F6B">
      <w:r>
        <w:t xml:space="preserve">Resource depletion, defined by </w:t>
      </w:r>
      <w:proofErr w:type="spellStart"/>
      <w:r>
        <w:t>Azwardi</w:t>
      </w:r>
      <w:proofErr w:type="spellEnd"/>
      <w:r>
        <w:t xml:space="preserve"> et al. as the consumption of natural resources faster than their regenerative rate (2023). This is true, as with habitat loss, where such activities as agriculture and deforestation deplete the, initially abundant, resource nutrients within the soil, as well as the depleting timber, resources some economies depend on, however it is put forward by Vincent that sustainable economic growth is more successful with the absence of abundant natural resources (Vincent, 1996), conceivably, this is due to optimal national efforts in resource economics and returns, however, it is common knowledge that, due to a markets economic outlook, population growth, and technological advancement rate, some resources have higher demand and slower regenerative rate, such as oil and coal, and cause greater damage through consumption.</w:t>
      </w:r>
    </w:p>
    <w:p w14:paraId="4A1BD23A" w14:textId="77777777" w:rsidR="00696F6B" w:rsidRDefault="00696F6B" w:rsidP="00696F6B"/>
    <w:p w14:paraId="285CD5F6" w14:textId="77777777" w:rsidR="00696F6B" w:rsidRDefault="00696F6B" w:rsidP="00696F6B">
      <w:r>
        <w:t xml:space="preserve">Population and consumption growth, whilst it is conceivable that population growth would relate to higher resource demand and as such biodiversity loss, Schiff explains the link is with the technological advancements of a growing population that the link is established (1992), for as technology advances, so does the demand on, and consumption of, resources, a conceivable example of this would be the industrial revolution and altering developed states of nations, where during the industrial revolution in great Britain, resources such as coal, wood and iron were in high demand, compared to undeveloped nations. The technological and populus expansion of humans and their resource consumption is, as cited above, 1.6 times greater than the planet can provide yearly, but the negative externality of much of this consumption that is also contributing to biodiversity loss and ecosystem collapse. </w:t>
      </w:r>
    </w:p>
    <w:p w14:paraId="0C88FE82" w14:textId="77777777" w:rsidR="00696F6B" w:rsidRDefault="00696F6B" w:rsidP="00696F6B"/>
    <w:p w14:paraId="7E988748" w14:textId="77777777" w:rsidR="00696F6B" w:rsidRDefault="00696F6B" w:rsidP="00696F6B">
      <w:r>
        <w:t>Climate change, the pollutant caused change in weather characteristics, causing such things as extreme weather, droughts, increased rainfall, and global temperature increase (</w:t>
      </w:r>
      <w:proofErr w:type="spellStart"/>
      <w:r>
        <w:t>Osterloff</w:t>
      </w:r>
      <w:proofErr w:type="spellEnd"/>
      <w:r>
        <w:t xml:space="preserve">, n.d.). Pollutants that caused this change, and effects, to ecosystems natural and dependent conditions are human made, primarily through consumption of resources such as fossil fuels, deforestation, and agriculture methods (European Commission, n.d.).   </w:t>
      </w:r>
    </w:p>
    <w:p w14:paraId="3C8ACEFD" w14:textId="77777777" w:rsidR="00696F6B" w:rsidRDefault="00696F6B" w:rsidP="00696F6B"/>
    <w:p w14:paraId="3433A73D" w14:textId="77777777" w:rsidR="00696F6B" w:rsidRDefault="00696F6B" w:rsidP="00696F6B">
      <w:r>
        <w:lastRenderedPageBreak/>
        <w:t>There is little doubt on the dominant causes of biodiversity loss and ecosystem collapse, the cause is largely Human, and can be attributed to predominantly loss of habitats, resource depletion and pollution.</w:t>
      </w:r>
    </w:p>
    <w:p w14:paraId="3CA39525" w14:textId="77777777" w:rsidR="00696F6B" w:rsidRDefault="00696F6B" w:rsidP="00696F6B"/>
    <w:p w14:paraId="6A9D78F1" w14:textId="77777777" w:rsidR="00696F6B" w:rsidRDefault="00696F6B" w:rsidP="00696F6B">
      <w:r>
        <w:t>Impact of Risk</w:t>
      </w:r>
    </w:p>
    <w:p w14:paraId="3635A0D9" w14:textId="77777777" w:rsidR="00696F6B" w:rsidRDefault="00696F6B" w:rsidP="00696F6B">
      <w:r>
        <w:t xml:space="preserve">There are economic values to be ascertained of biodiversity, measured through Total Economic Value (TEV), which measures the value of an environmental asset (OECD, 2006), Hanley and </w:t>
      </w:r>
      <w:proofErr w:type="spellStart"/>
      <w:r>
        <w:t>Perrings</w:t>
      </w:r>
      <w:proofErr w:type="spellEnd"/>
      <w:r>
        <w:t xml:space="preserve"> tell us of Pimentel’s costings of damage caused by introduces species, some 50,000, at approximately $120billion USD in 2005 (2019). This together with the World Economic Forum (WEF)’ 2020 estimate of global business dependence on nature at approximately $44 trillion USD (WEF, 2020), nearly half of the planets GDP, suggests a dependence on its ecosystems and ability to generate natural resources. In this respect there is a threat to many business types, for those dependants on these resources would surely suffer or decline, such as agriculture, a key supply of food to humans, construction, to build our homes and infrastructures, to medicines and our healthcare, and the very clothes on our back through cotton farms. It is by this reasoning that the risk to biodiversity and ecosystems is by extension a risk to humanity, caused by growth of populations and their technological advancement.</w:t>
      </w:r>
    </w:p>
    <w:p w14:paraId="426882DE" w14:textId="77777777" w:rsidR="00696F6B" w:rsidRDefault="00696F6B" w:rsidP="00696F6B"/>
    <w:p w14:paraId="3E7156EA" w14:textId="77777777" w:rsidR="00696F6B" w:rsidRDefault="00696F6B" w:rsidP="00696F6B">
      <w:r>
        <w:t xml:space="preserve">The Malthusian Theory of Population suggests that the growth of the human population is growing faster </w:t>
      </w:r>
      <w:proofErr w:type="spellStart"/>
      <w:r>
        <w:t>that</w:t>
      </w:r>
      <w:proofErr w:type="spellEnd"/>
      <w:r>
        <w:t xml:space="preserve"> the supply of food, and therefore technological growth would lead to a larger population, but not richer (Malthus, 1806), based on the law of diminishing returns where additional inputs cause a decline of output (</w:t>
      </w:r>
      <w:proofErr w:type="spellStart"/>
      <w:r>
        <w:t>Montevirgen</w:t>
      </w:r>
      <w:proofErr w:type="spellEnd"/>
      <w:r>
        <w:t xml:space="preserve">, 2023). This is similar in theory to its sympathetic neo-Malthusian theory, which differs in “victim” not in concept, finding that it is consumption growth that is the driver as opposed to population (Rao, 1994). This implies a view that exponential populus driven growth decreases food (resource) supply, and there is therefore a population causality with exponential decline in resources, and where there is shortage of resources, conflict usually follows. Ricardo’s theory of rent viewed this phenomenon with an alternate perspective, his theory focussed on land and agriculture, suggesting a link between population growth is linked to demand for land and its diminishing returns based on its fertility, thus increasing the cost of </w:t>
      </w:r>
      <w:proofErr w:type="gramStart"/>
      <w:r>
        <w:t>land</w:t>
      </w:r>
      <w:proofErr w:type="gramEnd"/>
      <w:r>
        <w:t xml:space="preserve"> and reducing the financial return of its use (Ricardo, 1891). This further reinforces a link between consumption and resources but includes demand and highlights an increase in ‘rent’ as the resource increases in scarcity.</w:t>
      </w:r>
    </w:p>
    <w:p w14:paraId="1D2027CD" w14:textId="77777777" w:rsidR="00696F6B" w:rsidRDefault="00696F6B" w:rsidP="00696F6B"/>
    <w:p w14:paraId="75A3A050" w14:textId="77777777" w:rsidR="00696F6B" w:rsidRDefault="00696F6B" w:rsidP="00696F6B">
      <w:r>
        <w:t>Measured in real wages, historical evidence which presumably influenced Malthusian theories is depicted in Figure 3, where a significant increase in labour-land ratio, attributed to the black death around 1350, markedly increased real wages, and decreased in line with population growth (Ashraf &amp; Galor, 2008). As can be seen by figure 4, there is a negative correlation between supply and value, demonstrating the demand and availability of fertile land between 1926 and 2011 (Savills, 2016).</w:t>
      </w:r>
    </w:p>
    <w:p w14:paraId="214A09C9" w14:textId="77777777" w:rsidR="00696F6B" w:rsidRDefault="00696F6B" w:rsidP="00696F6B"/>
    <w:p w14:paraId="30662D13" w14:textId="77777777" w:rsidR="00696F6B" w:rsidRDefault="00696F6B" w:rsidP="00696F6B">
      <w:r>
        <w:t xml:space="preserve"> </w:t>
      </w:r>
    </w:p>
    <w:p w14:paraId="5ADC0F90" w14:textId="77777777" w:rsidR="00696F6B" w:rsidRDefault="00696F6B" w:rsidP="00696F6B">
      <w:r>
        <w:t>Figure 3: Population and Real Wages in England, 1250-1750 CE (Clark, 2005)</w:t>
      </w:r>
    </w:p>
    <w:p w14:paraId="474DE319" w14:textId="77777777" w:rsidR="00696F6B" w:rsidRDefault="00696F6B" w:rsidP="00696F6B"/>
    <w:p w14:paraId="120E237B" w14:textId="77777777" w:rsidR="00696F6B" w:rsidRDefault="00696F6B" w:rsidP="00696F6B"/>
    <w:p w14:paraId="4373E0A7" w14:textId="77777777" w:rsidR="00696F6B" w:rsidRDefault="00696F6B" w:rsidP="00696F6B">
      <w:r>
        <w:t xml:space="preserve"> </w:t>
      </w:r>
    </w:p>
    <w:p w14:paraId="4F7E3EA2" w14:textId="77777777" w:rsidR="00696F6B" w:rsidRDefault="00696F6B" w:rsidP="00696F6B">
      <w:r>
        <w:t>Figure 4: 90 years of farmland values &amp; supply (Savills, 2016)</w:t>
      </w:r>
    </w:p>
    <w:p w14:paraId="3935B022" w14:textId="77777777" w:rsidR="00696F6B" w:rsidRDefault="00696F6B" w:rsidP="00696F6B"/>
    <w:p w14:paraId="5BB2D5AD" w14:textId="77777777" w:rsidR="00696F6B" w:rsidRDefault="00696F6B" w:rsidP="00696F6B">
      <w:r>
        <w:t xml:space="preserve">The pessimistic theoretical views of Malthusians and neo-Malthusians link population growth, or its consumption, and the limitations of biological resources, therefore economic and technological growth will eventually lead to biodiversity loss and ecosystem collapse. Contrastingly, neo classical theory suggests that adaptive economic growth can reduce the human impact on the planet, such as the curve theorised by Kuznets (Kuznets, 1955). Figure 5 illustrates the curve as adapted by Syed, depicting the environmental impacts of countries pre and post industrialisation, measured in GDP/capita, suggesting an increase of economic choices as technology advances that allow for reduction of negative externalities or excess consumption (2019). </w:t>
      </w:r>
    </w:p>
    <w:p w14:paraId="76BC3911" w14:textId="77777777" w:rsidR="00696F6B" w:rsidRDefault="00696F6B" w:rsidP="00696F6B"/>
    <w:p w14:paraId="2DE63E9B" w14:textId="77777777" w:rsidR="00696F6B" w:rsidRDefault="00696F6B" w:rsidP="00696F6B"/>
    <w:p w14:paraId="74FC9CD8" w14:textId="77777777" w:rsidR="00696F6B" w:rsidRDefault="00696F6B" w:rsidP="00696F6B">
      <w:r>
        <w:t xml:space="preserve"> </w:t>
      </w:r>
    </w:p>
    <w:p w14:paraId="1A19F0D3" w14:textId="77777777" w:rsidR="00696F6B" w:rsidRDefault="00696F6B" w:rsidP="00696F6B">
      <w:r>
        <w:t>Figure 5: Environmental Kuznets Curve (Syed, Environmental Kuznets Curve, 2019)</w:t>
      </w:r>
    </w:p>
    <w:p w14:paraId="703886EC" w14:textId="77777777" w:rsidR="00696F6B" w:rsidRDefault="00696F6B" w:rsidP="00696F6B">
      <w:r>
        <w:t xml:space="preserve"> </w:t>
      </w:r>
    </w:p>
    <w:p w14:paraId="439CF562" w14:textId="77777777" w:rsidR="00696F6B" w:rsidRDefault="00696F6B" w:rsidP="00696F6B">
      <w:r>
        <w:t>The office for national statistics (ONS) highlight that UK renewable energy sources increased by 1,267%, and fossil fuel declined by 22%, and that whilst GDP per head grew by 70.7%, co2 emissions fell by 30.4% in the same period of 1985-2016 (Syed, 2019), evidencing the “decoupling” of GDP to pollution, however this only measures the percentage of the negative externality, not the overall volume which could have drastically increased, meaning that the demand on finite and polluting fossil fuels could still be increasing, only,  less than the demand on renewable. This theory also does not consider international trade such as the outsourcing of energy or manufacture from foreign providers, and therefore does not allow for a full picture of the reality, furthermore additional research has suggested that the curve would become an ‘N’ curve as relevant technologies become obsolescent, and that higher pollution levels would return (</w:t>
      </w:r>
      <w:proofErr w:type="spellStart"/>
      <w:r>
        <w:t>Jihuan</w:t>
      </w:r>
      <w:proofErr w:type="spellEnd"/>
      <w:r>
        <w:t xml:space="preserve">, 2021) </w:t>
      </w:r>
    </w:p>
    <w:p w14:paraId="777E8EEF" w14:textId="77777777" w:rsidR="00696F6B" w:rsidRDefault="00696F6B" w:rsidP="00696F6B"/>
    <w:p w14:paraId="4D3E5AF6" w14:textId="77777777" w:rsidR="00696F6B" w:rsidRDefault="00696F6B" w:rsidP="00696F6B">
      <w:r>
        <w:t xml:space="preserve">Some believe that as Humans are a naturally evolved species, and as are in competition with other species as well as our own, in a Darwinism theoretical view, human behaviour is a law of nature therefore neutral, much in the way natural selection may extinguish some variants of species or strengthen, allowing them to adapt to their changing environment, and argument for non-involvement in resolution (Carroll, 2004). However, this viewpoint suggests that human consumption and pollution is acceptable and falls short when this behaviour threatens the existence of a species, including our own people. </w:t>
      </w:r>
    </w:p>
    <w:p w14:paraId="6C347E2F" w14:textId="77777777" w:rsidR="00696F6B" w:rsidRDefault="00696F6B" w:rsidP="00696F6B">
      <w:r>
        <w:t>SDG’s</w:t>
      </w:r>
    </w:p>
    <w:p w14:paraId="34D9C3B7" w14:textId="77777777" w:rsidR="00696F6B" w:rsidRDefault="00696F6B" w:rsidP="00696F6B">
      <w:r>
        <w:lastRenderedPageBreak/>
        <w:t>Adopted by all United Nation Member states in 2015, the 17 sustainable development goals (SDG’s) “provide a shared blueprint for peace and prosperity for people and the planet, now and into the future”, and took decades of work to build (United Nations, n.d.). These recommendations serve as the United Nation’ (UN) approach to end depravations and adopt sustainability and highlights the need for intervention. The Goals are as follows:</w:t>
      </w:r>
    </w:p>
    <w:p w14:paraId="21361A06" w14:textId="77777777" w:rsidR="00696F6B" w:rsidRDefault="00696F6B" w:rsidP="00696F6B"/>
    <w:p w14:paraId="33912A27" w14:textId="77777777" w:rsidR="00696F6B" w:rsidRDefault="00696F6B" w:rsidP="00696F6B">
      <w:r>
        <w:t>1.</w:t>
      </w:r>
      <w:r>
        <w:tab/>
        <w:t>No Poverty</w:t>
      </w:r>
    </w:p>
    <w:p w14:paraId="630AE911" w14:textId="77777777" w:rsidR="00696F6B" w:rsidRDefault="00696F6B" w:rsidP="00696F6B">
      <w:r>
        <w:t>2.</w:t>
      </w:r>
      <w:r>
        <w:tab/>
        <w:t>Zero hunger</w:t>
      </w:r>
    </w:p>
    <w:p w14:paraId="349C1548" w14:textId="77777777" w:rsidR="00696F6B" w:rsidRDefault="00696F6B" w:rsidP="00696F6B">
      <w:r>
        <w:t>3.</w:t>
      </w:r>
      <w:r>
        <w:tab/>
        <w:t>Good health and well-being</w:t>
      </w:r>
    </w:p>
    <w:p w14:paraId="62E93868" w14:textId="77777777" w:rsidR="00696F6B" w:rsidRDefault="00696F6B" w:rsidP="00696F6B">
      <w:r>
        <w:t>4.</w:t>
      </w:r>
      <w:r>
        <w:tab/>
        <w:t>Quality education</w:t>
      </w:r>
    </w:p>
    <w:p w14:paraId="2825D209" w14:textId="77777777" w:rsidR="00696F6B" w:rsidRDefault="00696F6B" w:rsidP="00696F6B">
      <w:r>
        <w:t>5.</w:t>
      </w:r>
      <w:r>
        <w:tab/>
        <w:t>Gender equality</w:t>
      </w:r>
    </w:p>
    <w:p w14:paraId="4DF77E75" w14:textId="77777777" w:rsidR="00696F6B" w:rsidRDefault="00696F6B" w:rsidP="00696F6B">
      <w:r>
        <w:t>6.</w:t>
      </w:r>
      <w:r>
        <w:tab/>
        <w:t>Clean water and sanitation</w:t>
      </w:r>
    </w:p>
    <w:p w14:paraId="2ABB2A84" w14:textId="77777777" w:rsidR="00696F6B" w:rsidRDefault="00696F6B" w:rsidP="00696F6B">
      <w:r>
        <w:t>7.</w:t>
      </w:r>
      <w:r>
        <w:tab/>
        <w:t>Affordable and clean energy</w:t>
      </w:r>
    </w:p>
    <w:p w14:paraId="695AE5E3" w14:textId="77777777" w:rsidR="00696F6B" w:rsidRDefault="00696F6B" w:rsidP="00696F6B">
      <w:r>
        <w:t>8.</w:t>
      </w:r>
      <w:r>
        <w:tab/>
        <w:t>Decent work and economic growth</w:t>
      </w:r>
    </w:p>
    <w:p w14:paraId="5F3230CC" w14:textId="77777777" w:rsidR="00696F6B" w:rsidRDefault="00696F6B" w:rsidP="00696F6B">
      <w:r>
        <w:t>9.</w:t>
      </w:r>
      <w:r>
        <w:tab/>
        <w:t>Industry, innovation, and infrastructure</w:t>
      </w:r>
    </w:p>
    <w:p w14:paraId="2386DB34" w14:textId="77777777" w:rsidR="00696F6B" w:rsidRDefault="00696F6B" w:rsidP="00696F6B">
      <w:r>
        <w:t>10.</w:t>
      </w:r>
      <w:r>
        <w:tab/>
        <w:t>Reduced inequalities</w:t>
      </w:r>
    </w:p>
    <w:p w14:paraId="07940C3F" w14:textId="77777777" w:rsidR="00696F6B" w:rsidRDefault="00696F6B" w:rsidP="00696F6B">
      <w:r>
        <w:t>11.</w:t>
      </w:r>
      <w:r>
        <w:tab/>
        <w:t>Sustainable cities and communities</w:t>
      </w:r>
    </w:p>
    <w:p w14:paraId="55A682C2" w14:textId="77777777" w:rsidR="00696F6B" w:rsidRDefault="00696F6B" w:rsidP="00696F6B">
      <w:r>
        <w:t>12.</w:t>
      </w:r>
      <w:r>
        <w:tab/>
        <w:t>Responsible consumption and production</w:t>
      </w:r>
    </w:p>
    <w:p w14:paraId="6FF33D51" w14:textId="77777777" w:rsidR="00696F6B" w:rsidRDefault="00696F6B" w:rsidP="00696F6B">
      <w:r>
        <w:t>13.</w:t>
      </w:r>
      <w:r>
        <w:tab/>
        <w:t>Climate action</w:t>
      </w:r>
    </w:p>
    <w:p w14:paraId="61843B65" w14:textId="77777777" w:rsidR="00696F6B" w:rsidRDefault="00696F6B" w:rsidP="00696F6B">
      <w:r>
        <w:t>14.</w:t>
      </w:r>
      <w:r>
        <w:tab/>
        <w:t>Life below water</w:t>
      </w:r>
    </w:p>
    <w:p w14:paraId="28E76BFB" w14:textId="77777777" w:rsidR="00696F6B" w:rsidRDefault="00696F6B" w:rsidP="00696F6B">
      <w:r>
        <w:t>15.</w:t>
      </w:r>
      <w:r>
        <w:tab/>
        <w:t>Life on land</w:t>
      </w:r>
    </w:p>
    <w:p w14:paraId="5126514D" w14:textId="77777777" w:rsidR="00696F6B" w:rsidRDefault="00696F6B" w:rsidP="00696F6B">
      <w:r>
        <w:t>16.</w:t>
      </w:r>
      <w:r>
        <w:tab/>
        <w:t>Peace, Justice, and strong institutions</w:t>
      </w:r>
    </w:p>
    <w:p w14:paraId="4609DE00" w14:textId="77777777" w:rsidR="00696F6B" w:rsidRDefault="00696F6B" w:rsidP="00696F6B">
      <w:r>
        <w:t>17.</w:t>
      </w:r>
      <w:r>
        <w:tab/>
        <w:t>Partnership for the goals</w:t>
      </w:r>
    </w:p>
    <w:p w14:paraId="0396767A" w14:textId="77777777" w:rsidR="00696F6B" w:rsidRDefault="00696F6B" w:rsidP="00696F6B"/>
    <w:p w14:paraId="3E4BDCF2" w14:textId="77777777" w:rsidR="00696F6B" w:rsidRDefault="00696F6B" w:rsidP="00696F6B">
      <w:r>
        <w:t>Of these goals, there are multiple that can be specifically applied to the issues presented in this report, and be at risk from it, and could also be argued that all are applicable in one form or another, however “the world is not on track” (Chatham House, ORF, CARI, and RSIS, 2023), suggesting that further intervention is required at a government level.</w:t>
      </w:r>
    </w:p>
    <w:p w14:paraId="7F67F359" w14:textId="77777777" w:rsidR="00696F6B" w:rsidRDefault="00696F6B" w:rsidP="00696F6B">
      <w:r>
        <w:t xml:space="preserve">Recommendations </w:t>
      </w:r>
    </w:p>
    <w:p w14:paraId="51EF8974" w14:textId="77777777" w:rsidR="00696F6B" w:rsidRDefault="00696F6B" w:rsidP="00696F6B">
      <w:r>
        <w:t>Three recommendations follow to with intent to offer resolution to the dominant causes of biodiversity loss and ecosystem collapse in light of the evidence above, suggesting further government intervention is required:</w:t>
      </w:r>
    </w:p>
    <w:p w14:paraId="6D79052C" w14:textId="77777777" w:rsidR="00696F6B" w:rsidRDefault="00696F6B" w:rsidP="00696F6B"/>
    <w:p w14:paraId="56C8679D" w14:textId="77777777" w:rsidR="00696F6B" w:rsidRDefault="00696F6B" w:rsidP="00696F6B">
      <w:r>
        <w:t>1.</w:t>
      </w:r>
      <w:r>
        <w:tab/>
        <w:t>loss of habitats</w:t>
      </w:r>
    </w:p>
    <w:p w14:paraId="613BCAF9" w14:textId="77777777" w:rsidR="00696F6B" w:rsidRDefault="00696F6B" w:rsidP="00696F6B">
      <w:r>
        <w:lastRenderedPageBreak/>
        <w:t>Local and national government re-evaluation of conservation areas with legislation, with a view of conserving vital habitats with a view to nourish the natural sustainability and development of differing biological species.</w:t>
      </w:r>
    </w:p>
    <w:p w14:paraId="4DE6A399" w14:textId="77777777" w:rsidR="00696F6B" w:rsidRDefault="00696F6B" w:rsidP="00696F6B"/>
    <w:p w14:paraId="241F0910" w14:textId="77777777" w:rsidR="00696F6B" w:rsidRDefault="00696F6B" w:rsidP="00696F6B">
      <w:r>
        <w:t>2.</w:t>
      </w:r>
      <w:r>
        <w:tab/>
        <w:t>resource depletion</w:t>
      </w:r>
    </w:p>
    <w:p w14:paraId="55AB748A" w14:textId="77777777" w:rsidR="00696F6B" w:rsidRDefault="00696F6B" w:rsidP="00696F6B">
      <w:r>
        <w:t xml:space="preserve">Market-based solutions such as taxations promoting the adoption of a sustainable resource business model approach such as the circular economy, such as scalable tax on resources dependent on their regenerative capacity and supply levels, and promotion of national resource sharing. </w:t>
      </w:r>
    </w:p>
    <w:p w14:paraId="2DA2C825" w14:textId="77777777" w:rsidR="00696F6B" w:rsidRDefault="00696F6B" w:rsidP="00696F6B"/>
    <w:p w14:paraId="58E51080" w14:textId="77777777" w:rsidR="00696F6B" w:rsidRDefault="00696F6B" w:rsidP="00696F6B">
      <w:r>
        <w:t>3.</w:t>
      </w:r>
      <w:r>
        <w:tab/>
        <w:t>Pollution</w:t>
      </w:r>
    </w:p>
    <w:p w14:paraId="66B6EF44" w14:textId="77777777" w:rsidR="00696F6B" w:rsidRDefault="00696F6B" w:rsidP="00696F6B">
      <w:r>
        <w:t xml:space="preserve">Indirect taxation on products deemed as polluting through consumption or manufacture, with the scale determined by government dependant on the levels of negative externality of the good. </w:t>
      </w:r>
    </w:p>
    <w:p w14:paraId="1305EBB5" w14:textId="77777777" w:rsidR="00696F6B" w:rsidRDefault="00696F6B" w:rsidP="00696F6B"/>
    <w:p w14:paraId="653036B9" w14:textId="77777777" w:rsidR="00696F6B" w:rsidRDefault="00696F6B" w:rsidP="00696F6B">
      <w:r>
        <w:t>Conclusion</w:t>
      </w:r>
    </w:p>
    <w:p w14:paraId="05B04B5A" w14:textId="77777777" w:rsidR="00696F6B" w:rsidRDefault="00696F6B" w:rsidP="00696F6B">
      <w:r>
        <w:t>This report identified the most relevant global risk of biodiversity loss and ecosystem collapse from the WEF’s report, presenting data in evidence to the of which human activity has contributed, and identified the 3 dominant human causes which threaten the safety, securities, and survival of many species including our own. The report utilised theories including Malthusian, neo-Malthusian linking population growth or consumption to resource depletion, as well as a neo-classical theory linking technological advancements to eventual decrease in resource depletion, however, was challenged with alternate resource suggesting a return to degradation through consumption when the technologies become obsolete. The report also found that a Darwinism view of non-intervention was insufficient, as highlighted by the SDG’s and that additional government intervention was recommended.</w:t>
      </w:r>
    </w:p>
    <w:p w14:paraId="6A97D55C" w14:textId="57475DA3" w:rsidR="00942DF6" w:rsidRDefault="00696F6B" w:rsidP="00696F6B">
      <w:r>
        <w:t> </w:t>
      </w:r>
    </w:p>
    <w:sectPr w:rsidR="00942D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F6B"/>
    <w:rsid w:val="00696F6B"/>
    <w:rsid w:val="00942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81A20"/>
  <w15:chartTrackingRefBased/>
  <w15:docId w15:val="{0B9B2DFD-276D-485D-B878-CA4BEE535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6F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6F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6F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6F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6F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6F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6F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6F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6F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F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6F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6F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6F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6F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6F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F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F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F6B"/>
    <w:rPr>
      <w:rFonts w:eastAsiaTheme="majorEastAsia" w:cstheme="majorBidi"/>
      <w:color w:val="272727" w:themeColor="text1" w:themeTint="D8"/>
    </w:rPr>
  </w:style>
  <w:style w:type="paragraph" w:styleId="Title">
    <w:name w:val="Title"/>
    <w:basedOn w:val="Normal"/>
    <w:next w:val="Normal"/>
    <w:link w:val="TitleChar"/>
    <w:uiPriority w:val="10"/>
    <w:qFormat/>
    <w:rsid w:val="00696F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F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F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6F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F6B"/>
    <w:pPr>
      <w:spacing w:before="160"/>
      <w:jc w:val="center"/>
    </w:pPr>
    <w:rPr>
      <w:i/>
      <w:iCs/>
      <w:color w:val="404040" w:themeColor="text1" w:themeTint="BF"/>
    </w:rPr>
  </w:style>
  <w:style w:type="character" w:customStyle="1" w:styleId="QuoteChar">
    <w:name w:val="Quote Char"/>
    <w:basedOn w:val="DefaultParagraphFont"/>
    <w:link w:val="Quote"/>
    <w:uiPriority w:val="29"/>
    <w:rsid w:val="00696F6B"/>
    <w:rPr>
      <w:i/>
      <w:iCs/>
      <w:color w:val="404040" w:themeColor="text1" w:themeTint="BF"/>
    </w:rPr>
  </w:style>
  <w:style w:type="paragraph" w:styleId="ListParagraph">
    <w:name w:val="List Paragraph"/>
    <w:basedOn w:val="Normal"/>
    <w:uiPriority w:val="34"/>
    <w:qFormat/>
    <w:rsid w:val="00696F6B"/>
    <w:pPr>
      <w:ind w:left="720"/>
      <w:contextualSpacing/>
    </w:pPr>
  </w:style>
  <w:style w:type="character" w:styleId="IntenseEmphasis">
    <w:name w:val="Intense Emphasis"/>
    <w:basedOn w:val="DefaultParagraphFont"/>
    <w:uiPriority w:val="21"/>
    <w:qFormat/>
    <w:rsid w:val="00696F6B"/>
    <w:rPr>
      <w:i/>
      <w:iCs/>
      <w:color w:val="0F4761" w:themeColor="accent1" w:themeShade="BF"/>
    </w:rPr>
  </w:style>
  <w:style w:type="paragraph" w:styleId="IntenseQuote">
    <w:name w:val="Intense Quote"/>
    <w:basedOn w:val="Normal"/>
    <w:next w:val="Normal"/>
    <w:link w:val="IntenseQuoteChar"/>
    <w:uiPriority w:val="30"/>
    <w:qFormat/>
    <w:rsid w:val="00696F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6F6B"/>
    <w:rPr>
      <w:i/>
      <w:iCs/>
      <w:color w:val="0F4761" w:themeColor="accent1" w:themeShade="BF"/>
    </w:rPr>
  </w:style>
  <w:style w:type="character" w:styleId="IntenseReference">
    <w:name w:val="Intense Reference"/>
    <w:basedOn w:val="DefaultParagraphFont"/>
    <w:uiPriority w:val="32"/>
    <w:qFormat/>
    <w:rsid w:val="00696F6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2613</Words>
  <Characters>14895</Characters>
  <Application>Microsoft Office Word</Application>
  <DocSecurity>0</DocSecurity>
  <Lines>124</Lines>
  <Paragraphs>34</Paragraphs>
  <ScaleCrop>false</ScaleCrop>
  <Company/>
  <LinksUpToDate>false</LinksUpToDate>
  <CharactersWithSpaces>17474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Benedict Gibson (2114133)</dc:creator>
  <cp:keywords/>
  <dc:description/>
  <cp:lastModifiedBy>Benedict Gibson (2114133)</cp:lastModifiedBy>
  <cp:revision>1</cp:revision>
  <dcterms:created xsi:type="dcterms:W3CDTF">2024-04-13T12:43:00Z</dcterms:created>
  <dcterms:modified xsi:type="dcterms:W3CDTF">2024-04-13T12:44:00Z</dcterms:modified>
</cp:coreProperties>
</file>