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0500245"/>
        <w:docPartObj>
          <w:docPartGallery w:val="Cover Pages"/>
          <w:docPartUnique/>
        </w:docPartObj>
      </w:sdtPr>
      <w:sdtEndPr>
        <w:rPr>
          <w:rFonts w:ascii="Arial" w:hAnsi="Arial" w:cs="Arial"/>
          <w:b/>
          <w:bCs/>
          <w:sz w:val="24"/>
          <w:szCs w:val="24"/>
        </w:rPr>
      </w:sdtEndPr>
      <w:sdtContent>
        <w:p w14:paraId="2D4E17B6" w14:textId="214084BA" w:rsidR="0031424F" w:rsidRDefault="0031424F">
          <w:r>
            <w:rPr>
              <w:noProof/>
            </w:rPr>
            <mc:AlternateContent>
              <mc:Choice Requires="wpg">
                <w:drawing>
                  <wp:anchor distT="0" distB="0" distL="114300" distR="114300" simplePos="0" relativeHeight="251662336" behindDoc="0" locked="0" layoutInCell="1" allowOverlap="1" wp14:anchorId="27F0636E" wp14:editId="4C2343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538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D91691" wp14:editId="4643AAB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72"/>
                                    <w:szCs w:val="7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5B7B3A" w14:textId="33C7D318" w:rsidR="0031424F" w:rsidRPr="0031424F" w:rsidRDefault="0031424F">
                                    <w:pPr>
                                      <w:pStyle w:val="NoSpacing"/>
                                      <w:jc w:val="right"/>
                                      <w:rPr>
                                        <w:color w:val="595959" w:themeColor="text1" w:themeTint="A6"/>
                                        <w:sz w:val="72"/>
                                        <w:szCs w:val="72"/>
                                      </w:rPr>
                                    </w:pPr>
                                    <w:r w:rsidRPr="0031424F">
                                      <w:rPr>
                                        <w:color w:val="595959" w:themeColor="text1" w:themeTint="A6"/>
                                        <w:sz w:val="72"/>
                                        <w:szCs w:val="72"/>
                                      </w:rPr>
                                      <w:t>Lisa Grove (2017691)</w:t>
                                    </w:r>
                                  </w:p>
                                </w:sdtContent>
                              </w:sdt>
                              <w:p w14:paraId="6693200F" w14:textId="31D97E97" w:rsidR="0031424F" w:rsidRDefault="00E67E7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1424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D9169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72"/>
                              <w:szCs w:val="7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5B7B3A" w14:textId="33C7D318" w:rsidR="0031424F" w:rsidRPr="0031424F" w:rsidRDefault="0031424F">
                              <w:pPr>
                                <w:pStyle w:val="NoSpacing"/>
                                <w:jc w:val="right"/>
                                <w:rPr>
                                  <w:color w:val="595959" w:themeColor="text1" w:themeTint="A6"/>
                                  <w:sz w:val="72"/>
                                  <w:szCs w:val="72"/>
                                </w:rPr>
                              </w:pPr>
                              <w:r w:rsidRPr="0031424F">
                                <w:rPr>
                                  <w:color w:val="595959" w:themeColor="text1" w:themeTint="A6"/>
                                  <w:sz w:val="72"/>
                                  <w:szCs w:val="72"/>
                                </w:rPr>
                                <w:t>Lisa Grove (2017691)</w:t>
                              </w:r>
                            </w:p>
                          </w:sdtContent>
                        </w:sdt>
                        <w:p w14:paraId="6693200F" w14:textId="31D97E97" w:rsidR="0031424F" w:rsidRDefault="00E67E7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1424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CF91A01" wp14:editId="6B6764F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17E4F33" w14:textId="315CEADB" w:rsidR="0031424F" w:rsidRDefault="0031424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CF91A0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17E4F33" w14:textId="315CEADB" w:rsidR="0031424F" w:rsidRDefault="0031424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8983D73" wp14:editId="037A652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BD82FD" w14:textId="61DB5420" w:rsidR="0031424F" w:rsidRDefault="00E67E7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04E3">
                                      <w:rPr>
                                        <w:caps/>
                                        <w:color w:val="4472C4" w:themeColor="accent1"/>
                                        <w:sz w:val="64"/>
                                        <w:szCs w:val="64"/>
                                      </w:rPr>
                                      <w:t>Assignment 2</w:t>
                                    </w:r>
                                  </w:sdtContent>
                                </w:sdt>
                              </w:p>
                              <w:sdt>
                                <w:sdtPr>
                                  <w:rPr>
                                    <w:color w:val="404040" w:themeColor="text1" w:themeTint="BF"/>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2570AB7" w14:textId="3B101696" w:rsidR="0031424F" w:rsidRPr="0031424F" w:rsidRDefault="0031424F">
                                    <w:pPr>
                                      <w:jc w:val="right"/>
                                      <w:rPr>
                                        <w:smallCaps/>
                                        <w:color w:val="404040" w:themeColor="text1" w:themeTint="BF"/>
                                        <w:sz w:val="52"/>
                                        <w:szCs w:val="52"/>
                                      </w:rPr>
                                    </w:pPr>
                                    <w:r w:rsidRPr="0031424F">
                                      <w:rPr>
                                        <w:color w:val="404040" w:themeColor="text1" w:themeTint="BF"/>
                                        <w:sz w:val="52"/>
                                        <w:szCs w:val="52"/>
                                      </w:rPr>
                                      <w:t>Contract Law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983D7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5BD82FD" w14:textId="61DB5420" w:rsidR="0031424F" w:rsidRDefault="00E67E7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04E3">
                                <w:rPr>
                                  <w:caps/>
                                  <w:color w:val="4472C4" w:themeColor="accent1"/>
                                  <w:sz w:val="64"/>
                                  <w:szCs w:val="64"/>
                                </w:rPr>
                                <w:t>Assignment 2</w:t>
                              </w:r>
                            </w:sdtContent>
                          </w:sdt>
                        </w:p>
                        <w:sdt>
                          <w:sdtPr>
                            <w:rPr>
                              <w:color w:val="404040" w:themeColor="text1" w:themeTint="BF"/>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2570AB7" w14:textId="3B101696" w:rsidR="0031424F" w:rsidRPr="0031424F" w:rsidRDefault="0031424F">
                              <w:pPr>
                                <w:jc w:val="right"/>
                                <w:rPr>
                                  <w:smallCaps/>
                                  <w:color w:val="404040" w:themeColor="text1" w:themeTint="BF"/>
                                  <w:sz w:val="52"/>
                                  <w:szCs w:val="52"/>
                                </w:rPr>
                              </w:pPr>
                              <w:r w:rsidRPr="0031424F">
                                <w:rPr>
                                  <w:color w:val="404040" w:themeColor="text1" w:themeTint="BF"/>
                                  <w:sz w:val="52"/>
                                  <w:szCs w:val="52"/>
                                </w:rPr>
                                <w:t>Contract Law</w:t>
                              </w:r>
                            </w:p>
                          </w:sdtContent>
                        </w:sdt>
                      </w:txbxContent>
                    </v:textbox>
                    <w10:wrap type="square" anchorx="page" anchory="page"/>
                  </v:shape>
                </w:pict>
              </mc:Fallback>
            </mc:AlternateContent>
          </w:r>
        </w:p>
        <w:p w14:paraId="2CC2A2C9" w14:textId="098682AD" w:rsidR="0031424F" w:rsidRDefault="0031424F">
          <w:pPr>
            <w:rPr>
              <w:rFonts w:ascii="Arial" w:hAnsi="Arial" w:cs="Arial"/>
              <w:b/>
              <w:bCs/>
              <w:sz w:val="24"/>
              <w:szCs w:val="24"/>
            </w:rPr>
          </w:pPr>
          <w:r>
            <w:rPr>
              <w:rFonts w:ascii="Arial" w:hAnsi="Arial" w:cs="Arial"/>
              <w:b/>
              <w:bCs/>
              <w:sz w:val="24"/>
              <w:szCs w:val="24"/>
            </w:rPr>
            <w:br w:type="page"/>
          </w:r>
        </w:p>
      </w:sdtContent>
    </w:sdt>
    <w:p w14:paraId="050E5BB9" w14:textId="1A41135E" w:rsidR="000C6796" w:rsidRDefault="000C6796" w:rsidP="000C6796">
      <w:pPr>
        <w:pStyle w:val="NormalWeb"/>
        <w:spacing w:before="0" w:beforeAutospacing="0" w:after="0" w:afterAutospacing="0" w:line="360" w:lineRule="auto"/>
        <w:jc w:val="both"/>
        <w:rPr>
          <w:color w:val="0E101A"/>
        </w:rPr>
      </w:pPr>
      <w:r w:rsidRPr="000C6796">
        <w:rPr>
          <w:color w:val="212529"/>
        </w:rPr>
        <w:lastRenderedPageBreak/>
        <w:t>T</w:t>
      </w:r>
      <w:r w:rsidRPr="000C6796">
        <w:rPr>
          <w:color w:val="0E101A"/>
        </w:rPr>
        <w:t xml:space="preserve">he </w:t>
      </w:r>
      <w:r w:rsidR="009A64B9">
        <w:rPr>
          <w:color w:val="0E101A"/>
        </w:rPr>
        <w:t>C</w:t>
      </w:r>
      <w:r w:rsidRPr="000C6796">
        <w:rPr>
          <w:color w:val="0E101A"/>
        </w:rPr>
        <w:t xml:space="preserve">onsumer </w:t>
      </w:r>
      <w:r w:rsidR="009A64B9">
        <w:rPr>
          <w:color w:val="0E101A"/>
        </w:rPr>
        <w:t>R</w:t>
      </w:r>
      <w:r w:rsidRPr="000C6796">
        <w:rPr>
          <w:color w:val="0E101A"/>
        </w:rPr>
        <w:t xml:space="preserve">ights </w:t>
      </w:r>
      <w:r w:rsidR="009A64B9">
        <w:rPr>
          <w:color w:val="0E101A"/>
        </w:rPr>
        <w:t>A</w:t>
      </w:r>
      <w:r w:rsidRPr="000C6796">
        <w:rPr>
          <w:color w:val="0E101A"/>
        </w:rPr>
        <w:t xml:space="preserve">ct 2015 </w:t>
      </w:r>
      <w:r w:rsidR="004A537E">
        <w:rPr>
          <w:color w:val="0E101A"/>
        </w:rPr>
        <w:t xml:space="preserve">came </w:t>
      </w:r>
      <w:r w:rsidRPr="000C6796">
        <w:rPr>
          <w:color w:val="0E101A"/>
        </w:rPr>
        <w:t xml:space="preserve">into force on October 1st, 2015, with its introduction seeking to consolidate numerous pieces of existing </w:t>
      </w:r>
      <w:r w:rsidR="00D847F3" w:rsidRPr="000C6796">
        <w:rPr>
          <w:color w:val="0E101A"/>
        </w:rPr>
        <w:t>legislation and</w:t>
      </w:r>
      <w:r w:rsidRPr="000C6796">
        <w:rPr>
          <w:color w:val="0E101A"/>
        </w:rPr>
        <w:t xml:space="preserve"> introduce significant changes regarding consumer law. </w:t>
      </w:r>
      <w:r w:rsidR="00D847F3">
        <w:rPr>
          <w:color w:val="0E101A"/>
        </w:rPr>
        <w:t>It c</w:t>
      </w:r>
      <w:r w:rsidRPr="000C6796">
        <w:rPr>
          <w:color w:val="0E101A"/>
        </w:rPr>
        <w:t>onsolidates aspects from or replaces, separate pieces of legislation, seeking to clarify or change terms set within. The need for change was brought about by consumers feeling confused about their rights as well as businesses having to navigate scattered legislation to access what their rights may be</w:t>
      </w:r>
      <w:r w:rsidR="004A537E">
        <w:rPr>
          <w:color w:val="0E101A"/>
        </w:rPr>
        <w:t xml:space="preserve"> </w:t>
      </w:r>
      <w:r w:rsidR="004A537E" w:rsidRPr="004A537E">
        <w:rPr>
          <w:noProof/>
          <w:color w:val="0E101A"/>
        </w:rPr>
        <w:t>(Iamumpha, 2017)</w:t>
      </w:r>
      <w:r w:rsidR="004A537E">
        <w:rPr>
          <w:noProof/>
          <w:color w:val="0E101A"/>
        </w:rPr>
        <w:t>.</w:t>
      </w:r>
      <w:r w:rsidRPr="000C6796">
        <w:rPr>
          <w:color w:val="0E101A"/>
        </w:rPr>
        <w:t xml:space="preserve"> Therefore, the new act was commissioned with the hope of stimulating growth within the economy by reforming consumer law and making it more accessible to all. The legislation</w:t>
      </w:r>
      <w:r w:rsidR="009A64B9">
        <w:rPr>
          <w:color w:val="0E101A"/>
        </w:rPr>
        <w:t xml:space="preserve"> such as the Sales </w:t>
      </w:r>
      <w:r w:rsidR="00365739">
        <w:rPr>
          <w:color w:val="0E101A"/>
        </w:rPr>
        <w:t>of</w:t>
      </w:r>
      <w:r w:rsidR="009A64B9">
        <w:rPr>
          <w:color w:val="0E101A"/>
        </w:rPr>
        <w:t xml:space="preserve"> Goods act 1979 and Sale, Unfair Contract Terms Act </w:t>
      </w:r>
      <w:r w:rsidR="004A537E">
        <w:rPr>
          <w:color w:val="0E101A"/>
        </w:rPr>
        <w:t>1977,</w:t>
      </w:r>
      <w:r w:rsidR="009A64B9">
        <w:rPr>
          <w:color w:val="0E101A"/>
        </w:rPr>
        <w:t xml:space="preserve"> and Supply of Goods to Consumer Regulations</w:t>
      </w:r>
      <w:r w:rsidR="007869C5">
        <w:rPr>
          <w:color w:val="0E101A"/>
        </w:rPr>
        <w:t xml:space="preserve"> </w:t>
      </w:r>
      <w:r w:rsidR="00E14FDC">
        <w:rPr>
          <w:color w:val="0E101A"/>
        </w:rPr>
        <w:t xml:space="preserve">2002, </w:t>
      </w:r>
      <w:r w:rsidR="00E14FDC" w:rsidRPr="000C6796">
        <w:rPr>
          <w:color w:val="0E101A"/>
        </w:rPr>
        <w:t>had</w:t>
      </w:r>
      <w:r w:rsidR="009A64B9">
        <w:rPr>
          <w:color w:val="0E101A"/>
        </w:rPr>
        <w:t xml:space="preserve"> all</w:t>
      </w:r>
      <w:r w:rsidRPr="000C6796">
        <w:rPr>
          <w:color w:val="0E101A"/>
        </w:rPr>
        <w:t xml:space="preserve"> been written before the digital age; therefore, modernisation was required due to many transactions and exchanges now taking place virtually</w:t>
      </w:r>
      <w:r w:rsidR="00EF7955">
        <w:rPr>
          <w:color w:val="0E101A"/>
        </w:rPr>
        <w:t xml:space="preserve"> </w:t>
      </w:r>
      <w:r w:rsidR="00E14FDC" w:rsidRPr="00E14FDC">
        <w:rPr>
          <w:noProof/>
          <w:color w:val="0E101A"/>
        </w:rPr>
        <w:t>(Micklitz, 2018)</w:t>
      </w:r>
      <w:r w:rsidR="00E14FDC">
        <w:rPr>
          <w:color w:val="0E101A"/>
        </w:rPr>
        <w:t xml:space="preserve">. </w:t>
      </w:r>
      <w:r w:rsidRPr="000C6796">
        <w:rPr>
          <w:color w:val="0E101A"/>
        </w:rPr>
        <w:t>The increase in intangible purchases prevailing in a modern society meant previous laws were outdated as they contained no provisions regarding purchases or service usage within the digital world.</w:t>
      </w:r>
    </w:p>
    <w:p w14:paraId="3C1E99AE" w14:textId="77777777" w:rsidR="000C6796" w:rsidRPr="000C6796" w:rsidRDefault="000C6796" w:rsidP="000C6796">
      <w:pPr>
        <w:pStyle w:val="NormalWeb"/>
        <w:spacing w:before="0" w:beforeAutospacing="0" w:after="0" w:afterAutospacing="0" w:line="360" w:lineRule="auto"/>
        <w:jc w:val="both"/>
        <w:rPr>
          <w:color w:val="0E101A"/>
        </w:rPr>
      </w:pPr>
    </w:p>
    <w:p w14:paraId="12E1807B" w14:textId="2A82170F"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r w:rsidRPr="000C6796">
        <w:rPr>
          <w:rFonts w:ascii="Times New Roman" w:eastAsia="Times New Roman" w:hAnsi="Times New Roman" w:cs="Times New Roman"/>
          <w:color w:val="0E101A"/>
          <w:sz w:val="24"/>
          <w:szCs w:val="24"/>
          <w:lang w:eastAsia="en-GB"/>
        </w:rPr>
        <w:t xml:space="preserve">The CRA 2015 applies to consumers and protects the contracts between trader and consumer, however, it does not cover business to business contracts. Despite this, </w:t>
      </w:r>
      <w:r w:rsidR="00D847F3">
        <w:rPr>
          <w:rFonts w:ascii="Times New Roman" w:eastAsia="Times New Roman" w:hAnsi="Times New Roman" w:cs="Times New Roman"/>
          <w:color w:val="0E101A"/>
          <w:sz w:val="24"/>
          <w:szCs w:val="24"/>
          <w:lang w:eastAsia="en-GB"/>
        </w:rPr>
        <w:t>it</w:t>
      </w:r>
      <w:r w:rsidRPr="000C6796">
        <w:rPr>
          <w:rFonts w:ascii="Times New Roman" w:eastAsia="Times New Roman" w:hAnsi="Times New Roman" w:cs="Times New Roman"/>
          <w:color w:val="0E101A"/>
          <w:sz w:val="24"/>
          <w:szCs w:val="24"/>
          <w:lang w:eastAsia="en-GB"/>
        </w:rPr>
        <w:t xml:space="preserve"> does offer an extension to the definition of a consumer. Under the new legislation it is stated that one should be considered a consumer, and therefore afforded protection, as "an individual acting for purposes which are wholly or mainly outside of that individual's trade, business or profession”. Previously the definition of a consumer would have been only as an individual acting for purposes separate from the business (Ashurst, 2015). </w:t>
      </w:r>
    </w:p>
    <w:p w14:paraId="700AB1F7" w14:textId="77777777"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p>
    <w:p w14:paraId="655A5547" w14:textId="3BAD0183" w:rsidR="000C6796" w:rsidRDefault="000C6796" w:rsidP="000C6796">
      <w:pPr>
        <w:spacing w:after="0" w:line="360" w:lineRule="auto"/>
        <w:jc w:val="both"/>
        <w:rPr>
          <w:rFonts w:ascii="Times New Roman" w:eastAsia="Times New Roman" w:hAnsi="Times New Roman" w:cs="Times New Roman"/>
          <w:color w:val="0E101A"/>
          <w:sz w:val="24"/>
          <w:szCs w:val="24"/>
          <w:lang w:eastAsia="en-GB"/>
        </w:rPr>
      </w:pPr>
      <w:r w:rsidRPr="000C6796">
        <w:rPr>
          <w:rFonts w:ascii="Times New Roman" w:eastAsia="Times New Roman" w:hAnsi="Times New Roman" w:cs="Times New Roman"/>
          <w:color w:val="0E101A"/>
          <w:sz w:val="24"/>
          <w:szCs w:val="24"/>
          <w:lang w:eastAsia="en-GB"/>
        </w:rPr>
        <w:t>Part one of the CRA</w:t>
      </w:r>
      <w:r w:rsidR="00E14FDC">
        <w:rPr>
          <w:rFonts w:ascii="Times New Roman" w:eastAsia="Times New Roman" w:hAnsi="Times New Roman" w:cs="Times New Roman"/>
          <w:color w:val="0E101A"/>
          <w:sz w:val="24"/>
          <w:szCs w:val="24"/>
          <w:lang w:eastAsia="en-GB"/>
        </w:rPr>
        <w:t xml:space="preserve"> </w:t>
      </w:r>
      <w:r w:rsidRPr="000C6796">
        <w:rPr>
          <w:rFonts w:ascii="Times New Roman" w:eastAsia="Times New Roman" w:hAnsi="Times New Roman" w:cs="Times New Roman"/>
          <w:color w:val="0E101A"/>
          <w:sz w:val="24"/>
          <w:szCs w:val="24"/>
          <w:lang w:eastAsia="en-GB"/>
        </w:rPr>
        <w:t>(2015), considers consumer contracts for goods, digital content and services and addresses solutions available should problems arise. The standards consumers can rely on when purchasing goods will remain wholly the same as those embedded in the Sale of Goods Act (1979), which also ensured that goods must be of satisfactory quality and fit for purpose</w:t>
      </w:r>
      <w:r w:rsidR="00274CB3">
        <w:rPr>
          <w:rFonts w:ascii="Times New Roman" w:eastAsia="Times New Roman" w:hAnsi="Times New Roman" w:cs="Times New Roman"/>
          <w:color w:val="0E101A"/>
          <w:sz w:val="24"/>
          <w:szCs w:val="24"/>
          <w:lang w:eastAsia="en-GB"/>
        </w:rPr>
        <w:t xml:space="preserve"> under section 14</w:t>
      </w:r>
      <w:r w:rsidRPr="000C6796">
        <w:rPr>
          <w:rFonts w:ascii="Times New Roman" w:eastAsia="Times New Roman" w:hAnsi="Times New Roman" w:cs="Times New Roman"/>
          <w:color w:val="0E101A"/>
          <w:sz w:val="24"/>
          <w:szCs w:val="24"/>
          <w:lang w:eastAsia="en-GB"/>
        </w:rPr>
        <w:t xml:space="preserve">. </w:t>
      </w:r>
      <w:r w:rsidR="002C30A2">
        <w:rPr>
          <w:rFonts w:ascii="Times New Roman" w:eastAsia="Times New Roman" w:hAnsi="Times New Roman" w:cs="Times New Roman"/>
          <w:color w:val="0E101A"/>
          <w:sz w:val="24"/>
          <w:szCs w:val="24"/>
          <w:lang w:eastAsia="en-GB"/>
        </w:rPr>
        <w:t xml:space="preserve">Section 34 </w:t>
      </w:r>
      <w:r w:rsidR="00274CB3">
        <w:rPr>
          <w:rFonts w:ascii="Times New Roman" w:eastAsia="Times New Roman" w:hAnsi="Times New Roman" w:cs="Times New Roman"/>
          <w:color w:val="0E101A"/>
          <w:sz w:val="24"/>
          <w:szCs w:val="24"/>
          <w:lang w:eastAsia="en-GB"/>
        </w:rPr>
        <w:t xml:space="preserve">of the CRA (2015) </w:t>
      </w:r>
      <w:r w:rsidR="002C30A2">
        <w:rPr>
          <w:rFonts w:ascii="Times New Roman" w:eastAsia="Times New Roman" w:hAnsi="Times New Roman" w:cs="Times New Roman"/>
          <w:color w:val="0E101A"/>
          <w:sz w:val="24"/>
          <w:szCs w:val="24"/>
          <w:lang w:eastAsia="en-GB"/>
        </w:rPr>
        <w:t xml:space="preserve">requires that digital content must meet the </w:t>
      </w:r>
      <w:r w:rsidR="00274CB3">
        <w:rPr>
          <w:rFonts w:ascii="Times New Roman" w:eastAsia="Times New Roman" w:hAnsi="Times New Roman" w:cs="Times New Roman"/>
          <w:color w:val="0E101A"/>
          <w:sz w:val="24"/>
          <w:szCs w:val="24"/>
          <w:lang w:eastAsia="en-GB"/>
        </w:rPr>
        <w:t>recipients’</w:t>
      </w:r>
      <w:r w:rsidR="002C30A2">
        <w:rPr>
          <w:rFonts w:ascii="Times New Roman" w:eastAsia="Times New Roman" w:hAnsi="Times New Roman" w:cs="Times New Roman"/>
          <w:color w:val="0E101A"/>
          <w:sz w:val="24"/>
          <w:szCs w:val="24"/>
          <w:lang w:eastAsia="en-GB"/>
        </w:rPr>
        <w:t xml:space="preserve"> expectations, with section 35 stating digital content must be fit for particular purpose and section 36 requiring </w:t>
      </w:r>
      <w:r w:rsidR="00274CB3">
        <w:rPr>
          <w:rFonts w:ascii="Times New Roman" w:eastAsia="Times New Roman" w:hAnsi="Times New Roman" w:cs="Times New Roman"/>
          <w:color w:val="0E101A"/>
          <w:sz w:val="24"/>
          <w:szCs w:val="24"/>
          <w:lang w:eastAsia="en-GB"/>
        </w:rPr>
        <w:t>digital</w:t>
      </w:r>
      <w:r w:rsidR="002C30A2">
        <w:rPr>
          <w:rFonts w:ascii="Times New Roman" w:eastAsia="Times New Roman" w:hAnsi="Times New Roman" w:cs="Times New Roman"/>
          <w:color w:val="0E101A"/>
          <w:sz w:val="24"/>
          <w:szCs w:val="24"/>
          <w:lang w:eastAsia="en-GB"/>
        </w:rPr>
        <w:t xml:space="preserve"> content to be as described</w:t>
      </w:r>
      <w:r w:rsidR="00274CB3">
        <w:rPr>
          <w:rFonts w:ascii="Times New Roman" w:eastAsia="Times New Roman" w:hAnsi="Times New Roman" w:cs="Times New Roman"/>
          <w:color w:val="0E101A"/>
          <w:sz w:val="24"/>
          <w:szCs w:val="24"/>
          <w:lang w:eastAsia="en-GB"/>
        </w:rPr>
        <w:t xml:space="preserve"> </w:t>
      </w:r>
      <w:r w:rsidR="00274CB3" w:rsidRPr="00274CB3">
        <w:rPr>
          <w:rFonts w:ascii="Times New Roman" w:eastAsia="Times New Roman" w:hAnsi="Times New Roman" w:cs="Times New Roman"/>
          <w:noProof/>
          <w:color w:val="0E101A"/>
          <w:sz w:val="24"/>
          <w:szCs w:val="24"/>
          <w:lang w:eastAsia="en-GB"/>
        </w:rPr>
        <w:t>(Ariyaratna, 2022)</w:t>
      </w:r>
      <w:r w:rsidR="00274CB3">
        <w:rPr>
          <w:rFonts w:ascii="Times New Roman" w:eastAsia="Times New Roman" w:hAnsi="Times New Roman" w:cs="Times New Roman"/>
          <w:color w:val="0E101A"/>
          <w:sz w:val="24"/>
          <w:szCs w:val="24"/>
          <w:lang w:eastAsia="en-GB"/>
        </w:rPr>
        <w:t>.</w:t>
      </w:r>
      <w:r w:rsidR="002C30A2">
        <w:rPr>
          <w:rFonts w:ascii="Times New Roman" w:eastAsia="Times New Roman" w:hAnsi="Times New Roman" w:cs="Times New Roman"/>
          <w:color w:val="0E101A"/>
          <w:sz w:val="24"/>
          <w:szCs w:val="24"/>
          <w:lang w:eastAsia="en-GB"/>
        </w:rPr>
        <w:t xml:space="preserve"> </w:t>
      </w:r>
      <w:r w:rsidR="007869C5">
        <w:rPr>
          <w:rFonts w:ascii="Times New Roman" w:eastAsia="Times New Roman" w:hAnsi="Times New Roman" w:cs="Times New Roman"/>
          <w:color w:val="0E101A"/>
          <w:sz w:val="24"/>
          <w:szCs w:val="24"/>
          <w:lang w:eastAsia="en-GB"/>
        </w:rPr>
        <w:t>While t</w:t>
      </w:r>
      <w:r w:rsidR="002C30A2">
        <w:rPr>
          <w:rFonts w:ascii="Times New Roman" w:eastAsia="Times New Roman" w:hAnsi="Times New Roman" w:cs="Times New Roman"/>
          <w:color w:val="0E101A"/>
          <w:sz w:val="24"/>
          <w:szCs w:val="24"/>
          <w:lang w:eastAsia="en-GB"/>
        </w:rPr>
        <w:t>his is</w:t>
      </w:r>
      <w:r w:rsidR="007869C5">
        <w:rPr>
          <w:rFonts w:ascii="Times New Roman" w:eastAsia="Times New Roman" w:hAnsi="Times New Roman" w:cs="Times New Roman"/>
          <w:color w:val="0E101A"/>
          <w:sz w:val="24"/>
          <w:szCs w:val="24"/>
          <w:lang w:eastAsia="en-GB"/>
        </w:rPr>
        <w:t xml:space="preserve"> an</w:t>
      </w:r>
      <w:r w:rsidR="002C30A2">
        <w:rPr>
          <w:rFonts w:ascii="Times New Roman" w:eastAsia="Times New Roman" w:hAnsi="Times New Roman" w:cs="Times New Roman"/>
          <w:color w:val="0E101A"/>
          <w:sz w:val="24"/>
          <w:szCs w:val="24"/>
          <w:lang w:eastAsia="en-GB"/>
        </w:rPr>
        <w:t xml:space="preserve"> excellent </w:t>
      </w:r>
      <w:r w:rsidR="007869C5">
        <w:rPr>
          <w:rFonts w:ascii="Times New Roman" w:eastAsia="Times New Roman" w:hAnsi="Times New Roman" w:cs="Times New Roman"/>
          <w:color w:val="0E101A"/>
          <w:sz w:val="24"/>
          <w:szCs w:val="24"/>
          <w:lang w:eastAsia="en-GB"/>
        </w:rPr>
        <w:t xml:space="preserve">addition for a </w:t>
      </w:r>
      <w:r w:rsidR="00274CB3">
        <w:rPr>
          <w:rFonts w:ascii="Times New Roman" w:eastAsia="Times New Roman" w:hAnsi="Times New Roman" w:cs="Times New Roman"/>
          <w:color w:val="0E101A"/>
          <w:sz w:val="24"/>
          <w:szCs w:val="24"/>
          <w:lang w:eastAsia="en-GB"/>
        </w:rPr>
        <w:t>digital</w:t>
      </w:r>
      <w:r w:rsidR="002C30A2">
        <w:rPr>
          <w:rFonts w:ascii="Times New Roman" w:eastAsia="Times New Roman" w:hAnsi="Times New Roman" w:cs="Times New Roman"/>
          <w:color w:val="0E101A"/>
          <w:sz w:val="24"/>
          <w:szCs w:val="24"/>
          <w:lang w:eastAsia="en-GB"/>
        </w:rPr>
        <w:t xml:space="preserve"> </w:t>
      </w:r>
      <w:r w:rsidR="00B234F2">
        <w:rPr>
          <w:rFonts w:ascii="Times New Roman" w:eastAsia="Times New Roman" w:hAnsi="Times New Roman" w:cs="Times New Roman"/>
          <w:color w:val="0E101A"/>
          <w:sz w:val="24"/>
          <w:szCs w:val="24"/>
          <w:lang w:eastAsia="en-GB"/>
        </w:rPr>
        <w:t>user</w:t>
      </w:r>
      <w:r w:rsidR="002C30A2">
        <w:rPr>
          <w:rFonts w:ascii="Times New Roman" w:eastAsia="Times New Roman" w:hAnsi="Times New Roman" w:cs="Times New Roman"/>
          <w:color w:val="0E101A"/>
          <w:sz w:val="24"/>
          <w:szCs w:val="24"/>
          <w:lang w:eastAsia="en-GB"/>
        </w:rPr>
        <w:t>,</w:t>
      </w:r>
      <w:r w:rsidR="00274CB3">
        <w:rPr>
          <w:rFonts w:ascii="Times New Roman" w:eastAsia="Times New Roman" w:hAnsi="Times New Roman" w:cs="Times New Roman"/>
          <w:color w:val="0E101A"/>
          <w:sz w:val="24"/>
          <w:szCs w:val="24"/>
          <w:lang w:eastAsia="en-GB"/>
        </w:rPr>
        <w:t xml:space="preserve"> the requirement to meet one’s expectations could be seen as subjective</w:t>
      </w:r>
      <w:r w:rsidR="007869C5">
        <w:rPr>
          <w:rFonts w:ascii="Times New Roman" w:eastAsia="Times New Roman" w:hAnsi="Times New Roman" w:cs="Times New Roman"/>
          <w:color w:val="0E101A"/>
          <w:sz w:val="24"/>
          <w:szCs w:val="24"/>
          <w:lang w:eastAsia="en-GB"/>
        </w:rPr>
        <w:t>, as w</w:t>
      </w:r>
      <w:r w:rsidR="00274CB3">
        <w:rPr>
          <w:rFonts w:ascii="Times New Roman" w:eastAsia="Times New Roman" w:hAnsi="Times New Roman" w:cs="Times New Roman"/>
          <w:color w:val="0E101A"/>
          <w:sz w:val="24"/>
          <w:szCs w:val="24"/>
          <w:lang w:eastAsia="en-GB"/>
        </w:rPr>
        <w:t xml:space="preserve">hat is deemed satisfactory </w:t>
      </w:r>
      <w:r w:rsidR="00EF7955">
        <w:rPr>
          <w:rFonts w:ascii="Times New Roman" w:eastAsia="Times New Roman" w:hAnsi="Times New Roman" w:cs="Times New Roman"/>
          <w:color w:val="0E101A"/>
          <w:sz w:val="24"/>
          <w:szCs w:val="24"/>
          <w:lang w:eastAsia="en-GB"/>
        </w:rPr>
        <w:t xml:space="preserve">to </w:t>
      </w:r>
      <w:r w:rsidR="00274CB3">
        <w:rPr>
          <w:rFonts w:ascii="Times New Roman" w:eastAsia="Times New Roman" w:hAnsi="Times New Roman" w:cs="Times New Roman"/>
          <w:color w:val="0E101A"/>
          <w:sz w:val="24"/>
          <w:szCs w:val="24"/>
          <w:lang w:eastAsia="en-GB"/>
        </w:rPr>
        <w:t>one consumer</w:t>
      </w:r>
      <w:r w:rsidR="00CD7C3F">
        <w:rPr>
          <w:rFonts w:ascii="Times New Roman" w:eastAsia="Times New Roman" w:hAnsi="Times New Roman" w:cs="Times New Roman"/>
          <w:color w:val="0E101A"/>
          <w:sz w:val="24"/>
          <w:szCs w:val="24"/>
          <w:lang w:eastAsia="en-GB"/>
        </w:rPr>
        <w:t xml:space="preserve"> </w:t>
      </w:r>
      <w:r w:rsidR="00274CB3">
        <w:rPr>
          <w:rFonts w:ascii="Times New Roman" w:eastAsia="Times New Roman" w:hAnsi="Times New Roman" w:cs="Times New Roman"/>
          <w:color w:val="0E101A"/>
          <w:sz w:val="24"/>
          <w:szCs w:val="24"/>
          <w:lang w:eastAsia="en-GB"/>
        </w:rPr>
        <w:t>may not meet the expectations of another</w:t>
      </w:r>
      <w:r w:rsidR="00B234F2">
        <w:rPr>
          <w:rFonts w:ascii="Times New Roman" w:eastAsia="Times New Roman" w:hAnsi="Times New Roman" w:cs="Times New Roman"/>
          <w:color w:val="0E101A"/>
          <w:sz w:val="24"/>
          <w:szCs w:val="24"/>
          <w:lang w:eastAsia="en-GB"/>
        </w:rPr>
        <w:t>.</w:t>
      </w:r>
      <w:r w:rsidR="0078018F">
        <w:rPr>
          <w:rFonts w:ascii="Times New Roman" w:eastAsia="Times New Roman" w:hAnsi="Times New Roman" w:cs="Times New Roman"/>
          <w:color w:val="0E101A"/>
          <w:sz w:val="24"/>
          <w:szCs w:val="24"/>
          <w:lang w:eastAsia="en-GB"/>
        </w:rPr>
        <w:t xml:space="preserve"> Therefore, the</w:t>
      </w:r>
      <w:r w:rsidR="007869C5">
        <w:rPr>
          <w:rFonts w:ascii="Times New Roman" w:eastAsia="Times New Roman" w:hAnsi="Times New Roman" w:cs="Times New Roman"/>
          <w:color w:val="0E101A"/>
          <w:sz w:val="24"/>
          <w:szCs w:val="24"/>
          <w:lang w:eastAsia="en-GB"/>
        </w:rPr>
        <w:t xml:space="preserve"> wording may not be specific enough</w:t>
      </w:r>
      <w:r w:rsidR="0078018F">
        <w:rPr>
          <w:rFonts w:ascii="Times New Roman" w:eastAsia="Times New Roman" w:hAnsi="Times New Roman" w:cs="Times New Roman"/>
          <w:color w:val="0E101A"/>
          <w:sz w:val="24"/>
          <w:szCs w:val="24"/>
          <w:lang w:eastAsia="en-GB"/>
        </w:rPr>
        <w:t>.</w:t>
      </w:r>
      <w:r w:rsidR="00274CB3">
        <w:rPr>
          <w:rFonts w:ascii="Times New Roman" w:eastAsia="Times New Roman" w:hAnsi="Times New Roman" w:cs="Times New Roman"/>
          <w:color w:val="0E101A"/>
          <w:sz w:val="24"/>
          <w:szCs w:val="24"/>
          <w:lang w:eastAsia="en-GB"/>
        </w:rPr>
        <w:t xml:space="preserve"> T</w:t>
      </w:r>
      <w:r w:rsidRPr="000C6796">
        <w:rPr>
          <w:rFonts w:ascii="Times New Roman" w:eastAsia="Times New Roman" w:hAnsi="Times New Roman" w:cs="Times New Roman"/>
          <w:color w:val="0E101A"/>
          <w:sz w:val="24"/>
          <w:szCs w:val="24"/>
          <w:lang w:eastAsia="en-GB"/>
        </w:rPr>
        <w:t>he CRA (2015) does have a few adjustments that the SGA (1979) did not</w:t>
      </w:r>
      <w:r w:rsidR="00CD7C3F">
        <w:rPr>
          <w:rFonts w:ascii="Times New Roman" w:eastAsia="Times New Roman" w:hAnsi="Times New Roman" w:cs="Times New Roman"/>
          <w:color w:val="0E101A"/>
          <w:sz w:val="24"/>
          <w:szCs w:val="24"/>
          <w:lang w:eastAsia="en-GB"/>
        </w:rPr>
        <w:t>, including</w:t>
      </w:r>
      <w:r w:rsidRPr="000C6796">
        <w:rPr>
          <w:rFonts w:ascii="Times New Roman" w:eastAsia="Times New Roman" w:hAnsi="Times New Roman" w:cs="Times New Roman"/>
          <w:color w:val="0E101A"/>
          <w:sz w:val="24"/>
          <w:szCs w:val="24"/>
          <w:lang w:eastAsia="en-GB"/>
        </w:rPr>
        <w:t xml:space="preserve"> the need for a seller to </w:t>
      </w:r>
      <w:r w:rsidRPr="000C6796">
        <w:rPr>
          <w:rFonts w:ascii="Times New Roman" w:eastAsia="Times New Roman" w:hAnsi="Times New Roman" w:cs="Times New Roman"/>
          <w:color w:val="0E101A"/>
          <w:sz w:val="24"/>
          <w:szCs w:val="24"/>
          <w:lang w:eastAsia="en-GB"/>
        </w:rPr>
        <w:lastRenderedPageBreak/>
        <w:t xml:space="preserve">bring to the customer's attention any defects or differences from any display model visible to the customer before the contract is entered. Also, </w:t>
      </w:r>
      <w:r w:rsidR="00BE1451">
        <w:rPr>
          <w:rFonts w:ascii="Times New Roman" w:eastAsia="Times New Roman" w:hAnsi="Times New Roman" w:cs="Times New Roman"/>
          <w:color w:val="0E101A"/>
          <w:sz w:val="24"/>
          <w:szCs w:val="24"/>
          <w:lang w:eastAsia="en-GB"/>
        </w:rPr>
        <w:t>it</w:t>
      </w:r>
      <w:r w:rsidRPr="000C6796">
        <w:rPr>
          <w:rFonts w:ascii="Times New Roman" w:eastAsia="Times New Roman" w:hAnsi="Times New Roman" w:cs="Times New Roman"/>
          <w:color w:val="0E101A"/>
          <w:sz w:val="24"/>
          <w:szCs w:val="24"/>
          <w:lang w:eastAsia="en-GB"/>
        </w:rPr>
        <w:t xml:space="preserve"> ensures sellers must install goods</w:t>
      </w:r>
      <w:r w:rsidR="004A3AA6">
        <w:rPr>
          <w:rFonts w:ascii="Times New Roman" w:eastAsia="Times New Roman" w:hAnsi="Times New Roman" w:cs="Times New Roman"/>
          <w:color w:val="0E101A"/>
          <w:sz w:val="24"/>
          <w:szCs w:val="24"/>
          <w:lang w:eastAsia="en-GB"/>
        </w:rPr>
        <w:t xml:space="preserve"> and supply services, including the new digital standard requirements,</w:t>
      </w:r>
      <w:r w:rsidRPr="000C6796">
        <w:rPr>
          <w:rFonts w:ascii="Times New Roman" w:eastAsia="Times New Roman" w:hAnsi="Times New Roman" w:cs="Times New Roman"/>
          <w:color w:val="0E101A"/>
          <w:sz w:val="24"/>
          <w:szCs w:val="24"/>
          <w:lang w:eastAsia="en-GB"/>
        </w:rPr>
        <w:t xml:space="preserve"> to a satisfactory degree (Richards, 2019). The CRA 2015 aims to create “a simple, coherent framework of consumer legislation by consolidating and simplifying existing law” (</w:t>
      </w:r>
      <w:proofErr w:type="spellStart"/>
      <w:r w:rsidRPr="000C6796">
        <w:rPr>
          <w:rFonts w:ascii="Times New Roman" w:eastAsia="Times New Roman" w:hAnsi="Times New Roman" w:cs="Times New Roman"/>
          <w:color w:val="0E101A"/>
          <w:sz w:val="24"/>
          <w:szCs w:val="24"/>
          <w:lang w:eastAsia="en-GB"/>
        </w:rPr>
        <w:t>Giliker</w:t>
      </w:r>
      <w:proofErr w:type="spellEnd"/>
      <w:r w:rsidRPr="000C6796">
        <w:rPr>
          <w:rFonts w:ascii="Times New Roman" w:eastAsia="Times New Roman" w:hAnsi="Times New Roman" w:cs="Times New Roman"/>
          <w:color w:val="0E101A"/>
          <w:sz w:val="24"/>
          <w:szCs w:val="24"/>
          <w:lang w:eastAsia="en-GB"/>
        </w:rPr>
        <w:t xml:space="preserve">, 2017). The act seeks to inform customers of their rights in a more straightforward manner than previous legislation has allowed. The </w:t>
      </w:r>
      <w:r w:rsidR="00EF7955">
        <w:rPr>
          <w:rFonts w:ascii="Times New Roman" w:eastAsia="Times New Roman" w:hAnsi="Times New Roman" w:cs="Times New Roman"/>
          <w:color w:val="0E101A"/>
          <w:sz w:val="24"/>
          <w:szCs w:val="24"/>
          <w:lang w:eastAsia="en-GB"/>
        </w:rPr>
        <w:t xml:space="preserve">act aims </w:t>
      </w:r>
      <w:r w:rsidRPr="000C6796">
        <w:rPr>
          <w:rFonts w:ascii="Times New Roman" w:eastAsia="Times New Roman" w:hAnsi="Times New Roman" w:cs="Times New Roman"/>
          <w:color w:val="0E101A"/>
          <w:sz w:val="24"/>
          <w:szCs w:val="24"/>
          <w:lang w:eastAsia="en-GB"/>
        </w:rPr>
        <w:t xml:space="preserve">to instil confidence into consumers with the hope that this will encourage them to spend more, therefore one of the purposes is to simplify and consolidate previous regulations, making them clearer for the average consumer to understand. The added information and improved legal protection aim to reward the companies that deal with customers well and reward the customer respectively for spending their hard-earned money with these retailers. Under the new ban on liability and exclusion limitation, the option to eliminate liability for failing to conduct a service exempt from care or skill is now forbidden under the CRA (2015). The option to limit liability to less than the price paid has also been </w:t>
      </w:r>
      <w:r w:rsidR="00BE1451">
        <w:rPr>
          <w:rFonts w:ascii="Times New Roman" w:eastAsia="Times New Roman" w:hAnsi="Times New Roman" w:cs="Times New Roman"/>
          <w:color w:val="0E101A"/>
          <w:sz w:val="24"/>
          <w:szCs w:val="24"/>
          <w:lang w:eastAsia="en-GB"/>
        </w:rPr>
        <w:t>excluded</w:t>
      </w:r>
      <w:r w:rsidRPr="000C6796">
        <w:rPr>
          <w:rFonts w:ascii="Times New Roman" w:eastAsia="Times New Roman" w:hAnsi="Times New Roman" w:cs="Times New Roman"/>
          <w:color w:val="0E101A"/>
          <w:sz w:val="24"/>
          <w:szCs w:val="24"/>
          <w:lang w:eastAsia="en-GB"/>
        </w:rPr>
        <w:t>. The consumer shall be entitled to repeat performance, or a price reduction should the trader not fulfil the entitled service that meets the information provided (Cartlidge, 2015). </w:t>
      </w:r>
      <w:r w:rsidR="00BB5071" w:rsidRPr="000C6796">
        <w:rPr>
          <w:rFonts w:ascii="Times New Roman" w:eastAsia="Times New Roman" w:hAnsi="Times New Roman" w:cs="Times New Roman"/>
          <w:color w:val="0E101A"/>
          <w:sz w:val="24"/>
          <w:szCs w:val="24"/>
          <w:lang w:eastAsia="en-GB"/>
        </w:rPr>
        <w:t>Previous legislation has always stated that goods must be fit for purpose by the consumer and of satisfactory quality, however, the CRA (2015), specifies that the definition of fit for purpose will apply only if the purpose was known by the trader before the contract was entered.</w:t>
      </w:r>
    </w:p>
    <w:p w14:paraId="67604AED" w14:textId="77777777" w:rsidR="00E14FDC" w:rsidRDefault="00E14FDC" w:rsidP="00E14FDC">
      <w:pPr>
        <w:spacing w:after="0" w:line="360" w:lineRule="auto"/>
        <w:jc w:val="both"/>
        <w:rPr>
          <w:rFonts w:ascii="Times New Roman" w:eastAsia="Times New Roman" w:hAnsi="Times New Roman" w:cs="Times New Roman"/>
          <w:color w:val="0E101A"/>
          <w:sz w:val="24"/>
          <w:szCs w:val="24"/>
          <w:lang w:eastAsia="en-GB"/>
        </w:rPr>
      </w:pPr>
    </w:p>
    <w:p w14:paraId="7427615A" w14:textId="563FA07C" w:rsidR="00E14FDC" w:rsidRPr="000C6796" w:rsidRDefault="001C0541" w:rsidP="00E14FDC">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w:t>
      </w:r>
      <w:r w:rsidRPr="000C6796">
        <w:rPr>
          <w:rFonts w:ascii="Times New Roman" w:eastAsia="Times New Roman" w:hAnsi="Times New Roman" w:cs="Times New Roman"/>
          <w:color w:val="0E101A"/>
          <w:sz w:val="24"/>
          <w:szCs w:val="24"/>
          <w:lang w:eastAsia="en-GB"/>
        </w:rPr>
        <w:t>here the consumer possesses pre-contractual information provided by the trader, the information becomes an implied term (Bray, 2015). The way goods are installed is also protected under the CRA (2015), and only goods that are installed satisfactorily will be deemed to conform to the contract</w:t>
      </w:r>
      <w:r w:rsidR="007546F6">
        <w:rPr>
          <w:rFonts w:ascii="Times New Roman" w:eastAsia="Times New Roman" w:hAnsi="Times New Roman" w:cs="Times New Roman"/>
          <w:color w:val="0E101A"/>
          <w:sz w:val="24"/>
          <w:szCs w:val="24"/>
          <w:lang w:eastAsia="en-GB"/>
        </w:rPr>
        <w:t xml:space="preserve"> and</w:t>
      </w:r>
      <w:r w:rsidRPr="000C6796">
        <w:rPr>
          <w:rFonts w:ascii="Times New Roman" w:eastAsia="Times New Roman" w:hAnsi="Times New Roman" w:cs="Times New Roman"/>
          <w:color w:val="0E101A"/>
          <w:sz w:val="24"/>
          <w:szCs w:val="24"/>
          <w:lang w:eastAsia="en-GB"/>
        </w:rPr>
        <w:t xml:space="preserve"> must match</w:t>
      </w:r>
      <w:r w:rsidR="00BA0532">
        <w:rPr>
          <w:rFonts w:ascii="Times New Roman" w:eastAsia="Times New Roman" w:hAnsi="Times New Roman" w:cs="Times New Roman"/>
          <w:color w:val="0E101A"/>
          <w:sz w:val="24"/>
          <w:szCs w:val="24"/>
          <w:lang w:eastAsia="en-GB"/>
        </w:rPr>
        <w:t xml:space="preserve"> exactly</w:t>
      </w:r>
      <w:r w:rsidRPr="000C6796">
        <w:rPr>
          <w:rFonts w:ascii="Times New Roman" w:eastAsia="Times New Roman" w:hAnsi="Times New Roman" w:cs="Times New Roman"/>
          <w:color w:val="0E101A"/>
          <w:sz w:val="24"/>
          <w:szCs w:val="24"/>
          <w:lang w:eastAsia="en-GB"/>
        </w:rPr>
        <w:t xml:space="preserve"> the goods displayed or modelled to the consumer, otherwise the contract shall be deemed void. This is applicable unless the defects or differences were presented to the consumer pre-contract. </w:t>
      </w:r>
      <w:r w:rsidR="00960164">
        <w:rPr>
          <w:rFonts w:ascii="Times New Roman" w:eastAsia="Times New Roman" w:hAnsi="Times New Roman" w:cs="Times New Roman"/>
          <w:color w:val="0E101A"/>
          <w:sz w:val="24"/>
          <w:szCs w:val="24"/>
          <w:lang w:eastAsia="en-GB"/>
        </w:rPr>
        <w:t>New introductions</w:t>
      </w:r>
      <w:r w:rsidRPr="000C6796">
        <w:rPr>
          <w:rFonts w:ascii="Times New Roman" w:eastAsia="Times New Roman" w:hAnsi="Times New Roman" w:cs="Times New Roman"/>
          <w:color w:val="0E101A"/>
          <w:sz w:val="24"/>
          <w:szCs w:val="24"/>
          <w:lang w:eastAsia="en-GB"/>
        </w:rPr>
        <w:t xml:space="preserve"> include the protection for consumers regarding the sale of digital content</w:t>
      </w:r>
      <w:r w:rsidR="00BE1451">
        <w:rPr>
          <w:rFonts w:ascii="Times New Roman" w:eastAsia="Times New Roman" w:hAnsi="Times New Roman" w:cs="Times New Roman"/>
          <w:color w:val="0E101A"/>
          <w:sz w:val="24"/>
          <w:szCs w:val="24"/>
          <w:lang w:eastAsia="en-GB"/>
        </w:rPr>
        <w:t xml:space="preserve"> as previously no</w:t>
      </w:r>
      <w:r w:rsidR="00E14FDC" w:rsidRPr="000C6796">
        <w:rPr>
          <w:rFonts w:ascii="Times New Roman" w:eastAsia="Times New Roman" w:hAnsi="Times New Roman" w:cs="Times New Roman"/>
          <w:color w:val="0E101A"/>
          <w:sz w:val="24"/>
          <w:szCs w:val="24"/>
          <w:lang w:eastAsia="en-GB"/>
        </w:rPr>
        <w:t xml:space="preserve"> legislation covering digital services</w:t>
      </w:r>
      <w:r w:rsidR="00BE1451">
        <w:rPr>
          <w:rFonts w:ascii="Times New Roman" w:eastAsia="Times New Roman" w:hAnsi="Times New Roman" w:cs="Times New Roman"/>
          <w:color w:val="0E101A"/>
          <w:sz w:val="24"/>
          <w:szCs w:val="24"/>
          <w:lang w:eastAsia="en-GB"/>
        </w:rPr>
        <w:t xml:space="preserve"> existed.</w:t>
      </w:r>
      <w:r w:rsidR="00E14FDC" w:rsidRPr="000C6796">
        <w:rPr>
          <w:rFonts w:ascii="Times New Roman" w:eastAsia="Times New Roman" w:hAnsi="Times New Roman" w:cs="Times New Roman"/>
          <w:color w:val="0E101A"/>
          <w:sz w:val="24"/>
          <w:szCs w:val="24"/>
          <w:lang w:eastAsia="en-GB"/>
        </w:rPr>
        <w:t xml:space="preserve"> </w:t>
      </w:r>
      <w:r w:rsidR="00BE1451">
        <w:rPr>
          <w:rFonts w:ascii="Times New Roman" w:eastAsia="Times New Roman" w:hAnsi="Times New Roman" w:cs="Times New Roman"/>
          <w:color w:val="0E101A"/>
          <w:sz w:val="24"/>
          <w:szCs w:val="24"/>
          <w:lang w:eastAsia="en-GB"/>
        </w:rPr>
        <w:t>T</w:t>
      </w:r>
      <w:r w:rsidR="00E14FDC" w:rsidRPr="000C6796">
        <w:rPr>
          <w:rFonts w:ascii="Times New Roman" w:eastAsia="Times New Roman" w:hAnsi="Times New Roman" w:cs="Times New Roman"/>
          <w:color w:val="0E101A"/>
          <w:sz w:val="24"/>
          <w:szCs w:val="24"/>
          <w:lang w:eastAsia="en-GB"/>
        </w:rPr>
        <w:t>he rise in digital purchases has provided a reason to update legislation to fall in line with modern consumers (</w:t>
      </w:r>
      <w:proofErr w:type="spellStart"/>
      <w:r w:rsidR="00E14FDC" w:rsidRPr="000C6796">
        <w:rPr>
          <w:rFonts w:ascii="Times New Roman" w:eastAsia="Times New Roman" w:hAnsi="Times New Roman" w:cs="Times New Roman"/>
          <w:color w:val="0E101A"/>
          <w:sz w:val="24"/>
          <w:szCs w:val="24"/>
          <w:lang w:eastAsia="en-GB"/>
        </w:rPr>
        <w:t>Mischau</w:t>
      </w:r>
      <w:proofErr w:type="spellEnd"/>
      <w:r w:rsidR="00E14FDC" w:rsidRPr="000C6796">
        <w:rPr>
          <w:rFonts w:ascii="Times New Roman" w:eastAsia="Times New Roman" w:hAnsi="Times New Roman" w:cs="Times New Roman"/>
          <w:color w:val="0E101A"/>
          <w:sz w:val="24"/>
          <w:szCs w:val="24"/>
          <w:lang w:eastAsia="en-GB"/>
        </w:rPr>
        <w:t xml:space="preserve">, 2022). The CRA (2015) states that digital content or services must be of satisfactory quality, fit for purpose and must match the description provided to the consumer by the trader before the contract was entered. However, a downfall of the digital protection specifications appears to be the lack of a right to reject. The consumer will be entitled to a replacement, however, unlike tangible goods, there is no limit to </w:t>
      </w:r>
      <w:r w:rsidR="00E14FDC" w:rsidRPr="000C6796">
        <w:rPr>
          <w:rFonts w:ascii="Times New Roman" w:eastAsia="Times New Roman" w:hAnsi="Times New Roman" w:cs="Times New Roman"/>
          <w:color w:val="0E101A"/>
          <w:sz w:val="24"/>
          <w:szCs w:val="24"/>
          <w:lang w:eastAsia="en-GB"/>
        </w:rPr>
        <w:lastRenderedPageBreak/>
        <w:t>the number of chances a trader gets to replace digital products. The purchases are considered ambiguous and individual, meaning there is not a one size fits all solution to a defective digital purchase. Therefore, not providing complete protection for those buying products or services</w:t>
      </w:r>
      <w:r w:rsidR="00BE1451">
        <w:rPr>
          <w:rFonts w:ascii="Times New Roman" w:eastAsia="Times New Roman" w:hAnsi="Times New Roman" w:cs="Times New Roman"/>
          <w:color w:val="0E101A"/>
          <w:sz w:val="24"/>
          <w:szCs w:val="24"/>
          <w:lang w:eastAsia="en-GB"/>
        </w:rPr>
        <w:t xml:space="preserve"> online</w:t>
      </w:r>
      <w:r w:rsidR="00E14FDC" w:rsidRPr="000C6796">
        <w:rPr>
          <w:rFonts w:ascii="Times New Roman" w:eastAsia="Times New Roman" w:hAnsi="Times New Roman" w:cs="Times New Roman"/>
          <w:color w:val="0E101A"/>
          <w:sz w:val="24"/>
          <w:szCs w:val="24"/>
          <w:lang w:eastAsia="en-GB"/>
        </w:rPr>
        <w:t xml:space="preserve"> (</w:t>
      </w:r>
      <w:proofErr w:type="spellStart"/>
      <w:r w:rsidR="00E14FDC" w:rsidRPr="000C6796">
        <w:rPr>
          <w:rFonts w:ascii="Times New Roman" w:eastAsia="Times New Roman" w:hAnsi="Times New Roman" w:cs="Times New Roman"/>
          <w:color w:val="0E101A"/>
          <w:sz w:val="24"/>
          <w:szCs w:val="24"/>
          <w:lang w:eastAsia="en-GB"/>
        </w:rPr>
        <w:t>Kuhnel-Fitchen</w:t>
      </w:r>
      <w:proofErr w:type="spellEnd"/>
      <w:r w:rsidR="00E14FDC" w:rsidRPr="000C6796">
        <w:rPr>
          <w:rFonts w:ascii="Times New Roman" w:eastAsia="Times New Roman" w:hAnsi="Times New Roman" w:cs="Times New Roman"/>
          <w:color w:val="0E101A"/>
          <w:sz w:val="24"/>
          <w:szCs w:val="24"/>
          <w:lang w:eastAsia="en-GB"/>
        </w:rPr>
        <w:t>, 2017). </w:t>
      </w:r>
    </w:p>
    <w:p w14:paraId="56BE8E27" w14:textId="77777777" w:rsidR="00E14FDC" w:rsidRPr="000C6796" w:rsidRDefault="00E14FDC" w:rsidP="000C6796">
      <w:pPr>
        <w:spacing w:after="0" w:line="360" w:lineRule="auto"/>
        <w:jc w:val="both"/>
        <w:rPr>
          <w:rFonts w:ascii="Times New Roman" w:eastAsia="Times New Roman" w:hAnsi="Times New Roman" w:cs="Times New Roman"/>
          <w:color w:val="0E101A"/>
          <w:sz w:val="24"/>
          <w:szCs w:val="24"/>
          <w:lang w:eastAsia="en-GB"/>
        </w:rPr>
      </w:pPr>
    </w:p>
    <w:p w14:paraId="55866B12" w14:textId="77777777"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p>
    <w:p w14:paraId="1EB1AB32" w14:textId="0FD116D2"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r w:rsidRPr="000C6796">
        <w:rPr>
          <w:rFonts w:ascii="Times New Roman" w:eastAsia="Times New Roman" w:hAnsi="Times New Roman" w:cs="Times New Roman"/>
          <w:color w:val="0E101A"/>
          <w:sz w:val="24"/>
          <w:szCs w:val="24"/>
          <w:lang w:eastAsia="en-GB"/>
        </w:rPr>
        <w:t xml:space="preserve">The second </w:t>
      </w:r>
      <w:r w:rsidR="001D5089">
        <w:rPr>
          <w:rFonts w:ascii="Times New Roman" w:eastAsia="Times New Roman" w:hAnsi="Times New Roman" w:cs="Times New Roman"/>
          <w:color w:val="0E101A"/>
          <w:sz w:val="24"/>
          <w:szCs w:val="24"/>
          <w:lang w:eastAsia="en-GB"/>
        </w:rPr>
        <w:t xml:space="preserve">part </w:t>
      </w:r>
      <w:r w:rsidRPr="000C6796">
        <w:rPr>
          <w:rFonts w:ascii="Times New Roman" w:eastAsia="Times New Roman" w:hAnsi="Times New Roman" w:cs="Times New Roman"/>
          <w:color w:val="0E101A"/>
          <w:sz w:val="24"/>
          <w:szCs w:val="24"/>
          <w:lang w:eastAsia="en-GB"/>
        </w:rPr>
        <w:t>of the CRA (2015)</w:t>
      </w:r>
      <w:r w:rsidR="001D5089">
        <w:rPr>
          <w:rFonts w:ascii="Times New Roman" w:eastAsia="Times New Roman" w:hAnsi="Times New Roman" w:cs="Times New Roman"/>
          <w:color w:val="0E101A"/>
          <w:sz w:val="24"/>
          <w:szCs w:val="24"/>
          <w:lang w:eastAsia="en-GB"/>
        </w:rPr>
        <w:t xml:space="preserve"> is concerned with unfair contract terms and a</w:t>
      </w:r>
      <w:r w:rsidRPr="000C6796">
        <w:rPr>
          <w:rFonts w:ascii="Times New Roman" w:eastAsia="Times New Roman" w:hAnsi="Times New Roman" w:cs="Times New Roman"/>
          <w:color w:val="0E101A"/>
          <w:sz w:val="24"/>
          <w:szCs w:val="24"/>
          <w:lang w:eastAsia="en-GB"/>
        </w:rPr>
        <w:t xml:space="preserve">ims to pool provisions from the UCTA </w:t>
      </w:r>
      <w:r w:rsidR="00BB5071">
        <w:rPr>
          <w:rFonts w:ascii="Times New Roman" w:eastAsia="Times New Roman" w:hAnsi="Times New Roman" w:cs="Times New Roman"/>
          <w:color w:val="0E101A"/>
          <w:sz w:val="24"/>
          <w:szCs w:val="24"/>
          <w:lang w:eastAsia="en-GB"/>
        </w:rPr>
        <w:t xml:space="preserve">1977 </w:t>
      </w:r>
      <w:r w:rsidRPr="000C6796">
        <w:rPr>
          <w:rFonts w:ascii="Times New Roman" w:eastAsia="Times New Roman" w:hAnsi="Times New Roman" w:cs="Times New Roman"/>
          <w:color w:val="0E101A"/>
          <w:sz w:val="24"/>
          <w:szCs w:val="24"/>
          <w:lang w:eastAsia="en-GB"/>
        </w:rPr>
        <w:t>with the Unfair Terms in Consumer Contracts Regulations (1999)</w:t>
      </w:r>
      <w:r w:rsidR="00BE1451">
        <w:rPr>
          <w:rFonts w:ascii="Times New Roman" w:eastAsia="Times New Roman" w:hAnsi="Times New Roman" w:cs="Times New Roman"/>
          <w:color w:val="0E101A"/>
          <w:sz w:val="24"/>
          <w:szCs w:val="24"/>
          <w:lang w:eastAsia="en-GB"/>
        </w:rPr>
        <w:t xml:space="preserve">. </w:t>
      </w:r>
      <w:r w:rsidR="00274C0E">
        <w:rPr>
          <w:rFonts w:ascii="Times New Roman" w:eastAsia="Times New Roman" w:hAnsi="Times New Roman" w:cs="Times New Roman"/>
          <w:color w:val="0E101A"/>
          <w:sz w:val="24"/>
          <w:szCs w:val="24"/>
          <w:lang w:eastAsia="en-GB"/>
        </w:rPr>
        <w:t>Clarity was required</w:t>
      </w:r>
      <w:r w:rsidR="001D5089">
        <w:rPr>
          <w:rFonts w:ascii="Times New Roman" w:eastAsia="Times New Roman" w:hAnsi="Times New Roman" w:cs="Times New Roman"/>
          <w:color w:val="0E101A"/>
          <w:sz w:val="24"/>
          <w:szCs w:val="24"/>
          <w:lang w:eastAsia="en-GB"/>
        </w:rPr>
        <w:t xml:space="preserve"> on certain wo</w:t>
      </w:r>
      <w:r w:rsidR="00274C0E">
        <w:rPr>
          <w:rFonts w:ascii="Times New Roman" w:eastAsia="Times New Roman" w:hAnsi="Times New Roman" w:cs="Times New Roman"/>
          <w:color w:val="0E101A"/>
          <w:sz w:val="24"/>
          <w:szCs w:val="24"/>
          <w:lang w:eastAsia="en-GB"/>
        </w:rPr>
        <w:t>rding</w:t>
      </w:r>
      <w:r w:rsidR="001D5089">
        <w:rPr>
          <w:rFonts w:ascii="Times New Roman" w:eastAsia="Times New Roman" w:hAnsi="Times New Roman" w:cs="Times New Roman"/>
          <w:color w:val="0E101A"/>
          <w:sz w:val="24"/>
          <w:szCs w:val="24"/>
          <w:lang w:eastAsia="en-GB"/>
        </w:rPr>
        <w:t xml:space="preserve"> such as “exclusion clause”</w:t>
      </w:r>
      <w:r w:rsidR="00BE1451">
        <w:rPr>
          <w:rFonts w:ascii="Times New Roman" w:eastAsia="Times New Roman" w:hAnsi="Times New Roman" w:cs="Times New Roman"/>
          <w:color w:val="0E101A"/>
          <w:sz w:val="24"/>
          <w:szCs w:val="24"/>
          <w:lang w:eastAsia="en-GB"/>
        </w:rPr>
        <w:t>,</w:t>
      </w:r>
      <w:r w:rsidR="00274C0E">
        <w:rPr>
          <w:rFonts w:ascii="Times New Roman" w:eastAsia="Times New Roman" w:hAnsi="Times New Roman" w:cs="Times New Roman"/>
          <w:color w:val="0E101A"/>
          <w:sz w:val="24"/>
          <w:szCs w:val="24"/>
          <w:lang w:eastAsia="en-GB"/>
        </w:rPr>
        <w:t xml:space="preserve"> with</w:t>
      </w:r>
      <w:r w:rsidR="001D5089">
        <w:rPr>
          <w:rFonts w:ascii="Times New Roman" w:eastAsia="Times New Roman" w:hAnsi="Times New Roman" w:cs="Times New Roman"/>
          <w:color w:val="0E101A"/>
          <w:sz w:val="24"/>
          <w:szCs w:val="24"/>
          <w:lang w:eastAsia="en-GB"/>
        </w:rPr>
        <w:t xml:space="preserve"> consumers </w:t>
      </w:r>
      <w:r w:rsidR="00274C0E">
        <w:rPr>
          <w:rFonts w:ascii="Times New Roman" w:eastAsia="Times New Roman" w:hAnsi="Times New Roman" w:cs="Times New Roman"/>
          <w:color w:val="0E101A"/>
          <w:sz w:val="24"/>
          <w:szCs w:val="24"/>
          <w:lang w:eastAsia="en-GB"/>
        </w:rPr>
        <w:t xml:space="preserve">previously </w:t>
      </w:r>
      <w:r w:rsidR="001D5089">
        <w:rPr>
          <w:rFonts w:ascii="Times New Roman" w:eastAsia="Times New Roman" w:hAnsi="Times New Roman" w:cs="Times New Roman"/>
          <w:color w:val="0E101A"/>
          <w:sz w:val="24"/>
          <w:szCs w:val="24"/>
          <w:lang w:eastAsia="en-GB"/>
        </w:rPr>
        <w:t>unsure of their rights</w:t>
      </w:r>
      <w:r w:rsidR="007B3749">
        <w:rPr>
          <w:rFonts w:ascii="Times New Roman" w:eastAsia="Times New Roman" w:hAnsi="Times New Roman" w:cs="Times New Roman"/>
          <w:color w:val="0E101A"/>
          <w:sz w:val="24"/>
          <w:szCs w:val="24"/>
          <w:lang w:eastAsia="en-GB"/>
        </w:rPr>
        <w:t xml:space="preserve">, </w:t>
      </w:r>
      <w:r w:rsidR="00274C0E">
        <w:rPr>
          <w:rFonts w:ascii="Times New Roman" w:eastAsia="Times New Roman" w:hAnsi="Times New Roman" w:cs="Times New Roman"/>
          <w:color w:val="0E101A"/>
          <w:sz w:val="24"/>
          <w:szCs w:val="24"/>
          <w:lang w:eastAsia="en-GB"/>
        </w:rPr>
        <w:t>meaning the CRA (2015) aimed</w:t>
      </w:r>
      <w:r w:rsidR="001D5089">
        <w:rPr>
          <w:rFonts w:ascii="Times New Roman" w:eastAsia="Times New Roman" w:hAnsi="Times New Roman" w:cs="Times New Roman"/>
          <w:color w:val="0E101A"/>
          <w:sz w:val="24"/>
          <w:szCs w:val="24"/>
          <w:lang w:eastAsia="en-GB"/>
        </w:rPr>
        <w:t xml:space="preserve"> to</w:t>
      </w:r>
      <w:r w:rsidRPr="000C6796">
        <w:rPr>
          <w:rFonts w:ascii="Times New Roman" w:eastAsia="Times New Roman" w:hAnsi="Times New Roman" w:cs="Times New Roman"/>
          <w:color w:val="0E101A"/>
          <w:sz w:val="24"/>
          <w:szCs w:val="24"/>
          <w:lang w:eastAsia="en-GB"/>
        </w:rPr>
        <w:t xml:space="preserve"> improv</w:t>
      </w:r>
      <w:r w:rsidR="001D5089">
        <w:rPr>
          <w:rFonts w:ascii="Times New Roman" w:eastAsia="Times New Roman" w:hAnsi="Times New Roman" w:cs="Times New Roman"/>
          <w:color w:val="0E101A"/>
          <w:sz w:val="24"/>
          <w:szCs w:val="24"/>
          <w:lang w:eastAsia="en-GB"/>
        </w:rPr>
        <w:t xml:space="preserve">e </w:t>
      </w:r>
      <w:r w:rsidRPr="000C6796">
        <w:rPr>
          <w:rFonts w:ascii="Times New Roman" w:eastAsia="Times New Roman" w:hAnsi="Times New Roman" w:cs="Times New Roman"/>
          <w:color w:val="0E101A"/>
          <w:sz w:val="24"/>
          <w:szCs w:val="24"/>
          <w:lang w:eastAsia="en-GB"/>
        </w:rPr>
        <w:t>understanding of the laws set within by</w:t>
      </w:r>
      <w:r w:rsidR="001D5089">
        <w:rPr>
          <w:rFonts w:ascii="Times New Roman" w:eastAsia="Times New Roman" w:hAnsi="Times New Roman" w:cs="Times New Roman"/>
          <w:color w:val="0E101A"/>
          <w:sz w:val="24"/>
          <w:szCs w:val="24"/>
          <w:lang w:eastAsia="en-GB"/>
        </w:rPr>
        <w:t xml:space="preserve"> </w:t>
      </w:r>
      <w:r w:rsidR="007B3749">
        <w:rPr>
          <w:rFonts w:ascii="Times New Roman" w:eastAsia="Times New Roman" w:hAnsi="Times New Roman" w:cs="Times New Roman"/>
          <w:color w:val="0E101A"/>
          <w:sz w:val="24"/>
          <w:szCs w:val="24"/>
          <w:lang w:eastAsia="en-GB"/>
        </w:rPr>
        <w:t>c</w:t>
      </w:r>
      <w:r w:rsidRPr="000C6796">
        <w:rPr>
          <w:rFonts w:ascii="Times New Roman" w:eastAsia="Times New Roman" w:hAnsi="Times New Roman" w:cs="Times New Roman"/>
          <w:color w:val="0E101A"/>
          <w:sz w:val="24"/>
          <w:szCs w:val="24"/>
          <w:lang w:eastAsia="en-GB"/>
        </w:rPr>
        <w:t>onsolidating</w:t>
      </w:r>
      <w:r w:rsidR="007B3749">
        <w:rPr>
          <w:rFonts w:ascii="Times New Roman" w:eastAsia="Times New Roman" w:hAnsi="Times New Roman" w:cs="Times New Roman"/>
          <w:color w:val="0E101A"/>
          <w:sz w:val="24"/>
          <w:szCs w:val="24"/>
          <w:lang w:eastAsia="en-GB"/>
        </w:rPr>
        <w:t xml:space="preserve"> and simplifying.</w:t>
      </w:r>
      <w:r w:rsidRPr="000C6796">
        <w:rPr>
          <w:rFonts w:ascii="Times New Roman" w:eastAsia="Times New Roman" w:hAnsi="Times New Roman" w:cs="Times New Roman"/>
          <w:color w:val="0E101A"/>
          <w:sz w:val="24"/>
          <w:szCs w:val="24"/>
          <w:lang w:eastAsia="en-GB"/>
        </w:rPr>
        <w:t xml:space="preserve"> A term can be defined as “A promise as to the truth of a statement”</w:t>
      </w:r>
      <w:r w:rsidRPr="000C6796">
        <w:rPr>
          <w:rFonts w:ascii="Times New Roman" w:eastAsia="Times New Roman" w:hAnsi="Times New Roman" w:cs="Times New Roman"/>
          <w:b/>
          <w:bCs/>
          <w:color w:val="0E101A"/>
          <w:sz w:val="24"/>
          <w:szCs w:val="24"/>
          <w:lang w:eastAsia="en-GB"/>
        </w:rPr>
        <w:t> </w:t>
      </w:r>
      <w:r w:rsidRPr="000C6796">
        <w:rPr>
          <w:rFonts w:ascii="Times New Roman" w:eastAsia="Times New Roman" w:hAnsi="Times New Roman" w:cs="Times New Roman"/>
          <w:color w:val="0E101A"/>
          <w:sz w:val="24"/>
          <w:szCs w:val="24"/>
          <w:lang w:eastAsia="en-GB"/>
        </w:rPr>
        <w:t>(</w:t>
      </w:r>
      <w:proofErr w:type="spellStart"/>
      <w:r w:rsidRPr="000C6796">
        <w:rPr>
          <w:rFonts w:ascii="Times New Roman" w:eastAsia="Times New Roman" w:hAnsi="Times New Roman" w:cs="Times New Roman"/>
          <w:color w:val="0E101A"/>
          <w:sz w:val="24"/>
          <w:szCs w:val="24"/>
          <w:lang w:eastAsia="en-GB"/>
        </w:rPr>
        <w:t>Merkin</w:t>
      </w:r>
      <w:proofErr w:type="spellEnd"/>
      <w:r w:rsidRPr="000C6796">
        <w:rPr>
          <w:rFonts w:ascii="Times New Roman" w:eastAsia="Times New Roman" w:hAnsi="Times New Roman" w:cs="Times New Roman"/>
          <w:color w:val="0E101A"/>
          <w:sz w:val="24"/>
          <w:szCs w:val="24"/>
          <w:lang w:eastAsia="en-GB"/>
        </w:rPr>
        <w:t xml:space="preserve">, 2019). Additionally, as stated by McDermott (2017), if the meaning of a term is unclear, then the position most favourable to the consumer shall be regarded as the fairest, and therefore applied. </w:t>
      </w:r>
      <w:r w:rsidR="00274C0E">
        <w:rPr>
          <w:rFonts w:ascii="Times New Roman" w:eastAsia="Times New Roman" w:hAnsi="Times New Roman" w:cs="Times New Roman"/>
          <w:color w:val="0E101A"/>
          <w:sz w:val="24"/>
          <w:szCs w:val="24"/>
          <w:lang w:eastAsia="en-GB"/>
        </w:rPr>
        <w:t>P</w:t>
      </w:r>
      <w:r w:rsidRPr="000C6796">
        <w:rPr>
          <w:rFonts w:ascii="Times New Roman" w:eastAsia="Times New Roman" w:hAnsi="Times New Roman" w:cs="Times New Roman"/>
          <w:color w:val="0E101A"/>
          <w:sz w:val="24"/>
          <w:szCs w:val="24"/>
          <w:lang w:eastAsia="en-GB"/>
        </w:rPr>
        <w:t>revious legislation contained inconsistencies and overlaps in policies, which the CRA (2015) sought to condense and straighten out</w:t>
      </w:r>
      <w:r w:rsidR="00BB5071">
        <w:rPr>
          <w:rFonts w:ascii="Times New Roman" w:eastAsia="Times New Roman" w:hAnsi="Times New Roman" w:cs="Times New Roman"/>
          <w:color w:val="0E101A"/>
          <w:sz w:val="24"/>
          <w:szCs w:val="24"/>
          <w:lang w:eastAsia="en-GB"/>
        </w:rPr>
        <w:t>.</w:t>
      </w:r>
      <w:r w:rsidR="007B3749">
        <w:rPr>
          <w:rFonts w:ascii="Times New Roman" w:eastAsia="Times New Roman" w:hAnsi="Times New Roman" w:cs="Times New Roman"/>
          <w:color w:val="0E101A"/>
          <w:sz w:val="24"/>
          <w:szCs w:val="24"/>
          <w:lang w:eastAsia="en-GB"/>
        </w:rPr>
        <w:t xml:space="preserve"> S</w:t>
      </w:r>
      <w:r w:rsidR="001C0541" w:rsidRPr="00365739">
        <w:rPr>
          <w:rStyle w:val="cf01"/>
          <w:rFonts w:ascii="Times New Roman" w:hAnsi="Times New Roman" w:cs="Times New Roman"/>
          <w:sz w:val="24"/>
          <w:szCs w:val="24"/>
        </w:rPr>
        <w:t xml:space="preserve">ections 61 </w:t>
      </w:r>
      <w:r w:rsidR="007B3749">
        <w:rPr>
          <w:rStyle w:val="cf01"/>
          <w:rFonts w:ascii="Times New Roman" w:hAnsi="Times New Roman" w:cs="Times New Roman"/>
          <w:sz w:val="24"/>
          <w:szCs w:val="24"/>
        </w:rPr>
        <w:t xml:space="preserve">- </w:t>
      </w:r>
      <w:r w:rsidR="001C0541" w:rsidRPr="00365739">
        <w:rPr>
          <w:rStyle w:val="cf01"/>
          <w:rFonts w:ascii="Times New Roman" w:hAnsi="Times New Roman" w:cs="Times New Roman"/>
          <w:sz w:val="24"/>
          <w:szCs w:val="24"/>
        </w:rPr>
        <w:t xml:space="preserve">76 </w:t>
      </w:r>
      <w:r w:rsidR="007B3749">
        <w:rPr>
          <w:rStyle w:val="cf01"/>
          <w:rFonts w:ascii="Times New Roman" w:hAnsi="Times New Roman" w:cs="Times New Roman"/>
          <w:sz w:val="24"/>
          <w:szCs w:val="24"/>
        </w:rPr>
        <w:t>document</w:t>
      </w:r>
      <w:r w:rsidR="001C0541" w:rsidRPr="00365739">
        <w:rPr>
          <w:rStyle w:val="cf01"/>
          <w:rFonts w:ascii="Times New Roman" w:hAnsi="Times New Roman" w:cs="Times New Roman"/>
          <w:sz w:val="24"/>
          <w:szCs w:val="24"/>
        </w:rPr>
        <w:t xml:space="preserve"> significant changes concerning unfair contract terms, with chapter 62(4) introducing</w:t>
      </w:r>
      <w:r w:rsidR="001C0541" w:rsidRPr="00365739">
        <w:rPr>
          <w:rStyle w:val="cf01"/>
          <w:rFonts w:ascii="Times New Roman" w:hAnsi="Times New Roman" w:cs="Times New Roman"/>
          <w:sz w:val="24"/>
          <w:szCs w:val="24"/>
        </w:rPr>
        <w:t xml:space="preserve"> a single test for all terms that are alleged to be unfair</w:t>
      </w:r>
      <w:r w:rsidR="001C0541" w:rsidRPr="00365739">
        <w:rPr>
          <w:rStyle w:val="cf01"/>
          <w:rFonts w:ascii="Times New Roman" w:hAnsi="Times New Roman" w:cs="Times New Roman"/>
          <w:sz w:val="24"/>
          <w:szCs w:val="24"/>
        </w:rPr>
        <w:t xml:space="preserve">, thus protecting further protection to consumers from businesses who may have made attempts to exploit them without the </w:t>
      </w:r>
      <w:r w:rsidR="00BA0532">
        <w:rPr>
          <w:rStyle w:val="cf01"/>
          <w:rFonts w:ascii="Times New Roman" w:hAnsi="Times New Roman" w:cs="Times New Roman"/>
          <w:sz w:val="24"/>
          <w:szCs w:val="24"/>
        </w:rPr>
        <w:t xml:space="preserve">new </w:t>
      </w:r>
      <w:r w:rsidR="001C0541" w:rsidRPr="00365739">
        <w:rPr>
          <w:rStyle w:val="cf01"/>
          <w:rFonts w:ascii="Times New Roman" w:hAnsi="Times New Roman" w:cs="Times New Roman"/>
          <w:sz w:val="24"/>
          <w:szCs w:val="24"/>
        </w:rPr>
        <w:t xml:space="preserve">clarification. </w:t>
      </w:r>
      <w:r w:rsidRPr="000C6796">
        <w:rPr>
          <w:rFonts w:ascii="Times New Roman" w:eastAsia="Times New Roman" w:hAnsi="Times New Roman" w:cs="Times New Roman"/>
          <w:color w:val="0E101A"/>
          <w:sz w:val="24"/>
          <w:szCs w:val="24"/>
          <w:lang w:eastAsia="en-GB"/>
        </w:rPr>
        <w:t>The CRA (2015) has numerous advantages brought about by the consolidation of the scattered information available before</w:t>
      </w:r>
      <w:r w:rsidR="0059018E">
        <w:rPr>
          <w:rFonts w:ascii="Times New Roman" w:eastAsia="Times New Roman" w:hAnsi="Times New Roman" w:cs="Times New Roman"/>
          <w:color w:val="0E101A"/>
          <w:sz w:val="24"/>
          <w:szCs w:val="24"/>
          <w:lang w:eastAsia="en-GB"/>
        </w:rPr>
        <w:t>, with</w:t>
      </w:r>
      <w:r w:rsidRPr="000C6796">
        <w:rPr>
          <w:rFonts w:ascii="Times New Roman" w:eastAsia="Times New Roman" w:hAnsi="Times New Roman" w:cs="Times New Roman"/>
          <w:color w:val="0E101A"/>
          <w:sz w:val="24"/>
          <w:szCs w:val="24"/>
          <w:lang w:eastAsia="en-GB"/>
        </w:rPr>
        <w:t xml:space="preserve"> twelve separate pieces of legislation dealing with consumer </w:t>
      </w:r>
      <w:r w:rsidR="0059018E" w:rsidRPr="000C6796">
        <w:rPr>
          <w:rFonts w:ascii="Times New Roman" w:eastAsia="Times New Roman" w:hAnsi="Times New Roman" w:cs="Times New Roman"/>
          <w:color w:val="0E101A"/>
          <w:sz w:val="24"/>
          <w:szCs w:val="24"/>
          <w:lang w:eastAsia="en-GB"/>
        </w:rPr>
        <w:t>rights</w:t>
      </w:r>
      <w:r w:rsidR="0059018E">
        <w:rPr>
          <w:rFonts w:ascii="Times New Roman" w:eastAsia="Times New Roman" w:hAnsi="Times New Roman" w:cs="Times New Roman"/>
          <w:color w:val="0E101A"/>
          <w:sz w:val="24"/>
          <w:szCs w:val="24"/>
          <w:lang w:eastAsia="en-GB"/>
        </w:rPr>
        <w:t>,</w:t>
      </w:r>
      <w:r w:rsidRPr="000C6796">
        <w:rPr>
          <w:rFonts w:ascii="Times New Roman" w:eastAsia="Times New Roman" w:hAnsi="Times New Roman" w:cs="Times New Roman"/>
          <w:color w:val="0E101A"/>
          <w:sz w:val="24"/>
          <w:szCs w:val="24"/>
          <w:lang w:eastAsia="en-GB"/>
        </w:rPr>
        <w:t xml:space="preserve"> making a confusing patchwork resulting from developments in law over the three preceding decades. Although this outdated regime did offer adequate consumer protection, it was less than accessible and appeared fragmented, imprecise, and unnecessarily complex, leaving UK consumers unsure of their rights. There were also inconsistencies regarding EU and UK legislation and a more uniform approach was called for (TWIGG-FLESNER, 2015). </w:t>
      </w:r>
    </w:p>
    <w:p w14:paraId="7E30CE21" w14:textId="77777777" w:rsidR="000C6796" w:rsidRDefault="000C6796" w:rsidP="000C6796">
      <w:pPr>
        <w:spacing w:after="0" w:line="360" w:lineRule="auto"/>
        <w:jc w:val="both"/>
        <w:rPr>
          <w:rFonts w:ascii="Times New Roman" w:eastAsia="Times New Roman" w:hAnsi="Times New Roman" w:cs="Times New Roman"/>
          <w:color w:val="0E101A"/>
          <w:sz w:val="24"/>
          <w:szCs w:val="24"/>
          <w:lang w:eastAsia="en-GB"/>
        </w:rPr>
      </w:pPr>
    </w:p>
    <w:p w14:paraId="4AECB056" w14:textId="1F067365"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r w:rsidRPr="000C6796">
        <w:rPr>
          <w:rFonts w:ascii="Times New Roman" w:eastAsia="Times New Roman" w:hAnsi="Times New Roman" w:cs="Times New Roman"/>
          <w:color w:val="0E101A"/>
          <w:sz w:val="24"/>
          <w:szCs w:val="24"/>
          <w:lang w:eastAsia="en-GB"/>
        </w:rPr>
        <w:t>Regarding goods, the main change brought in by CRA (2015) has been the three-tier remedy system, replacing the old two-tier system contained within the Sale and Supply of Goods to Consumers Regulations (2002). The new system comes into effect if standards are breached by the trader. The</w:t>
      </w:r>
      <w:r w:rsidRPr="000C6796">
        <w:rPr>
          <w:rFonts w:ascii="Times New Roman" w:eastAsia="Times New Roman" w:hAnsi="Times New Roman" w:cs="Times New Roman"/>
          <w:b/>
          <w:bCs/>
          <w:color w:val="0E101A"/>
          <w:sz w:val="24"/>
          <w:szCs w:val="24"/>
          <w:lang w:eastAsia="en-GB"/>
        </w:rPr>
        <w:t> </w:t>
      </w:r>
      <w:r w:rsidRPr="000C6796">
        <w:rPr>
          <w:rFonts w:ascii="Times New Roman" w:eastAsia="Times New Roman" w:hAnsi="Times New Roman" w:cs="Times New Roman"/>
          <w:color w:val="0E101A"/>
          <w:sz w:val="24"/>
          <w:szCs w:val="24"/>
          <w:lang w:eastAsia="en-GB"/>
        </w:rPr>
        <w:t>Short term right to reject is the first of the three tiers and is a brand-new statutory remedy, allowing the consumer thirty days to return any goods still in a saleable condition for a refund and end the contract. The second is the right to repair or replace in a convenient amount of time, prioritising the consumer and causing them no additional cost.</w:t>
      </w:r>
      <w:r w:rsidR="00A93B93">
        <w:rPr>
          <w:rFonts w:ascii="Times New Roman" w:eastAsia="Times New Roman" w:hAnsi="Times New Roman" w:cs="Times New Roman"/>
          <w:color w:val="0E101A"/>
          <w:sz w:val="24"/>
          <w:szCs w:val="24"/>
          <w:lang w:eastAsia="en-GB"/>
        </w:rPr>
        <w:t xml:space="preserve"> </w:t>
      </w:r>
      <w:r w:rsidRPr="000C6796">
        <w:rPr>
          <w:rFonts w:ascii="Times New Roman" w:eastAsia="Times New Roman" w:hAnsi="Times New Roman" w:cs="Times New Roman"/>
          <w:color w:val="0E101A"/>
          <w:sz w:val="24"/>
          <w:szCs w:val="24"/>
          <w:lang w:eastAsia="en-GB"/>
        </w:rPr>
        <w:t xml:space="preserve">The last of the tiers is </w:t>
      </w:r>
      <w:r w:rsidRPr="000C6796">
        <w:rPr>
          <w:rFonts w:ascii="Times New Roman" w:eastAsia="Times New Roman" w:hAnsi="Times New Roman" w:cs="Times New Roman"/>
          <w:color w:val="0E101A"/>
          <w:sz w:val="24"/>
          <w:szCs w:val="24"/>
          <w:lang w:eastAsia="en-GB"/>
        </w:rPr>
        <w:lastRenderedPageBreak/>
        <w:t>the rejection of goods or price reduction with the consumer being in control of the decision. The aim of the replacement of previous legislation and the introduction of the new system is to ensure the consumer has as many rights as possible when purchasing goods (French, 2021). </w:t>
      </w:r>
    </w:p>
    <w:p w14:paraId="0FA1EB17" w14:textId="77777777" w:rsidR="000C6796" w:rsidRDefault="000C6796" w:rsidP="000C6796">
      <w:pPr>
        <w:spacing w:after="0" w:line="360" w:lineRule="auto"/>
        <w:jc w:val="both"/>
        <w:rPr>
          <w:rFonts w:ascii="Times New Roman" w:eastAsia="Times New Roman" w:hAnsi="Times New Roman" w:cs="Times New Roman"/>
          <w:color w:val="0E101A"/>
          <w:sz w:val="24"/>
          <w:szCs w:val="24"/>
          <w:lang w:eastAsia="en-GB"/>
        </w:rPr>
      </w:pPr>
    </w:p>
    <w:p w14:paraId="7535A97B" w14:textId="22C45678"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r w:rsidRPr="000C6796">
        <w:rPr>
          <w:rFonts w:ascii="Times New Roman" w:eastAsia="Times New Roman" w:hAnsi="Times New Roman" w:cs="Times New Roman"/>
          <w:color w:val="0E101A"/>
          <w:sz w:val="24"/>
          <w:szCs w:val="24"/>
          <w:lang w:eastAsia="en-GB"/>
        </w:rPr>
        <w:t xml:space="preserve">Concerning services, the new act introduces a two-tier system to remedy issues if they arise. The remedy of repeat performance states that should there be a lapse in compliance when the trader provides the service to the consumer, the service must be repeated. Additionally, this must be conducted within a time deemed reasonable and not cause inconvenience to the consumer. The second tier </w:t>
      </w:r>
      <w:r w:rsidR="00A93B93">
        <w:rPr>
          <w:rFonts w:ascii="Times New Roman" w:eastAsia="Times New Roman" w:hAnsi="Times New Roman" w:cs="Times New Roman"/>
          <w:color w:val="0E101A"/>
          <w:sz w:val="24"/>
          <w:szCs w:val="24"/>
          <w:lang w:eastAsia="en-GB"/>
        </w:rPr>
        <w:t>is</w:t>
      </w:r>
      <w:r w:rsidRPr="000C6796">
        <w:rPr>
          <w:rFonts w:ascii="Times New Roman" w:eastAsia="Times New Roman" w:hAnsi="Times New Roman" w:cs="Times New Roman"/>
          <w:color w:val="0E101A"/>
          <w:sz w:val="24"/>
          <w:szCs w:val="24"/>
          <w:lang w:eastAsia="en-GB"/>
        </w:rPr>
        <w:t xml:space="preserve"> price reduction, stating that if the criteria for repeat performance cannot be met, the consumer will get a partial refund. </w:t>
      </w:r>
    </w:p>
    <w:p w14:paraId="26B3D683" w14:textId="77777777"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p>
    <w:p w14:paraId="5C3918C2" w14:textId="1BA04378"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r w:rsidRPr="000C6796">
        <w:rPr>
          <w:rFonts w:ascii="Times New Roman" w:eastAsia="Times New Roman" w:hAnsi="Times New Roman" w:cs="Times New Roman"/>
          <w:color w:val="0E101A"/>
          <w:sz w:val="24"/>
          <w:szCs w:val="24"/>
          <w:lang w:eastAsia="en-GB"/>
        </w:rPr>
        <w:t xml:space="preserve">A drawback of the CRA (2015) is that consumer rights are still slightly scattered, meaning the act neglects to consolidate all provisions, with some from the Sale of Goods Act (1979) remaining, in addition to certain cancellation rights regarding distance contracts, meaning that consumer law remains complex and the objective to centralise all provisions has not been entirely achieved (Morgan, 2015). The act has had implications for businesses and introduced the requirement for additional planning and transparency. Businesses have been required to change their policies and ensure their sales practices and standard terms are </w:t>
      </w:r>
      <w:r w:rsidR="00960164">
        <w:rPr>
          <w:rFonts w:ascii="Times New Roman" w:eastAsia="Times New Roman" w:hAnsi="Times New Roman" w:cs="Times New Roman"/>
          <w:color w:val="0E101A"/>
          <w:sz w:val="24"/>
          <w:szCs w:val="24"/>
          <w:lang w:eastAsia="en-GB"/>
        </w:rPr>
        <w:t>prioritised</w:t>
      </w:r>
      <w:r w:rsidRPr="000C6796">
        <w:rPr>
          <w:rFonts w:ascii="Times New Roman" w:eastAsia="Times New Roman" w:hAnsi="Times New Roman" w:cs="Times New Roman"/>
          <w:color w:val="0E101A"/>
          <w:sz w:val="24"/>
          <w:szCs w:val="24"/>
          <w:lang w:eastAsia="en-GB"/>
        </w:rPr>
        <w:t>, as failing to do so will result in falling short of the required regulations</w:t>
      </w:r>
      <w:r w:rsidR="00960164">
        <w:rPr>
          <w:rFonts w:ascii="Times New Roman" w:eastAsia="Times New Roman" w:hAnsi="Times New Roman" w:cs="Times New Roman"/>
          <w:color w:val="0E101A"/>
          <w:sz w:val="24"/>
          <w:szCs w:val="24"/>
          <w:lang w:eastAsia="en-GB"/>
        </w:rPr>
        <w:t>, introducing</w:t>
      </w:r>
      <w:r w:rsidRPr="000C6796">
        <w:rPr>
          <w:rFonts w:ascii="Times New Roman" w:eastAsia="Times New Roman" w:hAnsi="Times New Roman" w:cs="Times New Roman"/>
          <w:color w:val="0E101A"/>
          <w:sz w:val="24"/>
          <w:szCs w:val="24"/>
          <w:lang w:eastAsia="en-GB"/>
        </w:rPr>
        <w:t xml:space="preserve"> a level of legal risk into the business (Rodger, 2015). Previous legislation allowed the trader the right to refuse a replacement or repair, however, the CRA (2015) terminates this right and leaves the trader with little control, meaning this may prove both inconvenient and potentially costly to businesses. However, from a consumer perspective, this is a positive and may encourage more spending as the risk is lower. The act also intends to mitigate </w:t>
      </w:r>
      <w:r w:rsidR="00E67E73" w:rsidRPr="000C6796">
        <w:rPr>
          <w:rFonts w:ascii="Times New Roman" w:eastAsia="Times New Roman" w:hAnsi="Times New Roman" w:cs="Times New Roman"/>
          <w:color w:val="0E101A"/>
          <w:sz w:val="24"/>
          <w:szCs w:val="24"/>
          <w:lang w:eastAsia="en-GB"/>
        </w:rPr>
        <w:t>disputes and</w:t>
      </w:r>
      <w:r w:rsidRPr="000C6796">
        <w:rPr>
          <w:rFonts w:ascii="Times New Roman" w:eastAsia="Times New Roman" w:hAnsi="Times New Roman" w:cs="Times New Roman"/>
          <w:color w:val="0E101A"/>
          <w:sz w:val="24"/>
          <w:szCs w:val="24"/>
          <w:lang w:eastAsia="en-GB"/>
        </w:rPr>
        <w:t xml:space="preserve"> aims to offer consumers alternative ways to address concerns by offering resolutions that do not require court involvement (</w:t>
      </w:r>
      <w:proofErr w:type="spellStart"/>
      <w:r w:rsidRPr="000C6796">
        <w:rPr>
          <w:rFonts w:ascii="Times New Roman" w:eastAsia="Times New Roman" w:hAnsi="Times New Roman" w:cs="Times New Roman"/>
          <w:color w:val="0E101A"/>
          <w:sz w:val="24"/>
          <w:szCs w:val="24"/>
          <w:lang w:eastAsia="en-GB"/>
        </w:rPr>
        <w:t>Scown</w:t>
      </w:r>
      <w:proofErr w:type="spellEnd"/>
      <w:r w:rsidRPr="000C6796">
        <w:rPr>
          <w:rFonts w:ascii="Times New Roman" w:eastAsia="Times New Roman" w:hAnsi="Times New Roman" w:cs="Times New Roman"/>
          <w:color w:val="0E101A"/>
          <w:sz w:val="24"/>
          <w:szCs w:val="24"/>
          <w:lang w:eastAsia="en-GB"/>
        </w:rPr>
        <w:t>, 2021). </w:t>
      </w:r>
    </w:p>
    <w:p w14:paraId="1577BB06" w14:textId="77777777"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p>
    <w:p w14:paraId="2D4E81EA" w14:textId="1135DFD6"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r w:rsidRPr="000C6796">
        <w:rPr>
          <w:rFonts w:ascii="Times New Roman" w:eastAsia="Times New Roman" w:hAnsi="Times New Roman" w:cs="Times New Roman"/>
          <w:color w:val="0E101A"/>
          <w:sz w:val="24"/>
          <w:szCs w:val="24"/>
          <w:lang w:eastAsia="en-GB"/>
        </w:rPr>
        <w:t xml:space="preserve">In October 2015, it was widely speculated that the CRA (2015) would overhaul the way consumers and businesses interacted, by solidifying and simplifying the rights both had, making the relationship between them stronger and more affluent. One of the main provisions </w:t>
      </w:r>
      <w:r w:rsidR="00614824">
        <w:rPr>
          <w:rFonts w:ascii="Times New Roman" w:eastAsia="Times New Roman" w:hAnsi="Times New Roman" w:cs="Times New Roman"/>
          <w:color w:val="0E101A"/>
          <w:sz w:val="24"/>
          <w:szCs w:val="24"/>
          <w:lang w:eastAsia="en-GB"/>
        </w:rPr>
        <w:t xml:space="preserve">being </w:t>
      </w:r>
      <w:r w:rsidRPr="000C6796">
        <w:rPr>
          <w:rFonts w:ascii="Times New Roman" w:eastAsia="Times New Roman" w:hAnsi="Times New Roman" w:cs="Times New Roman"/>
          <w:color w:val="0E101A"/>
          <w:sz w:val="24"/>
          <w:szCs w:val="24"/>
          <w:lang w:eastAsia="en-GB"/>
        </w:rPr>
        <w:t xml:space="preserve">to modernise its structure, </w:t>
      </w:r>
      <w:r w:rsidR="00614824">
        <w:rPr>
          <w:rFonts w:ascii="Times New Roman" w:eastAsia="Times New Roman" w:hAnsi="Times New Roman" w:cs="Times New Roman"/>
          <w:color w:val="0E101A"/>
          <w:sz w:val="24"/>
          <w:szCs w:val="24"/>
          <w:lang w:eastAsia="en-GB"/>
        </w:rPr>
        <w:t>allowing</w:t>
      </w:r>
      <w:r w:rsidRPr="000C6796">
        <w:rPr>
          <w:rFonts w:ascii="Times New Roman" w:eastAsia="Times New Roman" w:hAnsi="Times New Roman" w:cs="Times New Roman"/>
          <w:color w:val="0E101A"/>
          <w:sz w:val="24"/>
          <w:szCs w:val="24"/>
          <w:lang w:eastAsia="en-GB"/>
        </w:rPr>
        <w:t xml:space="preserve"> for growth in the sale of digital services or content, with the new law protecting the consumer’s cancellation rights through online trading, as well as physical trading (Gov.UK, 2015). According to Citizen’s advice (2015), The law can now be understood more easily and is more user friendly. When problems arise, they can be </w:t>
      </w:r>
      <w:r w:rsidRPr="000C6796">
        <w:rPr>
          <w:rFonts w:ascii="Times New Roman" w:eastAsia="Times New Roman" w:hAnsi="Times New Roman" w:cs="Times New Roman"/>
          <w:color w:val="0E101A"/>
          <w:sz w:val="24"/>
          <w:szCs w:val="24"/>
          <w:lang w:eastAsia="en-GB"/>
        </w:rPr>
        <w:lastRenderedPageBreak/>
        <w:t>addressed quicker and cheaper than the previous legislation allowed for, allowing customers to buy from companies with new confidence. However, while the introduction of the act significantly consolidated existing statutes, it could be argued that its introduction did not have the desired expected impact. The CRA (2015) did clarify laws on consumer rights and successfully added modernisations such as the exploration of digital content regulations and consumer rights, although these are still vague and confusing in some areas (</w:t>
      </w:r>
      <w:proofErr w:type="spellStart"/>
      <w:r w:rsidRPr="000C6796">
        <w:rPr>
          <w:rFonts w:ascii="Times New Roman" w:eastAsia="Times New Roman" w:hAnsi="Times New Roman" w:cs="Times New Roman"/>
          <w:color w:val="0E101A"/>
          <w:sz w:val="24"/>
          <w:szCs w:val="24"/>
          <w:lang w:eastAsia="en-GB"/>
        </w:rPr>
        <w:t>Vinters</w:t>
      </w:r>
      <w:proofErr w:type="spellEnd"/>
      <w:r w:rsidRPr="000C6796">
        <w:rPr>
          <w:rFonts w:ascii="Times New Roman" w:eastAsia="Times New Roman" w:hAnsi="Times New Roman" w:cs="Times New Roman"/>
          <w:color w:val="0E101A"/>
          <w:sz w:val="24"/>
          <w:szCs w:val="24"/>
          <w:lang w:eastAsia="en-GB"/>
        </w:rPr>
        <w:t>, 2017). Additionally, despite the CRA (2015) having the intention of presenting a consolidated piece of legislation, there remains certain legislation that still needs to be combined with the act to produce a full view of consumer rights, namely Consumer Contracts (Information, Cancellation and Additional Charges) Regulations 2013 and the Consumer Protection Act 1987 (Conklin, 2019). This means the framework is not as concise as one would have hoped and can still be confusing for consumers, making it only truly understandable to those with comprehensive knowledge of how it works and where to look (Higgins, 2016). This contradicts the main aim of the act to simplify understanding for the typical consumer and make legislation easier to understand. Therefore, an improvement would be to incorporate the remaining legislation and create one piece of legislation that can be completely applied to all consumer to business relationship conduct. Even with these shortcomings, the CRA (2015) has significantly improved areas of consumer law and does fulfil the objective to protect the average shopper in a way that they were not protected with previous legislation. The new act covers additional blind spots in the previous statute, including protection against faulty products and goods that have a defective nature</w:t>
      </w:r>
      <w:r w:rsidR="00B234F2">
        <w:rPr>
          <w:rFonts w:ascii="Times New Roman" w:eastAsia="Times New Roman" w:hAnsi="Times New Roman" w:cs="Times New Roman"/>
          <w:color w:val="0E101A"/>
          <w:sz w:val="24"/>
          <w:szCs w:val="24"/>
          <w:lang w:eastAsia="en-GB"/>
        </w:rPr>
        <w:t xml:space="preserve"> and</w:t>
      </w:r>
      <w:r w:rsidRPr="000C6796">
        <w:rPr>
          <w:rFonts w:ascii="Times New Roman" w:eastAsia="Times New Roman" w:hAnsi="Times New Roman" w:cs="Times New Roman"/>
          <w:color w:val="0E101A"/>
          <w:sz w:val="24"/>
          <w:szCs w:val="24"/>
          <w:lang w:eastAsia="en-GB"/>
        </w:rPr>
        <w:t xml:space="preserve"> the way disputes are dealt with which has been reformed and improved (Politics, 2022). </w:t>
      </w:r>
    </w:p>
    <w:p w14:paraId="68D5D294" w14:textId="77777777" w:rsidR="000C6796" w:rsidRDefault="000C6796" w:rsidP="000C6796">
      <w:pPr>
        <w:spacing w:after="0" w:line="360" w:lineRule="auto"/>
        <w:jc w:val="both"/>
        <w:rPr>
          <w:rFonts w:ascii="Times New Roman" w:eastAsia="Times New Roman" w:hAnsi="Times New Roman" w:cs="Times New Roman"/>
          <w:color w:val="0E101A"/>
          <w:sz w:val="24"/>
          <w:szCs w:val="24"/>
          <w:lang w:eastAsia="en-GB"/>
        </w:rPr>
      </w:pPr>
    </w:p>
    <w:p w14:paraId="37DAB258" w14:textId="4064761A" w:rsidR="000C6796" w:rsidRPr="000C6796" w:rsidRDefault="000C6796" w:rsidP="000C6796">
      <w:pPr>
        <w:spacing w:after="0" w:line="360" w:lineRule="auto"/>
        <w:jc w:val="both"/>
        <w:rPr>
          <w:rFonts w:ascii="Times New Roman" w:eastAsia="Times New Roman" w:hAnsi="Times New Roman" w:cs="Times New Roman"/>
          <w:color w:val="0E101A"/>
          <w:sz w:val="24"/>
          <w:szCs w:val="24"/>
          <w:lang w:eastAsia="en-GB"/>
        </w:rPr>
      </w:pPr>
      <w:r w:rsidRPr="000C6796">
        <w:rPr>
          <w:rFonts w:ascii="Times New Roman" w:eastAsia="Times New Roman" w:hAnsi="Times New Roman" w:cs="Times New Roman"/>
          <w:color w:val="0E101A"/>
          <w:sz w:val="24"/>
          <w:szCs w:val="24"/>
          <w:lang w:eastAsia="en-GB"/>
        </w:rPr>
        <w:t>The consumer rights act (2015) has introduced a new era for businesses and consumers and although it has successfully addressed numerous shortcomings within consumer rights law, it has not completely transformed legislation as it had hoped. It can be determined that the reforms in legislation have made understanding the laws and appropriate remedies more accessible for businesses and consumers alike. However, some of the changes could now be deemed as confusing. New consumer rights can only be applied and useful if consumers are aware of them</w:t>
      </w:r>
      <w:r w:rsidR="00CD7C3F">
        <w:rPr>
          <w:rFonts w:ascii="Times New Roman" w:eastAsia="Times New Roman" w:hAnsi="Times New Roman" w:cs="Times New Roman"/>
          <w:color w:val="0E101A"/>
          <w:sz w:val="24"/>
          <w:szCs w:val="24"/>
          <w:lang w:eastAsia="en-GB"/>
        </w:rPr>
        <w:t>,</w:t>
      </w:r>
      <w:r w:rsidRPr="000C6796">
        <w:rPr>
          <w:rFonts w:ascii="Times New Roman" w:eastAsia="Times New Roman" w:hAnsi="Times New Roman" w:cs="Times New Roman"/>
          <w:color w:val="0E101A"/>
          <w:sz w:val="24"/>
          <w:szCs w:val="24"/>
          <w:lang w:eastAsia="en-GB"/>
        </w:rPr>
        <w:t xml:space="preserve"> </w:t>
      </w:r>
      <w:r w:rsidR="00A93B93">
        <w:rPr>
          <w:rFonts w:ascii="Times New Roman" w:eastAsia="Times New Roman" w:hAnsi="Times New Roman" w:cs="Times New Roman"/>
          <w:color w:val="0E101A"/>
          <w:sz w:val="24"/>
          <w:szCs w:val="24"/>
          <w:lang w:eastAsia="en-GB"/>
        </w:rPr>
        <w:t>but those</w:t>
      </w:r>
      <w:r w:rsidRPr="000C6796">
        <w:rPr>
          <w:rFonts w:ascii="Times New Roman" w:eastAsia="Times New Roman" w:hAnsi="Times New Roman" w:cs="Times New Roman"/>
          <w:color w:val="0E101A"/>
          <w:sz w:val="24"/>
          <w:szCs w:val="24"/>
          <w:lang w:eastAsia="en-GB"/>
        </w:rPr>
        <w:t xml:space="preserve"> who know their rights are </w:t>
      </w:r>
      <w:r w:rsidR="00A93B93" w:rsidRPr="000C6796">
        <w:rPr>
          <w:rFonts w:ascii="Times New Roman" w:eastAsia="Times New Roman" w:hAnsi="Times New Roman" w:cs="Times New Roman"/>
          <w:color w:val="0E101A"/>
          <w:sz w:val="24"/>
          <w:szCs w:val="24"/>
          <w:lang w:eastAsia="en-GB"/>
        </w:rPr>
        <w:t>better</w:t>
      </w:r>
      <w:r w:rsidRPr="000C6796">
        <w:rPr>
          <w:rFonts w:ascii="Times New Roman" w:eastAsia="Times New Roman" w:hAnsi="Times New Roman" w:cs="Times New Roman"/>
          <w:color w:val="0E101A"/>
          <w:sz w:val="24"/>
          <w:szCs w:val="24"/>
          <w:lang w:eastAsia="en-GB"/>
        </w:rPr>
        <w:t xml:space="preserve"> protected than they were in the past. </w:t>
      </w:r>
      <w:r w:rsidR="00BB5071" w:rsidRPr="000C6796">
        <w:rPr>
          <w:rFonts w:ascii="Times New Roman" w:eastAsia="Times New Roman" w:hAnsi="Times New Roman" w:cs="Times New Roman"/>
          <w:color w:val="0E101A"/>
          <w:sz w:val="24"/>
          <w:szCs w:val="24"/>
          <w:lang w:eastAsia="en-GB"/>
        </w:rPr>
        <w:t xml:space="preserve">The CRA (2015) has fundamentally changed the business to consumer relationship by condensing and consolidating existing laws that had been previously dispersed over separate regulations and statutes. </w:t>
      </w:r>
    </w:p>
    <w:p w14:paraId="06CA808E" w14:textId="77777777" w:rsidR="00E67E73" w:rsidRDefault="00E67E73">
      <w:pPr>
        <w:rPr>
          <w:rFonts w:ascii="Times New Roman" w:hAnsi="Times New Roman" w:cs="Times New Roman"/>
          <w:sz w:val="24"/>
          <w:szCs w:val="24"/>
          <w:u w:val="single"/>
        </w:rPr>
      </w:pPr>
    </w:p>
    <w:p w14:paraId="3E68C6BB" w14:textId="6E4922D7" w:rsidR="00B826F3" w:rsidRDefault="001F1160">
      <w:pPr>
        <w:rPr>
          <w:rFonts w:ascii="Times New Roman" w:hAnsi="Times New Roman" w:cs="Times New Roman"/>
          <w:sz w:val="24"/>
          <w:szCs w:val="24"/>
          <w:u w:val="single"/>
        </w:rPr>
      </w:pPr>
      <w:r w:rsidRPr="001F1160">
        <w:rPr>
          <w:rFonts w:ascii="Times New Roman" w:hAnsi="Times New Roman" w:cs="Times New Roman"/>
          <w:sz w:val="24"/>
          <w:szCs w:val="24"/>
          <w:u w:val="single"/>
        </w:rPr>
        <w:lastRenderedPageBreak/>
        <w:t>Reference List</w:t>
      </w:r>
    </w:p>
    <w:p w14:paraId="357CBE05" w14:textId="0D92A6ED" w:rsidR="00B826F3" w:rsidRDefault="00B826F3">
      <w:pPr>
        <w:rPr>
          <w:rFonts w:ascii="Times New Roman" w:hAnsi="Times New Roman" w:cs="Times New Roman"/>
          <w:sz w:val="24"/>
          <w:szCs w:val="24"/>
          <w:u w:val="single"/>
        </w:rPr>
      </w:pPr>
    </w:p>
    <w:p w14:paraId="4E1A9528" w14:textId="7521466C" w:rsidR="00B826F3" w:rsidRPr="00B826F3" w:rsidRDefault="00B826F3" w:rsidP="00B826F3">
      <w:pPr>
        <w:pStyle w:val="Bibliography"/>
        <w:rPr>
          <w:noProof/>
        </w:rPr>
      </w:pPr>
      <w:r>
        <w:rPr>
          <w:noProof/>
        </w:rPr>
        <w:t xml:space="preserve">Ariyaratna, R., 2022. Consumer Rights in the Context of Human Rights: A Legal Analysis. </w:t>
      </w:r>
      <w:r>
        <w:rPr>
          <w:i/>
          <w:iCs/>
          <w:noProof/>
        </w:rPr>
        <w:t xml:space="preserve">KDU Law Journal, </w:t>
      </w:r>
      <w:r>
        <w:rPr>
          <w:noProof/>
        </w:rPr>
        <w:t>2(1), pp. 25-40.</w:t>
      </w:r>
    </w:p>
    <w:p w14:paraId="337AD7D1" w14:textId="71E18276" w:rsidR="00F2773A" w:rsidRPr="00743B41" w:rsidRDefault="00F2773A" w:rsidP="00F2773A">
      <w:pPr>
        <w:pStyle w:val="Bibliography"/>
        <w:rPr>
          <w:noProof/>
          <w:sz w:val="24"/>
          <w:szCs w:val="24"/>
        </w:rPr>
      </w:pPr>
      <w:r>
        <w:fldChar w:fldCharType="begin"/>
      </w:r>
      <w:r>
        <w:instrText xml:space="preserve"> BIBLIOGRAPHY  \l 2057 </w:instrText>
      </w:r>
      <w:r>
        <w:fldChar w:fldCharType="separate"/>
      </w:r>
      <w:r>
        <w:rPr>
          <w:noProof/>
        </w:rPr>
        <w:t xml:space="preserve">Ashurst, 2015. </w:t>
      </w:r>
      <w:r>
        <w:rPr>
          <w:i/>
          <w:iCs/>
          <w:noProof/>
        </w:rPr>
        <w:t xml:space="preserve">What's in a name? CRA 2015: the overhaul of the consumer rights regime in the UK. </w:t>
      </w:r>
      <w:r>
        <w:rPr>
          <w:noProof/>
        </w:rPr>
        <w:t xml:space="preserve">[Online] </w:t>
      </w:r>
      <w:r>
        <w:rPr>
          <w:noProof/>
        </w:rPr>
        <w:br/>
        <w:t xml:space="preserve">Available at: </w:t>
      </w:r>
      <w:r>
        <w:rPr>
          <w:noProof/>
          <w:u w:val="single"/>
        </w:rPr>
        <w:t xml:space="preserve">https://www.ashurst.com/en/news-and-insights/legal-updates/whats-in-a-name-cra-2015-the-overhaul-of-the-consumer-rights-regime-in-the-uk/?msclkid=70e00674b38a11ec988df1f7fc7f513b </w:t>
      </w:r>
      <w:r>
        <w:rPr>
          <w:noProof/>
        </w:rPr>
        <w:t>[Accessed 04 04 2022].</w:t>
      </w:r>
    </w:p>
    <w:p w14:paraId="3353C286" w14:textId="77777777" w:rsidR="00F2773A" w:rsidRPr="00B826F3" w:rsidRDefault="00F2773A" w:rsidP="00F2773A">
      <w:pPr>
        <w:shd w:val="clear" w:color="auto" w:fill="FFFFFF"/>
        <w:spacing w:before="100" w:beforeAutospacing="1" w:after="100" w:afterAutospacing="1" w:line="240" w:lineRule="auto"/>
        <w:rPr>
          <w:rFonts w:ascii="Times New Roman" w:eastAsia="Times New Roman" w:hAnsi="Times New Roman" w:cs="Times New Roman"/>
          <w:color w:val="212529"/>
          <w:sz w:val="24"/>
          <w:szCs w:val="24"/>
          <w:lang w:eastAsia="en-GB"/>
        </w:rPr>
      </w:pPr>
      <w:r w:rsidRPr="00B826F3">
        <w:rPr>
          <w:rFonts w:ascii="Times New Roman" w:eastAsia="Times New Roman" w:hAnsi="Times New Roman" w:cs="Times New Roman"/>
          <w:color w:val="212529"/>
          <w:sz w:val="24"/>
          <w:szCs w:val="24"/>
          <w:lang w:eastAsia="en-GB"/>
        </w:rPr>
        <w:t>Bray, O., and Kerry, B., ‘</w:t>
      </w:r>
      <w:r w:rsidRPr="00B826F3">
        <w:rPr>
          <w:rFonts w:ascii="Times New Roman" w:eastAsia="Times New Roman" w:hAnsi="Times New Roman" w:cs="Times New Roman"/>
          <w:i/>
          <w:iCs/>
          <w:color w:val="212529"/>
          <w:sz w:val="24"/>
          <w:szCs w:val="24"/>
          <w:lang w:eastAsia="en-GB"/>
        </w:rPr>
        <w:t>Digital content under the Consumer Rights Act 2015</w:t>
      </w:r>
      <w:r w:rsidRPr="00B826F3">
        <w:rPr>
          <w:rFonts w:ascii="Times New Roman" w:eastAsia="Times New Roman" w:hAnsi="Times New Roman" w:cs="Times New Roman"/>
          <w:color w:val="212529"/>
          <w:sz w:val="24"/>
          <w:szCs w:val="24"/>
          <w:lang w:eastAsia="en-GB"/>
        </w:rPr>
        <w:t>’ (2015) Entertainment Law Review, 26(8), 271-273</w:t>
      </w:r>
    </w:p>
    <w:p w14:paraId="7B031807" w14:textId="18979CC4" w:rsidR="00F2773A" w:rsidRPr="00B826F3" w:rsidRDefault="00F2773A" w:rsidP="00F2773A">
      <w:pPr>
        <w:shd w:val="clear" w:color="auto" w:fill="FFFFFF"/>
        <w:spacing w:before="100" w:beforeAutospacing="1" w:after="100" w:afterAutospacing="1" w:line="240" w:lineRule="auto"/>
        <w:rPr>
          <w:rFonts w:ascii="Times New Roman" w:eastAsia="Times New Roman" w:hAnsi="Times New Roman" w:cs="Times New Roman"/>
          <w:color w:val="212529"/>
          <w:sz w:val="24"/>
          <w:szCs w:val="24"/>
          <w:lang w:eastAsia="en-GB"/>
        </w:rPr>
      </w:pPr>
      <w:r w:rsidRPr="00B826F3">
        <w:rPr>
          <w:rFonts w:ascii="Times New Roman" w:eastAsia="Times New Roman" w:hAnsi="Times New Roman" w:cs="Times New Roman"/>
          <w:color w:val="212529"/>
          <w:sz w:val="24"/>
          <w:szCs w:val="24"/>
          <w:lang w:eastAsia="en-GB"/>
        </w:rPr>
        <w:t>Cartlidge, H. and Davies, L., ‘</w:t>
      </w:r>
      <w:r w:rsidRPr="00B826F3">
        <w:rPr>
          <w:rFonts w:ascii="Times New Roman" w:eastAsia="Times New Roman" w:hAnsi="Times New Roman" w:cs="Times New Roman"/>
          <w:i/>
          <w:iCs/>
          <w:color w:val="212529"/>
          <w:sz w:val="24"/>
          <w:szCs w:val="24"/>
          <w:lang w:eastAsia="en-GB"/>
        </w:rPr>
        <w:t>UK Consumer Rights Act 2015: reforms to the private enforcement of competition law’</w:t>
      </w:r>
      <w:r w:rsidRPr="00B826F3">
        <w:rPr>
          <w:rFonts w:ascii="Times New Roman" w:eastAsia="Times New Roman" w:hAnsi="Times New Roman" w:cs="Times New Roman"/>
          <w:color w:val="212529"/>
          <w:sz w:val="24"/>
          <w:szCs w:val="24"/>
          <w:lang w:eastAsia="en-GB"/>
        </w:rPr>
        <w:t xml:space="preserve"> (2015) Compliance and Risk, 4(6)  </w:t>
      </w:r>
    </w:p>
    <w:p w14:paraId="5A36E089" w14:textId="77777777" w:rsidR="00B826F3" w:rsidRDefault="00B826F3" w:rsidP="00B826F3">
      <w:pPr>
        <w:pStyle w:val="Bibliography"/>
        <w:rPr>
          <w:noProof/>
          <w:sz w:val="24"/>
          <w:szCs w:val="24"/>
        </w:rPr>
      </w:pPr>
      <w:r>
        <w:rPr>
          <w:noProof/>
        </w:rPr>
        <w:t xml:space="preserve">Citizens Advice, 2015. </w:t>
      </w:r>
      <w:r>
        <w:rPr>
          <w:i/>
          <w:iCs/>
          <w:noProof/>
        </w:rPr>
        <w:t xml:space="preserve">The Consumer Rights Act 2015 - What I need to know. </w:t>
      </w:r>
      <w:r>
        <w:rPr>
          <w:noProof/>
        </w:rPr>
        <w:t xml:space="preserve">[Online] </w:t>
      </w:r>
      <w:r>
        <w:rPr>
          <w:noProof/>
        </w:rPr>
        <w:br/>
        <w:t xml:space="preserve">Available at: </w:t>
      </w:r>
      <w:r>
        <w:rPr>
          <w:noProof/>
          <w:u w:val="single"/>
        </w:rPr>
        <w:t>https://www.citizensadvice.org.uk/the-consumer-rights-act-2015/?msclkid=fac54188b13611eca5efbb66831bc3df</w:t>
      </w:r>
      <w:r>
        <w:rPr>
          <w:noProof/>
        </w:rPr>
        <w:br/>
        <w:t>[Accessed 31 3 2022].</w:t>
      </w:r>
    </w:p>
    <w:p w14:paraId="0AB638E8" w14:textId="77777777" w:rsidR="00F2773A" w:rsidRDefault="00F2773A" w:rsidP="00F2773A">
      <w:pPr>
        <w:pStyle w:val="Bibliography"/>
        <w:rPr>
          <w:noProof/>
        </w:rPr>
      </w:pPr>
      <w:r>
        <w:rPr>
          <w:noProof/>
        </w:rPr>
        <w:t xml:space="preserve">Conklin, K., Hyde, R. &amp; Parente, F., 2019. Assessing plain and intelligible language in the Consumer Rights Act: a role for reading scores?. </w:t>
      </w:r>
      <w:r>
        <w:rPr>
          <w:i/>
          <w:iCs/>
          <w:noProof/>
        </w:rPr>
        <w:t xml:space="preserve">Legal studies (Society of Legal Scholars), </w:t>
      </w:r>
      <w:r>
        <w:rPr>
          <w:noProof/>
        </w:rPr>
        <w:t>39(3), pp. 378-397.</w:t>
      </w:r>
    </w:p>
    <w:p w14:paraId="0BB1D6CE" w14:textId="77777777" w:rsidR="00F2773A" w:rsidRDefault="00F2773A" w:rsidP="00F2773A">
      <w:pPr>
        <w:pStyle w:val="Bibliography"/>
        <w:rPr>
          <w:noProof/>
        </w:rPr>
      </w:pPr>
      <w:r>
        <w:rPr>
          <w:noProof/>
        </w:rPr>
        <w:t xml:space="preserve">French, A., 2021. </w:t>
      </w:r>
      <w:r>
        <w:rPr>
          <w:i/>
          <w:iCs/>
          <w:noProof/>
        </w:rPr>
        <w:t xml:space="preserve">Consumer Rights Act 2015- The Consumer Rights Act protects you in almost all purchases you make. Here we explain what it means when buying goods or services. </w:t>
      </w:r>
      <w:r>
        <w:rPr>
          <w:noProof/>
        </w:rPr>
        <w:t xml:space="preserve">[Online] </w:t>
      </w:r>
      <w:r>
        <w:rPr>
          <w:noProof/>
        </w:rPr>
        <w:br/>
        <w:t xml:space="preserve">Available at: </w:t>
      </w:r>
      <w:r>
        <w:rPr>
          <w:noProof/>
          <w:u w:val="single"/>
        </w:rPr>
        <w:t>https://www.which.co.uk/consumer-rights/regulation/consumer-rights-act-aKJYx8n5KiSl?msclkid=cba6fb93b4ff11ecaa8063635ac054a0</w:t>
      </w:r>
      <w:r>
        <w:rPr>
          <w:noProof/>
        </w:rPr>
        <w:br/>
        <w:t>[Accessed 09 04 2022].</w:t>
      </w:r>
    </w:p>
    <w:p w14:paraId="2EFF87F6" w14:textId="22248DBE" w:rsidR="00F2773A" w:rsidRPr="00F2773A" w:rsidRDefault="00F2773A" w:rsidP="00F2773A">
      <w:pPr>
        <w:pStyle w:val="Bibliography"/>
        <w:rPr>
          <w:noProof/>
        </w:rPr>
      </w:pPr>
      <w:r>
        <w:rPr>
          <w:noProof/>
        </w:rPr>
        <w:t xml:space="preserve">Giliker, P., 2017. The Consumer Rights Act 2015 – a bastion of European consumer rights?. </w:t>
      </w:r>
      <w:r>
        <w:rPr>
          <w:i/>
          <w:iCs/>
          <w:noProof/>
        </w:rPr>
        <w:t xml:space="preserve">Legal studies (Society of Legal Scholars), </w:t>
      </w:r>
      <w:r>
        <w:rPr>
          <w:noProof/>
        </w:rPr>
        <w:t>37(1), pp. 78-102.</w:t>
      </w:r>
    </w:p>
    <w:p w14:paraId="146BC7EB" w14:textId="16B011E9" w:rsidR="00F2773A" w:rsidRDefault="00245E2C" w:rsidP="00F2773A">
      <w:pPr>
        <w:pStyle w:val="Bibliography"/>
        <w:rPr>
          <w:noProof/>
        </w:rPr>
      </w:pPr>
      <w:r>
        <w:rPr>
          <w:noProof/>
        </w:rPr>
        <w:t>UK Government</w:t>
      </w:r>
      <w:r w:rsidR="00F2773A">
        <w:rPr>
          <w:noProof/>
        </w:rPr>
        <w:t xml:space="preserve">, 2015. </w:t>
      </w:r>
      <w:r w:rsidR="00F2773A">
        <w:rPr>
          <w:i/>
          <w:iCs/>
          <w:noProof/>
        </w:rPr>
        <w:t xml:space="preserve">Consumer Rights Act 2015. </w:t>
      </w:r>
      <w:r w:rsidR="00F2773A">
        <w:rPr>
          <w:noProof/>
        </w:rPr>
        <w:t xml:space="preserve">[Online] </w:t>
      </w:r>
      <w:r w:rsidR="00F2773A">
        <w:rPr>
          <w:noProof/>
        </w:rPr>
        <w:br/>
        <w:t xml:space="preserve">Available at: </w:t>
      </w:r>
      <w:r w:rsidR="00F2773A">
        <w:rPr>
          <w:noProof/>
          <w:u w:val="single"/>
        </w:rPr>
        <w:t>https://www.legislation.gov.uk/ukpga/2015/15/pdfs/ukpga_20150015_en.pdf?msclkid=8e720673b13511eca34486f1439bf986</w:t>
      </w:r>
      <w:r w:rsidR="00F2773A">
        <w:rPr>
          <w:noProof/>
        </w:rPr>
        <w:br/>
        <w:t>[Accessed 31 3 2022].</w:t>
      </w:r>
    </w:p>
    <w:p w14:paraId="05E14D74" w14:textId="5944F784" w:rsidR="00F2773A" w:rsidRDefault="00F2773A" w:rsidP="00F2773A">
      <w:pPr>
        <w:pStyle w:val="Bibliography"/>
        <w:rPr>
          <w:noProof/>
        </w:rPr>
      </w:pPr>
      <w:r>
        <w:rPr>
          <w:noProof/>
        </w:rPr>
        <w:t xml:space="preserve">Higgins, A., 2016. Driving with the Handbrake On: Competition Class Actions under the Consumer Rights Act 2015. </w:t>
      </w:r>
      <w:r>
        <w:rPr>
          <w:i/>
          <w:iCs/>
          <w:noProof/>
        </w:rPr>
        <w:t xml:space="preserve">Modern Law Review, </w:t>
      </w:r>
      <w:r>
        <w:rPr>
          <w:noProof/>
        </w:rPr>
        <w:t>79(3), pp. 442-467.</w:t>
      </w:r>
    </w:p>
    <w:p w14:paraId="45D86290" w14:textId="46DA20D7" w:rsidR="00B826F3" w:rsidRPr="00B826F3" w:rsidRDefault="00B826F3" w:rsidP="00B826F3">
      <w:pPr>
        <w:pStyle w:val="Bibliography"/>
        <w:rPr>
          <w:noProof/>
        </w:rPr>
      </w:pPr>
      <w:r>
        <w:rPr>
          <w:noProof/>
        </w:rPr>
        <w:t xml:space="preserve">Iamumpha, P., 2017. </w:t>
      </w:r>
      <w:r>
        <w:rPr>
          <w:i/>
          <w:iCs/>
          <w:noProof/>
        </w:rPr>
        <w:t xml:space="preserve">The Improvement of Consumer Protection Rights in New Clarification of CRA 2015. </w:t>
      </w:r>
      <w:r>
        <w:rPr>
          <w:noProof/>
        </w:rPr>
        <w:t>s.l.:University of Essex.</w:t>
      </w:r>
    </w:p>
    <w:p w14:paraId="2F650EC4" w14:textId="73BAC20C" w:rsidR="00F2773A" w:rsidRDefault="00F2773A" w:rsidP="00F2773A">
      <w:pPr>
        <w:pStyle w:val="Bibliography"/>
        <w:rPr>
          <w:noProof/>
        </w:rPr>
      </w:pPr>
      <w:r>
        <w:rPr>
          <w:noProof/>
        </w:rPr>
        <w:t xml:space="preserve">Kathrin Kuhnel-Fitchen, T. H., 2017. </w:t>
      </w:r>
      <w:r>
        <w:rPr>
          <w:i/>
          <w:iCs/>
          <w:noProof/>
        </w:rPr>
        <w:t xml:space="preserve">Optimize Contract Law. </w:t>
      </w:r>
      <w:r>
        <w:rPr>
          <w:noProof/>
        </w:rPr>
        <w:t>1st ed. s.l.:Taylor &amp; Francis.</w:t>
      </w:r>
    </w:p>
    <w:p w14:paraId="5EB333D4" w14:textId="5D3E339C" w:rsidR="00743B41" w:rsidRPr="00743B41" w:rsidRDefault="00743B41" w:rsidP="00743B41">
      <w:pPr>
        <w:pStyle w:val="Bibliography"/>
        <w:rPr>
          <w:noProof/>
        </w:rPr>
      </w:pPr>
      <w:r>
        <w:rPr>
          <w:noProof/>
        </w:rPr>
        <w:t xml:space="preserve">Micklitz, G. S. a. H.-W., 2018. </w:t>
      </w:r>
      <w:r>
        <w:rPr>
          <w:i/>
          <w:iCs/>
          <w:noProof/>
        </w:rPr>
        <w:t xml:space="preserve">Enforcement and Effectiveness of Consumer Law. </w:t>
      </w:r>
      <w:r>
        <w:rPr>
          <w:noProof/>
        </w:rPr>
        <w:t>1st ed. s.l.:Springer International Publishing.</w:t>
      </w:r>
    </w:p>
    <w:p w14:paraId="52F454D0" w14:textId="77777777" w:rsidR="00F2773A" w:rsidRDefault="00F2773A" w:rsidP="00F2773A">
      <w:pPr>
        <w:pStyle w:val="Bibliography"/>
        <w:rPr>
          <w:noProof/>
        </w:rPr>
      </w:pPr>
      <w:r>
        <w:rPr>
          <w:noProof/>
        </w:rPr>
        <w:lastRenderedPageBreak/>
        <w:t xml:space="preserve">Mischau, L., 2022. The Concept of Digital Content and Digital Services in European Contract Law. </w:t>
      </w:r>
      <w:r>
        <w:rPr>
          <w:i/>
          <w:iCs/>
          <w:noProof/>
        </w:rPr>
        <w:t xml:space="preserve">Journal Of European Consumer and Market Law, </w:t>
      </w:r>
      <w:r>
        <w:rPr>
          <w:noProof/>
        </w:rPr>
        <w:t>11(1), pp. 6-13.</w:t>
      </w:r>
    </w:p>
    <w:p w14:paraId="026680B7" w14:textId="77777777" w:rsidR="00F2773A" w:rsidRDefault="00F2773A" w:rsidP="00F2773A">
      <w:pPr>
        <w:pStyle w:val="Bibliography"/>
        <w:rPr>
          <w:noProof/>
        </w:rPr>
      </w:pPr>
      <w:r>
        <w:rPr>
          <w:noProof/>
        </w:rPr>
        <w:t xml:space="preserve">Morgan, B., 2015. </w:t>
      </w:r>
      <w:r>
        <w:rPr>
          <w:i/>
          <w:iCs/>
          <w:noProof/>
        </w:rPr>
        <w:t xml:space="preserve">THE CONSUMER RIGHTS ACT 2015 – ALL CHANGE FOR CONSUMER CONTRACTS FOR GOODS, DIGITAL CONTENT, SERVICES AND UNFAIR TERMS. </w:t>
      </w:r>
      <w:r>
        <w:rPr>
          <w:noProof/>
        </w:rPr>
        <w:t xml:space="preserve">[Online] </w:t>
      </w:r>
      <w:r>
        <w:rPr>
          <w:noProof/>
        </w:rPr>
        <w:br/>
        <w:t xml:space="preserve">Available at: </w:t>
      </w:r>
      <w:r>
        <w:rPr>
          <w:noProof/>
          <w:u w:val="single"/>
        </w:rPr>
        <w:t>https://www.blakemorgan.co.uk/the-consumer-rights-act-2015-all-change-for-consumer-contracts-for-goods-digital-content-services-and-unfair-terms/?msclkid=0febc6b5b4b811ec915cb396dbf44f1f</w:t>
      </w:r>
      <w:r>
        <w:rPr>
          <w:noProof/>
        </w:rPr>
        <w:br/>
        <w:t>[Accessed 05 04 2022].</w:t>
      </w:r>
    </w:p>
    <w:p w14:paraId="31649518" w14:textId="62ACF26B" w:rsidR="00F2773A" w:rsidRDefault="00F2773A" w:rsidP="00F2773A">
      <w:pPr>
        <w:pStyle w:val="Bibliography"/>
        <w:rPr>
          <w:noProof/>
        </w:rPr>
      </w:pPr>
      <w:r w:rsidRPr="00D543C2">
        <w:rPr>
          <w:noProof/>
          <w:lang w:val="pt-PT"/>
        </w:rPr>
        <w:t>McDermott,</w:t>
      </w:r>
      <w:r w:rsidR="00B826F3">
        <w:rPr>
          <w:noProof/>
          <w:lang w:val="pt-PT"/>
        </w:rPr>
        <w:t xml:space="preserve"> P.A.,</w:t>
      </w:r>
      <w:r w:rsidRPr="00D543C2">
        <w:rPr>
          <w:noProof/>
          <w:lang w:val="pt-PT"/>
        </w:rPr>
        <w:t xml:space="preserve"> J. M., 2017. </w:t>
      </w:r>
      <w:r>
        <w:rPr>
          <w:i/>
          <w:iCs/>
          <w:noProof/>
        </w:rPr>
        <w:t xml:space="preserve">Contract Law. </w:t>
      </w:r>
      <w:r>
        <w:rPr>
          <w:noProof/>
        </w:rPr>
        <w:t>2nd ed. s.l.:Bloomsbury Academic.</w:t>
      </w:r>
    </w:p>
    <w:p w14:paraId="7AB87E6D" w14:textId="77777777" w:rsidR="00F2773A" w:rsidRDefault="00F2773A" w:rsidP="00F2773A">
      <w:pPr>
        <w:pStyle w:val="Bibliography"/>
        <w:rPr>
          <w:noProof/>
        </w:rPr>
      </w:pPr>
      <w:r>
        <w:rPr>
          <w:noProof/>
        </w:rPr>
        <w:t xml:space="preserve">Politics, 2022. </w:t>
      </w:r>
      <w:r>
        <w:rPr>
          <w:i/>
          <w:iCs/>
          <w:noProof/>
        </w:rPr>
        <w:t xml:space="preserve">Consumer Rights Act 2015. </w:t>
      </w:r>
      <w:r>
        <w:rPr>
          <w:noProof/>
        </w:rPr>
        <w:t xml:space="preserve">[Online] </w:t>
      </w:r>
      <w:r>
        <w:rPr>
          <w:noProof/>
        </w:rPr>
        <w:br/>
        <w:t xml:space="preserve">Available at: </w:t>
      </w:r>
      <w:r>
        <w:rPr>
          <w:noProof/>
          <w:u w:val="single"/>
        </w:rPr>
        <w:t>https://www.politics.co.uk/reference/consumer-rights-act-2015/?msclkid=03f4cdafb4c711ec9fca199717c6d4e1</w:t>
      </w:r>
      <w:r>
        <w:rPr>
          <w:noProof/>
        </w:rPr>
        <w:br/>
        <w:t>[Accessed 06 04 2022].</w:t>
      </w:r>
    </w:p>
    <w:p w14:paraId="12D72219" w14:textId="77777777" w:rsidR="00F2773A" w:rsidRDefault="00F2773A" w:rsidP="00F2773A">
      <w:pPr>
        <w:pStyle w:val="Bibliography"/>
        <w:rPr>
          <w:noProof/>
        </w:rPr>
      </w:pPr>
      <w:r>
        <w:rPr>
          <w:noProof/>
        </w:rPr>
        <w:t xml:space="preserve">Richards, P., 2019. </w:t>
      </w:r>
      <w:r>
        <w:rPr>
          <w:i/>
          <w:iCs/>
          <w:noProof/>
        </w:rPr>
        <w:t xml:space="preserve">Law of contract. </w:t>
      </w:r>
      <w:r>
        <w:rPr>
          <w:noProof/>
        </w:rPr>
        <w:t>4th ed. s.l.:Pearsons.</w:t>
      </w:r>
    </w:p>
    <w:p w14:paraId="6243CE5B" w14:textId="77777777" w:rsidR="00F2773A" w:rsidRDefault="00F2773A" w:rsidP="00F2773A">
      <w:pPr>
        <w:pStyle w:val="Bibliography"/>
        <w:rPr>
          <w:noProof/>
        </w:rPr>
      </w:pPr>
      <w:r>
        <w:rPr>
          <w:noProof/>
        </w:rPr>
        <w:t xml:space="preserve">Robert Merkin, S. S., 2019. </w:t>
      </w:r>
      <w:r>
        <w:rPr>
          <w:i/>
          <w:iCs/>
          <w:noProof/>
        </w:rPr>
        <w:t xml:space="preserve">Poole's Textbook on Contract Law. </w:t>
      </w:r>
      <w:r>
        <w:rPr>
          <w:noProof/>
        </w:rPr>
        <w:t>14th ed. s.l.:Oxford University Press.</w:t>
      </w:r>
    </w:p>
    <w:p w14:paraId="5E505884" w14:textId="77777777" w:rsidR="00F2773A" w:rsidRDefault="00F2773A" w:rsidP="00F2773A">
      <w:pPr>
        <w:pStyle w:val="Bibliography"/>
        <w:rPr>
          <w:noProof/>
        </w:rPr>
      </w:pPr>
      <w:r>
        <w:rPr>
          <w:noProof/>
        </w:rPr>
        <w:t xml:space="preserve">Rodger, B. J., 2015. The Consumer Rights Act 2015 and collective redress for competition law infringements in the UK: a class act?. </w:t>
      </w:r>
      <w:r>
        <w:rPr>
          <w:i/>
          <w:iCs/>
          <w:noProof/>
        </w:rPr>
        <w:t xml:space="preserve">Journal of Antitrust Enforcement, </w:t>
      </w:r>
      <w:r>
        <w:rPr>
          <w:noProof/>
        </w:rPr>
        <w:t>3(2), p. 258–286.</w:t>
      </w:r>
    </w:p>
    <w:p w14:paraId="4B60A987" w14:textId="77777777" w:rsidR="00F2773A" w:rsidRDefault="00F2773A" w:rsidP="00F2773A">
      <w:pPr>
        <w:pStyle w:val="Bibliography"/>
        <w:rPr>
          <w:noProof/>
        </w:rPr>
      </w:pPr>
      <w:r>
        <w:rPr>
          <w:noProof/>
        </w:rPr>
        <w:t xml:space="preserve">Scown, S., 2021. </w:t>
      </w:r>
      <w:r>
        <w:rPr>
          <w:i/>
          <w:iCs/>
          <w:noProof/>
        </w:rPr>
        <w:t xml:space="preserve">The Consumer Rights Act 2015: what should happen when goods are faulty?. </w:t>
      </w:r>
      <w:r>
        <w:rPr>
          <w:noProof/>
        </w:rPr>
        <w:t xml:space="preserve">[Online] </w:t>
      </w:r>
      <w:r>
        <w:rPr>
          <w:noProof/>
        </w:rPr>
        <w:br/>
        <w:t xml:space="preserve">Available at: </w:t>
      </w:r>
      <w:r>
        <w:rPr>
          <w:noProof/>
          <w:u w:val="single"/>
        </w:rPr>
        <w:t>ttps://www.stephens-scown.co.uk/disputes-with-businesses/the-consumer-rights-act-2015-what-should-happen-when-goods-are-faulty/?msclkid=cba811c7b4ff11ec8842f39e8fefd34d</w:t>
      </w:r>
      <w:r>
        <w:rPr>
          <w:noProof/>
        </w:rPr>
        <w:br/>
        <w:t>[Accessed 05 04 2022].</w:t>
      </w:r>
    </w:p>
    <w:p w14:paraId="56547742" w14:textId="77777777" w:rsidR="00F2773A" w:rsidRDefault="00F2773A" w:rsidP="00F2773A">
      <w:pPr>
        <w:pStyle w:val="Bibliography"/>
        <w:rPr>
          <w:noProof/>
        </w:rPr>
      </w:pPr>
      <w:r>
        <w:rPr>
          <w:noProof/>
        </w:rPr>
        <w:t xml:space="preserve">TWIGG-FLESNER, C., 2015. Consumer Sales and English Law – The Fear of Coherence?. </w:t>
      </w:r>
      <w:r>
        <w:rPr>
          <w:i/>
          <w:iCs/>
          <w:noProof/>
        </w:rPr>
        <w:t xml:space="preserve">The Consumer Rights Directive, </w:t>
      </w:r>
      <w:r>
        <w:rPr>
          <w:noProof/>
        </w:rPr>
        <w:t>Volume 3, pp. 1-21.</w:t>
      </w:r>
    </w:p>
    <w:p w14:paraId="0170094E" w14:textId="77777777" w:rsidR="00F2773A" w:rsidRDefault="00F2773A" w:rsidP="00F2773A">
      <w:pPr>
        <w:pStyle w:val="Bibliography"/>
        <w:rPr>
          <w:noProof/>
        </w:rPr>
      </w:pPr>
      <w:r>
        <w:rPr>
          <w:noProof/>
        </w:rPr>
        <w:t xml:space="preserve">Vinters, T., 2017. </w:t>
      </w:r>
      <w:r>
        <w:rPr>
          <w:i/>
          <w:iCs/>
          <w:noProof/>
        </w:rPr>
        <w:t xml:space="preserve">The Consumer Rights Act 2015, two years on… a seismic change in the business-to-consumer relationship?. </w:t>
      </w:r>
      <w:r>
        <w:rPr>
          <w:noProof/>
        </w:rPr>
        <w:t xml:space="preserve">[Online] </w:t>
      </w:r>
      <w:r>
        <w:rPr>
          <w:noProof/>
        </w:rPr>
        <w:br/>
        <w:t xml:space="preserve">Available at: </w:t>
      </w:r>
      <w:r>
        <w:rPr>
          <w:noProof/>
          <w:u w:val="single"/>
        </w:rPr>
        <w:t>https://www.taylorvinters.com/article/the-consumer-rights-act-2015-two-years-on-a-seismic-change-in-the-business-to-consumer-relationship?msclkid=077922f1b4c311eca6db168dc68a1657</w:t>
      </w:r>
      <w:r>
        <w:rPr>
          <w:noProof/>
        </w:rPr>
        <w:br/>
        <w:t>[Accessed 05 04 2022].</w:t>
      </w:r>
    </w:p>
    <w:p w14:paraId="319AB43E" w14:textId="42219F25" w:rsidR="001F1160" w:rsidRDefault="00F2773A" w:rsidP="00F2773A">
      <w:r>
        <w:fldChar w:fldCharType="end"/>
      </w:r>
    </w:p>
    <w:p w14:paraId="22691E69" w14:textId="77777777" w:rsidR="00AF084F" w:rsidRPr="00B466CE" w:rsidRDefault="00AF084F" w:rsidP="00B466CE">
      <w:p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p>
    <w:p w14:paraId="2AD580FC" w14:textId="77777777" w:rsidR="00B466CE" w:rsidRDefault="00B466CE"/>
    <w:sectPr w:rsidR="00B466CE" w:rsidSect="003142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7560B"/>
    <w:multiLevelType w:val="hybridMultilevel"/>
    <w:tmpl w:val="D85CF8E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35203E"/>
    <w:multiLevelType w:val="multilevel"/>
    <w:tmpl w:val="21E0DA7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A6B101B"/>
    <w:multiLevelType w:val="multilevel"/>
    <w:tmpl w:val="3E767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EB79B8"/>
    <w:multiLevelType w:val="multilevel"/>
    <w:tmpl w:val="AD66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B54C0C"/>
    <w:multiLevelType w:val="multilevel"/>
    <w:tmpl w:val="42C04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8930AE"/>
    <w:multiLevelType w:val="multilevel"/>
    <w:tmpl w:val="A04C2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A75F18"/>
    <w:multiLevelType w:val="multilevel"/>
    <w:tmpl w:val="BD6C5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467078"/>
    <w:multiLevelType w:val="multilevel"/>
    <w:tmpl w:val="D71C0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D652EF"/>
    <w:multiLevelType w:val="multilevel"/>
    <w:tmpl w:val="D9CCE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5F7F68"/>
    <w:multiLevelType w:val="multilevel"/>
    <w:tmpl w:val="018ED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B11547"/>
    <w:multiLevelType w:val="multilevel"/>
    <w:tmpl w:val="E4AC3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0320100">
    <w:abstractNumId w:val="0"/>
  </w:num>
  <w:num w:numId="2" w16cid:durableId="1393507772">
    <w:abstractNumId w:val="2"/>
  </w:num>
  <w:num w:numId="3" w16cid:durableId="2078890534">
    <w:abstractNumId w:val="9"/>
  </w:num>
  <w:num w:numId="4" w16cid:durableId="1350183162">
    <w:abstractNumId w:val="6"/>
  </w:num>
  <w:num w:numId="5" w16cid:durableId="104926316">
    <w:abstractNumId w:val="5"/>
  </w:num>
  <w:num w:numId="6" w16cid:durableId="1802453065">
    <w:abstractNumId w:val="1"/>
  </w:num>
  <w:num w:numId="7" w16cid:durableId="890460914">
    <w:abstractNumId w:val="4"/>
  </w:num>
  <w:num w:numId="8" w16cid:durableId="1925142135">
    <w:abstractNumId w:val="8"/>
  </w:num>
  <w:num w:numId="9" w16cid:durableId="542595349">
    <w:abstractNumId w:val="7"/>
  </w:num>
  <w:num w:numId="10" w16cid:durableId="495151695">
    <w:abstractNumId w:val="10"/>
  </w:num>
  <w:num w:numId="11" w16cid:durableId="19369342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7B8"/>
    <w:rsid w:val="000178EE"/>
    <w:rsid w:val="00036E22"/>
    <w:rsid w:val="000568A0"/>
    <w:rsid w:val="00067F9E"/>
    <w:rsid w:val="000A0210"/>
    <w:rsid w:val="000C6796"/>
    <w:rsid w:val="000E73D9"/>
    <w:rsid w:val="00102AFB"/>
    <w:rsid w:val="00102D9A"/>
    <w:rsid w:val="00110777"/>
    <w:rsid w:val="00116FCB"/>
    <w:rsid w:val="00167C9B"/>
    <w:rsid w:val="001844BA"/>
    <w:rsid w:val="001A2A7F"/>
    <w:rsid w:val="001A67BB"/>
    <w:rsid w:val="001C0541"/>
    <w:rsid w:val="001D5089"/>
    <w:rsid w:val="001F1160"/>
    <w:rsid w:val="00245E2C"/>
    <w:rsid w:val="00274C0E"/>
    <w:rsid w:val="00274CB3"/>
    <w:rsid w:val="00280D9C"/>
    <w:rsid w:val="00284028"/>
    <w:rsid w:val="002966A2"/>
    <w:rsid w:val="002C30A2"/>
    <w:rsid w:val="00306DA8"/>
    <w:rsid w:val="0031424F"/>
    <w:rsid w:val="00317490"/>
    <w:rsid w:val="00321F67"/>
    <w:rsid w:val="00353367"/>
    <w:rsid w:val="00355121"/>
    <w:rsid w:val="00365739"/>
    <w:rsid w:val="00393659"/>
    <w:rsid w:val="003A4874"/>
    <w:rsid w:val="003A76D6"/>
    <w:rsid w:val="003C55A2"/>
    <w:rsid w:val="003F56E8"/>
    <w:rsid w:val="003F62AF"/>
    <w:rsid w:val="004005B6"/>
    <w:rsid w:val="0042523D"/>
    <w:rsid w:val="0043593A"/>
    <w:rsid w:val="004634AB"/>
    <w:rsid w:val="00487B28"/>
    <w:rsid w:val="004A3AA6"/>
    <w:rsid w:val="004A537E"/>
    <w:rsid w:val="004A5AAD"/>
    <w:rsid w:val="004C42DC"/>
    <w:rsid w:val="004D445B"/>
    <w:rsid w:val="00501025"/>
    <w:rsid w:val="005225E8"/>
    <w:rsid w:val="00565D1D"/>
    <w:rsid w:val="00571C8D"/>
    <w:rsid w:val="00576EBC"/>
    <w:rsid w:val="0059018E"/>
    <w:rsid w:val="005A0CDC"/>
    <w:rsid w:val="005A101D"/>
    <w:rsid w:val="005D0666"/>
    <w:rsid w:val="005D0F82"/>
    <w:rsid w:val="005E22AD"/>
    <w:rsid w:val="00607F6F"/>
    <w:rsid w:val="00614824"/>
    <w:rsid w:val="00615E9A"/>
    <w:rsid w:val="00622A14"/>
    <w:rsid w:val="00630C95"/>
    <w:rsid w:val="00636FBD"/>
    <w:rsid w:val="0066188B"/>
    <w:rsid w:val="006B7A99"/>
    <w:rsid w:val="0072419D"/>
    <w:rsid w:val="007401C3"/>
    <w:rsid w:val="00743B41"/>
    <w:rsid w:val="007546F6"/>
    <w:rsid w:val="00773126"/>
    <w:rsid w:val="0078018F"/>
    <w:rsid w:val="00783BA3"/>
    <w:rsid w:val="007869C5"/>
    <w:rsid w:val="00787E81"/>
    <w:rsid w:val="007B030A"/>
    <w:rsid w:val="007B33D5"/>
    <w:rsid w:val="007B35E2"/>
    <w:rsid w:val="007B3749"/>
    <w:rsid w:val="007D4CD8"/>
    <w:rsid w:val="007F0971"/>
    <w:rsid w:val="007F676B"/>
    <w:rsid w:val="008037A9"/>
    <w:rsid w:val="00843F6B"/>
    <w:rsid w:val="00861F3F"/>
    <w:rsid w:val="0086368E"/>
    <w:rsid w:val="008F5F18"/>
    <w:rsid w:val="008F672B"/>
    <w:rsid w:val="00916D53"/>
    <w:rsid w:val="00920CE5"/>
    <w:rsid w:val="00931BCF"/>
    <w:rsid w:val="009356F7"/>
    <w:rsid w:val="00936594"/>
    <w:rsid w:val="00960164"/>
    <w:rsid w:val="00965DAF"/>
    <w:rsid w:val="009A64B9"/>
    <w:rsid w:val="009C46EF"/>
    <w:rsid w:val="009C5D8C"/>
    <w:rsid w:val="00A076FA"/>
    <w:rsid w:val="00A16D45"/>
    <w:rsid w:val="00A35D86"/>
    <w:rsid w:val="00A36835"/>
    <w:rsid w:val="00A44323"/>
    <w:rsid w:val="00A60E99"/>
    <w:rsid w:val="00A704E3"/>
    <w:rsid w:val="00A810C7"/>
    <w:rsid w:val="00A93B93"/>
    <w:rsid w:val="00AB0A50"/>
    <w:rsid w:val="00AB5892"/>
    <w:rsid w:val="00AD6F0D"/>
    <w:rsid w:val="00AF084F"/>
    <w:rsid w:val="00AF0FC6"/>
    <w:rsid w:val="00B234F2"/>
    <w:rsid w:val="00B44710"/>
    <w:rsid w:val="00B466CE"/>
    <w:rsid w:val="00B47CC8"/>
    <w:rsid w:val="00B826F3"/>
    <w:rsid w:val="00BA0532"/>
    <w:rsid w:val="00BA3291"/>
    <w:rsid w:val="00BB5071"/>
    <w:rsid w:val="00BC604A"/>
    <w:rsid w:val="00BE1451"/>
    <w:rsid w:val="00BE30FA"/>
    <w:rsid w:val="00C1398E"/>
    <w:rsid w:val="00C301F8"/>
    <w:rsid w:val="00C337B8"/>
    <w:rsid w:val="00C65DA7"/>
    <w:rsid w:val="00C823D1"/>
    <w:rsid w:val="00CD7C3F"/>
    <w:rsid w:val="00CE115A"/>
    <w:rsid w:val="00CE7D4F"/>
    <w:rsid w:val="00D00507"/>
    <w:rsid w:val="00D00C2E"/>
    <w:rsid w:val="00D12648"/>
    <w:rsid w:val="00D13072"/>
    <w:rsid w:val="00D27C79"/>
    <w:rsid w:val="00D543C2"/>
    <w:rsid w:val="00D72B39"/>
    <w:rsid w:val="00D847F3"/>
    <w:rsid w:val="00D85276"/>
    <w:rsid w:val="00DA1BA7"/>
    <w:rsid w:val="00DD7AAF"/>
    <w:rsid w:val="00DF3430"/>
    <w:rsid w:val="00E14FDC"/>
    <w:rsid w:val="00E36AAB"/>
    <w:rsid w:val="00E67E73"/>
    <w:rsid w:val="00EE4202"/>
    <w:rsid w:val="00EF0E1D"/>
    <w:rsid w:val="00EF1556"/>
    <w:rsid w:val="00EF7955"/>
    <w:rsid w:val="00F108E8"/>
    <w:rsid w:val="00F2773A"/>
    <w:rsid w:val="00F55F7B"/>
    <w:rsid w:val="00F7699E"/>
    <w:rsid w:val="00F9580C"/>
    <w:rsid w:val="00FA0FDF"/>
    <w:rsid w:val="00FB2987"/>
    <w:rsid w:val="00FE475F"/>
    <w:rsid w:val="00FE5402"/>
    <w:rsid w:val="00FE75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63D9B"/>
  <w15:chartTrackingRefBased/>
  <w15:docId w15:val="{0F1AD0D1-6876-40FF-B5B0-119244F50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466C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5D1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B466CE"/>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466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466CE"/>
    <w:rPr>
      <w:i/>
      <w:iCs/>
    </w:rPr>
  </w:style>
  <w:style w:type="character" w:styleId="Hyperlink">
    <w:name w:val="Hyperlink"/>
    <w:basedOn w:val="DefaultParagraphFont"/>
    <w:uiPriority w:val="99"/>
    <w:semiHidden/>
    <w:unhideWhenUsed/>
    <w:rsid w:val="00F9580C"/>
    <w:rPr>
      <w:color w:val="0000FF"/>
      <w:u w:val="single"/>
    </w:rPr>
  </w:style>
  <w:style w:type="character" w:styleId="Strong">
    <w:name w:val="Strong"/>
    <w:basedOn w:val="DefaultParagraphFont"/>
    <w:uiPriority w:val="22"/>
    <w:qFormat/>
    <w:rsid w:val="004005B6"/>
    <w:rPr>
      <w:b/>
      <w:bCs/>
    </w:rPr>
  </w:style>
  <w:style w:type="paragraph" w:styleId="NoSpacing">
    <w:name w:val="No Spacing"/>
    <w:link w:val="NoSpacingChar"/>
    <w:uiPriority w:val="1"/>
    <w:qFormat/>
    <w:rsid w:val="003142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424F"/>
    <w:rPr>
      <w:rFonts w:eastAsiaTheme="minorEastAsia"/>
      <w:lang w:val="en-US"/>
    </w:rPr>
  </w:style>
  <w:style w:type="paragraph" w:styleId="Bibliography">
    <w:name w:val="Bibliography"/>
    <w:basedOn w:val="Normal"/>
    <w:next w:val="Normal"/>
    <w:uiPriority w:val="37"/>
    <w:unhideWhenUsed/>
    <w:rsid w:val="00F2773A"/>
  </w:style>
  <w:style w:type="character" w:styleId="CommentReference">
    <w:name w:val="annotation reference"/>
    <w:basedOn w:val="DefaultParagraphFont"/>
    <w:uiPriority w:val="99"/>
    <w:semiHidden/>
    <w:unhideWhenUsed/>
    <w:rsid w:val="00D543C2"/>
    <w:rPr>
      <w:sz w:val="16"/>
      <w:szCs w:val="16"/>
    </w:rPr>
  </w:style>
  <w:style w:type="paragraph" w:styleId="CommentText">
    <w:name w:val="annotation text"/>
    <w:basedOn w:val="Normal"/>
    <w:link w:val="CommentTextChar"/>
    <w:uiPriority w:val="99"/>
    <w:semiHidden/>
    <w:unhideWhenUsed/>
    <w:rsid w:val="00D543C2"/>
    <w:pPr>
      <w:spacing w:line="240" w:lineRule="auto"/>
    </w:pPr>
    <w:rPr>
      <w:sz w:val="20"/>
      <w:szCs w:val="20"/>
    </w:rPr>
  </w:style>
  <w:style w:type="character" w:customStyle="1" w:styleId="CommentTextChar">
    <w:name w:val="Comment Text Char"/>
    <w:basedOn w:val="DefaultParagraphFont"/>
    <w:link w:val="CommentText"/>
    <w:uiPriority w:val="99"/>
    <w:semiHidden/>
    <w:rsid w:val="00D543C2"/>
    <w:rPr>
      <w:sz w:val="20"/>
      <w:szCs w:val="20"/>
    </w:rPr>
  </w:style>
  <w:style w:type="paragraph" w:styleId="CommentSubject">
    <w:name w:val="annotation subject"/>
    <w:basedOn w:val="CommentText"/>
    <w:next w:val="CommentText"/>
    <w:link w:val="CommentSubjectChar"/>
    <w:uiPriority w:val="99"/>
    <w:semiHidden/>
    <w:unhideWhenUsed/>
    <w:rsid w:val="00D543C2"/>
    <w:rPr>
      <w:b/>
      <w:bCs/>
    </w:rPr>
  </w:style>
  <w:style w:type="character" w:customStyle="1" w:styleId="CommentSubjectChar">
    <w:name w:val="Comment Subject Char"/>
    <w:basedOn w:val="CommentTextChar"/>
    <w:link w:val="CommentSubject"/>
    <w:uiPriority w:val="99"/>
    <w:semiHidden/>
    <w:rsid w:val="00D543C2"/>
    <w:rPr>
      <w:b/>
      <w:bCs/>
      <w:sz w:val="20"/>
      <w:szCs w:val="20"/>
    </w:rPr>
  </w:style>
  <w:style w:type="character" w:customStyle="1" w:styleId="cf01">
    <w:name w:val="cf01"/>
    <w:basedOn w:val="DefaultParagraphFont"/>
    <w:rsid w:val="00607F6F"/>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862514">
      <w:bodyDiv w:val="1"/>
      <w:marLeft w:val="0"/>
      <w:marRight w:val="0"/>
      <w:marTop w:val="0"/>
      <w:marBottom w:val="0"/>
      <w:divBdr>
        <w:top w:val="none" w:sz="0" w:space="0" w:color="auto"/>
        <w:left w:val="none" w:sz="0" w:space="0" w:color="auto"/>
        <w:bottom w:val="none" w:sz="0" w:space="0" w:color="auto"/>
        <w:right w:val="none" w:sz="0" w:space="0" w:color="auto"/>
      </w:divBdr>
    </w:div>
    <w:div w:id="111704210">
      <w:bodyDiv w:val="1"/>
      <w:marLeft w:val="0"/>
      <w:marRight w:val="0"/>
      <w:marTop w:val="0"/>
      <w:marBottom w:val="0"/>
      <w:divBdr>
        <w:top w:val="none" w:sz="0" w:space="0" w:color="auto"/>
        <w:left w:val="none" w:sz="0" w:space="0" w:color="auto"/>
        <w:bottom w:val="none" w:sz="0" w:space="0" w:color="auto"/>
        <w:right w:val="none" w:sz="0" w:space="0" w:color="auto"/>
      </w:divBdr>
    </w:div>
    <w:div w:id="176236671">
      <w:bodyDiv w:val="1"/>
      <w:marLeft w:val="0"/>
      <w:marRight w:val="0"/>
      <w:marTop w:val="0"/>
      <w:marBottom w:val="0"/>
      <w:divBdr>
        <w:top w:val="none" w:sz="0" w:space="0" w:color="auto"/>
        <w:left w:val="none" w:sz="0" w:space="0" w:color="auto"/>
        <w:bottom w:val="none" w:sz="0" w:space="0" w:color="auto"/>
        <w:right w:val="none" w:sz="0" w:space="0" w:color="auto"/>
      </w:divBdr>
    </w:div>
    <w:div w:id="190536722">
      <w:bodyDiv w:val="1"/>
      <w:marLeft w:val="0"/>
      <w:marRight w:val="0"/>
      <w:marTop w:val="0"/>
      <w:marBottom w:val="0"/>
      <w:divBdr>
        <w:top w:val="none" w:sz="0" w:space="0" w:color="auto"/>
        <w:left w:val="none" w:sz="0" w:space="0" w:color="auto"/>
        <w:bottom w:val="none" w:sz="0" w:space="0" w:color="auto"/>
        <w:right w:val="none" w:sz="0" w:space="0" w:color="auto"/>
      </w:divBdr>
    </w:div>
    <w:div w:id="195240214">
      <w:bodyDiv w:val="1"/>
      <w:marLeft w:val="0"/>
      <w:marRight w:val="0"/>
      <w:marTop w:val="0"/>
      <w:marBottom w:val="0"/>
      <w:divBdr>
        <w:top w:val="none" w:sz="0" w:space="0" w:color="auto"/>
        <w:left w:val="none" w:sz="0" w:space="0" w:color="auto"/>
        <w:bottom w:val="none" w:sz="0" w:space="0" w:color="auto"/>
        <w:right w:val="none" w:sz="0" w:space="0" w:color="auto"/>
      </w:divBdr>
    </w:div>
    <w:div w:id="277807987">
      <w:bodyDiv w:val="1"/>
      <w:marLeft w:val="0"/>
      <w:marRight w:val="0"/>
      <w:marTop w:val="0"/>
      <w:marBottom w:val="0"/>
      <w:divBdr>
        <w:top w:val="none" w:sz="0" w:space="0" w:color="auto"/>
        <w:left w:val="none" w:sz="0" w:space="0" w:color="auto"/>
        <w:bottom w:val="none" w:sz="0" w:space="0" w:color="auto"/>
        <w:right w:val="none" w:sz="0" w:space="0" w:color="auto"/>
      </w:divBdr>
    </w:div>
    <w:div w:id="298074087">
      <w:bodyDiv w:val="1"/>
      <w:marLeft w:val="0"/>
      <w:marRight w:val="0"/>
      <w:marTop w:val="0"/>
      <w:marBottom w:val="0"/>
      <w:divBdr>
        <w:top w:val="none" w:sz="0" w:space="0" w:color="auto"/>
        <w:left w:val="none" w:sz="0" w:space="0" w:color="auto"/>
        <w:bottom w:val="none" w:sz="0" w:space="0" w:color="auto"/>
        <w:right w:val="none" w:sz="0" w:space="0" w:color="auto"/>
      </w:divBdr>
    </w:div>
    <w:div w:id="369499863">
      <w:bodyDiv w:val="1"/>
      <w:marLeft w:val="0"/>
      <w:marRight w:val="0"/>
      <w:marTop w:val="0"/>
      <w:marBottom w:val="0"/>
      <w:divBdr>
        <w:top w:val="none" w:sz="0" w:space="0" w:color="auto"/>
        <w:left w:val="none" w:sz="0" w:space="0" w:color="auto"/>
        <w:bottom w:val="none" w:sz="0" w:space="0" w:color="auto"/>
        <w:right w:val="none" w:sz="0" w:space="0" w:color="auto"/>
      </w:divBdr>
    </w:div>
    <w:div w:id="387264343">
      <w:bodyDiv w:val="1"/>
      <w:marLeft w:val="0"/>
      <w:marRight w:val="0"/>
      <w:marTop w:val="0"/>
      <w:marBottom w:val="0"/>
      <w:divBdr>
        <w:top w:val="none" w:sz="0" w:space="0" w:color="auto"/>
        <w:left w:val="none" w:sz="0" w:space="0" w:color="auto"/>
        <w:bottom w:val="none" w:sz="0" w:space="0" w:color="auto"/>
        <w:right w:val="none" w:sz="0" w:space="0" w:color="auto"/>
      </w:divBdr>
    </w:div>
    <w:div w:id="424882115">
      <w:bodyDiv w:val="1"/>
      <w:marLeft w:val="0"/>
      <w:marRight w:val="0"/>
      <w:marTop w:val="0"/>
      <w:marBottom w:val="0"/>
      <w:divBdr>
        <w:top w:val="none" w:sz="0" w:space="0" w:color="auto"/>
        <w:left w:val="none" w:sz="0" w:space="0" w:color="auto"/>
        <w:bottom w:val="none" w:sz="0" w:space="0" w:color="auto"/>
        <w:right w:val="none" w:sz="0" w:space="0" w:color="auto"/>
      </w:divBdr>
    </w:div>
    <w:div w:id="438528613">
      <w:bodyDiv w:val="1"/>
      <w:marLeft w:val="0"/>
      <w:marRight w:val="0"/>
      <w:marTop w:val="0"/>
      <w:marBottom w:val="0"/>
      <w:divBdr>
        <w:top w:val="none" w:sz="0" w:space="0" w:color="auto"/>
        <w:left w:val="none" w:sz="0" w:space="0" w:color="auto"/>
        <w:bottom w:val="none" w:sz="0" w:space="0" w:color="auto"/>
        <w:right w:val="none" w:sz="0" w:space="0" w:color="auto"/>
      </w:divBdr>
    </w:div>
    <w:div w:id="503668078">
      <w:bodyDiv w:val="1"/>
      <w:marLeft w:val="0"/>
      <w:marRight w:val="0"/>
      <w:marTop w:val="0"/>
      <w:marBottom w:val="0"/>
      <w:divBdr>
        <w:top w:val="none" w:sz="0" w:space="0" w:color="auto"/>
        <w:left w:val="none" w:sz="0" w:space="0" w:color="auto"/>
        <w:bottom w:val="none" w:sz="0" w:space="0" w:color="auto"/>
        <w:right w:val="none" w:sz="0" w:space="0" w:color="auto"/>
      </w:divBdr>
    </w:div>
    <w:div w:id="585041378">
      <w:bodyDiv w:val="1"/>
      <w:marLeft w:val="0"/>
      <w:marRight w:val="0"/>
      <w:marTop w:val="0"/>
      <w:marBottom w:val="0"/>
      <w:divBdr>
        <w:top w:val="none" w:sz="0" w:space="0" w:color="auto"/>
        <w:left w:val="none" w:sz="0" w:space="0" w:color="auto"/>
        <w:bottom w:val="none" w:sz="0" w:space="0" w:color="auto"/>
        <w:right w:val="none" w:sz="0" w:space="0" w:color="auto"/>
      </w:divBdr>
    </w:div>
    <w:div w:id="622930287">
      <w:bodyDiv w:val="1"/>
      <w:marLeft w:val="0"/>
      <w:marRight w:val="0"/>
      <w:marTop w:val="0"/>
      <w:marBottom w:val="0"/>
      <w:divBdr>
        <w:top w:val="none" w:sz="0" w:space="0" w:color="auto"/>
        <w:left w:val="none" w:sz="0" w:space="0" w:color="auto"/>
        <w:bottom w:val="none" w:sz="0" w:space="0" w:color="auto"/>
        <w:right w:val="none" w:sz="0" w:space="0" w:color="auto"/>
      </w:divBdr>
    </w:div>
    <w:div w:id="645595600">
      <w:bodyDiv w:val="1"/>
      <w:marLeft w:val="0"/>
      <w:marRight w:val="0"/>
      <w:marTop w:val="0"/>
      <w:marBottom w:val="0"/>
      <w:divBdr>
        <w:top w:val="none" w:sz="0" w:space="0" w:color="auto"/>
        <w:left w:val="none" w:sz="0" w:space="0" w:color="auto"/>
        <w:bottom w:val="none" w:sz="0" w:space="0" w:color="auto"/>
        <w:right w:val="none" w:sz="0" w:space="0" w:color="auto"/>
      </w:divBdr>
    </w:div>
    <w:div w:id="686751797">
      <w:bodyDiv w:val="1"/>
      <w:marLeft w:val="0"/>
      <w:marRight w:val="0"/>
      <w:marTop w:val="0"/>
      <w:marBottom w:val="0"/>
      <w:divBdr>
        <w:top w:val="none" w:sz="0" w:space="0" w:color="auto"/>
        <w:left w:val="none" w:sz="0" w:space="0" w:color="auto"/>
        <w:bottom w:val="none" w:sz="0" w:space="0" w:color="auto"/>
        <w:right w:val="none" w:sz="0" w:space="0" w:color="auto"/>
      </w:divBdr>
    </w:div>
    <w:div w:id="727264767">
      <w:bodyDiv w:val="1"/>
      <w:marLeft w:val="0"/>
      <w:marRight w:val="0"/>
      <w:marTop w:val="0"/>
      <w:marBottom w:val="0"/>
      <w:divBdr>
        <w:top w:val="none" w:sz="0" w:space="0" w:color="auto"/>
        <w:left w:val="none" w:sz="0" w:space="0" w:color="auto"/>
        <w:bottom w:val="none" w:sz="0" w:space="0" w:color="auto"/>
        <w:right w:val="none" w:sz="0" w:space="0" w:color="auto"/>
      </w:divBdr>
    </w:div>
    <w:div w:id="730926422">
      <w:bodyDiv w:val="1"/>
      <w:marLeft w:val="0"/>
      <w:marRight w:val="0"/>
      <w:marTop w:val="0"/>
      <w:marBottom w:val="0"/>
      <w:divBdr>
        <w:top w:val="none" w:sz="0" w:space="0" w:color="auto"/>
        <w:left w:val="none" w:sz="0" w:space="0" w:color="auto"/>
        <w:bottom w:val="none" w:sz="0" w:space="0" w:color="auto"/>
        <w:right w:val="none" w:sz="0" w:space="0" w:color="auto"/>
      </w:divBdr>
    </w:div>
    <w:div w:id="809177623">
      <w:bodyDiv w:val="1"/>
      <w:marLeft w:val="0"/>
      <w:marRight w:val="0"/>
      <w:marTop w:val="0"/>
      <w:marBottom w:val="0"/>
      <w:divBdr>
        <w:top w:val="none" w:sz="0" w:space="0" w:color="auto"/>
        <w:left w:val="none" w:sz="0" w:space="0" w:color="auto"/>
        <w:bottom w:val="none" w:sz="0" w:space="0" w:color="auto"/>
        <w:right w:val="none" w:sz="0" w:space="0" w:color="auto"/>
      </w:divBdr>
    </w:div>
    <w:div w:id="811679135">
      <w:bodyDiv w:val="1"/>
      <w:marLeft w:val="0"/>
      <w:marRight w:val="0"/>
      <w:marTop w:val="0"/>
      <w:marBottom w:val="0"/>
      <w:divBdr>
        <w:top w:val="none" w:sz="0" w:space="0" w:color="auto"/>
        <w:left w:val="none" w:sz="0" w:space="0" w:color="auto"/>
        <w:bottom w:val="none" w:sz="0" w:space="0" w:color="auto"/>
        <w:right w:val="none" w:sz="0" w:space="0" w:color="auto"/>
      </w:divBdr>
    </w:div>
    <w:div w:id="817069351">
      <w:bodyDiv w:val="1"/>
      <w:marLeft w:val="0"/>
      <w:marRight w:val="0"/>
      <w:marTop w:val="0"/>
      <w:marBottom w:val="0"/>
      <w:divBdr>
        <w:top w:val="none" w:sz="0" w:space="0" w:color="auto"/>
        <w:left w:val="none" w:sz="0" w:space="0" w:color="auto"/>
        <w:bottom w:val="none" w:sz="0" w:space="0" w:color="auto"/>
        <w:right w:val="none" w:sz="0" w:space="0" w:color="auto"/>
      </w:divBdr>
    </w:div>
    <w:div w:id="834418478">
      <w:bodyDiv w:val="1"/>
      <w:marLeft w:val="0"/>
      <w:marRight w:val="0"/>
      <w:marTop w:val="0"/>
      <w:marBottom w:val="0"/>
      <w:divBdr>
        <w:top w:val="none" w:sz="0" w:space="0" w:color="auto"/>
        <w:left w:val="none" w:sz="0" w:space="0" w:color="auto"/>
        <w:bottom w:val="none" w:sz="0" w:space="0" w:color="auto"/>
        <w:right w:val="none" w:sz="0" w:space="0" w:color="auto"/>
      </w:divBdr>
    </w:div>
    <w:div w:id="865944221">
      <w:bodyDiv w:val="1"/>
      <w:marLeft w:val="0"/>
      <w:marRight w:val="0"/>
      <w:marTop w:val="0"/>
      <w:marBottom w:val="0"/>
      <w:divBdr>
        <w:top w:val="none" w:sz="0" w:space="0" w:color="auto"/>
        <w:left w:val="none" w:sz="0" w:space="0" w:color="auto"/>
        <w:bottom w:val="none" w:sz="0" w:space="0" w:color="auto"/>
        <w:right w:val="none" w:sz="0" w:space="0" w:color="auto"/>
      </w:divBdr>
    </w:div>
    <w:div w:id="910576981">
      <w:bodyDiv w:val="1"/>
      <w:marLeft w:val="0"/>
      <w:marRight w:val="0"/>
      <w:marTop w:val="0"/>
      <w:marBottom w:val="0"/>
      <w:divBdr>
        <w:top w:val="none" w:sz="0" w:space="0" w:color="auto"/>
        <w:left w:val="none" w:sz="0" w:space="0" w:color="auto"/>
        <w:bottom w:val="none" w:sz="0" w:space="0" w:color="auto"/>
        <w:right w:val="none" w:sz="0" w:space="0" w:color="auto"/>
      </w:divBdr>
    </w:div>
    <w:div w:id="914318780">
      <w:bodyDiv w:val="1"/>
      <w:marLeft w:val="0"/>
      <w:marRight w:val="0"/>
      <w:marTop w:val="0"/>
      <w:marBottom w:val="0"/>
      <w:divBdr>
        <w:top w:val="none" w:sz="0" w:space="0" w:color="auto"/>
        <w:left w:val="none" w:sz="0" w:space="0" w:color="auto"/>
        <w:bottom w:val="none" w:sz="0" w:space="0" w:color="auto"/>
        <w:right w:val="none" w:sz="0" w:space="0" w:color="auto"/>
      </w:divBdr>
    </w:div>
    <w:div w:id="1037050922">
      <w:bodyDiv w:val="1"/>
      <w:marLeft w:val="0"/>
      <w:marRight w:val="0"/>
      <w:marTop w:val="0"/>
      <w:marBottom w:val="0"/>
      <w:divBdr>
        <w:top w:val="none" w:sz="0" w:space="0" w:color="auto"/>
        <w:left w:val="none" w:sz="0" w:space="0" w:color="auto"/>
        <w:bottom w:val="none" w:sz="0" w:space="0" w:color="auto"/>
        <w:right w:val="none" w:sz="0" w:space="0" w:color="auto"/>
      </w:divBdr>
    </w:div>
    <w:div w:id="1044212011">
      <w:bodyDiv w:val="1"/>
      <w:marLeft w:val="0"/>
      <w:marRight w:val="0"/>
      <w:marTop w:val="0"/>
      <w:marBottom w:val="0"/>
      <w:divBdr>
        <w:top w:val="none" w:sz="0" w:space="0" w:color="auto"/>
        <w:left w:val="none" w:sz="0" w:space="0" w:color="auto"/>
        <w:bottom w:val="none" w:sz="0" w:space="0" w:color="auto"/>
        <w:right w:val="none" w:sz="0" w:space="0" w:color="auto"/>
      </w:divBdr>
    </w:div>
    <w:div w:id="1205678875">
      <w:bodyDiv w:val="1"/>
      <w:marLeft w:val="0"/>
      <w:marRight w:val="0"/>
      <w:marTop w:val="0"/>
      <w:marBottom w:val="0"/>
      <w:divBdr>
        <w:top w:val="none" w:sz="0" w:space="0" w:color="auto"/>
        <w:left w:val="none" w:sz="0" w:space="0" w:color="auto"/>
        <w:bottom w:val="none" w:sz="0" w:space="0" w:color="auto"/>
        <w:right w:val="none" w:sz="0" w:space="0" w:color="auto"/>
      </w:divBdr>
    </w:div>
    <w:div w:id="1244414520">
      <w:bodyDiv w:val="1"/>
      <w:marLeft w:val="0"/>
      <w:marRight w:val="0"/>
      <w:marTop w:val="0"/>
      <w:marBottom w:val="0"/>
      <w:divBdr>
        <w:top w:val="none" w:sz="0" w:space="0" w:color="auto"/>
        <w:left w:val="none" w:sz="0" w:space="0" w:color="auto"/>
        <w:bottom w:val="none" w:sz="0" w:space="0" w:color="auto"/>
        <w:right w:val="none" w:sz="0" w:space="0" w:color="auto"/>
      </w:divBdr>
    </w:div>
    <w:div w:id="1254508544">
      <w:bodyDiv w:val="1"/>
      <w:marLeft w:val="0"/>
      <w:marRight w:val="0"/>
      <w:marTop w:val="0"/>
      <w:marBottom w:val="0"/>
      <w:divBdr>
        <w:top w:val="none" w:sz="0" w:space="0" w:color="auto"/>
        <w:left w:val="none" w:sz="0" w:space="0" w:color="auto"/>
        <w:bottom w:val="none" w:sz="0" w:space="0" w:color="auto"/>
        <w:right w:val="none" w:sz="0" w:space="0" w:color="auto"/>
      </w:divBdr>
    </w:div>
    <w:div w:id="1280381638">
      <w:bodyDiv w:val="1"/>
      <w:marLeft w:val="0"/>
      <w:marRight w:val="0"/>
      <w:marTop w:val="0"/>
      <w:marBottom w:val="0"/>
      <w:divBdr>
        <w:top w:val="none" w:sz="0" w:space="0" w:color="auto"/>
        <w:left w:val="none" w:sz="0" w:space="0" w:color="auto"/>
        <w:bottom w:val="none" w:sz="0" w:space="0" w:color="auto"/>
        <w:right w:val="none" w:sz="0" w:space="0" w:color="auto"/>
      </w:divBdr>
    </w:div>
    <w:div w:id="1316300993">
      <w:bodyDiv w:val="1"/>
      <w:marLeft w:val="0"/>
      <w:marRight w:val="0"/>
      <w:marTop w:val="0"/>
      <w:marBottom w:val="0"/>
      <w:divBdr>
        <w:top w:val="none" w:sz="0" w:space="0" w:color="auto"/>
        <w:left w:val="none" w:sz="0" w:space="0" w:color="auto"/>
        <w:bottom w:val="none" w:sz="0" w:space="0" w:color="auto"/>
        <w:right w:val="none" w:sz="0" w:space="0" w:color="auto"/>
      </w:divBdr>
    </w:div>
    <w:div w:id="1341619949">
      <w:bodyDiv w:val="1"/>
      <w:marLeft w:val="0"/>
      <w:marRight w:val="0"/>
      <w:marTop w:val="0"/>
      <w:marBottom w:val="0"/>
      <w:divBdr>
        <w:top w:val="none" w:sz="0" w:space="0" w:color="auto"/>
        <w:left w:val="none" w:sz="0" w:space="0" w:color="auto"/>
        <w:bottom w:val="none" w:sz="0" w:space="0" w:color="auto"/>
        <w:right w:val="none" w:sz="0" w:space="0" w:color="auto"/>
      </w:divBdr>
    </w:div>
    <w:div w:id="1386100959">
      <w:bodyDiv w:val="1"/>
      <w:marLeft w:val="0"/>
      <w:marRight w:val="0"/>
      <w:marTop w:val="0"/>
      <w:marBottom w:val="0"/>
      <w:divBdr>
        <w:top w:val="none" w:sz="0" w:space="0" w:color="auto"/>
        <w:left w:val="none" w:sz="0" w:space="0" w:color="auto"/>
        <w:bottom w:val="none" w:sz="0" w:space="0" w:color="auto"/>
        <w:right w:val="none" w:sz="0" w:space="0" w:color="auto"/>
      </w:divBdr>
    </w:div>
    <w:div w:id="1387488377">
      <w:bodyDiv w:val="1"/>
      <w:marLeft w:val="0"/>
      <w:marRight w:val="0"/>
      <w:marTop w:val="0"/>
      <w:marBottom w:val="0"/>
      <w:divBdr>
        <w:top w:val="none" w:sz="0" w:space="0" w:color="auto"/>
        <w:left w:val="none" w:sz="0" w:space="0" w:color="auto"/>
        <w:bottom w:val="none" w:sz="0" w:space="0" w:color="auto"/>
        <w:right w:val="none" w:sz="0" w:space="0" w:color="auto"/>
      </w:divBdr>
    </w:div>
    <w:div w:id="1421607157">
      <w:bodyDiv w:val="1"/>
      <w:marLeft w:val="0"/>
      <w:marRight w:val="0"/>
      <w:marTop w:val="0"/>
      <w:marBottom w:val="0"/>
      <w:divBdr>
        <w:top w:val="none" w:sz="0" w:space="0" w:color="auto"/>
        <w:left w:val="none" w:sz="0" w:space="0" w:color="auto"/>
        <w:bottom w:val="none" w:sz="0" w:space="0" w:color="auto"/>
        <w:right w:val="none" w:sz="0" w:space="0" w:color="auto"/>
      </w:divBdr>
    </w:div>
    <w:div w:id="1461264468">
      <w:bodyDiv w:val="1"/>
      <w:marLeft w:val="0"/>
      <w:marRight w:val="0"/>
      <w:marTop w:val="0"/>
      <w:marBottom w:val="0"/>
      <w:divBdr>
        <w:top w:val="none" w:sz="0" w:space="0" w:color="auto"/>
        <w:left w:val="none" w:sz="0" w:space="0" w:color="auto"/>
        <w:bottom w:val="none" w:sz="0" w:space="0" w:color="auto"/>
        <w:right w:val="none" w:sz="0" w:space="0" w:color="auto"/>
      </w:divBdr>
    </w:div>
    <w:div w:id="1474371508">
      <w:bodyDiv w:val="1"/>
      <w:marLeft w:val="0"/>
      <w:marRight w:val="0"/>
      <w:marTop w:val="0"/>
      <w:marBottom w:val="0"/>
      <w:divBdr>
        <w:top w:val="none" w:sz="0" w:space="0" w:color="auto"/>
        <w:left w:val="none" w:sz="0" w:space="0" w:color="auto"/>
        <w:bottom w:val="none" w:sz="0" w:space="0" w:color="auto"/>
        <w:right w:val="none" w:sz="0" w:space="0" w:color="auto"/>
      </w:divBdr>
    </w:div>
    <w:div w:id="1518809447">
      <w:bodyDiv w:val="1"/>
      <w:marLeft w:val="0"/>
      <w:marRight w:val="0"/>
      <w:marTop w:val="0"/>
      <w:marBottom w:val="0"/>
      <w:divBdr>
        <w:top w:val="none" w:sz="0" w:space="0" w:color="auto"/>
        <w:left w:val="none" w:sz="0" w:space="0" w:color="auto"/>
        <w:bottom w:val="none" w:sz="0" w:space="0" w:color="auto"/>
        <w:right w:val="none" w:sz="0" w:space="0" w:color="auto"/>
      </w:divBdr>
    </w:div>
    <w:div w:id="1537350673">
      <w:bodyDiv w:val="1"/>
      <w:marLeft w:val="0"/>
      <w:marRight w:val="0"/>
      <w:marTop w:val="0"/>
      <w:marBottom w:val="0"/>
      <w:divBdr>
        <w:top w:val="none" w:sz="0" w:space="0" w:color="auto"/>
        <w:left w:val="none" w:sz="0" w:space="0" w:color="auto"/>
        <w:bottom w:val="none" w:sz="0" w:space="0" w:color="auto"/>
        <w:right w:val="none" w:sz="0" w:space="0" w:color="auto"/>
      </w:divBdr>
    </w:div>
    <w:div w:id="1601184429">
      <w:bodyDiv w:val="1"/>
      <w:marLeft w:val="0"/>
      <w:marRight w:val="0"/>
      <w:marTop w:val="0"/>
      <w:marBottom w:val="0"/>
      <w:divBdr>
        <w:top w:val="none" w:sz="0" w:space="0" w:color="auto"/>
        <w:left w:val="none" w:sz="0" w:space="0" w:color="auto"/>
        <w:bottom w:val="none" w:sz="0" w:space="0" w:color="auto"/>
        <w:right w:val="none" w:sz="0" w:space="0" w:color="auto"/>
      </w:divBdr>
    </w:div>
    <w:div w:id="1634210286">
      <w:bodyDiv w:val="1"/>
      <w:marLeft w:val="0"/>
      <w:marRight w:val="0"/>
      <w:marTop w:val="0"/>
      <w:marBottom w:val="0"/>
      <w:divBdr>
        <w:top w:val="none" w:sz="0" w:space="0" w:color="auto"/>
        <w:left w:val="none" w:sz="0" w:space="0" w:color="auto"/>
        <w:bottom w:val="none" w:sz="0" w:space="0" w:color="auto"/>
        <w:right w:val="none" w:sz="0" w:space="0" w:color="auto"/>
      </w:divBdr>
    </w:div>
    <w:div w:id="1717504705">
      <w:bodyDiv w:val="1"/>
      <w:marLeft w:val="0"/>
      <w:marRight w:val="0"/>
      <w:marTop w:val="0"/>
      <w:marBottom w:val="0"/>
      <w:divBdr>
        <w:top w:val="none" w:sz="0" w:space="0" w:color="auto"/>
        <w:left w:val="none" w:sz="0" w:space="0" w:color="auto"/>
        <w:bottom w:val="none" w:sz="0" w:space="0" w:color="auto"/>
        <w:right w:val="none" w:sz="0" w:space="0" w:color="auto"/>
      </w:divBdr>
    </w:div>
    <w:div w:id="1805585895">
      <w:bodyDiv w:val="1"/>
      <w:marLeft w:val="0"/>
      <w:marRight w:val="0"/>
      <w:marTop w:val="0"/>
      <w:marBottom w:val="0"/>
      <w:divBdr>
        <w:top w:val="none" w:sz="0" w:space="0" w:color="auto"/>
        <w:left w:val="none" w:sz="0" w:space="0" w:color="auto"/>
        <w:bottom w:val="none" w:sz="0" w:space="0" w:color="auto"/>
        <w:right w:val="none" w:sz="0" w:space="0" w:color="auto"/>
      </w:divBdr>
    </w:div>
    <w:div w:id="1928340987">
      <w:bodyDiv w:val="1"/>
      <w:marLeft w:val="0"/>
      <w:marRight w:val="0"/>
      <w:marTop w:val="0"/>
      <w:marBottom w:val="0"/>
      <w:divBdr>
        <w:top w:val="none" w:sz="0" w:space="0" w:color="auto"/>
        <w:left w:val="none" w:sz="0" w:space="0" w:color="auto"/>
        <w:bottom w:val="none" w:sz="0" w:space="0" w:color="auto"/>
        <w:right w:val="none" w:sz="0" w:space="0" w:color="auto"/>
      </w:divBdr>
    </w:div>
    <w:div w:id="1960648981">
      <w:bodyDiv w:val="1"/>
      <w:marLeft w:val="0"/>
      <w:marRight w:val="0"/>
      <w:marTop w:val="0"/>
      <w:marBottom w:val="0"/>
      <w:divBdr>
        <w:top w:val="none" w:sz="0" w:space="0" w:color="auto"/>
        <w:left w:val="none" w:sz="0" w:space="0" w:color="auto"/>
        <w:bottom w:val="none" w:sz="0" w:space="0" w:color="auto"/>
        <w:right w:val="none" w:sz="0" w:space="0" w:color="auto"/>
      </w:divBdr>
    </w:div>
    <w:div w:id="1988242240">
      <w:bodyDiv w:val="1"/>
      <w:marLeft w:val="0"/>
      <w:marRight w:val="0"/>
      <w:marTop w:val="0"/>
      <w:marBottom w:val="0"/>
      <w:divBdr>
        <w:top w:val="none" w:sz="0" w:space="0" w:color="auto"/>
        <w:left w:val="none" w:sz="0" w:space="0" w:color="auto"/>
        <w:bottom w:val="none" w:sz="0" w:space="0" w:color="auto"/>
        <w:right w:val="none" w:sz="0" w:space="0" w:color="auto"/>
      </w:divBdr>
    </w:div>
    <w:div w:id="2035034810">
      <w:bodyDiv w:val="1"/>
      <w:marLeft w:val="0"/>
      <w:marRight w:val="0"/>
      <w:marTop w:val="0"/>
      <w:marBottom w:val="0"/>
      <w:divBdr>
        <w:top w:val="none" w:sz="0" w:space="0" w:color="auto"/>
        <w:left w:val="none" w:sz="0" w:space="0" w:color="auto"/>
        <w:bottom w:val="none" w:sz="0" w:space="0" w:color="auto"/>
        <w:right w:val="none" w:sz="0" w:space="0" w:color="auto"/>
      </w:divBdr>
    </w:div>
    <w:div w:id="2076471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Gil17</b:Tag>
    <b:SourceType>JournalArticle</b:SourceType>
    <b:Guid>{6173C557-6C8C-4FBD-B0C1-EE384B7104F6}</b:Guid>
    <b:Title>The Consumer Rights Act 2015 – a bastion of European consumer rights?</b:Title>
    <b:Year>2017</b:Year>
    <b:Author>
      <b:Author>
        <b:NameList>
          <b:Person>
            <b:Last>Giliker</b:Last>
            <b:First>Paula</b:First>
          </b:Person>
        </b:NameList>
      </b:Author>
    </b:Author>
    <b:JournalName>Legal studies (Society of Legal Scholars)</b:JournalName>
    <b:Pages>78-102</b:Pages>
    <b:Volume>37</b:Volume>
    <b:Issue>1</b:Issue>
    <b:RefOrder>1</b:RefOrder>
  </b:Source>
  <b:Source>
    <b:Tag>Gov151</b:Tag>
    <b:SourceType>InternetSite</b:SourceType>
    <b:Guid>{1C3A3870-F36B-41AD-88D5-EB5C790CD9F1}</b:Guid>
    <b:Title>Consumer Rights Act 2015</b:Title>
    <b:Year>2015</b:Year>
    <b:Author>
      <b:Author>
        <b:NameList>
          <b:Person>
            <b:Last>Gov.UK</b:Last>
          </b:Person>
        </b:NameList>
      </b:Author>
    </b:Author>
    <b:YearAccessed>2022</b:YearAccessed>
    <b:MonthAccessed>3</b:MonthAccessed>
    <b:DayAccessed>31</b:DayAccessed>
    <b:URL>https://www.legislation.gov.uk/ukpga/2015/15/pdfs/ukpga_20150015_en.pdf?msclkid=8e720673b13511eca34486f1439bf986</b:URL>
    <b:RefOrder>2</b:RefOrder>
  </b:Source>
  <b:Source>
    <b:Tag>Cit15</b:Tag>
    <b:SourceType>InternetSite</b:SourceType>
    <b:Guid>{857F5C0D-F6B5-426A-9AD8-765B80D363E7}</b:Guid>
    <b:Author>
      <b:Author>
        <b:NameList>
          <b:Person>
            <b:Last>Advice</b:Last>
            <b:First>Citizen's</b:First>
          </b:Person>
        </b:NameList>
      </b:Author>
    </b:Author>
    <b:Title>The Consumer Rights Act 2015 - What I need to know</b:Title>
    <b:Year>2015</b:Year>
    <b:YearAccessed>2022</b:YearAccessed>
    <b:MonthAccessed>3</b:MonthAccessed>
    <b:DayAccessed>31</b:DayAccessed>
    <b:URL>https://www.citizensadvice.org.uk/the-consumer-rights-act-2015/?msclkid=fac54188b13611eca5efbb66831bc3df</b:URL>
    <b:RefOrder>3</b:RefOrder>
  </b:Source>
  <b:Source>
    <b:Tag>Ash15</b:Tag>
    <b:SourceType>InternetSite</b:SourceType>
    <b:Guid>{FE62F858-E0A9-4DE6-9AA3-D962FFC43278}</b:Guid>
    <b:Author>
      <b:Author>
        <b:NameList>
          <b:Person>
            <b:Last>Ashurst</b:Last>
          </b:Person>
        </b:NameList>
      </b:Author>
    </b:Author>
    <b:Title>What's in a name? CRA 2015: the overhaul of the consumer rights regime in the UK</b:Title>
    <b:Year>2015</b:Year>
    <b:YearAccessed>2022</b:YearAccessed>
    <b:MonthAccessed>04</b:MonthAccessed>
    <b:DayAccessed>04</b:DayAccessed>
    <b:URL>https://www.ashurst.com/en/news-and-insights/legal-updates/whats-in-a-name-cra-2015-the-overhaul-of-the-consumer-rights-regime-in-the-uk/?msclkid=70e00674b38a11ec988df1f7fc7f513b</b:URL>
    <b:RefOrder>4</b:RefOrder>
  </b:Source>
  <b:Source>
    <b:Tag>Pau191</b:Tag>
    <b:SourceType>Book</b:SourceType>
    <b:Guid>{766B6AF8-45E6-4D6E-9FDB-AC2CF2E26B98}</b:Guid>
    <b:Title>Law of contract</b:Title>
    <b:Year>2019</b:Year>
    <b:Author>
      <b:Author>
        <b:NameList>
          <b:Person>
            <b:Last>Richards</b:Last>
            <b:First>Paul</b:First>
          </b:Person>
        </b:NameList>
      </b:Author>
    </b:Author>
    <b:Publisher>Pearsons</b:Publisher>
    <b:Edition>4th</b:Edition>
    <b:RefOrder>5</b:RefOrder>
  </b:Source>
  <b:Source>
    <b:Tag>Pau17</b:Tag>
    <b:SourceType>Book</b:SourceType>
    <b:Guid>{ED20D894-6732-49A4-9361-0DF54365BA3A}</b:Guid>
    <b:Author>
      <b:Author>
        <b:NameList>
          <b:Person>
            <b:Last>Paul A McDermott</b:Last>
            <b:First>James</b:First>
            <b:Middle>McDermott</b:Middle>
          </b:Person>
        </b:NameList>
      </b:Author>
    </b:Author>
    <b:Title>Contract Law</b:Title>
    <b:Year>2017</b:Year>
    <b:Publisher>Bloomsbury Academic</b:Publisher>
    <b:Edition>2nd</b:Edition>
    <b:RefOrder>6</b:RefOrder>
  </b:Source>
  <b:Source>
    <b:Tag>Rob19</b:Tag>
    <b:SourceType>Book</b:SourceType>
    <b:Guid>{B5EF65CB-BD45-42B0-9820-B5369F819692}</b:Guid>
    <b:Author>
      <b:Author>
        <b:NameList>
          <b:Person>
            <b:Last>Robert Merkin</b:Last>
            <b:First>Severine</b:First>
            <b:Middle>Saintier</b:Middle>
          </b:Person>
        </b:NameList>
      </b:Author>
    </b:Author>
    <b:Title>Poole's Textbook on Contract Law</b:Title>
    <b:Year>2019</b:Year>
    <b:Publisher>Oxford University Press</b:Publisher>
    <b:Edition>14th</b:Edition>
    <b:RefOrder>7</b:RefOrder>
  </b:Source>
  <b:Source>
    <b:Tag>Chr15</b:Tag>
    <b:SourceType>JournalArticle</b:SourceType>
    <b:Guid>{C6AA97E8-736B-4723-B871-7C0AAA44CCDB}</b:Guid>
    <b:Title>Consumer Sales and English Law – The Fear of Coherence?</b:Title>
    <b:Year>2015</b:Year>
    <b:Author>
      <b:Author>
        <b:NameList>
          <b:Person>
            <b:Last>TWIGG-FLESNER</b:Last>
            <b:First>Christian</b:First>
          </b:Person>
        </b:NameList>
      </b:Author>
    </b:Author>
    <b:JournalName>The Consumer Rights Directive</b:JournalName>
    <b:Pages>1-21</b:Pages>
    <b:Volume>3</b:Volume>
    <b:RefOrder>8</b:RefOrder>
  </b:Source>
  <b:Source>
    <b:Tag>Bla15</b:Tag>
    <b:SourceType>InternetSite</b:SourceType>
    <b:Guid>{0F7BF9FD-3E60-4839-BEC0-E49E78009430}</b:Guid>
    <b:Title>THE CONSUMER RIGHTS ACT 2015 – ALL CHANGE FOR CONSUMER CONTRACTS FOR GOODS, DIGITAL CONTENT, SERVICES AND UNFAIR TERMS</b:Title>
    <b:Year>2015</b:Year>
    <b:Author>
      <b:Author>
        <b:NameList>
          <b:Person>
            <b:Last>Morgan</b:Last>
            <b:First>Blake</b:First>
          </b:Person>
        </b:NameList>
      </b:Author>
    </b:Author>
    <b:YearAccessed>2022</b:YearAccessed>
    <b:MonthAccessed>04</b:MonthAccessed>
    <b:DayAccessed>05</b:DayAccessed>
    <b:URL>https://www.blakemorgan.co.uk/the-consumer-rights-act-2015-all-change-for-consumer-contracts-for-goods-digital-content-services-and-unfair-terms/?msclkid=0febc6b5b4b811ec915cb396dbf44f1f</b:URL>
    <b:RefOrder>9</b:RefOrder>
  </b:Source>
  <b:Source>
    <b:Tag>Bar15</b:Tag>
    <b:SourceType>JournalArticle</b:SourceType>
    <b:Guid>{6671CC0D-DDBA-4E08-9F86-A6624D2C444F}</b:Guid>
    <b:Title>The Consumer Rights Act 2015 and collective redress for competition law infringements in the UK: a class act? </b:Title>
    <b:Year>2015</b:Year>
    <b:Author>
      <b:Author>
        <b:NameList>
          <b:Person>
            <b:Last>Rodger</b:Last>
            <b:First>Barry</b:First>
            <b:Middle>J.</b:Middle>
          </b:Person>
        </b:NameList>
      </b:Author>
    </b:Author>
    <b:JournalName>Journal of Antitrust Enforcement</b:JournalName>
    <b:Pages>258–286</b:Pages>
    <b:Volume>3</b:Volume>
    <b:Issue>2</b:Issue>
    <b:RefOrder>10</b:RefOrder>
  </b:Source>
  <b:Source>
    <b:Tag>And16</b:Tag>
    <b:SourceType>JournalArticle</b:SourceType>
    <b:Guid>{65D58F2C-1CEA-439F-BA0E-BB9C86C0D4AA}</b:Guid>
    <b:Author>
      <b:Author>
        <b:NameList>
          <b:Person>
            <b:Last>Higgins</b:Last>
            <b:First>Andrew</b:First>
          </b:Person>
        </b:NameList>
      </b:Author>
    </b:Author>
    <b:Title>Driving with the Handbrake On: Competition Class Actions under the Consumer Rights Act 2015</b:Title>
    <b:JournalName>Modern Law Review</b:JournalName>
    <b:Year>2016</b:Year>
    <b:Pages>442-467</b:Pages>
    <b:Volume>79</b:Volume>
    <b:Issue>3</b:Issue>
    <b:RefOrder>11</b:RefOrder>
  </b:Source>
  <b:Source>
    <b:Tag>Tay17</b:Tag>
    <b:SourceType>DocumentFromInternetSite</b:SourceType>
    <b:Guid>{2BE2AA76-BAF2-4108-8984-2E14880F2C78}</b:Guid>
    <b:Title>The Consumer Rights Act 2015, two years on… a seismic change in the business-to-consumer relationship?</b:Title>
    <b:Year>2017</b:Year>
    <b:Author>
      <b:Author>
        <b:NameList>
          <b:Person>
            <b:Last>Vinters</b:Last>
            <b:First>Taylor</b:First>
          </b:Person>
        </b:NameList>
      </b:Author>
    </b:Author>
    <b:YearAccessed>2022</b:YearAccessed>
    <b:MonthAccessed>04</b:MonthAccessed>
    <b:DayAccessed>05</b:DayAccessed>
    <b:URL>https://www.taylorvinters.com/article/the-consumer-rights-act-2015-two-years-on-a-seismic-change-in-the-business-to-consumer-relationship?msclkid=077922f1b4c311eca6db168dc68a1657</b:URL>
    <b:RefOrder>12</b:RefOrder>
  </b:Source>
  <b:Source>
    <b:Tag>Pol22</b:Tag>
    <b:SourceType>InternetSite</b:SourceType>
    <b:Guid>{EF894794-C87C-434A-8F19-182F79C881F3}</b:Guid>
    <b:Title>Consumer Rights Act 2015</b:Title>
    <b:Year>2022</b:Year>
    <b:YearAccessed>2022</b:YearAccessed>
    <b:MonthAccessed>04</b:MonthAccessed>
    <b:DayAccessed>06</b:DayAccessed>
    <b:URL>https://www.politics.co.uk/reference/consumer-rights-act-2015/?msclkid=03f4cdafb4c711ec9fca199717c6d4e1</b:URL>
    <b:Author>
      <b:Author>
        <b:NameList>
          <b:Person>
            <b:Last>Politics</b:Last>
          </b:Person>
        </b:NameList>
      </b:Author>
    </b:Author>
    <b:RefOrder>13</b:RefOrder>
  </b:Source>
  <b:Source>
    <b:Tag>Ste21</b:Tag>
    <b:SourceType>InternetSite</b:SourceType>
    <b:Guid>{06AA33FF-2129-4D9F-AA5F-A3FF96928E26}</b:Guid>
    <b:Author>
      <b:Author>
        <b:NameList>
          <b:Person>
            <b:Last>Scown</b:Last>
            <b:First>Stephen</b:First>
          </b:Person>
        </b:NameList>
      </b:Author>
    </b:Author>
    <b:Title>The Consumer Rights Act 2015: what should happen when goods are faulty?</b:Title>
    <b:Year>2021</b:Year>
    <b:YearAccessed>2022</b:YearAccessed>
    <b:MonthAccessed>04</b:MonthAccessed>
    <b:DayAccessed>05</b:DayAccessed>
    <b:URL>ttps://www.stephens-scown.co.uk/disputes-with-businesses/the-consumer-rights-act-2015-what-should-happen-when-goods-are-faulty/?msclkid=cba811c7b4ff11ec8842f39e8fefd34d</b:URL>
    <b:RefOrder>14</b:RefOrder>
  </b:Source>
  <b:Source>
    <b:Tag>Ada21</b:Tag>
    <b:SourceType>InternetSite</b:SourceType>
    <b:Guid>{19B8E9F5-87F8-4434-8E74-0FF4E060DF51}</b:Guid>
    <b:Author>
      <b:Author>
        <b:NameList>
          <b:Person>
            <b:Last>French</b:Last>
            <b:First>Adam</b:First>
          </b:Person>
        </b:NameList>
      </b:Author>
    </b:Author>
    <b:Title>Consumer Rights Act 2015- The Consumer Rights Act protects you in almost all purchases you make. Here we explain what it means when buying goods or services</b:Title>
    <b:Year>2021</b:Year>
    <b:YearAccessed>2022</b:YearAccessed>
    <b:MonthAccessed>04</b:MonthAccessed>
    <b:DayAccessed>09</b:DayAccessed>
    <b:URL>https://www.which.co.uk/consumer-rights/regulation/consumer-rights-act-aKJYx8n5KiSl?msclkid=cba6fb93b4ff11ecaa8063635ac054a0</b:URL>
    <b:RefOrder>15</b:RefOrder>
  </b:Source>
  <b:Source>
    <b:Tag>Kat17</b:Tag>
    <b:SourceType>Book</b:SourceType>
    <b:Guid>{D1499762-6399-4DEE-B84A-B688AC495472}</b:Guid>
    <b:Title>Optimize Contract Law</b:Title>
    <b:Year>2017</b:Year>
    <b:Author>
      <b:Author>
        <b:NameList>
          <b:Person>
            <b:Last>Kathrin Kuhnel-Fitchen</b:Last>
            <b:First>Tracey</b:First>
            <b:Middle>Hough</b:Middle>
          </b:Person>
        </b:NameList>
      </b:Author>
    </b:Author>
    <b:Publisher>Taylor &amp; Francis</b:Publisher>
    <b:Edition>1st</b:Edition>
    <b:RefOrder>16</b:RefOrder>
  </b:Source>
  <b:Source>
    <b:Tag>Len22</b:Tag>
    <b:SourceType>JournalArticle</b:SourceType>
    <b:Guid>{20F869C1-B2E7-4D83-B470-B1064E45D387}</b:Guid>
    <b:Title>The Concept of Digital Content and Digital Services in European Contract Law</b:Title>
    <b:Year>2022</b:Year>
    <b:Author>
      <b:Author>
        <b:NameList>
          <b:Person>
            <b:Last>Mischau</b:Last>
            <b:First>Lena</b:First>
          </b:Person>
        </b:NameList>
      </b:Author>
    </b:Author>
    <b:JournalName>Journal Of European Consumer and Market Law</b:JournalName>
    <b:Pages>6-13</b:Pages>
    <b:Volume>11</b:Volume>
    <b:Issue>1</b:Issue>
    <b:RefOrder>17</b:RefOrder>
  </b:Source>
  <b:Source>
    <b:Tag>Con19</b:Tag>
    <b:SourceType>JournalArticle</b:SourceType>
    <b:Guid>{4B591931-18BD-4D8C-B2F3-FBB476B40823}</b:Guid>
    <b:Author>
      <b:Author>
        <b:NameList>
          <b:Person>
            <b:Last>Conklin</b:Last>
            <b:First>Kathy</b:First>
          </b:Person>
          <b:Person>
            <b:Last>Hyde</b:Last>
            <b:First>Richard</b:First>
          </b:Person>
          <b:Person>
            <b:Last>Parente</b:Last>
            <b:First>Fabio</b:First>
          </b:Person>
        </b:NameList>
      </b:Author>
    </b:Author>
    <b:Title>Assessing plain and intelligible language in the Consumer Rights Act: a role for reading scores?</b:Title>
    <b:JournalName>Legal studies (Society of Legal Scholars)</b:JournalName>
    <b:Year>2019</b:Year>
    <b:Pages>378-397</b:Pages>
    <b:Volume>39</b:Volume>
    <b:Issue>3</b:Issue>
    <b:RefOrder>18</b:RefOrder>
  </b:Source>
  <b:Source>
    <b:Tag>Ruw22</b:Tag>
    <b:SourceType>JournalArticle</b:SourceType>
    <b:Guid>{E3EF638E-049F-4709-9F94-B8201DE421F4}</b:Guid>
    <b:Title>Consumer Rights in the Context of Human Rights: A Legal Analysis</b:Title>
    <b:Year>2022</b:Year>
    <b:Author>
      <b:Author>
        <b:NameList>
          <b:Person>
            <b:Last>Ariyaratna</b:Last>
            <b:First>Ruwanthika</b:First>
          </b:Person>
        </b:NameList>
      </b:Author>
    </b:Author>
    <b:JournalName>KDU Law Journal</b:JournalName>
    <b:Pages>25-40</b:Pages>
    <b:Volume>2</b:Volume>
    <b:Issue>1</b:Issue>
    <b:RefOrder>19</b:RefOrder>
  </b:Source>
  <b:Source>
    <b:Tag>Gen18</b:Tag>
    <b:SourceType>Book</b:SourceType>
    <b:Guid>{BCCBC154-875B-4F02-B504-76334B50E31F}</b:Guid>
    <b:Title>Enforcement and Effectiveness of Consumer Law</b:Title>
    <b:Year>2018</b:Year>
    <b:Author>
      <b:Author>
        <b:NameList>
          <b:Person>
            <b:Last>Micklitz</b:Last>
            <b:First>Geneviève</b:First>
            <b:Middle>Saumier and Hans-W.</b:Middle>
          </b:Person>
        </b:NameList>
      </b:Author>
    </b:Author>
    <b:Publisher>Springer International Publishing</b:Publisher>
    <b:Edition>1st</b:Edition>
    <b:RefOrder>20</b:RefOrder>
  </b:Source>
  <b:Source>
    <b:Tag>Pra17</b:Tag>
    <b:SourceType>Book</b:SourceType>
    <b:Guid>{CCE87D32-9024-45AF-BDC0-B9AA2A270A50}</b:Guid>
    <b:Author>
      <b:Author>
        <b:NameList>
          <b:Person>
            <b:Last>Iamumpha</b:Last>
            <b:First>Pratamaporn</b:First>
          </b:Person>
        </b:NameList>
      </b:Author>
    </b:Author>
    <b:Title>The Improvement of Consumer Protection Rights in New Clarification of CRA 2015</b:Title>
    <b:Year>2017</b:Year>
    <b:Publisher>University of Essex</b:Publisher>
    <b:RefOrder>21</b:RefOrder>
  </b:Source>
</b:Sources>
</file>

<file path=customXml/itemProps1.xml><?xml version="1.0" encoding="utf-8"?>
<ds:datastoreItem xmlns:ds="http://schemas.openxmlformats.org/officeDocument/2006/customXml" ds:itemID="{C7B9DB9E-EA74-4E4A-A672-58F9AF9CE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2752</Words>
  <Characters>15692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18408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Contract Law</dc:subject>
  <dc:creator>Lisa Grove (2017691)</dc:creator>
  <cp:keywords/>
  <dc:description/>
  <cp:lastModifiedBy>Lisa Grove (2017691)</cp:lastModifiedBy>
  <cp:revision>2</cp:revision>
  <dcterms:created xsi:type="dcterms:W3CDTF">2022-04-29T18:19:00Z</dcterms:created>
  <dcterms:modified xsi:type="dcterms:W3CDTF">2022-04-29T18:19:00Z</dcterms:modified>
</cp:coreProperties>
</file>