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AA3B57" w14:textId="0770A1C3" w:rsidR="00DD5958" w:rsidRPr="00EC2009" w:rsidRDefault="00DD5958" w:rsidP="000D5B9E">
      <w:pPr>
        <w:jc w:val="center"/>
        <w:rPr>
          <w:b/>
          <w:sz w:val="24"/>
          <w:u w:val="single"/>
        </w:rPr>
      </w:pPr>
      <w:r w:rsidRPr="00EC2009">
        <w:rPr>
          <w:b/>
          <w:sz w:val="24"/>
          <w:u w:val="single"/>
        </w:rPr>
        <w:t xml:space="preserve">In </w:t>
      </w:r>
      <w:proofErr w:type="gramStart"/>
      <w:r w:rsidRPr="00EC2009">
        <w:rPr>
          <w:b/>
          <w:i/>
          <w:sz w:val="24"/>
          <w:u w:val="single"/>
        </w:rPr>
        <w:t>The</w:t>
      </w:r>
      <w:proofErr w:type="gramEnd"/>
      <w:r w:rsidRPr="00EC2009">
        <w:rPr>
          <w:b/>
          <w:i/>
          <w:sz w:val="24"/>
          <w:u w:val="single"/>
        </w:rPr>
        <w:t xml:space="preserve"> Dream of the Rood </w:t>
      </w:r>
      <w:r w:rsidRPr="00EC2009">
        <w:rPr>
          <w:b/>
          <w:sz w:val="24"/>
          <w:u w:val="single"/>
        </w:rPr>
        <w:t>in what ways do the three major figures, the Dreamer, the Cross and Christ, both collectively and individually, redefine heroism?</w:t>
      </w:r>
    </w:p>
    <w:p w14:paraId="4169776E" w14:textId="384D58B9" w:rsidR="00BF6417" w:rsidRPr="00EC2009" w:rsidRDefault="00DD5958">
      <w:pPr>
        <w:rPr>
          <w:sz w:val="24"/>
        </w:rPr>
      </w:pPr>
      <w:r w:rsidRPr="00EC2009">
        <w:rPr>
          <w:sz w:val="24"/>
        </w:rPr>
        <w:t xml:space="preserve">The Anglo-Saxon poem </w:t>
      </w:r>
      <w:r w:rsidRPr="00EC2009">
        <w:rPr>
          <w:i/>
          <w:sz w:val="24"/>
        </w:rPr>
        <w:t>The Dream of the Rood</w:t>
      </w:r>
      <w:r w:rsidRPr="00EC2009">
        <w:rPr>
          <w:sz w:val="24"/>
        </w:rPr>
        <w:t xml:space="preserve"> </w:t>
      </w:r>
      <w:r w:rsidR="00F76B0E" w:rsidRPr="00EC2009">
        <w:rPr>
          <w:sz w:val="24"/>
        </w:rPr>
        <w:t xml:space="preserve">focusses on the story of three characters, </w:t>
      </w:r>
      <w:r w:rsidR="00F54235">
        <w:rPr>
          <w:sz w:val="24"/>
        </w:rPr>
        <w:t xml:space="preserve">which are </w:t>
      </w:r>
      <w:r w:rsidR="00F76B0E" w:rsidRPr="00EC2009">
        <w:rPr>
          <w:sz w:val="24"/>
        </w:rPr>
        <w:t xml:space="preserve">presented in the </w:t>
      </w:r>
      <w:r w:rsidR="00197E67" w:rsidRPr="00EC2009">
        <w:rPr>
          <w:sz w:val="24"/>
        </w:rPr>
        <w:t>prose. The first character met is the Dreamer, who narrates the first and last parts of the poem</w:t>
      </w:r>
      <w:r w:rsidR="00787FDE" w:rsidRPr="00EC2009">
        <w:rPr>
          <w:sz w:val="24"/>
        </w:rPr>
        <w:t xml:space="preserve">. The second character is the Cross, another narrating character, </w:t>
      </w:r>
      <w:r w:rsidR="00F9025E">
        <w:rPr>
          <w:sz w:val="24"/>
        </w:rPr>
        <w:t>however rather than a human being, the Cross</w:t>
      </w:r>
      <w:r w:rsidR="00787FDE" w:rsidRPr="00EC2009">
        <w:rPr>
          <w:sz w:val="24"/>
        </w:rPr>
        <w:t xml:space="preserve"> is the personification of the wooden cros</w:t>
      </w:r>
      <w:r w:rsidR="00A46C49" w:rsidRPr="00EC2009">
        <w:rPr>
          <w:sz w:val="24"/>
        </w:rPr>
        <w:t>s</w:t>
      </w:r>
      <w:r w:rsidR="00F9025E">
        <w:rPr>
          <w:sz w:val="24"/>
        </w:rPr>
        <w:t>, or ‘Rood’,</w:t>
      </w:r>
      <w:r w:rsidR="00A46C49" w:rsidRPr="00EC2009">
        <w:rPr>
          <w:sz w:val="24"/>
        </w:rPr>
        <w:t xml:space="preserve"> in the story of Christ’s crucifixion. The third and final character is Christ himself, who </w:t>
      </w:r>
      <w:r w:rsidR="00CF0131" w:rsidRPr="00EC2009">
        <w:rPr>
          <w:sz w:val="24"/>
        </w:rPr>
        <w:t xml:space="preserve">though doesn’t narrate, is given some voice through the narration of the Cross. </w:t>
      </w:r>
      <w:r w:rsidR="00CF3116" w:rsidRPr="00EC2009">
        <w:rPr>
          <w:sz w:val="24"/>
        </w:rPr>
        <w:t xml:space="preserve">These three main figures in the poem all </w:t>
      </w:r>
      <w:r w:rsidR="00BC7E91" w:rsidRPr="00EC2009">
        <w:rPr>
          <w:sz w:val="24"/>
        </w:rPr>
        <w:t xml:space="preserve">contribute to the presentation of heroism in the poem in different ways, such as a religious perspective on </w:t>
      </w:r>
      <w:r w:rsidR="00950EA1" w:rsidRPr="00EC2009">
        <w:rPr>
          <w:sz w:val="24"/>
        </w:rPr>
        <w:t xml:space="preserve">the topic of heroism and </w:t>
      </w:r>
      <w:r w:rsidR="008C079C" w:rsidRPr="00EC2009">
        <w:rPr>
          <w:sz w:val="24"/>
        </w:rPr>
        <w:t xml:space="preserve">the twisting of common characteristics to fit the Anglo-Saxon popular opinion. </w:t>
      </w:r>
    </w:p>
    <w:p w14:paraId="1E3CEA05" w14:textId="290DE4E2" w:rsidR="00604101" w:rsidRPr="00EC2009" w:rsidRDefault="00B00C7A">
      <w:pPr>
        <w:rPr>
          <w:sz w:val="24"/>
        </w:rPr>
      </w:pPr>
      <w:r w:rsidRPr="00EC2009">
        <w:rPr>
          <w:sz w:val="24"/>
        </w:rPr>
        <w:t xml:space="preserve">The author of </w:t>
      </w:r>
      <w:r w:rsidRPr="00EC2009">
        <w:rPr>
          <w:i/>
          <w:sz w:val="24"/>
        </w:rPr>
        <w:t>The Dream of the Rood</w:t>
      </w:r>
      <w:r w:rsidRPr="00EC2009">
        <w:rPr>
          <w:sz w:val="24"/>
        </w:rPr>
        <w:t xml:space="preserve"> is unknown. In the past, there have been two </w:t>
      </w:r>
      <w:r w:rsidR="00C77CA3" w:rsidRPr="00EC2009">
        <w:rPr>
          <w:sz w:val="24"/>
        </w:rPr>
        <w:t xml:space="preserve">poets associated with the piece </w:t>
      </w:r>
      <w:r w:rsidR="00634CBA" w:rsidRPr="00EC2009">
        <w:rPr>
          <w:sz w:val="24"/>
        </w:rPr>
        <w:t xml:space="preserve">and labelled as potential authors, however </w:t>
      </w:r>
      <w:r w:rsidR="00F119ED" w:rsidRPr="00EC2009">
        <w:rPr>
          <w:sz w:val="24"/>
        </w:rPr>
        <w:t>there is little evidence other than coinciding dates to support either as the true author of the poem.</w:t>
      </w:r>
      <w:r w:rsidR="00E9486F" w:rsidRPr="00EC2009">
        <w:rPr>
          <w:rStyle w:val="FootnoteReference"/>
          <w:sz w:val="24"/>
        </w:rPr>
        <w:footnoteReference w:id="1"/>
      </w:r>
      <w:r w:rsidR="00F119ED" w:rsidRPr="00EC2009">
        <w:rPr>
          <w:sz w:val="24"/>
        </w:rPr>
        <w:t xml:space="preserve"> The first of the two thought to be the author is </w:t>
      </w:r>
      <w:r w:rsidR="00301764" w:rsidRPr="00EC2009">
        <w:rPr>
          <w:sz w:val="24"/>
        </w:rPr>
        <w:t xml:space="preserve">Caedmon, </w:t>
      </w:r>
      <w:r w:rsidR="00E9486F" w:rsidRPr="00EC2009">
        <w:rPr>
          <w:sz w:val="24"/>
        </w:rPr>
        <w:t>the first Old English Christian poet whose writing comes from between the years 658 and 680.</w:t>
      </w:r>
      <w:r w:rsidR="00E9486F" w:rsidRPr="00EC2009">
        <w:rPr>
          <w:rStyle w:val="FootnoteReference"/>
          <w:sz w:val="24"/>
        </w:rPr>
        <w:footnoteReference w:id="2"/>
      </w:r>
      <w:r w:rsidR="00E9486F" w:rsidRPr="00EC2009">
        <w:rPr>
          <w:sz w:val="24"/>
        </w:rPr>
        <w:t xml:space="preserve"> </w:t>
      </w:r>
      <w:r w:rsidR="002F5FF1" w:rsidRPr="00EC2009">
        <w:rPr>
          <w:sz w:val="24"/>
        </w:rPr>
        <w:t xml:space="preserve"> </w:t>
      </w:r>
      <w:r w:rsidR="002E3D97" w:rsidRPr="00EC2009">
        <w:rPr>
          <w:sz w:val="24"/>
        </w:rPr>
        <w:t xml:space="preserve">Caedmon’s story, which can be found in Bede’s writing, is similar to that of the figure of the Dreamer’s in the poem, where upon a vision, </w:t>
      </w:r>
      <w:r w:rsidR="00E1336D" w:rsidRPr="00EC2009">
        <w:rPr>
          <w:sz w:val="24"/>
        </w:rPr>
        <w:t xml:space="preserve">their faith in God gets strengthened. Caedmon, who was an illiterate herdsman, </w:t>
      </w:r>
      <w:r w:rsidR="003A4267" w:rsidRPr="00EC2009">
        <w:rPr>
          <w:sz w:val="24"/>
        </w:rPr>
        <w:t xml:space="preserve">was said to have been visited by a stranger and ordered to sing about </w:t>
      </w:r>
      <w:r w:rsidR="004853A8" w:rsidRPr="00EC2009">
        <w:rPr>
          <w:sz w:val="24"/>
        </w:rPr>
        <w:t>“the beginning of things”,</w:t>
      </w:r>
      <w:r w:rsidR="004853A8" w:rsidRPr="00EC2009">
        <w:rPr>
          <w:rStyle w:val="FootnoteReference"/>
          <w:sz w:val="24"/>
        </w:rPr>
        <w:footnoteReference w:id="3"/>
      </w:r>
      <w:r w:rsidR="004853A8" w:rsidRPr="00EC2009">
        <w:rPr>
          <w:sz w:val="24"/>
        </w:rPr>
        <w:t xml:space="preserve"> which led to </w:t>
      </w:r>
      <w:r w:rsidR="006E33AF" w:rsidRPr="00EC2009">
        <w:rPr>
          <w:sz w:val="24"/>
        </w:rPr>
        <w:t xml:space="preserve">Caedmon continuing along this path of Christian oral poetry. The similarities in the two stories could indicate that Caedmon </w:t>
      </w:r>
      <w:r w:rsidR="003A143A" w:rsidRPr="00EC2009">
        <w:rPr>
          <w:sz w:val="24"/>
        </w:rPr>
        <w:t xml:space="preserve">wrote </w:t>
      </w:r>
      <w:r w:rsidR="003A143A" w:rsidRPr="00EC2009">
        <w:rPr>
          <w:i/>
          <w:sz w:val="24"/>
        </w:rPr>
        <w:t xml:space="preserve">The Dream of the Rood </w:t>
      </w:r>
      <w:r w:rsidR="003A143A" w:rsidRPr="00EC2009">
        <w:rPr>
          <w:sz w:val="24"/>
        </w:rPr>
        <w:t>as homage to his past. The other potential author is Cy</w:t>
      </w:r>
      <w:r w:rsidR="00BD290C" w:rsidRPr="00EC2009">
        <w:rPr>
          <w:sz w:val="24"/>
        </w:rPr>
        <w:t>newulf, a</w:t>
      </w:r>
      <w:r w:rsidR="00DD7D93" w:rsidRPr="00EC2009">
        <w:rPr>
          <w:sz w:val="24"/>
        </w:rPr>
        <w:t xml:space="preserve"> Northumbrian or Mercian poet from the ninth century and author of four Old English poems,</w:t>
      </w:r>
      <w:r w:rsidR="00DD7D93" w:rsidRPr="00EC2009">
        <w:rPr>
          <w:rStyle w:val="FootnoteReference"/>
          <w:sz w:val="24"/>
        </w:rPr>
        <w:footnoteReference w:id="4"/>
      </w:r>
      <w:r w:rsidR="00DD7D93" w:rsidRPr="00EC2009">
        <w:rPr>
          <w:sz w:val="24"/>
        </w:rPr>
        <w:t xml:space="preserve"> however there is also little evidence to support the theory of him being the poet behind </w:t>
      </w:r>
      <w:r w:rsidR="00DD7D93" w:rsidRPr="00EC2009">
        <w:rPr>
          <w:i/>
          <w:sz w:val="24"/>
        </w:rPr>
        <w:t>The Dream of the Rood</w:t>
      </w:r>
      <w:r w:rsidR="004868A4" w:rsidRPr="00EC2009">
        <w:rPr>
          <w:sz w:val="24"/>
        </w:rPr>
        <w:t xml:space="preserve"> however </w:t>
      </w:r>
      <w:r w:rsidR="002E18C6" w:rsidRPr="00EC2009">
        <w:rPr>
          <w:sz w:val="24"/>
        </w:rPr>
        <w:t xml:space="preserve">much of </w:t>
      </w:r>
      <w:r w:rsidR="004868A4" w:rsidRPr="00EC2009">
        <w:rPr>
          <w:sz w:val="24"/>
        </w:rPr>
        <w:t xml:space="preserve">Cynewulf’s </w:t>
      </w:r>
      <w:r w:rsidR="002E18C6" w:rsidRPr="00EC2009">
        <w:rPr>
          <w:sz w:val="24"/>
        </w:rPr>
        <w:t>work can be found in the Vercelli Book,</w:t>
      </w:r>
      <w:r w:rsidR="00A75C06" w:rsidRPr="00EC2009">
        <w:rPr>
          <w:rStyle w:val="FootnoteReference"/>
          <w:sz w:val="24"/>
        </w:rPr>
        <w:footnoteReference w:id="5"/>
      </w:r>
      <w:r w:rsidR="002E18C6" w:rsidRPr="00EC2009">
        <w:rPr>
          <w:sz w:val="24"/>
        </w:rPr>
        <w:t xml:space="preserve"> </w:t>
      </w:r>
      <w:r w:rsidR="00F93432" w:rsidRPr="00EC2009">
        <w:rPr>
          <w:sz w:val="24"/>
        </w:rPr>
        <w:t xml:space="preserve">and Old English manuscript from the tenth century, which holds works of his such as </w:t>
      </w:r>
      <w:r w:rsidR="00F622D1" w:rsidRPr="00EC2009">
        <w:rPr>
          <w:i/>
          <w:sz w:val="24"/>
        </w:rPr>
        <w:t>Elene</w:t>
      </w:r>
      <w:r w:rsidR="00F622D1" w:rsidRPr="00EC2009">
        <w:rPr>
          <w:sz w:val="24"/>
        </w:rPr>
        <w:t xml:space="preserve"> and </w:t>
      </w:r>
      <w:r w:rsidR="00F622D1" w:rsidRPr="00EC2009">
        <w:rPr>
          <w:i/>
          <w:sz w:val="24"/>
        </w:rPr>
        <w:t xml:space="preserve">The Fates of the Apostles, </w:t>
      </w:r>
      <w:r w:rsidR="00F622D1" w:rsidRPr="00EC2009">
        <w:rPr>
          <w:sz w:val="24"/>
        </w:rPr>
        <w:t xml:space="preserve">however more interestingly the Vercelli Book </w:t>
      </w:r>
      <w:r w:rsidR="00F93432" w:rsidRPr="00EC2009">
        <w:rPr>
          <w:sz w:val="24"/>
        </w:rPr>
        <w:t xml:space="preserve">also holds </w:t>
      </w:r>
      <w:r w:rsidR="00F93432" w:rsidRPr="00EC2009">
        <w:rPr>
          <w:i/>
          <w:sz w:val="24"/>
        </w:rPr>
        <w:t>The Dream of the Rood</w:t>
      </w:r>
      <w:r w:rsidR="00F93432" w:rsidRPr="00EC2009">
        <w:rPr>
          <w:sz w:val="24"/>
        </w:rPr>
        <w:t>.</w:t>
      </w:r>
      <w:r w:rsidR="00F622D1" w:rsidRPr="00EC2009">
        <w:rPr>
          <w:rStyle w:val="FootnoteReference"/>
          <w:sz w:val="24"/>
        </w:rPr>
        <w:footnoteReference w:id="6"/>
      </w:r>
      <w:r w:rsidR="00F93432" w:rsidRPr="00EC2009">
        <w:rPr>
          <w:sz w:val="24"/>
        </w:rPr>
        <w:t xml:space="preserve"> </w:t>
      </w:r>
    </w:p>
    <w:p w14:paraId="7DD83504" w14:textId="316DE984" w:rsidR="00F622D1" w:rsidRPr="00EC2009" w:rsidRDefault="00E941B1" w:rsidP="004F6D43">
      <w:pPr>
        <w:rPr>
          <w:sz w:val="24"/>
        </w:rPr>
      </w:pPr>
      <w:r w:rsidRPr="00EC2009">
        <w:rPr>
          <w:i/>
          <w:sz w:val="24"/>
        </w:rPr>
        <w:t>The Dream of the Rood</w:t>
      </w:r>
      <w:r w:rsidRPr="00EC2009">
        <w:rPr>
          <w:sz w:val="24"/>
        </w:rPr>
        <w:t xml:space="preserve"> was not found first in the Vercelli Book, but rather</w:t>
      </w:r>
      <w:r w:rsidR="00BB3BB5">
        <w:rPr>
          <w:sz w:val="24"/>
        </w:rPr>
        <w:t xml:space="preserve"> in</w:t>
      </w:r>
      <w:bookmarkStart w:id="0" w:name="_GoBack"/>
      <w:bookmarkEnd w:id="0"/>
      <w:r w:rsidRPr="00EC2009">
        <w:rPr>
          <w:sz w:val="24"/>
        </w:rPr>
        <w:t xml:space="preserve"> fragmented</w:t>
      </w:r>
      <w:r w:rsidR="00BB0B73" w:rsidRPr="00EC2009">
        <w:rPr>
          <w:sz w:val="24"/>
        </w:rPr>
        <w:t xml:space="preserve"> form on the Ruthwell Cross in </w:t>
      </w:r>
      <w:r w:rsidR="004B7CA9" w:rsidRPr="00EC2009">
        <w:rPr>
          <w:sz w:val="24"/>
        </w:rPr>
        <w:t>runic inscriptions from the eighth century.</w:t>
      </w:r>
      <w:r w:rsidR="00FA0443" w:rsidRPr="00EC2009">
        <w:rPr>
          <w:rStyle w:val="FootnoteReference"/>
          <w:sz w:val="24"/>
        </w:rPr>
        <w:footnoteReference w:id="7"/>
      </w:r>
      <w:r w:rsidR="004B7CA9" w:rsidRPr="00EC2009">
        <w:rPr>
          <w:sz w:val="24"/>
        </w:rPr>
        <w:t xml:space="preserve"> The Ruthwell Cross is now standing in the parish church of Ruthwell and few parts of the original poem can be seen still. It wasn’t until the discovery of the Vercelli Book in </w:t>
      </w:r>
      <w:r w:rsidR="00FA0443" w:rsidRPr="00EC2009">
        <w:rPr>
          <w:sz w:val="24"/>
        </w:rPr>
        <w:t>Northern Italy in 1822 that the entire poem became known to us.</w:t>
      </w:r>
      <w:r w:rsidR="00FA0443" w:rsidRPr="00EC2009">
        <w:rPr>
          <w:rStyle w:val="FootnoteReference"/>
          <w:sz w:val="24"/>
        </w:rPr>
        <w:footnoteReference w:id="8"/>
      </w:r>
    </w:p>
    <w:p w14:paraId="431F6AAC" w14:textId="1F88480A" w:rsidR="006F2B75" w:rsidRPr="00EC2009" w:rsidRDefault="007C30E5" w:rsidP="004F6D43">
      <w:pPr>
        <w:rPr>
          <w:sz w:val="24"/>
        </w:rPr>
      </w:pPr>
      <w:r w:rsidRPr="00EC2009">
        <w:rPr>
          <w:sz w:val="24"/>
        </w:rPr>
        <w:lastRenderedPageBreak/>
        <w:t xml:space="preserve">The first figure </w:t>
      </w:r>
      <w:r w:rsidR="00FE3195" w:rsidRPr="00EC2009">
        <w:rPr>
          <w:sz w:val="24"/>
        </w:rPr>
        <w:t xml:space="preserve">the audience is introduced to in </w:t>
      </w:r>
      <w:r w:rsidR="00FE3195" w:rsidRPr="00EC2009">
        <w:rPr>
          <w:i/>
          <w:sz w:val="24"/>
        </w:rPr>
        <w:t>The Dream of the Rood</w:t>
      </w:r>
      <w:r w:rsidR="00FE3195" w:rsidRPr="00EC2009">
        <w:rPr>
          <w:sz w:val="24"/>
        </w:rPr>
        <w:t xml:space="preserve"> is the character of the Dreamer. In this poem the Dreamer is </w:t>
      </w:r>
      <w:r w:rsidR="00B66889" w:rsidRPr="00EC2009">
        <w:rPr>
          <w:sz w:val="24"/>
        </w:rPr>
        <w:t>an unknown poet that comes across the Rood or Cross on which Christ was crucif</w:t>
      </w:r>
      <w:r w:rsidR="00263828" w:rsidRPr="00EC2009">
        <w:rPr>
          <w:sz w:val="24"/>
        </w:rPr>
        <w:t>ied</w:t>
      </w:r>
      <w:r w:rsidR="0010614E" w:rsidRPr="00EC2009">
        <w:rPr>
          <w:sz w:val="24"/>
        </w:rPr>
        <w:t xml:space="preserve"> which in turn tells the Dreamer his story of the crucifixion in a dream. </w:t>
      </w:r>
      <w:r w:rsidR="00E01947" w:rsidRPr="00EC2009">
        <w:rPr>
          <w:sz w:val="24"/>
        </w:rPr>
        <w:t xml:space="preserve">Upon hearing the story, the Dreamer </w:t>
      </w:r>
      <w:r w:rsidR="0035793E" w:rsidRPr="00EC2009">
        <w:rPr>
          <w:sz w:val="24"/>
        </w:rPr>
        <w:t xml:space="preserve">seemingly </w:t>
      </w:r>
      <w:r w:rsidR="00E01947" w:rsidRPr="00EC2009">
        <w:rPr>
          <w:sz w:val="24"/>
        </w:rPr>
        <w:t xml:space="preserve">regains </w:t>
      </w:r>
      <w:r w:rsidR="009816E5" w:rsidRPr="00EC2009">
        <w:rPr>
          <w:sz w:val="24"/>
        </w:rPr>
        <w:t>faith in God</w:t>
      </w:r>
      <w:r w:rsidR="00170F9F" w:rsidRPr="00EC2009">
        <w:rPr>
          <w:sz w:val="24"/>
        </w:rPr>
        <w:t xml:space="preserve"> or possibly even salvation, this can be seen through the change in language </w:t>
      </w:r>
      <w:r w:rsidR="005642AB" w:rsidRPr="00EC2009">
        <w:rPr>
          <w:sz w:val="24"/>
        </w:rPr>
        <w:t>from the first narration piece from the Dreamer’s perspective to the second piece. In the introductory</w:t>
      </w:r>
      <w:r w:rsidR="000224EC" w:rsidRPr="00EC2009">
        <w:rPr>
          <w:sz w:val="24"/>
        </w:rPr>
        <w:t xml:space="preserve"> narration, the Dreamer describes how he is “stained with sins”</w:t>
      </w:r>
      <w:r w:rsidR="00580BBD" w:rsidRPr="00EC2009">
        <w:rPr>
          <w:sz w:val="24"/>
        </w:rPr>
        <w:t xml:space="preserve"> </w:t>
      </w:r>
      <w:r w:rsidR="000224EC" w:rsidRPr="00EC2009">
        <w:rPr>
          <w:sz w:val="24"/>
        </w:rPr>
        <w:t>and “wounded with guilt”</w:t>
      </w:r>
      <w:r w:rsidR="00550C51" w:rsidRPr="00EC2009">
        <w:rPr>
          <w:sz w:val="24"/>
        </w:rPr>
        <w:t xml:space="preserve"> before the vision and speaks little of his personal belief or the glory of Christianity, however in the final </w:t>
      </w:r>
      <w:r w:rsidR="00CE4252" w:rsidRPr="00EC2009">
        <w:rPr>
          <w:sz w:val="24"/>
        </w:rPr>
        <w:t xml:space="preserve">section, the Dreamer’s narration is made up almost entirely of </w:t>
      </w:r>
      <w:r w:rsidR="008756CE" w:rsidRPr="00EC2009">
        <w:rPr>
          <w:sz w:val="24"/>
        </w:rPr>
        <w:t xml:space="preserve">praise to God, </w:t>
      </w:r>
      <w:r w:rsidR="00216D81" w:rsidRPr="00EC2009">
        <w:rPr>
          <w:sz w:val="24"/>
        </w:rPr>
        <w:t xml:space="preserve">“the almighty ruler”. The Dreamer even goes as far to say that he looks forward to death, </w:t>
      </w:r>
      <w:r w:rsidR="001B2400" w:rsidRPr="00EC2009">
        <w:rPr>
          <w:sz w:val="24"/>
        </w:rPr>
        <w:t xml:space="preserve">so that the Lord will “fetch [him] in this transitory life, and him [him] to where there is great bliss.” </w:t>
      </w:r>
      <w:r w:rsidR="00E94C43" w:rsidRPr="00EC2009">
        <w:rPr>
          <w:sz w:val="24"/>
        </w:rPr>
        <w:t xml:space="preserve">Because of the role of the Dreamer throughout the poem, it can be said that the purpose of the literature is to help those who are losing faith in God, the retelling of the crucifixion story from the figure of Cross and the reaction of the Dreamer to become more enveloped in the Christian faith presents the story of regaining lost faith, suggesting that the poem could be more rooted it converting Anglo-Saxons that still follow the pagan religion to Christianity, over its role as a piece of heroic literature. </w:t>
      </w:r>
      <w:r w:rsidR="001B2400" w:rsidRPr="00EC2009">
        <w:rPr>
          <w:sz w:val="24"/>
        </w:rPr>
        <w:t xml:space="preserve">This </w:t>
      </w:r>
      <w:r w:rsidR="00E94C43" w:rsidRPr="00EC2009">
        <w:rPr>
          <w:sz w:val="24"/>
        </w:rPr>
        <w:t xml:space="preserve">poem </w:t>
      </w:r>
      <w:r w:rsidR="001B2400" w:rsidRPr="00EC2009">
        <w:rPr>
          <w:sz w:val="24"/>
        </w:rPr>
        <w:t xml:space="preserve">not only presents the </w:t>
      </w:r>
      <w:r w:rsidR="00C03C02" w:rsidRPr="00EC2009">
        <w:rPr>
          <w:sz w:val="24"/>
        </w:rPr>
        <w:t xml:space="preserve">change in his viewing of God, and therefore suggests the rediscovery of faith to a potentially struggling audience but </w:t>
      </w:r>
      <w:r w:rsidR="006F2B75" w:rsidRPr="00EC2009">
        <w:rPr>
          <w:sz w:val="24"/>
        </w:rPr>
        <w:t xml:space="preserve">also suggests that people should not be afraid of death. With the constant presence of war in the Anglo-Saxon period, whether it be against the native Britons or invading Vikings, </w:t>
      </w:r>
      <w:r w:rsidR="0055553C" w:rsidRPr="00EC2009">
        <w:rPr>
          <w:sz w:val="24"/>
        </w:rPr>
        <w:t xml:space="preserve">the potential of death through battles is an ever-present factor in an Anglo-Saxon person’s life, and so through this poem the author </w:t>
      </w:r>
      <w:r w:rsidR="00622202" w:rsidRPr="00EC2009">
        <w:rPr>
          <w:sz w:val="24"/>
        </w:rPr>
        <w:t>can</w:t>
      </w:r>
      <w:r w:rsidR="0055553C" w:rsidRPr="00EC2009">
        <w:rPr>
          <w:sz w:val="24"/>
        </w:rPr>
        <w:t xml:space="preserve"> present death as a positive and heroic deed, rather than a negative end to a battle.</w:t>
      </w:r>
      <w:r w:rsidR="00622202" w:rsidRPr="00EC2009">
        <w:rPr>
          <w:sz w:val="24"/>
        </w:rPr>
        <w:t xml:space="preserve"> </w:t>
      </w:r>
    </w:p>
    <w:p w14:paraId="23E2DC97" w14:textId="584AA817" w:rsidR="002667E9" w:rsidRPr="00EC2009" w:rsidRDefault="00592838" w:rsidP="004F6D43">
      <w:pPr>
        <w:rPr>
          <w:sz w:val="24"/>
        </w:rPr>
      </w:pPr>
      <w:r w:rsidRPr="00EC2009">
        <w:rPr>
          <w:sz w:val="24"/>
        </w:rPr>
        <w:t xml:space="preserve">The Dreamer presents the religious aspect of heroism in the Anglo-Saxon </w:t>
      </w:r>
      <w:r w:rsidR="008372EE" w:rsidRPr="00EC2009">
        <w:rPr>
          <w:sz w:val="24"/>
        </w:rPr>
        <w:t>period and</w:t>
      </w:r>
      <w:r w:rsidR="00141691" w:rsidRPr="00EC2009">
        <w:rPr>
          <w:sz w:val="24"/>
        </w:rPr>
        <w:t xml:space="preserve"> is used as a literary device to present the importance of </w:t>
      </w:r>
      <w:r w:rsidR="0038350A" w:rsidRPr="00EC2009">
        <w:rPr>
          <w:sz w:val="24"/>
        </w:rPr>
        <w:t xml:space="preserve">Christianity </w:t>
      </w:r>
      <w:r w:rsidR="009D058D" w:rsidRPr="00EC2009">
        <w:rPr>
          <w:sz w:val="24"/>
        </w:rPr>
        <w:t xml:space="preserve">to the Anglo-Saxons. </w:t>
      </w:r>
      <w:r w:rsidR="008372EE" w:rsidRPr="00EC2009">
        <w:rPr>
          <w:sz w:val="24"/>
        </w:rPr>
        <w:t>The entwining of Christianity and heroism is common in Anglo-Saxon literature as m</w:t>
      </w:r>
      <w:r w:rsidR="00E4183C" w:rsidRPr="00EC2009">
        <w:rPr>
          <w:sz w:val="24"/>
        </w:rPr>
        <w:t xml:space="preserve">ost literature from the </w:t>
      </w:r>
      <w:r w:rsidR="00E816BB" w:rsidRPr="00EC2009">
        <w:rPr>
          <w:sz w:val="24"/>
        </w:rPr>
        <w:t xml:space="preserve">early </w:t>
      </w:r>
      <w:r w:rsidR="00E4183C" w:rsidRPr="00EC2009">
        <w:rPr>
          <w:sz w:val="24"/>
        </w:rPr>
        <w:t>medieval period comes from monks or other religious figures, as they were the ones educated enough to write</w:t>
      </w:r>
      <w:r w:rsidR="00E816BB" w:rsidRPr="00EC2009">
        <w:rPr>
          <w:sz w:val="24"/>
        </w:rPr>
        <w:t xml:space="preserve"> in Anglo-Saxon English</w:t>
      </w:r>
      <w:r w:rsidR="0020509D" w:rsidRPr="00EC2009">
        <w:rPr>
          <w:sz w:val="24"/>
        </w:rPr>
        <w:t>, or Latin later into the medieval period.</w:t>
      </w:r>
      <w:r w:rsidR="0020509D" w:rsidRPr="00EC2009">
        <w:rPr>
          <w:rStyle w:val="FootnoteReference"/>
          <w:sz w:val="24"/>
        </w:rPr>
        <w:footnoteReference w:id="9"/>
      </w:r>
      <w:r w:rsidR="0020509D" w:rsidRPr="00EC2009">
        <w:rPr>
          <w:sz w:val="24"/>
        </w:rPr>
        <w:t xml:space="preserve"> </w:t>
      </w:r>
      <w:r w:rsidR="00047A5E" w:rsidRPr="00EC2009">
        <w:rPr>
          <w:sz w:val="24"/>
        </w:rPr>
        <w:t>Other texts that link religion and heroism include Bede’s Eccle</w:t>
      </w:r>
      <w:r w:rsidR="00BA658B" w:rsidRPr="00EC2009">
        <w:rPr>
          <w:sz w:val="24"/>
        </w:rPr>
        <w:t>siastical History and</w:t>
      </w:r>
      <w:r w:rsidR="003E11B6" w:rsidRPr="00EC2009">
        <w:rPr>
          <w:sz w:val="24"/>
        </w:rPr>
        <w:t xml:space="preserve"> </w:t>
      </w:r>
      <w:r w:rsidR="003E11B6" w:rsidRPr="00EC2009">
        <w:rPr>
          <w:rFonts w:cstheme="minorHAnsi"/>
          <w:sz w:val="24"/>
        </w:rPr>
        <w:t>Æ</w:t>
      </w:r>
      <w:r w:rsidR="002A7A9A" w:rsidRPr="00EC2009">
        <w:rPr>
          <w:rFonts w:cstheme="minorHAnsi"/>
          <w:sz w:val="24"/>
        </w:rPr>
        <w:t>lfric’s Life of King Oswald</w:t>
      </w:r>
      <w:r w:rsidR="00BA658B" w:rsidRPr="00EC2009">
        <w:rPr>
          <w:sz w:val="24"/>
        </w:rPr>
        <w:t xml:space="preserve">, both of which are texts </w:t>
      </w:r>
      <w:r w:rsidR="002A7A9A" w:rsidRPr="00EC2009">
        <w:rPr>
          <w:sz w:val="24"/>
        </w:rPr>
        <w:t xml:space="preserve">that are written by men of the church and depict historical heroes </w:t>
      </w:r>
      <w:r w:rsidR="00A40D65" w:rsidRPr="00EC2009">
        <w:rPr>
          <w:sz w:val="24"/>
        </w:rPr>
        <w:t xml:space="preserve">and their feats. Bede was a Benedictine Monk </w:t>
      </w:r>
      <w:r w:rsidR="009D0C55" w:rsidRPr="00EC2009">
        <w:rPr>
          <w:sz w:val="24"/>
        </w:rPr>
        <w:t xml:space="preserve">at the monastery of St. Peter and </w:t>
      </w:r>
      <w:proofErr w:type="spellStart"/>
      <w:r w:rsidR="009D0C55" w:rsidRPr="00EC2009">
        <w:rPr>
          <w:rFonts w:cstheme="minorHAnsi"/>
          <w:sz w:val="24"/>
        </w:rPr>
        <w:t>Æ</w:t>
      </w:r>
      <w:r w:rsidR="009D0C55" w:rsidRPr="00EC2009">
        <w:rPr>
          <w:sz w:val="24"/>
        </w:rPr>
        <w:t>lfric</w:t>
      </w:r>
      <w:proofErr w:type="spellEnd"/>
      <w:r w:rsidR="009D0C55" w:rsidRPr="00EC2009">
        <w:rPr>
          <w:sz w:val="24"/>
        </w:rPr>
        <w:t xml:space="preserve"> was a</w:t>
      </w:r>
      <w:r w:rsidR="002667E9" w:rsidRPr="00EC2009">
        <w:rPr>
          <w:sz w:val="24"/>
        </w:rPr>
        <w:t xml:space="preserve">n English abbot, educated under Saint </w:t>
      </w:r>
      <w:proofErr w:type="spellStart"/>
      <w:r w:rsidR="002667E9" w:rsidRPr="00EC2009">
        <w:rPr>
          <w:rFonts w:cstheme="minorHAnsi"/>
          <w:sz w:val="24"/>
        </w:rPr>
        <w:t>Æ</w:t>
      </w:r>
      <w:r w:rsidR="002667E9" w:rsidRPr="00EC2009">
        <w:rPr>
          <w:sz w:val="24"/>
        </w:rPr>
        <w:t>thelwold</w:t>
      </w:r>
      <w:proofErr w:type="spellEnd"/>
      <w:r w:rsidR="002667E9" w:rsidRPr="00EC2009">
        <w:rPr>
          <w:sz w:val="24"/>
        </w:rPr>
        <w:t xml:space="preserve"> at </w:t>
      </w:r>
      <w:r w:rsidR="004F6D43" w:rsidRPr="00EC2009">
        <w:rPr>
          <w:sz w:val="24"/>
        </w:rPr>
        <w:t>Winchester, this shows how closely the historical and heroic are linked to the Christian religion, and how you cannot have one without the other. Because of this, the use of the Dreamer as a pawn in the poem</w:t>
      </w:r>
      <w:r w:rsidR="005D2B0F" w:rsidRPr="00EC2009">
        <w:rPr>
          <w:sz w:val="24"/>
        </w:rPr>
        <w:t xml:space="preserve"> to present religion as being an important factor of becoming a hero </w:t>
      </w:r>
      <w:r w:rsidR="00751330" w:rsidRPr="00EC2009">
        <w:rPr>
          <w:sz w:val="24"/>
        </w:rPr>
        <w:t xml:space="preserve">is a common theme in Anglo-Saxon literature, however the use of the figure in the way of having him </w:t>
      </w:r>
      <w:r w:rsidR="00472BB0" w:rsidRPr="00EC2009">
        <w:rPr>
          <w:sz w:val="24"/>
        </w:rPr>
        <w:t xml:space="preserve">be subject to this religious experience, is an unusual way of depicting this. </w:t>
      </w:r>
    </w:p>
    <w:p w14:paraId="4A528C8D" w14:textId="1142DD8B" w:rsidR="00050EE0" w:rsidRPr="00EC2009" w:rsidRDefault="008D3856">
      <w:pPr>
        <w:rPr>
          <w:sz w:val="24"/>
        </w:rPr>
      </w:pPr>
      <w:r w:rsidRPr="00EC2009">
        <w:rPr>
          <w:sz w:val="24"/>
        </w:rPr>
        <w:t>The</w:t>
      </w:r>
      <w:r w:rsidR="0020187B" w:rsidRPr="00EC2009">
        <w:rPr>
          <w:sz w:val="24"/>
        </w:rPr>
        <w:t xml:space="preserve"> figure of the Cross in </w:t>
      </w:r>
      <w:r w:rsidR="0020187B" w:rsidRPr="00EC2009">
        <w:rPr>
          <w:i/>
          <w:sz w:val="24"/>
        </w:rPr>
        <w:t>The Dream of the Rood</w:t>
      </w:r>
      <w:r w:rsidR="0020187B" w:rsidRPr="00EC2009">
        <w:rPr>
          <w:sz w:val="24"/>
        </w:rPr>
        <w:t xml:space="preserve"> is the personification of the inanimate object of the crucifixion cross. </w:t>
      </w:r>
      <w:r w:rsidR="00D83C5C" w:rsidRPr="00EC2009">
        <w:rPr>
          <w:sz w:val="24"/>
        </w:rPr>
        <w:t xml:space="preserve">As the poem progresses to narrate the story of Christ’s crucifixion, as told through the perspective of the </w:t>
      </w:r>
      <w:r w:rsidR="00472FA9" w:rsidRPr="00EC2009">
        <w:rPr>
          <w:sz w:val="24"/>
        </w:rPr>
        <w:t xml:space="preserve">Cross, the author explores the thoughts </w:t>
      </w:r>
      <w:r w:rsidR="00472FA9" w:rsidRPr="00EC2009">
        <w:rPr>
          <w:sz w:val="24"/>
        </w:rPr>
        <w:lastRenderedPageBreak/>
        <w:t xml:space="preserve">and feelings </w:t>
      </w:r>
      <w:r w:rsidR="009C6F48" w:rsidRPr="00EC2009">
        <w:rPr>
          <w:sz w:val="24"/>
        </w:rPr>
        <w:t xml:space="preserve">of both the Cross and of Christ at this time. </w:t>
      </w:r>
      <w:r w:rsidR="00DF345F" w:rsidRPr="00EC2009">
        <w:rPr>
          <w:sz w:val="24"/>
        </w:rPr>
        <w:t>The figure of the Cross is presented as a thane to Christ throughout the poe</w:t>
      </w:r>
      <w:r w:rsidR="00530A2A" w:rsidRPr="00EC2009">
        <w:rPr>
          <w:sz w:val="24"/>
        </w:rPr>
        <w:t xml:space="preserve">m, </w:t>
      </w:r>
      <w:r w:rsidR="0078610D" w:rsidRPr="00EC2009">
        <w:rPr>
          <w:sz w:val="24"/>
        </w:rPr>
        <w:t xml:space="preserve">the </w:t>
      </w:r>
      <w:r w:rsidR="0078610D" w:rsidRPr="00EC2009">
        <w:rPr>
          <w:i/>
          <w:sz w:val="24"/>
        </w:rPr>
        <w:t>Anglo-Saxon Dictionary</w:t>
      </w:r>
      <w:r w:rsidR="0078610D" w:rsidRPr="00EC2009">
        <w:rPr>
          <w:sz w:val="24"/>
        </w:rPr>
        <w:t xml:space="preserve"> defines a thane as “</w:t>
      </w:r>
      <w:r w:rsidR="00843A7B" w:rsidRPr="00EC2009">
        <w:rPr>
          <w:sz w:val="24"/>
        </w:rPr>
        <w:t xml:space="preserve">an Anglo-Saxon nobleman, inferior in rank to an eorl </w:t>
      </w:r>
      <w:r w:rsidR="002249D1" w:rsidRPr="00EC2009">
        <w:rPr>
          <w:sz w:val="24"/>
        </w:rPr>
        <w:t>and ealdorman</w:t>
      </w:r>
      <w:r w:rsidR="00512F39" w:rsidRPr="00EC2009">
        <w:rPr>
          <w:sz w:val="24"/>
        </w:rPr>
        <w:t>”</w:t>
      </w:r>
      <w:r w:rsidR="00512F39" w:rsidRPr="00EC2009">
        <w:rPr>
          <w:rStyle w:val="FootnoteReference"/>
          <w:sz w:val="24"/>
        </w:rPr>
        <w:footnoteReference w:id="10"/>
      </w:r>
      <w:r w:rsidR="00512F39" w:rsidRPr="00EC2009">
        <w:rPr>
          <w:sz w:val="24"/>
        </w:rPr>
        <w:t xml:space="preserve"> </w:t>
      </w:r>
      <w:r w:rsidR="00967FE6" w:rsidRPr="00EC2009">
        <w:rPr>
          <w:sz w:val="24"/>
        </w:rPr>
        <w:t xml:space="preserve">In the case of </w:t>
      </w:r>
      <w:r w:rsidR="00967FE6" w:rsidRPr="00EC2009">
        <w:rPr>
          <w:i/>
          <w:sz w:val="24"/>
        </w:rPr>
        <w:t>The Dream of the Rood,</w:t>
      </w:r>
      <w:r w:rsidR="00967FE6" w:rsidRPr="00EC2009">
        <w:rPr>
          <w:sz w:val="24"/>
        </w:rPr>
        <w:t xml:space="preserve"> if considering the Cross as a thane, Christ can then be characterised as </w:t>
      </w:r>
      <w:r w:rsidR="008076F6" w:rsidRPr="00EC2009">
        <w:rPr>
          <w:sz w:val="24"/>
        </w:rPr>
        <w:t xml:space="preserve">the more superior character, and therefore the main hero in the poem. </w:t>
      </w:r>
      <w:r w:rsidR="00552A9B" w:rsidRPr="00EC2009">
        <w:rPr>
          <w:sz w:val="24"/>
        </w:rPr>
        <w:t xml:space="preserve">Thanes are not uncommon characters in Anglo-Saxon poetry, the poem </w:t>
      </w:r>
      <w:r w:rsidR="00552A9B" w:rsidRPr="00EC2009">
        <w:rPr>
          <w:i/>
          <w:sz w:val="24"/>
        </w:rPr>
        <w:t>The Wanderer</w:t>
      </w:r>
      <w:r w:rsidR="00552A9B" w:rsidRPr="00EC2009">
        <w:rPr>
          <w:sz w:val="24"/>
        </w:rPr>
        <w:t xml:space="preserve"> follows a thane on his journey after the death of his Lord</w:t>
      </w:r>
      <w:r w:rsidR="00535FBE" w:rsidRPr="00EC2009">
        <w:rPr>
          <w:sz w:val="24"/>
        </w:rPr>
        <w:t xml:space="preserve">, and so the presence of the Cross in such as role only adds to the </w:t>
      </w:r>
      <w:r w:rsidR="000760FD" w:rsidRPr="00EC2009">
        <w:rPr>
          <w:sz w:val="24"/>
        </w:rPr>
        <w:t xml:space="preserve">importance of Christ as the hero and the overall heroic theme to the poem. </w:t>
      </w:r>
      <w:r w:rsidR="00556BB4" w:rsidRPr="00EC2009">
        <w:rPr>
          <w:sz w:val="24"/>
        </w:rPr>
        <w:t>This presentation of the Cross as a thane is a very standard feature of heroic poetry as thanes are categorised as a largely important part of early medieval culture, however the use of an inanimate object in a</w:t>
      </w:r>
      <w:r w:rsidR="00F478A1" w:rsidRPr="00EC2009">
        <w:rPr>
          <w:sz w:val="24"/>
        </w:rPr>
        <w:t xml:space="preserve"> human role is an uncommon and inventive way of presenting the relationship between two heroic figures such as a Lord and a thane, or in this case Christ and the Cross. </w:t>
      </w:r>
    </w:p>
    <w:p w14:paraId="4D39E8CC" w14:textId="3958EF92" w:rsidR="00B4332A" w:rsidRPr="00EC2009" w:rsidRDefault="00B4332A">
      <w:pPr>
        <w:rPr>
          <w:sz w:val="24"/>
        </w:rPr>
      </w:pPr>
      <w:r w:rsidRPr="00EC2009">
        <w:rPr>
          <w:sz w:val="24"/>
        </w:rPr>
        <w:t xml:space="preserve">The Cross as a heroic figure in </w:t>
      </w:r>
      <w:r w:rsidR="00B543FE" w:rsidRPr="00EC2009">
        <w:rPr>
          <w:i/>
          <w:sz w:val="24"/>
        </w:rPr>
        <w:t>The Dream of the Rood</w:t>
      </w:r>
      <w:r w:rsidRPr="00EC2009">
        <w:rPr>
          <w:sz w:val="24"/>
        </w:rPr>
        <w:t xml:space="preserve"> is also used to present the view</w:t>
      </w:r>
      <w:r w:rsidR="0071055F" w:rsidRPr="00EC2009">
        <w:rPr>
          <w:sz w:val="24"/>
        </w:rPr>
        <w:t xml:space="preserve"> of vengeance in Anglo-Saxon England. </w:t>
      </w:r>
      <w:r w:rsidR="00185422" w:rsidRPr="00EC2009">
        <w:rPr>
          <w:sz w:val="24"/>
        </w:rPr>
        <w:t xml:space="preserve">King Alfred </w:t>
      </w:r>
      <w:r w:rsidR="00EA1B72" w:rsidRPr="00EC2009">
        <w:rPr>
          <w:sz w:val="24"/>
        </w:rPr>
        <w:t>in his law codes allowed for “immediate vengeance”</w:t>
      </w:r>
      <w:r w:rsidR="00BF43ED" w:rsidRPr="00EC2009">
        <w:rPr>
          <w:rStyle w:val="FootnoteReference"/>
          <w:sz w:val="24"/>
        </w:rPr>
        <w:footnoteReference w:id="11"/>
      </w:r>
      <w:r w:rsidR="00EA1B72" w:rsidRPr="00EC2009">
        <w:rPr>
          <w:sz w:val="24"/>
        </w:rPr>
        <w:t xml:space="preserve"> before the judgement of the law in many cases, </w:t>
      </w:r>
      <w:r w:rsidR="00CE0057" w:rsidRPr="00EC2009">
        <w:rPr>
          <w:sz w:val="24"/>
        </w:rPr>
        <w:t xml:space="preserve">including ‘heroic’ acts such as protecting the females in </w:t>
      </w:r>
      <w:r w:rsidR="00BF43ED" w:rsidRPr="00EC2009">
        <w:rPr>
          <w:sz w:val="24"/>
        </w:rPr>
        <w:t>your family</w:t>
      </w:r>
      <w:r w:rsidR="007A250D" w:rsidRPr="00EC2009">
        <w:rPr>
          <w:rStyle w:val="FootnoteReference"/>
          <w:sz w:val="24"/>
        </w:rPr>
        <w:footnoteReference w:id="12"/>
      </w:r>
      <w:r w:rsidR="00BF43ED" w:rsidRPr="00EC2009">
        <w:rPr>
          <w:sz w:val="24"/>
        </w:rPr>
        <w:t xml:space="preserve"> </w:t>
      </w:r>
      <w:r w:rsidR="007C66D6" w:rsidRPr="00EC2009">
        <w:rPr>
          <w:sz w:val="24"/>
        </w:rPr>
        <w:t xml:space="preserve">and this </w:t>
      </w:r>
      <w:r w:rsidR="00331219" w:rsidRPr="00EC2009">
        <w:rPr>
          <w:sz w:val="24"/>
        </w:rPr>
        <w:t xml:space="preserve">outlook is presented in throughout the poem. Since the Cross in unable to take vengeance </w:t>
      </w:r>
      <w:r w:rsidR="001852B0" w:rsidRPr="00EC2009">
        <w:rPr>
          <w:sz w:val="24"/>
        </w:rPr>
        <w:t xml:space="preserve">against the people who are responsible for the death of Christ, both due to the Cross being an inanimate object and therefore unable to take action, and also due to the context of the situation and Christ’s willingness to die for people’s sins, the </w:t>
      </w:r>
      <w:r w:rsidR="00F150AE" w:rsidRPr="00EC2009">
        <w:rPr>
          <w:sz w:val="24"/>
        </w:rPr>
        <w:t xml:space="preserve">figure of the Cross portrays its inability to act, to counteract the overwhelming opinion of the Anglo-Saxon audience that vengeance must be taken. </w:t>
      </w:r>
      <w:r w:rsidR="009A1099" w:rsidRPr="00EC2009">
        <w:rPr>
          <w:sz w:val="24"/>
        </w:rPr>
        <w:t xml:space="preserve">Throughout the narrative portion told through the point of view of the Cross, the </w:t>
      </w:r>
      <w:r w:rsidR="000B21FF" w:rsidRPr="00EC2009">
        <w:rPr>
          <w:sz w:val="24"/>
        </w:rPr>
        <w:t xml:space="preserve">term “ne dorste” is repeated in relation to the Cross’ actions. </w:t>
      </w:r>
      <w:r w:rsidR="00923B7C" w:rsidRPr="00EC2009">
        <w:rPr>
          <w:sz w:val="24"/>
        </w:rPr>
        <w:t>‘</w:t>
      </w:r>
      <w:r w:rsidR="000B21FF" w:rsidRPr="00EC2009">
        <w:rPr>
          <w:i/>
          <w:sz w:val="24"/>
        </w:rPr>
        <w:t>Ne dorste</w:t>
      </w:r>
      <w:r w:rsidR="00923B7C" w:rsidRPr="00EC2009">
        <w:rPr>
          <w:sz w:val="24"/>
        </w:rPr>
        <w:t>’</w:t>
      </w:r>
      <w:r w:rsidR="000B21FF" w:rsidRPr="00EC2009">
        <w:rPr>
          <w:sz w:val="24"/>
        </w:rPr>
        <w:t xml:space="preserve"> </w:t>
      </w:r>
      <w:r w:rsidR="00923B7C" w:rsidRPr="00EC2009">
        <w:rPr>
          <w:sz w:val="24"/>
        </w:rPr>
        <w:t xml:space="preserve">can be translated to mean ‘dare not’ or ‘could not’ </w:t>
      </w:r>
      <w:r w:rsidR="008152F4" w:rsidRPr="00EC2009">
        <w:rPr>
          <w:sz w:val="24"/>
        </w:rPr>
        <w:t xml:space="preserve">meaning that though the Cross would like to take vengeance for Christ, as the Anglo-Saxon audience would expect from a thane, it is unable to. This allows for the Cross to still be respected by the audience despite its lack of action. </w:t>
      </w:r>
      <w:r w:rsidR="00C94573" w:rsidRPr="00EC2009">
        <w:rPr>
          <w:sz w:val="24"/>
        </w:rPr>
        <w:t xml:space="preserve">Overall, this different commentary on vengeance regarding heroes in literature and their thanes, redefines heroism as not needed the aspect of vengeance to still be a conveying piece of heroic literature. </w:t>
      </w:r>
    </w:p>
    <w:p w14:paraId="2D1D7BF3" w14:textId="6B8CE80E" w:rsidR="00D61569" w:rsidRPr="00EC2009" w:rsidRDefault="00382BAC">
      <w:pPr>
        <w:rPr>
          <w:rFonts w:cstheme="minorHAnsi"/>
          <w:sz w:val="24"/>
        </w:rPr>
      </w:pPr>
      <w:r w:rsidRPr="00EC2009">
        <w:rPr>
          <w:sz w:val="24"/>
        </w:rPr>
        <w:t xml:space="preserve">The final character presented in </w:t>
      </w:r>
      <w:r w:rsidRPr="00EC2009">
        <w:rPr>
          <w:i/>
          <w:sz w:val="24"/>
        </w:rPr>
        <w:t>The Dream of the Rood</w:t>
      </w:r>
      <w:r w:rsidRPr="00EC2009">
        <w:rPr>
          <w:sz w:val="24"/>
        </w:rPr>
        <w:t xml:space="preserve"> is the figure of Christ</w:t>
      </w:r>
      <w:r w:rsidR="009A4C91" w:rsidRPr="00EC2009">
        <w:rPr>
          <w:sz w:val="24"/>
        </w:rPr>
        <w:t xml:space="preserve">, who is the only of the three </w:t>
      </w:r>
      <w:r w:rsidR="0017592B" w:rsidRPr="00EC2009">
        <w:rPr>
          <w:sz w:val="24"/>
        </w:rPr>
        <w:t xml:space="preserve">personas presented that does not narrate a part of the poem. The average depiction of Christ in </w:t>
      </w:r>
      <w:r w:rsidR="00207993" w:rsidRPr="00EC2009">
        <w:rPr>
          <w:sz w:val="24"/>
        </w:rPr>
        <w:t>the majority of literature is of a pacifist viewpoint and gentle demeaner</w:t>
      </w:r>
      <w:r w:rsidR="004278A3" w:rsidRPr="00EC2009">
        <w:rPr>
          <w:sz w:val="24"/>
        </w:rPr>
        <w:t xml:space="preserve">, </w:t>
      </w:r>
      <w:r w:rsidR="005C2768" w:rsidRPr="00EC2009">
        <w:rPr>
          <w:sz w:val="24"/>
        </w:rPr>
        <w:t xml:space="preserve">and example of this is the depiction of religious figures in Bede’s Ecclesiastical History, especially in the story of Caedmon, where </w:t>
      </w:r>
      <w:r w:rsidR="00255DF2" w:rsidRPr="00EC2009">
        <w:rPr>
          <w:sz w:val="24"/>
        </w:rPr>
        <w:t xml:space="preserve">Caedmon’s hymn </w:t>
      </w:r>
      <w:r w:rsidR="002E7A9C" w:rsidRPr="00EC2009">
        <w:rPr>
          <w:sz w:val="24"/>
        </w:rPr>
        <w:t xml:space="preserve">describes God, and through association Christ, as </w:t>
      </w:r>
      <w:r w:rsidR="00EC2009" w:rsidRPr="00EC2009">
        <w:rPr>
          <w:sz w:val="24"/>
        </w:rPr>
        <w:t>“majesty”,</w:t>
      </w:r>
      <w:r w:rsidR="00EC2009" w:rsidRPr="00EC2009">
        <w:rPr>
          <w:rStyle w:val="FootnoteReference"/>
          <w:sz w:val="24"/>
        </w:rPr>
        <w:footnoteReference w:id="13"/>
      </w:r>
      <w:r w:rsidR="00EC2009" w:rsidRPr="00EC2009">
        <w:rPr>
          <w:sz w:val="24"/>
        </w:rPr>
        <w:t xml:space="preserve"> “might”</w:t>
      </w:r>
      <w:r w:rsidR="00EC2009" w:rsidRPr="00EC2009">
        <w:rPr>
          <w:rStyle w:val="FootnoteReference"/>
          <w:sz w:val="24"/>
        </w:rPr>
        <w:footnoteReference w:id="14"/>
      </w:r>
      <w:r w:rsidR="00EC2009" w:rsidRPr="00EC2009">
        <w:rPr>
          <w:sz w:val="24"/>
        </w:rPr>
        <w:t xml:space="preserve"> and “glory everlasting”</w:t>
      </w:r>
      <w:r w:rsidR="004278A3" w:rsidRPr="00EC2009">
        <w:rPr>
          <w:sz w:val="24"/>
        </w:rPr>
        <w:t>.</w:t>
      </w:r>
      <w:r w:rsidR="00EC2009" w:rsidRPr="00EC2009">
        <w:rPr>
          <w:rStyle w:val="FootnoteReference"/>
          <w:sz w:val="24"/>
        </w:rPr>
        <w:footnoteReference w:id="15"/>
      </w:r>
      <w:r w:rsidR="004278A3" w:rsidRPr="00EC2009">
        <w:rPr>
          <w:sz w:val="24"/>
        </w:rPr>
        <w:t xml:space="preserve"> </w:t>
      </w:r>
      <w:r w:rsidR="00ED4A17" w:rsidRPr="00EC2009">
        <w:rPr>
          <w:sz w:val="24"/>
        </w:rPr>
        <w:t xml:space="preserve">However, </w:t>
      </w:r>
      <w:r w:rsidR="008C50C9" w:rsidRPr="00EC2009">
        <w:rPr>
          <w:sz w:val="24"/>
        </w:rPr>
        <w:t xml:space="preserve">unlike most Anglo-Saxon literature, </w:t>
      </w:r>
      <w:r w:rsidR="008C50C9" w:rsidRPr="00EC2009">
        <w:rPr>
          <w:i/>
          <w:sz w:val="24"/>
        </w:rPr>
        <w:t>The Dream of the Rood</w:t>
      </w:r>
      <w:r w:rsidR="008C50C9" w:rsidRPr="00EC2009">
        <w:rPr>
          <w:sz w:val="24"/>
        </w:rPr>
        <w:t xml:space="preserve"> presents </w:t>
      </w:r>
      <w:r w:rsidR="008D3616" w:rsidRPr="00EC2009">
        <w:rPr>
          <w:sz w:val="24"/>
        </w:rPr>
        <w:t>Christ in a</w:t>
      </w:r>
      <w:r w:rsidR="00F010F8" w:rsidRPr="00EC2009">
        <w:rPr>
          <w:sz w:val="24"/>
        </w:rPr>
        <w:t xml:space="preserve">nother way. </w:t>
      </w:r>
      <w:r w:rsidR="00CC70AA" w:rsidRPr="00EC2009">
        <w:rPr>
          <w:sz w:val="24"/>
        </w:rPr>
        <w:lastRenderedPageBreak/>
        <w:t xml:space="preserve">The </w:t>
      </w:r>
      <w:r w:rsidR="004D2AED" w:rsidRPr="00EC2009">
        <w:rPr>
          <w:sz w:val="24"/>
        </w:rPr>
        <w:t xml:space="preserve">term </w:t>
      </w:r>
      <w:r w:rsidR="004D2AED" w:rsidRPr="00EC2009">
        <w:rPr>
          <w:i/>
          <w:sz w:val="24"/>
        </w:rPr>
        <w:t>“h</w:t>
      </w:r>
      <w:r w:rsidR="00B309C2" w:rsidRPr="00EC2009">
        <w:rPr>
          <w:rFonts w:cstheme="minorHAnsi"/>
          <w:i/>
          <w:sz w:val="24"/>
        </w:rPr>
        <w:t>æleð”</w:t>
      </w:r>
      <w:r w:rsidR="00B309C2" w:rsidRPr="00EC2009">
        <w:rPr>
          <w:rFonts w:cstheme="minorHAnsi"/>
          <w:sz w:val="24"/>
        </w:rPr>
        <w:t xml:space="preserve"> is used often to describe Christ from the point of view of the Cross, </w:t>
      </w:r>
      <w:r w:rsidR="009F37F6" w:rsidRPr="00EC2009">
        <w:rPr>
          <w:rFonts w:cstheme="minorHAnsi"/>
          <w:sz w:val="24"/>
        </w:rPr>
        <w:t xml:space="preserve">this can be translated </w:t>
      </w:r>
      <w:r w:rsidR="00D47AF0" w:rsidRPr="00EC2009">
        <w:rPr>
          <w:rFonts w:cstheme="minorHAnsi"/>
          <w:sz w:val="24"/>
        </w:rPr>
        <w:t xml:space="preserve">to </w:t>
      </w:r>
      <w:r w:rsidR="007030DD" w:rsidRPr="00EC2009">
        <w:rPr>
          <w:rFonts w:cstheme="minorHAnsi"/>
          <w:sz w:val="24"/>
        </w:rPr>
        <w:t>‘young warrior’</w:t>
      </w:r>
      <w:r w:rsidR="00193D24" w:rsidRPr="00EC2009">
        <w:rPr>
          <w:rFonts w:cstheme="minorHAnsi"/>
          <w:sz w:val="24"/>
        </w:rPr>
        <w:t xml:space="preserve"> </w:t>
      </w:r>
      <w:r w:rsidR="007A22B2" w:rsidRPr="00EC2009">
        <w:rPr>
          <w:rFonts w:cstheme="minorHAnsi"/>
          <w:sz w:val="24"/>
        </w:rPr>
        <w:t xml:space="preserve">and greatly contrasts </w:t>
      </w:r>
      <w:r w:rsidR="00565E09" w:rsidRPr="00EC2009">
        <w:rPr>
          <w:rFonts w:cstheme="minorHAnsi"/>
          <w:sz w:val="24"/>
        </w:rPr>
        <w:t xml:space="preserve">most depictions of </w:t>
      </w:r>
      <w:r w:rsidR="00AC0048" w:rsidRPr="00EC2009">
        <w:rPr>
          <w:rFonts w:cstheme="minorHAnsi"/>
          <w:sz w:val="24"/>
        </w:rPr>
        <w:t xml:space="preserve">Christ. </w:t>
      </w:r>
      <w:r w:rsidR="007358E5" w:rsidRPr="00EC2009">
        <w:rPr>
          <w:rFonts w:cstheme="minorHAnsi"/>
          <w:sz w:val="24"/>
        </w:rPr>
        <w:t xml:space="preserve">In </w:t>
      </w:r>
      <w:proofErr w:type="gramStart"/>
      <w:r w:rsidR="007358E5" w:rsidRPr="00EC2009">
        <w:rPr>
          <w:rFonts w:cstheme="minorHAnsi"/>
          <w:i/>
          <w:sz w:val="24"/>
        </w:rPr>
        <w:t>The</w:t>
      </w:r>
      <w:proofErr w:type="gramEnd"/>
      <w:r w:rsidR="007358E5" w:rsidRPr="00EC2009">
        <w:rPr>
          <w:rFonts w:cstheme="minorHAnsi"/>
          <w:i/>
          <w:sz w:val="24"/>
        </w:rPr>
        <w:t xml:space="preserve"> Dream of the Rood</w:t>
      </w:r>
      <w:r w:rsidR="007358E5" w:rsidRPr="00EC2009">
        <w:rPr>
          <w:rFonts w:cstheme="minorHAnsi"/>
          <w:sz w:val="24"/>
        </w:rPr>
        <w:t xml:space="preserve"> Christ is presented as a more aggressive</w:t>
      </w:r>
      <w:r w:rsidR="0031633D" w:rsidRPr="00EC2009">
        <w:rPr>
          <w:rFonts w:cstheme="minorHAnsi"/>
          <w:sz w:val="24"/>
        </w:rPr>
        <w:t xml:space="preserve"> character, stereotypical of an average </w:t>
      </w:r>
      <w:r w:rsidR="00960D6A" w:rsidRPr="00EC2009">
        <w:rPr>
          <w:rFonts w:cstheme="minorHAnsi"/>
          <w:sz w:val="24"/>
        </w:rPr>
        <w:t xml:space="preserve">Anglo-Saxon hero rather than the normal depiction of Christ. This </w:t>
      </w:r>
      <w:r w:rsidR="00B34CAF" w:rsidRPr="00EC2009">
        <w:rPr>
          <w:rFonts w:cstheme="minorHAnsi"/>
          <w:sz w:val="24"/>
        </w:rPr>
        <w:t xml:space="preserve">presents the </w:t>
      </w:r>
      <w:r w:rsidR="00446A54" w:rsidRPr="00EC2009">
        <w:rPr>
          <w:rFonts w:cstheme="minorHAnsi"/>
          <w:sz w:val="24"/>
        </w:rPr>
        <w:t xml:space="preserve">need for </w:t>
      </w:r>
      <w:r w:rsidR="00E83109" w:rsidRPr="00EC2009">
        <w:rPr>
          <w:rFonts w:cstheme="minorHAnsi"/>
          <w:sz w:val="24"/>
        </w:rPr>
        <w:t xml:space="preserve">alteration </w:t>
      </w:r>
      <w:r w:rsidR="00C0105F" w:rsidRPr="00EC2009">
        <w:rPr>
          <w:rFonts w:cstheme="minorHAnsi"/>
          <w:sz w:val="24"/>
        </w:rPr>
        <w:t xml:space="preserve">of </w:t>
      </w:r>
      <w:r w:rsidR="00CC40C8" w:rsidRPr="00EC2009">
        <w:rPr>
          <w:rFonts w:cstheme="minorHAnsi"/>
          <w:sz w:val="24"/>
        </w:rPr>
        <w:t>the character of Christ to fit the form of a hero</w:t>
      </w:r>
      <w:r w:rsidR="002707C4" w:rsidRPr="00EC2009">
        <w:rPr>
          <w:rFonts w:cstheme="minorHAnsi"/>
          <w:sz w:val="24"/>
        </w:rPr>
        <w:t xml:space="preserve"> in Anglo-Saxon literature</w:t>
      </w:r>
      <w:r w:rsidR="00EC2009" w:rsidRPr="00EC2009">
        <w:rPr>
          <w:rFonts w:cstheme="minorHAnsi"/>
          <w:sz w:val="24"/>
        </w:rPr>
        <w:t>.</w:t>
      </w:r>
    </w:p>
    <w:p w14:paraId="0BFA67DC" w14:textId="519454A1" w:rsidR="00247EF7" w:rsidRPr="00EC2009" w:rsidRDefault="001F2004" w:rsidP="00BA40A2">
      <w:pPr>
        <w:rPr>
          <w:b/>
          <w:sz w:val="24"/>
        </w:rPr>
      </w:pPr>
      <w:r w:rsidRPr="00EC2009">
        <w:rPr>
          <w:rFonts w:cstheme="minorHAnsi"/>
          <w:sz w:val="24"/>
        </w:rPr>
        <w:t xml:space="preserve">The three figures of the Dreamer, the Cross and Christ together present the redefining of heroism in Anglo-Saxon literature through the overall presentation of religion in the poem. </w:t>
      </w:r>
      <w:r w:rsidR="00497CF1" w:rsidRPr="00EC2009">
        <w:rPr>
          <w:rFonts w:cstheme="minorHAnsi"/>
          <w:sz w:val="24"/>
        </w:rPr>
        <w:t xml:space="preserve">The Christian religion </w:t>
      </w:r>
      <w:r w:rsidR="00734D74" w:rsidRPr="00EC2009">
        <w:rPr>
          <w:rFonts w:cstheme="minorHAnsi"/>
          <w:sz w:val="24"/>
        </w:rPr>
        <w:t xml:space="preserve">at during the Anglo-Saxon period was in a time of transition </w:t>
      </w:r>
      <w:r w:rsidR="00E666A5" w:rsidRPr="00EC2009">
        <w:rPr>
          <w:rFonts w:cstheme="minorHAnsi"/>
          <w:sz w:val="24"/>
        </w:rPr>
        <w:t xml:space="preserve">as conflicting opinions from </w:t>
      </w:r>
      <w:r w:rsidR="0052701E" w:rsidRPr="00EC2009">
        <w:rPr>
          <w:rFonts w:cstheme="minorHAnsi"/>
          <w:sz w:val="24"/>
        </w:rPr>
        <w:t>the Byzantine</w:t>
      </w:r>
      <w:r w:rsidR="002F4B17" w:rsidRPr="00EC2009">
        <w:rPr>
          <w:rFonts w:cstheme="minorHAnsi"/>
          <w:sz w:val="24"/>
        </w:rPr>
        <w:t xml:space="preserve"> Empire and Roman Christianity. </w:t>
      </w:r>
      <w:r w:rsidR="00247EF7" w:rsidRPr="00EC2009">
        <w:rPr>
          <w:rFonts w:cstheme="minorHAnsi"/>
          <w:sz w:val="24"/>
        </w:rPr>
        <w:t xml:space="preserve">The Eastern view, coming from Byzantium </w:t>
      </w:r>
      <w:r w:rsidR="00265B2B" w:rsidRPr="00EC2009">
        <w:rPr>
          <w:rFonts w:cstheme="minorHAnsi"/>
          <w:sz w:val="24"/>
        </w:rPr>
        <w:t xml:space="preserve">states that Christ was God in a human form, </w:t>
      </w:r>
      <w:r w:rsidR="00BE643C" w:rsidRPr="00EC2009">
        <w:rPr>
          <w:rFonts w:cstheme="minorHAnsi"/>
          <w:sz w:val="24"/>
        </w:rPr>
        <w:t>and through this did not suffer and was more of a God-like figure, however Western view, originating from Rome was that Christ was</w:t>
      </w:r>
      <w:r w:rsidR="005665BC" w:rsidRPr="00EC2009">
        <w:rPr>
          <w:rFonts w:cstheme="minorHAnsi"/>
          <w:sz w:val="24"/>
        </w:rPr>
        <w:t xml:space="preserve"> both God and man, and so suffered </w:t>
      </w:r>
      <w:r w:rsidR="00BE1FD2" w:rsidRPr="00EC2009">
        <w:rPr>
          <w:rFonts w:cstheme="minorHAnsi"/>
          <w:sz w:val="24"/>
        </w:rPr>
        <w:t>physically as a human man would. This the</w:t>
      </w:r>
      <w:r w:rsidR="00444D9B" w:rsidRPr="00EC2009">
        <w:rPr>
          <w:rFonts w:cstheme="minorHAnsi"/>
          <w:sz w:val="24"/>
        </w:rPr>
        <w:t>refore</w:t>
      </w:r>
      <w:r w:rsidR="00BE1FD2" w:rsidRPr="00EC2009">
        <w:rPr>
          <w:rFonts w:cstheme="minorHAnsi"/>
          <w:sz w:val="24"/>
        </w:rPr>
        <w:t xml:space="preserve"> causes friction regarding the </w:t>
      </w:r>
      <w:r w:rsidR="00444D9B" w:rsidRPr="00EC2009">
        <w:rPr>
          <w:rFonts w:cstheme="minorHAnsi"/>
          <w:sz w:val="24"/>
        </w:rPr>
        <w:t>crucifixion story, as Western belief would</w:t>
      </w:r>
      <w:r w:rsidR="009C6857" w:rsidRPr="00EC2009">
        <w:rPr>
          <w:rFonts w:cstheme="minorHAnsi"/>
          <w:sz w:val="24"/>
        </w:rPr>
        <w:t xml:space="preserve"> say that Christ suffered on the cross to which Byzantine opinion disagrees. </w:t>
      </w:r>
      <w:r w:rsidR="00716E23" w:rsidRPr="00EC2009">
        <w:rPr>
          <w:rFonts w:cstheme="minorHAnsi"/>
          <w:sz w:val="24"/>
        </w:rPr>
        <w:t xml:space="preserve">The solution to these conflicting Christian </w:t>
      </w:r>
      <w:r w:rsidR="00353382" w:rsidRPr="00EC2009">
        <w:rPr>
          <w:rFonts w:cstheme="minorHAnsi"/>
          <w:sz w:val="24"/>
        </w:rPr>
        <w:t>factions</w:t>
      </w:r>
      <w:r w:rsidR="00716E23" w:rsidRPr="00EC2009">
        <w:rPr>
          <w:rFonts w:cstheme="minorHAnsi"/>
          <w:sz w:val="24"/>
        </w:rPr>
        <w:t xml:space="preserve"> came in the form of a compromise of beliefs</w:t>
      </w:r>
      <w:r w:rsidR="00353382" w:rsidRPr="00EC2009">
        <w:rPr>
          <w:rFonts w:cstheme="minorHAnsi"/>
          <w:sz w:val="24"/>
        </w:rPr>
        <w:t xml:space="preserve">, agreeing that Christ was of two wills or natures and therefore suffered in body and not in soul. </w:t>
      </w:r>
      <w:r w:rsidR="00353382" w:rsidRPr="00EC2009">
        <w:rPr>
          <w:rFonts w:cstheme="minorHAnsi"/>
          <w:i/>
          <w:sz w:val="24"/>
        </w:rPr>
        <w:t>The Dream of the Rood</w:t>
      </w:r>
      <w:r w:rsidR="00353382" w:rsidRPr="00EC2009">
        <w:rPr>
          <w:rFonts w:cstheme="minorHAnsi"/>
          <w:sz w:val="24"/>
        </w:rPr>
        <w:t xml:space="preserve"> </w:t>
      </w:r>
      <w:r w:rsidR="0024241E" w:rsidRPr="00EC2009">
        <w:rPr>
          <w:rFonts w:cstheme="minorHAnsi"/>
          <w:sz w:val="24"/>
        </w:rPr>
        <w:t xml:space="preserve">presents this compromise through the personification of the Cross and therefore depicting two </w:t>
      </w:r>
      <w:r w:rsidR="00635761" w:rsidRPr="00EC2009">
        <w:rPr>
          <w:rFonts w:cstheme="minorHAnsi"/>
          <w:sz w:val="24"/>
        </w:rPr>
        <w:t xml:space="preserve">figures of holy value, the Cross then suffers as man would throughout the crucifixion in the poem, and Christ is shown to </w:t>
      </w:r>
      <w:r w:rsidR="00BA40A2" w:rsidRPr="00EC2009">
        <w:rPr>
          <w:rFonts w:cstheme="minorHAnsi"/>
          <w:sz w:val="24"/>
        </w:rPr>
        <w:t xml:space="preserve">remain the Godly, unwavering figure. </w:t>
      </w:r>
      <w:r w:rsidR="007D525A" w:rsidRPr="00EC2009">
        <w:rPr>
          <w:sz w:val="24"/>
        </w:rPr>
        <w:t>The need to depict the third figure of the Cross in order to appease religious values shows the importance of the Christian religion on heroic literature, as for it to reasonably depict such a poignant biblical story, the traditional values of heroism must be met</w:t>
      </w:r>
      <w:r w:rsidR="00831380" w:rsidRPr="00EC2009">
        <w:rPr>
          <w:sz w:val="24"/>
        </w:rPr>
        <w:t xml:space="preserve"> and shown, leading to the juxtaposition of the two Christian opinions of Christ. This can be interpreted to </w:t>
      </w:r>
      <w:r w:rsidR="00417C4D" w:rsidRPr="00EC2009">
        <w:rPr>
          <w:sz w:val="24"/>
        </w:rPr>
        <w:t xml:space="preserve">show the redefining of heroism </w:t>
      </w:r>
      <w:r w:rsidR="0088393A" w:rsidRPr="00EC2009">
        <w:rPr>
          <w:sz w:val="24"/>
        </w:rPr>
        <w:t xml:space="preserve">through translating religion </w:t>
      </w:r>
      <w:r w:rsidR="00417C4D" w:rsidRPr="00EC2009">
        <w:rPr>
          <w:sz w:val="24"/>
        </w:rPr>
        <w:t>in</w:t>
      </w:r>
      <w:r w:rsidR="0088393A" w:rsidRPr="00EC2009">
        <w:rPr>
          <w:sz w:val="24"/>
        </w:rPr>
        <w:t>to</w:t>
      </w:r>
      <w:r w:rsidR="00417C4D" w:rsidRPr="00EC2009">
        <w:rPr>
          <w:sz w:val="24"/>
        </w:rPr>
        <w:t xml:space="preserve"> the most modern</w:t>
      </w:r>
      <w:r w:rsidR="0088393A" w:rsidRPr="00EC2009">
        <w:rPr>
          <w:sz w:val="24"/>
        </w:rPr>
        <w:t xml:space="preserve"> version</w:t>
      </w:r>
      <w:r w:rsidR="00417C4D" w:rsidRPr="00EC2009">
        <w:rPr>
          <w:sz w:val="24"/>
        </w:rPr>
        <w:t xml:space="preserve"> to the Anglo-Saxon period</w:t>
      </w:r>
      <w:r w:rsidR="007D03B5" w:rsidRPr="00EC2009">
        <w:rPr>
          <w:sz w:val="24"/>
        </w:rPr>
        <w:t xml:space="preserve">, as well as presenting the need to alter religious aspects of biblical stories to appease the Anglo-Saxon audience and merge heroism and religion into one poem. </w:t>
      </w:r>
    </w:p>
    <w:p w14:paraId="6745537D" w14:textId="07EDE258" w:rsidR="00C26A93" w:rsidRDefault="00555AE1">
      <w:pPr>
        <w:rPr>
          <w:rFonts w:cstheme="minorHAnsi"/>
          <w:sz w:val="24"/>
        </w:rPr>
      </w:pPr>
      <w:r w:rsidRPr="00EC2009">
        <w:rPr>
          <w:rFonts w:cstheme="minorHAnsi"/>
          <w:sz w:val="24"/>
        </w:rPr>
        <w:t xml:space="preserve">To conclude, </w:t>
      </w:r>
      <w:r w:rsidR="00836CBF" w:rsidRPr="00EC2009">
        <w:rPr>
          <w:rFonts w:cstheme="minorHAnsi"/>
          <w:sz w:val="24"/>
        </w:rPr>
        <w:t xml:space="preserve">the Anglo-Saxon poem </w:t>
      </w:r>
      <w:r w:rsidR="009366F5" w:rsidRPr="00EC2009">
        <w:rPr>
          <w:rFonts w:cstheme="minorHAnsi"/>
          <w:i/>
          <w:sz w:val="24"/>
        </w:rPr>
        <w:t>The Dream of the Rood</w:t>
      </w:r>
      <w:r w:rsidR="009366F5" w:rsidRPr="00EC2009">
        <w:rPr>
          <w:rFonts w:cstheme="minorHAnsi"/>
          <w:sz w:val="24"/>
        </w:rPr>
        <w:t xml:space="preserve"> presents the theme </w:t>
      </w:r>
      <w:r w:rsidR="00BD2530" w:rsidRPr="00EC2009">
        <w:rPr>
          <w:rFonts w:cstheme="minorHAnsi"/>
          <w:sz w:val="24"/>
        </w:rPr>
        <w:t xml:space="preserve">of heroism in multiple different ways, </w:t>
      </w:r>
      <w:r w:rsidR="009A23B1" w:rsidRPr="00EC2009">
        <w:rPr>
          <w:rFonts w:cstheme="minorHAnsi"/>
          <w:sz w:val="24"/>
        </w:rPr>
        <w:t xml:space="preserve">which can be categorised as both standard and non-standard depending on the representation being explored. Certain aspects of the poem redefine heroism and take a </w:t>
      </w:r>
      <w:r w:rsidR="008D7C4F" w:rsidRPr="00EC2009">
        <w:rPr>
          <w:rFonts w:cstheme="minorHAnsi"/>
          <w:sz w:val="24"/>
        </w:rPr>
        <w:t>less usual route to exploring Anglo-Saxon hero</w:t>
      </w:r>
      <w:r w:rsidR="002F41D8" w:rsidRPr="00EC2009">
        <w:rPr>
          <w:rFonts w:cstheme="minorHAnsi"/>
          <w:sz w:val="24"/>
        </w:rPr>
        <w:t xml:space="preserve">ic values, </w:t>
      </w:r>
      <w:r w:rsidR="007B59ED" w:rsidRPr="00EC2009">
        <w:rPr>
          <w:rFonts w:cstheme="minorHAnsi"/>
          <w:sz w:val="24"/>
        </w:rPr>
        <w:t xml:space="preserve">such as the links made throughout the poem to Christ as a warrior figure, this is one example of how the author manipulates </w:t>
      </w:r>
      <w:r w:rsidR="00CE2850" w:rsidRPr="00EC2009">
        <w:rPr>
          <w:rFonts w:cstheme="minorHAnsi"/>
          <w:sz w:val="24"/>
        </w:rPr>
        <w:t xml:space="preserve">a </w:t>
      </w:r>
      <w:r w:rsidR="00676FEE" w:rsidRPr="00EC2009">
        <w:rPr>
          <w:rFonts w:cstheme="minorHAnsi"/>
          <w:sz w:val="24"/>
        </w:rPr>
        <w:t>well-known</w:t>
      </w:r>
      <w:r w:rsidR="00CE2850" w:rsidRPr="00EC2009">
        <w:rPr>
          <w:rFonts w:cstheme="minorHAnsi"/>
          <w:sz w:val="24"/>
        </w:rPr>
        <w:t xml:space="preserve"> story to fit into a mould of heroism common in the Anglo-Saxon period. </w:t>
      </w:r>
      <w:r w:rsidR="00676FEE" w:rsidRPr="00EC2009">
        <w:rPr>
          <w:rFonts w:cstheme="minorHAnsi"/>
          <w:sz w:val="24"/>
        </w:rPr>
        <w:t>However,</w:t>
      </w:r>
      <w:r w:rsidR="00CE2850" w:rsidRPr="00EC2009">
        <w:rPr>
          <w:rFonts w:cstheme="minorHAnsi"/>
          <w:sz w:val="24"/>
        </w:rPr>
        <w:t xml:space="preserve"> </w:t>
      </w:r>
      <w:r w:rsidR="00676FEE" w:rsidRPr="00EC2009">
        <w:rPr>
          <w:rFonts w:cstheme="minorHAnsi"/>
          <w:sz w:val="24"/>
        </w:rPr>
        <w:t xml:space="preserve">aspects of the poem such as the </w:t>
      </w:r>
      <w:r w:rsidR="008F0905" w:rsidRPr="00EC2009">
        <w:rPr>
          <w:rFonts w:cstheme="minorHAnsi"/>
          <w:sz w:val="24"/>
        </w:rPr>
        <w:t xml:space="preserve">religious </w:t>
      </w:r>
      <w:r w:rsidR="00F209B1" w:rsidRPr="00EC2009">
        <w:rPr>
          <w:rFonts w:cstheme="minorHAnsi"/>
          <w:sz w:val="24"/>
        </w:rPr>
        <w:t xml:space="preserve">connotations of the Dreamer’s vision alter the way heroes are viewed by the audience to link them further into religious values </w:t>
      </w:r>
      <w:r w:rsidR="00BB7F8B" w:rsidRPr="00EC2009">
        <w:rPr>
          <w:rFonts w:cstheme="minorHAnsi"/>
          <w:sz w:val="24"/>
        </w:rPr>
        <w:t>and therefore redefine heroism with these extra Christian standards.</w:t>
      </w:r>
      <w:r w:rsidR="00BB7F8B" w:rsidRPr="00EC2009">
        <w:rPr>
          <w:rFonts w:cstheme="minorHAnsi"/>
          <w:i/>
          <w:sz w:val="24"/>
        </w:rPr>
        <w:t xml:space="preserve"> The Dream of the Rood</w:t>
      </w:r>
      <w:r w:rsidR="00BB7F8B" w:rsidRPr="00EC2009">
        <w:rPr>
          <w:rFonts w:cstheme="minorHAnsi"/>
          <w:sz w:val="24"/>
        </w:rPr>
        <w:t xml:space="preserve"> overall </w:t>
      </w:r>
      <w:r w:rsidR="001C7949" w:rsidRPr="00EC2009">
        <w:rPr>
          <w:rFonts w:cstheme="minorHAnsi"/>
          <w:sz w:val="24"/>
        </w:rPr>
        <w:t xml:space="preserve">not only redefines aspects of heroism to appeal to an Anglo-Saxon audience but also </w:t>
      </w:r>
      <w:r w:rsidR="0054646D" w:rsidRPr="00EC2009">
        <w:rPr>
          <w:rFonts w:cstheme="minorHAnsi"/>
          <w:sz w:val="24"/>
        </w:rPr>
        <w:t xml:space="preserve">alters other characteristics of Anglo-Saxon life and twists them to support heroic norms, making </w:t>
      </w:r>
      <w:r w:rsidR="006109D7" w:rsidRPr="00EC2009">
        <w:rPr>
          <w:rFonts w:cstheme="minorHAnsi"/>
          <w:i/>
          <w:sz w:val="24"/>
        </w:rPr>
        <w:t>The Dream of the Rood</w:t>
      </w:r>
      <w:r w:rsidR="006109D7" w:rsidRPr="00EC2009">
        <w:rPr>
          <w:rFonts w:cstheme="minorHAnsi"/>
          <w:sz w:val="24"/>
        </w:rPr>
        <w:t xml:space="preserve"> a poem </w:t>
      </w:r>
      <w:r w:rsidR="00604101" w:rsidRPr="00EC2009">
        <w:rPr>
          <w:rFonts w:cstheme="minorHAnsi"/>
          <w:sz w:val="24"/>
        </w:rPr>
        <w:t xml:space="preserve">that appeals to </w:t>
      </w:r>
      <w:r w:rsidR="00EC2009" w:rsidRPr="00EC2009">
        <w:rPr>
          <w:rFonts w:cstheme="minorHAnsi"/>
          <w:sz w:val="24"/>
        </w:rPr>
        <w:t>much of</w:t>
      </w:r>
      <w:r w:rsidR="00604101" w:rsidRPr="00EC2009">
        <w:rPr>
          <w:rFonts w:cstheme="minorHAnsi"/>
          <w:sz w:val="24"/>
        </w:rPr>
        <w:t xml:space="preserve"> an Anglo-Saxon audience. </w:t>
      </w:r>
    </w:p>
    <w:p w14:paraId="4C110F47" w14:textId="4583F14E" w:rsidR="00822116" w:rsidRDefault="00822116">
      <w:pPr>
        <w:rPr>
          <w:rFonts w:cstheme="minorHAnsi"/>
          <w:sz w:val="24"/>
        </w:rPr>
      </w:pPr>
    </w:p>
    <w:p w14:paraId="71CD275B" w14:textId="666BCF15" w:rsidR="00822116" w:rsidRDefault="00822116">
      <w:pPr>
        <w:rPr>
          <w:rFonts w:cstheme="minorHAnsi"/>
          <w:sz w:val="24"/>
        </w:rPr>
      </w:pPr>
    </w:p>
    <w:p w14:paraId="50F450BD" w14:textId="6FC21648" w:rsidR="00822116" w:rsidRPr="00822116" w:rsidRDefault="00822116">
      <w:pPr>
        <w:rPr>
          <w:rFonts w:cstheme="minorHAnsi"/>
          <w:sz w:val="24"/>
          <w:u w:val="single"/>
        </w:rPr>
      </w:pPr>
      <w:r w:rsidRPr="00822116">
        <w:rPr>
          <w:rFonts w:cstheme="minorHAnsi"/>
          <w:sz w:val="24"/>
          <w:u w:val="single"/>
        </w:rPr>
        <w:lastRenderedPageBreak/>
        <w:t>Bibliography:</w:t>
      </w:r>
    </w:p>
    <w:p w14:paraId="61EBC63B" w14:textId="2C428400" w:rsidR="00317488" w:rsidRPr="00EF7BE2" w:rsidRDefault="001F34BC" w:rsidP="001F34BC">
      <w:pPr>
        <w:rPr>
          <w:i/>
        </w:rPr>
      </w:pPr>
      <w:r>
        <w:t xml:space="preserve">Bede, </w:t>
      </w:r>
      <w:r w:rsidRPr="00822116">
        <w:rPr>
          <w:i/>
        </w:rPr>
        <w:t>Ecclesiastical History</w:t>
      </w:r>
    </w:p>
    <w:p w14:paraId="03DDC571" w14:textId="2C3400BA" w:rsidR="00822116" w:rsidRDefault="00317488">
      <w:pPr>
        <w:rPr>
          <w:rFonts w:cstheme="minorHAnsi"/>
          <w:sz w:val="24"/>
        </w:rPr>
      </w:pPr>
      <w:r>
        <w:t>Bosworth,</w:t>
      </w:r>
      <w:r w:rsidRPr="008C4E36">
        <w:t xml:space="preserve"> </w:t>
      </w:r>
      <w:r>
        <w:t xml:space="preserve">J. </w:t>
      </w:r>
      <w:r w:rsidRPr="009952F5">
        <w:rPr>
          <w:i/>
        </w:rPr>
        <w:t>Anglo-Saxon Dictionary</w:t>
      </w:r>
      <w:r>
        <w:t xml:space="preserve"> (Kent: J. R. Smith Publishing, 1848) </w:t>
      </w:r>
    </w:p>
    <w:p w14:paraId="78A8664F" w14:textId="77777777" w:rsidR="00EF7BE2" w:rsidRDefault="00EF7BE2" w:rsidP="00EF7BE2">
      <w:r>
        <w:t xml:space="preserve">Britannica, </w:t>
      </w:r>
      <w:r>
        <w:rPr>
          <w:i/>
        </w:rPr>
        <w:t>Caedmon</w:t>
      </w:r>
      <w:r>
        <w:t xml:space="preserve"> (2017) [online] Available: </w:t>
      </w:r>
      <w:hyperlink r:id="rId7" w:history="1">
        <w:r w:rsidRPr="00003362">
          <w:rPr>
            <w:rStyle w:val="Hyperlink"/>
          </w:rPr>
          <w:t>https://www.britannica.com/biography/Caedmon</w:t>
        </w:r>
      </w:hyperlink>
      <w:r>
        <w:t xml:space="preserve"> </w:t>
      </w:r>
    </w:p>
    <w:p w14:paraId="28AE9CE7" w14:textId="5991A370" w:rsidR="006005F2" w:rsidRDefault="006005F2" w:rsidP="006005F2">
      <w:r>
        <w:t xml:space="preserve">Britannica, </w:t>
      </w:r>
      <w:r>
        <w:rPr>
          <w:i/>
        </w:rPr>
        <w:t xml:space="preserve">Cynewulf </w:t>
      </w:r>
      <w:r>
        <w:t xml:space="preserve">(2017) [online] Available: </w:t>
      </w:r>
      <w:hyperlink r:id="rId8" w:history="1">
        <w:r w:rsidRPr="00003362">
          <w:rPr>
            <w:rStyle w:val="Hyperlink"/>
          </w:rPr>
          <w:t>https://www.britannica.com/biography/Cynewulf-English-poet</w:t>
        </w:r>
      </w:hyperlink>
      <w:r>
        <w:t xml:space="preserve">  </w:t>
      </w:r>
    </w:p>
    <w:p w14:paraId="50FCDD93" w14:textId="69ED22B8" w:rsidR="00EF7BE2" w:rsidRDefault="00EF7BE2" w:rsidP="00EF7BE2">
      <w:r>
        <w:t xml:space="preserve">Britannica, </w:t>
      </w:r>
      <w:r w:rsidRPr="00810416">
        <w:rPr>
          <w:i/>
        </w:rPr>
        <w:t>The Dream of the Rood</w:t>
      </w:r>
      <w:r>
        <w:t xml:space="preserve"> (2017) [online] Available: </w:t>
      </w:r>
      <w:hyperlink r:id="rId9" w:history="1">
        <w:r w:rsidRPr="00003362">
          <w:rPr>
            <w:rStyle w:val="Hyperlink"/>
          </w:rPr>
          <w:t>https://www.britannica.com/topic/The-Dream-of-the-Rood</w:t>
        </w:r>
      </w:hyperlink>
      <w:r>
        <w:t xml:space="preserve"> </w:t>
      </w:r>
    </w:p>
    <w:p w14:paraId="4337DBED" w14:textId="321242CF" w:rsidR="00EF7BE2" w:rsidRDefault="00EF7BE2" w:rsidP="006005F2">
      <w:r>
        <w:t xml:space="preserve">Britannica, </w:t>
      </w:r>
      <w:r>
        <w:rPr>
          <w:i/>
        </w:rPr>
        <w:t xml:space="preserve">Vercelli Book </w:t>
      </w:r>
      <w:r>
        <w:t xml:space="preserve">(2017) [online] Available: </w:t>
      </w:r>
      <w:hyperlink r:id="rId10" w:history="1">
        <w:r w:rsidRPr="00003362">
          <w:rPr>
            <w:rStyle w:val="Hyperlink"/>
          </w:rPr>
          <w:t>https://www.britannica.com/topic/Vercelli-Book</w:t>
        </w:r>
      </w:hyperlink>
      <w:r>
        <w:t xml:space="preserve">   </w:t>
      </w:r>
    </w:p>
    <w:p w14:paraId="507ACF1D" w14:textId="77777777" w:rsidR="006005F2" w:rsidRDefault="006005F2" w:rsidP="006005F2">
      <w:r>
        <w:t xml:space="preserve">Brown et al. </w:t>
      </w:r>
      <w:r w:rsidRPr="009952F5">
        <w:rPr>
          <w:i/>
        </w:rPr>
        <w:t>Essays in Anglo-Saxon Law</w:t>
      </w:r>
      <w:r>
        <w:t xml:space="preserve"> (London: Macmillan and Company, 1876) </w:t>
      </w:r>
    </w:p>
    <w:p w14:paraId="2ABA18CA" w14:textId="77777777" w:rsidR="006005F2" w:rsidRDefault="006005F2" w:rsidP="006005F2">
      <w:r>
        <w:t xml:space="preserve">Ferzoco, G and Muessig, C. </w:t>
      </w:r>
      <w:r w:rsidRPr="00275CC4">
        <w:rPr>
          <w:i/>
        </w:rPr>
        <w:t xml:space="preserve">Medieval Monastic Education </w:t>
      </w:r>
      <w:r>
        <w:t xml:space="preserve">(London: Bloomsbury Publishing, 2001) </w:t>
      </w:r>
    </w:p>
    <w:p w14:paraId="6C7E1612" w14:textId="77777777" w:rsidR="001F34BC" w:rsidRPr="00822116" w:rsidRDefault="001F34BC">
      <w:pPr>
        <w:rPr>
          <w:rFonts w:cstheme="minorHAnsi"/>
          <w:sz w:val="24"/>
        </w:rPr>
      </w:pPr>
    </w:p>
    <w:sectPr w:rsidR="001F34BC" w:rsidRPr="008221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68F7A5" w14:textId="77777777" w:rsidR="00866422" w:rsidRDefault="00866422" w:rsidP="00512F39">
      <w:pPr>
        <w:spacing w:after="0" w:line="240" w:lineRule="auto"/>
      </w:pPr>
      <w:r>
        <w:separator/>
      </w:r>
    </w:p>
  </w:endnote>
  <w:endnote w:type="continuationSeparator" w:id="0">
    <w:p w14:paraId="64B4B7C6" w14:textId="77777777" w:rsidR="00866422" w:rsidRDefault="00866422" w:rsidP="00512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B8BD9F" w14:textId="77777777" w:rsidR="00866422" w:rsidRDefault="00866422" w:rsidP="00512F39">
      <w:pPr>
        <w:spacing w:after="0" w:line="240" w:lineRule="auto"/>
      </w:pPr>
      <w:r>
        <w:separator/>
      </w:r>
    </w:p>
  </w:footnote>
  <w:footnote w:type="continuationSeparator" w:id="0">
    <w:p w14:paraId="0D05B9CF" w14:textId="77777777" w:rsidR="00866422" w:rsidRDefault="00866422" w:rsidP="00512F39">
      <w:pPr>
        <w:spacing w:after="0" w:line="240" w:lineRule="auto"/>
      </w:pPr>
      <w:r>
        <w:continuationSeparator/>
      </w:r>
    </w:p>
  </w:footnote>
  <w:footnote w:id="1">
    <w:p w14:paraId="11849894" w14:textId="6C44B5FB" w:rsidR="00893FC7" w:rsidRDefault="00E9486F">
      <w:pPr>
        <w:pStyle w:val="FootnoteText"/>
      </w:pPr>
      <w:r>
        <w:rPr>
          <w:rStyle w:val="FootnoteReference"/>
        </w:rPr>
        <w:footnoteRef/>
      </w:r>
      <w:r>
        <w:t xml:space="preserve"> </w:t>
      </w:r>
      <w:r w:rsidR="00893FC7">
        <w:t>Britannica</w:t>
      </w:r>
      <w:r w:rsidR="00810416">
        <w:t xml:space="preserve">, </w:t>
      </w:r>
      <w:r w:rsidR="00810416" w:rsidRPr="00810416">
        <w:rPr>
          <w:i/>
        </w:rPr>
        <w:t>The Dream of the Rood</w:t>
      </w:r>
      <w:r w:rsidR="00810416">
        <w:t xml:space="preserve"> (</w:t>
      </w:r>
      <w:r w:rsidR="00835B00">
        <w:t xml:space="preserve">2017) [online] </w:t>
      </w:r>
      <w:r w:rsidR="003F5EC8">
        <w:t xml:space="preserve">Available: </w:t>
      </w:r>
      <w:hyperlink r:id="rId1" w:history="1">
        <w:r w:rsidR="003F5EC8" w:rsidRPr="00003362">
          <w:rPr>
            <w:rStyle w:val="Hyperlink"/>
          </w:rPr>
          <w:t>https://www.britannica.com/topic/The-Dream-of-the-Rood</w:t>
        </w:r>
      </w:hyperlink>
      <w:r w:rsidR="003F5EC8">
        <w:t xml:space="preserve"> Assessed: 24/03/2018</w:t>
      </w:r>
    </w:p>
  </w:footnote>
  <w:footnote w:id="2">
    <w:p w14:paraId="0C2D9E50" w14:textId="4BDB5E92" w:rsidR="00E9486F" w:rsidRDefault="00E9486F">
      <w:pPr>
        <w:pStyle w:val="FootnoteText"/>
      </w:pPr>
      <w:r>
        <w:rPr>
          <w:rStyle w:val="FootnoteReference"/>
        </w:rPr>
        <w:footnoteRef/>
      </w:r>
      <w:r>
        <w:t xml:space="preserve"> </w:t>
      </w:r>
      <w:r w:rsidR="003F5EC8">
        <w:t xml:space="preserve">Britannica, </w:t>
      </w:r>
      <w:r w:rsidR="003F5EC8">
        <w:rPr>
          <w:i/>
        </w:rPr>
        <w:t>Caedmon</w:t>
      </w:r>
      <w:r w:rsidR="003F5EC8">
        <w:t xml:space="preserve"> (2017) [online] Available: </w:t>
      </w:r>
      <w:hyperlink r:id="rId2" w:history="1">
        <w:r w:rsidR="007E7344" w:rsidRPr="00003362">
          <w:rPr>
            <w:rStyle w:val="Hyperlink"/>
          </w:rPr>
          <w:t>https://www.britannica.com/biography/Caedmon</w:t>
        </w:r>
      </w:hyperlink>
      <w:r w:rsidR="007E7344">
        <w:t xml:space="preserve"> </w:t>
      </w:r>
      <w:r w:rsidR="003F5EC8">
        <w:t>Assessed: 2</w:t>
      </w:r>
      <w:r w:rsidR="007E7344">
        <w:t>5</w:t>
      </w:r>
      <w:r w:rsidR="003F5EC8">
        <w:t>/03/2018</w:t>
      </w:r>
    </w:p>
  </w:footnote>
  <w:footnote w:id="3">
    <w:p w14:paraId="260A7294" w14:textId="1F49556C" w:rsidR="004853A8" w:rsidRDefault="004853A8">
      <w:pPr>
        <w:pStyle w:val="FootnoteText"/>
      </w:pPr>
      <w:r>
        <w:rPr>
          <w:rStyle w:val="FootnoteReference"/>
        </w:rPr>
        <w:footnoteRef/>
      </w:r>
      <w:r>
        <w:t xml:space="preserve"> Bede</w:t>
      </w:r>
      <w:r w:rsidR="00822116">
        <w:t xml:space="preserve">, </w:t>
      </w:r>
      <w:r w:rsidR="00822116" w:rsidRPr="00822116">
        <w:rPr>
          <w:i/>
        </w:rPr>
        <w:t>Ecclesiastical History</w:t>
      </w:r>
    </w:p>
  </w:footnote>
  <w:footnote w:id="4">
    <w:p w14:paraId="103F06FA" w14:textId="0A87C718" w:rsidR="00DD7D93" w:rsidRDefault="00DD7D93">
      <w:pPr>
        <w:pStyle w:val="FootnoteText"/>
      </w:pPr>
      <w:r>
        <w:rPr>
          <w:rStyle w:val="FootnoteReference"/>
        </w:rPr>
        <w:footnoteRef/>
      </w:r>
      <w:r>
        <w:t xml:space="preserve"> </w:t>
      </w:r>
      <w:r w:rsidR="007E7344">
        <w:t xml:space="preserve">Britannica, </w:t>
      </w:r>
      <w:r w:rsidR="007E7344">
        <w:rPr>
          <w:i/>
        </w:rPr>
        <w:t>C</w:t>
      </w:r>
      <w:r w:rsidR="007E7344">
        <w:rPr>
          <w:i/>
        </w:rPr>
        <w:t xml:space="preserve">ynewulf </w:t>
      </w:r>
      <w:r w:rsidR="007E7344">
        <w:t xml:space="preserve">(2017) [online] Available: </w:t>
      </w:r>
      <w:hyperlink r:id="rId3" w:history="1">
        <w:r w:rsidR="000D6E4B" w:rsidRPr="00003362">
          <w:rPr>
            <w:rStyle w:val="Hyperlink"/>
          </w:rPr>
          <w:t>https://www.britannica.com/biography/Cynewulf-English-poet</w:t>
        </w:r>
      </w:hyperlink>
      <w:r w:rsidR="000D6E4B">
        <w:t xml:space="preserve"> </w:t>
      </w:r>
      <w:r w:rsidR="007E7344">
        <w:t xml:space="preserve"> Assessed: 25/03/2018</w:t>
      </w:r>
    </w:p>
  </w:footnote>
  <w:footnote w:id="5">
    <w:p w14:paraId="4224C552" w14:textId="7A6F409B" w:rsidR="00A75C06" w:rsidRDefault="00A75C06">
      <w:pPr>
        <w:pStyle w:val="FootnoteText"/>
      </w:pPr>
      <w:r>
        <w:rPr>
          <w:rStyle w:val="FootnoteReference"/>
        </w:rPr>
        <w:footnoteRef/>
      </w:r>
      <w:r>
        <w:t xml:space="preserve"> </w:t>
      </w:r>
      <w:r w:rsidR="000D6E4B">
        <w:t xml:space="preserve">Ibid. </w:t>
      </w:r>
      <w:r w:rsidR="000D6E4B">
        <w:t xml:space="preserve"> </w:t>
      </w:r>
    </w:p>
  </w:footnote>
  <w:footnote w:id="6">
    <w:p w14:paraId="3F1CBAB1" w14:textId="4046B8E2" w:rsidR="00F622D1" w:rsidRDefault="00F622D1">
      <w:pPr>
        <w:pStyle w:val="FootnoteText"/>
      </w:pPr>
      <w:r>
        <w:rPr>
          <w:rStyle w:val="FootnoteReference"/>
        </w:rPr>
        <w:footnoteRef/>
      </w:r>
      <w:r>
        <w:t xml:space="preserve"> </w:t>
      </w:r>
      <w:r w:rsidR="001A44B0">
        <w:t xml:space="preserve">Britannica, </w:t>
      </w:r>
      <w:r w:rsidR="001A44B0">
        <w:rPr>
          <w:i/>
        </w:rPr>
        <w:t xml:space="preserve">Vercelli Book </w:t>
      </w:r>
      <w:r w:rsidR="001A44B0">
        <w:t xml:space="preserve">(2017) [online] Available: </w:t>
      </w:r>
      <w:hyperlink r:id="rId4" w:history="1">
        <w:r w:rsidR="00837823" w:rsidRPr="00003362">
          <w:rPr>
            <w:rStyle w:val="Hyperlink"/>
          </w:rPr>
          <w:t>https://www.britannica.com/topic/Vercelli-Book</w:t>
        </w:r>
      </w:hyperlink>
      <w:r w:rsidR="00837823">
        <w:t xml:space="preserve"> </w:t>
      </w:r>
      <w:r w:rsidR="001A44B0">
        <w:t xml:space="preserve">  Assessed: 25/03/2018</w:t>
      </w:r>
    </w:p>
  </w:footnote>
  <w:footnote w:id="7">
    <w:p w14:paraId="37F3C67C" w14:textId="77CF0C7E" w:rsidR="00FA0443" w:rsidRDefault="00FA0443">
      <w:pPr>
        <w:pStyle w:val="FootnoteText"/>
      </w:pPr>
      <w:r>
        <w:rPr>
          <w:rStyle w:val="FootnoteReference"/>
        </w:rPr>
        <w:footnoteRef/>
      </w:r>
      <w:r>
        <w:t xml:space="preserve"> Britannica</w:t>
      </w:r>
      <w:r w:rsidR="00837823">
        <w:t xml:space="preserve">. </w:t>
      </w:r>
      <w:r w:rsidR="00837823" w:rsidRPr="008B7001">
        <w:rPr>
          <w:i/>
        </w:rPr>
        <w:t>The Dream of the Rood</w:t>
      </w:r>
      <w:r w:rsidR="00822116">
        <w:rPr>
          <w:i/>
        </w:rPr>
        <w:t xml:space="preserve"> </w:t>
      </w:r>
      <w:r w:rsidR="00822116" w:rsidRPr="00822116">
        <w:t>[online]</w:t>
      </w:r>
    </w:p>
  </w:footnote>
  <w:footnote w:id="8">
    <w:p w14:paraId="16A6AD73" w14:textId="0D7A2740" w:rsidR="00FA0443" w:rsidRDefault="00FA0443">
      <w:pPr>
        <w:pStyle w:val="FootnoteText"/>
      </w:pPr>
      <w:r>
        <w:rPr>
          <w:rStyle w:val="FootnoteReference"/>
        </w:rPr>
        <w:footnoteRef/>
      </w:r>
      <w:r>
        <w:t xml:space="preserve"> </w:t>
      </w:r>
      <w:r w:rsidR="00822116">
        <w:t>Ibid.</w:t>
      </w:r>
    </w:p>
  </w:footnote>
  <w:footnote w:id="9">
    <w:p w14:paraId="06704F58" w14:textId="41E623A4" w:rsidR="0020509D" w:rsidRDefault="0020509D">
      <w:pPr>
        <w:pStyle w:val="FootnoteText"/>
      </w:pPr>
      <w:r>
        <w:rPr>
          <w:rStyle w:val="FootnoteReference"/>
        </w:rPr>
        <w:footnoteRef/>
      </w:r>
      <w:r>
        <w:t xml:space="preserve"> </w:t>
      </w:r>
      <w:r w:rsidR="00B378F4">
        <w:t>G. Ferzoco</w:t>
      </w:r>
      <w:r w:rsidR="005D5651">
        <w:t xml:space="preserve"> and C. Muessig, </w:t>
      </w:r>
      <w:r w:rsidR="005D5651" w:rsidRPr="00275CC4">
        <w:rPr>
          <w:i/>
        </w:rPr>
        <w:t xml:space="preserve">Medieval Monastic Education </w:t>
      </w:r>
      <w:r w:rsidR="005D5651">
        <w:t>(</w:t>
      </w:r>
      <w:r w:rsidR="00145A90">
        <w:t xml:space="preserve">London: </w:t>
      </w:r>
      <w:r w:rsidR="006C53E3">
        <w:t>Bloomsbury Publishing, 2001)</w:t>
      </w:r>
      <w:r>
        <w:t xml:space="preserve"> p.56</w:t>
      </w:r>
    </w:p>
  </w:footnote>
  <w:footnote w:id="10">
    <w:p w14:paraId="40C1C7A8" w14:textId="19431EDF" w:rsidR="00512F39" w:rsidRDefault="00512F39">
      <w:pPr>
        <w:pStyle w:val="FootnoteText"/>
      </w:pPr>
      <w:r>
        <w:rPr>
          <w:rStyle w:val="FootnoteReference"/>
        </w:rPr>
        <w:footnoteRef/>
      </w:r>
      <w:r>
        <w:t xml:space="preserve"> </w:t>
      </w:r>
      <w:r w:rsidR="00275CC4">
        <w:t xml:space="preserve">J. Bosworth, </w:t>
      </w:r>
      <w:r w:rsidRPr="009952F5">
        <w:rPr>
          <w:i/>
        </w:rPr>
        <w:t>Anglo-Saxon Dictionary</w:t>
      </w:r>
      <w:r>
        <w:t xml:space="preserve"> </w:t>
      </w:r>
      <w:r w:rsidR="00275CC4">
        <w:t>(</w:t>
      </w:r>
      <w:r w:rsidR="000C7111">
        <w:t xml:space="preserve">Kent: J. R. Smith Publishing, </w:t>
      </w:r>
      <w:r w:rsidR="009952F5">
        <w:t>1848)</w:t>
      </w:r>
      <w:r w:rsidR="00275CC4">
        <w:t xml:space="preserve"> </w:t>
      </w:r>
      <w:r w:rsidR="00EE0789">
        <w:t>p.270</w:t>
      </w:r>
    </w:p>
  </w:footnote>
  <w:footnote w:id="11">
    <w:p w14:paraId="01D04639" w14:textId="6A9F3CBA" w:rsidR="00BF43ED" w:rsidRDefault="00BF43ED">
      <w:pPr>
        <w:pStyle w:val="FootnoteText"/>
      </w:pPr>
      <w:r>
        <w:rPr>
          <w:rStyle w:val="FootnoteReference"/>
        </w:rPr>
        <w:footnoteRef/>
      </w:r>
      <w:r>
        <w:t xml:space="preserve"> </w:t>
      </w:r>
      <w:r w:rsidR="007A250D">
        <w:t xml:space="preserve">Brown et al. </w:t>
      </w:r>
      <w:r w:rsidR="007A250D" w:rsidRPr="009952F5">
        <w:rPr>
          <w:i/>
        </w:rPr>
        <w:t>Essays in A</w:t>
      </w:r>
      <w:r w:rsidR="009952F5" w:rsidRPr="009952F5">
        <w:rPr>
          <w:i/>
        </w:rPr>
        <w:t xml:space="preserve">nglo-Saxon </w:t>
      </w:r>
      <w:r w:rsidR="007A250D" w:rsidRPr="009952F5">
        <w:rPr>
          <w:i/>
        </w:rPr>
        <w:t>Law</w:t>
      </w:r>
      <w:r w:rsidR="009952F5">
        <w:t xml:space="preserve"> (</w:t>
      </w:r>
      <w:r w:rsidR="0047094C">
        <w:t>London: Macmillan and Company, 18</w:t>
      </w:r>
      <w:r w:rsidR="001F34BC">
        <w:t xml:space="preserve">76) </w:t>
      </w:r>
    </w:p>
  </w:footnote>
  <w:footnote w:id="12">
    <w:p w14:paraId="168E452B" w14:textId="27392873" w:rsidR="007A250D" w:rsidRDefault="007A250D">
      <w:pPr>
        <w:pStyle w:val="FootnoteText"/>
      </w:pPr>
      <w:r>
        <w:rPr>
          <w:rStyle w:val="FootnoteReference"/>
        </w:rPr>
        <w:footnoteRef/>
      </w:r>
      <w:r>
        <w:t xml:space="preserve"> </w:t>
      </w:r>
      <w:r w:rsidR="001F34BC">
        <w:t xml:space="preserve">Ibid. </w:t>
      </w:r>
      <w:r>
        <w:t xml:space="preserve"> </w:t>
      </w:r>
    </w:p>
  </w:footnote>
  <w:footnote w:id="13">
    <w:p w14:paraId="37C2BA23" w14:textId="45ECA6AC" w:rsidR="00EC2009" w:rsidRDefault="00EC2009">
      <w:pPr>
        <w:pStyle w:val="FootnoteText"/>
      </w:pPr>
      <w:r>
        <w:rPr>
          <w:rStyle w:val="FootnoteReference"/>
        </w:rPr>
        <w:footnoteRef/>
      </w:r>
      <w:r>
        <w:t xml:space="preserve"> </w:t>
      </w:r>
      <w:r w:rsidR="00785FCA">
        <w:t xml:space="preserve">Bede, </w:t>
      </w:r>
      <w:r w:rsidR="00785FCA" w:rsidRPr="00822116">
        <w:rPr>
          <w:i/>
        </w:rPr>
        <w:t>Ecclesiastical History</w:t>
      </w:r>
    </w:p>
  </w:footnote>
  <w:footnote w:id="14">
    <w:p w14:paraId="51A16171" w14:textId="41CD6B95" w:rsidR="00EC2009" w:rsidRDefault="00EC2009">
      <w:pPr>
        <w:pStyle w:val="FootnoteText"/>
      </w:pPr>
      <w:r>
        <w:rPr>
          <w:rStyle w:val="FootnoteReference"/>
        </w:rPr>
        <w:footnoteRef/>
      </w:r>
      <w:r>
        <w:t xml:space="preserve"> </w:t>
      </w:r>
      <w:r w:rsidR="00785FCA">
        <w:t>Ibid.</w:t>
      </w:r>
    </w:p>
  </w:footnote>
  <w:footnote w:id="15">
    <w:p w14:paraId="736B297A" w14:textId="609E52A0" w:rsidR="00EC2009" w:rsidRDefault="00EC2009">
      <w:pPr>
        <w:pStyle w:val="FootnoteText"/>
      </w:pPr>
      <w:r>
        <w:rPr>
          <w:rStyle w:val="FootnoteReference"/>
        </w:rPr>
        <w:footnoteRef/>
      </w:r>
      <w:r>
        <w:t xml:space="preserve"> </w:t>
      </w:r>
      <w:r w:rsidR="00785FCA">
        <w:t xml:space="preserve">Ibid.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958"/>
    <w:rsid w:val="000224EC"/>
    <w:rsid w:val="000335E6"/>
    <w:rsid w:val="00047A5E"/>
    <w:rsid w:val="00050EE0"/>
    <w:rsid w:val="000760FD"/>
    <w:rsid w:val="000B21FF"/>
    <w:rsid w:val="000C7111"/>
    <w:rsid w:val="000D5B9E"/>
    <w:rsid w:val="000D6E4B"/>
    <w:rsid w:val="0010614E"/>
    <w:rsid w:val="001217C2"/>
    <w:rsid w:val="001404BD"/>
    <w:rsid w:val="00141691"/>
    <w:rsid w:val="00145A90"/>
    <w:rsid w:val="00170F9F"/>
    <w:rsid w:val="0017592B"/>
    <w:rsid w:val="001852B0"/>
    <w:rsid w:val="00185422"/>
    <w:rsid w:val="00193D24"/>
    <w:rsid w:val="00197E67"/>
    <w:rsid w:val="001A12EC"/>
    <w:rsid w:val="001A44B0"/>
    <w:rsid w:val="001B2400"/>
    <w:rsid w:val="001C7949"/>
    <w:rsid w:val="001D48BD"/>
    <w:rsid w:val="001F2004"/>
    <w:rsid w:val="001F2DD2"/>
    <w:rsid w:val="001F34BC"/>
    <w:rsid w:val="0020187B"/>
    <w:rsid w:val="0020509D"/>
    <w:rsid w:val="00207993"/>
    <w:rsid w:val="00216D81"/>
    <w:rsid w:val="002249D1"/>
    <w:rsid w:val="00231EE1"/>
    <w:rsid w:val="0024241E"/>
    <w:rsid w:val="00247C08"/>
    <w:rsid w:val="00247EF7"/>
    <w:rsid w:val="0025115F"/>
    <w:rsid w:val="00255DF2"/>
    <w:rsid w:val="00263828"/>
    <w:rsid w:val="00265B2B"/>
    <w:rsid w:val="002667E9"/>
    <w:rsid w:val="002707C4"/>
    <w:rsid w:val="00275CC4"/>
    <w:rsid w:val="002A7A9A"/>
    <w:rsid w:val="002E18C6"/>
    <w:rsid w:val="002E3D97"/>
    <w:rsid w:val="002E7A9C"/>
    <w:rsid w:val="002F41D8"/>
    <w:rsid w:val="002F4B17"/>
    <w:rsid w:val="002F5FF1"/>
    <w:rsid w:val="00301764"/>
    <w:rsid w:val="0031633D"/>
    <w:rsid w:val="00317488"/>
    <w:rsid w:val="00331219"/>
    <w:rsid w:val="00353382"/>
    <w:rsid w:val="0035793E"/>
    <w:rsid w:val="00373071"/>
    <w:rsid w:val="00382BAC"/>
    <w:rsid w:val="0038350A"/>
    <w:rsid w:val="003A143A"/>
    <w:rsid w:val="003A4267"/>
    <w:rsid w:val="003E11B6"/>
    <w:rsid w:val="003E252E"/>
    <w:rsid w:val="003E6BE7"/>
    <w:rsid w:val="003F5EC8"/>
    <w:rsid w:val="0040296E"/>
    <w:rsid w:val="00417C4D"/>
    <w:rsid w:val="004278A3"/>
    <w:rsid w:val="00444D9B"/>
    <w:rsid w:val="00446A54"/>
    <w:rsid w:val="004532A8"/>
    <w:rsid w:val="0047094C"/>
    <w:rsid w:val="00472BB0"/>
    <w:rsid w:val="00472FA9"/>
    <w:rsid w:val="004853A8"/>
    <w:rsid w:val="004868A4"/>
    <w:rsid w:val="00497CF1"/>
    <w:rsid w:val="004B025F"/>
    <w:rsid w:val="004B7CA9"/>
    <w:rsid w:val="004D2AED"/>
    <w:rsid w:val="004F6D43"/>
    <w:rsid w:val="00512F39"/>
    <w:rsid w:val="0052701E"/>
    <w:rsid w:val="00530A2A"/>
    <w:rsid w:val="00535FBE"/>
    <w:rsid w:val="005410EA"/>
    <w:rsid w:val="0054646D"/>
    <w:rsid w:val="00550C51"/>
    <w:rsid w:val="00552A9B"/>
    <w:rsid w:val="0055553C"/>
    <w:rsid w:val="00555AE1"/>
    <w:rsid w:val="00556BB4"/>
    <w:rsid w:val="005642AB"/>
    <w:rsid w:val="00565E09"/>
    <w:rsid w:val="005665BC"/>
    <w:rsid w:val="00580BBD"/>
    <w:rsid w:val="00592838"/>
    <w:rsid w:val="005C2768"/>
    <w:rsid w:val="005D0519"/>
    <w:rsid w:val="005D2B0F"/>
    <w:rsid w:val="005D5651"/>
    <w:rsid w:val="006005F2"/>
    <w:rsid w:val="00604101"/>
    <w:rsid w:val="006109D7"/>
    <w:rsid w:val="00622202"/>
    <w:rsid w:val="00634CBA"/>
    <w:rsid w:val="00635761"/>
    <w:rsid w:val="00676FEE"/>
    <w:rsid w:val="006C53E3"/>
    <w:rsid w:val="006E33AF"/>
    <w:rsid w:val="006F2B75"/>
    <w:rsid w:val="007030DD"/>
    <w:rsid w:val="0071055F"/>
    <w:rsid w:val="00716E23"/>
    <w:rsid w:val="00734D74"/>
    <w:rsid w:val="007358E5"/>
    <w:rsid w:val="00751330"/>
    <w:rsid w:val="007856B0"/>
    <w:rsid w:val="00785FCA"/>
    <w:rsid w:val="0078610D"/>
    <w:rsid w:val="007875D8"/>
    <w:rsid w:val="00787FDE"/>
    <w:rsid w:val="007A22B2"/>
    <w:rsid w:val="007A250D"/>
    <w:rsid w:val="007B59ED"/>
    <w:rsid w:val="007C30E5"/>
    <w:rsid w:val="007C66D6"/>
    <w:rsid w:val="007D03B5"/>
    <w:rsid w:val="007D1ADF"/>
    <w:rsid w:val="007D525A"/>
    <w:rsid w:val="007E7344"/>
    <w:rsid w:val="008076F6"/>
    <w:rsid w:val="00810416"/>
    <w:rsid w:val="008152F4"/>
    <w:rsid w:val="00822116"/>
    <w:rsid w:val="00831380"/>
    <w:rsid w:val="00835B00"/>
    <w:rsid w:val="00836CBF"/>
    <w:rsid w:val="008372EE"/>
    <w:rsid w:val="00837823"/>
    <w:rsid w:val="00843A7B"/>
    <w:rsid w:val="00866422"/>
    <w:rsid w:val="008756CE"/>
    <w:rsid w:val="00881F9D"/>
    <w:rsid w:val="0088393A"/>
    <w:rsid w:val="00893FC7"/>
    <w:rsid w:val="008A037F"/>
    <w:rsid w:val="008B7001"/>
    <w:rsid w:val="008C03EE"/>
    <w:rsid w:val="008C079C"/>
    <w:rsid w:val="008C4E36"/>
    <w:rsid w:val="008C50C9"/>
    <w:rsid w:val="008D3616"/>
    <w:rsid w:val="008D3856"/>
    <w:rsid w:val="008D7C4F"/>
    <w:rsid w:val="008F0905"/>
    <w:rsid w:val="00923B7C"/>
    <w:rsid w:val="009366F5"/>
    <w:rsid w:val="00950EA1"/>
    <w:rsid w:val="00960D6A"/>
    <w:rsid w:val="00967FE6"/>
    <w:rsid w:val="009816E5"/>
    <w:rsid w:val="009819A5"/>
    <w:rsid w:val="009952F5"/>
    <w:rsid w:val="009A1099"/>
    <w:rsid w:val="009A23B1"/>
    <w:rsid w:val="009A4C91"/>
    <w:rsid w:val="009C6857"/>
    <w:rsid w:val="009C6F48"/>
    <w:rsid w:val="009D058D"/>
    <w:rsid w:val="009D0C55"/>
    <w:rsid w:val="009F37F6"/>
    <w:rsid w:val="00A02640"/>
    <w:rsid w:val="00A40D65"/>
    <w:rsid w:val="00A46C49"/>
    <w:rsid w:val="00A70BC2"/>
    <w:rsid w:val="00A75C06"/>
    <w:rsid w:val="00AC0048"/>
    <w:rsid w:val="00B00C7A"/>
    <w:rsid w:val="00B1038B"/>
    <w:rsid w:val="00B309C2"/>
    <w:rsid w:val="00B34CAF"/>
    <w:rsid w:val="00B378F4"/>
    <w:rsid w:val="00B41BF5"/>
    <w:rsid w:val="00B4332A"/>
    <w:rsid w:val="00B543FE"/>
    <w:rsid w:val="00B66889"/>
    <w:rsid w:val="00B91170"/>
    <w:rsid w:val="00BA40A2"/>
    <w:rsid w:val="00BA658B"/>
    <w:rsid w:val="00BB0B73"/>
    <w:rsid w:val="00BB3BB5"/>
    <w:rsid w:val="00BB7F8B"/>
    <w:rsid w:val="00BC7E91"/>
    <w:rsid w:val="00BD2530"/>
    <w:rsid w:val="00BD290C"/>
    <w:rsid w:val="00BE1FD2"/>
    <w:rsid w:val="00BE643C"/>
    <w:rsid w:val="00BF43ED"/>
    <w:rsid w:val="00BF6417"/>
    <w:rsid w:val="00C0105F"/>
    <w:rsid w:val="00C03C02"/>
    <w:rsid w:val="00C26A93"/>
    <w:rsid w:val="00C572F6"/>
    <w:rsid w:val="00C57697"/>
    <w:rsid w:val="00C77CA3"/>
    <w:rsid w:val="00C94573"/>
    <w:rsid w:val="00CC40C8"/>
    <w:rsid w:val="00CC70AA"/>
    <w:rsid w:val="00CE0057"/>
    <w:rsid w:val="00CE2850"/>
    <w:rsid w:val="00CE4252"/>
    <w:rsid w:val="00CE543B"/>
    <w:rsid w:val="00CF0131"/>
    <w:rsid w:val="00CF3116"/>
    <w:rsid w:val="00D300E9"/>
    <w:rsid w:val="00D47AF0"/>
    <w:rsid w:val="00D61569"/>
    <w:rsid w:val="00D83C5C"/>
    <w:rsid w:val="00D936F1"/>
    <w:rsid w:val="00DD5958"/>
    <w:rsid w:val="00DD7D93"/>
    <w:rsid w:val="00DE3795"/>
    <w:rsid w:val="00DF345F"/>
    <w:rsid w:val="00E01947"/>
    <w:rsid w:val="00E1336D"/>
    <w:rsid w:val="00E24BF3"/>
    <w:rsid w:val="00E40EE5"/>
    <w:rsid w:val="00E4183C"/>
    <w:rsid w:val="00E666A5"/>
    <w:rsid w:val="00E816BB"/>
    <w:rsid w:val="00E83109"/>
    <w:rsid w:val="00E941B1"/>
    <w:rsid w:val="00E9486F"/>
    <w:rsid w:val="00E94C43"/>
    <w:rsid w:val="00EA1B72"/>
    <w:rsid w:val="00EC2009"/>
    <w:rsid w:val="00ED4A17"/>
    <w:rsid w:val="00EE0789"/>
    <w:rsid w:val="00EF7BE2"/>
    <w:rsid w:val="00F010F8"/>
    <w:rsid w:val="00F119ED"/>
    <w:rsid w:val="00F150AE"/>
    <w:rsid w:val="00F209B1"/>
    <w:rsid w:val="00F478A1"/>
    <w:rsid w:val="00F54235"/>
    <w:rsid w:val="00F622D1"/>
    <w:rsid w:val="00F76B0E"/>
    <w:rsid w:val="00F9025E"/>
    <w:rsid w:val="00F93432"/>
    <w:rsid w:val="00F97B10"/>
    <w:rsid w:val="00FA0443"/>
    <w:rsid w:val="00FE3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8005"/>
  <w15:chartTrackingRefBased/>
  <w15:docId w15:val="{FA2E64CF-14D3-416A-AC60-8BDE8502B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59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12F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12F39"/>
    <w:rPr>
      <w:sz w:val="20"/>
      <w:szCs w:val="20"/>
    </w:rPr>
  </w:style>
  <w:style w:type="character" w:styleId="FootnoteReference">
    <w:name w:val="footnote reference"/>
    <w:basedOn w:val="DefaultParagraphFont"/>
    <w:uiPriority w:val="99"/>
    <w:semiHidden/>
    <w:unhideWhenUsed/>
    <w:rsid w:val="00512F39"/>
    <w:rPr>
      <w:vertAlign w:val="superscript"/>
    </w:rPr>
  </w:style>
  <w:style w:type="character" w:styleId="Hyperlink">
    <w:name w:val="Hyperlink"/>
    <w:basedOn w:val="DefaultParagraphFont"/>
    <w:uiPriority w:val="99"/>
    <w:unhideWhenUsed/>
    <w:rsid w:val="002667E9"/>
    <w:rPr>
      <w:color w:val="0000FF"/>
      <w:u w:val="single"/>
    </w:rPr>
  </w:style>
  <w:style w:type="character" w:styleId="UnresolvedMention">
    <w:name w:val="Unresolved Mention"/>
    <w:basedOn w:val="DefaultParagraphFont"/>
    <w:uiPriority w:val="99"/>
    <w:semiHidden/>
    <w:unhideWhenUsed/>
    <w:rsid w:val="003F5EC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Cynewulf-English-poet" TargetMode="External"/><Relationship Id="rId3" Type="http://schemas.openxmlformats.org/officeDocument/2006/relationships/settings" Target="settings.xml"/><Relationship Id="rId7" Type="http://schemas.openxmlformats.org/officeDocument/2006/relationships/hyperlink" Target="https://www.britannica.com/biography/Caedm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britannica.com/topic/Vercelli-Book" TargetMode="External"/><Relationship Id="rId4" Type="http://schemas.openxmlformats.org/officeDocument/2006/relationships/webSettings" Target="webSettings.xml"/><Relationship Id="rId9" Type="http://schemas.openxmlformats.org/officeDocument/2006/relationships/hyperlink" Target="https://www.britannica.com/topic/The-Dream-of-the-Rood"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biography/Cynewulf-English-poet" TargetMode="External"/><Relationship Id="rId2" Type="http://schemas.openxmlformats.org/officeDocument/2006/relationships/hyperlink" Target="https://www.britannica.com/biography/Caedmon" TargetMode="External"/><Relationship Id="rId1" Type="http://schemas.openxmlformats.org/officeDocument/2006/relationships/hyperlink" Target="https://www.britannica.com/topic/The-Dream-of-the-Rood" TargetMode="External"/><Relationship Id="rId4" Type="http://schemas.openxmlformats.org/officeDocument/2006/relationships/hyperlink" Target="https://www.britannica.com/topic/Vercelli-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D1D2B-FDAC-40E4-AED4-CD7114FB50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1284</TotalTime>
  <Pages>5</Pages>
  <Words>2090</Words>
  <Characters>11915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248</cp:revision>
  <dcterms:created xsi:type="dcterms:W3CDTF">2018-03-27T12:45:00Z</dcterms:created>
  <dcterms:modified xsi:type="dcterms:W3CDTF">2018-03-28T21:17:00Z</dcterms:modified>
</cp:coreProperties>
</file>