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21F54D8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C3A7D">
              <w:rPr>
                <w:b/>
                <w:color w:val="auto"/>
                <w:sz w:val="32"/>
              </w:rPr>
              <w:t>Niall Watkins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3CF99C8" w:rsidR="005A1BA3" w:rsidRDefault="00BC3A7D" w:rsidP="00340E9A">
            <w:pPr>
              <w:overflowPunct/>
              <w:autoSpaceDE/>
              <w:autoSpaceDN/>
              <w:adjustRightInd/>
              <w:ind w:right="237"/>
              <w:textAlignment w:val="auto"/>
              <w:rPr>
                <w:b/>
                <w:color w:val="auto"/>
                <w:sz w:val="32"/>
              </w:rPr>
            </w:pPr>
            <w:r>
              <w:rPr>
                <w:b/>
                <w:color w:val="auto"/>
                <w:sz w:val="32"/>
              </w:rPr>
              <w:t>2023852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BC3A7D"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76DCC3ED" w14:textId="77777777" w:rsidR="00BC3A7D" w:rsidRPr="00BC3A7D" w:rsidRDefault="00BC3A7D" w:rsidP="00BC3A7D">
      <w:pPr>
        <w:pStyle w:val="NormalWeb"/>
        <w:spacing w:before="0" w:beforeAutospacing="0" w:after="0" w:afterAutospacing="0"/>
        <w:rPr>
          <w:rFonts w:asciiTheme="minorHAnsi" w:hAnsiTheme="minorHAnsi" w:cstheme="minorHAnsi"/>
          <w:color w:val="0E101A"/>
        </w:rPr>
      </w:pPr>
      <w:r w:rsidRPr="00BC3A7D">
        <w:rPr>
          <w:rFonts w:asciiTheme="minorHAnsi" w:hAnsiTheme="minorHAnsi" w:cstheme="minorHAnsi"/>
          <w:color w:val="0E101A"/>
        </w:rPr>
        <w:t>A coping strategy is defined as:</w:t>
      </w:r>
    </w:p>
    <w:p w14:paraId="0E556292" w14:textId="77777777" w:rsidR="00BC3A7D" w:rsidRPr="00BC3A7D" w:rsidRDefault="00BC3A7D" w:rsidP="00BC3A7D">
      <w:pPr>
        <w:pStyle w:val="NormalWeb"/>
        <w:spacing w:before="0" w:beforeAutospacing="0" w:after="0" w:afterAutospacing="0"/>
        <w:rPr>
          <w:rFonts w:asciiTheme="minorHAnsi" w:hAnsiTheme="minorHAnsi" w:cstheme="minorHAnsi"/>
          <w:color w:val="0E101A"/>
        </w:rPr>
      </w:pPr>
    </w:p>
    <w:p w14:paraId="7CB33E19" w14:textId="77777777" w:rsidR="00BC3A7D" w:rsidRPr="00BC3A7D" w:rsidRDefault="00BC3A7D" w:rsidP="00BC3A7D">
      <w:pPr>
        <w:pStyle w:val="NormalWeb"/>
        <w:spacing w:before="0" w:beforeAutospacing="0" w:after="0" w:afterAutospacing="0"/>
        <w:rPr>
          <w:rFonts w:asciiTheme="minorHAnsi" w:hAnsiTheme="minorHAnsi" w:cstheme="minorHAnsi"/>
          <w:color w:val="0E101A"/>
        </w:rPr>
      </w:pPr>
      <w:r w:rsidRPr="00BC3A7D">
        <w:rPr>
          <w:rFonts w:asciiTheme="minorHAnsi" w:hAnsiTheme="minorHAnsi" w:cstheme="minorHAnsi"/>
          <w:i/>
          <w:iCs/>
          <w:color w:val="0E101A"/>
        </w:rPr>
        <w:t xml:space="preserve"> “…a behaviour, sequence of behaviours, or mental process employed to satisfy a taxing or unfavourable scenario or in changing one's response to such a scenario.” </w:t>
      </w:r>
      <w:r w:rsidRPr="00BC3A7D">
        <w:rPr>
          <w:rFonts w:asciiTheme="minorHAnsi" w:hAnsiTheme="minorHAnsi" w:cstheme="minorHAnsi"/>
          <w:color w:val="0E101A"/>
        </w:rPr>
        <w:t>(Pam, 2013)</w:t>
      </w:r>
    </w:p>
    <w:p w14:paraId="036234BB" w14:textId="77777777" w:rsidR="00BC3A7D" w:rsidRPr="00BC3A7D" w:rsidRDefault="00BC3A7D" w:rsidP="00BC3A7D">
      <w:pPr>
        <w:pStyle w:val="NormalWeb"/>
        <w:spacing w:before="0" w:beforeAutospacing="0" w:after="0" w:afterAutospacing="0"/>
        <w:rPr>
          <w:rFonts w:asciiTheme="minorHAnsi" w:hAnsiTheme="minorHAnsi" w:cstheme="minorHAnsi"/>
          <w:color w:val="0E101A"/>
        </w:rPr>
      </w:pPr>
    </w:p>
    <w:p w14:paraId="698D8FEC" w14:textId="77777777" w:rsidR="00BC3A7D" w:rsidRPr="00BC3A7D" w:rsidRDefault="00BC3A7D" w:rsidP="00BC3A7D">
      <w:pPr>
        <w:pStyle w:val="NormalWeb"/>
        <w:spacing w:before="0" w:beforeAutospacing="0" w:after="0" w:afterAutospacing="0"/>
        <w:rPr>
          <w:rFonts w:asciiTheme="minorHAnsi" w:hAnsiTheme="minorHAnsi" w:cstheme="minorHAnsi"/>
          <w:color w:val="0E101A"/>
        </w:rPr>
      </w:pPr>
      <w:r w:rsidRPr="00BC3A7D">
        <w:rPr>
          <w:rFonts w:asciiTheme="minorHAnsi" w:hAnsiTheme="minorHAnsi" w:cstheme="minorHAnsi"/>
          <w:color w:val="0E101A"/>
        </w:rPr>
        <w:t xml:space="preserve">During this task, I am going to use Borton’s Reflective Model to describe how I managed myself using different coping strategies through my tutorship period. By using this framework, I will describe the </w:t>
      </w:r>
      <w:r w:rsidRPr="00BC3A7D">
        <w:rPr>
          <w:rFonts w:asciiTheme="minorHAnsi" w:hAnsiTheme="minorHAnsi" w:cstheme="minorHAnsi"/>
          <w:i/>
          <w:iCs/>
          <w:color w:val="0E101A"/>
        </w:rPr>
        <w:t>What, So What, Now What</w:t>
      </w:r>
      <w:r w:rsidRPr="00BC3A7D">
        <w:rPr>
          <w:rFonts w:asciiTheme="minorHAnsi" w:hAnsiTheme="minorHAnsi" w:cstheme="minorHAnsi"/>
          <w:color w:val="0E101A"/>
        </w:rPr>
        <w:t xml:space="preserve"> sequence (Borton, 1970).</w:t>
      </w:r>
    </w:p>
    <w:p w14:paraId="76D72E18" w14:textId="77777777" w:rsidR="00BC3A7D" w:rsidRPr="00BC3A7D" w:rsidRDefault="00BC3A7D" w:rsidP="00BC3A7D">
      <w:pPr>
        <w:pStyle w:val="NormalWeb"/>
        <w:spacing w:before="0" w:beforeAutospacing="0" w:after="0" w:afterAutospacing="0"/>
        <w:rPr>
          <w:rFonts w:asciiTheme="minorHAnsi" w:hAnsiTheme="minorHAnsi" w:cstheme="minorHAnsi"/>
          <w:color w:val="0E101A"/>
        </w:rPr>
      </w:pPr>
    </w:p>
    <w:p w14:paraId="381034FF" w14:textId="77777777" w:rsidR="00BC3A7D" w:rsidRPr="00BC3A7D" w:rsidRDefault="00BC3A7D" w:rsidP="00BC3A7D">
      <w:pPr>
        <w:pStyle w:val="NormalWeb"/>
        <w:spacing w:before="0" w:beforeAutospacing="0" w:after="0" w:afterAutospacing="0"/>
        <w:rPr>
          <w:rFonts w:asciiTheme="minorHAnsi" w:hAnsiTheme="minorHAnsi" w:cstheme="minorHAnsi"/>
          <w:color w:val="0E101A"/>
        </w:rPr>
      </w:pPr>
      <w:r w:rsidRPr="00BC3A7D">
        <w:rPr>
          <w:rFonts w:asciiTheme="minorHAnsi" w:hAnsiTheme="minorHAnsi" w:cstheme="minorHAnsi"/>
          <w:color w:val="0E101A"/>
        </w:rPr>
        <w:t xml:space="preserve">During my tutorship period, I knew I would need to adapt to each incident separately and to gain a good balance in learning through working. </w:t>
      </w:r>
    </w:p>
    <w:p w14:paraId="60CDF23A" w14:textId="77777777" w:rsidR="00BC3A7D" w:rsidRPr="00BC3A7D" w:rsidRDefault="00BC3A7D" w:rsidP="00BC3A7D">
      <w:pPr>
        <w:pStyle w:val="NormalWeb"/>
        <w:spacing w:before="0" w:beforeAutospacing="0" w:after="0" w:afterAutospacing="0"/>
        <w:rPr>
          <w:rFonts w:asciiTheme="minorHAnsi" w:hAnsiTheme="minorHAnsi" w:cstheme="minorHAnsi"/>
          <w:color w:val="0E101A"/>
        </w:rPr>
      </w:pPr>
      <w:r w:rsidRPr="00BC3A7D">
        <w:rPr>
          <w:rFonts w:asciiTheme="minorHAnsi" w:hAnsiTheme="minorHAnsi" w:cstheme="minorHAnsi"/>
          <w:color w:val="0E101A"/>
        </w:rPr>
        <w:t>This was important as I was not confident dealing with high-pressure incidences. I actively achieved this by changing my learning style to the Honey &amp; Mumford (1992) learning style. This style which I have previously worked like is the “activist” style. The “activist style is based around learning by doing and brainstorming sessions to figure things out. This “activist” style did not suit the incidents I was attending as more care and thought needed to be done before coming to a conclusion.</w:t>
      </w:r>
    </w:p>
    <w:p w14:paraId="57D281DF" w14:textId="77777777" w:rsidR="00BC3A7D" w:rsidRPr="00BC3A7D" w:rsidRDefault="00BC3A7D" w:rsidP="00BC3A7D">
      <w:pPr>
        <w:pStyle w:val="NormalWeb"/>
        <w:spacing w:before="0" w:beforeAutospacing="0" w:after="0" w:afterAutospacing="0"/>
        <w:rPr>
          <w:rFonts w:asciiTheme="minorHAnsi" w:hAnsiTheme="minorHAnsi" w:cstheme="minorHAnsi"/>
          <w:color w:val="0E101A"/>
        </w:rPr>
      </w:pPr>
      <w:r w:rsidRPr="00BC3A7D">
        <w:rPr>
          <w:rFonts w:asciiTheme="minorHAnsi" w:hAnsiTheme="minorHAnsi" w:cstheme="minorHAnsi"/>
          <w:color w:val="0E101A"/>
        </w:rPr>
        <w:t>Consequently, I became a “reflector” and adjusted the way I assessed any incidences – where I would observe an incident and gather any points to substantiate any decisions made. By becoming a “reflector” I felt I had more control over incidences and was able to rationalise how I came to making the correct decision rather than making decisions and dealing with the consequences later. I have found that by changing my learning style I have been able to control my stress levels to adapt to my role. Stress is defined as:</w:t>
      </w:r>
    </w:p>
    <w:p w14:paraId="41CD29F1" w14:textId="77777777" w:rsidR="00BC3A7D" w:rsidRPr="00BC3A7D" w:rsidRDefault="00BC3A7D" w:rsidP="00BC3A7D">
      <w:pPr>
        <w:pStyle w:val="NormalWeb"/>
        <w:spacing w:before="0" w:beforeAutospacing="0" w:after="0" w:afterAutospacing="0"/>
        <w:rPr>
          <w:rFonts w:asciiTheme="minorHAnsi" w:hAnsiTheme="minorHAnsi" w:cstheme="minorHAnsi"/>
          <w:color w:val="0E101A"/>
        </w:rPr>
      </w:pPr>
    </w:p>
    <w:p w14:paraId="76CEEBE6" w14:textId="77777777" w:rsidR="00BC3A7D" w:rsidRPr="00BC3A7D" w:rsidRDefault="00BC3A7D" w:rsidP="00BC3A7D">
      <w:pPr>
        <w:pStyle w:val="NormalWeb"/>
        <w:spacing w:before="0" w:beforeAutospacing="0" w:after="0" w:afterAutospacing="0"/>
        <w:jc w:val="center"/>
        <w:rPr>
          <w:rFonts w:asciiTheme="minorHAnsi" w:hAnsiTheme="minorHAnsi" w:cstheme="minorHAnsi"/>
          <w:i/>
          <w:iCs/>
          <w:color w:val="0E101A"/>
        </w:rPr>
      </w:pPr>
      <w:r w:rsidRPr="00BC3A7D">
        <w:rPr>
          <w:rFonts w:asciiTheme="minorHAnsi" w:hAnsiTheme="minorHAnsi" w:cstheme="minorHAnsi"/>
          <w:i/>
          <w:iCs/>
          <w:color w:val="0E101A"/>
        </w:rPr>
        <w:t xml:space="preserve">“… any type of change that causes physical, emotional, or psychological strain. Stress is your body's response to anything that requires attention or action.” </w:t>
      </w:r>
      <w:r w:rsidRPr="00BC3A7D">
        <w:rPr>
          <w:rFonts w:asciiTheme="minorHAnsi" w:hAnsiTheme="minorHAnsi" w:cstheme="minorHAnsi"/>
          <w:color w:val="0E101A"/>
        </w:rPr>
        <w:t>(Scott, 2020)</w:t>
      </w:r>
    </w:p>
    <w:p w14:paraId="7B3CBF3A" w14:textId="77777777" w:rsidR="00BC3A7D" w:rsidRPr="00BC3A7D" w:rsidRDefault="00BC3A7D" w:rsidP="00BC3A7D">
      <w:pPr>
        <w:pStyle w:val="NormalWeb"/>
        <w:spacing w:before="0" w:beforeAutospacing="0" w:after="0" w:afterAutospacing="0"/>
        <w:rPr>
          <w:rFonts w:asciiTheme="minorHAnsi" w:hAnsiTheme="minorHAnsi" w:cstheme="minorHAnsi"/>
          <w:color w:val="0E101A"/>
        </w:rPr>
      </w:pPr>
    </w:p>
    <w:p w14:paraId="64810AD4" w14:textId="77777777" w:rsidR="00BC3A7D" w:rsidRPr="00BC3A7D" w:rsidRDefault="00BC3A7D" w:rsidP="00BC3A7D">
      <w:pPr>
        <w:pStyle w:val="NormalWeb"/>
        <w:spacing w:before="0" w:beforeAutospacing="0" w:after="0" w:afterAutospacing="0"/>
        <w:rPr>
          <w:rFonts w:asciiTheme="minorHAnsi" w:hAnsiTheme="minorHAnsi" w:cstheme="minorHAnsi"/>
          <w:color w:val="0E101A"/>
        </w:rPr>
      </w:pPr>
      <w:r w:rsidRPr="00BC3A7D">
        <w:rPr>
          <w:rFonts w:asciiTheme="minorHAnsi" w:hAnsiTheme="minorHAnsi" w:cstheme="minorHAnsi"/>
          <w:color w:val="0E101A"/>
        </w:rPr>
        <w:t xml:space="preserve">Within the first two weeks, I was particularly stressed. Working around a very demanding shift pattern along with impact factors such as my age, fitness, and home life - where I have </w:t>
      </w:r>
      <w:r w:rsidRPr="00BC3A7D">
        <w:rPr>
          <w:rFonts w:asciiTheme="minorHAnsi" w:hAnsiTheme="minorHAnsi" w:cstheme="minorHAnsi"/>
          <w:color w:val="0E101A"/>
        </w:rPr>
        <w:lastRenderedPageBreak/>
        <w:t>two young children. I found myself more agitated as I was not able to regulate my sleep pattern and reserve my energy for work, dramatically affecting my cognitive bias as explained by Ruhl (2021):</w:t>
      </w:r>
    </w:p>
    <w:p w14:paraId="45896379" w14:textId="77777777" w:rsidR="00BC3A7D" w:rsidRPr="00BC3A7D" w:rsidRDefault="00BC3A7D" w:rsidP="00BC3A7D">
      <w:pPr>
        <w:pStyle w:val="NormalWeb"/>
        <w:spacing w:before="0" w:beforeAutospacing="0" w:after="0" w:afterAutospacing="0"/>
        <w:rPr>
          <w:rFonts w:asciiTheme="minorHAnsi" w:hAnsiTheme="minorHAnsi" w:cstheme="minorHAnsi"/>
          <w:color w:val="0E101A"/>
        </w:rPr>
      </w:pPr>
    </w:p>
    <w:p w14:paraId="42B9E77B" w14:textId="77777777" w:rsidR="00BC3A7D" w:rsidRPr="00BC3A7D" w:rsidRDefault="00BC3A7D" w:rsidP="00BC3A7D">
      <w:pPr>
        <w:pStyle w:val="NormalWeb"/>
        <w:spacing w:before="0" w:beforeAutospacing="0" w:after="0" w:afterAutospacing="0"/>
        <w:jc w:val="center"/>
        <w:rPr>
          <w:rFonts w:asciiTheme="minorHAnsi" w:hAnsiTheme="minorHAnsi" w:cstheme="minorHAnsi"/>
          <w:i/>
          <w:iCs/>
          <w:color w:val="0E101A"/>
        </w:rPr>
      </w:pPr>
      <w:r w:rsidRPr="00BC3A7D">
        <w:rPr>
          <w:rFonts w:asciiTheme="minorHAnsi" w:hAnsiTheme="minorHAnsi" w:cstheme="minorHAnsi"/>
          <w:i/>
          <w:iCs/>
          <w:color w:val="0E101A"/>
        </w:rPr>
        <w:t>“Cognitive biases have direct implications on our safety, our interactions with others, and the way we make judgments and decisions in our daily lives.”</w:t>
      </w:r>
    </w:p>
    <w:p w14:paraId="70F2414F" w14:textId="77777777" w:rsidR="00BC3A7D" w:rsidRPr="00BC3A7D" w:rsidRDefault="00BC3A7D" w:rsidP="00BC3A7D">
      <w:pPr>
        <w:pStyle w:val="NormalWeb"/>
        <w:spacing w:before="0" w:beforeAutospacing="0" w:after="0" w:afterAutospacing="0"/>
        <w:rPr>
          <w:rFonts w:asciiTheme="minorHAnsi" w:hAnsiTheme="minorHAnsi" w:cstheme="minorHAnsi"/>
          <w:color w:val="0E101A"/>
        </w:rPr>
      </w:pPr>
    </w:p>
    <w:p w14:paraId="18C0558F" w14:textId="77777777" w:rsidR="00BC3A7D" w:rsidRPr="00BC3A7D" w:rsidRDefault="00BC3A7D" w:rsidP="00BC3A7D">
      <w:pPr>
        <w:pStyle w:val="NormalWeb"/>
        <w:spacing w:before="0" w:beforeAutospacing="0" w:after="0" w:afterAutospacing="0"/>
        <w:rPr>
          <w:rFonts w:asciiTheme="minorHAnsi" w:hAnsiTheme="minorHAnsi" w:cstheme="minorHAnsi"/>
          <w:color w:val="0E101A"/>
        </w:rPr>
      </w:pPr>
      <w:r w:rsidRPr="00BC3A7D">
        <w:rPr>
          <w:rFonts w:asciiTheme="minorHAnsi" w:hAnsiTheme="minorHAnsi" w:cstheme="minorHAnsi"/>
          <w:color w:val="0E101A"/>
        </w:rPr>
        <w:t>It was important that I addressed my stress as I did not feel I was fully fit to work and worried about the resulting consequences of any decisions that I made. Furthermore, Her Majesty’s inspectorate of constabulary (2018) notes that mental health amongst officers had risen 12% from October 2017 to October 2018. By using the NHS (2019) website there was valuable information about how to sleep properly; one of the main considerations I used was to make sure I slept at regular times to program the brain and internal body clock to get used to the routine.</w:t>
      </w:r>
    </w:p>
    <w:p w14:paraId="259F0B1E" w14:textId="77777777" w:rsidR="00BC3A7D" w:rsidRPr="00BC3A7D" w:rsidRDefault="00BC3A7D" w:rsidP="00BC3A7D">
      <w:pPr>
        <w:pStyle w:val="NormalWeb"/>
        <w:spacing w:before="0" w:beforeAutospacing="0" w:after="0" w:afterAutospacing="0"/>
        <w:rPr>
          <w:rFonts w:asciiTheme="minorHAnsi" w:hAnsiTheme="minorHAnsi" w:cstheme="minorHAnsi"/>
          <w:color w:val="0E101A"/>
        </w:rPr>
      </w:pPr>
    </w:p>
    <w:p w14:paraId="617A5244" w14:textId="77777777" w:rsidR="00BC3A7D" w:rsidRPr="00BC3A7D" w:rsidRDefault="00BC3A7D" w:rsidP="00BC3A7D">
      <w:pPr>
        <w:pStyle w:val="NormalWeb"/>
        <w:spacing w:before="0" w:beforeAutospacing="0" w:after="0" w:afterAutospacing="0"/>
        <w:rPr>
          <w:rFonts w:asciiTheme="minorHAnsi" w:hAnsiTheme="minorHAnsi" w:cstheme="minorHAnsi"/>
          <w:color w:val="0E101A"/>
        </w:rPr>
      </w:pPr>
      <w:r w:rsidRPr="00BC3A7D">
        <w:rPr>
          <w:rFonts w:asciiTheme="minorHAnsi" w:hAnsiTheme="minorHAnsi" w:cstheme="minorHAnsi"/>
          <w:color w:val="0E101A"/>
        </w:rPr>
        <w:t xml:space="preserve">Throughout my tutorship period, I would always question myself after each shift as I did not think I could carry on with the job. I would always overthink about the decision I had made and if it was the right one to make. When confiding to my tutor, he advised that before the end of the shift I should debrief with the team to talk about the incident and to reassure myself about the decisions I made and how I can improve. By implementing this coping strategy, I was able to talk about my actions and to be provided feedback for any future incidents I attend. </w:t>
      </w:r>
    </w:p>
    <w:p w14:paraId="2CB2E8C6" w14:textId="77777777" w:rsidR="00BC3A7D" w:rsidRPr="00BC3A7D" w:rsidRDefault="00BC3A7D" w:rsidP="00BC3A7D">
      <w:pPr>
        <w:pStyle w:val="NormalWeb"/>
        <w:spacing w:before="0" w:beforeAutospacing="0" w:after="0" w:afterAutospacing="0"/>
        <w:rPr>
          <w:rFonts w:asciiTheme="minorHAnsi" w:hAnsiTheme="minorHAnsi" w:cstheme="minorHAnsi"/>
          <w:color w:val="0E101A"/>
        </w:rPr>
      </w:pPr>
    </w:p>
    <w:p w14:paraId="6698C73F" w14:textId="77777777" w:rsidR="00BC3A7D" w:rsidRPr="00BC3A7D" w:rsidRDefault="00BC3A7D" w:rsidP="00BC3A7D">
      <w:pPr>
        <w:pStyle w:val="NormalWeb"/>
        <w:spacing w:before="0" w:beforeAutospacing="0" w:after="0" w:afterAutospacing="0"/>
        <w:rPr>
          <w:rFonts w:asciiTheme="minorHAnsi" w:hAnsiTheme="minorHAnsi" w:cstheme="minorHAnsi"/>
          <w:b/>
          <w:bCs/>
          <w:color w:val="0E101A"/>
        </w:rPr>
      </w:pPr>
      <w:r w:rsidRPr="00BC3A7D">
        <w:rPr>
          <w:rFonts w:asciiTheme="minorHAnsi" w:hAnsiTheme="minorHAnsi" w:cstheme="minorHAnsi"/>
          <w:color w:val="0E101A"/>
        </w:rPr>
        <w:t xml:space="preserve">By joining the police force I knew that there would be a presence of organisational culture </w:t>
      </w:r>
      <w:r w:rsidRPr="00BC3A7D">
        <w:rPr>
          <w:rFonts w:asciiTheme="minorHAnsi" w:hAnsiTheme="minorHAnsi" w:cstheme="minorHAnsi"/>
          <w:bCs/>
          <w:color w:val="0E101A"/>
        </w:rPr>
        <w:t>and the pressures associated with it</w:t>
      </w:r>
      <w:r w:rsidRPr="00BC3A7D">
        <w:rPr>
          <w:rFonts w:asciiTheme="minorHAnsi" w:hAnsiTheme="minorHAnsi" w:cstheme="minorHAnsi"/>
          <w:color w:val="0E101A"/>
        </w:rPr>
        <w:t xml:space="preserve">. A characteristic associated with the police is that it is more than “just a job” and that police have an important and worthwhile purpose in society (Police Science &amp; Management, 2018). As described in a blog by Wong (2021) the culture can come from a collection of values, expectations, and practices that guide and inform all the team members. By using the Competency Value Framework (College of Policing, 2021), I felt that everyone worked together in striving to do the right thing for the public and to make the police force a better organisation to work for. </w:t>
      </w:r>
      <w:r w:rsidRPr="00BC3A7D">
        <w:rPr>
          <w:rFonts w:asciiTheme="minorHAnsi" w:hAnsiTheme="minorHAnsi" w:cstheme="minorHAnsi"/>
          <w:bCs/>
          <w:color w:val="0E101A"/>
        </w:rPr>
        <w:t>In turn, this approach relieved any pressure I felt regarding the organisational culture.</w:t>
      </w:r>
    </w:p>
    <w:p w14:paraId="0E20BB7E" w14:textId="77777777" w:rsidR="00BC3A7D" w:rsidRPr="00BC3A7D" w:rsidRDefault="00BC3A7D" w:rsidP="00BC3A7D">
      <w:pPr>
        <w:pStyle w:val="NormalWeb"/>
        <w:spacing w:before="0" w:beforeAutospacing="0" w:after="0" w:afterAutospacing="0"/>
        <w:rPr>
          <w:rFonts w:asciiTheme="minorHAnsi" w:hAnsiTheme="minorHAnsi" w:cstheme="minorHAnsi"/>
          <w:color w:val="0E101A"/>
        </w:rPr>
      </w:pPr>
    </w:p>
    <w:p w14:paraId="18C59111" w14:textId="77777777" w:rsidR="00BC3A7D" w:rsidRPr="00BC3A7D" w:rsidRDefault="00BC3A7D" w:rsidP="00BC3A7D">
      <w:pPr>
        <w:rPr>
          <w:rFonts w:asciiTheme="minorHAnsi" w:hAnsiTheme="minorHAnsi" w:cstheme="minorHAnsi"/>
          <w:sz w:val="24"/>
          <w:szCs w:val="24"/>
        </w:rPr>
      </w:pPr>
      <w:r w:rsidRPr="00BC3A7D">
        <w:rPr>
          <w:rFonts w:asciiTheme="minorHAnsi" w:hAnsiTheme="minorHAnsi" w:cstheme="minorHAnsi"/>
          <w:sz w:val="24"/>
          <w:szCs w:val="24"/>
        </w:rPr>
        <w:t>In conclusion, I feel I have developed my coping strategies to become a better version of myself, changed the way in which I dealt with people inside and outside of work, the amount of stress and anxiety I have felt, and slowly working on new solutions to better manage myself. I have had to adapt to my job like no other job before and it has now become more of a lifestyle change, for the better.</w:t>
      </w:r>
    </w:p>
    <w:p w14:paraId="6E5AE6CE" w14:textId="77777777" w:rsidR="00BC3A7D" w:rsidRPr="00BC3A7D" w:rsidRDefault="00BC3A7D" w:rsidP="00BC3A7D">
      <w:pPr>
        <w:rPr>
          <w:rFonts w:asciiTheme="minorHAnsi" w:hAnsiTheme="minorHAnsi" w:cstheme="minorHAnsi"/>
          <w:b/>
          <w:sz w:val="24"/>
          <w:szCs w:val="24"/>
          <w:lang w:val="en-US"/>
        </w:rPr>
      </w:pPr>
      <w:r w:rsidRPr="00BC3A7D">
        <w:rPr>
          <w:rFonts w:asciiTheme="minorHAnsi" w:hAnsiTheme="minorHAnsi" w:cstheme="minorHAnsi"/>
          <w:b/>
          <w:sz w:val="24"/>
          <w:szCs w:val="24"/>
          <w:lang w:val="en-US"/>
        </w:rPr>
        <w:t>(799 Words)</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18195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BACECD4" w14:textId="7DB5CFCB" w:rsidR="00CC7342" w:rsidRDefault="00CC7342" w:rsidP="00340E9A">
      <w:pPr>
        <w:ind w:right="237"/>
        <w:jc w:val="both"/>
        <w:rPr>
          <w:sz w:val="24"/>
          <w:szCs w:val="24"/>
        </w:rPr>
      </w:pPr>
    </w:p>
    <w:p w14:paraId="4F5E8F25" w14:textId="77777777" w:rsidR="00BC3A7D" w:rsidRDefault="00BC3A7D" w:rsidP="00BC3A7D">
      <w:pPr>
        <w:rPr>
          <w:sz w:val="24"/>
          <w:szCs w:val="24"/>
          <w:lang w:eastAsia="en-US"/>
        </w:rPr>
      </w:pPr>
      <w:r>
        <w:rPr>
          <w:sz w:val="24"/>
          <w:szCs w:val="24"/>
          <w:lang w:eastAsia="en-US"/>
        </w:rPr>
        <w:t>The incident I will discuss is in relation to a vulnerable elderly female who had not contacted family or been seen by neighbours for approximately 24 hours. No ethnicity or cultural issues were identified although there were language issues in relation to the vulnerability of the elderly female.</w:t>
      </w:r>
    </w:p>
    <w:p w14:paraId="79A64F96" w14:textId="77777777" w:rsidR="00BC3A7D" w:rsidRPr="000D2673" w:rsidRDefault="00BC3A7D" w:rsidP="00BC3A7D">
      <w:pPr>
        <w:rPr>
          <w:sz w:val="24"/>
          <w:szCs w:val="24"/>
          <w:lang w:eastAsia="en-US"/>
        </w:rPr>
      </w:pPr>
    </w:p>
    <w:p w14:paraId="7C4822D4" w14:textId="77777777" w:rsidR="00BC3A7D" w:rsidRDefault="00BC3A7D" w:rsidP="00BC3A7D">
      <w:pPr>
        <w:rPr>
          <w:sz w:val="24"/>
          <w:szCs w:val="24"/>
          <w:lang w:eastAsia="en-US"/>
        </w:rPr>
      </w:pPr>
      <w:r>
        <w:rPr>
          <w:sz w:val="24"/>
          <w:szCs w:val="24"/>
          <w:lang w:eastAsia="en-US"/>
        </w:rPr>
        <w:t xml:space="preserve">A neighbour had contacted 999 and I was alerted to an Emergency Response. On arrival at the building, it was understood the female lived on the top floor flat, the door was locked and no spare key was placed inside the security box outside so officers were not able to gain entry. We forced entry using Section 17 (PACE, 1984) to save life or limb as it was understood no contact has been made to check on the welfare of the person residing inside. On entry the elderly female was laying on the </w:t>
      </w:r>
      <w:r>
        <w:rPr>
          <w:sz w:val="24"/>
          <w:szCs w:val="24"/>
          <w:lang w:eastAsia="en-US"/>
        </w:rPr>
        <w:lastRenderedPageBreak/>
        <w:t xml:space="preserve">floor in a foetal position and in shock to where she was unable to communicate with myself and colleagues regarding exactly what had happened or whether she had any injuries. After visually examining the female it was clear there were no broken bones or bruising to suggest any life threating injuries. With help from other officers, we were able to slowly move the female onto a low seat to improve her blood circulation as the female was very pale. Having provided water and a blanket the female was then able to explain that she had fallen off the toilet and had managed to drag herself into the bedroom. She had been hitting the floor for the flat underneath to hear her but had no response, and in her fragile state she had given up. Two hours later, we were able to contact a family member to come and sit with the female and wait for an ambulance to arrive for a full check on her condition. </w:t>
      </w:r>
    </w:p>
    <w:p w14:paraId="766D0A3C" w14:textId="77777777" w:rsidR="00BC3A7D" w:rsidRPr="00FA23C2" w:rsidRDefault="00BC3A7D" w:rsidP="00BC3A7D">
      <w:pPr>
        <w:rPr>
          <w:sz w:val="24"/>
          <w:szCs w:val="24"/>
          <w:lang w:eastAsia="en-US"/>
        </w:rPr>
      </w:pPr>
      <w:r>
        <w:rPr>
          <w:sz w:val="24"/>
          <w:szCs w:val="24"/>
          <w:lang w:eastAsia="en-US"/>
        </w:rPr>
        <w:t>On review of my communication towards the incident, I felt I was very formal and direct, as I needed to know exactly what had happened and if there were any concerning injuries. I found that Robinson (2020)</w:t>
      </w:r>
      <w:r>
        <w:rPr>
          <w:b/>
          <w:bCs/>
          <w:sz w:val="24"/>
          <w:szCs w:val="24"/>
          <w:lang w:eastAsia="en-US"/>
        </w:rPr>
        <w:t xml:space="preserve"> </w:t>
      </w:r>
      <w:r>
        <w:rPr>
          <w:sz w:val="24"/>
          <w:szCs w:val="24"/>
          <w:lang w:eastAsia="en-US"/>
        </w:rPr>
        <w:t xml:space="preserve">was a useful source of information in relation to effective communication. It is not just about talking to a person and having a reply but about how to become an engaged listener and understand subtle intonations about how they are feeling. He states that by understanding their emotion and being an engaged listener, you will build a better rapport with the person as they will have a better connection with you. By understanding what the person is trying to say even if it is very little you will still be able to help. Effective communication was essential as I needed to relay information to our Public Service Centre in relation to a paramedic coming to the incident to do basic observations. While my other colleagues and I were attending to the female, I needed to build rapport because I perceived the elderly woman to have a lot of self-respect with the possibility that she might feel too ashamed to ask for help. I had to reassure and comfort her in that everything would be fine as the police were present to check on her wellbeing and to reiterate that she can get help from other services to look after her. </w:t>
      </w:r>
    </w:p>
    <w:p w14:paraId="502E9D4D" w14:textId="77777777" w:rsidR="00BC3A7D" w:rsidRDefault="00BC3A7D" w:rsidP="00BC3A7D">
      <w:pPr>
        <w:rPr>
          <w:lang w:eastAsia="en-US"/>
        </w:rPr>
      </w:pPr>
      <w:r>
        <w:rPr>
          <w:sz w:val="24"/>
          <w:szCs w:val="24"/>
          <w:lang w:eastAsia="en-US"/>
        </w:rPr>
        <w:t> </w:t>
      </w:r>
    </w:p>
    <w:p w14:paraId="27557668" w14:textId="77777777" w:rsidR="00BC3A7D" w:rsidRDefault="00BC3A7D" w:rsidP="00BC3A7D">
      <w:pPr>
        <w:rPr>
          <w:sz w:val="24"/>
          <w:szCs w:val="24"/>
          <w:lang w:eastAsia="en-US"/>
        </w:rPr>
      </w:pPr>
      <w:r>
        <w:rPr>
          <w:sz w:val="24"/>
          <w:szCs w:val="24"/>
          <w:lang w:eastAsia="en-US"/>
        </w:rPr>
        <w:t xml:space="preserve">I noted down the vulnerability of the female and the mess and clutter observed inside the flat. Inside the report from PEEL: Police Effectiveness 2015 (Vulnerability), the South Wales Police use a definition from the ACPO guidance which defines a vulnerable adult as: </w:t>
      </w:r>
    </w:p>
    <w:p w14:paraId="14AC28AF" w14:textId="77777777" w:rsidR="00BC3A7D" w:rsidRDefault="00BC3A7D" w:rsidP="00BC3A7D">
      <w:pPr>
        <w:rPr>
          <w:lang w:eastAsia="en-US"/>
        </w:rPr>
      </w:pPr>
    </w:p>
    <w:p w14:paraId="2BA17E31" w14:textId="77777777" w:rsidR="00BC3A7D" w:rsidRDefault="00BC3A7D" w:rsidP="00BC3A7D">
      <w:pPr>
        <w:jc w:val="center"/>
        <w:rPr>
          <w:sz w:val="24"/>
          <w:szCs w:val="24"/>
          <w:lang w:eastAsia="en-US"/>
        </w:rPr>
      </w:pPr>
      <w:r w:rsidRPr="00256D8F">
        <w:rPr>
          <w:i/>
          <w:iCs/>
          <w:sz w:val="24"/>
          <w:szCs w:val="24"/>
          <w:lang w:eastAsia="en-US"/>
        </w:rPr>
        <w:t>“Any person aged 18 years or over who is or may be in need of community care services by reason of mental, physical, or learning disability, age or illness AND is or may be unable to take care of him or herself or unable to protect him or herself against significant harm or exploitation.”</w:t>
      </w:r>
      <w:r>
        <w:rPr>
          <w:sz w:val="24"/>
          <w:szCs w:val="24"/>
          <w:lang w:eastAsia="en-US"/>
        </w:rPr>
        <w:t xml:space="preserve"> (HMIC, 2015)</w:t>
      </w:r>
    </w:p>
    <w:p w14:paraId="6D72F59D" w14:textId="77777777" w:rsidR="00BC3A7D" w:rsidRDefault="00BC3A7D" w:rsidP="00BC3A7D">
      <w:pPr>
        <w:rPr>
          <w:lang w:eastAsia="en-US"/>
        </w:rPr>
      </w:pPr>
    </w:p>
    <w:p w14:paraId="6E4583BD" w14:textId="77777777" w:rsidR="00BC3A7D" w:rsidRDefault="00BC3A7D" w:rsidP="00BC3A7D">
      <w:pPr>
        <w:rPr>
          <w:sz w:val="24"/>
          <w:szCs w:val="24"/>
          <w:lang w:eastAsia="en-US"/>
        </w:rPr>
      </w:pPr>
      <w:r>
        <w:rPr>
          <w:sz w:val="24"/>
          <w:szCs w:val="24"/>
          <w:lang w:eastAsia="en-US"/>
        </w:rPr>
        <w:t>Due to the vulnerability and age of the woman there were many safeguarding factors that needed to be considered and put into place to help prevent further injuries, possible neglect from family or other services. During the visit it was noted that the female was unable to look after herself due to the mess inside the flat and the dirty clothes that she was wearing. I was also concerned about the family as they did not seem to come and visit regularly or make contact daily to check the welfare or needs of the elderly female. After nearly two hours of contacting a family member it was apparent that they were not helping look after her and that she would need urgent assistance from other services.</w:t>
      </w:r>
    </w:p>
    <w:p w14:paraId="7BDBE5AA" w14:textId="77777777" w:rsidR="00BC3A7D" w:rsidRDefault="00BC3A7D" w:rsidP="00BC3A7D">
      <w:pPr>
        <w:rPr>
          <w:sz w:val="24"/>
          <w:szCs w:val="24"/>
          <w:lang w:eastAsia="en-US"/>
        </w:rPr>
      </w:pPr>
      <w:r>
        <w:rPr>
          <w:sz w:val="24"/>
          <w:szCs w:val="24"/>
          <w:lang w:eastAsia="en-US"/>
        </w:rPr>
        <w:t>It was my duty as a response officer to highlight any aspect that I think makes the person vulnerable to abuse or neglect. Age UK (2021)</w:t>
      </w:r>
      <w:r>
        <w:rPr>
          <w:b/>
          <w:bCs/>
          <w:sz w:val="24"/>
          <w:szCs w:val="24"/>
          <w:lang w:eastAsia="en-US"/>
        </w:rPr>
        <w:t xml:space="preserve"> </w:t>
      </w:r>
      <w:r>
        <w:rPr>
          <w:sz w:val="24"/>
          <w:szCs w:val="24"/>
          <w:lang w:eastAsia="en-US"/>
        </w:rPr>
        <w:t xml:space="preserve">outlines the ways to protect </w:t>
      </w:r>
      <w:r>
        <w:rPr>
          <w:sz w:val="24"/>
          <w:szCs w:val="24"/>
          <w:lang w:eastAsia="en-US"/>
        </w:rPr>
        <w:lastRenderedPageBreak/>
        <w:t>an adult in care or with support needs from abuse or neglect and how they could protect and safeguard themselves for the future. Furthermore, I tasked the local neighbourhood policing team in relation to a re-assurance visit over the next couple of days to make sure that the females need are being processed. This visit would in turn be added onto the occurrence log where all multi-agency workers are able to see the progress being made.</w:t>
      </w:r>
    </w:p>
    <w:p w14:paraId="3E069C46" w14:textId="77777777" w:rsidR="00BC3A7D" w:rsidRDefault="00BC3A7D" w:rsidP="00BC3A7D">
      <w:pPr>
        <w:rPr>
          <w:lang w:eastAsia="en-US"/>
        </w:rPr>
      </w:pPr>
    </w:p>
    <w:p w14:paraId="1EA60A77" w14:textId="77777777" w:rsidR="00BC3A7D" w:rsidRDefault="00BC3A7D" w:rsidP="00BC3A7D">
      <w:pPr>
        <w:rPr>
          <w:sz w:val="24"/>
          <w:szCs w:val="24"/>
          <w:lang w:eastAsia="en-US"/>
        </w:rPr>
      </w:pPr>
      <w:r>
        <w:rPr>
          <w:sz w:val="24"/>
          <w:szCs w:val="24"/>
          <w:lang w:eastAsia="en-US"/>
        </w:rPr>
        <w:t xml:space="preserve">The Wellbeing Principle, included in the Care Act (2014), promotes wellbeing when carrying out care and support functions to vulnerable adults. It states that you must consider an individual’s personal dignity, treat them with respect, protect them from abuse or neglect, and make sure their suitable accommodation is of a good standard. All this information can be put forward in a Public Protection Notice (PPN). For a vulnerable person to get help, a response officer can submit a PPN. This PPN asks a number of questions, for example, does their behaviour suggest that they have a mental health disorder or is their behaviour related to chronic alcohol abuse or drug misuse? It also asks if they have been seen for their welfare. All these questions are submitted and finalised. When you have completed the Adult at Risk section you are able to write Officers Observations. In this section I was able to input what I saw inside the flat to suggest she needs help and that she cannot look after herself independently. This PPN is submitted to the Public Protection Unit (PPU) which then uses this information to assess the risk grading it as Standard, Medium or High. Following the risk assessment, it is then forwarded onto partner agencies e.g., Social Services, Local Care Services. Due to the PPN containing sensitive information, officers must abide by General Data Protection Regulation (GDPR) to provide information that will in turn be shared appropriately (South Wales Police, n.a). </w:t>
      </w:r>
    </w:p>
    <w:p w14:paraId="62EC3352" w14:textId="77777777" w:rsidR="00BC3A7D" w:rsidRDefault="00BC3A7D" w:rsidP="00BC3A7D">
      <w:pPr>
        <w:rPr>
          <w:lang w:eastAsia="en-US"/>
        </w:rPr>
      </w:pPr>
    </w:p>
    <w:p w14:paraId="1A79C48E" w14:textId="77777777" w:rsidR="00BC3A7D" w:rsidRDefault="00BC3A7D" w:rsidP="00BC3A7D">
      <w:pPr>
        <w:rPr>
          <w:sz w:val="24"/>
          <w:szCs w:val="24"/>
          <w:lang w:eastAsia="en-US"/>
        </w:rPr>
      </w:pPr>
      <w:r>
        <w:rPr>
          <w:sz w:val="24"/>
          <w:szCs w:val="24"/>
          <w:lang w:eastAsia="en-US"/>
        </w:rPr>
        <w:t xml:space="preserve">On reflection of the incident, I can conclude that I felt I made sure I applied myself in a professional manner and treated the female with respect and dignity that she deserved. I acted with integrity as I needed to do the right thing in relation to safeguarding and making sure there were services being put into place for the future (Policing, 2014). I aim to apply this same mannerism to every vulnerable individual I may encounter. Having dealt with this incident I have looked more into the multi-agency approach so I can talk in depth to victim or vulnerable adults to get them to better understand the process. </w:t>
      </w:r>
    </w:p>
    <w:p w14:paraId="4C76476A" w14:textId="77777777" w:rsidR="00BC3A7D" w:rsidRDefault="00BC3A7D" w:rsidP="00BC3A7D">
      <w:pPr>
        <w:rPr>
          <w:lang w:eastAsia="en-US"/>
        </w:rPr>
      </w:pPr>
    </w:p>
    <w:p w14:paraId="709E8073" w14:textId="77777777" w:rsidR="00BC3A7D" w:rsidRDefault="00BC3A7D" w:rsidP="00BC3A7D">
      <w:pPr>
        <w:rPr>
          <w:b/>
          <w:lang w:eastAsia="en-US"/>
        </w:rPr>
      </w:pPr>
      <w:r>
        <w:rPr>
          <w:b/>
          <w:lang w:eastAsia="en-US"/>
        </w:rPr>
        <w:t>(1230 Words)</w:t>
      </w:r>
    </w:p>
    <w:p w14:paraId="63C8BCAD" w14:textId="77777777" w:rsidR="00665CAA" w:rsidRPr="00270EEB" w:rsidRDefault="00665CAA"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688713F1" w14:textId="0984562E" w:rsidR="007F310B" w:rsidRDefault="007F310B" w:rsidP="007F310B">
      <w:pPr>
        <w:rPr>
          <w:rFonts w:asciiTheme="minorHAnsi" w:hAnsiTheme="minorHAnsi" w:cstheme="minorHAnsi"/>
          <w:noProof/>
          <w:sz w:val="24"/>
          <w:szCs w:val="24"/>
        </w:rPr>
      </w:pPr>
      <w:r w:rsidRPr="007F310B">
        <w:rPr>
          <w:rFonts w:asciiTheme="minorHAnsi" w:hAnsiTheme="minorHAnsi" w:cstheme="minorHAnsi"/>
          <w:sz w:val="24"/>
          <w:szCs w:val="24"/>
        </w:rPr>
        <w:t xml:space="preserve">During this task I am going to speak about an incident in relation to Section 39 </w:t>
      </w:r>
      <w:r w:rsidRPr="007F310B">
        <w:rPr>
          <w:rFonts w:asciiTheme="minorHAnsi" w:hAnsiTheme="minorHAnsi" w:cstheme="minorHAnsi"/>
          <w:noProof/>
          <w:sz w:val="24"/>
          <w:szCs w:val="24"/>
        </w:rPr>
        <w:t>(Criminal Justice Act, 1988) common assault where I arrested the suspect along with completing the suspect interview to progress the incident. Cultural, ethinic and language issues were identified during the incident.</w:t>
      </w:r>
    </w:p>
    <w:p w14:paraId="34EAD391" w14:textId="77777777" w:rsidR="007F310B" w:rsidRPr="007F310B" w:rsidRDefault="007F310B" w:rsidP="007F310B">
      <w:pPr>
        <w:rPr>
          <w:rFonts w:asciiTheme="minorHAnsi" w:hAnsiTheme="minorHAnsi" w:cstheme="minorHAnsi"/>
          <w:noProof/>
          <w:sz w:val="24"/>
          <w:szCs w:val="24"/>
        </w:rPr>
      </w:pPr>
    </w:p>
    <w:p w14:paraId="2114EA28" w14:textId="6AE46431" w:rsidR="007F310B" w:rsidRDefault="007F310B" w:rsidP="007F310B">
      <w:pPr>
        <w:rPr>
          <w:rFonts w:asciiTheme="minorHAnsi" w:hAnsiTheme="minorHAnsi" w:cstheme="minorHAnsi"/>
          <w:noProof/>
          <w:sz w:val="24"/>
          <w:szCs w:val="24"/>
        </w:rPr>
      </w:pPr>
      <w:r w:rsidRPr="007F310B">
        <w:rPr>
          <w:rFonts w:asciiTheme="minorHAnsi" w:hAnsiTheme="minorHAnsi" w:cstheme="minorHAnsi"/>
          <w:noProof/>
          <w:sz w:val="24"/>
          <w:szCs w:val="24"/>
        </w:rPr>
        <w:t xml:space="preserve">My tutor and I responded to a G1 (Emergency) to a block of flats where an assault has taken place. The male suspect had entered a flat which was not his and when asked to leave he did not comply and assaulted a female in the communal area by the lifts. On arrival, the female was outisde with no injuries only redenning to the stomach area. The male was inside the property where he was subsequently arrested on assault by myself. The male was unable to identify himself or provide any details due to a language barrier. It was identified that the male could only speak Persian Farsi so language line had to be used for him to understand the arrest. I explained that he was under arrest for common assault along with the necessity for </w:t>
      </w:r>
      <w:r w:rsidRPr="007F310B">
        <w:rPr>
          <w:rFonts w:asciiTheme="minorHAnsi" w:hAnsiTheme="minorHAnsi" w:cstheme="minorHAnsi"/>
          <w:sz w:val="24"/>
          <w:szCs w:val="24"/>
        </w:rPr>
        <w:t>arrest</w:t>
      </w:r>
      <w:r w:rsidRPr="007F310B">
        <w:rPr>
          <w:rFonts w:asciiTheme="minorHAnsi" w:hAnsiTheme="minorHAnsi" w:cstheme="minorHAnsi"/>
          <w:noProof/>
          <w:sz w:val="24"/>
          <w:szCs w:val="24"/>
        </w:rPr>
        <w:t xml:space="preserve"> Code G (</w:t>
      </w:r>
      <w:r w:rsidRPr="007F310B">
        <w:rPr>
          <w:rFonts w:asciiTheme="minorHAnsi" w:hAnsiTheme="minorHAnsi" w:cstheme="minorHAnsi"/>
          <w:sz w:val="24"/>
          <w:szCs w:val="24"/>
        </w:rPr>
        <w:t>Police and Criminal Evidence (</w:t>
      </w:r>
      <w:r w:rsidRPr="007F310B">
        <w:rPr>
          <w:rFonts w:asciiTheme="minorHAnsi" w:hAnsiTheme="minorHAnsi" w:cstheme="minorHAnsi"/>
          <w:noProof/>
          <w:sz w:val="24"/>
          <w:szCs w:val="24"/>
        </w:rPr>
        <w:t>PACE), 1984).</w:t>
      </w:r>
    </w:p>
    <w:p w14:paraId="56E4960C" w14:textId="77777777" w:rsidR="007F310B" w:rsidRPr="007F310B" w:rsidRDefault="007F310B" w:rsidP="007F310B">
      <w:pPr>
        <w:rPr>
          <w:rFonts w:asciiTheme="minorHAnsi" w:hAnsiTheme="minorHAnsi" w:cstheme="minorHAnsi"/>
          <w:noProof/>
          <w:sz w:val="24"/>
          <w:szCs w:val="24"/>
        </w:rPr>
      </w:pPr>
    </w:p>
    <w:p w14:paraId="3A67BFB2" w14:textId="77777777" w:rsidR="007F310B" w:rsidRPr="007F310B" w:rsidRDefault="007F310B" w:rsidP="007F310B">
      <w:pPr>
        <w:rPr>
          <w:rFonts w:asciiTheme="minorHAnsi" w:hAnsiTheme="minorHAnsi" w:cstheme="minorHAnsi"/>
          <w:noProof/>
          <w:sz w:val="24"/>
          <w:szCs w:val="24"/>
        </w:rPr>
      </w:pPr>
      <w:r w:rsidRPr="007F310B">
        <w:rPr>
          <w:rFonts w:asciiTheme="minorHAnsi" w:hAnsiTheme="minorHAnsi" w:cstheme="minorHAnsi"/>
          <w:noProof/>
          <w:sz w:val="24"/>
          <w:szCs w:val="24"/>
        </w:rPr>
        <w:lastRenderedPageBreak/>
        <w:t xml:space="preserve">The male was conveyed to custody where langauge line was used to have a interpreter present on the phone, the suspect was still unable to clarify why or how he ended up inside the flat and explained he suffered with epileptic fits. The males detention was authorised by the custody sergeant and was then examined for his mental health by a professional before being interviewed, as stated in Code C Para 1.4 (PACE, 1984): </w:t>
      </w:r>
    </w:p>
    <w:p w14:paraId="3931EE39" w14:textId="3F0C39F3" w:rsidR="007F310B" w:rsidRDefault="007F310B" w:rsidP="007F310B">
      <w:pPr>
        <w:jc w:val="center"/>
        <w:rPr>
          <w:rFonts w:asciiTheme="minorHAnsi" w:hAnsiTheme="minorHAnsi" w:cstheme="minorHAnsi"/>
          <w:i/>
          <w:iCs/>
          <w:noProof/>
          <w:sz w:val="24"/>
          <w:szCs w:val="24"/>
        </w:rPr>
      </w:pPr>
      <w:r w:rsidRPr="007F310B">
        <w:rPr>
          <w:rFonts w:asciiTheme="minorHAnsi" w:hAnsiTheme="minorHAnsi" w:cstheme="minorHAnsi"/>
          <w:i/>
          <w:iCs/>
          <w:noProof/>
          <w:sz w:val="24"/>
          <w:szCs w:val="24"/>
        </w:rPr>
        <w:t>“If an officer has any suspicion that a person may be mentally disorderd or otherwise mentally vulnerable the person shall be treated as such for the purposes of this code”</w:t>
      </w:r>
    </w:p>
    <w:p w14:paraId="5317E9D5" w14:textId="77777777" w:rsidR="007F310B" w:rsidRPr="007F310B" w:rsidRDefault="007F310B" w:rsidP="007F310B">
      <w:pPr>
        <w:jc w:val="center"/>
        <w:rPr>
          <w:rFonts w:asciiTheme="minorHAnsi" w:hAnsiTheme="minorHAnsi" w:cstheme="minorHAnsi"/>
          <w:i/>
          <w:iCs/>
          <w:noProof/>
          <w:sz w:val="24"/>
          <w:szCs w:val="24"/>
        </w:rPr>
      </w:pPr>
    </w:p>
    <w:p w14:paraId="4B8CE363" w14:textId="738A64A5" w:rsidR="007F310B" w:rsidRDefault="007F310B" w:rsidP="007F310B">
      <w:pPr>
        <w:rPr>
          <w:rFonts w:asciiTheme="minorHAnsi" w:hAnsiTheme="minorHAnsi" w:cstheme="minorHAnsi"/>
          <w:noProof/>
          <w:sz w:val="24"/>
          <w:szCs w:val="24"/>
        </w:rPr>
      </w:pPr>
      <w:r w:rsidRPr="007F310B">
        <w:rPr>
          <w:rFonts w:asciiTheme="minorHAnsi" w:hAnsiTheme="minorHAnsi" w:cstheme="minorHAnsi"/>
          <w:noProof/>
          <w:sz w:val="24"/>
          <w:szCs w:val="24"/>
        </w:rPr>
        <w:t xml:space="preserve">When considering the planning and preperation stage for an interview, I needed to make sure I contacted anyone who had witnessed the incident and for them to provide a statement if possible. The victim was willing to provide a full statement to the police and help with the investigation. There was another witness, but they did not want to provide any details so a negative statement was provided. CCTV captured the assault inside the lift which was crucial evidence towards my investigation. The footage was downloaded and saved onto a disc in line with the Data Protection Act (2018). </w:t>
      </w:r>
    </w:p>
    <w:p w14:paraId="1F4402AF" w14:textId="77777777" w:rsidR="007F310B" w:rsidRPr="007F310B" w:rsidRDefault="007F310B" w:rsidP="007F310B">
      <w:pPr>
        <w:rPr>
          <w:rFonts w:asciiTheme="minorHAnsi" w:hAnsiTheme="minorHAnsi" w:cstheme="minorHAnsi"/>
          <w:noProof/>
          <w:sz w:val="24"/>
          <w:szCs w:val="24"/>
        </w:rPr>
      </w:pPr>
    </w:p>
    <w:p w14:paraId="76FC2F45" w14:textId="77777777" w:rsidR="007F310B" w:rsidRPr="007F310B" w:rsidRDefault="007F310B" w:rsidP="007F310B">
      <w:pPr>
        <w:rPr>
          <w:rFonts w:asciiTheme="minorHAnsi" w:hAnsiTheme="minorHAnsi" w:cstheme="minorHAnsi"/>
          <w:sz w:val="24"/>
          <w:szCs w:val="24"/>
        </w:rPr>
      </w:pPr>
      <w:r w:rsidRPr="007F310B">
        <w:rPr>
          <w:rFonts w:asciiTheme="minorHAnsi" w:hAnsiTheme="minorHAnsi" w:cstheme="minorHAnsi"/>
          <w:noProof/>
          <w:sz w:val="24"/>
          <w:szCs w:val="24"/>
        </w:rPr>
        <w:t xml:space="preserve">During this stage I need to consider the 24 hours custody clock. All relevant statements and evidence gathering for the interview needed to be completed before the 24 hours ended, otherwise the suspect could potentially leave without charge. </w:t>
      </w:r>
    </w:p>
    <w:p w14:paraId="43AE4FE5" w14:textId="79F898ED" w:rsidR="007F310B" w:rsidRDefault="007F310B" w:rsidP="007F310B">
      <w:pPr>
        <w:rPr>
          <w:rFonts w:asciiTheme="minorHAnsi" w:hAnsiTheme="minorHAnsi" w:cstheme="minorHAnsi"/>
          <w:noProof/>
          <w:sz w:val="24"/>
          <w:szCs w:val="24"/>
        </w:rPr>
      </w:pPr>
      <w:r w:rsidRPr="007F310B">
        <w:rPr>
          <w:rFonts w:asciiTheme="minorHAnsi" w:hAnsiTheme="minorHAnsi" w:cstheme="minorHAnsi"/>
          <w:noProof/>
          <w:sz w:val="24"/>
          <w:szCs w:val="24"/>
        </w:rPr>
        <w:t>The Mental Health Team deemed the suspect fit for interview as he had been provided correct mediciation which brought him back to a stable condition, therefore, negating the need for an appropraite adult to be present.</w:t>
      </w:r>
    </w:p>
    <w:p w14:paraId="510FA3F3" w14:textId="77777777" w:rsidR="007F310B" w:rsidRPr="007F310B" w:rsidRDefault="007F310B" w:rsidP="007F310B">
      <w:pPr>
        <w:rPr>
          <w:rFonts w:asciiTheme="minorHAnsi" w:hAnsiTheme="minorHAnsi" w:cstheme="minorHAnsi"/>
          <w:noProof/>
          <w:sz w:val="24"/>
          <w:szCs w:val="24"/>
        </w:rPr>
      </w:pPr>
    </w:p>
    <w:p w14:paraId="113BD857" w14:textId="2A96ADC7" w:rsidR="007F310B" w:rsidRDefault="007F310B" w:rsidP="007F310B">
      <w:pPr>
        <w:rPr>
          <w:rFonts w:asciiTheme="minorHAnsi" w:hAnsiTheme="minorHAnsi" w:cstheme="minorHAnsi"/>
          <w:noProof/>
          <w:sz w:val="24"/>
          <w:szCs w:val="24"/>
        </w:rPr>
      </w:pPr>
      <w:r w:rsidRPr="007F310B">
        <w:rPr>
          <w:rFonts w:asciiTheme="minorHAnsi" w:hAnsiTheme="minorHAnsi" w:cstheme="minorHAnsi"/>
          <w:noProof/>
          <w:sz w:val="24"/>
          <w:szCs w:val="24"/>
        </w:rPr>
        <w:t xml:space="preserve">Before I was able to conduct the interview, I needed to find out any individual characteristics that I may need to take into account, due to the suspect </w:t>
      </w:r>
      <w:r w:rsidRPr="007F310B">
        <w:rPr>
          <w:rFonts w:asciiTheme="minorHAnsi" w:hAnsiTheme="minorHAnsi" w:cstheme="minorHAnsi"/>
          <w:sz w:val="24"/>
          <w:szCs w:val="24"/>
          <w:lang w:val="en-US"/>
        </w:rPr>
        <w:t>having</w:t>
      </w:r>
      <w:r w:rsidRPr="007F310B">
        <w:rPr>
          <w:rFonts w:asciiTheme="minorHAnsi" w:hAnsiTheme="minorHAnsi" w:cstheme="minorHAnsi"/>
          <w:noProof/>
          <w:sz w:val="24"/>
          <w:szCs w:val="24"/>
        </w:rPr>
        <w:t xml:space="preserve"> a different cultural background. By doing this I could make sure that the male was okay to proceed with an interpreter and arrange any religious prayer times around the interview. Due to the suspect not having any previous contact with the police, I made sure to run through the proceedings in order for the suspect to feel comfortable with the surroundings and willing to comply around the police. </w:t>
      </w:r>
    </w:p>
    <w:p w14:paraId="719571F3" w14:textId="77777777" w:rsidR="007F310B" w:rsidRPr="007F310B" w:rsidRDefault="007F310B" w:rsidP="007F310B">
      <w:pPr>
        <w:rPr>
          <w:rFonts w:asciiTheme="minorHAnsi" w:hAnsiTheme="minorHAnsi" w:cstheme="minorHAnsi"/>
          <w:noProof/>
          <w:sz w:val="24"/>
          <w:szCs w:val="24"/>
        </w:rPr>
      </w:pPr>
    </w:p>
    <w:p w14:paraId="3FE73468" w14:textId="77777777" w:rsidR="007F310B" w:rsidRPr="007F310B" w:rsidRDefault="007F310B" w:rsidP="007F310B">
      <w:pPr>
        <w:rPr>
          <w:rFonts w:asciiTheme="minorHAnsi" w:hAnsiTheme="minorHAnsi" w:cstheme="minorHAnsi"/>
          <w:noProof/>
          <w:sz w:val="24"/>
          <w:szCs w:val="24"/>
        </w:rPr>
      </w:pPr>
      <w:r w:rsidRPr="007F310B">
        <w:rPr>
          <w:rFonts w:asciiTheme="minorHAnsi" w:hAnsiTheme="minorHAnsi" w:cstheme="minorHAnsi"/>
          <w:noProof/>
          <w:sz w:val="24"/>
          <w:szCs w:val="24"/>
        </w:rPr>
        <w:t>As a police officer, I am to respect the provisons set out in the Human Rights Act (1998) when I am to interview a suspect - Article 3 (prohibition of torture), Article 5 (rights to liberty and security), and Article 14 (prohibition of discrimination).</w:t>
      </w:r>
    </w:p>
    <w:p w14:paraId="23D25977" w14:textId="77777777" w:rsidR="007F310B" w:rsidRPr="007F310B" w:rsidRDefault="007F310B" w:rsidP="007F310B">
      <w:pPr>
        <w:rPr>
          <w:rFonts w:asciiTheme="minorHAnsi" w:hAnsiTheme="minorHAnsi" w:cstheme="minorHAnsi"/>
          <w:sz w:val="24"/>
          <w:szCs w:val="24"/>
        </w:rPr>
      </w:pPr>
      <w:r w:rsidRPr="007F310B">
        <w:rPr>
          <w:rFonts w:asciiTheme="minorHAnsi" w:hAnsiTheme="minorHAnsi" w:cstheme="minorHAnsi"/>
          <w:noProof/>
          <w:sz w:val="24"/>
          <w:szCs w:val="24"/>
        </w:rPr>
        <w:t xml:space="preserve">The interview is based around the PEACE model which is shown below in the form of an image, which is a framework for investigative interviewing. At each stage of the PEACE model the interviewing officer checks the accuracy of the account, identifies potential lines of enquiry and challenges an account if necessary (College of Policing, 2020). I have completed the Planning and Preperation stage whereby all statements and evidence has been evidenced, and the suspect is prepared to proceed.  </w:t>
      </w:r>
    </w:p>
    <w:p w14:paraId="57BF0258" w14:textId="77777777" w:rsidR="007F310B" w:rsidRPr="007F310B" w:rsidRDefault="007F310B" w:rsidP="007F310B">
      <w:pPr>
        <w:jc w:val="center"/>
        <w:rPr>
          <w:rFonts w:asciiTheme="minorHAnsi" w:hAnsiTheme="minorHAnsi" w:cstheme="minorHAnsi"/>
          <w:noProof/>
          <w:sz w:val="24"/>
          <w:szCs w:val="24"/>
        </w:rPr>
      </w:pPr>
      <w:r w:rsidRPr="007F310B">
        <w:rPr>
          <w:rFonts w:asciiTheme="minorHAnsi" w:hAnsiTheme="minorHAnsi" w:cstheme="minorHAnsi"/>
          <w:noProof/>
          <w:sz w:val="24"/>
          <w:szCs w:val="24"/>
        </w:rPr>
        <w:lastRenderedPageBreak/>
        <w:drawing>
          <wp:inline distT="0" distB="0" distL="0" distR="0" wp14:anchorId="3084DE65" wp14:editId="7454A287">
            <wp:extent cx="3538331" cy="4346788"/>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66036" cy="4380823"/>
                    </a:xfrm>
                    <a:prstGeom prst="rect">
                      <a:avLst/>
                    </a:prstGeom>
                    <a:noFill/>
                    <a:ln>
                      <a:noFill/>
                    </a:ln>
                  </pic:spPr>
                </pic:pic>
              </a:graphicData>
            </a:graphic>
          </wp:inline>
        </w:drawing>
      </w:r>
    </w:p>
    <w:p w14:paraId="55C9DB2F" w14:textId="77777777" w:rsidR="007F310B" w:rsidRPr="007F310B" w:rsidRDefault="007F310B" w:rsidP="007F310B">
      <w:pPr>
        <w:rPr>
          <w:rFonts w:asciiTheme="minorHAnsi" w:hAnsiTheme="minorHAnsi" w:cstheme="minorHAnsi"/>
          <w:sz w:val="24"/>
          <w:szCs w:val="24"/>
        </w:rPr>
      </w:pPr>
      <w:r w:rsidRPr="007F310B">
        <w:rPr>
          <w:rFonts w:asciiTheme="minorHAnsi" w:hAnsiTheme="minorHAnsi" w:cstheme="minorHAnsi"/>
          <w:sz w:val="24"/>
          <w:szCs w:val="24"/>
        </w:rPr>
        <w:t>Section 11 of Code C of the PACE Code of Practice defines an interview as:</w:t>
      </w:r>
    </w:p>
    <w:p w14:paraId="3BEA8586" w14:textId="017B42B0" w:rsidR="007F310B" w:rsidRDefault="007F310B" w:rsidP="007F310B">
      <w:pPr>
        <w:jc w:val="center"/>
        <w:rPr>
          <w:rFonts w:asciiTheme="minorHAnsi" w:hAnsiTheme="minorHAnsi" w:cstheme="minorHAnsi"/>
          <w:noProof/>
          <w:sz w:val="24"/>
          <w:szCs w:val="24"/>
        </w:rPr>
      </w:pPr>
      <w:r w:rsidRPr="007F310B">
        <w:rPr>
          <w:rFonts w:asciiTheme="minorHAnsi" w:hAnsiTheme="minorHAnsi" w:cstheme="minorHAnsi"/>
          <w:i/>
          <w:iCs/>
          <w:sz w:val="24"/>
          <w:szCs w:val="24"/>
        </w:rPr>
        <w:t>“..the questioning of a person regarding his involvement, or suspected involvement, in a criminal offence or offences which, by virtue of paragraph 10.1 of Code C, is required to be carried out under caution.”</w:t>
      </w:r>
      <w:r w:rsidRPr="007F310B">
        <w:rPr>
          <w:rFonts w:asciiTheme="minorHAnsi" w:hAnsiTheme="minorHAnsi" w:cstheme="minorHAnsi"/>
          <w:sz w:val="24"/>
          <w:szCs w:val="24"/>
        </w:rPr>
        <w:t xml:space="preserve"> </w:t>
      </w:r>
      <w:r w:rsidRPr="007F310B">
        <w:rPr>
          <w:rFonts w:asciiTheme="minorHAnsi" w:hAnsiTheme="minorHAnsi" w:cstheme="minorHAnsi"/>
          <w:noProof/>
          <w:sz w:val="24"/>
          <w:szCs w:val="24"/>
        </w:rPr>
        <w:t>(PACE Code C, 1984)</w:t>
      </w:r>
    </w:p>
    <w:p w14:paraId="70BA0624" w14:textId="77777777" w:rsidR="007F310B" w:rsidRPr="007F310B" w:rsidRDefault="007F310B" w:rsidP="007F310B">
      <w:pPr>
        <w:jc w:val="center"/>
        <w:rPr>
          <w:rFonts w:asciiTheme="minorHAnsi" w:hAnsiTheme="minorHAnsi" w:cstheme="minorHAnsi"/>
          <w:b/>
          <w:sz w:val="24"/>
          <w:szCs w:val="24"/>
        </w:rPr>
      </w:pPr>
    </w:p>
    <w:p w14:paraId="2F112B4A" w14:textId="04739249" w:rsidR="007F310B" w:rsidRDefault="007F310B" w:rsidP="007F310B">
      <w:pPr>
        <w:rPr>
          <w:rFonts w:asciiTheme="minorHAnsi" w:hAnsiTheme="minorHAnsi" w:cstheme="minorHAnsi"/>
          <w:noProof/>
          <w:sz w:val="24"/>
          <w:szCs w:val="24"/>
        </w:rPr>
      </w:pPr>
      <w:r w:rsidRPr="007F310B">
        <w:rPr>
          <w:rFonts w:asciiTheme="minorHAnsi" w:hAnsiTheme="minorHAnsi" w:cstheme="minorHAnsi"/>
          <w:noProof/>
          <w:sz w:val="24"/>
          <w:szCs w:val="24"/>
        </w:rPr>
        <w:t xml:space="preserve">When the interview starts I am able to engage and explain what I am doing within the interview. I follow the memo card that is provided which outlines the start of an interview. I explain that the interview is being recorded audibly and visually, contrary to section 60 and 60a </w:t>
      </w:r>
      <w:sdt>
        <w:sdtPr>
          <w:rPr>
            <w:rFonts w:asciiTheme="minorHAnsi" w:hAnsiTheme="minorHAnsi" w:cstheme="minorHAnsi"/>
            <w:noProof/>
            <w:sz w:val="24"/>
            <w:szCs w:val="24"/>
          </w:rPr>
          <w:id w:val="166991645"/>
          <w:citation/>
        </w:sdtPr>
        <w:sdtContent>
          <w:r w:rsidRPr="007F310B">
            <w:rPr>
              <w:rFonts w:asciiTheme="minorHAnsi" w:hAnsiTheme="minorHAnsi" w:cstheme="minorHAnsi"/>
              <w:noProof/>
              <w:sz w:val="24"/>
              <w:szCs w:val="24"/>
            </w:rPr>
            <w:fldChar w:fldCharType="begin"/>
          </w:r>
          <w:r w:rsidRPr="007F310B">
            <w:rPr>
              <w:rFonts w:asciiTheme="minorHAnsi" w:hAnsiTheme="minorHAnsi" w:cstheme="minorHAnsi"/>
              <w:noProof/>
              <w:sz w:val="24"/>
              <w:szCs w:val="24"/>
            </w:rPr>
            <w:instrText xml:space="preserve"> CITATION PAC842 \l 2057 </w:instrText>
          </w:r>
          <w:r w:rsidRPr="007F310B">
            <w:rPr>
              <w:rFonts w:asciiTheme="minorHAnsi" w:hAnsiTheme="minorHAnsi" w:cstheme="minorHAnsi"/>
              <w:noProof/>
              <w:sz w:val="24"/>
              <w:szCs w:val="24"/>
            </w:rPr>
            <w:fldChar w:fldCharType="separate"/>
          </w:r>
          <w:r w:rsidRPr="007F310B">
            <w:rPr>
              <w:rFonts w:asciiTheme="minorHAnsi" w:hAnsiTheme="minorHAnsi" w:cstheme="minorHAnsi"/>
              <w:noProof/>
              <w:sz w:val="24"/>
              <w:szCs w:val="24"/>
            </w:rPr>
            <w:t>(PACE, 1984)</w:t>
          </w:r>
          <w:r w:rsidRPr="007F310B">
            <w:rPr>
              <w:rFonts w:asciiTheme="minorHAnsi" w:hAnsiTheme="minorHAnsi" w:cstheme="minorHAnsi"/>
              <w:noProof/>
              <w:sz w:val="24"/>
              <w:szCs w:val="24"/>
            </w:rPr>
            <w:fldChar w:fldCharType="end"/>
          </w:r>
        </w:sdtContent>
      </w:sdt>
      <w:r w:rsidRPr="007F310B">
        <w:rPr>
          <w:rFonts w:asciiTheme="minorHAnsi" w:hAnsiTheme="minorHAnsi" w:cstheme="minorHAnsi"/>
          <w:noProof/>
          <w:sz w:val="24"/>
          <w:szCs w:val="24"/>
        </w:rPr>
        <w:t>. Each officer in attendance will provide their name and rank along with anyone else present e.g. interpreter/solicitor. The date and time is said in addition to the recording being time stamped. The suspect was told about the copies of the recording and that they can request a copy when the interview had been finalised.</w:t>
      </w:r>
    </w:p>
    <w:p w14:paraId="60BFBC15" w14:textId="77777777" w:rsidR="007F310B" w:rsidRPr="007F310B" w:rsidRDefault="007F310B" w:rsidP="007F310B">
      <w:pPr>
        <w:rPr>
          <w:rFonts w:asciiTheme="minorHAnsi" w:hAnsiTheme="minorHAnsi" w:cstheme="minorHAnsi"/>
          <w:noProof/>
          <w:sz w:val="24"/>
          <w:szCs w:val="24"/>
        </w:rPr>
      </w:pPr>
    </w:p>
    <w:p w14:paraId="40B685E8" w14:textId="19D17428" w:rsidR="007F310B" w:rsidRDefault="007F310B" w:rsidP="007F310B">
      <w:pPr>
        <w:rPr>
          <w:rFonts w:asciiTheme="minorHAnsi" w:hAnsiTheme="minorHAnsi" w:cstheme="minorHAnsi"/>
          <w:noProof/>
          <w:sz w:val="24"/>
          <w:szCs w:val="24"/>
        </w:rPr>
      </w:pPr>
      <w:r w:rsidRPr="007F310B">
        <w:rPr>
          <w:rFonts w:asciiTheme="minorHAnsi" w:hAnsiTheme="minorHAnsi" w:cstheme="minorHAnsi"/>
          <w:noProof/>
          <w:sz w:val="24"/>
          <w:szCs w:val="24"/>
        </w:rPr>
        <w:t xml:space="preserve">At the end of the memo card, I am to provide the caution to the suspect. This is broken down into three parts for the suspect to understand and answer whether he has understood it correctly. When the memo card is finished, I am then able to ask the suspect for their account surrounding the incident. During this interview the solicitor had provided me with a prepared statement and advised his client will go no comment throughout the interview. As per Principle 7 (PACE Code C, 1984) I still have a responsibility to put questions to them. I still went through the account clarification and challenge stage to make sure I had covered the questions I wanted to ask even though it was a no comment reply to every question provided. It was not until I showed the CCTV that the suspect then decided to explain his </w:t>
      </w:r>
      <w:r w:rsidRPr="007F310B">
        <w:rPr>
          <w:rFonts w:asciiTheme="minorHAnsi" w:hAnsiTheme="minorHAnsi" w:cstheme="minorHAnsi"/>
          <w:noProof/>
          <w:sz w:val="24"/>
          <w:szCs w:val="24"/>
        </w:rPr>
        <w:lastRenderedPageBreak/>
        <w:t>medical condition to me, allowing me to challenege him surrouding the medication he was taking and the effect it had on his body. I closed the interview down by asking the suspect if he wanted to clarify or add anything that had been missed.</w:t>
      </w:r>
    </w:p>
    <w:p w14:paraId="1361E419" w14:textId="77777777" w:rsidR="007F310B" w:rsidRPr="007F310B" w:rsidRDefault="007F310B" w:rsidP="007F310B">
      <w:pPr>
        <w:rPr>
          <w:rFonts w:asciiTheme="minorHAnsi" w:hAnsiTheme="minorHAnsi" w:cstheme="minorHAnsi"/>
          <w:noProof/>
          <w:sz w:val="24"/>
          <w:szCs w:val="24"/>
        </w:rPr>
      </w:pPr>
    </w:p>
    <w:p w14:paraId="353BEED2" w14:textId="7C6E7056" w:rsidR="007F310B" w:rsidRDefault="007F310B" w:rsidP="007F310B">
      <w:pPr>
        <w:rPr>
          <w:rFonts w:asciiTheme="minorHAnsi" w:hAnsiTheme="minorHAnsi" w:cstheme="minorHAnsi"/>
          <w:noProof/>
          <w:sz w:val="24"/>
          <w:szCs w:val="24"/>
        </w:rPr>
      </w:pPr>
      <w:r w:rsidRPr="007F310B">
        <w:rPr>
          <w:rFonts w:asciiTheme="minorHAnsi" w:hAnsiTheme="minorHAnsi" w:cstheme="minorHAnsi"/>
          <w:noProof/>
          <w:sz w:val="24"/>
          <w:szCs w:val="24"/>
        </w:rPr>
        <w:t xml:space="preserve">On evaluation, I thought my performance for a difficult interview went very well. I was able to confidently and explain to the interpreter the exact questions I wanted answered by the suspect, even though it was a no comment interview. By producing the CCTV towards the end, I was able to gather information out of the suspect that it was a medical episode he was suffering. If I am to conduct a similar interview, I would like to be more prepapred beforehand as the time it took to complete the interview resulted in me becoming very fatigued and frustrated in relation to how long I was taking to get my questions together. This interview was really effective for the investigation as I was able to get an admission out of the suspect by showing the CCTV, allowing me to formally caution the male as it was his first offence. </w:t>
      </w:r>
    </w:p>
    <w:p w14:paraId="33D887E8" w14:textId="77777777" w:rsidR="007F310B" w:rsidRPr="007F310B" w:rsidRDefault="007F310B" w:rsidP="007F310B">
      <w:pPr>
        <w:rPr>
          <w:rFonts w:asciiTheme="minorHAnsi" w:hAnsiTheme="minorHAnsi" w:cstheme="minorHAnsi"/>
          <w:noProof/>
          <w:sz w:val="24"/>
          <w:szCs w:val="24"/>
        </w:rPr>
      </w:pPr>
    </w:p>
    <w:p w14:paraId="5745CA73" w14:textId="77777777" w:rsidR="007F310B" w:rsidRPr="007F310B" w:rsidRDefault="007F310B" w:rsidP="007F310B">
      <w:pPr>
        <w:rPr>
          <w:rFonts w:asciiTheme="minorHAnsi" w:hAnsiTheme="minorHAnsi" w:cstheme="minorHAnsi"/>
          <w:noProof/>
          <w:sz w:val="24"/>
          <w:szCs w:val="24"/>
        </w:rPr>
      </w:pPr>
      <w:r w:rsidRPr="007F310B">
        <w:rPr>
          <w:rFonts w:asciiTheme="minorHAnsi" w:hAnsiTheme="minorHAnsi" w:cstheme="minorHAnsi"/>
          <w:noProof/>
          <w:sz w:val="24"/>
          <w:szCs w:val="24"/>
        </w:rPr>
        <w:t xml:space="preserve">Policing values were enaged in the interview in relation to my behaviours that are set out from the competency and values framework. I made sure I was clear and comprehensive when communicating with the suspect so that he understood exactly what and why he was being questioned. I made sure that I took into account the cultural and ethical background of the suspect for him to feel comfortable in his surroundings, while also being fair and showing rationale in my decisions. By seeking to understand his medical condition, I was able to understand and tailor my interview following the assessment from the MHT to make sure the suspect was fully fit and willing to enagage with the process of an interview </w:t>
      </w:r>
      <w:sdt>
        <w:sdtPr>
          <w:rPr>
            <w:rFonts w:asciiTheme="minorHAnsi" w:hAnsiTheme="minorHAnsi" w:cstheme="minorHAnsi"/>
            <w:noProof/>
            <w:sz w:val="24"/>
            <w:szCs w:val="24"/>
          </w:rPr>
          <w:id w:val="1678148999"/>
          <w:citation/>
        </w:sdtPr>
        <w:sdtContent>
          <w:r w:rsidRPr="007F310B">
            <w:rPr>
              <w:rFonts w:asciiTheme="minorHAnsi" w:hAnsiTheme="minorHAnsi" w:cstheme="minorHAnsi"/>
              <w:noProof/>
              <w:sz w:val="24"/>
              <w:szCs w:val="24"/>
            </w:rPr>
            <w:fldChar w:fldCharType="begin"/>
          </w:r>
          <w:r w:rsidRPr="007F310B">
            <w:rPr>
              <w:rFonts w:asciiTheme="minorHAnsi" w:hAnsiTheme="minorHAnsi" w:cstheme="minorHAnsi"/>
              <w:noProof/>
              <w:sz w:val="24"/>
              <w:szCs w:val="24"/>
            </w:rPr>
            <w:instrText xml:space="preserve"> CITATION Col211 \l 2057 </w:instrText>
          </w:r>
          <w:r w:rsidRPr="007F310B">
            <w:rPr>
              <w:rFonts w:asciiTheme="minorHAnsi" w:hAnsiTheme="minorHAnsi" w:cstheme="minorHAnsi"/>
              <w:noProof/>
              <w:sz w:val="24"/>
              <w:szCs w:val="24"/>
            </w:rPr>
            <w:fldChar w:fldCharType="separate"/>
          </w:r>
          <w:r w:rsidRPr="007F310B">
            <w:rPr>
              <w:rFonts w:asciiTheme="minorHAnsi" w:hAnsiTheme="minorHAnsi" w:cstheme="minorHAnsi"/>
              <w:noProof/>
              <w:sz w:val="24"/>
              <w:szCs w:val="24"/>
            </w:rPr>
            <w:t>(Policing, 2021)</w:t>
          </w:r>
          <w:r w:rsidRPr="007F310B">
            <w:rPr>
              <w:rFonts w:asciiTheme="minorHAnsi" w:hAnsiTheme="minorHAnsi" w:cstheme="minorHAnsi"/>
              <w:noProof/>
              <w:sz w:val="24"/>
              <w:szCs w:val="24"/>
            </w:rPr>
            <w:fldChar w:fldCharType="end"/>
          </w:r>
        </w:sdtContent>
      </w:sdt>
      <w:r w:rsidRPr="007F310B">
        <w:rPr>
          <w:rFonts w:asciiTheme="minorHAnsi" w:hAnsiTheme="minorHAnsi" w:cstheme="minorHAnsi"/>
          <w:noProof/>
          <w:sz w:val="24"/>
          <w:szCs w:val="24"/>
        </w:rPr>
        <w:t xml:space="preserve">. </w:t>
      </w:r>
    </w:p>
    <w:p w14:paraId="2B7487A7" w14:textId="77777777" w:rsidR="007F310B" w:rsidRPr="007F310B" w:rsidRDefault="007F310B" w:rsidP="007F310B">
      <w:pPr>
        <w:rPr>
          <w:rFonts w:asciiTheme="minorHAnsi" w:hAnsiTheme="minorHAnsi" w:cstheme="minorHAnsi"/>
          <w:b/>
          <w:noProof/>
          <w:sz w:val="24"/>
          <w:szCs w:val="24"/>
        </w:rPr>
      </w:pPr>
      <w:r w:rsidRPr="007F310B">
        <w:rPr>
          <w:rFonts w:asciiTheme="minorHAnsi" w:hAnsiTheme="minorHAnsi" w:cstheme="minorHAnsi"/>
          <w:b/>
          <w:noProof/>
          <w:sz w:val="24"/>
          <w:szCs w:val="24"/>
        </w:rPr>
        <w:t>(1311 Words)</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0AC45D51"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52AF7562"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w:t>
            </w:r>
            <w:r w:rsidR="00887BDF">
              <w:rPr>
                <w:sz w:val="24"/>
                <w:szCs w:val="24"/>
              </w:rPr>
              <w:t xml:space="preserve"> Impartial.</w:t>
            </w:r>
            <w:r w:rsidRPr="5848403C">
              <w:rPr>
                <w:sz w:val="24"/>
                <w:szCs w:val="24"/>
              </w:rPr>
              <w:t xml:space="preserve">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5986F070" w:rsidR="00BD1F45" w:rsidRDefault="00E6745C" w:rsidP="5848403C">
            <w:pPr>
              <w:ind w:right="237"/>
              <w:jc w:val="both"/>
              <w:rPr>
                <w:sz w:val="24"/>
                <w:szCs w:val="24"/>
              </w:rPr>
            </w:pPr>
            <w:r>
              <w:rPr>
                <w:sz w:val="24"/>
                <w:szCs w:val="24"/>
              </w:rPr>
              <w:t xml:space="preserve"> </w:t>
            </w: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6BC474AB" w14:textId="77777777" w:rsidR="007C333C" w:rsidRPr="007C333C" w:rsidRDefault="007C333C" w:rsidP="007C333C">
      <w:pPr>
        <w:rPr>
          <w:rFonts w:asciiTheme="minorHAnsi" w:hAnsiTheme="minorHAnsi" w:cstheme="minorHAnsi"/>
          <w:noProof/>
          <w:sz w:val="24"/>
          <w:szCs w:val="24"/>
        </w:rPr>
      </w:pPr>
      <w:r w:rsidRPr="007C333C">
        <w:rPr>
          <w:rFonts w:asciiTheme="minorHAnsi" w:hAnsiTheme="minorHAnsi" w:cstheme="minorHAnsi"/>
          <w:sz w:val="24"/>
          <w:szCs w:val="24"/>
        </w:rPr>
        <w:t xml:space="preserve">I will be using </w:t>
      </w:r>
      <w:r w:rsidRPr="007C333C">
        <w:rPr>
          <w:rFonts w:asciiTheme="minorHAnsi" w:hAnsiTheme="minorHAnsi" w:cstheme="minorHAnsi"/>
          <w:noProof/>
          <w:sz w:val="24"/>
          <w:szCs w:val="24"/>
        </w:rPr>
        <w:t xml:space="preserve">Borton’s (1970) reflective model throughout this task, Borton’s model is a framework that allows you to reflect on an incident in three parts - </w:t>
      </w:r>
      <w:r w:rsidRPr="007C333C">
        <w:rPr>
          <w:rFonts w:asciiTheme="minorHAnsi" w:hAnsiTheme="minorHAnsi" w:cstheme="minorHAnsi"/>
          <w:i/>
          <w:iCs/>
          <w:noProof/>
          <w:sz w:val="24"/>
          <w:szCs w:val="24"/>
        </w:rPr>
        <w:t>What? So What? And Now What?</w:t>
      </w:r>
      <w:r w:rsidRPr="007C333C">
        <w:rPr>
          <w:rFonts w:asciiTheme="minorHAnsi" w:hAnsiTheme="minorHAnsi" w:cstheme="minorHAnsi"/>
          <w:noProof/>
          <w:sz w:val="24"/>
          <w:szCs w:val="24"/>
        </w:rPr>
        <w:t xml:space="preserve"> These will be discussed during this task.</w:t>
      </w:r>
    </w:p>
    <w:p w14:paraId="6ABCB928" w14:textId="77777777" w:rsidR="007C333C" w:rsidRPr="007C333C" w:rsidRDefault="007C333C" w:rsidP="007C333C">
      <w:pPr>
        <w:rPr>
          <w:rFonts w:asciiTheme="minorHAnsi" w:hAnsiTheme="minorHAnsi" w:cstheme="minorHAnsi"/>
          <w:noProof/>
          <w:sz w:val="24"/>
          <w:szCs w:val="24"/>
        </w:rPr>
      </w:pPr>
    </w:p>
    <w:p w14:paraId="6518293E" w14:textId="77777777" w:rsidR="007C333C" w:rsidRPr="007C333C" w:rsidRDefault="007C333C" w:rsidP="007C333C">
      <w:pPr>
        <w:rPr>
          <w:rFonts w:asciiTheme="minorHAnsi" w:hAnsiTheme="minorHAnsi" w:cstheme="minorHAnsi"/>
          <w:noProof/>
          <w:sz w:val="24"/>
          <w:szCs w:val="24"/>
        </w:rPr>
      </w:pPr>
      <w:r w:rsidRPr="007C333C">
        <w:rPr>
          <w:rFonts w:asciiTheme="minorHAnsi" w:hAnsiTheme="minorHAnsi" w:cstheme="minorHAnsi"/>
          <w:noProof/>
          <w:sz w:val="24"/>
          <w:szCs w:val="24"/>
        </w:rPr>
        <w:lastRenderedPageBreak/>
        <w:t xml:space="preserve">I am going to explain a situation relating to a large number of youths demonstrating anti-social beahviour (ASB) whilst congregating along a beach front restraunt/bar which affected the day time economy of people visiting the beach and the night time economy of people who visited the area to socialise and go to the restraunt. No cultural, ethnicity or langauge issues were identified. </w:t>
      </w:r>
    </w:p>
    <w:p w14:paraId="6AF31712" w14:textId="77777777" w:rsidR="007C333C" w:rsidRPr="007C333C" w:rsidRDefault="007C333C" w:rsidP="007C333C">
      <w:pPr>
        <w:rPr>
          <w:rFonts w:asciiTheme="minorHAnsi" w:hAnsiTheme="minorHAnsi" w:cstheme="minorHAnsi"/>
          <w:sz w:val="24"/>
          <w:szCs w:val="24"/>
        </w:rPr>
      </w:pPr>
      <w:r w:rsidRPr="007C333C">
        <w:rPr>
          <w:rFonts w:asciiTheme="minorHAnsi" w:hAnsiTheme="minorHAnsi" w:cstheme="minorHAnsi"/>
          <w:sz w:val="24"/>
          <w:szCs w:val="24"/>
        </w:rPr>
        <w:t>ASB is defined as:</w:t>
      </w:r>
    </w:p>
    <w:p w14:paraId="0AC90ECB" w14:textId="53F2245F" w:rsidR="007C333C" w:rsidRDefault="007C333C" w:rsidP="007C333C">
      <w:pPr>
        <w:jc w:val="center"/>
        <w:rPr>
          <w:rFonts w:asciiTheme="minorHAnsi" w:hAnsiTheme="minorHAnsi" w:cstheme="minorHAnsi"/>
          <w:noProof/>
          <w:sz w:val="24"/>
          <w:szCs w:val="24"/>
        </w:rPr>
      </w:pPr>
      <w:r w:rsidRPr="007C333C">
        <w:rPr>
          <w:rFonts w:asciiTheme="minorHAnsi" w:hAnsiTheme="minorHAnsi" w:cstheme="minorHAnsi"/>
          <w:i/>
          <w:iCs/>
          <w:sz w:val="24"/>
          <w:szCs w:val="24"/>
        </w:rPr>
        <w:t>“Behaviour by a person which causes, or is likely to cause, harassment, alarm or distress to persons not of the same household as the person.”</w:t>
      </w:r>
      <w:r w:rsidRPr="007C333C">
        <w:rPr>
          <w:rFonts w:asciiTheme="minorHAnsi" w:hAnsiTheme="minorHAnsi" w:cstheme="minorHAnsi"/>
          <w:sz w:val="24"/>
          <w:szCs w:val="24"/>
        </w:rPr>
        <w:t xml:space="preserve"> </w:t>
      </w:r>
      <w:r w:rsidRPr="007C333C">
        <w:rPr>
          <w:rFonts w:asciiTheme="minorHAnsi" w:hAnsiTheme="minorHAnsi" w:cstheme="minorHAnsi"/>
          <w:noProof/>
          <w:sz w:val="24"/>
          <w:szCs w:val="24"/>
        </w:rPr>
        <w:t>(Section 2 of Anti-Social Behaviour Crime and Policing Act, 2014)</w:t>
      </w:r>
    </w:p>
    <w:p w14:paraId="0B6A2735" w14:textId="77777777" w:rsidR="007C333C" w:rsidRPr="007C333C" w:rsidRDefault="007C333C" w:rsidP="007C333C">
      <w:pPr>
        <w:jc w:val="center"/>
        <w:rPr>
          <w:rFonts w:asciiTheme="minorHAnsi" w:hAnsiTheme="minorHAnsi" w:cstheme="minorHAnsi"/>
          <w:noProof/>
          <w:sz w:val="24"/>
          <w:szCs w:val="24"/>
        </w:rPr>
      </w:pPr>
    </w:p>
    <w:p w14:paraId="5E4941F5" w14:textId="6E4DF0E3" w:rsidR="007C333C" w:rsidRDefault="007C333C" w:rsidP="007C333C">
      <w:pPr>
        <w:rPr>
          <w:rFonts w:asciiTheme="minorHAnsi" w:hAnsiTheme="minorHAnsi" w:cstheme="minorHAnsi"/>
          <w:noProof/>
          <w:sz w:val="24"/>
          <w:szCs w:val="24"/>
        </w:rPr>
      </w:pPr>
      <w:r w:rsidRPr="007C333C">
        <w:rPr>
          <w:rFonts w:asciiTheme="minorHAnsi" w:hAnsiTheme="minorHAnsi" w:cstheme="minorHAnsi"/>
          <w:noProof/>
          <w:sz w:val="24"/>
          <w:szCs w:val="24"/>
        </w:rPr>
        <w:t>There are many examples of anti-social behaiour (ASB) including nuisance, rowdy or inconsiderate neighbours, vandalism, graffiti and fly posting; littering, dumping of rubbish and abandonment of cars (Bryant &amp; Bryant, 2021)</w:t>
      </w:r>
    </w:p>
    <w:p w14:paraId="3F1F1832" w14:textId="77777777" w:rsidR="007C333C" w:rsidRPr="007C333C" w:rsidRDefault="007C333C" w:rsidP="007C333C">
      <w:pPr>
        <w:rPr>
          <w:rFonts w:asciiTheme="minorHAnsi" w:hAnsiTheme="minorHAnsi" w:cstheme="minorHAnsi"/>
          <w:noProof/>
          <w:sz w:val="24"/>
          <w:szCs w:val="24"/>
        </w:rPr>
      </w:pPr>
    </w:p>
    <w:p w14:paraId="3B744765" w14:textId="4212F24C" w:rsidR="007C333C" w:rsidRDefault="007C333C" w:rsidP="007C333C">
      <w:pPr>
        <w:rPr>
          <w:rFonts w:asciiTheme="minorHAnsi" w:hAnsiTheme="minorHAnsi" w:cstheme="minorHAnsi"/>
          <w:noProof/>
          <w:sz w:val="24"/>
          <w:szCs w:val="24"/>
        </w:rPr>
      </w:pPr>
      <w:r w:rsidRPr="007C333C">
        <w:rPr>
          <w:rFonts w:asciiTheme="minorHAnsi" w:hAnsiTheme="minorHAnsi" w:cstheme="minorHAnsi"/>
          <w:noProof/>
          <w:sz w:val="24"/>
          <w:szCs w:val="24"/>
        </w:rPr>
        <w:t>When I was alerted about a large group of youths walking along the beach front towards the main city centre, I did not think anything much of it due to the nice weather we were having and it seemed perfectly normal for people to be out enjoying themselves. It was not until around one week later reports came in that the same group of youths were starting to be a nusiance towards members of the public and stopping people from walking along a certain part of the beach due to their disruptive behaviour. This had developed into an ASB issue due to them causing alarm or distress to others in the local community.</w:t>
      </w:r>
    </w:p>
    <w:p w14:paraId="6BE617C9" w14:textId="77777777" w:rsidR="007C333C" w:rsidRPr="007C333C" w:rsidRDefault="007C333C" w:rsidP="007C333C">
      <w:pPr>
        <w:rPr>
          <w:rFonts w:asciiTheme="minorHAnsi" w:hAnsiTheme="minorHAnsi" w:cstheme="minorHAnsi"/>
          <w:noProof/>
          <w:sz w:val="24"/>
          <w:szCs w:val="24"/>
        </w:rPr>
      </w:pPr>
    </w:p>
    <w:p w14:paraId="76E3BD0A" w14:textId="22B91B26" w:rsidR="007C333C" w:rsidRDefault="007C333C" w:rsidP="007C333C">
      <w:pPr>
        <w:rPr>
          <w:rFonts w:asciiTheme="minorHAnsi" w:hAnsiTheme="minorHAnsi" w:cstheme="minorHAnsi"/>
          <w:noProof/>
          <w:sz w:val="24"/>
          <w:szCs w:val="24"/>
        </w:rPr>
      </w:pPr>
      <w:r w:rsidRPr="007C333C">
        <w:rPr>
          <w:rFonts w:asciiTheme="minorHAnsi" w:hAnsiTheme="minorHAnsi" w:cstheme="minorHAnsi"/>
          <w:noProof/>
          <w:sz w:val="24"/>
          <w:szCs w:val="24"/>
        </w:rPr>
        <w:t>My tutor and I responded to the call and made our way on foot down towards the beach. On arrival a large majority of the youths were drinking alcohol and playing loud music. I noticed a restraunt next to where we were standing and decided to talk to the manager in relation to the youths. He explained that it has affected his business during the last couple of days as no one was walking into the restraunt. At the time, we were able to disperse the group into smaller groups and get them away from the area. It was not until the evening that we realised they had come back in a larger group. It was at this time we realised we needed to adopt a multi-agency approach towards engaging with the youths throughout the day and night.</w:t>
      </w:r>
    </w:p>
    <w:p w14:paraId="32533D7F" w14:textId="77777777" w:rsidR="007C333C" w:rsidRPr="007C333C" w:rsidRDefault="007C333C" w:rsidP="007C333C">
      <w:pPr>
        <w:rPr>
          <w:rFonts w:asciiTheme="minorHAnsi" w:hAnsiTheme="minorHAnsi" w:cstheme="minorHAnsi"/>
          <w:noProof/>
          <w:sz w:val="24"/>
          <w:szCs w:val="24"/>
        </w:rPr>
      </w:pPr>
    </w:p>
    <w:p w14:paraId="30724478" w14:textId="77777777" w:rsidR="007C333C" w:rsidRDefault="007C333C" w:rsidP="007C333C">
      <w:pPr>
        <w:rPr>
          <w:rFonts w:asciiTheme="minorHAnsi" w:hAnsiTheme="minorHAnsi" w:cstheme="minorHAnsi"/>
          <w:noProof/>
          <w:sz w:val="24"/>
          <w:szCs w:val="24"/>
        </w:rPr>
      </w:pPr>
      <w:r w:rsidRPr="007C333C">
        <w:rPr>
          <w:rFonts w:asciiTheme="minorHAnsi" w:hAnsiTheme="minorHAnsi" w:cstheme="minorHAnsi"/>
          <w:noProof/>
          <w:sz w:val="24"/>
          <w:szCs w:val="24"/>
        </w:rPr>
        <w:t xml:space="preserve">The ASB had impacted the local community in a short space of time resulting in the local community being unable to walk along the beach front or visit the local restraunt. Understandably, the public were frustrated that they could not enjoy what they have in their community given the current climate and where the majority of the community have been quarantined in their house for nearly 18 months. The issues needed to be identified and targeted. </w:t>
      </w:r>
    </w:p>
    <w:p w14:paraId="35B6A3BE" w14:textId="77777777" w:rsidR="007C333C" w:rsidRDefault="007C333C" w:rsidP="007C333C">
      <w:pPr>
        <w:rPr>
          <w:rFonts w:asciiTheme="minorHAnsi" w:hAnsiTheme="minorHAnsi" w:cstheme="minorHAnsi"/>
          <w:noProof/>
          <w:sz w:val="24"/>
          <w:szCs w:val="24"/>
        </w:rPr>
      </w:pPr>
      <w:r w:rsidRPr="007C333C">
        <w:rPr>
          <w:rFonts w:asciiTheme="minorHAnsi" w:hAnsiTheme="minorHAnsi" w:cstheme="minorHAnsi"/>
          <w:noProof/>
          <w:sz w:val="24"/>
          <w:szCs w:val="24"/>
        </w:rPr>
        <w:t xml:space="preserve">During the first couple of days, mobile patrol from the local officers and Neighbourhood Team were sufficent at keeping the groups small and respectful. This was deemed the most appropirate action initially as there was no disturbance and they would move on when asked. It was not until the group became much larger that they became disruptive (causing alarm and distress) and further action would need to be taken in order to dispurse the group or ban them from attending that certain area. A more tactical approach was required during the multi-agency meetings to find a solution to the problem. As the youths became more disruptive, a heavier police presence was initiated in an attempt to reassure the local community action was being taken and that they were not forgotten about. </w:t>
      </w:r>
    </w:p>
    <w:p w14:paraId="19D81030" w14:textId="0E8F9793" w:rsidR="007C333C" w:rsidRPr="007C333C" w:rsidRDefault="007C333C" w:rsidP="007C333C">
      <w:pPr>
        <w:rPr>
          <w:rFonts w:asciiTheme="minorHAnsi" w:hAnsiTheme="minorHAnsi" w:cstheme="minorHAnsi"/>
          <w:noProof/>
          <w:sz w:val="24"/>
          <w:szCs w:val="24"/>
        </w:rPr>
      </w:pPr>
      <w:r w:rsidRPr="007C333C">
        <w:rPr>
          <w:rFonts w:asciiTheme="minorHAnsi" w:hAnsiTheme="minorHAnsi" w:cstheme="minorHAnsi"/>
          <w:noProof/>
          <w:sz w:val="24"/>
          <w:szCs w:val="24"/>
        </w:rPr>
        <w:lastRenderedPageBreak/>
        <w:t xml:space="preserve">There were a minority of youths who were still causing a nuisance so Acceptable Behaviour Contracts (ABC) (ASB Help, 2021) were issued to the minority. These ABCs were issued to the youths from a successful meeting with multi agencies, the ABC is written voluuntary agreement between the person who was involved in ASB and one or more agencies. This did not have the planned effect as the large group still gathered and consistently caused a nuisance. In a last resort, Section 35 </w:t>
      </w:r>
      <w:sdt>
        <w:sdtPr>
          <w:rPr>
            <w:rFonts w:asciiTheme="minorHAnsi" w:hAnsiTheme="minorHAnsi" w:cstheme="minorHAnsi"/>
            <w:noProof/>
            <w:sz w:val="24"/>
            <w:szCs w:val="24"/>
          </w:rPr>
          <w:id w:val="1602835739"/>
          <w:citation/>
        </w:sdtPr>
        <w:sdtContent>
          <w:r w:rsidRPr="007C333C">
            <w:rPr>
              <w:rFonts w:asciiTheme="minorHAnsi" w:hAnsiTheme="minorHAnsi" w:cstheme="minorHAnsi"/>
              <w:noProof/>
              <w:sz w:val="24"/>
              <w:szCs w:val="24"/>
            </w:rPr>
            <w:fldChar w:fldCharType="begin"/>
          </w:r>
          <w:r w:rsidRPr="007C333C">
            <w:rPr>
              <w:rFonts w:asciiTheme="minorHAnsi" w:hAnsiTheme="minorHAnsi" w:cstheme="minorHAnsi"/>
              <w:noProof/>
              <w:sz w:val="24"/>
              <w:szCs w:val="24"/>
            </w:rPr>
            <w:instrText xml:space="preserve"> CITATION Ant141 \l 2057 </w:instrText>
          </w:r>
          <w:r w:rsidRPr="007C333C">
            <w:rPr>
              <w:rFonts w:asciiTheme="minorHAnsi" w:hAnsiTheme="minorHAnsi" w:cstheme="minorHAnsi"/>
              <w:noProof/>
              <w:sz w:val="24"/>
              <w:szCs w:val="24"/>
            </w:rPr>
            <w:fldChar w:fldCharType="separate"/>
          </w:r>
          <w:r w:rsidRPr="007C333C">
            <w:rPr>
              <w:rFonts w:asciiTheme="minorHAnsi" w:hAnsiTheme="minorHAnsi" w:cstheme="minorHAnsi"/>
              <w:noProof/>
              <w:sz w:val="24"/>
              <w:szCs w:val="24"/>
            </w:rPr>
            <w:t>(Anti-social behaviour, 2014)</w:t>
          </w:r>
          <w:r w:rsidRPr="007C333C">
            <w:rPr>
              <w:rFonts w:asciiTheme="minorHAnsi" w:hAnsiTheme="minorHAnsi" w:cstheme="minorHAnsi"/>
              <w:noProof/>
              <w:sz w:val="24"/>
              <w:szCs w:val="24"/>
            </w:rPr>
            <w:fldChar w:fldCharType="end"/>
          </w:r>
        </w:sdtContent>
      </w:sdt>
      <w:r w:rsidRPr="007C333C">
        <w:rPr>
          <w:rFonts w:asciiTheme="minorHAnsi" w:hAnsiTheme="minorHAnsi" w:cstheme="minorHAnsi"/>
          <w:noProof/>
          <w:sz w:val="24"/>
          <w:szCs w:val="24"/>
        </w:rPr>
        <w:t xml:space="preserve"> was implemented, which is a dispersal order for any youths to not come into the area. By providing this Seciton 35 it stopped the large group gathering together and gave the police more power in either issuing a fine or the possibility of an arrest. </w:t>
      </w:r>
    </w:p>
    <w:p w14:paraId="10F1B61E" w14:textId="77777777" w:rsidR="007C333C" w:rsidRPr="007C333C" w:rsidRDefault="007C333C" w:rsidP="007C333C">
      <w:pPr>
        <w:rPr>
          <w:rFonts w:asciiTheme="minorHAnsi" w:hAnsiTheme="minorHAnsi" w:cstheme="minorHAnsi"/>
          <w:b/>
          <w:noProof/>
          <w:sz w:val="24"/>
          <w:szCs w:val="24"/>
        </w:rPr>
      </w:pPr>
    </w:p>
    <w:p w14:paraId="23E4449D" w14:textId="77777777" w:rsidR="007C333C" w:rsidRPr="007C333C" w:rsidRDefault="007C333C" w:rsidP="007C333C">
      <w:pPr>
        <w:rPr>
          <w:rFonts w:asciiTheme="minorHAnsi" w:hAnsiTheme="minorHAnsi" w:cstheme="minorHAnsi"/>
          <w:noProof/>
          <w:sz w:val="24"/>
          <w:szCs w:val="24"/>
        </w:rPr>
      </w:pPr>
      <w:r w:rsidRPr="007C333C">
        <w:rPr>
          <w:rFonts w:asciiTheme="minorHAnsi" w:hAnsiTheme="minorHAnsi" w:cstheme="minorHAnsi"/>
          <w:noProof/>
          <w:sz w:val="24"/>
          <w:szCs w:val="24"/>
        </w:rPr>
        <w:t xml:space="preserve">My responsibilites when responding to an ASB alert is to target the ASB through early prevention and working in partnership to prevent any further ASB. In addition, we can then reassure the local community by listening to the victims and witnesses. </w:t>
      </w:r>
    </w:p>
    <w:p w14:paraId="0728F8DB" w14:textId="77777777" w:rsidR="007C333C" w:rsidRPr="007C333C" w:rsidRDefault="007C333C" w:rsidP="007C333C">
      <w:pPr>
        <w:rPr>
          <w:rFonts w:asciiTheme="minorHAnsi" w:hAnsiTheme="minorHAnsi" w:cstheme="minorHAnsi"/>
          <w:noProof/>
          <w:sz w:val="24"/>
          <w:szCs w:val="24"/>
        </w:rPr>
      </w:pPr>
      <w:r w:rsidRPr="007C333C">
        <w:rPr>
          <w:rFonts w:asciiTheme="minorHAnsi" w:hAnsiTheme="minorHAnsi" w:cstheme="minorHAnsi"/>
          <w:noProof/>
          <w:sz w:val="24"/>
          <w:szCs w:val="24"/>
        </w:rPr>
        <w:t>The police approach to all ASB incidents will always take into account the three P’s – Positive, Professional &amp; Proud, and by using the acronym GETOUT which is shown below.</w:t>
      </w:r>
    </w:p>
    <w:p w14:paraId="49DF976A" w14:textId="77777777" w:rsidR="007C333C" w:rsidRPr="007C333C" w:rsidRDefault="007C333C" w:rsidP="007C333C">
      <w:pPr>
        <w:jc w:val="center"/>
        <w:rPr>
          <w:rFonts w:asciiTheme="minorHAnsi" w:hAnsiTheme="minorHAnsi" w:cstheme="minorHAnsi"/>
          <w:noProof/>
          <w:sz w:val="24"/>
          <w:szCs w:val="24"/>
        </w:rPr>
      </w:pPr>
      <w:r w:rsidRPr="007C333C">
        <w:rPr>
          <w:rFonts w:asciiTheme="minorHAnsi" w:hAnsiTheme="minorHAnsi" w:cstheme="minorHAnsi"/>
          <w:noProof/>
        </w:rPr>
        <w:drawing>
          <wp:inline distT="0" distB="0" distL="0" distR="0" wp14:anchorId="281563E4" wp14:editId="57A5D920">
            <wp:extent cx="2753222" cy="3430844"/>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55434" cy="3433601"/>
                    </a:xfrm>
                    <a:prstGeom prst="rect">
                      <a:avLst/>
                    </a:prstGeom>
                  </pic:spPr>
                </pic:pic>
              </a:graphicData>
            </a:graphic>
          </wp:inline>
        </w:drawing>
      </w:r>
    </w:p>
    <w:p w14:paraId="21C09DA5" w14:textId="4AC726C1" w:rsidR="007C333C" w:rsidRDefault="007C333C" w:rsidP="007C333C">
      <w:pPr>
        <w:rPr>
          <w:rFonts w:asciiTheme="minorHAnsi" w:hAnsiTheme="minorHAnsi" w:cstheme="minorHAnsi"/>
          <w:noProof/>
          <w:sz w:val="24"/>
          <w:szCs w:val="24"/>
        </w:rPr>
      </w:pPr>
      <w:r w:rsidRPr="007C333C">
        <w:rPr>
          <w:rFonts w:asciiTheme="minorHAnsi" w:hAnsiTheme="minorHAnsi" w:cstheme="minorHAnsi"/>
          <w:noProof/>
          <w:sz w:val="24"/>
          <w:szCs w:val="24"/>
        </w:rPr>
        <w:t>By following GETOUT acronym, officers will speak to victims of ASB to allow them to provide an account of what has happened. We will examine the scene to gather any evidence when necessary and to find out if this is a repeat victim/offender/location. All details will be taken of the victims/witnesses or offenders and forwarded onto the relevant community intelligence. Officers can offer any advice on what to do if similar ASB incidences occur again, including a contact number for the Neighbourhood Police and for any person that is vulnerable to make a referral to the ASB unit. All updates are logged onto the occurrence enquiry log while taking immediate action around the area and to update victims on what is the next step into the investigation</w:t>
      </w:r>
      <w:r>
        <w:rPr>
          <w:rFonts w:asciiTheme="minorHAnsi" w:hAnsiTheme="minorHAnsi" w:cstheme="minorHAnsi"/>
          <w:noProof/>
          <w:sz w:val="24"/>
          <w:szCs w:val="24"/>
        </w:rPr>
        <w:t>.</w:t>
      </w:r>
    </w:p>
    <w:p w14:paraId="55268ACF" w14:textId="77777777" w:rsidR="007C333C" w:rsidRPr="007C333C" w:rsidRDefault="007C333C" w:rsidP="007C333C">
      <w:pPr>
        <w:rPr>
          <w:rFonts w:asciiTheme="minorHAnsi" w:hAnsiTheme="minorHAnsi" w:cstheme="minorHAnsi"/>
          <w:noProof/>
          <w:sz w:val="24"/>
          <w:szCs w:val="24"/>
        </w:rPr>
      </w:pPr>
    </w:p>
    <w:p w14:paraId="756C7823" w14:textId="77777777" w:rsidR="007C333C" w:rsidRPr="007C333C" w:rsidRDefault="007C333C" w:rsidP="007C333C">
      <w:pPr>
        <w:rPr>
          <w:rFonts w:asciiTheme="minorHAnsi" w:hAnsiTheme="minorHAnsi" w:cstheme="minorHAnsi"/>
          <w:noProof/>
          <w:sz w:val="24"/>
          <w:szCs w:val="24"/>
        </w:rPr>
      </w:pPr>
      <w:r w:rsidRPr="007C333C">
        <w:rPr>
          <w:rFonts w:asciiTheme="minorHAnsi" w:hAnsiTheme="minorHAnsi" w:cstheme="minorHAnsi"/>
          <w:noProof/>
          <w:sz w:val="24"/>
          <w:szCs w:val="24"/>
        </w:rPr>
        <w:t xml:space="preserve">Having made the referral and using GETOUT, I was able to join a meeting along with the Neighbourhood Policing Team which included Police Community Support Officers and the </w:t>
      </w:r>
      <w:r w:rsidRPr="007C333C">
        <w:rPr>
          <w:rFonts w:asciiTheme="minorHAnsi" w:hAnsiTheme="minorHAnsi" w:cstheme="minorHAnsi"/>
          <w:noProof/>
          <w:sz w:val="24"/>
          <w:szCs w:val="24"/>
        </w:rPr>
        <w:lastRenderedPageBreak/>
        <w:t xml:space="preserve">local council. Having this partnership and teamwork attitude allowed us to tackle the ASB and agree that enforcement was to be put into place immediately. A community trigger was implemented so victims and communities have the right to request a review of their case and bring agencies together to take a problem-solving approach (Home Office, 2020). </w:t>
      </w:r>
    </w:p>
    <w:p w14:paraId="5D49D591" w14:textId="1D61C5D6" w:rsidR="007C333C" w:rsidRDefault="007C333C" w:rsidP="007C333C">
      <w:pPr>
        <w:rPr>
          <w:rFonts w:asciiTheme="minorHAnsi" w:hAnsiTheme="minorHAnsi" w:cstheme="minorHAnsi"/>
          <w:noProof/>
          <w:sz w:val="24"/>
          <w:szCs w:val="24"/>
        </w:rPr>
      </w:pPr>
      <w:r w:rsidRPr="007C333C">
        <w:rPr>
          <w:rFonts w:asciiTheme="minorHAnsi" w:hAnsiTheme="minorHAnsi" w:cstheme="minorHAnsi"/>
          <w:noProof/>
          <w:sz w:val="24"/>
          <w:szCs w:val="24"/>
        </w:rPr>
        <w:t xml:space="preserve">There are a number of enforcemnet interventions. One way was to send social media messages to warn people of the disturbance in the area and state that ABCs had been issued to the youths, who were eventually removed from the area. By providing this social media post it helps spread an update quicker and provide the local commuity with confidence to engage, report, and interact with their local police using these social media channels </w:t>
      </w:r>
      <w:sdt>
        <w:sdtPr>
          <w:rPr>
            <w:rFonts w:asciiTheme="minorHAnsi" w:hAnsiTheme="minorHAnsi" w:cstheme="minorHAnsi"/>
            <w:noProof/>
            <w:sz w:val="24"/>
            <w:szCs w:val="24"/>
          </w:rPr>
          <w:id w:val="1608154467"/>
          <w:citation/>
        </w:sdtPr>
        <w:sdtContent>
          <w:r w:rsidRPr="007C333C">
            <w:rPr>
              <w:rFonts w:asciiTheme="minorHAnsi" w:hAnsiTheme="minorHAnsi" w:cstheme="minorHAnsi"/>
              <w:noProof/>
              <w:sz w:val="24"/>
              <w:szCs w:val="24"/>
            </w:rPr>
            <w:fldChar w:fldCharType="begin"/>
          </w:r>
          <w:r w:rsidRPr="007C333C">
            <w:rPr>
              <w:rFonts w:asciiTheme="minorHAnsi" w:hAnsiTheme="minorHAnsi" w:cstheme="minorHAnsi"/>
              <w:noProof/>
              <w:sz w:val="24"/>
              <w:szCs w:val="24"/>
            </w:rPr>
            <w:instrText xml:space="preserve"> CITATION NPC21 \l 2057 </w:instrText>
          </w:r>
          <w:r w:rsidRPr="007C333C">
            <w:rPr>
              <w:rFonts w:asciiTheme="minorHAnsi" w:hAnsiTheme="minorHAnsi" w:cstheme="minorHAnsi"/>
              <w:noProof/>
              <w:sz w:val="24"/>
              <w:szCs w:val="24"/>
            </w:rPr>
            <w:fldChar w:fldCharType="separate"/>
          </w:r>
          <w:r w:rsidRPr="007C333C">
            <w:rPr>
              <w:rFonts w:asciiTheme="minorHAnsi" w:hAnsiTheme="minorHAnsi" w:cstheme="minorHAnsi"/>
              <w:noProof/>
              <w:sz w:val="24"/>
              <w:szCs w:val="24"/>
            </w:rPr>
            <w:t>(NPCC, 2021)</w:t>
          </w:r>
          <w:r w:rsidRPr="007C333C">
            <w:rPr>
              <w:rFonts w:asciiTheme="minorHAnsi" w:hAnsiTheme="minorHAnsi" w:cstheme="minorHAnsi"/>
              <w:noProof/>
              <w:sz w:val="24"/>
              <w:szCs w:val="24"/>
            </w:rPr>
            <w:fldChar w:fldCharType="end"/>
          </w:r>
        </w:sdtContent>
      </w:sdt>
      <w:r w:rsidRPr="007C333C">
        <w:rPr>
          <w:rFonts w:asciiTheme="minorHAnsi" w:hAnsiTheme="minorHAnsi" w:cstheme="minorHAnsi"/>
          <w:noProof/>
          <w:sz w:val="24"/>
          <w:szCs w:val="24"/>
        </w:rPr>
        <w:t xml:space="preserve">. </w:t>
      </w:r>
    </w:p>
    <w:p w14:paraId="4AEF5D69" w14:textId="77777777" w:rsidR="007C333C" w:rsidRPr="007C333C" w:rsidRDefault="007C333C" w:rsidP="007C333C">
      <w:pPr>
        <w:rPr>
          <w:rFonts w:asciiTheme="minorHAnsi" w:hAnsiTheme="minorHAnsi" w:cstheme="minorHAnsi"/>
          <w:noProof/>
          <w:sz w:val="24"/>
          <w:szCs w:val="24"/>
        </w:rPr>
      </w:pPr>
    </w:p>
    <w:p w14:paraId="74930971" w14:textId="7941ACFA" w:rsidR="007C333C" w:rsidRDefault="007C333C" w:rsidP="007C333C">
      <w:pPr>
        <w:rPr>
          <w:rFonts w:asciiTheme="minorHAnsi" w:hAnsiTheme="minorHAnsi" w:cstheme="minorHAnsi"/>
          <w:noProof/>
          <w:sz w:val="24"/>
          <w:szCs w:val="24"/>
        </w:rPr>
      </w:pPr>
      <w:r w:rsidRPr="007C333C">
        <w:rPr>
          <w:rFonts w:asciiTheme="minorHAnsi" w:hAnsiTheme="minorHAnsi" w:cstheme="minorHAnsi"/>
          <w:noProof/>
          <w:sz w:val="24"/>
          <w:szCs w:val="24"/>
        </w:rPr>
        <w:t xml:space="preserve">Coming together for partnership activity was crucial for the ASB occurrence reported. During ASB incidences, there are expert teams like local authority and police community officers that can give good feedback due to them using evidence-based policing. Evidence-based policing is the “best available” evidence to use appropirate research methods and sources for the questions being asked </w:t>
      </w:r>
      <w:sdt>
        <w:sdtPr>
          <w:rPr>
            <w:rFonts w:asciiTheme="minorHAnsi" w:hAnsiTheme="minorHAnsi" w:cstheme="minorHAnsi"/>
            <w:noProof/>
            <w:sz w:val="24"/>
            <w:szCs w:val="24"/>
          </w:rPr>
          <w:id w:val="1367253839"/>
          <w:citation/>
        </w:sdtPr>
        <w:sdtContent>
          <w:r w:rsidRPr="007C333C">
            <w:rPr>
              <w:rFonts w:asciiTheme="minorHAnsi" w:hAnsiTheme="minorHAnsi" w:cstheme="minorHAnsi"/>
              <w:noProof/>
              <w:sz w:val="24"/>
              <w:szCs w:val="24"/>
            </w:rPr>
            <w:fldChar w:fldCharType="begin"/>
          </w:r>
          <w:r w:rsidRPr="007C333C">
            <w:rPr>
              <w:rFonts w:asciiTheme="minorHAnsi" w:hAnsiTheme="minorHAnsi" w:cstheme="minorHAnsi"/>
              <w:noProof/>
              <w:sz w:val="24"/>
              <w:szCs w:val="24"/>
            </w:rPr>
            <w:instrText xml:space="preserve"> CITATION Col212 \l 2057 </w:instrText>
          </w:r>
          <w:r w:rsidRPr="007C333C">
            <w:rPr>
              <w:rFonts w:asciiTheme="minorHAnsi" w:hAnsiTheme="minorHAnsi" w:cstheme="minorHAnsi"/>
              <w:noProof/>
              <w:sz w:val="24"/>
              <w:szCs w:val="24"/>
            </w:rPr>
            <w:fldChar w:fldCharType="separate"/>
          </w:r>
          <w:r w:rsidRPr="007C333C">
            <w:rPr>
              <w:rFonts w:asciiTheme="minorHAnsi" w:hAnsiTheme="minorHAnsi" w:cstheme="minorHAnsi"/>
              <w:noProof/>
              <w:sz w:val="24"/>
              <w:szCs w:val="24"/>
            </w:rPr>
            <w:t>(Policing, 2021)</w:t>
          </w:r>
          <w:r w:rsidRPr="007C333C">
            <w:rPr>
              <w:rFonts w:asciiTheme="minorHAnsi" w:hAnsiTheme="minorHAnsi" w:cstheme="minorHAnsi"/>
              <w:noProof/>
              <w:sz w:val="24"/>
              <w:szCs w:val="24"/>
            </w:rPr>
            <w:fldChar w:fldCharType="end"/>
          </w:r>
        </w:sdtContent>
      </w:sdt>
      <w:r w:rsidRPr="007C333C">
        <w:rPr>
          <w:rFonts w:asciiTheme="minorHAnsi" w:hAnsiTheme="minorHAnsi" w:cstheme="minorHAnsi"/>
          <w:noProof/>
          <w:sz w:val="24"/>
          <w:szCs w:val="24"/>
        </w:rPr>
        <w:t>. Evidence-based policing does not provide definitive answers but officers and agencies can reflect on their practice, consider how the “best available” evidence applies to their day to day work, and learn from their successes and failures.</w:t>
      </w:r>
    </w:p>
    <w:p w14:paraId="6795D8DF" w14:textId="77777777" w:rsidR="007C333C" w:rsidRPr="007C333C" w:rsidRDefault="007C333C" w:rsidP="007C333C">
      <w:pPr>
        <w:rPr>
          <w:rFonts w:asciiTheme="minorHAnsi" w:hAnsiTheme="minorHAnsi" w:cstheme="minorHAnsi"/>
          <w:noProof/>
          <w:sz w:val="24"/>
          <w:szCs w:val="24"/>
        </w:rPr>
      </w:pPr>
    </w:p>
    <w:p w14:paraId="47DE3839" w14:textId="77777777" w:rsidR="007C333C" w:rsidRPr="007C333C" w:rsidRDefault="007C333C" w:rsidP="007C333C">
      <w:pPr>
        <w:rPr>
          <w:rFonts w:asciiTheme="minorHAnsi" w:hAnsiTheme="minorHAnsi" w:cstheme="minorHAnsi"/>
          <w:noProof/>
          <w:sz w:val="24"/>
          <w:szCs w:val="24"/>
        </w:rPr>
      </w:pPr>
      <w:r w:rsidRPr="007C333C">
        <w:rPr>
          <w:rFonts w:asciiTheme="minorHAnsi" w:hAnsiTheme="minorHAnsi" w:cstheme="minorHAnsi"/>
          <w:noProof/>
          <w:sz w:val="24"/>
          <w:szCs w:val="24"/>
        </w:rPr>
        <w:t>As explained in College of Policing (2020) on partnership activity, a Problem Orientated Policing (POP) approach between multiple agencies is required to be able to identify a specific problem. POP is an approach to develop targeted interventions, rather than an intervention itself. POP can be described in the context of the SARA model of problem solving. The SARA model employs four stages:</w:t>
      </w:r>
    </w:p>
    <w:p w14:paraId="331FCC6F" w14:textId="77777777" w:rsidR="007C333C" w:rsidRPr="007C333C" w:rsidRDefault="007C333C" w:rsidP="007C333C">
      <w:pPr>
        <w:pStyle w:val="ListParagraph"/>
        <w:numPr>
          <w:ilvl w:val="0"/>
          <w:numId w:val="5"/>
        </w:numPr>
        <w:overflowPunct/>
        <w:autoSpaceDE/>
        <w:autoSpaceDN/>
        <w:adjustRightInd/>
        <w:spacing w:after="160" w:line="259" w:lineRule="auto"/>
        <w:textAlignment w:val="auto"/>
        <w:rPr>
          <w:rFonts w:asciiTheme="minorHAnsi" w:hAnsiTheme="minorHAnsi" w:cstheme="minorHAnsi"/>
          <w:noProof/>
          <w:sz w:val="24"/>
          <w:szCs w:val="24"/>
        </w:rPr>
      </w:pPr>
      <w:r w:rsidRPr="007C333C">
        <w:rPr>
          <w:rFonts w:asciiTheme="minorHAnsi" w:hAnsiTheme="minorHAnsi" w:cstheme="minorHAnsi"/>
          <w:noProof/>
          <w:sz w:val="24"/>
          <w:szCs w:val="24"/>
        </w:rPr>
        <w:t>Scanning – The identifying and prioritising of potentional crime and disorder problems</w:t>
      </w:r>
    </w:p>
    <w:p w14:paraId="65F27D1D" w14:textId="77777777" w:rsidR="007C333C" w:rsidRPr="007C333C" w:rsidRDefault="007C333C" w:rsidP="007C333C">
      <w:pPr>
        <w:pStyle w:val="ListParagraph"/>
        <w:numPr>
          <w:ilvl w:val="0"/>
          <w:numId w:val="5"/>
        </w:numPr>
        <w:overflowPunct/>
        <w:autoSpaceDE/>
        <w:autoSpaceDN/>
        <w:adjustRightInd/>
        <w:spacing w:after="160" w:line="259" w:lineRule="auto"/>
        <w:textAlignment w:val="auto"/>
        <w:rPr>
          <w:rFonts w:asciiTheme="minorHAnsi" w:hAnsiTheme="minorHAnsi" w:cstheme="minorHAnsi"/>
          <w:noProof/>
          <w:sz w:val="24"/>
          <w:szCs w:val="24"/>
        </w:rPr>
      </w:pPr>
      <w:r w:rsidRPr="007C333C">
        <w:rPr>
          <w:rFonts w:asciiTheme="minorHAnsi" w:hAnsiTheme="minorHAnsi" w:cstheme="minorHAnsi"/>
          <w:noProof/>
          <w:sz w:val="24"/>
          <w:szCs w:val="24"/>
        </w:rPr>
        <w:t>Analysis – The analysis of potential problems</w:t>
      </w:r>
    </w:p>
    <w:p w14:paraId="22B6A39E" w14:textId="77777777" w:rsidR="007C333C" w:rsidRPr="007C333C" w:rsidRDefault="007C333C" w:rsidP="007C333C">
      <w:pPr>
        <w:pStyle w:val="ListParagraph"/>
        <w:numPr>
          <w:ilvl w:val="0"/>
          <w:numId w:val="5"/>
        </w:numPr>
        <w:overflowPunct/>
        <w:autoSpaceDE/>
        <w:autoSpaceDN/>
        <w:adjustRightInd/>
        <w:spacing w:after="160" w:line="259" w:lineRule="auto"/>
        <w:textAlignment w:val="auto"/>
        <w:rPr>
          <w:rFonts w:asciiTheme="minorHAnsi" w:hAnsiTheme="minorHAnsi" w:cstheme="minorHAnsi"/>
          <w:noProof/>
          <w:sz w:val="24"/>
          <w:szCs w:val="24"/>
        </w:rPr>
      </w:pPr>
      <w:r w:rsidRPr="007C333C">
        <w:rPr>
          <w:rFonts w:asciiTheme="minorHAnsi" w:hAnsiTheme="minorHAnsi" w:cstheme="minorHAnsi"/>
          <w:noProof/>
          <w:sz w:val="24"/>
          <w:szCs w:val="24"/>
        </w:rPr>
        <w:t>Response – The development and implementation of tailored activities to addreess the causes of problem</w:t>
      </w:r>
    </w:p>
    <w:p w14:paraId="53AFB552" w14:textId="77777777" w:rsidR="007C333C" w:rsidRPr="007C333C" w:rsidRDefault="007C333C" w:rsidP="007C333C">
      <w:pPr>
        <w:pStyle w:val="ListParagraph"/>
        <w:numPr>
          <w:ilvl w:val="0"/>
          <w:numId w:val="5"/>
        </w:numPr>
        <w:overflowPunct/>
        <w:autoSpaceDE/>
        <w:autoSpaceDN/>
        <w:adjustRightInd/>
        <w:spacing w:after="160" w:line="259" w:lineRule="auto"/>
        <w:textAlignment w:val="auto"/>
        <w:rPr>
          <w:rFonts w:asciiTheme="minorHAnsi" w:hAnsiTheme="minorHAnsi" w:cstheme="minorHAnsi"/>
          <w:noProof/>
          <w:sz w:val="24"/>
          <w:szCs w:val="24"/>
        </w:rPr>
      </w:pPr>
      <w:r w:rsidRPr="007C333C">
        <w:rPr>
          <w:rFonts w:asciiTheme="minorHAnsi" w:hAnsiTheme="minorHAnsi" w:cstheme="minorHAnsi"/>
          <w:noProof/>
          <w:sz w:val="24"/>
          <w:szCs w:val="24"/>
        </w:rPr>
        <w:t>Assessment – The measurement of the impact of the response to test if it had thee desired effect to make changes</w:t>
      </w:r>
    </w:p>
    <w:p w14:paraId="16CBEB3A" w14:textId="77777777" w:rsidR="007C333C" w:rsidRPr="007C333C" w:rsidRDefault="007C333C" w:rsidP="007C333C">
      <w:pPr>
        <w:rPr>
          <w:rFonts w:asciiTheme="minorHAnsi" w:hAnsiTheme="minorHAnsi" w:cstheme="minorHAnsi"/>
          <w:noProof/>
          <w:sz w:val="24"/>
          <w:szCs w:val="24"/>
        </w:rPr>
      </w:pPr>
      <w:r w:rsidRPr="007C333C">
        <w:rPr>
          <w:rFonts w:asciiTheme="minorHAnsi" w:hAnsiTheme="minorHAnsi" w:cstheme="minorHAnsi"/>
          <w:noProof/>
          <w:sz w:val="24"/>
          <w:szCs w:val="24"/>
        </w:rPr>
        <w:t>The implementation of the SARA model along with the POP apporach for multi-agencies allows you to apply the Routine Activity Theory (RAT). As described in Cochran (2005), RAT revolves around three things - A potential offender, a suitable target, and the absence of a capable guardian. All three must come together for criminal activity to be established. By working together in a POP approach and having the best available evidence, the police and other agencies are able to decide their course of action in tackling the ASB. During the incident I was working, we issued ABCs and the Section 35 dispersal order which dramactically lowered the amount of youths in the area and the alarm and distress the local community were feeling had stopped.</w:t>
      </w:r>
    </w:p>
    <w:p w14:paraId="280BBAC8" w14:textId="77777777" w:rsidR="007C333C" w:rsidRPr="007C333C" w:rsidRDefault="007C333C" w:rsidP="007C333C">
      <w:pPr>
        <w:rPr>
          <w:rFonts w:asciiTheme="minorHAnsi" w:hAnsiTheme="minorHAnsi" w:cstheme="minorHAnsi"/>
          <w:b/>
          <w:noProof/>
          <w:sz w:val="24"/>
          <w:szCs w:val="24"/>
        </w:rPr>
      </w:pPr>
    </w:p>
    <w:p w14:paraId="650952A9" w14:textId="77777777" w:rsidR="007C333C" w:rsidRPr="007C333C" w:rsidRDefault="007C333C" w:rsidP="007C333C">
      <w:pPr>
        <w:rPr>
          <w:rFonts w:asciiTheme="minorHAnsi" w:hAnsiTheme="minorHAnsi" w:cstheme="minorHAnsi"/>
          <w:noProof/>
          <w:sz w:val="24"/>
          <w:szCs w:val="24"/>
        </w:rPr>
      </w:pPr>
      <w:r w:rsidRPr="007C333C">
        <w:rPr>
          <w:rFonts w:asciiTheme="minorHAnsi" w:hAnsiTheme="minorHAnsi" w:cstheme="minorHAnsi"/>
          <w:noProof/>
          <w:sz w:val="24"/>
          <w:szCs w:val="24"/>
        </w:rPr>
        <w:t xml:space="preserve">By engaging in policing values towards the large group of youths, I needed to make sure my decisions would be correct, impartial and not be impacted by any biases. On the first meeting with the youths, I was very impartial. I have been in a situation when I was younger </w:t>
      </w:r>
      <w:r w:rsidRPr="007C333C">
        <w:rPr>
          <w:rFonts w:asciiTheme="minorHAnsi" w:hAnsiTheme="minorHAnsi" w:cstheme="minorHAnsi"/>
          <w:noProof/>
          <w:sz w:val="24"/>
          <w:szCs w:val="24"/>
        </w:rPr>
        <w:lastRenderedPageBreak/>
        <w:t>where there was nothing else to do other than meet up with friends and enjoy the day, but I never done it to cause any alarm or distress to the wider community. So by being impartial, I took time to value their views and opinions by listening and providing them with a fair and objective view of what I would like them to do. In turn, it prevented me having an implicit bias towards the youths and I felt I was very transparent in my actions and decisions. Implicit Bias is defined as:</w:t>
      </w:r>
    </w:p>
    <w:p w14:paraId="31B50C97" w14:textId="7809A51E" w:rsidR="007C333C" w:rsidRDefault="007C333C" w:rsidP="007C333C">
      <w:pPr>
        <w:jc w:val="center"/>
        <w:rPr>
          <w:rFonts w:asciiTheme="minorHAnsi" w:hAnsiTheme="minorHAnsi" w:cstheme="minorHAnsi"/>
          <w:noProof/>
          <w:sz w:val="24"/>
          <w:szCs w:val="24"/>
        </w:rPr>
      </w:pPr>
      <w:r w:rsidRPr="007C333C">
        <w:rPr>
          <w:rFonts w:asciiTheme="minorHAnsi" w:hAnsiTheme="minorHAnsi" w:cstheme="minorHAnsi"/>
          <w:i/>
          <w:iCs/>
          <w:noProof/>
          <w:sz w:val="24"/>
          <w:szCs w:val="24"/>
        </w:rPr>
        <w:t xml:space="preserve">A form of bias that occurs automatically and unintentionally, that nevertheless affects judgments, decisions, and behaviours. </w:t>
      </w:r>
      <w:r w:rsidRPr="007C333C">
        <w:rPr>
          <w:rFonts w:asciiTheme="minorHAnsi" w:hAnsiTheme="minorHAnsi" w:cstheme="minorHAnsi"/>
          <w:noProof/>
          <w:sz w:val="24"/>
          <w:szCs w:val="24"/>
        </w:rPr>
        <w:t>(National Institutes of Health, 2021)</w:t>
      </w:r>
    </w:p>
    <w:p w14:paraId="251060D1" w14:textId="77777777" w:rsidR="007C333C" w:rsidRPr="007C333C" w:rsidRDefault="007C333C" w:rsidP="007C333C">
      <w:pPr>
        <w:jc w:val="center"/>
        <w:rPr>
          <w:rFonts w:asciiTheme="minorHAnsi" w:hAnsiTheme="minorHAnsi" w:cstheme="minorHAnsi"/>
          <w:i/>
          <w:iCs/>
          <w:noProof/>
          <w:sz w:val="24"/>
          <w:szCs w:val="24"/>
        </w:rPr>
      </w:pPr>
    </w:p>
    <w:p w14:paraId="09B0C59D" w14:textId="0A3AA43A" w:rsidR="007C333C" w:rsidRDefault="007C333C" w:rsidP="007C333C">
      <w:pPr>
        <w:rPr>
          <w:rFonts w:asciiTheme="minorHAnsi" w:hAnsiTheme="minorHAnsi" w:cstheme="minorHAnsi"/>
          <w:noProof/>
          <w:sz w:val="24"/>
          <w:szCs w:val="24"/>
        </w:rPr>
      </w:pPr>
      <w:r w:rsidRPr="007C333C">
        <w:rPr>
          <w:rFonts w:asciiTheme="minorHAnsi" w:hAnsiTheme="minorHAnsi" w:cstheme="minorHAnsi"/>
          <w:noProof/>
          <w:sz w:val="24"/>
          <w:szCs w:val="24"/>
        </w:rPr>
        <w:t xml:space="preserve">Having spoken to the youths and gaining a trusting relationship, I was able to advise them of their actions were not correct towards the wider community and how to resolve the situation. My decision was to get them to split up into smaller groups so that they looked less intimidating than if they were in their larger group, but only until a decision was made into how other agencies can help the youths in the area. </w:t>
      </w:r>
    </w:p>
    <w:p w14:paraId="06BAF062" w14:textId="77777777" w:rsidR="007C333C" w:rsidRPr="007C333C" w:rsidRDefault="007C333C" w:rsidP="007C333C">
      <w:pPr>
        <w:rPr>
          <w:rFonts w:asciiTheme="minorHAnsi" w:hAnsiTheme="minorHAnsi" w:cstheme="minorHAnsi"/>
          <w:noProof/>
          <w:sz w:val="24"/>
          <w:szCs w:val="24"/>
        </w:rPr>
      </w:pPr>
    </w:p>
    <w:p w14:paraId="5D99D9D2" w14:textId="77777777" w:rsidR="007C333C" w:rsidRPr="007C333C" w:rsidRDefault="007C333C" w:rsidP="007C333C">
      <w:pPr>
        <w:rPr>
          <w:rFonts w:asciiTheme="minorHAnsi" w:hAnsiTheme="minorHAnsi" w:cstheme="minorHAnsi"/>
          <w:noProof/>
          <w:sz w:val="24"/>
          <w:szCs w:val="24"/>
        </w:rPr>
      </w:pPr>
      <w:r w:rsidRPr="007C333C">
        <w:rPr>
          <w:rFonts w:asciiTheme="minorHAnsi" w:hAnsiTheme="minorHAnsi" w:cstheme="minorHAnsi"/>
          <w:noProof/>
          <w:sz w:val="24"/>
          <w:szCs w:val="24"/>
        </w:rPr>
        <w:t xml:space="preserve">On reflection of the incident where I had just started my tutorship, I was very naïve in thinking that this incident would be processed within a couple of days. I did not realise that using the POP approach would be such a long process in finding out exactly what the problem was and how to tackle it. In future, if I came across a similar ASB situation I would be more responsive in talking to the youths and engaging with them as I found that the police and agencies did not want to acknowledge what the group of youths wanted to say and just wanted them gone from the area. Next time I would try and get a small selection of youths involved in the meetings for their voice to be heard. In my opinion, we did not address the root of the problem and rather just pushed the group somewhere else where they could still cause a disturbance.  </w:t>
      </w:r>
    </w:p>
    <w:p w14:paraId="7246398F" w14:textId="77777777" w:rsidR="007C333C" w:rsidRPr="007C333C" w:rsidRDefault="007C333C" w:rsidP="007C333C">
      <w:pPr>
        <w:rPr>
          <w:rFonts w:asciiTheme="minorHAnsi" w:hAnsiTheme="minorHAnsi" w:cstheme="minorHAnsi"/>
          <w:sz w:val="24"/>
          <w:szCs w:val="24"/>
        </w:rPr>
      </w:pPr>
    </w:p>
    <w:p w14:paraId="0B1B0ED9" w14:textId="27A007B6" w:rsidR="007C333C" w:rsidRPr="007C333C" w:rsidRDefault="007C333C" w:rsidP="007C333C">
      <w:pPr>
        <w:rPr>
          <w:rFonts w:asciiTheme="minorHAnsi" w:hAnsiTheme="minorHAnsi" w:cstheme="minorHAnsi"/>
          <w:b/>
          <w:noProof/>
          <w:sz w:val="24"/>
          <w:szCs w:val="24"/>
        </w:rPr>
      </w:pPr>
      <w:r w:rsidRPr="007C333C">
        <w:rPr>
          <w:rFonts w:asciiTheme="minorHAnsi" w:hAnsiTheme="minorHAnsi" w:cstheme="minorHAnsi"/>
          <w:b/>
          <w:noProof/>
          <w:sz w:val="24"/>
          <w:szCs w:val="24"/>
        </w:rPr>
        <w:t xml:space="preserve"> (18</w:t>
      </w:r>
      <w:r>
        <w:rPr>
          <w:rFonts w:asciiTheme="minorHAnsi" w:hAnsiTheme="minorHAnsi" w:cstheme="minorHAnsi"/>
          <w:b/>
          <w:noProof/>
          <w:sz w:val="24"/>
          <w:szCs w:val="24"/>
        </w:rPr>
        <w:t>48</w:t>
      </w:r>
      <w:r w:rsidRPr="007C333C">
        <w:rPr>
          <w:rFonts w:asciiTheme="minorHAnsi" w:hAnsiTheme="minorHAnsi" w:cstheme="minorHAnsi"/>
          <w:b/>
          <w:noProof/>
          <w:sz w:val="24"/>
          <w:szCs w:val="24"/>
        </w:rPr>
        <w:t xml:space="preserve"> words)</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181950">
          <w:headerReference w:type="even" r:id="rId22"/>
          <w:headerReference w:type="default" r:id="rId23"/>
          <w:footerReference w:type="even" r:id="rId24"/>
          <w:footerReference w:type="default" r:id="rId25"/>
          <w:headerReference w:type="first" r:id="rId26"/>
          <w:footerReference w:type="first" r:id="rId27"/>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3666E8AE" w14:textId="77777777" w:rsidR="00BC3A7D" w:rsidRDefault="00BC3A7D" w:rsidP="5848403C">
      <w:pPr>
        <w:keepNext/>
        <w:ind w:right="237"/>
        <w:jc w:val="center"/>
        <w:rPr>
          <w:b/>
          <w:bCs/>
          <w:sz w:val="24"/>
          <w:szCs w:val="24"/>
        </w:rPr>
      </w:pPr>
    </w:p>
    <w:sdt>
      <w:sdtPr>
        <w:rPr>
          <w:rFonts w:asciiTheme="minorHAnsi" w:eastAsiaTheme="minorHAnsi" w:hAnsiTheme="minorHAnsi" w:cstheme="minorBidi"/>
          <w:color w:val="auto"/>
          <w:sz w:val="22"/>
          <w:szCs w:val="22"/>
        </w:rPr>
        <w:id w:val="751712613"/>
        <w:docPartObj>
          <w:docPartGallery w:val="Bibliographies"/>
          <w:docPartUnique/>
        </w:docPartObj>
      </w:sdtPr>
      <w:sdtEndPr>
        <w:rPr>
          <w:rFonts w:ascii="Arial" w:eastAsia="Times New Roman" w:hAnsi="Arial" w:cs="Arial"/>
          <w:b w:val="0"/>
          <w:color w:val="000000"/>
          <w:kern w:val="0"/>
          <w:sz w:val="20"/>
          <w:szCs w:val="20"/>
        </w:rPr>
      </w:sdtEndPr>
      <w:sdtContent>
        <w:p w14:paraId="233AB696" w14:textId="2C060FA1" w:rsidR="00BC3A7D" w:rsidRDefault="00BC3A7D" w:rsidP="00BC3A7D">
          <w:pPr>
            <w:pStyle w:val="Heading1"/>
          </w:pPr>
          <w:r>
            <w:t>Bibliography</w:t>
          </w:r>
        </w:p>
        <w:p w14:paraId="3B1E3F5B" w14:textId="08C063C9" w:rsidR="0064424C" w:rsidRDefault="0064424C" w:rsidP="0064424C">
          <w:pPr>
            <w:pStyle w:val="Bibliography"/>
            <w:rPr>
              <w:noProof/>
              <w:lang w:val="en-US"/>
            </w:rPr>
          </w:pPr>
          <w:r>
            <w:rPr>
              <w:noProof/>
              <w:lang w:val="en-US"/>
            </w:rPr>
            <w:t xml:space="preserve">Age Uk, 2021. </w:t>
          </w:r>
          <w:r>
            <w:rPr>
              <w:i/>
              <w:iCs/>
              <w:noProof/>
              <w:lang w:val="en-US"/>
            </w:rPr>
            <w:t xml:space="preserve">Protection From Abuse. </w:t>
          </w:r>
          <w:r>
            <w:rPr>
              <w:noProof/>
              <w:lang w:val="en-US"/>
            </w:rPr>
            <w:t xml:space="preserve">[Online] </w:t>
          </w:r>
          <w:r>
            <w:rPr>
              <w:noProof/>
              <w:lang w:val="en-US"/>
            </w:rPr>
            <w:br/>
            <w:t xml:space="preserve">Available at: </w:t>
          </w:r>
          <w:r>
            <w:rPr>
              <w:noProof/>
              <w:u w:val="single"/>
              <w:lang w:val="en-US"/>
            </w:rPr>
            <w:t>https://www.ageuk.org.uk/information-advice/health-wellbeing/relationships-family/protection-from-abuse</w:t>
          </w:r>
          <w:r>
            <w:rPr>
              <w:noProof/>
              <w:lang w:val="en-US"/>
            </w:rPr>
            <w:br/>
            <w:t>[Accessed 11 10 2021].</w:t>
          </w:r>
        </w:p>
        <w:p w14:paraId="5BD6F75D" w14:textId="77777777" w:rsidR="007C333C" w:rsidRDefault="007C333C" w:rsidP="007C333C">
          <w:pPr>
            <w:pStyle w:val="Bibliography"/>
            <w:rPr>
              <w:noProof/>
              <w:sz w:val="24"/>
              <w:szCs w:val="24"/>
              <w:lang w:val="en-US"/>
            </w:rPr>
          </w:pPr>
          <w:r>
            <w:rPr>
              <w:noProof/>
              <w:lang w:val="en-US"/>
            </w:rPr>
            <w:t xml:space="preserve">Anti-social behaviour, c. a. p. a., 2014.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https://www.legislation.gov.uk/ukpga/2014/12/part/3/enacted?view=plain</w:t>
          </w:r>
          <w:r>
            <w:rPr>
              <w:noProof/>
              <w:lang w:val="en-US"/>
            </w:rPr>
            <w:br/>
            <w:t>[Accessed 14 10 2021].</w:t>
          </w:r>
        </w:p>
        <w:p w14:paraId="60DC86CC" w14:textId="77777777" w:rsidR="007C333C" w:rsidRDefault="007C333C" w:rsidP="007C333C">
          <w:pPr>
            <w:pStyle w:val="Bibliography"/>
            <w:rPr>
              <w:noProof/>
              <w:lang w:val="en-US"/>
            </w:rPr>
          </w:pPr>
          <w:r>
            <w:rPr>
              <w:noProof/>
              <w:lang w:val="en-US"/>
            </w:rPr>
            <w:t xml:space="preserve">Anti-Social Behaviour, C. a. P. A., 2014.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https://www.legislation.gov.uk/ukpga/2014/12/section/2/enacted</w:t>
          </w:r>
          <w:r>
            <w:rPr>
              <w:noProof/>
              <w:lang w:val="en-US"/>
            </w:rPr>
            <w:br/>
            <w:t>[Accessed 05 10 2021].</w:t>
          </w:r>
        </w:p>
        <w:p w14:paraId="2C64611E" w14:textId="77777777" w:rsidR="007C333C" w:rsidRDefault="007C333C" w:rsidP="007C333C">
          <w:pPr>
            <w:pStyle w:val="Bibliography"/>
            <w:rPr>
              <w:noProof/>
              <w:lang w:val="en-US"/>
            </w:rPr>
          </w:pPr>
          <w:r>
            <w:rPr>
              <w:noProof/>
              <w:lang w:val="en-US"/>
            </w:rPr>
            <w:t xml:space="preserve">ASBCAP, 2014.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legislation.gov.uk/ukpga/2021/12/part/4/chapter/1/crossheading/community-protection-notices/enacted</w:t>
          </w:r>
          <w:r>
            <w:rPr>
              <w:noProof/>
              <w:lang w:val="en-US"/>
            </w:rPr>
            <w:br/>
            <w:t>[Accessed 13 10 2021].</w:t>
          </w:r>
        </w:p>
        <w:p w14:paraId="57C0BF01" w14:textId="77777777" w:rsidR="007C333C" w:rsidRPr="007C333C" w:rsidRDefault="007C333C" w:rsidP="007C333C">
          <w:pPr>
            <w:rPr>
              <w:lang w:val="en-US" w:eastAsia="en-US"/>
            </w:rPr>
          </w:pPr>
        </w:p>
        <w:p w14:paraId="7F924ED4" w14:textId="77777777" w:rsidR="0064424C" w:rsidRPr="0064424C" w:rsidRDefault="0064424C" w:rsidP="0064424C"/>
        <w:sdt>
          <w:sdtPr>
            <w:id w:val="111145805"/>
            <w:bibliography/>
          </w:sdtPr>
          <w:sdtEndPr>
            <w:rPr>
              <w:rFonts w:ascii="Arial" w:eastAsia="Times New Roman" w:hAnsi="Arial" w:cs="Arial"/>
              <w:color w:val="000000"/>
              <w:sz w:val="20"/>
              <w:szCs w:val="20"/>
              <w:lang w:eastAsia="en-GB"/>
            </w:rPr>
          </w:sdtEndPr>
          <w:sdtContent>
            <w:p w14:paraId="1E7B55DC" w14:textId="6590B282" w:rsidR="00BC3A7D" w:rsidRDefault="00BC3A7D" w:rsidP="00BC3A7D">
              <w:pPr>
                <w:pStyle w:val="Bibliography"/>
                <w:rPr>
                  <w:noProof/>
                  <w:lang w:val="en-US"/>
                </w:rPr>
              </w:pPr>
              <w:r>
                <w:fldChar w:fldCharType="begin"/>
              </w:r>
              <w:r>
                <w:instrText xml:space="preserve"> BIBLIOGRAPHY </w:instrText>
              </w:r>
              <w:r>
                <w:fldChar w:fldCharType="separate"/>
              </w:r>
              <w:r>
                <w:rPr>
                  <w:noProof/>
                  <w:lang w:val="en-US"/>
                </w:rPr>
                <w:t xml:space="preserve">Borton, T., 1970. </w:t>
              </w:r>
              <w:r>
                <w:rPr>
                  <w:i/>
                  <w:iCs/>
                  <w:noProof/>
                  <w:lang w:val="en-US"/>
                </w:rPr>
                <w:t xml:space="preserve">Reach, Touch and Teach. </w:t>
              </w:r>
              <w:r>
                <w:rPr>
                  <w:noProof/>
                  <w:lang w:val="en-US"/>
                </w:rPr>
                <w:t>1st edition ed. New York: s.n.</w:t>
              </w:r>
            </w:p>
            <w:p w14:paraId="63D67F6D" w14:textId="04B9C0B3" w:rsidR="007C333C" w:rsidRDefault="007C333C" w:rsidP="007C333C">
              <w:pPr>
                <w:pStyle w:val="Bibliography"/>
                <w:rPr>
                  <w:noProof/>
                  <w:lang w:val="en-US"/>
                </w:rPr>
              </w:pPr>
              <w:r>
                <w:rPr>
                  <w:noProof/>
                  <w:lang w:val="en-US"/>
                </w:rPr>
                <w:t xml:space="preserve">Bryant R &amp; Bryant S, 2021. Anti Social Behaviour. In: </w:t>
              </w:r>
              <w:r>
                <w:rPr>
                  <w:i/>
                  <w:iCs/>
                  <w:noProof/>
                  <w:lang w:val="en-US"/>
                </w:rPr>
                <w:t xml:space="preserve">Blackstones - Handbook for Policing Students. </w:t>
              </w:r>
              <w:r>
                <w:rPr>
                  <w:noProof/>
                  <w:lang w:val="en-US"/>
                </w:rPr>
                <w:t>s.l.:Oxford, p. 318.</w:t>
              </w:r>
            </w:p>
            <w:p w14:paraId="5F36161D" w14:textId="77777777" w:rsidR="007C333C" w:rsidRDefault="007C333C" w:rsidP="007C333C">
              <w:pPr>
                <w:pStyle w:val="Bibliography"/>
                <w:rPr>
                  <w:noProof/>
                  <w:lang w:val="en-US"/>
                </w:rPr>
              </w:pPr>
              <w:r>
                <w:rPr>
                  <w:noProof/>
                  <w:lang w:val="en-US"/>
                </w:rPr>
                <w:t xml:space="preserve">Borton T, 1970. </w:t>
              </w:r>
              <w:r>
                <w:rPr>
                  <w:i/>
                  <w:iCs/>
                  <w:noProof/>
                  <w:lang w:val="en-US"/>
                </w:rPr>
                <w:t xml:space="preserve">Reach, Touch and Teach,. </w:t>
              </w:r>
              <w:r>
                <w:rPr>
                  <w:noProof/>
                  <w:lang w:val="en-US"/>
                </w:rPr>
                <w:t>1st ed. London: Hutchinson.</w:t>
              </w:r>
            </w:p>
            <w:p w14:paraId="6522424E" w14:textId="77777777" w:rsidR="007C333C" w:rsidRPr="007C333C" w:rsidRDefault="007C333C" w:rsidP="007C333C">
              <w:pPr>
                <w:rPr>
                  <w:lang w:val="en-US" w:eastAsia="en-US"/>
                </w:rPr>
              </w:pPr>
            </w:p>
            <w:p w14:paraId="7B1D110C" w14:textId="77777777" w:rsidR="007C333C" w:rsidRPr="007C333C" w:rsidRDefault="007C333C" w:rsidP="007C333C">
              <w:pPr>
                <w:rPr>
                  <w:lang w:val="en-US" w:eastAsia="en-US"/>
                </w:rPr>
              </w:pPr>
            </w:p>
            <w:p w14:paraId="1022444D" w14:textId="77777777" w:rsidR="0064424C" w:rsidRDefault="0064424C" w:rsidP="0064424C">
              <w:pPr>
                <w:pStyle w:val="Bibliography"/>
                <w:rPr>
                  <w:noProof/>
                  <w:sz w:val="24"/>
                  <w:szCs w:val="24"/>
                  <w:lang w:val="en-US"/>
                </w:rPr>
              </w:pPr>
              <w:r>
                <w:rPr>
                  <w:noProof/>
                  <w:lang w:val="en-US"/>
                </w:rPr>
                <w:t xml:space="preserve">Care Act, 2014.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 xml:space="preserve">https://www.legislation.gov.uk/ukpga/2014/23/contents/enacted </w:t>
              </w:r>
              <w:r>
                <w:rPr>
                  <w:noProof/>
                  <w:lang w:val="en-US"/>
                </w:rPr>
                <w:br/>
                <w:t>[Accessed 11 10 2021].</w:t>
              </w:r>
            </w:p>
            <w:p w14:paraId="4D830729" w14:textId="30085EA1" w:rsidR="00BC3A7D" w:rsidRPr="00BC3A7D" w:rsidRDefault="00BC3A7D" w:rsidP="00BC3A7D">
              <w:pPr>
                <w:rPr>
                  <w:lang w:val="en-US" w:eastAsia="en-US"/>
                </w:rPr>
              </w:pPr>
            </w:p>
            <w:p w14:paraId="7C99A9B1" w14:textId="2F5EB794" w:rsidR="00BC3A7D" w:rsidRDefault="00BC3A7D" w:rsidP="00BC3A7D">
              <w:pPr>
                <w:pStyle w:val="Bibliography"/>
                <w:rPr>
                  <w:noProof/>
                  <w:lang w:val="en-US"/>
                </w:rPr>
              </w:pPr>
              <w:r>
                <w:rPr>
                  <w:noProof/>
                  <w:lang w:val="en-US"/>
                </w:rPr>
                <w:t xml:space="preserve">Cherry, K., 2020. </w:t>
              </w:r>
              <w:r>
                <w:rPr>
                  <w:i/>
                  <w:iCs/>
                  <w:noProof/>
                  <w:lang w:val="en-US"/>
                </w:rPr>
                <w:t xml:space="preserve">Ways to build resilience. </w:t>
              </w:r>
              <w:r>
                <w:rPr>
                  <w:noProof/>
                  <w:lang w:val="en-US"/>
                </w:rPr>
                <w:t xml:space="preserve">[Online] </w:t>
              </w:r>
              <w:r>
                <w:rPr>
                  <w:noProof/>
                  <w:lang w:val="en-US"/>
                </w:rPr>
                <w:br/>
                <w:t xml:space="preserve">Available at: </w:t>
              </w:r>
              <w:r>
                <w:rPr>
                  <w:noProof/>
                  <w:u w:val="single"/>
                  <w:lang w:val="en-US"/>
                </w:rPr>
                <w:t>https://www.verywellmind.com/ways-to-become-more-resilient-2795063</w:t>
              </w:r>
              <w:r>
                <w:rPr>
                  <w:noProof/>
                  <w:lang w:val="en-US"/>
                </w:rPr>
                <w:br/>
                <w:t>[Accessed 11 10 2021].</w:t>
              </w:r>
            </w:p>
            <w:p w14:paraId="252D6393" w14:textId="77777777" w:rsidR="009D1163" w:rsidRDefault="009D1163" w:rsidP="009D1163">
              <w:pPr>
                <w:rPr>
                  <w:noProof/>
                  <w:sz w:val="24"/>
                  <w:szCs w:val="24"/>
                </w:rPr>
              </w:pPr>
              <w:r w:rsidRPr="00B2537C">
                <w:rPr>
                  <w:noProof/>
                  <w:sz w:val="24"/>
                  <w:szCs w:val="24"/>
                </w:rPr>
                <w:t>COCHRAN, M., 2005. International encyclopedia of the social &amp; behavioral sciences. Choice, , pp. 165-166.</w:t>
              </w:r>
            </w:p>
            <w:p w14:paraId="5FB58108" w14:textId="77777777" w:rsidR="009D1163" w:rsidRPr="009D1163" w:rsidRDefault="009D1163" w:rsidP="009D1163">
              <w:pPr>
                <w:rPr>
                  <w:lang w:val="en-US" w:eastAsia="en-US"/>
                </w:rPr>
              </w:pPr>
              <w:bookmarkStart w:id="12" w:name="_GoBack"/>
              <w:bookmarkEnd w:id="12"/>
            </w:p>
            <w:p w14:paraId="26131CE3" w14:textId="5BB1C909" w:rsidR="0064424C" w:rsidRDefault="0064424C" w:rsidP="0064424C">
              <w:pPr>
                <w:pStyle w:val="Bibliography"/>
                <w:rPr>
                  <w:noProof/>
                  <w:lang w:val="en-US"/>
                </w:rPr>
              </w:pPr>
              <w:r>
                <w:rPr>
                  <w:noProof/>
                  <w:lang w:val="en-US"/>
                </w:rPr>
                <w:t xml:space="preserve">College of Policing, 2021. </w:t>
              </w:r>
              <w:r>
                <w:rPr>
                  <w:i/>
                  <w:iCs/>
                  <w:noProof/>
                  <w:lang w:val="en-US"/>
                </w:rPr>
                <w:t xml:space="preserve">Competency and Values Framework. </w:t>
              </w:r>
              <w:r>
                <w:rPr>
                  <w:noProof/>
                  <w:lang w:val="en-US"/>
                </w:rPr>
                <w:t xml:space="preserve">[Online] </w:t>
              </w:r>
              <w:r>
                <w:rPr>
                  <w:noProof/>
                  <w:lang w:val="en-US"/>
                </w:rPr>
                <w:br/>
                <w:t xml:space="preserve">Available at: </w:t>
              </w:r>
              <w:r>
                <w:rPr>
                  <w:noProof/>
                  <w:u w:val="single"/>
                  <w:lang w:val="en-US"/>
                </w:rPr>
                <w:t>https://www.college.police.uk/career-learning/career-development/competency-and-values-framework-cvf</w:t>
              </w:r>
              <w:r>
                <w:rPr>
                  <w:noProof/>
                  <w:lang w:val="en-US"/>
                </w:rPr>
                <w:br/>
                <w:t>[Accessed 11 10 2021].</w:t>
              </w:r>
            </w:p>
            <w:p w14:paraId="6A2EBE26" w14:textId="33BD6061" w:rsidR="0064424C" w:rsidRDefault="0064424C" w:rsidP="0064424C">
              <w:pPr>
                <w:pStyle w:val="Bibliography"/>
                <w:rPr>
                  <w:noProof/>
                  <w:lang w:val="en-US"/>
                </w:rPr>
              </w:pPr>
              <w:r>
                <w:rPr>
                  <w:noProof/>
                  <w:lang w:val="en-US"/>
                </w:rPr>
                <w:t xml:space="preserve">College of Policing, 2014. </w:t>
              </w:r>
              <w:r>
                <w:rPr>
                  <w:i/>
                  <w:iCs/>
                  <w:noProof/>
                  <w:lang w:val="en-US"/>
                </w:rPr>
                <w:t xml:space="preserve">Code of Ethics. </w:t>
              </w:r>
              <w:r>
                <w:rPr>
                  <w:noProof/>
                  <w:lang w:val="en-US"/>
                </w:rPr>
                <w:t xml:space="preserve">[Online] </w:t>
              </w:r>
              <w:r>
                <w:rPr>
                  <w:noProof/>
                  <w:lang w:val="en-US"/>
                </w:rPr>
                <w:br/>
                <w:t xml:space="preserve">Available at: </w:t>
              </w:r>
              <w:r>
                <w:rPr>
                  <w:noProof/>
                  <w:u w:val="single"/>
                  <w:lang w:val="en-US"/>
                </w:rPr>
                <w:t>https://www.college.police.uk/ethics/code-of-ethics</w:t>
              </w:r>
              <w:r>
                <w:rPr>
                  <w:noProof/>
                  <w:lang w:val="en-US"/>
                </w:rPr>
                <w:br/>
                <w:t>[Accessed 11 10 2021].</w:t>
              </w:r>
            </w:p>
            <w:p w14:paraId="5B10C388" w14:textId="77777777" w:rsidR="009332E9" w:rsidRDefault="009332E9" w:rsidP="009332E9">
              <w:pPr>
                <w:pStyle w:val="Bibliography"/>
                <w:rPr>
                  <w:noProof/>
                  <w:lang w:val="en-US"/>
                </w:rPr>
              </w:pPr>
              <w:r>
                <w:rPr>
                  <w:noProof/>
                  <w:lang w:val="en-US"/>
                </w:rPr>
                <w:t xml:space="preserve">College of Policing, 2020. </w:t>
              </w:r>
              <w:r>
                <w:rPr>
                  <w:i/>
                  <w:iCs/>
                  <w:noProof/>
                  <w:lang w:val="en-US"/>
                </w:rPr>
                <w:t xml:space="preserve">Interview. </w:t>
              </w:r>
              <w:r>
                <w:rPr>
                  <w:noProof/>
                  <w:lang w:val="en-US"/>
                </w:rPr>
                <w:t xml:space="preserve">[Online] </w:t>
              </w:r>
              <w:r>
                <w:rPr>
                  <w:noProof/>
                  <w:lang w:val="en-US"/>
                </w:rPr>
                <w:br/>
                <w:t xml:space="preserve">Available at: </w:t>
              </w:r>
              <w:r>
                <w:rPr>
                  <w:noProof/>
                  <w:u w:val="single"/>
                  <w:lang w:val="en-US"/>
                </w:rPr>
                <w:t>https://www.app.college.police.uk/app-content/investigations/investigative-interviewing/</w:t>
              </w:r>
              <w:r>
                <w:rPr>
                  <w:noProof/>
                  <w:lang w:val="en-US"/>
                </w:rPr>
                <w:br/>
                <w:t>[Accessed 05 10 2021].</w:t>
              </w:r>
            </w:p>
            <w:p w14:paraId="2D2A256E" w14:textId="51F38EE8" w:rsidR="009332E9" w:rsidRDefault="009332E9" w:rsidP="009332E9">
              <w:pPr>
                <w:pStyle w:val="Bibliography"/>
                <w:rPr>
                  <w:noProof/>
                  <w:lang w:val="en-US"/>
                </w:rPr>
              </w:pPr>
              <w:r>
                <w:rPr>
                  <w:noProof/>
                  <w:lang w:val="en-US"/>
                </w:rPr>
                <w:t xml:space="preserve">College of Policing, 2021. </w:t>
              </w:r>
              <w:r>
                <w:rPr>
                  <w:i/>
                  <w:iCs/>
                  <w:noProof/>
                  <w:lang w:val="en-US"/>
                </w:rPr>
                <w:t xml:space="preserve">Competency and Values Framework for Policing. </w:t>
              </w:r>
              <w:r>
                <w:rPr>
                  <w:noProof/>
                  <w:lang w:val="en-US"/>
                </w:rPr>
                <w:t xml:space="preserve">[Online] </w:t>
              </w:r>
              <w:r>
                <w:rPr>
                  <w:noProof/>
                  <w:lang w:val="en-US"/>
                </w:rPr>
                <w:br/>
                <w:t xml:space="preserve">Available at: </w:t>
              </w:r>
              <w:r>
                <w:rPr>
                  <w:noProof/>
                  <w:u w:val="single"/>
                  <w:lang w:val="en-US"/>
                </w:rPr>
                <w:t>https://d17wy4t6ps30xx.cloudfront.net/production/uploads/2017/09/Competency-and-Values-Framework-for-Policing_4.11.16.pdf</w:t>
              </w:r>
              <w:r>
                <w:rPr>
                  <w:noProof/>
                  <w:lang w:val="en-US"/>
                </w:rPr>
                <w:br/>
                <w:t>[Accessed 14 10 2021].</w:t>
              </w:r>
            </w:p>
            <w:p w14:paraId="663C9BBD" w14:textId="77777777" w:rsidR="007C333C" w:rsidRDefault="007C333C" w:rsidP="007C333C">
              <w:pPr>
                <w:pStyle w:val="Bibliography"/>
                <w:rPr>
                  <w:noProof/>
                  <w:lang w:val="en-US"/>
                </w:rPr>
              </w:pPr>
              <w:r>
                <w:rPr>
                  <w:noProof/>
                  <w:lang w:val="en-US"/>
                </w:rPr>
                <w:t xml:space="preserve">College of Policing, 2020. </w:t>
              </w:r>
              <w:r>
                <w:rPr>
                  <w:i/>
                  <w:iCs/>
                  <w:noProof/>
                  <w:lang w:val="en-US"/>
                </w:rPr>
                <w:t xml:space="preserve">What Works Network Prolem Oriented Policing. </w:t>
              </w:r>
              <w:r>
                <w:rPr>
                  <w:noProof/>
                  <w:lang w:val="en-US"/>
                </w:rPr>
                <w:t xml:space="preserve">[Online] </w:t>
              </w:r>
              <w:r>
                <w:rPr>
                  <w:noProof/>
                  <w:lang w:val="en-US"/>
                </w:rPr>
                <w:br/>
                <w:t xml:space="preserve">Available at: </w:t>
              </w:r>
              <w:r>
                <w:rPr>
                  <w:noProof/>
                  <w:u w:val="single"/>
                  <w:lang w:val="en-US"/>
                </w:rPr>
                <w:t>whatworks.college.police.uk/toolkit/pages/intervention.aspx?interventionID=47</w:t>
              </w:r>
              <w:r>
                <w:rPr>
                  <w:noProof/>
                  <w:lang w:val="en-US"/>
                </w:rPr>
                <w:br/>
                <w:t>[Accessed 13 10 2021].</w:t>
              </w:r>
            </w:p>
            <w:p w14:paraId="3E2F88D6" w14:textId="77777777" w:rsidR="007C333C" w:rsidRDefault="007C333C" w:rsidP="007C333C">
              <w:pPr>
                <w:pStyle w:val="Bibliography"/>
                <w:rPr>
                  <w:noProof/>
                  <w:lang w:val="en-US"/>
                </w:rPr>
              </w:pPr>
              <w:r>
                <w:rPr>
                  <w:noProof/>
                  <w:lang w:val="en-US"/>
                </w:rPr>
                <w:t xml:space="preserve">College of Policing, 2021. </w:t>
              </w:r>
              <w:r>
                <w:rPr>
                  <w:i/>
                  <w:iCs/>
                  <w:noProof/>
                  <w:lang w:val="en-US"/>
                </w:rPr>
                <w:t xml:space="preserve">Evidence Based Policing. </w:t>
              </w:r>
              <w:r>
                <w:rPr>
                  <w:noProof/>
                  <w:lang w:val="en-US"/>
                </w:rPr>
                <w:t xml:space="preserve">[Online] </w:t>
              </w:r>
              <w:r>
                <w:rPr>
                  <w:noProof/>
                  <w:lang w:val="en-US"/>
                </w:rPr>
                <w:br/>
                <w:t xml:space="preserve">Available at: </w:t>
              </w:r>
              <w:r>
                <w:rPr>
                  <w:noProof/>
                  <w:u w:val="single"/>
                  <w:lang w:val="en-US"/>
                </w:rPr>
                <w:t>https://whatworks.college.police.uk/About/Pages/What-is-EBP.aspx</w:t>
              </w:r>
              <w:r>
                <w:rPr>
                  <w:noProof/>
                  <w:lang w:val="en-US"/>
                </w:rPr>
                <w:br/>
                <w:t>[Accessed 15 10 2021].</w:t>
              </w:r>
            </w:p>
            <w:p w14:paraId="07BE4B47" w14:textId="77777777" w:rsidR="007C333C" w:rsidRPr="007C333C" w:rsidRDefault="007C333C" w:rsidP="007C333C">
              <w:pPr>
                <w:rPr>
                  <w:lang w:val="en-US" w:eastAsia="en-US"/>
                </w:rPr>
              </w:pPr>
            </w:p>
            <w:p w14:paraId="03273359" w14:textId="77777777" w:rsidR="009332E9" w:rsidRPr="009332E9" w:rsidRDefault="009332E9" w:rsidP="009332E9">
              <w:pPr>
                <w:rPr>
                  <w:lang w:val="en-US" w:eastAsia="en-US"/>
                </w:rPr>
              </w:pPr>
            </w:p>
            <w:p w14:paraId="1D5D6FD3" w14:textId="77777777" w:rsidR="009332E9" w:rsidRDefault="009332E9" w:rsidP="009332E9">
              <w:pPr>
                <w:pStyle w:val="Bibliography"/>
                <w:rPr>
                  <w:noProof/>
                  <w:lang w:val="en-US"/>
                </w:rPr>
              </w:pPr>
              <w:r>
                <w:rPr>
                  <w:noProof/>
                  <w:lang w:val="en-US"/>
                </w:rPr>
                <w:t xml:space="preserve">Commission, E. a. H. R., n.a. </w:t>
              </w:r>
              <w:r>
                <w:rPr>
                  <w:i/>
                  <w:iCs/>
                  <w:noProof/>
                  <w:lang w:val="en-US"/>
                </w:rPr>
                <w:t xml:space="preserve">Equality Human Rights. </w:t>
              </w:r>
              <w:r>
                <w:rPr>
                  <w:noProof/>
                  <w:lang w:val="en-US"/>
                </w:rPr>
                <w:t xml:space="preserve">[Online] </w:t>
              </w:r>
              <w:r>
                <w:rPr>
                  <w:noProof/>
                  <w:lang w:val="en-US"/>
                </w:rPr>
                <w:br/>
                <w:t xml:space="preserve">Available at: </w:t>
              </w:r>
              <w:r>
                <w:rPr>
                  <w:noProof/>
                  <w:u w:val="single"/>
                  <w:lang w:val="en-US"/>
                </w:rPr>
                <w:t>https://www.equalityhumanrights.com/en/commission-wales</w:t>
              </w:r>
              <w:r>
                <w:rPr>
                  <w:noProof/>
                  <w:lang w:val="en-US"/>
                </w:rPr>
                <w:br/>
                <w:t>[Accessed 05 10 2021].</w:t>
              </w:r>
            </w:p>
            <w:p w14:paraId="4A1A8C32" w14:textId="77777777" w:rsidR="009332E9" w:rsidRPr="009332E9" w:rsidRDefault="009332E9" w:rsidP="009332E9">
              <w:pPr>
                <w:rPr>
                  <w:lang w:val="en-US" w:eastAsia="en-US"/>
                </w:rPr>
              </w:pPr>
            </w:p>
            <w:p w14:paraId="700F759F" w14:textId="77777777" w:rsidR="007F310B" w:rsidRDefault="007F310B" w:rsidP="007F310B">
              <w:pPr>
                <w:pStyle w:val="Bibliography"/>
                <w:rPr>
                  <w:noProof/>
                  <w:sz w:val="24"/>
                  <w:szCs w:val="24"/>
                  <w:lang w:val="en-US"/>
                </w:rPr>
              </w:pPr>
              <w:r>
                <w:rPr>
                  <w:noProof/>
                  <w:lang w:val="en-US"/>
                </w:rPr>
                <w:t xml:space="preserve">Criminal Justice Act, 1988.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https://www.legislation.gov.uk/ukpga/1988/33/section/39</w:t>
              </w:r>
              <w:r>
                <w:rPr>
                  <w:noProof/>
                  <w:lang w:val="en-US"/>
                </w:rPr>
                <w:br/>
                <w:t>[Accessed 05 10 2021].</w:t>
              </w:r>
            </w:p>
            <w:p w14:paraId="6A9842E5" w14:textId="77777777" w:rsidR="007F310B" w:rsidRDefault="007F310B" w:rsidP="007F310B">
              <w:pPr>
                <w:pStyle w:val="Bibliography"/>
                <w:rPr>
                  <w:noProof/>
                  <w:lang w:val="en-US"/>
                </w:rPr>
              </w:pPr>
              <w:r>
                <w:rPr>
                  <w:noProof/>
                  <w:lang w:val="en-US"/>
                </w:rPr>
                <w:t xml:space="preserve">Data Protection Act, 2018.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https://www.legislation.gov.uk/ukpga/2018/12/contents/enacted</w:t>
              </w:r>
              <w:r>
                <w:rPr>
                  <w:noProof/>
                  <w:lang w:val="en-US"/>
                </w:rPr>
                <w:br/>
                <w:t>[Accessed 05 10 2021].</w:t>
              </w:r>
            </w:p>
            <w:p w14:paraId="24AB05FD" w14:textId="77777777" w:rsidR="007F310B" w:rsidRDefault="007F310B" w:rsidP="007F310B">
              <w:pPr>
                <w:pStyle w:val="Bibliography"/>
                <w:rPr>
                  <w:noProof/>
                  <w:lang w:val="en-US"/>
                </w:rPr>
              </w:pPr>
              <w:r>
                <w:rPr>
                  <w:noProof/>
                  <w:lang w:val="en-US"/>
                </w:rPr>
                <w:t xml:space="preserve">Equality Act, 2010.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https://www.legislation.gov.uk/ukpga/2010/15/contents</w:t>
              </w:r>
              <w:r>
                <w:rPr>
                  <w:noProof/>
                  <w:lang w:val="en-US"/>
                </w:rPr>
                <w:br/>
                <w:t>[Accessed 05 10 2021].</w:t>
              </w:r>
            </w:p>
            <w:p w14:paraId="096968B2" w14:textId="77777777" w:rsidR="007C333C" w:rsidRDefault="007C333C" w:rsidP="007C333C">
              <w:pPr>
                <w:pStyle w:val="Bibliography"/>
                <w:rPr>
                  <w:noProof/>
                  <w:lang w:val="en-US"/>
                </w:rPr>
              </w:pPr>
              <w:r>
                <w:rPr>
                  <w:noProof/>
                  <w:lang w:val="en-US"/>
                </w:rPr>
                <w:t xml:space="preserve">Health, N. I. o., 2021. </w:t>
              </w:r>
              <w:r>
                <w:rPr>
                  <w:i/>
                  <w:iCs/>
                  <w:noProof/>
                  <w:lang w:val="en-US"/>
                </w:rPr>
                <w:t xml:space="preserve">Implicit Bias. </w:t>
              </w:r>
              <w:r>
                <w:rPr>
                  <w:noProof/>
                  <w:lang w:val="en-US"/>
                </w:rPr>
                <w:t xml:space="preserve">[Online] </w:t>
              </w:r>
              <w:r>
                <w:rPr>
                  <w:noProof/>
                  <w:lang w:val="en-US"/>
                </w:rPr>
                <w:br/>
                <w:t xml:space="preserve">Available at: </w:t>
              </w:r>
              <w:r>
                <w:rPr>
                  <w:noProof/>
                  <w:u w:val="single"/>
                  <w:lang w:val="en-US"/>
                </w:rPr>
                <w:t>https://diversity.nih.gov/sociocultural-factors/implicit-bias</w:t>
              </w:r>
              <w:r>
                <w:rPr>
                  <w:noProof/>
                  <w:lang w:val="en-US"/>
                </w:rPr>
                <w:br/>
                <w:t>[Accessed 14 10 2021].</w:t>
              </w:r>
            </w:p>
            <w:p w14:paraId="04D06489" w14:textId="77777777" w:rsidR="007C333C" w:rsidRDefault="007C333C" w:rsidP="007C333C">
              <w:pPr>
                <w:pStyle w:val="Bibliography"/>
                <w:rPr>
                  <w:noProof/>
                  <w:lang w:val="en-US"/>
                </w:rPr>
              </w:pPr>
              <w:r>
                <w:rPr>
                  <w:noProof/>
                  <w:lang w:val="en-US"/>
                </w:rPr>
                <w:lastRenderedPageBreak/>
                <w:t xml:space="preserve">Help, A., 2021. </w:t>
              </w:r>
              <w:r>
                <w:rPr>
                  <w:i/>
                  <w:iCs/>
                  <w:noProof/>
                  <w:lang w:val="en-US"/>
                </w:rPr>
                <w:t xml:space="preserve">Acceptable Behaviour Contract. </w:t>
              </w:r>
              <w:r>
                <w:rPr>
                  <w:noProof/>
                  <w:lang w:val="en-US"/>
                </w:rPr>
                <w:t xml:space="preserve">[Online] </w:t>
              </w:r>
              <w:r>
                <w:rPr>
                  <w:noProof/>
                  <w:lang w:val="en-US"/>
                </w:rPr>
                <w:br/>
                <w:t xml:space="preserve">Available at: </w:t>
              </w:r>
              <w:r>
                <w:rPr>
                  <w:noProof/>
                  <w:u w:val="single"/>
                  <w:lang w:val="en-US"/>
                </w:rPr>
                <w:t>https://asbhelp.co.uk/home-practitioners/acceptable-behaviour-contract/</w:t>
              </w:r>
              <w:r>
                <w:rPr>
                  <w:noProof/>
                  <w:lang w:val="en-US"/>
                </w:rPr>
                <w:br/>
                <w:t>[Accessed 14 10 2021].</w:t>
              </w:r>
            </w:p>
            <w:p w14:paraId="49AD9BFC" w14:textId="77777777" w:rsidR="007C333C" w:rsidRDefault="007C333C" w:rsidP="007C333C">
              <w:pPr>
                <w:pStyle w:val="Bibliography"/>
                <w:rPr>
                  <w:noProof/>
                  <w:lang w:val="en-US"/>
                </w:rPr>
              </w:pPr>
              <w:r>
                <w:rPr>
                  <w:noProof/>
                  <w:lang w:val="en-US"/>
                </w:rPr>
                <w:t xml:space="preserve">HMIC, 2016. </w:t>
              </w:r>
              <w:r>
                <w:rPr>
                  <w:i/>
                  <w:iCs/>
                  <w:noProof/>
                  <w:lang w:val="en-US"/>
                </w:rPr>
                <w:t xml:space="preserve">PEEL: Police Effectiveness 2015, </w:t>
              </w:r>
              <w:r>
                <w:rPr>
                  <w:noProof/>
                  <w:lang w:val="en-US"/>
                </w:rPr>
                <w:t>London: HMIC.</w:t>
              </w:r>
            </w:p>
            <w:p w14:paraId="7EB30F58" w14:textId="0C521E48" w:rsidR="0064424C" w:rsidRPr="0064424C" w:rsidRDefault="0064424C" w:rsidP="0064424C">
              <w:pPr>
                <w:rPr>
                  <w:lang w:val="en-US" w:eastAsia="en-US"/>
                </w:rPr>
              </w:pPr>
            </w:p>
            <w:p w14:paraId="2E0FE429" w14:textId="198386C6" w:rsidR="00BC3A7D" w:rsidRDefault="00BC3A7D" w:rsidP="00BC3A7D">
              <w:pPr>
                <w:pStyle w:val="Bibliography"/>
                <w:rPr>
                  <w:noProof/>
                  <w:lang w:val="en-US"/>
                </w:rPr>
              </w:pPr>
              <w:r>
                <w:rPr>
                  <w:noProof/>
                  <w:lang w:val="en-US"/>
                </w:rPr>
                <w:t xml:space="preserve">Her Majesty's inspectorate constabulary, 2018. </w:t>
              </w:r>
              <w:r>
                <w:rPr>
                  <w:i/>
                  <w:iCs/>
                  <w:noProof/>
                  <w:lang w:val="en-US"/>
                </w:rPr>
                <w:t xml:space="preserve">Polcing and Mental Health, </w:t>
              </w:r>
              <w:r>
                <w:rPr>
                  <w:noProof/>
                  <w:lang w:val="en-US"/>
                </w:rPr>
                <w:t>London: Justiceinspectorates.</w:t>
              </w:r>
            </w:p>
            <w:p w14:paraId="23C28342" w14:textId="77777777" w:rsidR="0064424C" w:rsidRDefault="0064424C" w:rsidP="0064424C">
              <w:pPr>
                <w:pStyle w:val="Bibliography"/>
                <w:rPr>
                  <w:noProof/>
                  <w:lang w:val="en-US"/>
                </w:rPr>
              </w:pPr>
              <w:r>
                <w:rPr>
                  <w:noProof/>
                  <w:lang w:val="en-US"/>
                </w:rPr>
                <w:t xml:space="preserve">HMIC, 2015. </w:t>
              </w:r>
              <w:r>
                <w:rPr>
                  <w:i/>
                  <w:iCs/>
                  <w:noProof/>
                  <w:lang w:val="en-US"/>
                </w:rPr>
                <w:t xml:space="preserve">Police effectiveness 2015 (vulnerability). </w:t>
              </w:r>
              <w:r>
                <w:rPr>
                  <w:noProof/>
                  <w:lang w:val="en-US"/>
                </w:rPr>
                <w:t xml:space="preserve">[Online] </w:t>
              </w:r>
              <w:r>
                <w:rPr>
                  <w:noProof/>
                  <w:lang w:val="en-US"/>
                </w:rPr>
                <w:br/>
                <w:t xml:space="preserve">Available at: </w:t>
              </w:r>
              <w:r>
                <w:rPr>
                  <w:noProof/>
                  <w:u w:val="single"/>
                  <w:lang w:val="en-US"/>
                </w:rPr>
                <w:t xml:space="preserve">https://www.justiceinspectorates.gov.uk/hmicfrs/wp-content/uploads/police-effectiveness-vulnerability-2015-south-wales.pdf#:~:text=South%20Wales%20Police%20uses%20the%20definition%20from%20the </w:t>
              </w:r>
              <w:r>
                <w:rPr>
                  <w:noProof/>
                  <w:lang w:val="en-US"/>
                </w:rPr>
                <w:br/>
                <w:t>[Accessed 10 11 2021].</w:t>
              </w:r>
            </w:p>
            <w:p w14:paraId="65D61E0A" w14:textId="77777777" w:rsidR="0064424C" w:rsidRPr="0064424C" w:rsidRDefault="0064424C" w:rsidP="0064424C">
              <w:pPr>
                <w:rPr>
                  <w:lang w:val="en-US" w:eastAsia="en-US"/>
                </w:rPr>
              </w:pPr>
            </w:p>
            <w:p w14:paraId="32B0D249" w14:textId="58FB2867" w:rsidR="00BC3A7D" w:rsidRDefault="00BC3A7D" w:rsidP="00BC3A7D">
              <w:pPr>
                <w:pStyle w:val="Bibliography"/>
                <w:rPr>
                  <w:noProof/>
                  <w:lang w:val="en-US"/>
                </w:rPr>
              </w:pPr>
              <w:r>
                <w:rPr>
                  <w:noProof/>
                  <w:lang w:val="en-US"/>
                </w:rPr>
                <w:t xml:space="preserve">Honesy, P. &amp;. M. A., 1992. </w:t>
              </w:r>
              <w:r>
                <w:rPr>
                  <w:i/>
                  <w:iCs/>
                  <w:noProof/>
                  <w:lang w:val="en-US"/>
                </w:rPr>
                <w:t xml:space="preserve">The Manual of Learning Styles. </w:t>
              </w:r>
              <w:r>
                <w:rPr>
                  <w:noProof/>
                  <w:lang w:val="en-US"/>
                </w:rPr>
                <w:t>Revised ed. s.l.:Peter Honey Publications.</w:t>
              </w:r>
            </w:p>
            <w:p w14:paraId="270091F5" w14:textId="77777777" w:rsidR="009332E9" w:rsidRDefault="009332E9" w:rsidP="009332E9">
              <w:pPr>
                <w:pStyle w:val="Bibliography"/>
                <w:rPr>
                  <w:noProof/>
                  <w:lang w:val="en-US"/>
                </w:rPr>
              </w:pPr>
              <w:r>
                <w:rPr>
                  <w:noProof/>
                  <w:lang w:val="en-US"/>
                </w:rPr>
                <w:t xml:space="preserve">Home Office, 1984. </w:t>
              </w:r>
              <w:r>
                <w:rPr>
                  <w:i/>
                  <w:iCs/>
                  <w:noProof/>
                  <w:lang w:val="en-US"/>
                </w:rPr>
                <w:t xml:space="preserve">Code C.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https://assets.publishing.service.gov.uk/government/uploads/system/uploads/attachment_data/file/729842/pace-code-c-2018.pdf</w:t>
              </w:r>
              <w:r>
                <w:rPr>
                  <w:noProof/>
                  <w:lang w:val="en-US"/>
                </w:rPr>
                <w:br/>
                <w:t>[Accessed 05 10 2021].</w:t>
              </w:r>
            </w:p>
            <w:p w14:paraId="5BEC2F01" w14:textId="77777777" w:rsidR="009332E9" w:rsidRDefault="009332E9" w:rsidP="009332E9">
              <w:pPr>
                <w:pStyle w:val="Bibliography"/>
                <w:rPr>
                  <w:noProof/>
                  <w:lang w:val="en-US"/>
                </w:rPr>
              </w:pPr>
              <w:r>
                <w:rPr>
                  <w:noProof/>
                  <w:lang w:val="en-US"/>
                </w:rPr>
                <w:t xml:space="preserve">Home Office, 1984. </w:t>
              </w:r>
              <w:r>
                <w:rPr>
                  <w:i/>
                  <w:iCs/>
                  <w:noProof/>
                  <w:lang w:val="en-US"/>
                </w:rPr>
                <w:t xml:space="preserve">PACE Code C, </w:t>
              </w:r>
              <w:r>
                <w:rPr>
                  <w:noProof/>
                  <w:lang w:val="en-US"/>
                </w:rPr>
                <w:t>s.l.: Crown.</w:t>
              </w:r>
            </w:p>
            <w:p w14:paraId="0ED432C0" w14:textId="45CCDA30" w:rsidR="009332E9" w:rsidRDefault="009332E9" w:rsidP="009332E9">
              <w:pPr>
                <w:pStyle w:val="Bibliography"/>
                <w:rPr>
                  <w:noProof/>
                  <w:lang w:val="en-US"/>
                </w:rPr>
              </w:pPr>
              <w:r>
                <w:rPr>
                  <w:noProof/>
                  <w:lang w:val="en-US"/>
                </w:rPr>
                <w:t xml:space="preserve">Home Office, 1984. </w:t>
              </w:r>
              <w:r>
                <w:rPr>
                  <w:i/>
                  <w:iCs/>
                  <w:noProof/>
                  <w:lang w:val="en-US"/>
                </w:rPr>
                <w:t xml:space="preserve">Police and Criminal Evidence Act.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https://assets.publishing.service.gov.uk/government/uploads/system/uploads/attachment_data/file/903473/pace-code-c-2019.pdf</w:t>
              </w:r>
              <w:r>
                <w:rPr>
                  <w:noProof/>
                  <w:lang w:val="en-US"/>
                </w:rPr>
                <w:br/>
                <w:t>[Accessed 05 10 2021].</w:t>
              </w:r>
            </w:p>
            <w:p w14:paraId="713F6310" w14:textId="77777777" w:rsidR="007C333C" w:rsidRDefault="007C333C" w:rsidP="007C333C">
              <w:pPr>
                <w:pStyle w:val="Bibliography"/>
                <w:rPr>
                  <w:noProof/>
                  <w:lang w:val="en-US"/>
                </w:rPr>
              </w:pPr>
              <w:r>
                <w:rPr>
                  <w:noProof/>
                  <w:lang w:val="en-US"/>
                </w:rPr>
                <w:t xml:space="preserve">Home Office, 2020. </w:t>
              </w:r>
              <w:r>
                <w:rPr>
                  <w:i/>
                  <w:iCs/>
                  <w:noProof/>
                  <w:lang w:val="en-US"/>
                </w:rPr>
                <w:t xml:space="preserve">Anti-Social Behaviour Community Trigger. </w:t>
              </w:r>
              <w:r>
                <w:rPr>
                  <w:noProof/>
                  <w:lang w:val="en-US"/>
                </w:rPr>
                <w:t xml:space="preserve">[Online] </w:t>
              </w:r>
              <w:r>
                <w:rPr>
                  <w:noProof/>
                  <w:lang w:val="en-US"/>
                </w:rPr>
                <w:br/>
                <w:t xml:space="preserve">Available at: </w:t>
              </w:r>
              <w:r>
                <w:rPr>
                  <w:noProof/>
                  <w:u w:val="single"/>
                  <w:lang w:val="en-US"/>
                </w:rPr>
                <w:t>www.gov.uk/guidance/anit-social-behaviour-asb-case-review-also-know-as-the-community-trigger</w:t>
              </w:r>
              <w:r>
                <w:rPr>
                  <w:noProof/>
                  <w:lang w:val="en-US"/>
                </w:rPr>
                <w:br/>
                <w:t>[Accessed 13 10 2021].</w:t>
              </w:r>
            </w:p>
            <w:p w14:paraId="5EDB4A50" w14:textId="77777777" w:rsidR="007C333C" w:rsidRPr="007C333C" w:rsidRDefault="007C333C" w:rsidP="007C333C">
              <w:pPr>
                <w:rPr>
                  <w:lang w:val="en-US" w:eastAsia="en-US"/>
                </w:rPr>
              </w:pPr>
            </w:p>
            <w:p w14:paraId="3649CDD0" w14:textId="77777777" w:rsidR="009332E9" w:rsidRPr="009332E9" w:rsidRDefault="009332E9" w:rsidP="009332E9">
              <w:pPr>
                <w:rPr>
                  <w:lang w:val="en-US" w:eastAsia="en-US"/>
                </w:rPr>
              </w:pPr>
            </w:p>
            <w:p w14:paraId="55CBC5F8" w14:textId="77777777" w:rsidR="007F310B" w:rsidRDefault="007F310B" w:rsidP="007F310B">
              <w:pPr>
                <w:pStyle w:val="Bibliography"/>
                <w:rPr>
                  <w:noProof/>
                  <w:lang w:val="en-US"/>
                </w:rPr>
              </w:pPr>
              <w:r>
                <w:rPr>
                  <w:noProof/>
                  <w:lang w:val="en-US"/>
                </w:rPr>
                <w:t xml:space="preserve">Human Rights Act, 1998.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https://www.legislation.gov.uk/ukpga/1998/42/contents</w:t>
              </w:r>
              <w:r>
                <w:rPr>
                  <w:noProof/>
                  <w:lang w:val="en-US"/>
                </w:rPr>
                <w:br/>
                <w:t>[Accessed 14 10 2021].</w:t>
              </w:r>
            </w:p>
            <w:p w14:paraId="0D4AC661" w14:textId="77777777" w:rsidR="007F310B" w:rsidRPr="007F310B" w:rsidRDefault="007F310B" w:rsidP="007F310B">
              <w:pPr>
                <w:rPr>
                  <w:lang w:val="en-US" w:eastAsia="en-US"/>
                </w:rPr>
              </w:pPr>
            </w:p>
            <w:p w14:paraId="448008BF" w14:textId="77777777" w:rsidR="00BC3A7D" w:rsidRDefault="00BC3A7D" w:rsidP="00BC3A7D">
              <w:pPr>
                <w:pStyle w:val="Bibliography"/>
                <w:rPr>
                  <w:noProof/>
                  <w:lang w:val="en-US"/>
                </w:rPr>
              </w:pPr>
              <w:r>
                <w:rPr>
                  <w:noProof/>
                  <w:lang w:val="en-US"/>
                </w:rPr>
                <w:t xml:space="preserve">Management, P. S. &amp;., 2018. </w:t>
              </w:r>
              <w:r>
                <w:rPr>
                  <w:i/>
                  <w:iCs/>
                  <w:noProof/>
                  <w:lang w:val="en-US"/>
                </w:rPr>
                <w:t xml:space="preserve">You dont wantt people kowing youre a copper! A contemporary assessmentt of police organisational culture, </w:t>
              </w:r>
              <w:r>
                <w:rPr>
                  <w:noProof/>
                  <w:lang w:val="en-US"/>
                </w:rPr>
                <w:t>South East Queensland: Griffith University.</w:t>
              </w:r>
            </w:p>
            <w:p w14:paraId="7EDC5323" w14:textId="172D5116" w:rsidR="00BC3A7D" w:rsidRDefault="00BC3A7D" w:rsidP="00BC3A7D">
              <w:pPr>
                <w:pStyle w:val="Bibliography"/>
                <w:rPr>
                  <w:noProof/>
                  <w:lang w:val="en-US"/>
                </w:rPr>
              </w:pPr>
              <w:r>
                <w:rPr>
                  <w:noProof/>
                  <w:lang w:val="en-US"/>
                </w:rPr>
                <w:t xml:space="preserve">NHS, 2019. </w:t>
              </w:r>
              <w:r>
                <w:rPr>
                  <w:i/>
                  <w:iCs/>
                  <w:noProof/>
                  <w:lang w:val="en-US"/>
                </w:rPr>
                <w:t xml:space="preserve">How to get to sleep. </w:t>
              </w:r>
              <w:r>
                <w:rPr>
                  <w:noProof/>
                  <w:lang w:val="en-US"/>
                </w:rPr>
                <w:t xml:space="preserve">[Online] </w:t>
              </w:r>
              <w:r>
                <w:rPr>
                  <w:noProof/>
                  <w:lang w:val="en-US"/>
                </w:rPr>
                <w:br/>
                <w:t xml:space="preserve">Available at: </w:t>
              </w:r>
              <w:r>
                <w:rPr>
                  <w:noProof/>
                  <w:u w:val="single"/>
                  <w:lang w:val="en-US"/>
                </w:rPr>
                <w:t>www.nhs.co.uk/live-well/sleep-and-tiredness/how-to-get-to-sleep/</w:t>
              </w:r>
              <w:r>
                <w:rPr>
                  <w:noProof/>
                  <w:lang w:val="en-US"/>
                </w:rPr>
                <w:br/>
                <w:t>[Accessed 13 10 2021].</w:t>
              </w:r>
            </w:p>
            <w:p w14:paraId="4F576BDD" w14:textId="77777777" w:rsidR="007C333C" w:rsidRDefault="007C333C" w:rsidP="007C333C">
              <w:pPr>
                <w:pStyle w:val="Bibliography"/>
                <w:rPr>
                  <w:noProof/>
                  <w:lang w:val="en-US"/>
                </w:rPr>
              </w:pPr>
              <w:r>
                <w:rPr>
                  <w:noProof/>
                  <w:lang w:val="en-US"/>
                </w:rPr>
                <w:t xml:space="preserve">NPCC, 2021. </w:t>
              </w:r>
              <w:r>
                <w:rPr>
                  <w:i/>
                  <w:iCs/>
                  <w:noProof/>
                  <w:lang w:val="en-US"/>
                </w:rPr>
                <w:t xml:space="preserve">Our Vision for Social-Media Enabled Policing. </w:t>
              </w:r>
              <w:r>
                <w:rPr>
                  <w:noProof/>
                  <w:lang w:val="en-US"/>
                </w:rPr>
                <w:t xml:space="preserve">[Online] </w:t>
              </w:r>
              <w:r>
                <w:rPr>
                  <w:noProof/>
                  <w:lang w:val="en-US"/>
                </w:rPr>
                <w:br/>
                <w:t xml:space="preserve">Available at: </w:t>
              </w:r>
              <w:r>
                <w:rPr>
                  <w:noProof/>
                  <w:u w:val="single"/>
                  <w:lang w:val="en-US"/>
                </w:rPr>
                <w:lastRenderedPageBreak/>
                <w:t>https://www.npcc.police.uk/2019%20FOI/NPCC%20Miscellaneous/015%2018%2010%20Social%20Media%20Policing%20presentation%20slides%20Power%20Point.pdf</w:t>
              </w:r>
              <w:r>
                <w:rPr>
                  <w:noProof/>
                  <w:lang w:val="en-US"/>
                </w:rPr>
                <w:br/>
                <w:t>[Accessed 15 10 2021].</w:t>
              </w:r>
            </w:p>
            <w:p w14:paraId="408C72B0" w14:textId="77777777" w:rsidR="007C333C" w:rsidRPr="007C333C" w:rsidRDefault="007C333C" w:rsidP="007C333C">
              <w:pPr>
                <w:rPr>
                  <w:lang w:val="en-US" w:eastAsia="en-US"/>
                </w:rPr>
              </w:pPr>
            </w:p>
            <w:p w14:paraId="656E580E" w14:textId="37BF6880" w:rsidR="00BC3A7D" w:rsidRDefault="00BC3A7D" w:rsidP="00BC3A7D">
              <w:pPr>
                <w:pStyle w:val="Bibliography"/>
                <w:rPr>
                  <w:noProof/>
                  <w:lang w:val="en-US"/>
                </w:rPr>
              </w:pPr>
              <w:r>
                <w:rPr>
                  <w:noProof/>
                  <w:lang w:val="en-US"/>
                </w:rPr>
                <w:t xml:space="preserve">N, P., 2013. </w:t>
              </w:r>
              <w:r>
                <w:rPr>
                  <w:i/>
                  <w:iCs/>
                  <w:noProof/>
                  <w:lang w:val="en-US"/>
                </w:rPr>
                <w:t xml:space="preserve">How to talk to your co-workers. </w:t>
              </w:r>
              <w:r>
                <w:rPr>
                  <w:noProof/>
                  <w:lang w:val="en-US"/>
                </w:rPr>
                <w:t xml:space="preserve">[Online] </w:t>
              </w:r>
              <w:r>
                <w:rPr>
                  <w:noProof/>
                  <w:lang w:val="en-US"/>
                </w:rPr>
                <w:br/>
                <w:t xml:space="preserve">Available at: </w:t>
              </w:r>
              <w:r>
                <w:rPr>
                  <w:noProof/>
                  <w:u w:val="single"/>
                  <w:lang w:val="en-US"/>
                </w:rPr>
                <w:t>https://psychologydictionary.org/coping-strategy/</w:t>
              </w:r>
              <w:r>
                <w:rPr>
                  <w:noProof/>
                  <w:lang w:val="en-US"/>
                </w:rPr>
                <w:br/>
                <w:t>[Accessed 12 10 2021].</w:t>
              </w:r>
            </w:p>
            <w:p w14:paraId="593118B6" w14:textId="1357EC23" w:rsidR="0064424C" w:rsidRDefault="0064424C" w:rsidP="0064424C">
              <w:pPr>
                <w:pStyle w:val="Bibliography"/>
                <w:rPr>
                  <w:noProof/>
                  <w:lang w:val="en-US"/>
                </w:rPr>
              </w:pPr>
              <w:r>
                <w:rPr>
                  <w:noProof/>
                  <w:lang w:val="en-US"/>
                </w:rPr>
                <w:t xml:space="preserve">PACE, 1984.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https://www.legislation.gov.uk/ukpga/1984/60/section/17</w:t>
              </w:r>
              <w:r>
                <w:rPr>
                  <w:noProof/>
                  <w:lang w:val="en-US"/>
                </w:rPr>
                <w:br/>
                <w:t>[Accessed 11 10 2021].</w:t>
              </w:r>
            </w:p>
            <w:p w14:paraId="2671A5BF" w14:textId="77777777" w:rsidR="009332E9" w:rsidRDefault="009332E9" w:rsidP="009332E9">
              <w:pPr>
                <w:pStyle w:val="Bibliography"/>
                <w:rPr>
                  <w:noProof/>
                  <w:lang w:val="en-US"/>
                </w:rPr>
              </w:pPr>
              <w:r>
                <w:rPr>
                  <w:noProof/>
                  <w:lang w:val="en-US"/>
                </w:rPr>
                <w:t xml:space="preserve">PACE, 1984.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https://www.legislation.gov.uk/ukpga/1984/60/section/60</w:t>
              </w:r>
              <w:r>
                <w:rPr>
                  <w:noProof/>
                  <w:lang w:val="en-US"/>
                </w:rPr>
                <w:br/>
                <w:t>[Accessed 05 10 2021].</w:t>
              </w:r>
            </w:p>
            <w:p w14:paraId="70F0661A" w14:textId="77777777" w:rsidR="009332E9" w:rsidRDefault="009332E9" w:rsidP="009332E9">
              <w:pPr>
                <w:pStyle w:val="Bibliography"/>
                <w:rPr>
                  <w:noProof/>
                  <w:lang w:val="en-US"/>
                </w:rPr>
              </w:pPr>
              <w:r>
                <w:rPr>
                  <w:noProof/>
                  <w:lang w:val="en-US"/>
                </w:rPr>
                <w:t xml:space="preserve">PACE, 1984.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https://www.legislation.gov.uk/ukpga/1984/60/section/60A</w:t>
              </w:r>
              <w:r>
                <w:rPr>
                  <w:noProof/>
                  <w:lang w:val="en-US"/>
                </w:rPr>
                <w:br/>
                <w:t>[Accessed 05 10 2021].</w:t>
              </w:r>
            </w:p>
            <w:p w14:paraId="5189EBDB" w14:textId="77777777" w:rsidR="009332E9" w:rsidRDefault="009332E9" w:rsidP="009332E9">
              <w:pPr>
                <w:pStyle w:val="Bibliography"/>
                <w:rPr>
                  <w:noProof/>
                  <w:lang w:val="en-US"/>
                </w:rPr>
              </w:pPr>
              <w:r>
                <w:rPr>
                  <w:noProof/>
                  <w:lang w:val="en-US"/>
                </w:rPr>
                <w:t xml:space="preserve">PACE, 1984. </w:t>
              </w:r>
              <w:r>
                <w:rPr>
                  <w:i/>
                  <w:iCs/>
                  <w:noProof/>
                  <w:lang w:val="en-US"/>
                </w:rPr>
                <w:t xml:space="preserve">PACE 1984 Code G, </w:t>
              </w:r>
              <w:r>
                <w:rPr>
                  <w:noProof/>
                  <w:lang w:val="en-US"/>
                </w:rPr>
                <w:t>s.l.: TSO.</w:t>
              </w:r>
            </w:p>
            <w:p w14:paraId="2F0AB024" w14:textId="77777777" w:rsidR="009332E9" w:rsidRPr="009332E9" w:rsidRDefault="009332E9" w:rsidP="009332E9">
              <w:pPr>
                <w:rPr>
                  <w:lang w:val="en-US" w:eastAsia="en-US"/>
                </w:rPr>
              </w:pPr>
            </w:p>
            <w:p w14:paraId="4518C506" w14:textId="77777777" w:rsidR="0064424C" w:rsidRPr="0064424C" w:rsidRDefault="0064424C" w:rsidP="0064424C">
              <w:pPr>
                <w:rPr>
                  <w:lang w:val="en-US" w:eastAsia="en-US"/>
                </w:rPr>
              </w:pPr>
            </w:p>
            <w:p w14:paraId="6B394B5A" w14:textId="311469EE" w:rsidR="00BC3A7D" w:rsidRDefault="00BC3A7D" w:rsidP="00BC3A7D">
              <w:pPr>
                <w:pStyle w:val="Bibliography"/>
                <w:rPr>
                  <w:noProof/>
                  <w:lang w:val="en-US"/>
                </w:rPr>
              </w:pPr>
              <w:r>
                <w:rPr>
                  <w:noProof/>
                  <w:lang w:val="en-US"/>
                </w:rPr>
                <w:t xml:space="preserve">Ruhl, C., 2021. </w:t>
              </w:r>
              <w:r>
                <w:rPr>
                  <w:i/>
                  <w:iCs/>
                  <w:noProof/>
                  <w:lang w:val="en-US"/>
                </w:rPr>
                <w:t xml:space="preserve">What is Cognative Bias?, </w:t>
              </w:r>
              <w:r>
                <w:rPr>
                  <w:noProof/>
                  <w:lang w:val="en-US"/>
                </w:rPr>
                <w:t>s.l.: SimplyPsychology.</w:t>
              </w:r>
            </w:p>
            <w:p w14:paraId="65689670" w14:textId="77777777" w:rsidR="0064424C" w:rsidRDefault="0064424C" w:rsidP="0064424C">
              <w:pPr>
                <w:pStyle w:val="Bibliography"/>
                <w:rPr>
                  <w:noProof/>
                  <w:lang w:val="en-US"/>
                </w:rPr>
              </w:pPr>
              <w:r>
                <w:rPr>
                  <w:noProof/>
                  <w:lang w:val="en-US"/>
                </w:rPr>
                <w:t xml:space="preserve">Robinson, L., 2020. </w:t>
              </w:r>
              <w:r>
                <w:rPr>
                  <w:i/>
                  <w:iCs/>
                  <w:noProof/>
                  <w:lang w:val="en-US"/>
                </w:rPr>
                <w:t xml:space="preserve">Effective Communication, </w:t>
              </w:r>
              <w:r>
                <w:rPr>
                  <w:noProof/>
                  <w:lang w:val="en-US"/>
                </w:rPr>
                <w:t>s.l.: s.n.</w:t>
              </w:r>
            </w:p>
            <w:p w14:paraId="77308C99" w14:textId="77777777" w:rsidR="0064424C" w:rsidRPr="0064424C" w:rsidRDefault="0064424C" w:rsidP="0064424C">
              <w:pPr>
                <w:rPr>
                  <w:lang w:val="en-US" w:eastAsia="en-US"/>
                </w:rPr>
              </w:pPr>
            </w:p>
            <w:p w14:paraId="100CAF76" w14:textId="23A594AF" w:rsidR="00BC3A7D" w:rsidRDefault="00BC3A7D" w:rsidP="00BC3A7D">
              <w:pPr>
                <w:pStyle w:val="Bibliography"/>
                <w:rPr>
                  <w:noProof/>
                  <w:lang w:val="en-US"/>
                </w:rPr>
              </w:pPr>
              <w:r>
                <w:rPr>
                  <w:noProof/>
                  <w:lang w:val="en-US"/>
                </w:rPr>
                <w:t xml:space="preserve">Scott, E., 2020. </w:t>
              </w:r>
              <w:r>
                <w:rPr>
                  <w:i/>
                  <w:iCs/>
                  <w:noProof/>
                  <w:lang w:val="en-US"/>
                </w:rPr>
                <w:t xml:space="preserve">What is Stress?. </w:t>
              </w:r>
              <w:r>
                <w:rPr>
                  <w:noProof/>
                  <w:lang w:val="en-US"/>
                </w:rPr>
                <w:t xml:space="preserve">[Online] </w:t>
              </w:r>
              <w:r>
                <w:rPr>
                  <w:noProof/>
                  <w:lang w:val="en-US"/>
                </w:rPr>
                <w:br/>
                <w:t xml:space="preserve">Available at: </w:t>
              </w:r>
              <w:r>
                <w:rPr>
                  <w:noProof/>
                  <w:u w:val="single"/>
                  <w:lang w:val="en-US"/>
                </w:rPr>
                <w:t>https://www.verywellmind.com/stress-and-health-3145086</w:t>
              </w:r>
              <w:r>
                <w:rPr>
                  <w:noProof/>
                  <w:lang w:val="en-US"/>
                </w:rPr>
                <w:br/>
                <w:t>[Accessed 12 10 2021].</w:t>
              </w:r>
            </w:p>
            <w:p w14:paraId="6BBEE416" w14:textId="77777777" w:rsidR="0064424C" w:rsidRDefault="0064424C" w:rsidP="0064424C">
              <w:pPr>
                <w:pStyle w:val="Bibliography"/>
                <w:rPr>
                  <w:noProof/>
                  <w:lang w:val="en-US"/>
                </w:rPr>
              </w:pPr>
              <w:r>
                <w:rPr>
                  <w:noProof/>
                  <w:lang w:val="en-US"/>
                </w:rPr>
                <w:t xml:space="preserve">South Wales Police, n.a. </w:t>
              </w:r>
              <w:r>
                <w:rPr>
                  <w:i/>
                  <w:iCs/>
                  <w:noProof/>
                  <w:lang w:val="en-US"/>
                </w:rPr>
                <w:t xml:space="preserve">Adults at Risk, </w:t>
              </w:r>
              <w:r>
                <w:rPr>
                  <w:noProof/>
                  <w:lang w:val="en-US"/>
                </w:rPr>
                <w:t>s.l.: South Wales Police.</w:t>
              </w:r>
            </w:p>
            <w:p w14:paraId="2245D5C4" w14:textId="77777777" w:rsidR="0064424C" w:rsidRPr="0064424C" w:rsidRDefault="0064424C" w:rsidP="0064424C">
              <w:pPr>
                <w:rPr>
                  <w:lang w:val="en-US" w:eastAsia="en-US"/>
                </w:rPr>
              </w:pPr>
            </w:p>
            <w:p w14:paraId="51B40DC5" w14:textId="77777777" w:rsidR="00BC3A7D" w:rsidRDefault="00BC3A7D" w:rsidP="00BC3A7D">
              <w:pPr>
                <w:pStyle w:val="Bibliography"/>
                <w:rPr>
                  <w:noProof/>
                  <w:lang w:val="en-US"/>
                </w:rPr>
              </w:pPr>
              <w:r>
                <w:rPr>
                  <w:noProof/>
                  <w:lang w:val="en-US"/>
                </w:rPr>
                <w:t xml:space="preserve">Wong, K., 2021. </w:t>
              </w:r>
              <w:r>
                <w:rPr>
                  <w:i/>
                  <w:iCs/>
                  <w:noProof/>
                  <w:lang w:val="en-US"/>
                </w:rPr>
                <w:t xml:space="preserve">Organizational Culture: Definition, Importance, and Development, </w:t>
              </w:r>
              <w:r>
                <w:rPr>
                  <w:noProof/>
                  <w:lang w:val="en-US"/>
                </w:rPr>
                <w:t>London: Achievers Solutions.</w:t>
              </w:r>
            </w:p>
            <w:p w14:paraId="0381187C" w14:textId="77777777" w:rsidR="00BC3A7D" w:rsidRDefault="00BC3A7D" w:rsidP="00BC3A7D">
              <w:r>
                <w:rPr>
                  <w:b/>
                  <w:bCs/>
                  <w:noProof/>
                </w:rPr>
                <w:fldChar w:fldCharType="end"/>
              </w:r>
            </w:p>
          </w:sdtContent>
        </w:sdt>
      </w:sdtContent>
    </w:sdt>
    <w:p w14:paraId="6ED77802" w14:textId="35D1383A" w:rsidR="0093018C" w:rsidRPr="00294868" w:rsidRDefault="00BC5725" w:rsidP="00BC3A7D">
      <w:pPr>
        <w:keepNext/>
        <w:ind w:right="237"/>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519B3B9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5473B39D" w14:textId="25489F28" w:rsidR="5848403C" w:rsidRDefault="5848403C" w:rsidP="5848403C">
      <w:pPr>
        <w:jc w:val="both"/>
        <w:rPr>
          <w:rFonts w:eastAsia="Arial"/>
          <w:color w:val="000000" w:themeColor="text1"/>
          <w:sz w:val="24"/>
          <w:szCs w:val="24"/>
        </w:rPr>
      </w:pPr>
    </w:p>
    <w:p w14:paraId="4EC5D203" w14:textId="41EE0F3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181950">
          <w:headerReference w:type="even" r:id="rId28"/>
          <w:headerReference w:type="default" r:id="rId29"/>
          <w:footerReference w:type="even" r:id="rId30"/>
          <w:footerReference w:type="default" r:id="rId31"/>
          <w:headerReference w:type="first" r:id="rId32"/>
          <w:footerReference w:type="first" r:id="rId33"/>
          <w:pgSz w:w="11906" w:h="16838" w:code="9"/>
          <w:pgMar w:top="1440" w:right="1440" w:bottom="1440" w:left="1440" w:header="720" w:footer="720" w:gutter="0"/>
          <w:cols w:space="720"/>
          <w:titlePg/>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4B57D71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3F17D55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181950">
      <w:headerReference w:type="even" r:id="rId34"/>
      <w:headerReference w:type="default" r:id="rId35"/>
      <w:footerReference w:type="even" r:id="rId36"/>
      <w:footerReference w:type="default" r:id="rId37"/>
      <w:headerReference w:type="first" r:id="rId38"/>
      <w:footerReference w:type="first" r:id="rId3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7C333C" w:rsidRDefault="007C333C">
      <w:r>
        <w:separator/>
      </w:r>
    </w:p>
  </w:endnote>
  <w:endnote w:type="continuationSeparator" w:id="0">
    <w:p w14:paraId="2FD44551" w14:textId="77777777" w:rsidR="007C333C" w:rsidRDefault="007C3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CA7B1B" w14:textId="0BD8F5B3" w:rsidR="007C333C" w:rsidRDefault="009D1163" w:rsidP="009D1163">
    <w:pPr>
      <w:pStyle w:val="Footer"/>
      <w:rPr>
        <w:sz w:val="17"/>
      </w:rPr>
    </w:pPr>
    <w:bookmarkStart w:id="2" w:name="TITUS1FooterEvenPages"/>
    <w:r>
      <w:rPr>
        <w:sz w:val="17"/>
      </w:rPr>
      <w:t> </w:t>
    </w:r>
  </w:p>
  <w:bookmarkEnd w:id="2"/>
  <w:p w14:paraId="47EE72A5" w14:textId="5D01649F" w:rsidR="007C333C" w:rsidRDefault="007C333C" w:rsidP="00181950">
    <w:pPr>
      <w:pStyle w:val="Footer"/>
      <w:jc w:val="right"/>
    </w:pPr>
    <w:r>
      <w:fldChar w:fldCharType="begin"/>
    </w:r>
    <w:r>
      <w:instrText xml:space="preserve"> PAGE   \* MERGEFORMAT </w:instrText>
    </w:r>
    <w:r>
      <w:fldChar w:fldCharType="separate"/>
    </w:r>
    <w:r w:rsidR="009D1163">
      <w:rPr>
        <w:noProof/>
      </w:rPr>
      <w:t>8</w:t>
    </w:r>
    <w:r>
      <w:rPr>
        <w:noProof/>
      </w:rPr>
      <w:fldChar w:fldCharType="end"/>
    </w:r>
  </w:p>
  <w:p w14:paraId="21B0F744" w14:textId="77777777" w:rsidR="007C333C" w:rsidRPr="00BB5EAA" w:rsidRDefault="007C333C" w:rsidP="00181950">
    <w:pPr>
      <w:pStyle w:val="Footer"/>
      <w:ind w:right="360"/>
      <w:jc w:val="center"/>
    </w:pPr>
  </w:p>
  <w:p w14:paraId="42AB3FCE" w14:textId="77777777" w:rsidR="007C333C" w:rsidRDefault="007C33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A0D55" w14:textId="017C54FA" w:rsidR="007C333C" w:rsidRDefault="009D1163" w:rsidP="009D1163">
    <w:pPr>
      <w:pStyle w:val="Footer"/>
      <w:rPr>
        <w:sz w:val="17"/>
      </w:rPr>
    </w:pPr>
    <w:bookmarkStart w:id="3" w:name="TITUS1FooterPrimary"/>
    <w:r>
      <w:rPr>
        <w:sz w:val="17"/>
      </w:rPr>
      <w:t> </w:t>
    </w:r>
  </w:p>
  <w:bookmarkEnd w:id="3"/>
  <w:p w14:paraId="50521BFA" w14:textId="40C8FBDC" w:rsidR="007C333C" w:rsidRDefault="007C333C">
    <w:pPr>
      <w:pStyle w:val="Footer"/>
      <w:jc w:val="right"/>
    </w:pPr>
    <w:r>
      <w:fldChar w:fldCharType="begin"/>
    </w:r>
    <w:r>
      <w:instrText xml:space="preserve"> PAGE   \* MERGEFORMAT </w:instrText>
    </w:r>
    <w:r>
      <w:fldChar w:fldCharType="separate"/>
    </w:r>
    <w:r w:rsidR="009D1163">
      <w:rPr>
        <w:noProof/>
      </w:rPr>
      <w:t>7</w:t>
    </w:r>
    <w:r>
      <w:rPr>
        <w:noProof/>
      </w:rPr>
      <w:fldChar w:fldCharType="end"/>
    </w:r>
  </w:p>
  <w:p w14:paraId="790812FF" w14:textId="77777777" w:rsidR="007C333C" w:rsidRPr="00BB5EAA" w:rsidRDefault="007C333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2B3442" w14:textId="6A1C45DE" w:rsidR="007C333C" w:rsidRDefault="009D1163" w:rsidP="009D1163">
    <w:pPr>
      <w:pStyle w:val="Footer"/>
      <w:rPr>
        <w:sz w:val="17"/>
      </w:rPr>
    </w:pPr>
    <w:bookmarkStart w:id="5" w:name="TITUS1FooterFirstPage"/>
    <w:r>
      <w:rPr>
        <w:sz w:val="17"/>
      </w:rPr>
      <w:t> </w:t>
    </w:r>
  </w:p>
  <w:bookmarkEnd w:id="5"/>
  <w:p w14:paraId="5887CE81" w14:textId="3E09E199" w:rsidR="007C333C" w:rsidRDefault="007C333C" w:rsidP="00181950">
    <w:pPr>
      <w:pStyle w:val="Footer"/>
      <w:jc w:val="right"/>
    </w:pPr>
    <w:r>
      <w:fldChar w:fldCharType="begin"/>
    </w:r>
    <w:r>
      <w:instrText xml:space="preserve"> PAGE   \* MERGEFORMAT </w:instrText>
    </w:r>
    <w:r>
      <w:fldChar w:fldCharType="separate"/>
    </w:r>
    <w:r w:rsidR="009D1163">
      <w:rPr>
        <w:noProof/>
      </w:rPr>
      <w:t>1</w:t>
    </w:r>
    <w:r>
      <w:rPr>
        <w:noProof/>
      </w:rPr>
      <w:fldChar w:fldCharType="end"/>
    </w:r>
  </w:p>
  <w:p w14:paraId="6D0A1DE0" w14:textId="77777777" w:rsidR="007C333C" w:rsidRPr="00BB5EAA" w:rsidRDefault="007C333C" w:rsidP="00181950">
    <w:pPr>
      <w:pStyle w:val="Footer"/>
      <w:ind w:right="360"/>
      <w:jc w:val="center"/>
    </w:pPr>
  </w:p>
  <w:p w14:paraId="752BCBFC" w14:textId="77777777" w:rsidR="007C333C" w:rsidRDefault="007C333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BCAF8" w14:textId="2B2D6CC1" w:rsidR="007C333C" w:rsidRDefault="009D1163" w:rsidP="009D1163">
    <w:pPr>
      <w:pStyle w:val="Footer"/>
      <w:rPr>
        <w:sz w:val="17"/>
      </w:rPr>
    </w:pPr>
    <w:bookmarkStart w:id="8" w:name="TITUS2FooterEvenPages"/>
    <w:r>
      <w:rPr>
        <w:sz w:val="17"/>
      </w:rPr>
      <w:t> </w:t>
    </w:r>
  </w:p>
  <w:bookmarkEnd w:id="8"/>
  <w:p w14:paraId="7D88B7F9" w14:textId="77777777" w:rsidR="007C333C" w:rsidRDefault="007C333C" w:rsidP="00181950">
    <w:pPr>
      <w:pStyle w:val="Footer"/>
      <w:jc w:val="right"/>
    </w:pPr>
  </w:p>
  <w:p w14:paraId="25D6518E" w14:textId="0252FBA7" w:rsidR="007C333C" w:rsidRDefault="007C333C" w:rsidP="00181950">
    <w:pPr>
      <w:pStyle w:val="Footer"/>
      <w:jc w:val="right"/>
    </w:pPr>
    <w:r>
      <w:fldChar w:fldCharType="begin"/>
    </w:r>
    <w:r>
      <w:instrText xml:space="preserve"> PAGE   \* MERGEFORMAT </w:instrText>
    </w:r>
    <w:r>
      <w:fldChar w:fldCharType="separate"/>
    </w:r>
    <w:r w:rsidR="009D1163">
      <w:rPr>
        <w:noProof/>
      </w:rPr>
      <w:t>20</w:t>
    </w:r>
    <w:r>
      <w:rPr>
        <w:noProof/>
      </w:rPr>
      <w:fldChar w:fldCharType="end"/>
    </w:r>
  </w:p>
  <w:p w14:paraId="2A0376AD" w14:textId="77777777" w:rsidR="007C333C" w:rsidRPr="00BB5EAA" w:rsidRDefault="007C333C" w:rsidP="00181950">
    <w:pPr>
      <w:pStyle w:val="Footer"/>
      <w:ind w:right="360"/>
      <w:jc w:val="center"/>
    </w:pPr>
  </w:p>
  <w:p w14:paraId="61EC8644" w14:textId="77777777" w:rsidR="007C333C" w:rsidRDefault="007C333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3418D" w14:textId="43A699AC" w:rsidR="007C333C" w:rsidRDefault="009D1163" w:rsidP="009D1163">
    <w:pPr>
      <w:pStyle w:val="Footer"/>
      <w:rPr>
        <w:sz w:val="17"/>
      </w:rPr>
    </w:pPr>
    <w:bookmarkStart w:id="9" w:name="TITUS2FooterPrimary"/>
    <w:r>
      <w:rPr>
        <w:sz w:val="17"/>
      </w:rPr>
      <w:t> </w:t>
    </w:r>
  </w:p>
  <w:bookmarkEnd w:id="9"/>
  <w:p w14:paraId="64B8E337" w14:textId="77777777" w:rsidR="007C333C" w:rsidRDefault="007C333C">
    <w:pPr>
      <w:pStyle w:val="Footer"/>
      <w:jc w:val="right"/>
    </w:pPr>
  </w:p>
  <w:p w14:paraId="4266A1BB" w14:textId="6361FCA6" w:rsidR="007C333C" w:rsidRDefault="007C333C">
    <w:pPr>
      <w:pStyle w:val="Footer"/>
      <w:jc w:val="right"/>
    </w:pPr>
    <w:r>
      <w:fldChar w:fldCharType="begin"/>
    </w:r>
    <w:r>
      <w:instrText xml:space="preserve"> PAGE   \* MERGEFORMAT </w:instrText>
    </w:r>
    <w:r>
      <w:fldChar w:fldCharType="separate"/>
    </w:r>
    <w:r w:rsidR="009D1163">
      <w:rPr>
        <w:noProof/>
      </w:rPr>
      <w:t>19</w:t>
    </w:r>
    <w:r>
      <w:rPr>
        <w:noProof/>
      </w:rPr>
      <w:fldChar w:fldCharType="end"/>
    </w:r>
  </w:p>
  <w:p w14:paraId="76574D2F" w14:textId="77777777" w:rsidR="007C333C" w:rsidRPr="00BB5EAA" w:rsidRDefault="007C333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CE3576" w14:textId="5C48168C" w:rsidR="007C333C" w:rsidRDefault="009D1163" w:rsidP="009D1163">
    <w:pPr>
      <w:pStyle w:val="Footer"/>
      <w:rPr>
        <w:sz w:val="17"/>
      </w:rPr>
    </w:pPr>
    <w:bookmarkStart w:id="11" w:name="TITUS2FooterFirstPage"/>
    <w:r>
      <w:rPr>
        <w:sz w:val="17"/>
      </w:rPr>
      <w:t> </w:t>
    </w:r>
  </w:p>
  <w:bookmarkEnd w:id="11"/>
  <w:p w14:paraId="4965C860" w14:textId="77777777" w:rsidR="007C333C" w:rsidRDefault="007C333C" w:rsidP="00181950">
    <w:pPr>
      <w:pStyle w:val="Footer"/>
      <w:jc w:val="right"/>
    </w:pPr>
  </w:p>
  <w:p w14:paraId="66E5A943" w14:textId="7DBD86A1" w:rsidR="007C333C" w:rsidRDefault="007C333C" w:rsidP="00181950">
    <w:pPr>
      <w:pStyle w:val="Footer"/>
      <w:jc w:val="right"/>
    </w:pPr>
    <w:r>
      <w:fldChar w:fldCharType="begin"/>
    </w:r>
    <w:r>
      <w:instrText xml:space="preserve"> PAGE   \* MERGEFORMAT </w:instrText>
    </w:r>
    <w:r>
      <w:fldChar w:fldCharType="separate"/>
    </w:r>
    <w:r w:rsidR="009D1163">
      <w:rPr>
        <w:noProof/>
      </w:rPr>
      <w:t>9</w:t>
    </w:r>
    <w:r>
      <w:rPr>
        <w:noProof/>
      </w:rPr>
      <w:fldChar w:fldCharType="end"/>
    </w:r>
  </w:p>
  <w:p w14:paraId="139B4E6D" w14:textId="77777777" w:rsidR="007C333C" w:rsidRPr="00BB5EAA" w:rsidRDefault="007C333C" w:rsidP="00181950">
    <w:pPr>
      <w:pStyle w:val="Footer"/>
      <w:ind w:right="360"/>
      <w:jc w:val="center"/>
    </w:pPr>
  </w:p>
  <w:p w14:paraId="17508985" w14:textId="77777777" w:rsidR="007C333C" w:rsidRDefault="007C333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075B6" w14:textId="68F8FA3E" w:rsidR="007C333C" w:rsidRDefault="009D1163" w:rsidP="009D1163">
    <w:pPr>
      <w:pStyle w:val="Footer"/>
      <w:rPr>
        <w:sz w:val="17"/>
      </w:rPr>
    </w:pPr>
    <w:bookmarkStart w:id="15" w:name="TITUS3FooterEvenPages"/>
    <w:r>
      <w:rPr>
        <w:sz w:val="17"/>
      </w:rPr>
      <w:t> </w:t>
    </w:r>
  </w:p>
  <w:bookmarkEnd w:id="15"/>
  <w:p w14:paraId="774B4BC4" w14:textId="77777777" w:rsidR="007C333C" w:rsidRDefault="007C333C" w:rsidP="00181950">
    <w:pPr>
      <w:pStyle w:val="Footer"/>
      <w:jc w:val="right"/>
    </w:pPr>
  </w:p>
  <w:p w14:paraId="3930BFC1" w14:textId="13D983B3" w:rsidR="007C333C" w:rsidRDefault="007C333C" w:rsidP="00181950">
    <w:pPr>
      <w:pStyle w:val="Footer"/>
      <w:jc w:val="right"/>
    </w:pPr>
    <w:r>
      <w:fldChar w:fldCharType="begin"/>
    </w:r>
    <w:r>
      <w:instrText xml:space="preserve"> PAGE   \* MERGEFORMAT </w:instrText>
    </w:r>
    <w:r>
      <w:fldChar w:fldCharType="separate"/>
    </w:r>
    <w:r w:rsidR="009D1163">
      <w:rPr>
        <w:noProof/>
      </w:rPr>
      <w:t>22</w:t>
    </w:r>
    <w:r>
      <w:rPr>
        <w:noProof/>
      </w:rPr>
      <w:fldChar w:fldCharType="end"/>
    </w:r>
  </w:p>
  <w:p w14:paraId="1E3913AD" w14:textId="77777777" w:rsidR="007C333C" w:rsidRPr="00BB5EAA" w:rsidRDefault="007C333C" w:rsidP="00181950">
    <w:pPr>
      <w:pStyle w:val="Footer"/>
      <w:ind w:right="360"/>
      <w:jc w:val="center"/>
    </w:pPr>
  </w:p>
  <w:p w14:paraId="0EB48F0B" w14:textId="77777777" w:rsidR="007C333C" w:rsidRDefault="007C333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1A74A8" w14:textId="4F3453CB" w:rsidR="007C333C" w:rsidRDefault="009D1163" w:rsidP="009D1163">
    <w:pPr>
      <w:pStyle w:val="Footer"/>
      <w:rPr>
        <w:sz w:val="17"/>
      </w:rPr>
    </w:pPr>
    <w:bookmarkStart w:id="16" w:name="TITUS3FooterPrimary"/>
    <w:r>
      <w:rPr>
        <w:sz w:val="17"/>
      </w:rPr>
      <w:t> </w:t>
    </w:r>
  </w:p>
  <w:bookmarkEnd w:id="16"/>
  <w:p w14:paraId="3F0C5F1E" w14:textId="77777777" w:rsidR="007C333C" w:rsidRDefault="007C333C">
    <w:pPr>
      <w:pStyle w:val="Footer"/>
      <w:jc w:val="right"/>
    </w:pPr>
  </w:p>
  <w:p w14:paraId="2FFA2673" w14:textId="44D53BA8" w:rsidR="007C333C" w:rsidRDefault="007C333C">
    <w:pPr>
      <w:pStyle w:val="Footer"/>
      <w:jc w:val="right"/>
    </w:pPr>
    <w:r>
      <w:fldChar w:fldCharType="begin"/>
    </w:r>
    <w:r>
      <w:instrText xml:space="preserve"> PAGE   \* MERGEFORMAT </w:instrText>
    </w:r>
    <w:r>
      <w:fldChar w:fldCharType="separate"/>
    </w:r>
    <w:r w:rsidR="009D1163">
      <w:rPr>
        <w:noProof/>
      </w:rPr>
      <w:t>25</w:t>
    </w:r>
    <w:r>
      <w:rPr>
        <w:noProof/>
      </w:rPr>
      <w:fldChar w:fldCharType="end"/>
    </w:r>
  </w:p>
  <w:p w14:paraId="2AA1E651" w14:textId="77777777" w:rsidR="007C333C" w:rsidRPr="00BB5EAA" w:rsidRDefault="007C333C"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C591" w14:textId="1D21A3E8" w:rsidR="007C333C" w:rsidRDefault="009D1163" w:rsidP="009D1163">
    <w:pPr>
      <w:pStyle w:val="Footer"/>
      <w:rPr>
        <w:sz w:val="17"/>
      </w:rPr>
    </w:pPr>
    <w:bookmarkStart w:id="18" w:name="TITUS3FooterFirstPage"/>
    <w:r>
      <w:rPr>
        <w:sz w:val="17"/>
      </w:rPr>
      <w:t> </w:t>
    </w:r>
  </w:p>
  <w:bookmarkEnd w:id="18"/>
  <w:p w14:paraId="78D5B06D" w14:textId="77777777" w:rsidR="007C333C" w:rsidRDefault="007C333C" w:rsidP="00181950">
    <w:pPr>
      <w:pStyle w:val="Footer"/>
      <w:jc w:val="right"/>
    </w:pPr>
  </w:p>
  <w:p w14:paraId="700926F0" w14:textId="297FC518" w:rsidR="007C333C" w:rsidRDefault="007C333C" w:rsidP="00181950">
    <w:pPr>
      <w:pStyle w:val="Footer"/>
      <w:jc w:val="right"/>
    </w:pPr>
    <w:r>
      <w:fldChar w:fldCharType="begin"/>
    </w:r>
    <w:r>
      <w:instrText xml:space="preserve"> PAGE   \* MERGEFORMAT </w:instrText>
    </w:r>
    <w:r>
      <w:fldChar w:fldCharType="separate"/>
    </w:r>
    <w:r w:rsidR="009D1163">
      <w:rPr>
        <w:noProof/>
      </w:rPr>
      <w:t>21</w:t>
    </w:r>
    <w:r>
      <w:rPr>
        <w:noProof/>
      </w:rPr>
      <w:fldChar w:fldCharType="end"/>
    </w:r>
  </w:p>
  <w:p w14:paraId="2A27A82B" w14:textId="77777777" w:rsidR="007C333C" w:rsidRPr="00BB5EAA" w:rsidRDefault="007C333C" w:rsidP="00181950">
    <w:pPr>
      <w:pStyle w:val="Footer"/>
      <w:ind w:right="360"/>
      <w:jc w:val="center"/>
    </w:pPr>
  </w:p>
  <w:p w14:paraId="31CD8B93" w14:textId="77777777" w:rsidR="007C333C" w:rsidRDefault="007C333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47649" w14:textId="3AC82F78" w:rsidR="007C333C" w:rsidRDefault="009D1163" w:rsidP="009D1163">
    <w:pPr>
      <w:pStyle w:val="Footer"/>
      <w:rPr>
        <w:sz w:val="17"/>
      </w:rPr>
    </w:pPr>
    <w:bookmarkStart w:id="21" w:name="TITUS4FooterEvenPages"/>
    <w:r>
      <w:rPr>
        <w:sz w:val="17"/>
      </w:rPr>
      <w:t> </w:t>
    </w:r>
  </w:p>
  <w:bookmarkEnd w:id="21"/>
  <w:p w14:paraId="71BDB695" w14:textId="77777777" w:rsidR="007C333C" w:rsidRDefault="007C333C" w:rsidP="00181950">
    <w:pPr>
      <w:pStyle w:val="Footer"/>
      <w:jc w:val="right"/>
    </w:pPr>
  </w:p>
  <w:p w14:paraId="152AAB35" w14:textId="77777777" w:rsidR="007C333C" w:rsidRDefault="007C333C" w:rsidP="00181950">
    <w:pPr>
      <w:pStyle w:val="Footer"/>
      <w:jc w:val="right"/>
    </w:pPr>
    <w:r>
      <w:fldChar w:fldCharType="begin"/>
    </w:r>
    <w:r>
      <w:instrText xml:space="preserve"> PAGE   \* MERGEFORMAT </w:instrText>
    </w:r>
    <w:r>
      <w:fldChar w:fldCharType="separate"/>
    </w:r>
    <w:r>
      <w:rPr>
        <w:noProof/>
      </w:rPr>
      <w:t>8</w:t>
    </w:r>
    <w:r>
      <w:rPr>
        <w:noProof/>
      </w:rPr>
      <w:fldChar w:fldCharType="end"/>
    </w:r>
  </w:p>
  <w:p w14:paraId="20F6DE2E" w14:textId="77777777" w:rsidR="007C333C" w:rsidRPr="00BB5EAA" w:rsidRDefault="007C333C" w:rsidP="00181950">
    <w:pPr>
      <w:pStyle w:val="Footer"/>
      <w:ind w:right="360"/>
      <w:jc w:val="center"/>
    </w:pPr>
  </w:p>
  <w:p w14:paraId="39B660F4" w14:textId="77777777" w:rsidR="007C333C" w:rsidRDefault="007C333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1A7C6" w14:textId="470D92EE" w:rsidR="007C333C" w:rsidRDefault="009D1163" w:rsidP="009D1163">
    <w:pPr>
      <w:pStyle w:val="Footer"/>
      <w:rPr>
        <w:sz w:val="17"/>
      </w:rPr>
    </w:pPr>
    <w:bookmarkStart w:id="22" w:name="TITUS4FooterPrimary"/>
    <w:r>
      <w:rPr>
        <w:sz w:val="17"/>
      </w:rPr>
      <w:t> </w:t>
    </w:r>
  </w:p>
  <w:bookmarkEnd w:id="22"/>
  <w:p w14:paraId="5819668A" w14:textId="77777777" w:rsidR="007C333C" w:rsidRDefault="007C333C">
    <w:pPr>
      <w:pStyle w:val="Footer"/>
      <w:jc w:val="right"/>
    </w:pPr>
  </w:p>
  <w:p w14:paraId="528E3F4E" w14:textId="77777777" w:rsidR="007C333C" w:rsidRDefault="007C333C">
    <w:pPr>
      <w:pStyle w:val="Footer"/>
      <w:jc w:val="right"/>
    </w:pPr>
    <w:r>
      <w:fldChar w:fldCharType="begin"/>
    </w:r>
    <w:r>
      <w:instrText xml:space="preserve"> PAGE   \* MERGEFORMAT </w:instrText>
    </w:r>
    <w:r>
      <w:fldChar w:fldCharType="separate"/>
    </w:r>
    <w:r>
      <w:rPr>
        <w:noProof/>
      </w:rPr>
      <w:t>5</w:t>
    </w:r>
    <w:r>
      <w:rPr>
        <w:noProof/>
      </w:rPr>
      <w:fldChar w:fldCharType="end"/>
    </w:r>
  </w:p>
  <w:p w14:paraId="361F6E26" w14:textId="77777777" w:rsidR="007C333C" w:rsidRPr="00BB5EAA" w:rsidRDefault="007C333C"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AF09B" w14:textId="584E7080" w:rsidR="007C333C" w:rsidRDefault="009D1163" w:rsidP="009D1163">
    <w:pPr>
      <w:pStyle w:val="Footer"/>
      <w:rPr>
        <w:sz w:val="17"/>
      </w:rPr>
    </w:pPr>
    <w:bookmarkStart w:id="24" w:name="TITUS4FooterFirstPage"/>
    <w:r>
      <w:rPr>
        <w:sz w:val="17"/>
      </w:rPr>
      <w:t> </w:t>
    </w:r>
  </w:p>
  <w:bookmarkEnd w:id="24"/>
  <w:p w14:paraId="5C3D5E1C" w14:textId="77777777" w:rsidR="007C333C" w:rsidRDefault="007C333C" w:rsidP="00181950">
    <w:pPr>
      <w:pStyle w:val="Footer"/>
      <w:jc w:val="right"/>
    </w:pPr>
  </w:p>
  <w:p w14:paraId="4CED0AD4" w14:textId="141690C3" w:rsidR="007C333C" w:rsidRDefault="007C333C" w:rsidP="00181950">
    <w:pPr>
      <w:pStyle w:val="Footer"/>
      <w:jc w:val="right"/>
    </w:pPr>
    <w:r>
      <w:fldChar w:fldCharType="begin"/>
    </w:r>
    <w:r>
      <w:instrText xml:space="preserve"> PAGE   \* MERGEFORMAT </w:instrText>
    </w:r>
    <w:r>
      <w:fldChar w:fldCharType="separate"/>
    </w:r>
    <w:r w:rsidR="009D1163">
      <w:rPr>
        <w:noProof/>
      </w:rPr>
      <w:t>26</w:t>
    </w:r>
    <w:r>
      <w:rPr>
        <w:noProof/>
      </w:rPr>
      <w:fldChar w:fldCharType="end"/>
    </w:r>
  </w:p>
  <w:p w14:paraId="3CC53A69" w14:textId="77777777" w:rsidR="007C333C" w:rsidRPr="00BB5EAA" w:rsidRDefault="007C333C" w:rsidP="00181950">
    <w:pPr>
      <w:pStyle w:val="Footer"/>
      <w:ind w:right="360"/>
      <w:jc w:val="center"/>
    </w:pPr>
  </w:p>
  <w:p w14:paraId="7515A42C" w14:textId="77777777" w:rsidR="007C333C" w:rsidRDefault="007C33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7C333C" w:rsidRDefault="007C333C">
      <w:r>
        <w:separator/>
      </w:r>
    </w:p>
  </w:footnote>
  <w:footnote w:type="continuationSeparator" w:id="0">
    <w:p w14:paraId="458DDD75" w14:textId="77777777" w:rsidR="007C333C" w:rsidRDefault="007C33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B00129" w14:textId="677F0B8C" w:rsidR="007C333C" w:rsidRDefault="009D1163" w:rsidP="009D1163">
    <w:pPr>
      <w:pStyle w:val="Header"/>
      <w:rPr>
        <w:sz w:val="17"/>
      </w:rPr>
    </w:pPr>
    <w:bookmarkStart w:id="0" w:name="TITUS1HeaderEvenPages"/>
    <w:r>
      <w:rPr>
        <w:sz w:val="17"/>
      </w:rPr>
      <w:t> </w:t>
    </w:r>
  </w:p>
  <w:bookmarkEnd w:id="0"/>
  <w:p w14:paraId="65048975" w14:textId="77777777" w:rsidR="007C333C" w:rsidRDefault="007C333C" w:rsidP="001A08FE">
    <w:pPr>
      <w:pStyle w:val="Header"/>
    </w:pPr>
  </w:p>
  <w:p w14:paraId="489C9B6C" w14:textId="77777777" w:rsidR="007C333C" w:rsidRDefault="007C33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E696F" w14:textId="246C918E" w:rsidR="007C333C" w:rsidRDefault="009D1163" w:rsidP="009D1163">
    <w:pPr>
      <w:pStyle w:val="Header"/>
      <w:rPr>
        <w:sz w:val="17"/>
      </w:rPr>
    </w:pPr>
    <w:bookmarkStart w:id="1" w:name="TITUS1HeaderPrimary"/>
    <w:r>
      <w:rPr>
        <w:sz w:val="17"/>
      </w:rPr>
      <w:t> </w:t>
    </w:r>
  </w:p>
  <w:bookmarkEnd w:id="1"/>
  <w:p w14:paraId="1C302389" w14:textId="77777777" w:rsidR="007C333C" w:rsidRDefault="007C33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97A61" w14:textId="325D15ED" w:rsidR="007C333C" w:rsidRDefault="009D1163" w:rsidP="009D1163">
    <w:pPr>
      <w:pStyle w:val="Header"/>
      <w:rPr>
        <w:sz w:val="17"/>
      </w:rPr>
    </w:pPr>
    <w:bookmarkStart w:id="4" w:name="TITUS1HeaderFirstPage"/>
    <w:r>
      <w:rPr>
        <w:sz w:val="17"/>
      </w:rPr>
      <w:t> </w:t>
    </w:r>
  </w:p>
  <w:bookmarkEnd w:id="4"/>
  <w:p w14:paraId="33E4505E" w14:textId="77777777" w:rsidR="007C333C" w:rsidRDefault="007C333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F8A00" w14:textId="253B8F7F" w:rsidR="007C333C" w:rsidRDefault="009D1163" w:rsidP="009D1163">
    <w:pPr>
      <w:pStyle w:val="Header"/>
      <w:rPr>
        <w:sz w:val="17"/>
      </w:rPr>
    </w:pPr>
    <w:bookmarkStart w:id="6" w:name="TITUS2HeaderEvenPages"/>
    <w:r>
      <w:rPr>
        <w:sz w:val="17"/>
      </w:rPr>
      <w:t> </w:t>
    </w:r>
  </w:p>
  <w:bookmarkEnd w:id="6"/>
  <w:p w14:paraId="57213807" w14:textId="77777777" w:rsidR="007C333C" w:rsidRDefault="007C333C" w:rsidP="00181950">
    <w:pPr>
      <w:pStyle w:val="Header"/>
    </w:pPr>
  </w:p>
  <w:p w14:paraId="1778F350" w14:textId="77777777" w:rsidR="007C333C" w:rsidRDefault="007C333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04BAF" w14:textId="6CA43697" w:rsidR="007C333C" w:rsidRDefault="009D1163" w:rsidP="009D1163">
    <w:pPr>
      <w:pStyle w:val="Header"/>
      <w:rPr>
        <w:sz w:val="17"/>
      </w:rPr>
    </w:pPr>
    <w:bookmarkStart w:id="7" w:name="TITUS2HeaderPrimary"/>
    <w:r>
      <w:rPr>
        <w:sz w:val="17"/>
      </w:rPr>
      <w:t> </w:t>
    </w:r>
  </w:p>
  <w:bookmarkEnd w:id="7"/>
  <w:p w14:paraId="208C24B4" w14:textId="77777777" w:rsidR="007C333C" w:rsidRDefault="007C333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442FF" w14:textId="3837EFA5" w:rsidR="007C333C" w:rsidRDefault="009D1163" w:rsidP="009D1163">
    <w:pPr>
      <w:pStyle w:val="Header"/>
      <w:rPr>
        <w:sz w:val="17"/>
      </w:rPr>
    </w:pPr>
    <w:bookmarkStart w:id="10" w:name="TITUS2HeaderFirstPage"/>
    <w:r>
      <w:rPr>
        <w:sz w:val="17"/>
      </w:rPr>
      <w:t> </w:t>
    </w:r>
  </w:p>
  <w:bookmarkEnd w:id="10"/>
  <w:p w14:paraId="139A5521" w14:textId="77777777" w:rsidR="007C333C" w:rsidRDefault="007C333C" w:rsidP="00181950">
    <w:pPr>
      <w:pStyle w:val="Header"/>
    </w:pPr>
  </w:p>
  <w:p w14:paraId="64540EFE" w14:textId="77777777" w:rsidR="007C333C" w:rsidRDefault="007C333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93A83C" w14:textId="2CABCD21" w:rsidR="007C333C" w:rsidRDefault="009D1163" w:rsidP="009D1163">
    <w:pPr>
      <w:pStyle w:val="Header"/>
      <w:rPr>
        <w:sz w:val="17"/>
      </w:rPr>
    </w:pPr>
    <w:bookmarkStart w:id="13" w:name="TITUS3HeaderEvenPages"/>
    <w:r>
      <w:rPr>
        <w:sz w:val="17"/>
      </w:rPr>
      <w:t> </w:t>
    </w:r>
  </w:p>
  <w:bookmarkEnd w:id="13"/>
  <w:p w14:paraId="52798599" w14:textId="77777777" w:rsidR="007C333C" w:rsidRDefault="007C333C" w:rsidP="00181950">
    <w:pPr>
      <w:pStyle w:val="Header"/>
    </w:pPr>
  </w:p>
  <w:p w14:paraId="79A9EC98" w14:textId="77777777" w:rsidR="007C333C" w:rsidRDefault="007C333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2A510" w14:textId="73E2D8EE" w:rsidR="007C333C" w:rsidRDefault="009D1163" w:rsidP="009D1163">
    <w:pPr>
      <w:pStyle w:val="Header"/>
      <w:rPr>
        <w:sz w:val="17"/>
      </w:rPr>
    </w:pPr>
    <w:bookmarkStart w:id="14" w:name="TITUS3HeaderPrimary"/>
    <w:r>
      <w:rPr>
        <w:sz w:val="17"/>
      </w:rPr>
      <w:t> </w:t>
    </w:r>
  </w:p>
  <w:bookmarkEnd w:id="14"/>
  <w:p w14:paraId="42B24734" w14:textId="77777777" w:rsidR="007C333C" w:rsidRDefault="007C333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45D6C4" w14:textId="48813813" w:rsidR="007C333C" w:rsidRDefault="009D1163" w:rsidP="009D1163">
    <w:pPr>
      <w:pStyle w:val="Header"/>
      <w:rPr>
        <w:sz w:val="17"/>
      </w:rPr>
    </w:pPr>
    <w:bookmarkStart w:id="17" w:name="TITUS3HeaderFirstPage"/>
    <w:r>
      <w:rPr>
        <w:sz w:val="17"/>
      </w:rPr>
      <w:t> </w:t>
    </w:r>
  </w:p>
  <w:bookmarkEnd w:id="17"/>
  <w:p w14:paraId="7DE12F21" w14:textId="77777777" w:rsidR="007C333C" w:rsidRDefault="007C333C" w:rsidP="00181950">
    <w:pPr>
      <w:pStyle w:val="Header"/>
    </w:pPr>
  </w:p>
  <w:p w14:paraId="7A8FB4CF" w14:textId="77777777" w:rsidR="007C333C" w:rsidRDefault="007C333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70DF2" w14:textId="119E4DB2" w:rsidR="007C333C" w:rsidRDefault="009D1163" w:rsidP="009D1163">
    <w:pPr>
      <w:pStyle w:val="Header"/>
      <w:rPr>
        <w:sz w:val="17"/>
      </w:rPr>
    </w:pPr>
    <w:bookmarkStart w:id="19" w:name="TITUS4HeaderEvenPages"/>
    <w:r>
      <w:rPr>
        <w:sz w:val="17"/>
      </w:rPr>
      <w:t> </w:t>
    </w:r>
  </w:p>
  <w:bookmarkEnd w:id="19"/>
  <w:p w14:paraId="6744BDD4" w14:textId="77777777" w:rsidR="007C333C" w:rsidRDefault="007C333C" w:rsidP="00181950">
    <w:pPr>
      <w:pStyle w:val="Header"/>
    </w:pPr>
  </w:p>
  <w:p w14:paraId="290ECC0A" w14:textId="77777777" w:rsidR="007C333C" w:rsidRDefault="007C333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E9CE2" w14:textId="47387400" w:rsidR="007C333C" w:rsidRDefault="009D1163" w:rsidP="009D1163">
    <w:pPr>
      <w:pStyle w:val="Header"/>
      <w:rPr>
        <w:sz w:val="17"/>
      </w:rPr>
    </w:pPr>
    <w:bookmarkStart w:id="20" w:name="TITUS4HeaderPrimary"/>
    <w:r>
      <w:rPr>
        <w:sz w:val="17"/>
      </w:rPr>
      <w:t> </w:t>
    </w:r>
  </w:p>
  <w:bookmarkEnd w:id="20"/>
  <w:p w14:paraId="05B262C1" w14:textId="77777777" w:rsidR="007C333C" w:rsidRDefault="007C333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93CC0" w14:textId="243B4628" w:rsidR="007C333C" w:rsidRDefault="009D1163" w:rsidP="009D1163">
    <w:pPr>
      <w:pStyle w:val="Header"/>
      <w:rPr>
        <w:sz w:val="17"/>
      </w:rPr>
    </w:pPr>
    <w:bookmarkStart w:id="23" w:name="TITUS4HeaderFirstPage"/>
    <w:r>
      <w:rPr>
        <w:sz w:val="17"/>
      </w:rPr>
      <w:t> </w:t>
    </w:r>
  </w:p>
  <w:bookmarkEnd w:id="23"/>
  <w:p w14:paraId="72A8BF19" w14:textId="77777777" w:rsidR="007C333C" w:rsidRDefault="007C333C" w:rsidP="00181950">
    <w:pPr>
      <w:pStyle w:val="Header"/>
    </w:pPr>
  </w:p>
  <w:p w14:paraId="0D9F15F1" w14:textId="77777777" w:rsidR="007C333C" w:rsidRDefault="007C33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6A4B0815"/>
    <w:multiLevelType w:val="hybridMultilevel"/>
    <w:tmpl w:val="7DC0A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4C3"/>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07AE"/>
    <w:rsid w:val="00102E64"/>
    <w:rsid w:val="0010312C"/>
    <w:rsid w:val="00106DC7"/>
    <w:rsid w:val="0011237D"/>
    <w:rsid w:val="00112391"/>
    <w:rsid w:val="00113DB1"/>
    <w:rsid w:val="00114F52"/>
    <w:rsid w:val="001201F4"/>
    <w:rsid w:val="0012135C"/>
    <w:rsid w:val="001347F8"/>
    <w:rsid w:val="00137BB5"/>
    <w:rsid w:val="00137E05"/>
    <w:rsid w:val="001447F6"/>
    <w:rsid w:val="00147DE3"/>
    <w:rsid w:val="00150794"/>
    <w:rsid w:val="001608C4"/>
    <w:rsid w:val="00171418"/>
    <w:rsid w:val="00181950"/>
    <w:rsid w:val="00190913"/>
    <w:rsid w:val="001961CF"/>
    <w:rsid w:val="001A08FE"/>
    <w:rsid w:val="001A59BB"/>
    <w:rsid w:val="001A6A51"/>
    <w:rsid w:val="001A79C4"/>
    <w:rsid w:val="001B331A"/>
    <w:rsid w:val="001C0E74"/>
    <w:rsid w:val="001C6CEC"/>
    <w:rsid w:val="001D1C68"/>
    <w:rsid w:val="001D229F"/>
    <w:rsid w:val="001D6162"/>
    <w:rsid w:val="001D6326"/>
    <w:rsid w:val="001E7592"/>
    <w:rsid w:val="001F150B"/>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5FE0"/>
    <w:rsid w:val="002E68A4"/>
    <w:rsid w:val="002E7017"/>
    <w:rsid w:val="002F4F6E"/>
    <w:rsid w:val="003015C3"/>
    <w:rsid w:val="0030698D"/>
    <w:rsid w:val="0030778C"/>
    <w:rsid w:val="0031350A"/>
    <w:rsid w:val="00316815"/>
    <w:rsid w:val="003168CA"/>
    <w:rsid w:val="00321255"/>
    <w:rsid w:val="0032230D"/>
    <w:rsid w:val="00322A0B"/>
    <w:rsid w:val="00335FC5"/>
    <w:rsid w:val="00340E9A"/>
    <w:rsid w:val="00345FA2"/>
    <w:rsid w:val="003516C0"/>
    <w:rsid w:val="00352E59"/>
    <w:rsid w:val="00354DBE"/>
    <w:rsid w:val="00355210"/>
    <w:rsid w:val="00365DF9"/>
    <w:rsid w:val="00372DB4"/>
    <w:rsid w:val="0037490C"/>
    <w:rsid w:val="00375AF5"/>
    <w:rsid w:val="003761BD"/>
    <w:rsid w:val="003769F6"/>
    <w:rsid w:val="00385414"/>
    <w:rsid w:val="00390074"/>
    <w:rsid w:val="003961C9"/>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7CB9"/>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4C4B"/>
    <w:rsid w:val="004B600B"/>
    <w:rsid w:val="004B6822"/>
    <w:rsid w:val="004B69F6"/>
    <w:rsid w:val="004C2D3A"/>
    <w:rsid w:val="004C43E6"/>
    <w:rsid w:val="004D03C4"/>
    <w:rsid w:val="004D07D7"/>
    <w:rsid w:val="004D0BF1"/>
    <w:rsid w:val="004D16C6"/>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555A"/>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215B"/>
    <w:rsid w:val="00586D89"/>
    <w:rsid w:val="005916B8"/>
    <w:rsid w:val="005A1B4C"/>
    <w:rsid w:val="005A1BA3"/>
    <w:rsid w:val="005A545C"/>
    <w:rsid w:val="005B4607"/>
    <w:rsid w:val="005C0008"/>
    <w:rsid w:val="005C0AC0"/>
    <w:rsid w:val="005C1567"/>
    <w:rsid w:val="005C6CE5"/>
    <w:rsid w:val="005D3F07"/>
    <w:rsid w:val="005D583E"/>
    <w:rsid w:val="005E13EA"/>
    <w:rsid w:val="005E53BD"/>
    <w:rsid w:val="005F31E8"/>
    <w:rsid w:val="00601C05"/>
    <w:rsid w:val="00606E27"/>
    <w:rsid w:val="006108C9"/>
    <w:rsid w:val="00615C7E"/>
    <w:rsid w:val="0062158D"/>
    <w:rsid w:val="00630F39"/>
    <w:rsid w:val="006326D1"/>
    <w:rsid w:val="00632E0A"/>
    <w:rsid w:val="00633165"/>
    <w:rsid w:val="00636614"/>
    <w:rsid w:val="00636B6C"/>
    <w:rsid w:val="0064424C"/>
    <w:rsid w:val="006447DE"/>
    <w:rsid w:val="0065276E"/>
    <w:rsid w:val="00654329"/>
    <w:rsid w:val="00654CEC"/>
    <w:rsid w:val="00655507"/>
    <w:rsid w:val="00656A20"/>
    <w:rsid w:val="00665CAA"/>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6F6665"/>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333C"/>
    <w:rsid w:val="007C6A87"/>
    <w:rsid w:val="007C705D"/>
    <w:rsid w:val="007D0A07"/>
    <w:rsid w:val="007D0C96"/>
    <w:rsid w:val="007D133D"/>
    <w:rsid w:val="007D2737"/>
    <w:rsid w:val="007D3EB4"/>
    <w:rsid w:val="007D3F16"/>
    <w:rsid w:val="007D78CC"/>
    <w:rsid w:val="007D7D78"/>
    <w:rsid w:val="007E32FA"/>
    <w:rsid w:val="007F310B"/>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87BDF"/>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332E9"/>
    <w:rsid w:val="009544C0"/>
    <w:rsid w:val="00954FA4"/>
    <w:rsid w:val="00956AE9"/>
    <w:rsid w:val="00963564"/>
    <w:rsid w:val="00964CC6"/>
    <w:rsid w:val="00991FDA"/>
    <w:rsid w:val="009927A1"/>
    <w:rsid w:val="0099774D"/>
    <w:rsid w:val="009A0F3A"/>
    <w:rsid w:val="009A5F3B"/>
    <w:rsid w:val="009B0B61"/>
    <w:rsid w:val="009B28C0"/>
    <w:rsid w:val="009B7136"/>
    <w:rsid w:val="009B7806"/>
    <w:rsid w:val="009C3AC2"/>
    <w:rsid w:val="009D1163"/>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3A7D"/>
    <w:rsid w:val="00BC460B"/>
    <w:rsid w:val="00BC5725"/>
    <w:rsid w:val="00BD1D91"/>
    <w:rsid w:val="00BD1F45"/>
    <w:rsid w:val="00BD30B1"/>
    <w:rsid w:val="00BE0F7B"/>
    <w:rsid w:val="00BE10C2"/>
    <w:rsid w:val="00BF75A9"/>
    <w:rsid w:val="00C01D14"/>
    <w:rsid w:val="00C025B4"/>
    <w:rsid w:val="00C115DA"/>
    <w:rsid w:val="00C11F11"/>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A2"/>
    <w:rsid w:val="00CC7342"/>
    <w:rsid w:val="00CD5D3F"/>
    <w:rsid w:val="00CF1E90"/>
    <w:rsid w:val="00CF3DB3"/>
    <w:rsid w:val="00D052BC"/>
    <w:rsid w:val="00D07026"/>
    <w:rsid w:val="00D11C62"/>
    <w:rsid w:val="00D22C8F"/>
    <w:rsid w:val="00D240D3"/>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6745C"/>
    <w:rsid w:val="00E7086E"/>
    <w:rsid w:val="00E7374A"/>
    <w:rsid w:val="00E73C41"/>
    <w:rsid w:val="00E74207"/>
    <w:rsid w:val="00E7598F"/>
    <w:rsid w:val="00E76F60"/>
    <w:rsid w:val="00E83D90"/>
    <w:rsid w:val="00E83F28"/>
    <w:rsid w:val="00E83F91"/>
    <w:rsid w:val="00E9107A"/>
    <w:rsid w:val="00E91F62"/>
    <w:rsid w:val="00E929FD"/>
    <w:rsid w:val="00E93240"/>
    <w:rsid w:val="00E9479B"/>
    <w:rsid w:val="00EA3521"/>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1C9"/>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BC3A7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Bibliography">
    <w:name w:val="Bibliography"/>
    <w:basedOn w:val="Normal"/>
    <w:next w:val="Normal"/>
    <w:uiPriority w:val="37"/>
    <w:unhideWhenUsed/>
    <w:rsid w:val="00BC3A7D"/>
    <w:pPr>
      <w:overflowPunct/>
      <w:autoSpaceDE/>
      <w:autoSpaceDN/>
      <w:adjustRightInd/>
      <w:spacing w:after="160" w:line="259" w:lineRule="auto"/>
      <w:textAlignment w:val="auto"/>
    </w:pPr>
    <w:rPr>
      <w:rFonts w:asciiTheme="minorHAnsi" w:eastAsiaTheme="minorHAnsi" w:hAnsiTheme="minorHAnsi" w:cstheme="minorBidi"/>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6.xml"/><Relationship Id="rId39" Type="http://schemas.openxmlformats.org/officeDocument/2006/relationships/footer" Target="footer12.xm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header" Target="head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eader" Target="header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Hon92</b:Tag>
    <b:SourceType>Book</b:SourceType>
    <b:Guid>{FEC9F897-EB21-4D4E-93A7-4674CA3AF3F4}</b:Guid>
    <b:Title>The Manual of Learning Styles</b:Title>
    <b:Year>1992</b:Year>
    <b:Author>
      <b:Author>
        <b:NameList>
          <b:Person>
            <b:Last>Honesy</b:Last>
            <b:First>Peter</b:First>
            <b:Middle>&amp; Mumford, Alan</b:Middle>
          </b:Person>
        </b:NameList>
      </b:Author>
    </b:Author>
    <b:Publisher>Peter Honey Publications</b:Publisher>
    <b:Edition>Revised</b:Edition>
    <b:RefOrder>1</b:RefOrder>
  </b:Source>
  <b:Source>
    <b:Tag>Ruh21</b:Tag>
    <b:SourceType>Report</b:SourceType>
    <b:Guid>{3CB93CE0-184C-4EF0-B888-E7ECE2B5F1A8}</b:Guid>
    <b:Title>What is Cognative Bias?</b:Title>
    <b:Year>2021</b:Year>
    <b:Publisher>SimplyPsychology</b:Publisher>
    <b:Author>
      <b:Author>
        <b:NameList>
          <b:Person>
            <b:Last>Ruhl</b:Last>
            <b:First>Charlotte</b:First>
          </b:Person>
        </b:NameList>
      </b:Author>
    </b:Author>
    <b:RefOrder>2</b:RefOrder>
  </b:Source>
  <b:Source>
    <b:Tag>TBo70</b:Tag>
    <b:SourceType>Book</b:SourceType>
    <b:Guid>{63C383C0-0EBE-4AEA-BE53-0F98DEE1C90F}</b:Guid>
    <b:Title>Reach, Touch and Teach</b:Title>
    <b:Year>1970</b:Year>
    <b:City>New York</b:City>
    <b:Author>
      <b:Author>
        <b:NameList>
          <b:Person>
            <b:Last>Borton</b:Last>
            <b:First>T</b:First>
          </b:Person>
        </b:NameList>
      </b:Author>
    </b:Author>
    <b:Edition>1st edition</b:Edition>
    <b:RefOrder>3</b:RefOrder>
  </b:Source>
  <b:Source>
    <b:Tag>Col21</b:Tag>
    <b:SourceType>InternetSite</b:SourceType>
    <b:Guid>{BE7D5032-1915-440B-93A1-BB86BB337E4A}</b:Guid>
    <b:Title>Competency and Values Framework</b:Title>
    <b:Year>2021</b:Year>
    <b:Author>
      <b:Author>
        <b:NameList>
          <b:Person>
            <b:Last>Policiing</b:Last>
            <b:First>College</b:First>
            <b:Middle>of</b:Middle>
          </b:Person>
        </b:NameList>
      </b:Author>
    </b:Author>
    <b:YearAccessed>2021</b:YearAccessed>
    <b:MonthAccessed>10</b:MonthAccessed>
    <b:DayAccessed>11</b:DayAccessed>
    <b:URL>https://www.college.police.uk/career-learning/career-development/competency-and-values-framework-cvf</b:URL>
    <b:RefOrder>4</b:RefOrder>
  </b:Source>
  <b:Source>
    <b:Tag>Ken20</b:Tag>
    <b:SourceType>InternetSite</b:SourceType>
    <b:Guid>{9BDA99E6-6E56-40C8-9378-2B04C7F762A5}</b:Guid>
    <b:Author>
      <b:Author>
        <b:NameList>
          <b:Person>
            <b:Last>Cherry</b:Last>
            <b:First>Kendra</b:First>
          </b:Person>
        </b:NameList>
      </b:Author>
    </b:Author>
    <b:Title>Ways to build resilience</b:Title>
    <b:Year>2020</b:Year>
    <b:YearAccessed>2021</b:YearAccessed>
    <b:MonthAccessed>10</b:MonthAccessed>
    <b:DayAccessed>11</b:DayAccessed>
    <b:URL>https://www.verywellmind.com/ways-to-become-more-resilient-2795063</b:URL>
    <b:RefOrder>5</b:RefOrder>
  </b:Source>
  <b:Source>
    <b:Tag>Pam13</b:Tag>
    <b:SourceType>InternetSite</b:SourceType>
    <b:Guid>{8102DF05-C93D-4C4C-A078-BB69778383B6}</b:Guid>
    <b:Title>How to talk to your co-workers</b:Title>
    <b:Year>2013</b:Year>
    <b:Author>
      <b:Author>
        <b:NameList>
          <b:Person>
            <b:Last>N</b:Last>
            <b:First>Pam</b:First>
          </b:Person>
        </b:NameList>
      </b:Author>
    </b:Author>
    <b:YearAccessed>2021</b:YearAccessed>
    <b:MonthAccessed>10</b:MonthAccessed>
    <b:DayAccessed>12</b:DayAccessed>
    <b:URL>https://psychologydictionary.org/coping-strategy/</b:URL>
    <b:RefOrder>6</b:RefOrder>
  </b:Source>
  <b:Source>
    <b:Tag>ESc20</b:Tag>
    <b:SourceType>InternetSite</b:SourceType>
    <b:Guid>{EA1A49DC-99FB-4126-8E59-5A6CF77DC6EF}</b:Guid>
    <b:Author>
      <b:Author>
        <b:NameList>
          <b:Person>
            <b:Last>Scott</b:Last>
            <b:First>E</b:First>
          </b:Person>
        </b:NameList>
      </b:Author>
    </b:Author>
    <b:Title>What is Stress?</b:Title>
    <b:Year>2020</b:Year>
    <b:YearAccessed>2021</b:YearAccessed>
    <b:MonthAccessed>10</b:MonthAccessed>
    <b:DayAccessed>12</b:DayAccessed>
    <b:URL>https://www.verywellmind.com/stress-and-health-3145086</b:URL>
    <b:RefOrder>7</b:RefOrder>
  </b:Source>
  <b:Source>
    <b:Tag>HMI18</b:Tag>
    <b:SourceType>Report</b:SourceType>
    <b:Guid>{507E0284-AA7D-49EC-8A76-7AD080B9142F}</b:Guid>
    <b:Title>Polcing and Mental Health</b:Title>
    <b:Year>2018</b:Year>
    <b:Author>
      <b:Author>
        <b:NameList>
          <b:Person>
            <b:Last>HMIC</b:Last>
          </b:Person>
        </b:NameList>
      </b:Author>
    </b:Author>
    <b:Publisher>Justiceinspectorates</b:Publisher>
    <b:City>London</b:City>
    <b:RefOrder>8</b:RefOrder>
  </b:Source>
  <b:Source>
    <b:Tag>Pol18</b:Tag>
    <b:SourceType>Report</b:SourceType>
    <b:Guid>{12683865-24EC-42A2-AF3B-04010FC8434E}</b:Guid>
    <b:Author>
      <b:Author>
        <b:NameList>
          <b:Person>
            <b:Last>Management</b:Last>
            <b:First>Police</b:First>
            <b:Middle>Science &amp;</b:Middle>
          </b:Person>
        </b:NameList>
      </b:Author>
    </b:Author>
    <b:Title>You dont wantt people kowing youre a copper! A contemporary assessmentt of police organisational culture</b:Title>
    <b:Year>2018</b:Year>
    <b:Publisher>Griffith University</b:Publisher>
    <b:City>South East Queensland</b:City>
    <b:RefOrder>9</b:RefOrder>
  </b:Source>
  <b:Source>
    <b:Tag>NHS19</b:Tag>
    <b:SourceType>InternetSite</b:SourceType>
    <b:Guid>{4AEFA25D-549E-42FD-99A9-E1E41E28786C}</b:Guid>
    <b:Title>How to get to sleep</b:Title>
    <b:Year>2019</b:Year>
    <b:Author>
      <b:Author>
        <b:NameList>
          <b:Person>
            <b:Last>NHS</b:Last>
          </b:Person>
        </b:NameList>
      </b:Author>
    </b:Author>
    <b:YearAccessed>2021</b:YearAccessed>
    <b:MonthAccessed>10</b:MonthAccessed>
    <b:DayAccessed>13</b:DayAccessed>
    <b:URL>www.nhs.co.uk/live-well/sleep-and-tiredness/how-to-get-to-sleep/</b:URL>
    <b:RefOrder>10</b:RefOrder>
  </b:Source>
  <b:Source>
    <b:Tag>Kel21</b:Tag>
    <b:SourceType>Report</b:SourceType>
    <b:Guid>{DE774272-CF5F-47BC-AE62-AF1965649931}</b:Guid>
    <b:Title>Organizational Culture: Definition, Importance, and Development</b:Title>
    <b:Year>2021</b:Year>
    <b:Author>
      <b:Author>
        <b:NameList>
          <b:Person>
            <b:Last>Wong</b:Last>
            <b:First>Kellie</b:First>
          </b:Person>
        </b:NameList>
      </b:Author>
    </b:Author>
    <b:Publisher>Achievers Solutions</b:Publisher>
    <b:City>London</b:City>
    <b:RefOrder>11</b:RefOrder>
  </b:Source>
  <b:Source>
    <b:Tag>PAC842</b:Tag>
    <b:SourceType>InternetSite</b:SourceType>
    <b:Guid>{505BB2E4-0210-41D1-BD1D-78F41CD08C51}</b:Guid>
    <b:Author>
      <b:Author>
        <b:NameList>
          <b:Person>
            <b:Last>PACE</b:Last>
          </b:Person>
        </b:NameList>
      </b:Author>
    </b:Author>
    <b:Title>Legislation.gov.uk</b:Title>
    <b:Year>1984</b:Year>
    <b:YearAccessed>2021</b:YearAccessed>
    <b:MonthAccessed>10</b:MonthAccessed>
    <b:DayAccessed>05</b:DayAccessed>
    <b:URL>https://www.legislation.gov.uk/ukpga/1984/60/section/60A</b:URL>
    <b:RefOrder>2</b:RefOrder>
  </b:Source>
  <b:Source>
    <b:Tag>Col211</b:Tag>
    <b:SourceType>InternetSite</b:SourceType>
    <b:Guid>{6A0D783E-FC88-4DBD-99AC-927EB01B544E}</b:Guid>
    <b:Author>
      <b:Author>
        <b:NameList>
          <b:Person>
            <b:Last>Policing</b:Last>
            <b:First>College</b:First>
            <b:Middle>of</b:Middle>
          </b:Person>
        </b:NameList>
      </b:Author>
    </b:Author>
    <b:Title>Competency and Values Framework for Policing</b:Title>
    <b:Year>2021</b:Year>
    <b:YearAccessed>2021</b:YearAccessed>
    <b:MonthAccessed>10</b:MonthAccessed>
    <b:DayAccessed>14</b:DayAccessed>
    <b:URL>https://d17wy4t6ps30xx.cloudfront.net/production/uploads/2017/09/Competency-and-Values-Framework-for-Policing_4.11.16.pdf</b:URL>
    <b:RefOrder>3</b:RefOrder>
  </b:Source>
  <b:Source>
    <b:Tag>Ant141</b:Tag>
    <b:SourceType>InternetSite</b:SourceType>
    <b:Guid>{06A53F08-0E8E-412A-8416-4F87D9C29203}</b:Guid>
    <b:Author>
      <b:Author>
        <b:NameList>
          <b:Person>
            <b:Last>Anti-social behaviour</b:Last>
            <b:First>crime</b:First>
            <b:Middle>and policing act</b:Middle>
          </b:Person>
        </b:NameList>
      </b:Author>
    </b:Author>
    <b:Title>Legislation.gov.uk</b:Title>
    <b:Year>2014</b:Year>
    <b:YearAccessed>2021</b:YearAccessed>
    <b:MonthAccessed>10</b:MonthAccessed>
    <b:DayAccessed>14</b:DayAccessed>
    <b:URL>https://www.legislation.gov.uk/ukpga/2014/12/part/3/enacted?view=plain</b:URL>
    <b:RefOrder>1</b:RefOrder>
  </b:Source>
  <b:Source>
    <b:Tag>NPC21</b:Tag>
    <b:SourceType>InternetSite</b:SourceType>
    <b:Guid>{AEB468A6-9ECC-4AD8-A1E1-CA163E51513D}</b:Guid>
    <b:Title>Our Vision for Social-Media Enabled Policing</b:Title>
    <b:Year>2021</b:Year>
    <b:Author>
      <b:Author>
        <b:NameList>
          <b:Person>
            <b:Last>NPCC</b:Last>
          </b:Person>
        </b:NameList>
      </b:Author>
    </b:Author>
    <b:YearAccessed>2021</b:YearAccessed>
    <b:MonthAccessed>10</b:MonthAccessed>
    <b:DayAccessed>15</b:DayAccessed>
    <b:URL>https://www.npcc.police.uk/2019%20FOI/NPCC%20Miscellaneous/015%2018%2010%20Social%20Media%20Policing%20presentation%20slides%20Power%20Point.pdf</b:URL>
    <b:RefOrder>2</b:RefOrder>
  </b:Source>
  <b:Source>
    <b:Tag>Col212</b:Tag>
    <b:SourceType>InternetSite</b:SourceType>
    <b:Guid>{48B55BCC-7660-405D-9EAA-6A58095B5FE9}</b:Guid>
    <b:Author>
      <b:Author>
        <b:NameList>
          <b:Person>
            <b:Last>Policing</b:Last>
            <b:First>College</b:First>
            <b:Middle>of</b:Middle>
          </b:Person>
        </b:NameList>
      </b:Author>
    </b:Author>
    <b:Title>Evidence Based Policing</b:Title>
    <b:Year>2021</b:Year>
    <b:YearAccessed>2021</b:YearAccessed>
    <b:MonthAccessed>10</b:MonthAccessed>
    <b:DayAccessed>15</b:DayAccessed>
    <b:URL>https://whatworks.college.police.uk/About/Pages/What-is-EBP.aspx</b:URL>
    <b:RefOrder>3</b:RefOrder>
  </b:Source>
</b:Sources>
</file>

<file path=customXml/itemProps1.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9A7B718D-FE1D-4428-B3CE-049BC03E9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2127</TotalTime>
  <Pages>26</Pages>
  <Words>7360</Words>
  <Characters>41958</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Watkins,Niall swp6850</cp:lastModifiedBy>
  <cp:revision>11</cp:revision>
  <cp:lastPrinted>2019-09-26T14:40:00Z</cp:lastPrinted>
  <dcterms:created xsi:type="dcterms:W3CDTF">2019-10-01T13:02:00Z</dcterms:created>
  <dcterms:modified xsi:type="dcterms:W3CDTF">2021-10-18T09:21:00Z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8e224283-f509-4779-9bb8-7a9b33acfe1f</vt:lpwstr>
  </property>
  <property fmtid="{D5CDD505-2E9C-101B-9397-08002B2CF9AE}" pid="4" name="Classification">
    <vt:lpwstr>OFFICIAL</vt:lpwstr>
  </property>
  <property fmtid="{D5CDD505-2E9C-101B-9397-08002B2CF9AE}" pid="5" name="Visibility">
    <vt:lpwstr>NOT VISIBLE</vt:lpwstr>
  </property>
</Properties>
</file>