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B743B" w:rsidP="00CA6527" w:rsidRDefault="000B743B" w14:paraId="71E9DC72" w14:textId="77777777">
      <w:pPr>
        <w:jc w:val="both"/>
        <w:rPr>
          <w:rFonts w:ascii="Arial" w:hAnsi="Arial" w:cs="Arial"/>
          <w:szCs w:val="22"/>
          <w:lang w:val="en-GB"/>
        </w:rPr>
      </w:pPr>
    </w:p>
    <w:p w:rsidR="00CA6527" w:rsidP="00CA6527" w:rsidRDefault="00CA6527" w14:paraId="5B0F6316" w14:textId="77777777">
      <w:pPr>
        <w:jc w:val="both"/>
        <w:rPr>
          <w:rFonts w:ascii="Arial" w:hAnsi="Arial" w:cs="Arial"/>
          <w:szCs w:val="22"/>
          <w:lang w:val="en-GB"/>
        </w:rPr>
      </w:pPr>
    </w:p>
    <w:p w:rsidR="00CA6527" w:rsidP="00CA6527" w:rsidRDefault="00CA6527" w14:paraId="0D74ABE6" w14:textId="77777777">
      <w:pPr>
        <w:jc w:val="both"/>
        <w:rPr>
          <w:rFonts w:ascii="Arial" w:hAnsi="Arial" w:cs="Arial"/>
          <w:szCs w:val="22"/>
          <w:lang w:val="en-GB"/>
        </w:rPr>
      </w:pPr>
    </w:p>
    <w:p w:rsidR="00CA6527" w:rsidP="00CA6527" w:rsidRDefault="00CA6527" w14:paraId="45714F4D" w14:textId="77777777">
      <w:pPr>
        <w:jc w:val="both"/>
        <w:rPr>
          <w:rFonts w:ascii="Arial" w:hAnsi="Arial" w:cs="Arial"/>
          <w:szCs w:val="22"/>
          <w:lang w:val="en-GB"/>
        </w:rPr>
      </w:pPr>
    </w:p>
    <w:p w:rsidRPr="003978B1" w:rsidR="00CA6527" w:rsidP="00CA6527" w:rsidRDefault="00CA6527" w14:paraId="76D465A5" w14:textId="77777777">
      <w:pPr>
        <w:jc w:val="both"/>
        <w:rPr>
          <w:rFonts w:ascii="Arial" w:hAnsi="Arial" w:cs="Arial"/>
          <w:szCs w:val="22"/>
          <w:lang w:val="en-GB"/>
        </w:rPr>
      </w:pPr>
    </w:p>
    <w:p w:rsidRPr="00200BBE" w:rsidR="00CA6527" w:rsidP="00CA6527" w:rsidRDefault="00CA6527" w14:paraId="4D4C6992" w14:textId="36668B9A">
      <w:pPr>
        <w:jc w:val="center"/>
        <w:rPr>
          <w:rFonts w:ascii="Arial" w:hAnsi="Arial" w:cs="Arial"/>
          <w:b w:val="1"/>
          <w:bCs w:val="1"/>
          <w:sz w:val="36"/>
          <w:szCs w:val="36"/>
          <w:u w:val="single"/>
          <w:lang w:val="en-GB"/>
        </w:rPr>
      </w:pPr>
      <w:r w:rsidRPr="60DB0C3E" w:rsidR="60DB0C3E">
        <w:rPr>
          <w:rFonts w:ascii="Arial" w:hAnsi="Arial" w:cs="Arial"/>
          <w:b w:val="1"/>
          <w:bCs w:val="1"/>
          <w:sz w:val="36"/>
          <w:szCs w:val="36"/>
          <w:u w:val="single"/>
          <w:lang w:val="en-GB"/>
        </w:rPr>
        <w:t>Student Name: Tabinda R</w:t>
      </w:r>
      <w:r w:rsidRPr="60DB0C3E" w:rsidR="60DB0C3E">
        <w:rPr>
          <w:rFonts w:ascii="Arial" w:hAnsi="Arial" w:cs="Arial"/>
          <w:b w:val="1"/>
          <w:bCs w:val="1"/>
          <w:sz w:val="36"/>
          <w:szCs w:val="36"/>
          <w:u w:val="single"/>
          <w:lang w:val="en-GB"/>
        </w:rPr>
        <w:t>iaz</w:t>
      </w:r>
      <w:r w:rsidRPr="60DB0C3E" w:rsidR="60DB0C3E">
        <w:rPr>
          <w:rFonts w:ascii="Arial" w:hAnsi="Arial" w:cs="Arial"/>
          <w:b w:val="1"/>
          <w:bCs w:val="1"/>
          <w:sz w:val="36"/>
          <w:szCs w:val="36"/>
          <w:u w:val="single"/>
          <w:lang w:val="en-GB"/>
        </w:rPr>
        <w:t xml:space="preserve"> </w:t>
      </w:r>
    </w:p>
    <w:p w:rsidRPr="00200BBE" w:rsidR="00CA6527" w:rsidP="00CA6527" w:rsidRDefault="00CA6527" w14:paraId="077ADED5" w14:textId="2167DC8A">
      <w:pPr>
        <w:jc w:val="center"/>
        <w:rPr>
          <w:rFonts w:ascii="Arial" w:hAnsi="Arial" w:cs="Arial"/>
          <w:b w:val="1"/>
          <w:bCs w:val="1"/>
          <w:sz w:val="36"/>
          <w:szCs w:val="36"/>
          <w:u w:val="single"/>
          <w:lang w:val="en-GB"/>
        </w:rPr>
      </w:pPr>
      <w:r w:rsidRPr="60DB0C3E" w:rsidR="60DB0C3E">
        <w:rPr>
          <w:rFonts w:ascii="Arial" w:hAnsi="Arial" w:cs="Arial"/>
          <w:b w:val="1"/>
          <w:bCs w:val="1"/>
          <w:sz w:val="36"/>
          <w:szCs w:val="36"/>
          <w:u w:val="single"/>
          <w:lang w:val="en-GB"/>
        </w:rPr>
        <w:t>Student Number: 2424122</w:t>
      </w:r>
    </w:p>
    <w:p w:rsidRPr="00200BBE" w:rsidR="00CA6527" w:rsidP="00CA6527" w:rsidRDefault="00CA6527" w14:paraId="0FC34E39" w14:textId="1AE1DA18">
      <w:pPr>
        <w:jc w:val="center"/>
        <w:rPr>
          <w:rFonts w:ascii="Arial" w:hAnsi="Arial" w:cs="Arial"/>
          <w:b w:val="1"/>
          <w:bCs w:val="1"/>
          <w:sz w:val="36"/>
          <w:szCs w:val="36"/>
          <w:u w:val="single"/>
          <w:lang w:val="en-GB"/>
        </w:rPr>
      </w:pPr>
      <w:r w:rsidRPr="60DB0C3E" w:rsidR="60DB0C3E">
        <w:rPr>
          <w:rFonts w:ascii="Arial" w:hAnsi="Arial" w:cs="Arial"/>
          <w:b w:val="1"/>
          <w:bCs w:val="1"/>
          <w:sz w:val="36"/>
          <w:szCs w:val="36"/>
          <w:u w:val="single"/>
          <w:lang w:val="en-GB"/>
        </w:rPr>
        <w:t>Lecturer name: Aishat Bakre</w:t>
      </w:r>
    </w:p>
    <w:p w:rsidRPr="00200BBE" w:rsidR="00CA6527" w:rsidP="00CA6527" w:rsidRDefault="00CA6527" w14:paraId="529CA710" w14:textId="77777777">
      <w:pPr>
        <w:jc w:val="center"/>
        <w:rPr>
          <w:rFonts w:ascii="Arial" w:hAnsi="Arial" w:cs="Arial"/>
          <w:b/>
          <w:bCs/>
          <w:sz w:val="36"/>
          <w:szCs w:val="36"/>
          <w:u w:val="single"/>
          <w:lang w:val="en-GB"/>
        </w:rPr>
      </w:pPr>
      <w:r w:rsidRPr="00200BBE">
        <w:rPr>
          <w:rFonts w:ascii="Arial" w:hAnsi="Arial" w:cs="Arial"/>
          <w:b/>
          <w:bCs/>
          <w:sz w:val="36"/>
          <w:szCs w:val="36"/>
          <w:u w:val="single"/>
          <w:lang w:val="en-GB"/>
        </w:rPr>
        <w:t xml:space="preserve">Module title and code: </w:t>
      </w:r>
      <w:r w:rsidRPr="00200BBE">
        <w:rPr>
          <w:rFonts w:ascii="Arial" w:hAnsi="Arial" w:cs="Arial"/>
          <w:b/>
          <w:bCs/>
          <w:sz w:val="36"/>
          <w:szCs w:val="36"/>
          <w:u w:val="single"/>
        </w:rPr>
        <w:t>Introduction to Health and Social Care LCHS4003</w:t>
      </w:r>
    </w:p>
    <w:p w:rsidRPr="00200BBE" w:rsidR="00CA6527" w:rsidP="00CA6527" w:rsidRDefault="00CA6527" w14:paraId="5EC20028" w14:textId="77777777">
      <w:pPr>
        <w:jc w:val="center"/>
        <w:rPr>
          <w:rFonts w:ascii="Arial" w:hAnsi="Arial" w:cs="Arial"/>
          <w:b/>
          <w:bCs/>
          <w:sz w:val="36"/>
          <w:szCs w:val="36"/>
          <w:u w:val="single"/>
        </w:rPr>
      </w:pPr>
      <w:r w:rsidRPr="00200BBE">
        <w:rPr>
          <w:rFonts w:ascii="Arial" w:hAnsi="Arial" w:cs="Arial"/>
          <w:b/>
          <w:bCs/>
          <w:sz w:val="36"/>
          <w:szCs w:val="36"/>
          <w:u w:val="single"/>
        </w:rPr>
        <w:t>Assignment Title: Portfolio – Two Tasks</w:t>
      </w:r>
    </w:p>
    <w:p w:rsidRPr="00CA6527" w:rsidR="00CA6527" w:rsidP="00CA6527" w:rsidRDefault="00CA6527" w14:paraId="2E045241" w14:textId="77777777">
      <w:pPr>
        <w:jc w:val="both"/>
        <w:rPr>
          <w:rFonts w:ascii="Arial" w:hAnsi="Arial" w:cs="Arial"/>
          <w:szCs w:val="22"/>
          <w:lang w:val="en-GB"/>
        </w:rPr>
      </w:pPr>
    </w:p>
    <w:p w:rsidRPr="00CA6527" w:rsidR="009401B2" w:rsidP="00CA6527" w:rsidRDefault="009401B2" w14:paraId="229BCD0D" w14:textId="77777777">
      <w:pPr>
        <w:jc w:val="both"/>
        <w:rPr>
          <w:rFonts w:ascii="Arial" w:hAnsi="Arial" w:cs="Arial"/>
          <w:szCs w:val="22"/>
          <w:lang w:val="en-GB"/>
        </w:rPr>
      </w:pPr>
    </w:p>
    <w:p w:rsidRPr="00CA6527" w:rsidR="009401B2" w:rsidP="00CA6527" w:rsidRDefault="009401B2" w14:paraId="435E4630" w14:textId="77777777">
      <w:pPr>
        <w:jc w:val="both"/>
        <w:rPr>
          <w:rFonts w:ascii="Arial" w:hAnsi="Arial" w:cs="Arial"/>
          <w:szCs w:val="22"/>
          <w:lang w:val="en-GB"/>
        </w:rPr>
      </w:pPr>
    </w:p>
    <w:p w:rsidR="007D72AC" w:rsidP="00CA6527" w:rsidRDefault="007D72AC" w14:paraId="33BB0896" w14:textId="77777777">
      <w:pPr>
        <w:jc w:val="both"/>
        <w:rPr>
          <w:rFonts w:ascii="Arial" w:hAnsi="Arial" w:cs="Arial"/>
          <w:szCs w:val="22"/>
          <w:lang w:val="en-GB"/>
        </w:rPr>
      </w:pPr>
    </w:p>
    <w:p w:rsidR="00CA6527" w:rsidP="00CA6527" w:rsidRDefault="00CA6527" w14:paraId="4FB43620" w14:textId="77777777">
      <w:pPr>
        <w:jc w:val="both"/>
        <w:rPr>
          <w:rFonts w:ascii="Arial" w:hAnsi="Arial" w:cs="Arial"/>
          <w:szCs w:val="22"/>
          <w:lang w:val="en-GB"/>
        </w:rPr>
      </w:pPr>
    </w:p>
    <w:p w:rsidR="00CA6527" w:rsidP="00CA6527" w:rsidRDefault="00CA6527" w14:paraId="79312019" w14:textId="77777777">
      <w:pPr>
        <w:jc w:val="both"/>
        <w:rPr>
          <w:rFonts w:ascii="Arial" w:hAnsi="Arial" w:cs="Arial"/>
          <w:szCs w:val="22"/>
          <w:lang w:val="en-GB"/>
        </w:rPr>
      </w:pPr>
    </w:p>
    <w:p w:rsidR="00CA6527" w:rsidP="00CA6527" w:rsidRDefault="00CA6527" w14:paraId="37A8317A" w14:textId="77777777">
      <w:pPr>
        <w:jc w:val="both"/>
        <w:rPr>
          <w:rFonts w:ascii="Arial" w:hAnsi="Arial" w:cs="Arial"/>
          <w:szCs w:val="22"/>
          <w:lang w:val="en-GB"/>
        </w:rPr>
      </w:pPr>
    </w:p>
    <w:p w:rsidR="00CA6527" w:rsidP="00CA6527" w:rsidRDefault="00CA6527" w14:paraId="03C93CA3" w14:textId="77777777">
      <w:pPr>
        <w:jc w:val="both"/>
        <w:rPr>
          <w:rFonts w:ascii="Arial" w:hAnsi="Arial" w:cs="Arial"/>
          <w:szCs w:val="22"/>
          <w:lang w:val="en-GB"/>
        </w:rPr>
      </w:pPr>
    </w:p>
    <w:p w:rsidR="00CA6527" w:rsidP="00CA6527" w:rsidRDefault="00CA6527" w14:paraId="4A1A43AD" w14:textId="77777777">
      <w:pPr>
        <w:jc w:val="both"/>
        <w:rPr>
          <w:rFonts w:ascii="Arial" w:hAnsi="Arial" w:cs="Arial"/>
          <w:szCs w:val="22"/>
          <w:lang w:val="en-GB"/>
        </w:rPr>
      </w:pPr>
    </w:p>
    <w:p w:rsidR="00CA6527" w:rsidP="00CA6527" w:rsidRDefault="00CA6527" w14:paraId="4B519C9B" w14:textId="77777777">
      <w:pPr>
        <w:jc w:val="both"/>
        <w:rPr>
          <w:rFonts w:ascii="Arial" w:hAnsi="Arial" w:cs="Arial"/>
          <w:szCs w:val="22"/>
          <w:lang w:val="en-GB"/>
        </w:rPr>
      </w:pPr>
    </w:p>
    <w:p w:rsidRPr="00CA6527" w:rsidR="00CA6527" w:rsidP="00CA6527" w:rsidRDefault="00CA6527" w14:paraId="19C6FF15" w14:textId="77777777">
      <w:pPr>
        <w:jc w:val="both"/>
        <w:rPr>
          <w:rFonts w:ascii="Arial" w:hAnsi="Arial" w:cs="Arial"/>
          <w:szCs w:val="22"/>
          <w:lang w:val="en-GB"/>
        </w:rPr>
      </w:pPr>
    </w:p>
    <w:p w:rsidRPr="00CA6527" w:rsidR="000C7CED" w:rsidP="00CA6527" w:rsidRDefault="000C7CED" w14:paraId="2DE2746F" w14:textId="77777777">
      <w:pPr>
        <w:jc w:val="both"/>
        <w:rPr>
          <w:rFonts w:ascii="Arial" w:hAnsi="Arial" w:cs="Arial"/>
          <w:szCs w:val="22"/>
          <w:lang w:val="en-GB"/>
        </w:rPr>
      </w:pPr>
    </w:p>
    <w:p w:rsidRPr="00CA6527" w:rsidR="000C7CED" w:rsidP="00CA6527" w:rsidRDefault="000C7CED" w14:paraId="1335AFE3" w14:textId="77777777">
      <w:pPr>
        <w:jc w:val="both"/>
        <w:rPr>
          <w:rFonts w:ascii="Arial" w:hAnsi="Arial" w:cs="Arial"/>
          <w:szCs w:val="22"/>
          <w:lang w:val="en-GB"/>
        </w:rPr>
      </w:pPr>
    </w:p>
    <w:p w:rsidRPr="00CA6527" w:rsidR="000C7CED" w:rsidP="00CA6527" w:rsidRDefault="004418D7" w14:paraId="3478BC88" w14:textId="521FCBDB">
      <w:pPr>
        <w:jc w:val="both"/>
        <w:rPr>
          <w:rFonts w:ascii="Arial" w:hAnsi="Arial" w:cs="Arial"/>
          <w:b/>
          <w:bCs/>
          <w:szCs w:val="22"/>
          <w:lang w:val="en-GB"/>
        </w:rPr>
      </w:pPr>
      <w:r w:rsidRPr="00CA6527">
        <w:rPr>
          <w:rFonts w:ascii="Arial" w:hAnsi="Arial" w:cs="Arial"/>
          <w:b/>
          <w:bCs/>
          <w:szCs w:val="22"/>
          <w:lang w:val="en-GB"/>
        </w:rPr>
        <w:lastRenderedPageBreak/>
        <w:t>Task 1</w:t>
      </w:r>
    </w:p>
    <w:p w:rsidR="00457C74" w:rsidP="00CA6527" w:rsidRDefault="000C7CED" w14:paraId="6D4BFF5B" w14:textId="77777777">
      <w:pPr>
        <w:pStyle w:val="NormalWeb"/>
        <w:spacing w:line="360" w:lineRule="auto"/>
        <w:jc w:val="both"/>
        <w:rPr>
          <w:rFonts w:ascii="Arial" w:hAnsi="Arial" w:cs="Arial"/>
          <w:sz w:val="22"/>
          <w:szCs w:val="22"/>
        </w:rPr>
      </w:pPr>
      <w:r w:rsidRPr="00CA6527">
        <w:rPr>
          <w:rFonts w:ascii="Arial" w:hAnsi="Arial" w:cs="Arial"/>
          <w:sz w:val="22"/>
          <w:szCs w:val="22"/>
        </w:rPr>
        <w:t>Community Disability Support Centre</w:t>
      </w:r>
    </w:p>
    <w:p w:rsidR="00457C74" w:rsidP="00CA6527" w:rsidRDefault="000C7CED" w14:paraId="6D7BDFCA" w14:textId="77777777">
      <w:pPr>
        <w:pStyle w:val="NormalWeb"/>
        <w:spacing w:line="360" w:lineRule="auto"/>
        <w:jc w:val="both"/>
        <w:rPr>
          <w:rFonts w:ascii="Arial" w:hAnsi="Arial" w:cs="Arial"/>
          <w:sz w:val="22"/>
          <w:szCs w:val="22"/>
        </w:rPr>
      </w:pPr>
      <w:r w:rsidRPr="00CA6527">
        <w:rPr>
          <w:rFonts w:ascii="Arial" w:hAnsi="Arial" w:cs="Arial"/>
          <w:sz w:val="22"/>
          <w:szCs w:val="22"/>
        </w:rPr>
        <w:t>12 Highfield Road</w:t>
      </w:r>
    </w:p>
    <w:p w:rsidR="00457C74" w:rsidP="00CA6527" w:rsidRDefault="000C7CED" w14:paraId="64AB9AA8" w14:textId="77777777">
      <w:pPr>
        <w:pStyle w:val="NormalWeb"/>
        <w:spacing w:line="360" w:lineRule="auto"/>
        <w:jc w:val="both"/>
        <w:rPr>
          <w:rFonts w:ascii="Arial" w:hAnsi="Arial" w:cs="Arial"/>
          <w:sz w:val="22"/>
          <w:szCs w:val="22"/>
        </w:rPr>
      </w:pPr>
      <w:r w:rsidRPr="00CA6527">
        <w:rPr>
          <w:rFonts w:ascii="Arial" w:hAnsi="Arial" w:cs="Arial"/>
          <w:sz w:val="22"/>
          <w:szCs w:val="22"/>
        </w:rPr>
        <w:t>Ward End</w:t>
      </w:r>
    </w:p>
    <w:p w:rsidR="00457C74" w:rsidP="00CA6527" w:rsidRDefault="000C7CED" w14:paraId="0CD0DCBA" w14:textId="77777777">
      <w:pPr>
        <w:pStyle w:val="NormalWeb"/>
        <w:spacing w:line="360" w:lineRule="auto"/>
        <w:jc w:val="both"/>
        <w:rPr>
          <w:rFonts w:ascii="Arial" w:hAnsi="Arial" w:cs="Arial"/>
          <w:sz w:val="22"/>
          <w:szCs w:val="22"/>
        </w:rPr>
      </w:pPr>
      <w:r w:rsidRPr="00CA6527">
        <w:rPr>
          <w:rFonts w:ascii="Arial" w:hAnsi="Arial" w:cs="Arial"/>
          <w:sz w:val="22"/>
          <w:szCs w:val="22"/>
        </w:rPr>
        <w:t>Birmingham B8 2AA</w:t>
      </w:r>
    </w:p>
    <w:p w:rsidR="00457C74" w:rsidP="00CA6527" w:rsidRDefault="000C7CED" w14:paraId="5AEED900" w14:textId="77777777">
      <w:pPr>
        <w:pStyle w:val="NormalWeb"/>
        <w:spacing w:line="360" w:lineRule="auto"/>
        <w:jc w:val="both"/>
        <w:rPr>
          <w:rFonts w:ascii="Arial" w:hAnsi="Arial" w:cs="Arial"/>
          <w:sz w:val="22"/>
          <w:szCs w:val="22"/>
        </w:rPr>
      </w:pPr>
      <w:r w:rsidRPr="00CA6527">
        <w:rPr>
          <w:rFonts w:ascii="Arial" w:hAnsi="Arial" w:cs="Arial"/>
          <w:sz w:val="22"/>
          <w:szCs w:val="22"/>
        </w:rPr>
        <w:t>Tel: 0121 555 6789</w:t>
      </w:r>
    </w:p>
    <w:p w:rsidRPr="00CA6527" w:rsidR="000C7CED" w:rsidP="00CA6527" w:rsidRDefault="000C7CED" w14:paraId="2D43A542" w14:textId="65431E50">
      <w:pPr>
        <w:pStyle w:val="NormalWeb"/>
        <w:spacing w:line="360" w:lineRule="auto"/>
        <w:jc w:val="both"/>
        <w:rPr>
          <w:rFonts w:ascii="Arial" w:hAnsi="Arial" w:cs="Arial"/>
          <w:sz w:val="22"/>
          <w:szCs w:val="22"/>
        </w:rPr>
      </w:pPr>
      <w:r w:rsidRPr="00CA6527">
        <w:rPr>
          <w:rFonts w:ascii="Arial" w:hAnsi="Arial" w:cs="Arial"/>
          <w:sz w:val="22"/>
          <w:szCs w:val="22"/>
        </w:rPr>
        <w:t>Email: info@cdsc-wardend.org.uk</w:t>
      </w:r>
    </w:p>
    <w:p w:rsidR="00457C74" w:rsidP="00CA6527" w:rsidRDefault="00457C74" w14:paraId="793B863E" w14:textId="77777777">
      <w:pPr>
        <w:pStyle w:val="NormalWeb"/>
        <w:spacing w:line="360" w:lineRule="auto"/>
        <w:jc w:val="both"/>
        <w:rPr>
          <w:rFonts w:ascii="Arial" w:hAnsi="Arial" w:cs="Arial"/>
          <w:sz w:val="22"/>
          <w:szCs w:val="22"/>
        </w:rPr>
      </w:pPr>
    </w:p>
    <w:p w:rsidRPr="00CA6527" w:rsidR="000C7CED" w:rsidP="00CA6527" w:rsidRDefault="000C7CED" w14:paraId="1727A59A" w14:textId="1807AB18">
      <w:pPr>
        <w:pStyle w:val="NormalWeb"/>
        <w:spacing w:line="360" w:lineRule="auto"/>
        <w:jc w:val="both"/>
        <w:rPr>
          <w:rFonts w:ascii="Arial" w:hAnsi="Arial" w:cs="Arial"/>
          <w:sz w:val="22"/>
          <w:szCs w:val="22"/>
        </w:rPr>
      </w:pPr>
      <w:r w:rsidRPr="00CA6527">
        <w:rPr>
          <w:rFonts w:ascii="Arial" w:hAnsi="Arial" w:cs="Arial"/>
          <w:sz w:val="22"/>
          <w:szCs w:val="22"/>
        </w:rPr>
        <w:t>10 June 2025</w:t>
      </w:r>
    </w:p>
    <w:p w:rsidR="00457C74" w:rsidP="00CA6527" w:rsidRDefault="00457C74" w14:paraId="5938F3BC" w14:textId="77777777">
      <w:pPr>
        <w:pStyle w:val="NormalWeb"/>
        <w:spacing w:line="360" w:lineRule="auto"/>
        <w:jc w:val="both"/>
        <w:rPr>
          <w:rFonts w:ascii="Arial" w:hAnsi="Arial" w:cs="Arial"/>
          <w:sz w:val="22"/>
          <w:szCs w:val="22"/>
        </w:rPr>
      </w:pPr>
    </w:p>
    <w:p w:rsidR="00457C74" w:rsidP="00CA6527" w:rsidRDefault="000C7CED" w14:paraId="53D9FD9D" w14:textId="77777777">
      <w:pPr>
        <w:pStyle w:val="NormalWeb"/>
        <w:spacing w:line="360" w:lineRule="auto"/>
        <w:jc w:val="both"/>
        <w:rPr>
          <w:rFonts w:ascii="Arial" w:hAnsi="Arial" w:cs="Arial"/>
          <w:sz w:val="22"/>
          <w:szCs w:val="22"/>
        </w:rPr>
      </w:pPr>
      <w:r w:rsidRPr="00CA6527">
        <w:rPr>
          <w:rFonts w:ascii="Arial" w:hAnsi="Arial" w:cs="Arial"/>
          <w:sz w:val="22"/>
          <w:szCs w:val="22"/>
        </w:rPr>
        <w:t>Councillor Bushra Bi</w:t>
      </w:r>
    </w:p>
    <w:p w:rsidR="00457C74" w:rsidP="00CA6527" w:rsidRDefault="000C7CED" w14:paraId="2DFED8D7" w14:textId="77777777">
      <w:pPr>
        <w:pStyle w:val="NormalWeb"/>
        <w:spacing w:line="360" w:lineRule="auto"/>
        <w:jc w:val="both"/>
        <w:rPr>
          <w:rFonts w:ascii="Arial" w:hAnsi="Arial" w:cs="Arial"/>
          <w:sz w:val="22"/>
          <w:szCs w:val="22"/>
        </w:rPr>
      </w:pPr>
      <w:r w:rsidRPr="00CA6527">
        <w:rPr>
          <w:rFonts w:ascii="Arial" w:hAnsi="Arial" w:cs="Arial"/>
          <w:sz w:val="22"/>
          <w:szCs w:val="22"/>
        </w:rPr>
        <w:t>Council House</w:t>
      </w:r>
    </w:p>
    <w:p w:rsidR="00457C74" w:rsidP="00457C74" w:rsidRDefault="000C7CED" w14:paraId="6D1A4472" w14:textId="77777777">
      <w:pPr>
        <w:pStyle w:val="NormalWeb"/>
        <w:spacing w:line="360" w:lineRule="auto"/>
        <w:jc w:val="both"/>
        <w:rPr>
          <w:rFonts w:ascii="Arial" w:hAnsi="Arial" w:cs="Arial"/>
          <w:sz w:val="22"/>
          <w:szCs w:val="22"/>
        </w:rPr>
      </w:pPr>
      <w:r w:rsidRPr="00CA6527">
        <w:rPr>
          <w:rFonts w:ascii="Arial" w:hAnsi="Arial" w:cs="Arial"/>
          <w:sz w:val="22"/>
          <w:szCs w:val="22"/>
        </w:rPr>
        <w:t>Victoria Square</w:t>
      </w:r>
      <w:r w:rsidR="00457C74">
        <w:rPr>
          <w:rFonts w:ascii="Arial" w:hAnsi="Arial" w:cs="Arial"/>
          <w:sz w:val="22"/>
          <w:szCs w:val="22"/>
        </w:rPr>
        <w:t xml:space="preserve"> </w:t>
      </w:r>
      <w:r w:rsidRPr="00CA6527">
        <w:rPr>
          <w:rFonts w:ascii="Arial" w:hAnsi="Arial" w:cs="Arial"/>
          <w:sz w:val="22"/>
          <w:szCs w:val="22"/>
        </w:rPr>
        <w:t>Birmingham</w:t>
      </w:r>
    </w:p>
    <w:p w:rsidRPr="00CA6527" w:rsidR="000C7CED" w:rsidP="00457C74" w:rsidRDefault="000C7CED" w14:paraId="6708C981" w14:textId="23C0B52A">
      <w:pPr>
        <w:pStyle w:val="NormalWeb"/>
        <w:spacing w:line="360" w:lineRule="auto"/>
        <w:jc w:val="both"/>
        <w:rPr>
          <w:rFonts w:ascii="Arial" w:hAnsi="Arial" w:cs="Arial"/>
          <w:sz w:val="22"/>
          <w:szCs w:val="22"/>
        </w:rPr>
      </w:pPr>
      <w:r w:rsidRPr="00CA6527">
        <w:rPr>
          <w:rFonts w:ascii="Arial" w:hAnsi="Arial" w:cs="Arial"/>
          <w:sz w:val="22"/>
          <w:szCs w:val="22"/>
        </w:rPr>
        <w:t>B1 1BB</w:t>
      </w:r>
    </w:p>
    <w:p w:rsidR="00457C74" w:rsidP="00CA6527" w:rsidRDefault="00457C74" w14:paraId="26D793C8" w14:textId="77777777">
      <w:pPr>
        <w:pStyle w:val="NormalWeb"/>
        <w:spacing w:line="360" w:lineRule="auto"/>
        <w:jc w:val="both"/>
        <w:rPr>
          <w:rFonts w:ascii="Arial" w:hAnsi="Arial" w:cs="Arial"/>
          <w:sz w:val="22"/>
          <w:szCs w:val="22"/>
        </w:rPr>
      </w:pPr>
    </w:p>
    <w:p w:rsidRPr="00CA6527" w:rsidR="000C7CED" w:rsidP="00CA6527" w:rsidRDefault="000C7CED" w14:paraId="57273B6B" w14:textId="32F2C761">
      <w:pPr>
        <w:pStyle w:val="NormalWeb"/>
        <w:spacing w:line="360" w:lineRule="auto"/>
        <w:jc w:val="both"/>
        <w:rPr>
          <w:rFonts w:ascii="Arial" w:hAnsi="Arial" w:cs="Arial"/>
          <w:sz w:val="22"/>
          <w:szCs w:val="22"/>
        </w:rPr>
      </w:pPr>
      <w:r w:rsidRPr="00CA6527">
        <w:rPr>
          <w:rFonts w:ascii="Arial" w:hAnsi="Arial" w:cs="Arial"/>
          <w:sz w:val="22"/>
          <w:szCs w:val="22"/>
        </w:rPr>
        <w:t>Dear Councillor Bi,</w:t>
      </w:r>
    </w:p>
    <w:p w:rsidR="00457C74" w:rsidP="00CA6527" w:rsidRDefault="00457C74" w14:paraId="2311CEF5" w14:textId="77777777">
      <w:pPr>
        <w:pStyle w:val="NormalWeb"/>
        <w:spacing w:line="360" w:lineRule="auto"/>
        <w:jc w:val="both"/>
        <w:rPr>
          <w:rStyle w:val="Strong"/>
          <w:rFonts w:ascii="Arial" w:hAnsi="Arial" w:cs="Arial" w:eastAsiaTheme="majorEastAsia"/>
          <w:sz w:val="22"/>
          <w:szCs w:val="22"/>
        </w:rPr>
      </w:pPr>
    </w:p>
    <w:p w:rsidRPr="00CA6527" w:rsidR="000C7CED" w:rsidP="00CA6527" w:rsidRDefault="000C7CED" w14:paraId="171F64BF" w14:textId="374D1455">
      <w:pPr>
        <w:pStyle w:val="NormalWeb"/>
        <w:spacing w:line="360" w:lineRule="auto"/>
        <w:jc w:val="both"/>
        <w:rPr>
          <w:rFonts w:ascii="Arial" w:hAnsi="Arial" w:cs="Arial"/>
          <w:sz w:val="22"/>
          <w:szCs w:val="22"/>
        </w:rPr>
      </w:pPr>
      <w:r w:rsidRPr="00CA6527">
        <w:rPr>
          <w:rStyle w:val="Strong"/>
          <w:rFonts w:ascii="Arial" w:hAnsi="Arial" w:cs="Arial" w:eastAsiaTheme="majorEastAsia"/>
          <w:sz w:val="22"/>
          <w:szCs w:val="22"/>
        </w:rPr>
        <w:t>Re: Urgent Provision of Community Disability Services in Ward End</w:t>
      </w:r>
    </w:p>
    <w:p w:rsidR="00457C74" w:rsidP="00CA6527" w:rsidRDefault="00457C74" w14:paraId="336C2E82" w14:textId="77777777">
      <w:pPr>
        <w:pStyle w:val="NormalWeb"/>
        <w:spacing w:line="360" w:lineRule="auto"/>
        <w:jc w:val="both"/>
        <w:rPr>
          <w:rFonts w:ascii="Arial" w:hAnsi="Arial" w:cs="Arial"/>
          <w:sz w:val="22"/>
          <w:szCs w:val="22"/>
        </w:rPr>
      </w:pPr>
    </w:p>
    <w:p w:rsidRPr="00CA6527" w:rsidR="000C7CED" w:rsidP="00CA6527" w:rsidRDefault="000C7CED" w14:paraId="2A68A3F1" w14:textId="7D3D4AD1">
      <w:pPr>
        <w:pStyle w:val="NormalWeb"/>
        <w:spacing w:line="360" w:lineRule="auto"/>
        <w:jc w:val="both"/>
        <w:rPr>
          <w:rFonts w:ascii="Arial" w:hAnsi="Arial" w:cs="Arial"/>
          <w:sz w:val="22"/>
          <w:szCs w:val="22"/>
        </w:rPr>
      </w:pPr>
      <w:r w:rsidRPr="00CA6527">
        <w:rPr>
          <w:rFonts w:ascii="Arial" w:hAnsi="Arial" w:cs="Arial"/>
          <w:sz w:val="22"/>
          <w:szCs w:val="22"/>
        </w:rPr>
        <w:t xml:space="preserve">I write on behalf of the Community Disability Support Centre to draw your attention to a critical shortage of local disability services within Ward End and to request your support in ensuring timely implementation of new provision under the Care Act 2014. As you are aware, Part 1 of the Care Act 2014 places a clear duty on local authorities to </w:t>
      </w:r>
      <w:r w:rsidRPr="00CA6527">
        <w:rPr>
          <w:rStyle w:val="Strong"/>
          <w:rFonts w:ascii="Arial" w:hAnsi="Arial" w:cs="Arial" w:eastAsiaTheme="majorEastAsia"/>
          <w:sz w:val="22"/>
          <w:szCs w:val="22"/>
        </w:rPr>
        <w:t>promote individual well-being</w:t>
      </w:r>
      <w:r w:rsidRPr="00CA6527">
        <w:rPr>
          <w:rFonts w:ascii="Arial" w:hAnsi="Arial" w:cs="Arial"/>
          <w:sz w:val="22"/>
          <w:szCs w:val="22"/>
        </w:rPr>
        <w:t xml:space="preserve"> </w:t>
      </w:r>
      <w:r w:rsidRPr="00CA6527">
        <w:rPr>
          <w:rFonts w:ascii="Arial" w:hAnsi="Arial" w:cs="Arial"/>
          <w:sz w:val="22"/>
          <w:szCs w:val="22"/>
        </w:rPr>
        <w:lastRenderedPageBreak/>
        <w:t xml:space="preserve">(Section 1), </w:t>
      </w:r>
      <w:r w:rsidRPr="00CA6527">
        <w:rPr>
          <w:rStyle w:val="Strong"/>
          <w:rFonts w:ascii="Arial" w:hAnsi="Arial" w:cs="Arial" w:eastAsiaTheme="majorEastAsia"/>
          <w:sz w:val="22"/>
          <w:szCs w:val="22"/>
        </w:rPr>
        <w:t>prevent or delay the development of care needs</w:t>
      </w:r>
      <w:r w:rsidRPr="00CA6527">
        <w:rPr>
          <w:rFonts w:ascii="Arial" w:hAnsi="Arial" w:cs="Arial"/>
          <w:sz w:val="22"/>
          <w:szCs w:val="22"/>
        </w:rPr>
        <w:t xml:space="preserve"> (Section 2) and </w:t>
      </w:r>
      <w:r w:rsidRPr="00CA6527">
        <w:rPr>
          <w:rStyle w:val="Strong"/>
          <w:rFonts w:ascii="Arial" w:hAnsi="Arial" w:cs="Arial" w:eastAsiaTheme="majorEastAsia"/>
          <w:sz w:val="22"/>
          <w:szCs w:val="22"/>
        </w:rPr>
        <w:t>promote diversity and quality in service provision</w:t>
      </w:r>
      <w:r w:rsidRPr="00CA6527">
        <w:rPr>
          <w:rFonts w:ascii="Arial" w:hAnsi="Arial" w:cs="Arial"/>
          <w:sz w:val="22"/>
          <w:szCs w:val="22"/>
        </w:rPr>
        <w:t xml:space="preserve"> (Section 5) for adults with care and support needs (Care Act 2014, Part 1)</w:t>
      </w:r>
      <w:r w:rsidRPr="00CA6527" w:rsidR="0049688A">
        <w:rPr>
          <w:rFonts w:ascii="Arial" w:hAnsi="Arial" w:cs="Arial"/>
          <w:sz w:val="22"/>
          <w:szCs w:val="22"/>
        </w:rPr>
        <w:t xml:space="preserve"> (Gov UK, 2014)</w:t>
      </w:r>
      <w:r w:rsidRPr="00CA6527">
        <w:rPr>
          <w:rFonts w:ascii="Arial" w:hAnsi="Arial" w:cs="Arial"/>
          <w:sz w:val="22"/>
          <w:szCs w:val="22"/>
        </w:rPr>
        <w:t>.</w:t>
      </w:r>
    </w:p>
    <w:p w:rsidRPr="00CA6527" w:rsidR="000C7CED" w:rsidP="00CA6527" w:rsidRDefault="000C7CED" w14:paraId="0B662301" w14:textId="462519D3">
      <w:pPr>
        <w:pStyle w:val="NormalWeb"/>
        <w:spacing w:line="360" w:lineRule="auto"/>
        <w:jc w:val="both"/>
        <w:rPr>
          <w:rFonts w:ascii="Arial" w:hAnsi="Arial" w:cs="Arial"/>
          <w:sz w:val="22"/>
          <w:szCs w:val="22"/>
        </w:rPr>
      </w:pPr>
      <w:r w:rsidRPr="00CA6527">
        <w:rPr>
          <w:rFonts w:ascii="Arial" w:hAnsi="Arial" w:cs="Arial"/>
          <w:sz w:val="22"/>
          <w:szCs w:val="22"/>
        </w:rPr>
        <w:t>Ward End’s population includes an estimated 3,200 adults with physical or sensory impairments</w:t>
      </w:r>
      <w:r w:rsidRPr="00CA6527" w:rsidR="00EB2994">
        <w:rPr>
          <w:rFonts w:ascii="Arial" w:hAnsi="Arial" w:cs="Arial"/>
          <w:sz w:val="22"/>
          <w:szCs w:val="22"/>
        </w:rPr>
        <w:t xml:space="preserve"> (City Population, 2024)</w:t>
      </w:r>
      <w:r w:rsidRPr="00CA6527">
        <w:rPr>
          <w:rFonts w:ascii="Arial" w:hAnsi="Arial" w:cs="Arial"/>
          <w:sz w:val="22"/>
          <w:szCs w:val="22"/>
        </w:rPr>
        <w:t xml:space="preserve">, yet our Centre remains the sole provider of day-time support within a three-mile radius. This deficit forces many residents to travel significant distances to neighbouring wards, a barrier shown to decrease uptake of essential rehabilitation services by up to 30 percent </w:t>
      </w:r>
      <w:r w:rsidRPr="00CA6527" w:rsidR="00A861B2">
        <w:rPr>
          <w:rFonts w:ascii="Arial" w:hAnsi="Arial" w:cs="Arial"/>
          <w:sz w:val="22"/>
          <w:szCs w:val="22"/>
        </w:rPr>
        <w:t>(Robinson, 2025)</w:t>
      </w:r>
      <w:r w:rsidRPr="00CA6527">
        <w:rPr>
          <w:rFonts w:ascii="Arial" w:hAnsi="Arial" w:cs="Arial"/>
          <w:sz w:val="22"/>
          <w:szCs w:val="22"/>
        </w:rPr>
        <w:t xml:space="preserve">. Proximity of services is directly correlated with improved functional outcomes: a World Health Organization </w:t>
      </w:r>
      <w:r w:rsidRPr="00CA6527" w:rsidR="00A861B2">
        <w:rPr>
          <w:rFonts w:ascii="Arial" w:hAnsi="Arial" w:cs="Arial"/>
          <w:sz w:val="22"/>
          <w:szCs w:val="22"/>
        </w:rPr>
        <w:t xml:space="preserve">(2024) </w:t>
      </w:r>
      <w:r w:rsidRPr="00CA6527">
        <w:rPr>
          <w:rFonts w:ascii="Arial" w:hAnsi="Arial" w:cs="Arial"/>
          <w:sz w:val="22"/>
          <w:szCs w:val="22"/>
        </w:rPr>
        <w:t>evaluation found that community-based rehabilitation delivered locally reduces hospital admissions by 15</w:t>
      </w:r>
      <w:r w:rsidRPr="00CA6527" w:rsidR="002663C0">
        <w:rPr>
          <w:rFonts w:ascii="Arial" w:hAnsi="Arial" w:cs="Arial"/>
          <w:sz w:val="22"/>
          <w:szCs w:val="22"/>
        </w:rPr>
        <w:t xml:space="preserve">% </w:t>
      </w:r>
      <w:r w:rsidRPr="00CA6527">
        <w:rPr>
          <w:rFonts w:ascii="Arial" w:hAnsi="Arial" w:cs="Arial"/>
          <w:sz w:val="22"/>
          <w:szCs w:val="22"/>
        </w:rPr>
        <w:t>and increases independence scores by 20</w:t>
      </w:r>
      <w:r w:rsidRPr="00CA6527" w:rsidR="002663C0">
        <w:rPr>
          <w:rFonts w:ascii="Arial" w:hAnsi="Arial" w:cs="Arial"/>
          <w:sz w:val="22"/>
          <w:szCs w:val="22"/>
        </w:rPr>
        <w:t>%</w:t>
      </w:r>
      <w:r w:rsidRPr="00CA6527">
        <w:rPr>
          <w:rFonts w:ascii="Arial" w:hAnsi="Arial" w:cs="Arial"/>
          <w:sz w:val="22"/>
          <w:szCs w:val="22"/>
        </w:rPr>
        <w:t>.</w:t>
      </w:r>
    </w:p>
    <w:p w:rsidRPr="00CA6527" w:rsidR="000C7CED" w:rsidP="00CA6527" w:rsidRDefault="000C7CED" w14:paraId="685997A8" w14:textId="39429E06">
      <w:pPr>
        <w:pStyle w:val="NormalWeb"/>
        <w:spacing w:line="360" w:lineRule="auto"/>
        <w:jc w:val="both"/>
        <w:rPr>
          <w:rFonts w:ascii="Arial" w:hAnsi="Arial" w:cs="Arial"/>
          <w:sz w:val="22"/>
          <w:szCs w:val="22"/>
        </w:rPr>
      </w:pPr>
      <w:r w:rsidRPr="00CA6527">
        <w:rPr>
          <w:rFonts w:ascii="Arial" w:hAnsi="Arial" w:cs="Arial"/>
          <w:sz w:val="22"/>
          <w:szCs w:val="22"/>
        </w:rPr>
        <w:t>Local accessibility is not only a matter of convenience but a statutory obligation. Under Section 8 of the Care Act 2014, authorities have discretion to determine “how to meet needs,” yet the same Section mandates that all decisions must reflect individual preferences and local circumstances</w:t>
      </w:r>
      <w:r w:rsidRPr="00CA6527" w:rsidR="00BD4FD3">
        <w:rPr>
          <w:rFonts w:ascii="Arial" w:hAnsi="Arial" w:cs="Arial"/>
          <w:sz w:val="22"/>
          <w:szCs w:val="22"/>
        </w:rPr>
        <w:t xml:space="preserve"> (Gov UK, 2014)</w:t>
      </w:r>
      <w:r w:rsidRPr="00CA6527">
        <w:rPr>
          <w:rFonts w:ascii="Arial" w:hAnsi="Arial" w:cs="Arial"/>
          <w:sz w:val="22"/>
          <w:szCs w:val="22"/>
        </w:rPr>
        <w:t>. Our users have consistently expressed that long journeys on public transport exacerbate fatigue and social isolation, undermining the Act’s emphasis on personal well-being and prevention.</w:t>
      </w:r>
    </w:p>
    <w:p w:rsidRPr="00CA6527" w:rsidR="000C7CED" w:rsidP="00CA6527" w:rsidRDefault="000C7CED" w14:paraId="501BEE02" w14:textId="770DECC1">
      <w:pPr>
        <w:pStyle w:val="NormalWeb"/>
        <w:spacing w:line="360" w:lineRule="auto"/>
        <w:jc w:val="both"/>
        <w:rPr>
          <w:rFonts w:ascii="Arial" w:hAnsi="Arial" w:cs="Arial"/>
          <w:sz w:val="22"/>
          <w:szCs w:val="22"/>
        </w:rPr>
      </w:pPr>
      <w:r w:rsidRPr="00CA6527">
        <w:rPr>
          <w:rFonts w:ascii="Arial" w:hAnsi="Arial" w:cs="Arial"/>
          <w:sz w:val="22"/>
          <w:szCs w:val="22"/>
        </w:rPr>
        <w:t xml:space="preserve">Moreover, the Care Act requires local authorities to </w:t>
      </w:r>
      <w:r w:rsidRPr="00CA6527">
        <w:rPr>
          <w:rStyle w:val="Strong"/>
          <w:rFonts w:ascii="Arial" w:hAnsi="Arial" w:cs="Arial" w:eastAsiaTheme="majorEastAsia"/>
          <w:sz w:val="22"/>
          <w:szCs w:val="22"/>
        </w:rPr>
        <w:t>provide information and advice</w:t>
      </w:r>
      <w:r w:rsidRPr="00CA6527">
        <w:rPr>
          <w:rFonts w:ascii="Arial" w:hAnsi="Arial" w:cs="Arial"/>
          <w:sz w:val="22"/>
          <w:szCs w:val="22"/>
        </w:rPr>
        <w:t xml:space="preserve"> (Section 4) and </w:t>
      </w:r>
      <w:r w:rsidRPr="00CA6527">
        <w:rPr>
          <w:rStyle w:val="Strong"/>
          <w:rFonts w:ascii="Arial" w:hAnsi="Arial" w:cs="Arial" w:eastAsiaTheme="majorEastAsia"/>
          <w:sz w:val="22"/>
          <w:szCs w:val="22"/>
        </w:rPr>
        <w:t>co-operate generally</w:t>
      </w:r>
      <w:r w:rsidRPr="00CA6527">
        <w:rPr>
          <w:rFonts w:ascii="Arial" w:hAnsi="Arial" w:cs="Arial"/>
          <w:sz w:val="22"/>
          <w:szCs w:val="22"/>
        </w:rPr>
        <w:t xml:space="preserve"> with providers, health services and voluntary organisations (Section 6) to ensure integrated support</w:t>
      </w:r>
      <w:r w:rsidRPr="00CA6527" w:rsidR="00DD5E4C">
        <w:rPr>
          <w:rFonts w:ascii="Arial" w:hAnsi="Arial" w:cs="Arial"/>
          <w:sz w:val="22"/>
          <w:szCs w:val="22"/>
        </w:rPr>
        <w:t xml:space="preserve"> (Gov UK, 2014)</w:t>
      </w:r>
      <w:r w:rsidRPr="00CA6527">
        <w:rPr>
          <w:rFonts w:ascii="Arial" w:hAnsi="Arial" w:cs="Arial"/>
          <w:sz w:val="22"/>
          <w:szCs w:val="22"/>
        </w:rPr>
        <w:t>. At present, the lack of a second community hub in Ward End compromises these statutory duties. A 2020 NICE guideline identified that integrated local services not only improve quality of life for adults with disabilities but also generate cost savings of up to £2,500 per person annually through reduced inpatient care (NICE, 2020).</w:t>
      </w:r>
    </w:p>
    <w:p w:rsidRPr="00CA6527" w:rsidR="000C7CED" w:rsidP="00CA6527" w:rsidRDefault="000C7CED" w14:paraId="5A86A4BB" w14:textId="77777777">
      <w:pPr>
        <w:pStyle w:val="NormalWeb"/>
        <w:spacing w:line="360" w:lineRule="auto"/>
        <w:jc w:val="both"/>
        <w:rPr>
          <w:rFonts w:ascii="Arial" w:hAnsi="Arial" w:cs="Arial"/>
          <w:sz w:val="22"/>
          <w:szCs w:val="22"/>
        </w:rPr>
      </w:pPr>
      <w:r w:rsidRPr="00CA6527">
        <w:rPr>
          <w:rFonts w:ascii="Arial" w:hAnsi="Arial" w:cs="Arial"/>
          <w:sz w:val="22"/>
          <w:szCs w:val="22"/>
        </w:rPr>
        <w:t>In light of these statutory requirements and the compelling evidence base, I respectfully urge you to:</w:t>
      </w:r>
    </w:p>
    <w:p w:rsidRPr="00CA6527" w:rsidR="000C7CED" w:rsidP="00CA6527" w:rsidRDefault="000C7CED" w14:paraId="7A6A8A3F" w14:textId="67746AE2">
      <w:pPr>
        <w:pStyle w:val="NormalWeb"/>
        <w:numPr>
          <w:ilvl w:val="0"/>
          <w:numId w:val="1"/>
        </w:numPr>
        <w:spacing w:line="360" w:lineRule="auto"/>
        <w:jc w:val="both"/>
        <w:rPr>
          <w:rFonts w:ascii="Arial" w:hAnsi="Arial" w:cs="Arial"/>
          <w:sz w:val="22"/>
          <w:szCs w:val="22"/>
        </w:rPr>
      </w:pPr>
      <w:r w:rsidRPr="00CA6527">
        <w:rPr>
          <w:rFonts w:ascii="Arial" w:hAnsi="Arial" w:cs="Arial"/>
          <w:sz w:val="22"/>
          <w:szCs w:val="22"/>
        </w:rPr>
        <w:t xml:space="preserve">Commission an additional community disability support hub in Ward End, ensuring </w:t>
      </w:r>
      <w:r w:rsidRPr="00CA6527">
        <w:rPr>
          <w:rStyle w:val="Strong"/>
          <w:rFonts w:ascii="Arial" w:hAnsi="Arial" w:cs="Arial" w:eastAsiaTheme="majorEastAsia"/>
          <w:sz w:val="22"/>
          <w:szCs w:val="22"/>
        </w:rPr>
        <w:t>equitable access</w:t>
      </w:r>
      <w:r w:rsidRPr="00CA6527">
        <w:rPr>
          <w:rFonts w:ascii="Arial" w:hAnsi="Arial" w:cs="Arial"/>
          <w:sz w:val="22"/>
          <w:szCs w:val="22"/>
        </w:rPr>
        <w:t xml:space="preserve"> for all residents within the ward boundary</w:t>
      </w:r>
      <w:r w:rsidRPr="00CA6527" w:rsidR="00E27109">
        <w:rPr>
          <w:rFonts w:ascii="Arial" w:hAnsi="Arial" w:cs="Arial"/>
          <w:sz w:val="22"/>
          <w:szCs w:val="22"/>
        </w:rPr>
        <w:t xml:space="preserve"> (Hunt et al., 2022)</w:t>
      </w:r>
      <w:r w:rsidRPr="00CA6527">
        <w:rPr>
          <w:rFonts w:ascii="Arial" w:hAnsi="Arial" w:cs="Arial"/>
          <w:sz w:val="22"/>
          <w:szCs w:val="22"/>
        </w:rPr>
        <w:t>.</w:t>
      </w:r>
    </w:p>
    <w:p w:rsidRPr="00CA6527" w:rsidR="000C7CED" w:rsidP="00CA6527" w:rsidRDefault="000C7CED" w14:paraId="64469DCD" w14:textId="77777777">
      <w:pPr>
        <w:pStyle w:val="NormalWeb"/>
        <w:numPr>
          <w:ilvl w:val="0"/>
          <w:numId w:val="1"/>
        </w:numPr>
        <w:spacing w:line="360" w:lineRule="auto"/>
        <w:jc w:val="both"/>
        <w:rPr>
          <w:rFonts w:ascii="Arial" w:hAnsi="Arial" w:cs="Arial"/>
          <w:sz w:val="22"/>
          <w:szCs w:val="22"/>
        </w:rPr>
      </w:pPr>
      <w:r w:rsidRPr="00CA6527">
        <w:rPr>
          <w:rFonts w:ascii="Arial" w:hAnsi="Arial" w:cs="Arial"/>
          <w:sz w:val="22"/>
          <w:szCs w:val="22"/>
        </w:rPr>
        <w:t xml:space="preserve">Allocate budgetary provision in the forthcoming 2025–26 financial plan to recruit specialist occupational therapists and support workers, in line with the Care Act’s mandate to </w:t>
      </w:r>
      <w:r w:rsidRPr="00CA6527">
        <w:rPr>
          <w:rStyle w:val="Strong"/>
          <w:rFonts w:ascii="Arial" w:hAnsi="Arial" w:cs="Arial" w:eastAsiaTheme="majorEastAsia"/>
          <w:sz w:val="22"/>
          <w:szCs w:val="22"/>
        </w:rPr>
        <w:t>meet needs for care and support</w:t>
      </w:r>
      <w:r w:rsidRPr="00CA6527">
        <w:rPr>
          <w:rFonts w:ascii="Arial" w:hAnsi="Arial" w:cs="Arial"/>
          <w:sz w:val="22"/>
          <w:szCs w:val="22"/>
        </w:rPr>
        <w:t xml:space="preserve"> (Section 18).</w:t>
      </w:r>
    </w:p>
    <w:p w:rsidRPr="00CA6527" w:rsidR="000C7CED" w:rsidP="00CA6527" w:rsidRDefault="000C7CED" w14:paraId="0420B88A" w14:textId="55859FFE">
      <w:pPr>
        <w:pStyle w:val="NormalWeb"/>
        <w:numPr>
          <w:ilvl w:val="0"/>
          <w:numId w:val="1"/>
        </w:numPr>
        <w:spacing w:line="360" w:lineRule="auto"/>
        <w:jc w:val="both"/>
        <w:rPr>
          <w:rFonts w:ascii="Arial" w:hAnsi="Arial" w:cs="Arial"/>
          <w:sz w:val="22"/>
          <w:szCs w:val="22"/>
        </w:rPr>
      </w:pPr>
      <w:r w:rsidRPr="00CA6527">
        <w:rPr>
          <w:rFonts w:ascii="Arial" w:hAnsi="Arial" w:cs="Arial"/>
          <w:sz w:val="22"/>
          <w:szCs w:val="22"/>
        </w:rPr>
        <w:t>Convene a multi-agency working group under the Integrated Care Board to oversee rapid implementation and monitor service uptake</w:t>
      </w:r>
      <w:r w:rsidRPr="00CA6527" w:rsidR="00A572F8">
        <w:rPr>
          <w:rFonts w:ascii="Arial" w:hAnsi="Arial" w:cs="Arial"/>
          <w:sz w:val="22"/>
          <w:szCs w:val="22"/>
        </w:rPr>
        <w:t xml:space="preserve"> (Looman et al., 2021)</w:t>
      </w:r>
      <w:r w:rsidRPr="00CA6527">
        <w:rPr>
          <w:rFonts w:ascii="Arial" w:hAnsi="Arial" w:cs="Arial"/>
          <w:sz w:val="22"/>
          <w:szCs w:val="22"/>
        </w:rPr>
        <w:t>.</w:t>
      </w:r>
    </w:p>
    <w:p w:rsidRPr="00CA6527" w:rsidR="000C7CED" w:rsidP="00CA6527" w:rsidRDefault="000C7CED" w14:paraId="76542B4B" w14:textId="77777777">
      <w:pPr>
        <w:pStyle w:val="NormalWeb"/>
        <w:spacing w:line="360" w:lineRule="auto"/>
        <w:jc w:val="both"/>
        <w:rPr>
          <w:rFonts w:ascii="Arial" w:hAnsi="Arial" w:cs="Arial"/>
          <w:sz w:val="22"/>
          <w:szCs w:val="22"/>
        </w:rPr>
      </w:pPr>
      <w:r w:rsidRPr="00CA6527">
        <w:rPr>
          <w:rFonts w:ascii="Arial" w:hAnsi="Arial" w:cs="Arial"/>
          <w:sz w:val="22"/>
          <w:szCs w:val="22"/>
        </w:rPr>
        <w:lastRenderedPageBreak/>
        <w:t>I would welcome the opportunity to discuss this proposal further at your convenience. Strengthening local provision will deliver on the Care Act 2014’s central objectives of promoting well-being, preventing escalating needs and ensuring high-quality, diverse services within our community.</w:t>
      </w:r>
    </w:p>
    <w:p w:rsidRPr="00CA6527" w:rsidR="000C7CED" w:rsidP="00CA6527" w:rsidRDefault="000C7CED" w14:paraId="160DE00C" w14:textId="77777777">
      <w:pPr>
        <w:pStyle w:val="NormalWeb"/>
        <w:spacing w:line="360" w:lineRule="auto"/>
        <w:jc w:val="both"/>
        <w:rPr>
          <w:rFonts w:ascii="Arial" w:hAnsi="Arial" w:cs="Arial"/>
          <w:sz w:val="22"/>
          <w:szCs w:val="22"/>
        </w:rPr>
      </w:pPr>
      <w:r w:rsidRPr="00CA6527">
        <w:rPr>
          <w:rFonts w:ascii="Arial" w:hAnsi="Arial" w:cs="Arial"/>
          <w:sz w:val="22"/>
          <w:szCs w:val="22"/>
        </w:rPr>
        <w:t>Thank you for your time and consideration. I look forward to your response and stand ready to support your office in advancing this vital initiative.</w:t>
      </w:r>
    </w:p>
    <w:p w:rsidRPr="00CA6527" w:rsidR="000C7CED" w:rsidP="00CA6527" w:rsidRDefault="000C7CED" w14:paraId="2D58F351" w14:textId="77777777">
      <w:pPr>
        <w:pStyle w:val="NormalWeb"/>
        <w:spacing w:line="360" w:lineRule="auto"/>
        <w:jc w:val="both"/>
        <w:rPr>
          <w:rFonts w:ascii="Arial" w:hAnsi="Arial" w:cs="Arial"/>
          <w:sz w:val="22"/>
          <w:szCs w:val="22"/>
        </w:rPr>
      </w:pPr>
      <w:r w:rsidRPr="00CA6527">
        <w:rPr>
          <w:rFonts w:ascii="Arial" w:hAnsi="Arial" w:cs="Arial"/>
          <w:sz w:val="22"/>
          <w:szCs w:val="22"/>
        </w:rPr>
        <w:t>Yours sincerely,</w:t>
      </w:r>
    </w:p>
    <w:p w:rsidR="00457C74" w:rsidP="00CA6527" w:rsidRDefault="003104EA" w14:paraId="0848D993" w14:textId="77777777">
      <w:pPr>
        <w:pStyle w:val="NormalWeb"/>
        <w:spacing w:line="360" w:lineRule="auto"/>
        <w:jc w:val="both"/>
        <w:rPr>
          <w:rStyle w:val="Strong"/>
          <w:rFonts w:ascii="Arial" w:hAnsi="Arial" w:cs="Arial" w:eastAsiaTheme="majorEastAsia"/>
          <w:sz w:val="22"/>
          <w:szCs w:val="22"/>
        </w:rPr>
      </w:pPr>
      <w:r w:rsidRPr="00CA6527">
        <w:rPr>
          <w:rStyle w:val="Strong"/>
          <w:rFonts w:ascii="Arial" w:hAnsi="Arial" w:cs="Arial" w:eastAsiaTheme="majorEastAsia"/>
          <w:sz w:val="22"/>
          <w:szCs w:val="22"/>
        </w:rPr>
        <w:t>Tabinda</w:t>
      </w:r>
    </w:p>
    <w:p w:rsidR="00457C74" w:rsidP="00CA6527" w:rsidRDefault="000C7CED" w14:paraId="5343D1FC" w14:textId="6DCFA3E2">
      <w:pPr>
        <w:pStyle w:val="NormalWeb"/>
        <w:spacing w:line="360" w:lineRule="auto"/>
        <w:jc w:val="both"/>
        <w:rPr>
          <w:rFonts w:ascii="Arial" w:hAnsi="Arial" w:cs="Arial"/>
          <w:sz w:val="22"/>
          <w:szCs w:val="22"/>
        </w:rPr>
      </w:pPr>
      <w:r w:rsidRPr="00CA6527">
        <w:rPr>
          <w:rFonts w:ascii="Arial" w:hAnsi="Arial" w:cs="Arial"/>
          <w:sz w:val="22"/>
          <w:szCs w:val="22"/>
        </w:rPr>
        <w:t>Centre Manager</w:t>
      </w:r>
    </w:p>
    <w:p w:rsidRPr="00CA6527" w:rsidR="000C7CED" w:rsidP="00CA6527" w:rsidRDefault="000C7CED" w14:paraId="487B44CA" w14:textId="6BDB8909">
      <w:pPr>
        <w:pStyle w:val="NormalWeb"/>
        <w:spacing w:line="360" w:lineRule="auto"/>
        <w:jc w:val="both"/>
        <w:rPr>
          <w:rFonts w:ascii="Arial" w:hAnsi="Arial" w:cs="Arial"/>
          <w:sz w:val="22"/>
          <w:szCs w:val="22"/>
        </w:rPr>
      </w:pPr>
      <w:r w:rsidRPr="00CA6527">
        <w:rPr>
          <w:rFonts w:ascii="Arial" w:hAnsi="Arial" w:cs="Arial"/>
          <w:sz w:val="22"/>
          <w:szCs w:val="22"/>
        </w:rPr>
        <w:t>Community Disability Support Centre</w:t>
      </w:r>
    </w:p>
    <w:p w:rsidRPr="00CA6527" w:rsidR="000C7CED" w:rsidP="00CA6527" w:rsidRDefault="000C7CED" w14:paraId="7D5D1ABF" w14:textId="77777777">
      <w:pPr>
        <w:jc w:val="both"/>
        <w:rPr>
          <w:rFonts w:ascii="Arial" w:hAnsi="Arial" w:cs="Arial"/>
          <w:szCs w:val="22"/>
          <w:lang w:val="en-GB"/>
        </w:rPr>
      </w:pPr>
    </w:p>
    <w:p w:rsidRPr="00CA6527" w:rsidR="000C7CED" w:rsidP="00CA6527" w:rsidRDefault="000C7CED" w14:paraId="12E0C0AA" w14:textId="77777777">
      <w:pPr>
        <w:jc w:val="both"/>
        <w:rPr>
          <w:rFonts w:ascii="Arial" w:hAnsi="Arial" w:cs="Arial"/>
          <w:szCs w:val="22"/>
          <w:lang w:val="en-GB"/>
        </w:rPr>
      </w:pPr>
    </w:p>
    <w:p w:rsidR="000C7CED" w:rsidP="00CA6527" w:rsidRDefault="000C7CED" w14:paraId="25CA0696" w14:textId="77777777">
      <w:pPr>
        <w:jc w:val="both"/>
        <w:rPr>
          <w:rFonts w:ascii="Arial" w:hAnsi="Arial" w:cs="Arial"/>
          <w:szCs w:val="22"/>
          <w:lang w:val="en-GB"/>
        </w:rPr>
      </w:pPr>
    </w:p>
    <w:p w:rsidR="00457C74" w:rsidP="00CA6527" w:rsidRDefault="00457C74" w14:paraId="0C55126B" w14:textId="77777777">
      <w:pPr>
        <w:jc w:val="both"/>
        <w:rPr>
          <w:rFonts w:ascii="Arial" w:hAnsi="Arial" w:cs="Arial"/>
          <w:szCs w:val="22"/>
          <w:lang w:val="en-GB"/>
        </w:rPr>
      </w:pPr>
    </w:p>
    <w:p w:rsidR="00457C74" w:rsidP="00CA6527" w:rsidRDefault="00457C74" w14:paraId="265355CE" w14:textId="77777777">
      <w:pPr>
        <w:jc w:val="both"/>
        <w:rPr>
          <w:rFonts w:ascii="Arial" w:hAnsi="Arial" w:cs="Arial"/>
          <w:szCs w:val="22"/>
          <w:lang w:val="en-GB"/>
        </w:rPr>
      </w:pPr>
    </w:p>
    <w:p w:rsidR="00457C74" w:rsidP="00CA6527" w:rsidRDefault="00457C74" w14:paraId="7B2925D3" w14:textId="77777777">
      <w:pPr>
        <w:jc w:val="both"/>
        <w:rPr>
          <w:rFonts w:ascii="Arial" w:hAnsi="Arial" w:cs="Arial"/>
          <w:szCs w:val="22"/>
          <w:lang w:val="en-GB"/>
        </w:rPr>
      </w:pPr>
    </w:p>
    <w:p w:rsidR="00457C74" w:rsidP="00CA6527" w:rsidRDefault="00457C74" w14:paraId="472B851A" w14:textId="77777777">
      <w:pPr>
        <w:jc w:val="both"/>
        <w:rPr>
          <w:rFonts w:ascii="Arial" w:hAnsi="Arial" w:cs="Arial"/>
          <w:szCs w:val="22"/>
          <w:lang w:val="en-GB"/>
        </w:rPr>
      </w:pPr>
    </w:p>
    <w:p w:rsidR="00457C74" w:rsidP="00CA6527" w:rsidRDefault="00457C74" w14:paraId="2BDD7B6E" w14:textId="77777777">
      <w:pPr>
        <w:jc w:val="both"/>
        <w:rPr>
          <w:rFonts w:ascii="Arial" w:hAnsi="Arial" w:cs="Arial"/>
          <w:szCs w:val="22"/>
          <w:lang w:val="en-GB"/>
        </w:rPr>
      </w:pPr>
    </w:p>
    <w:p w:rsidR="00457C74" w:rsidP="00CA6527" w:rsidRDefault="00457C74" w14:paraId="099EB8B7" w14:textId="77777777">
      <w:pPr>
        <w:jc w:val="both"/>
        <w:rPr>
          <w:rFonts w:ascii="Arial" w:hAnsi="Arial" w:cs="Arial"/>
          <w:szCs w:val="22"/>
          <w:lang w:val="en-GB"/>
        </w:rPr>
      </w:pPr>
    </w:p>
    <w:p w:rsidR="00457C74" w:rsidP="00CA6527" w:rsidRDefault="00457C74" w14:paraId="7392A41E" w14:textId="77777777">
      <w:pPr>
        <w:jc w:val="both"/>
        <w:rPr>
          <w:rFonts w:ascii="Arial" w:hAnsi="Arial" w:cs="Arial"/>
          <w:szCs w:val="22"/>
          <w:lang w:val="en-GB"/>
        </w:rPr>
      </w:pPr>
    </w:p>
    <w:p w:rsidR="00457C74" w:rsidP="00CA6527" w:rsidRDefault="00457C74" w14:paraId="6534ECEF" w14:textId="77777777">
      <w:pPr>
        <w:jc w:val="both"/>
        <w:rPr>
          <w:rFonts w:ascii="Arial" w:hAnsi="Arial" w:cs="Arial"/>
          <w:szCs w:val="22"/>
          <w:lang w:val="en-GB"/>
        </w:rPr>
      </w:pPr>
    </w:p>
    <w:p w:rsidR="00457C74" w:rsidP="00CA6527" w:rsidRDefault="00457C74" w14:paraId="543D9DE2" w14:textId="77777777">
      <w:pPr>
        <w:jc w:val="both"/>
        <w:rPr>
          <w:rFonts w:ascii="Arial" w:hAnsi="Arial" w:cs="Arial"/>
          <w:szCs w:val="22"/>
          <w:lang w:val="en-GB"/>
        </w:rPr>
      </w:pPr>
    </w:p>
    <w:p w:rsidR="00457C74" w:rsidP="00CA6527" w:rsidRDefault="00457C74" w14:paraId="2F3AC81C" w14:textId="77777777">
      <w:pPr>
        <w:jc w:val="both"/>
        <w:rPr>
          <w:rFonts w:ascii="Arial" w:hAnsi="Arial" w:cs="Arial"/>
          <w:szCs w:val="22"/>
          <w:lang w:val="en-GB"/>
        </w:rPr>
      </w:pPr>
    </w:p>
    <w:p w:rsidR="00457C74" w:rsidP="00CA6527" w:rsidRDefault="00457C74" w14:paraId="2B4B8376" w14:textId="77777777">
      <w:pPr>
        <w:jc w:val="both"/>
        <w:rPr>
          <w:rFonts w:ascii="Arial" w:hAnsi="Arial" w:cs="Arial"/>
          <w:szCs w:val="22"/>
          <w:lang w:val="en-GB"/>
        </w:rPr>
      </w:pPr>
    </w:p>
    <w:p w:rsidRPr="00CA6527" w:rsidR="00457C74" w:rsidP="00CA6527" w:rsidRDefault="00457C74" w14:paraId="760ECFD7" w14:textId="77777777">
      <w:pPr>
        <w:jc w:val="both"/>
        <w:rPr>
          <w:rFonts w:ascii="Arial" w:hAnsi="Arial" w:cs="Arial"/>
          <w:szCs w:val="22"/>
          <w:lang w:val="en-GB"/>
        </w:rPr>
      </w:pPr>
    </w:p>
    <w:p w:rsidRPr="00CA6527" w:rsidR="000C7CED" w:rsidP="00CA6527" w:rsidRDefault="000C7CED" w14:paraId="008DD2E7" w14:textId="77777777">
      <w:pPr>
        <w:jc w:val="both"/>
        <w:rPr>
          <w:rFonts w:ascii="Arial" w:hAnsi="Arial" w:cs="Arial"/>
          <w:szCs w:val="22"/>
          <w:lang w:val="en-GB"/>
        </w:rPr>
      </w:pPr>
    </w:p>
    <w:p w:rsidRPr="00CA6527" w:rsidR="007D72AC" w:rsidP="00CA6527" w:rsidRDefault="004418D7" w14:paraId="2945300B" w14:textId="4E80041A">
      <w:pPr>
        <w:jc w:val="both"/>
        <w:rPr>
          <w:rFonts w:ascii="Arial" w:hAnsi="Arial" w:cs="Arial"/>
          <w:b/>
          <w:bCs/>
          <w:szCs w:val="22"/>
          <w:lang w:val="en-GB"/>
        </w:rPr>
      </w:pPr>
      <w:r w:rsidRPr="00CA6527">
        <w:rPr>
          <w:rFonts w:ascii="Arial" w:hAnsi="Arial" w:cs="Arial"/>
          <w:b/>
          <w:bCs/>
          <w:szCs w:val="22"/>
          <w:lang w:val="en-GB"/>
        </w:rPr>
        <w:lastRenderedPageBreak/>
        <w:t>Task 2</w:t>
      </w:r>
    </w:p>
    <w:p w:rsidRPr="00CA6527" w:rsidR="00DC09C4" w:rsidP="00CA6527" w:rsidRDefault="002D49CD" w14:paraId="05D63483" w14:textId="77777777">
      <w:pPr>
        <w:pStyle w:val="NormalWeb"/>
        <w:spacing w:line="360" w:lineRule="auto"/>
        <w:jc w:val="both"/>
        <w:rPr>
          <w:rStyle w:val="Strong"/>
          <w:rFonts w:ascii="Arial" w:hAnsi="Arial" w:cs="Arial" w:eastAsiaTheme="majorEastAsia"/>
          <w:sz w:val="22"/>
          <w:szCs w:val="22"/>
        </w:rPr>
      </w:pPr>
      <w:r w:rsidRPr="00CA6527">
        <w:rPr>
          <w:rStyle w:val="Strong"/>
          <w:rFonts w:ascii="Arial" w:hAnsi="Arial" w:cs="Arial" w:eastAsiaTheme="majorEastAsia"/>
          <w:sz w:val="22"/>
          <w:szCs w:val="22"/>
        </w:rPr>
        <w:t>Introduction and Brief History</w:t>
      </w:r>
    </w:p>
    <w:p w:rsidRPr="00CA6527" w:rsidR="002D49CD" w:rsidP="00CA6527" w:rsidRDefault="002D49CD" w14:paraId="7374FCBD" w14:textId="4A2C3707">
      <w:pPr>
        <w:pStyle w:val="NormalWeb"/>
        <w:spacing w:line="360" w:lineRule="auto"/>
        <w:jc w:val="both"/>
        <w:rPr>
          <w:rFonts w:ascii="Arial" w:hAnsi="Arial" w:cs="Arial"/>
          <w:sz w:val="22"/>
          <w:szCs w:val="22"/>
        </w:rPr>
      </w:pPr>
      <w:r w:rsidRPr="00CA6527">
        <w:rPr>
          <w:rFonts w:ascii="Arial" w:hAnsi="Arial" w:cs="Arial"/>
          <w:sz w:val="22"/>
          <w:szCs w:val="22"/>
        </w:rPr>
        <w:t xml:space="preserve">Pharmacy services in England trace their roots to medieval apothecaries, culminating in statutory regulation by the Pharmacy Act 1868 and the Medicines Act 1968, which established the modern legal framework for the practice of pharmacy </w:t>
      </w:r>
      <w:r w:rsidRPr="00CA6527" w:rsidR="0092477A">
        <w:rPr>
          <w:rFonts w:ascii="Arial" w:hAnsi="Arial" w:cs="Arial"/>
          <w:sz w:val="22"/>
          <w:szCs w:val="22"/>
        </w:rPr>
        <w:t>(Ferner and Aronson, 2022)</w:t>
      </w:r>
      <w:r w:rsidRPr="00CA6527">
        <w:rPr>
          <w:rFonts w:ascii="Arial" w:hAnsi="Arial" w:cs="Arial"/>
          <w:sz w:val="22"/>
          <w:szCs w:val="22"/>
        </w:rPr>
        <w:t>. Integration of community pharmacies into the NHS at its inception in 1948 positioned pharmacists as essential intermediaries between prescribers and patients</w:t>
      </w:r>
      <w:r w:rsidRPr="00CA6527" w:rsidR="004116AE">
        <w:rPr>
          <w:rFonts w:ascii="Arial" w:hAnsi="Arial" w:cs="Arial"/>
          <w:sz w:val="22"/>
          <w:szCs w:val="22"/>
        </w:rPr>
        <w:t xml:space="preserve"> (Ferner and Aronson, 2022)</w:t>
      </w:r>
      <w:r w:rsidRPr="00CA6527">
        <w:rPr>
          <w:rFonts w:ascii="Arial" w:hAnsi="Arial" w:cs="Arial"/>
          <w:sz w:val="22"/>
          <w:szCs w:val="22"/>
        </w:rPr>
        <w:t>. Subsequent legislative milestones—such as the Pharmacy Order 2010 and the Health and Social Care Act 2012—enabled the negotiation of a national community pharmacy contract and the introduction of enhanced service categories</w:t>
      </w:r>
      <w:r w:rsidRPr="00CA6527" w:rsidR="00BA2EEB">
        <w:rPr>
          <w:rFonts w:ascii="Arial" w:hAnsi="Arial" w:cs="Arial"/>
          <w:sz w:val="22"/>
          <w:szCs w:val="22"/>
        </w:rPr>
        <w:t xml:space="preserve"> (Gov UK, 2010)</w:t>
      </w:r>
      <w:r w:rsidRPr="00CA6527">
        <w:rPr>
          <w:rFonts w:ascii="Arial" w:hAnsi="Arial" w:cs="Arial"/>
          <w:sz w:val="22"/>
          <w:szCs w:val="22"/>
        </w:rPr>
        <w:t xml:space="preserve">. The Community Pharmacy Contractual Framework (CPCF) of 2016–2019, extended into the CPCF 2019–2024, and the Pharmacy Integration Fund (PhIF) launched in 2016, both reflect the evolving emphasis on clinical services, public health interventions and integrated primary care roles for pharmacists </w:t>
      </w:r>
      <w:r w:rsidRPr="00CA6527" w:rsidR="00235844">
        <w:rPr>
          <w:rFonts w:ascii="Arial" w:hAnsi="Arial" w:cs="Arial"/>
          <w:sz w:val="22"/>
          <w:szCs w:val="22"/>
        </w:rPr>
        <w:t>(Department of Health &amp; Social Care, 2019)</w:t>
      </w:r>
      <w:r w:rsidRPr="00CA6527">
        <w:rPr>
          <w:rFonts w:ascii="Arial" w:hAnsi="Arial" w:cs="Arial"/>
          <w:sz w:val="22"/>
          <w:szCs w:val="22"/>
        </w:rPr>
        <w:t>. Despite this progressive trajectory, the past decade has seen two interlinked challenges threaten the sustainability and efficacy of pharmacy services: financial pressures from reduced funding and workforce capacity constraints amid expanding service expectations.</w:t>
      </w:r>
    </w:p>
    <w:p w:rsidRPr="00CA6527" w:rsidR="00807D13" w:rsidP="00CA6527" w:rsidRDefault="002D49CD" w14:paraId="22626FEF" w14:textId="77777777">
      <w:pPr>
        <w:pStyle w:val="NormalWeb"/>
        <w:spacing w:line="360" w:lineRule="auto"/>
        <w:jc w:val="both"/>
        <w:rPr>
          <w:rStyle w:val="Strong"/>
          <w:rFonts w:ascii="Arial" w:hAnsi="Arial" w:cs="Arial" w:eastAsiaTheme="majorEastAsia"/>
          <w:sz w:val="22"/>
          <w:szCs w:val="22"/>
        </w:rPr>
      </w:pPr>
      <w:r w:rsidRPr="00CA6527">
        <w:rPr>
          <w:rStyle w:val="Strong"/>
          <w:rFonts w:ascii="Arial" w:hAnsi="Arial" w:cs="Arial" w:eastAsiaTheme="majorEastAsia"/>
          <w:sz w:val="22"/>
          <w:szCs w:val="22"/>
        </w:rPr>
        <w:t>Challenge 1: Financial Sustainability and Funding Pressures</w:t>
      </w:r>
    </w:p>
    <w:p w:rsidRPr="00CA6527" w:rsidR="002D49CD" w:rsidP="00CA6527" w:rsidRDefault="002D49CD" w14:paraId="6A10D51F" w14:textId="08EEE05B">
      <w:pPr>
        <w:pStyle w:val="NormalWeb"/>
        <w:spacing w:line="360" w:lineRule="auto"/>
        <w:jc w:val="both"/>
        <w:rPr>
          <w:rFonts w:ascii="Arial" w:hAnsi="Arial" w:cs="Arial"/>
          <w:sz w:val="22"/>
          <w:szCs w:val="22"/>
        </w:rPr>
      </w:pPr>
      <w:r w:rsidRPr="00CA6527">
        <w:rPr>
          <w:rFonts w:ascii="Arial" w:hAnsi="Arial" w:cs="Arial"/>
          <w:sz w:val="22"/>
          <w:szCs w:val="22"/>
        </w:rPr>
        <w:t xml:space="preserve">Over the past ten years, community pharmacies have faced relentless financial pressures. The 2015–16 NHS funding settlement implemented under the Pharmacy Contract Regulations 2012 and successive CPCFs resulted in a real-terms reduction exceeding £600 million in dispensing income by 2019–20, equivalent to a 25 percent cut in the global sum that underpins essential services </w:t>
      </w:r>
      <w:r w:rsidRPr="00CA6527" w:rsidR="00807D13">
        <w:rPr>
          <w:rFonts w:ascii="Arial" w:hAnsi="Arial" w:cs="Arial"/>
          <w:sz w:val="22"/>
          <w:szCs w:val="22"/>
        </w:rPr>
        <w:t>(Department of Health, 2017)</w:t>
      </w:r>
      <w:r w:rsidRPr="00CA6527">
        <w:rPr>
          <w:rFonts w:ascii="Arial" w:hAnsi="Arial" w:cs="Arial"/>
          <w:sz w:val="22"/>
          <w:szCs w:val="22"/>
        </w:rPr>
        <w:t>. Generic margin reductions and lower dispensing fees were introduced to manage NHS budgets, with the stated goal of reallocating resources to advanced services such as the New Medicine Service (NMS) and seasonal influenza vaccination</w:t>
      </w:r>
      <w:r w:rsidRPr="00CA6527" w:rsidR="00EF0CA7">
        <w:rPr>
          <w:rFonts w:ascii="Arial" w:hAnsi="Arial" w:cs="Arial"/>
          <w:sz w:val="22"/>
          <w:szCs w:val="22"/>
        </w:rPr>
        <w:t xml:space="preserve"> (Lu et al., 2021)</w:t>
      </w:r>
      <w:r w:rsidRPr="00CA6527">
        <w:rPr>
          <w:rFonts w:ascii="Arial" w:hAnsi="Arial" w:cs="Arial"/>
          <w:sz w:val="22"/>
          <w:szCs w:val="22"/>
        </w:rPr>
        <w:t xml:space="preserve">. However, a nationwide survey by the Nuffield Trust in 2021 found that only 30 percent of pharmacies generated sufficient advanced-service income to offset dispensing revenue losses, leaving 40 percent operating at a loss and precipitating over 700 closures between 2015 and 2022 </w:t>
      </w:r>
      <w:r w:rsidRPr="00CA6527" w:rsidR="00924957">
        <w:rPr>
          <w:rFonts w:ascii="Arial" w:hAnsi="Arial" w:cs="Arial"/>
          <w:sz w:val="22"/>
          <w:szCs w:val="22"/>
        </w:rPr>
        <w:t>(Janković, 2024)</w:t>
      </w:r>
      <w:r w:rsidRPr="00CA6527">
        <w:rPr>
          <w:rFonts w:ascii="Arial" w:hAnsi="Arial" w:cs="Arial"/>
          <w:sz w:val="22"/>
          <w:szCs w:val="22"/>
        </w:rPr>
        <w:t>.</w:t>
      </w:r>
    </w:p>
    <w:p w:rsidRPr="00CA6527" w:rsidR="002D49CD" w:rsidP="00CA6527" w:rsidRDefault="002D49CD" w14:paraId="22CCE6D9" w14:textId="76E21CF0">
      <w:pPr>
        <w:pStyle w:val="NormalWeb"/>
        <w:spacing w:line="360" w:lineRule="auto"/>
        <w:jc w:val="both"/>
        <w:rPr>
          <w:rFonts w:ascii="Arial" w:hAnsi="Arial" w:cs="Arial"/>
          <w:sz w:val="22"/>
          <w:szCs w:val="22"/>
        </w:rPr>
      </w:pPr>
      <w:r w:rsidRPr="00CA6527">
        <w:rPr>
          <w:rFonts w:ascii="Arial" w:hAnsi="Arial" w:cs="Arial"/>
          <w:sz w:val="22"/>
          <w:szCs w:val="22"/>
        </w:rPr>
        <w:t>This contraction disproportionately affects pharmacies in socioeconomically deprived and rural areas, creating so-called “pharmacy deserts” where access to medications and pharmaceutical advice is severely limited</w:t>
      </w:r>
      <w:r w:rsidRPr="00CA6527" w:rsidR="00647721">
        <w:rPr>
          <w:rFonts w:ascii="Arial" w:hAnsi="Arial" w:cs="Arial"/>
          <w:sz w:val="22"/>
          <w:szCs w:val="22"/>
        </w:rPr>
        <w:t xml:space="preserve"> </w:t>
      </w:r>
      <w:r w:rsidRPr="00CA6527" w:rsidR="00757C96">
        <w:rPr>
          <w:rFonts w:ascii="Arial" w:hAnsi="Arial" w:cs="Arial"/>
          <w:sz w:val="22"/>
          <w:szCs w:val="22"/>
        </w:rPr>
        <w:t>(Clark and Newing, 2025)</w:t>
      </w:r>
      <w:r w:rsidRPr="00CA6527">
        <w:rPr>
          <w:rFonts w:ascii="Arial" w:hAnsi="Arial" w:cs="Arial"/>
          <w:sz w:val="22"/>
          <w:szCs w:val="22"/>
        </w:rPr>
        <w:t xml:space="preserve">. The NHS Long Term Plan (2019) emphasises equitable, community-based care to reduce health inequalities, yet </w:t>
      </w:r>
      <w:r w:rsidRPr="00CA6527">
        <w:rPr>
          <w:rFonts w:ascii="Arial" w:hAnsi="Arial" w:cs="Arial"/>
          <w:sz w:val="22"/>
          <w:szCs w:val="22"/>
        </w:rPr>
        <w:lastRenderedPageBreak/>
        <w:t>pharmacy closures undermine this principle, forcing patients to travel further for prescriptions or forgo essential services</w:t>
      </w:r>
      <w:r w:rsidRPr="00CA6527" w:rsidR="00757C96">
        <w:rPr>
          <w:rFonts w:ascii="Arial" w:hAnsi="Arial" w:cs="Arial"/>
          <w:sz w:val="22"/>
          <w:szCs w:val="22"/>
        </w:rPr>
        <w:t xml:space="preserve"> (NHS England, 2019)</w:t>
      </w:r>
      <w:r w:rsidRPr="00CA6527">
        <w:rPr>
          <w:rFonts w:ascii="Arial" w:hAnsi="Arial" w:cs="Arial"/>
          <w:sz w:val="22"/>
          <w:szCs w:val="22"/>
        </w:rPr>
        <w:t>. These trends conflict with the Care Act 2014’s duty to promote individual well-being (Section 1) and to prevent escalation of health needs through early intervention (Section 2)</w:t>
      </w:r>
      <w:r w:rsidRPr="00CA6527" w:rsidR="00ED68E9">
        <w:rPr>
          <w:rFonts w:ascii="Arial" w:hAnsi="Arial" w:cs="Arial"/>
          <w:sz w:val="22"/>
          <w:szCs w:val="22"/>
        </w:rPr>
        <w:t xml:space="preserve"> (Gov UK, 2014)</w:t>
      </w:r>
      <w:r w:rsidRPr="00CA6527">
        <w:rPr>
          <w:rFonts w:ascii="Arial" w:hAnsi="Arial" w:cs="Arial"/>
          <w:sz w:val="22"/>
          <w:szCs w:val="22"/>
        </w:rPr>
        <w:t xml:space="preserve">. </w:t>
      </w:r>
      <w:r w:rsidRPr="00CA6527" w:rsidR="007B389E">
        <w:rPr>
          <w:rFonts w:ascii="Arial" w:hAnsi="Arial" w:cs="Arial"/>
          <w:sz w:val="22"/>
          <w:szCs w:val="22"/>
        </w:rPr>
        <w:t xml:space="preserve">Manoliu-Hamwi et al. (2024) </w:t>
      </w:r>
      <w:r w:rsidRPr="00CA6527">
        <w:rPr>
          <w:rFonts w:ascii="Arial" w:hAnsi="Arial" w:cs="Arial"/>
          <w:sz w:val="22"/>
          <w:szCs w:val="22"/>
        </w:rPr>
        <w:t>highlighted that pharmacy closures correlate with a 10 percent increase in unplanned hospital admissions for chronic conditions due to medication non-adherence. Consequently, funding pressures not only threaten the viability of pharmacies but also hamper broader NHS objectives of integrated, preventive care.</w:t>
      </w:r>
    </w:p>
    <w:p w:rsidRPr="00CA6527" w:rsidR="00A91A61" w:rsidP="00CA6527" w:rsidRDefault="002D49CD" w14:paraId="1D9382D6" w14:textId="77777777">
      <w:pPr>
        <w:pStyle w:val="NormalWeb"/>
        <w:spacing w:line="360" w:lineRule="auto"/>
        <w:jc w:val="both"/>
        <w:rPr>
          <w:rStyle w:val="Strong"/>
          <w:rFonts w:ascii="Arial" w:hAnsi="Arial" w:cs="Arial" w:eastAsiaTheme="majorEastAsia"/>
          <w:sz w:val="22"/>
          <w:szCs w:val="22"/>
        </w:rPr>
      </w:pPr>
      <w:r w:rsidRPr="00CA6527">
        <w:rPr>
          <w:rStyle w:val="Strong"/>
          <w:rFonts w:ascii="Arial" w:hAnsi="Arial" w:cs="Arial" w:eastAsiaTheme="majorEastAsia"/>
          <w:sz w:val="22"/>
          <w:szCs w:val="22"/>
        </w:rPr>
        <w:t>Challenge 2: Workforce Capacity and Skill Mix</w:t>
      </w:r>
    </w:p>
    <w:p w:rsidRPr="00CA6527" w:rsidR="002D49CD" w:rsidP="00CA6527" w:rsidRDefault="002D49CD" w14:paraId="29C0CB7B" w14:textId="3467C7DB">
      <w:pPr>
        <w:pStyle w:val="NormalWeb"/>
        <w:spacing w:line="360" w:lineRule="auto"/>
        <w:jc w:val="both"/>
        <w:rPr>
          <w:rFonts w:ascii="Arial" w:hAnsi="Arial" w:cs="Arial"/>
          <w:sz w:val="22"/>
          <w:szCs w:val="22"/>
        </w:rPr>
      </w:pPr>
      <w:r w:rsidRPr="00CA6527">
        <w:rPr>
          <w:rFonts w:ascii="Arial" w:hAnsi="Arial" w:cs="Arial"/>
          <w:sz w:val="22"/>
          <w:szCs w:val="22"/>
        </w:rPr>
        <w:t>In parallel, workforce capacity has emerged as a critical obstacle. Although the role of community pharmacists has expanded to encompass medication reviews, minor ailment schemes and chronic disease management, the pharmacist workforce has not scaled proportionately</w:t>
      </w:r>
      <w:r w:rsidRPr="00CA6527" w:rsidR="00A91A61">
        <w:rPr>
          <w:rFonts w:ascii="Arial" w:hAnsi="Arial" w:cs="Arial"/>
          <w:sz w:val="22"/>
          <w:szCs w:val="22"/>
        </w:rPr>
        <w:t xml:space="preserve"> (Borthwick et al., 2023)</w:t>
      </w:r>
      <w:r w:rsidRPr="00CA6527">
        <w:rPr>
          <w:rFonts w:ascii="Arial" w:hAnsi="Arial" w:cs="Arial"/>
          <w:sz w:val="22"/>
          <w:szCs w:val="22"/>
        </w:rPr>
        <w:t xml:space="preserve">. </w:t>
      </w:r>
      <w:r w:rsidRPr="00CA6527" w:rsidR="002D0074">
        <w:rPr>
          <w:rFonts w:ascii="Arial" w:hAnsi="Arial" w:cs="Arial"/>
          <w:sz w:val="22"/>
          <w:szCs w:val="22"/>
        </w:rPr>
        <w:t xml:space="preserve">Darzi (2024) </w:t>
      </w:r>
      <w:r w:rsidRPr="00CA6527">
        <w:rPr>
          <w:rFonts w:ascii="Arial" w:hAnsi="Arial" w:cs="Arial"/>
          <w:sz w:val="22"/>
          <w:szCs w:val="22"/>
        </w:rPr>
        <w:t>show that between 2012 and 2022, registered pharmacists in England increased by only 12 percent, whereas the volume of advanced services rose by over 60 percent. The Royal Pharmaceutical Society</w:t>
      </w:r>
      <w:r w:rsidRPr="00CA6527" w:rsidR="00C7552E">
        <w:rPr>
          <w:rFonts w:ascii="Arial" w:hAnsi="Arial" w:cs="Arial"/>
          <w:sz w:val="22"/>
          <w:szCs w:val="22"/>
        </w:rPr>
        <w:t xml:space="preserve"> (</w:t>
      </w:r>
      <w:r w:rsidRPr="00CA6527">
        <w:rPr>
          <w:rFonts w:ascii="Arial" w:hAnsi="Arial" w:cs="Arial"/>
          <w:sz w:val="22"/>
          <w:szCs w:val="22"/>
        </w:rPr>
        <w:t>2020</w:t>
      </w:r>
      <w:r w:rsidRPr="00CA6527" w:rsidR="00C7552E">
        <w:rPr>
          <w:rFonts w:ascii="Arial" w:hAnsi="Arial" w:cs="Arial"/>
          <w:sz w:val="22"/>
          <w:szCs w:val="22"/>
        </w:rPr>
        <w:t>)</w:t>
      </w:r>
      <w:r w:rsidRPr="00CA6527">
        <w:rPr>
          <w:rFonts w:ascii="Arial" w:hAnsi="Arial" w:cs="Arial"/>
          <w:sz w:val="22"/>
          <w:szCs w:val="22"/>
        </w:rPr>
        <w:t xml:space="preserve"> workload survey reported that 78 percent of community pharmacists rated their workload as unsafe, with one-third acknowledging dispensing or clinical-check errors attributed to time pressures.</w:t>
      </w:r>
    </w:p>
    <w:p w:rsidRPr="00CA6527" w:rsidR="002D49CD" w:rsidP="00CA6527" w:rsidRDefault="002D49CD" w14:paraId="644AED72" w14:textId="00EE9DAD">
      <w:pPr>
        <w:pStyle w:val="NormalWeb"/>
        <w:spacing w:line="360" w:lineRule="auto"/>
        <w:jc w:val="both"/>
        <w:rPr>
          <w:rFonts w:ascii="Arial" w:hAnsi="Arial" w:cs="Arial"/>
          <w:sz w:val="22"/>
          <w:szCs w:val="22"/>
        </w:rPr>
      </w:pPr>
      <w:r w:rsidRPr="00CA6527">
        <w:rPr>
          <w:rFonts w:ascii="Arial" w:hAnsi="Arial" w:cs="Arial"/>
          <w:sz w:val="22"/>
          <w:szCs w:val="22"/>
        </w:rPr>
        <w:t xml:space="preserve">Administrative burdens exacerbate these pressures: the implementation of the Electronic Prescription Service (EPS) and unremunerated repeat dispensing tasks absorb significant pharmacist time, while the limited deployment of pharmacy technicians impedes efficient task delegation </w:t>
      </w:r>
      <w:r w:rsidRPr="00CA6527" w:rsidR="00004964">
        <w:rPr>
          <w:rFonts w:ascii="Arial" w:hAnsi="Arial" w:cs="Arial"/>
          <w:sz w:val="22"/>
          <w:szCs w:val="22"/>
        </w:rPr>
        <w:t>(Hope, 2024)</w:t>
      </w:r>
      <w:r w:rsidRPr="00CA6527">
        <w:rPr>
          <w:rFonts w:ascii="Arial" w:hAnsi="Arial" w:cs="Arial"/>
          <w:sz w:val="22"/>
          <w:szCs w:val="22"/>
        </w:rPr>
        <w:t>. Although the NHS People Plan (2020) recommended the recruitment of an additional 5,000 pharmacy staff by 2023</w:t>
      </w:r>
      <w:r w:rsidRPr="00CA6527" w:rsidR="00B72333">
        <w:rPr>
          <w:rFonts w:ascii="Arial" w:hAnsi="Arial" w:cs="Arial"/>
          <w:sz w:val="22"/>
          <w:szCs w:val="22"/>
        </w:rPr>
        <w:t xml:space="preserve"> (NHS England, 2020)</w:t>
      </w:r>
      <w:r w:rsidRPr="00CA6527">
        <w:rPr>
          <w:rFonts w:ascii="Arial" w:hAnsi="Arial" w:cs="Arial"/>
          <w:sz w:val="22"/>
          <w:szCs w:val="22"/>
        </w:rPr>
        <w:t>, progress has been hampered by constrained funding for pre-registration training, limited university-intake expansion, and restrictive immigration policies for international recruits. The resultant workforce shortages undermine compliance with General Pharmaceutical Council standards, jeopardising patient safety and service quality</w:t>
      </w:r>
      <w:r w:rsidRPr="00CA6527" w:rsidR="00FC3F5E">
        <w:rPr>
          <w:rFonts w:ascii="Arial" w:hAnsi="Arial" w:cs="Arial"/>
          <w:sz w:val="22"/>
          <w:szCs w:val="22"/>
        </w:rPr>
        <w:t xml:space="preserve"> (Nwoke, 2024)</w:t>
      </w:r>
      <w:r w:rsidRPr="00CA6527">
        <w:rPr>
          <w:rFonts w:ascii="Arial" w:hAnsi="Arial" w:cs="Arial"/>
          <w:sz w:val="22"/>
          <w:szCs w:val="22"/>
        </w:rPr>
        <w:t xml:space="preserve">. </w:t>
      </w:r>
      <w:r w:rsidRPr="00CA6527" w:rsidR="00FF4EC7">
        <w:rPr>
          <w:rFonts w:ascii="Arial" w:hAnsi="Arial" w:cs="Arial"/>
          <w:sz w:val="22"/>
          <w:szCs w:val="22"/>
        </w:rPr>
        <w:t>House of Commons (2021)</w:t>
      </w:r>
      <w:r w:rsidRPr="00CA6527" w:rsidR="00FF4EC7">
        <w:rPr>
          <w:rStyle w:val="Emphasis"/>
          <w:rFonts w:ascii="Arial" w:hAnsi="Arial" w:cs="Arial" w:eastAsiaTheme="majorEastAsia"/>
          <w:sz w:val="22"/>
          <w:szCs w:val="22"/>
        </w:rPr>
        <w:t xml:space="preserve"> </w:t>
      </w:r>
      <w:r w:rsidRPr="00CA6527">
        <w:rPr>
          <w:rFonts w:ascii="Arial" w:hAnsi="Arial" w:cs="Arial"/>
          <w:sz w:val="22"/>
          <w:szCs w:val="22"/>
        </w:rPr>
        <w:t xml:space="preserve">indicated that staff burnout and turnover have risen in areas with high advanced-service uptake </w:t>
      </w:r>
      <w:r w:rsidRPr="00CA6527" w:rsidR="00126310">
        <w:rPr>
          <w:rFonts w:ascii="Arial" w:hAnsi="Arial" w:cs="Arial"/>
          <w:sz w:val="22"/>
          <w:szCs w:val="22"/>
        </w:rPr>
        <w:t xml:space="preserve">like </w:t>
      </w:r>
      <w:r w:rsidRPr="00CA6527" w:rsidR="00126310">
        <w:rPr>
          <w:rStyle w:val="Strong"/>
          <w:rFonts w:ascii="Arial" w:hAnsi="Arial" w:cs="Arial" w:eastAsiaTheme="majorEastAsia"/>
          <w:sz w:val="22"/>
          <w:szCs w:val="22"/>
        </w:rPr>
        <w:t>London boroughs</w:t>
      </w:r>
      <w:r w:rsidRPr="00CA6527" w:rsidR="00126310">
        <w:rPr>
          <w:rFonts w:ascii="Arial" w:hAnsi="Arial" w:cs="Arial"/>
          <w:sz w:val="22"/>
          <w:szCs w:val="22"/>
        </w:rPr>
        <w:t xml:space="preserve"> such as Tower Hamlets and Newham, and </w:t>
      </w:r>
      <w:r w:rsidRPr="00CA6527" w:rsidR="00126310">
        <w:rPr>
          <w:rStyle w:val="Strong"/>
          <w:rFonts w:ascii="Arial" w:hAnsi="Arial" w:cs="Arial" w:eastAsiaTheme="majorEastAsia"/>
          <w:sz w:val="22"/>
          <w:szCs w:val="22"/>
        </w:rPr>
        <w:t>Greater Manchester</w:t>
      </w:r>
      <w:r w:rsidRPr="00CA6527" w:rsidR="00126310">
        <w:rPr>
          <w:rFonts w:ascii="Arial" w:hAnsi="Arial" w:cs="Arial"/>
          <w:sz w:val="22"/>
          <w:szCs w:val="22"/>
        </w:rPr>
        <w:t xml:space="preserve"> localities (e.g. Manchester Central and Oldham West),</w:t>
      </w:r>
      <w:r w:rsidRPr="00CA6527">
        <w:rPr>
          <w:rFonts w:ascii="Arial" w:hAnsi="Arial" w:cs="Arial"/>
          <w:sz w:val="22"/>
          <w:szCs w:val="22"/>
        </w:rPr>
        <w:t xml:space="preserve"> threatening the continuity of care and the sustainability of community pharmacy as a cornerstone of primary care.</w:t>
      </w:r>
    </w:p>
    <w:p w:rsidRPr="00CA6527" w:rsidR="00E115E0" w:rsidP="00CA6527" w:rsidRDefault="002D49CD" w14:paraId="6F8401F6" w14:textId="77777777">
      <w:pPr>
        <w:pStyle w:val="NormalWeb"/>
        <w:spacing w:line="360" w:lineRule="auto"/>
        <w:jc w:val="both"/>
        <w:rPr>
          <w:rStyle w:val="Strong"/>
          <w:rFonts w:ascii="Arial" w:hAnsi="Arial" w:cs="Arial" w:eastAsiaTheme="majorEastAsia"/>
          <w:sz w:val="22"/>
          <w:szCs w:val="22"/>
        </w:rPr>
      </w:pPr>
      <w:r w:rsidRPr="00CA6527">
        <w:rPr>
          <w:rStyle w:val="Strong"/>
          <w:rFonts w:ascii="Arial" w:hAnsi="Arial" w:cs="Arial" w:eastAsiaTheme="majorEastAsia"/>
          <w:sz w:val="22"/>
          <w:szCs w:val="22"/>
        </w:rPr>
        <w:t>Conclusion and Recommendations</w:t>
      </w:r>
    </w:p>
    <w:p w:rsidRPr="00CA6527" w:rsidR="002D49CD" w:rsidP="00CA6527" w:rsidRDefault="002D49CD" w14:paraId="29841E5C" w14:textId="21DE1B45">
      <w:pPr>
        <w:pStyle w:val="NormalWeb"/>
        <w:spacing w:line="360" w:lineRule="auto"/>
        <w:jc w:val="both"/>
        <w:rPr>
          <w:rFonts w:ascii="Arial" w:hAnsi="Arial" w:cs="Arial"/>
          <w:sz w:val="22"/>
          <w:szCs w:val="22"/>
        </w:rPr>
      </w:pPr>
      <w:r w:rsidRPr="00CA6527">
        <w:rPr>
          <w:rFonts w:ascii="Arial" w:hAnsi="Arial" w:cs="Arial"/>
          <w:sz w:val="22"/>
          <w:szCs w:val="22"/>
        </w:rPr>
        <w:lastRenderedPageBreak/>
        <w:t xml:space="preserve">Addressing these intertwined challenges requires a strategic, multi-faceted approach. First, the Department of Health and Social Care should recalibrate the Community Pharmacy Contractual Framework by reinstating equitable dispensing margins and establishing a sustainable global sum that accounts for inflation, dispensing volumes and the socioeconomic context of pharmacies </w:t>
      </w:r>
      <w:r w:rsidRPr="00CA6527" w:rsidR="00B30E49">
        <w:rPr>
          <w:rFonts w:ascii="Arial" w:hAnsi="Arial" w:cs="Arial"/>
          <w:sz w:val="22"/>
          <w:szCs w:val="22"/>
        </w:rPr>
        <w:t>(NHS, 2024)</w:t>
      </w:r>
      <w:r w:rsidRPr="00CA6527">
        <w:rPr>
          <w:rFonts w:ascii="Arial" w:hAnsi="Arial" w:cs="Arial"/>
          <w:sz w:val="22"/>
          <w:szCs w:val="22"/>
        </w:rPr>
        <w:t>. Introducing a tiered reimbursement model with higher rates for pharmacies serving deprived or rural populations would mitigate “pharmacy deserts” and align funding with the NHS Long Term Plan’s equity goals. Additionally, advanced-service funding streams must be ring-fenced to ensure that clinical roles are financially viable without undermining core dispensing income</w:t>
      </w:r>
      <w:r w:rsidRPr="00CA6527" w:rsidR="00BA2377">
        <w:rPr>
          <w:rFonts w:ascii="Arial" w:hAnsi="Arial" w:cs="Arial"/>
          <w:sz w:val="22"/>
          <w:szCs w:val="22"/>
        </w:rPr>
        <w:t xml:space="preserve"> (Sahota et al., 2023)</w:t>
      </w:r>
      <w:r w:rsidRPr="00CA6527">
        <w:rPr>
          <w:rFonts w:ascii="Arial" w:hAnsi="Arial" w:cs="Arial"/>
          <w:sz w:val="22"/>
          <w:szCs w:val="22"/>
        </w:rPr>
        <w:t>.</w:t>
      </w:r>
    </w:p>
    <w:p w:rsidRPr="00CA6527" w:rsidR="002D49CD" w:rsidP="00CA6527" w:rsidRDefault="002D49CD" w14:paraId="4C8D7122" w14:textId="5CCD2981">
      <w:pPr>
        <w:pStyle w:val="NormalWeb"/>
        <w:spacing w:line="360" w:lineRule="auto"/>
        <w:jc w:val="both"/>
        <w:rPr>
          <w:rFonts w:ascii="Arial" w:hAnsi="Arial" w:cs="Arial"/>
          <w:sz w:val="22"/>
          <w:szCs w:val="22"/>
        </w:rPr>
      </w:pPr>
      <w:r w:rsidRPr="00CA6527">
        <w:rPr>
          <w:rFonts w:ascii="Arial" w:hAnsi="Arial" w:cs="Arial"/>
          <w:sz w:val="22"/>
          <w:szCs w:val="22"/>
        </w:rPr>
        <w:t>Second, workforce capacity should be enhanced through a comprehensive pharmacy workforce development plan. This entails increasing pharmacy-student enrolment, expanding funded pre-registration placements and fast-tracking the professionalisation and deployment of pharmacy technicians to assume routine dispensing responsibilities. Investment in digital automation—such as robotic dispensing systems and telepharmacy platforms—can further reduce administrative burdens, enabling pharmacists to focus on patient-centred clinical services</w:t>
      </w:r>
      <w:r w:rsidRPr="00CA6527" w:rsidR="00FA51E1">
        <w:rPr>
          <w:rFonts w:ascii="Arial" w:hAnsi="Arial" w:cs="Arial"/>
          <w:sz w:val="22"/>
          <w:szCs w:val="22"/>
        </w:rPr>
        <w:t xml:space="preserve"> (Bates et al., 2022)</w:t>
      </w:r>
      <w:r w:rsidRPr="00CA6527">
        <w:rPr>
          <w:rFonts w:ascii="Arial" w:hAnsi="Arial" w:cs="Arial"/>
          <w:sz w:val="22"/>
          <w:szCs w:val="22"/>
        </w:rPr>
        <w:t>. Immigration policies should also be refined to facilitate the recruitment of internationally trained pharmacists, providing immediate relief while domestic training capacity scales</w:t>
      </w:r>
      <w:r w:rsidRPr="00CA6527" w:rsidR="001C36C5">
        <w:rPr>
          <w:rFonts w:ascii="Arial" w:hAnsi="Arial" w:cs="Arial"/>
          <w:sz w:val="22"/>
          <w:szCs w:val="22"/>
        </w:rPr>
        <w:t xml:space="preserve"> (Walton-Roberts et al., 2017)</w:t>
      </w:r>
      <w:r w:rsidRPr="00CA6527">
        <w:rPr>
          <w:rFonts w:ascii="Arial" w:hAnsi="Arial" w:cs="Arial"/>
          <w:sz w:val="22"/>
          <w:szCs w:val="22"/>
        </w:rPr>
        <w:t>. Finally, establishing a national workforce observatory for pharmacy would enable real-time monitoring of staffing levels, workload metrics and service outcomes, guiding policy adjustments and ensuring compliance with regulatory standards</w:t>
      </w:r>
      <w:r w:rsidRPr="00CA6527" w:rsidR="00DC2A76">
        <w:rPr>
          <w:rFonts w:ascii="Arial" w:hAnsi="Arial" w:cs="Arial"/>
          <w:sz w:val="22"/>
          <w:szCs w:val="22"/>
        </w:rPr>
        <w:t xml:space="preserve"> (Sahota et al., 2023)</w:t>
      </w:r>
      <w:r w:rsidRPr="00CA6527">
        <w:rPr>
          <w:rFonts w:ascii="Arial" w:hAnsi="Arial" w:cs="Arial"/>
          <w:sz w:val="22"/>
          <w:szCs w:val="22"/>
        </w:rPr>
        <w:t>.</w:t>
      </w:r>
    </w:p>
    <w:p w:rsidR="002D49CD" w:rsidP="00CA6527" w:rsidRDefault="002D49CD" w14:paraId="693A0AA7" w14:textId="77777777">
      <w:pPr>
        <w:pStyle w:val="NormalWeb"/>
        <w:spacing w:line="360" w:lineRule="auto"/>
        <w:jc w:val="both"/>
        <w:rPr>
          <w:rFonts w:ascii="Arial" w:hAnsi="Arial" w:cs="Arial"/>
          <w:sz w:val="22"/>
          <w:szCs w:val="22"/>
        </w:rPr>
      </w:pPr>
      <w:r w:rsidRPr="00CA6527">
        <w:rPr>
          <w:rFonts w:ascii="Arial" w:hAnsi="Arial" w:cs="Arial"/>
          <w:sz w:val="22"/>
          <w:szCs w:val="22"/>
        </w:rPr>
        <w:t>By reinforcing financial sustainability and strengthening workforce capacity, policymakers can safeguard the future of community pharmacy, enabling it to fulfil its statutory responsibilities under the Care Act 2014 to promote well-being, prevent health deterioration and deliver integrated, high-quality primary care services.</w:t>
      </w:r>
    </w:p>
    <w:p w:rsidR="00A3421A" w:rsidP="00CA6527" w:rsidRDefault="00A3421A" w14:paraId="6E74160C" w14:textId="77777777">
      <w:pPr>
        <w:pStyle w:val="NormalWeb"/>
        <w:spacing w:line="360" w:lineRule="auto"/>
        <w:jc w:val="both"/>
        <w:rPr>
          <w:rFonts w:ascii="Arial" w:hAnsi="Arial" w:cs="Arial"/>
          <w:sz w:val="22"/>
          <w:szCs w:val="22"/>
        </w:rPr>
      </w:pPr>
    </w:p>
    <w:p w:rsidR="00A3421A" w:rsidP="00CA6527" w:rsidRDefault="00A3421A" w14:paraId="74BE5B11" w14:textId="77777777">
      <w:pPr>
        <w:pStyle w:val="NormalWeb"/>
        <w:spacing w:line="360" w:lineRule="auto"/>
        <w:jc w:val="both"/>
        <w:rPr>
          <w:rFonts w:ascii="Arial" w:hAnsi="Arial" w:cs="Arial"/>
          <w:sz w:val="22"/>
          <w:szCs w:val="22"/>
        </w:rPr>
      </w:pPr>
    </w:p>
    <w:p w:rsidR="00A3421A" w:rsidP="00CA6527" w:rsidRDefault="00A3421A" w14:paraId="52DAD044" w14:textId="77777777">
      <w:pPr>
        <w:pStyle w:val="NormalWeb"/>
        <w:spacing w:line="360" w:lineRule="auto"/>
        <w:jc w:val="both"/>
        <w:rPr>
          <w:rFonts w:ascii="Arial" w:hAnsi="Arial" w:cs="Arial"/>
          <w:sz w:val="22"/>
          <w:szCs w:val="22"/>
        </w:rPr>
      </w:pPr>
    </w:p>
    <w:p w:rsidR="00A3421A" w:rsidP="00CA6527" w:rsidRDefault="00A3421A" w14:paraId="2728BA5E" w14:textId="77777777">
      <w:pPr>
        <w:pStyle w:val="NormalWeb"/>
        <w:spacing w:line="360" w:lineRule="auto"/>
        <w:jc w:val="both"/>
        <w:rPr>
          <w:rFonts w:ascii="Arial" w:hAnsi="Arial" w:cs="Arial"/>
          <w:sz w:val="22"/>
          <w:szCs w:val="22"/>
        </w:rPr>
      </w:pPr>
    </w:p>
    <w:p w:rsidR="00A3421A" w:rsidP="00CA6527" w:rsidRDefault="00A3421A" w14:paraId="08B084DF" w14:textId="77777777">
      <w:pPr>
        <w:pStyle w:val="NormalWeb"/>
        <w:spacing w:line="360" w:lineRule="auto"/>
        <w:jc w:val="both"/>
        <w:rPr>
          <w:rFonts w:ascii="Arial" w:hAnsi="Arial" w:cs="Arial"/>
          <w:sz w:val="22"/>
          <w:szCs w:val="22"/>
        </w:rPr>
      </w:pPr>
    </w:p>
    <w:p w:rsidRPr="00CA6527" w:rsidR="00A3421A" w:rsidP="00CA6527" w:rsidRDefault="00A3421A" w14:paraId="747CAA47" w14:textId="77777777">
      <w:pPr>
        <w:pStyle w:val="NormalWeb"/>
        <w:spacing w:line="360" w:lineRule="auto"/>
        <w:jc w:val="both"/>
        <w:rPr>
          <w:rFonts w:ascii="Arial" w:hAnsi="Arial" w:cs="Arial"/>
          <w:sz w:val="22"/>
          <w:szCs w:val="22"/>
        </w:rPr>
      </w:pPr>
    </w:p>
    <w:p w:rsidRPr="00CA6527" w:rsidR="004418D7" w:rsidP="00CA6527" w:rsidRDefault="00DC2A76" w14:paraId="0CB697F0" w14:textId="45A90937">
      <w:pPr>
        <w:jc w:val="both"/>
        <w:rPr>
          <w:rFonts w:ascii="Arial" w:hAnsi="Arial" w:cs="Arial"/>
          <w:b/>
          <w:bCs/>
          <w:szCs w:val="22"/>
          <w:lang w:val="en-GB"/>
        </w:rPr>
      </w:pPr>
      <w:r w:rsidRPr="00CA6527">
        <w:rPr>
          <w:rFonts w:ascii="Arial" w:hAnsi="Arial" w:cs="Arial"/>
          <w:b/>
          <w:bCs/>
          <w:szCs w:val="22"/>
          <w:lang w:val="en-GB"/>
        </w:rPr>
        <w:lastRenderedPageBreak/>
        <w:t>References</w:t>
      </w:r>
    </w:p>
    <w:p w:rsidRPr="00CA6527" w:rsidR="00DC2A76" w:rsidP="00CA6527" w:rsidRDefault="00DC2A76" w14:paraId="5AA34EE6"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Bates, I., Patel, D., Chan, A.H.Y., Rutter, V., Bader, L., Meilianti, S. and Udoh, A. (2022). A comparative analysis of pharmaceutical workforce development needs across the commonwealth. </w:t>
      </w:r>
      <w:r w:rsidRPr="00CA6527">
        <w:rPr>
          <w:rFonts w:ascii="Arial" w:hAnsi="Arial" w:cs="Arial"/>
          <w:i/>
          <w:iCs/>
          <w:sz w:val="22"/>
          <w:szCs w:val="22"/>
        </w:rPr>
        <w:t>Research in Social and Administrative Pharmacy</w:t>
      </w:r>
      <w:r w:rsidRPr="00CA6527">
        <w:rPr>
          <w:rFonts w:ascii="Arial" w:hAnsi="Arial" w:cs="Arial"/>
          <w:sz w:val="22"/>
          <w:szCs w:val="22"/>
        </w:rPr>
        <w:t>, 19(1), pp.167–179. doi:https://doi.org/10.1016/j.sapharm.2022.07.010.</w:t>
      </w:r>
    </w:p>
    <w:p w:rsidRPr="00CA6527" w:rsidR="00DC2A76" w:rsidP="00CA6527" w:rsidRDefault="00DC2A76" w14:paraId="4616C105"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Borthwick, M., Barton, G., Ioannides, C.P., Forrest, R., Graham-Clarke, E., Hanks, F., James, C., Kean, D., Sapsford, D., Timmins, A., Tomlin, M., Warburton, J. and Bourne, R.S. (2023). Critical care pharmacy workforce: a 2020 re-evaluation of the UK deployment and characteristics. </w:t>
      </w:r>
      <w:r w:rsidRPr="00CA6527">
        <w:rPr>
          <w:rFonts w:ascii="Arial" w:hAnsi="Arial" w:cs="Arial"/>
          <w:i/>
          <w:iCs/>
          <w:sz w:val="22"/>
          <w:szCs w:val="22"/>
        </w:rPr>
        <w:t>Human Resources for Health</w:t>
      </w:r>
      <w:r w:rsidRPr="00CA6527">
        <w:rPr>
          <w:rFonts w:ascii="Arial" w:hAnsi="Arial" w:cs="Arial"/>
          <w:sz w:val="22"/>
          <w:szCs w:val="22"/>
        </w:rPr>
        <w:t>, 21(1). doi:https://doi.org/10.1186/s12960-023-00810-y.</w:t>
      </w:r>
    </w:p>
    <w:p w:rsidRPr="00CA6527" w:rsidR="00DC2A76" w:rsidP="00CA6527" w:rsidRDefault="00DC2A76" w14:paraId="71F7B322"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City Population (2024). </w:t>
      </w:r>
      <w:r w:rsidRPr="00CA6527">
        <w:rPr>
          <w:rFonts w:ascii="Arial" w:hAnsi="Arial" w:cs="Arial"/>
          <w:i/>
          <w:iCs/>
          <w:sz w:val="22"/>
          <w:szCs w:val="22"/>
        </w:rPr>
        <w:t>Ward End (United Kingdom) - Population Statistics, Charts, Map and Location</w:t>
      </w:r>
      <w:r w:rsidRPr="00CA6527">
        <w:rPr>
          <w:rFonts w:ascii="Arial" w:hAnsi="Arial" w:cs="Arial"/>
          <w:sz w:val="22"/>
          <w:szCs w:val="22"/>
        </w:rPr>
        <w:t>. [online] Citypopulation.de. Available at: https://www.citypopulation.de/en/uk/westmidlands/wards/birmingham/E05011183__ward_end/ [Accessed 10 Jun. 2025].</w:t>
      </w:r>
    </w:p>
    <w:p w:rsidRPr="00CA6527" w:rsidR="00DC2A76" w:rsidP="00CA6527" w:rsidRDefault="00DC2A76" w14:paraId="46A002C8"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Clark, S.D. and Newing, A. (2025). Assessing spatial accessibility of community pharmacies in England and Wales using floating catchment area techniques. </w:t>
      </w:r>
      <w:r w:rsidRPr="00CA6527">
        <w:rPr>
          <w:rFonts w:ascii="Arial" w:hAnsi="Arial" w:cs="Arial"/>
          <w:i/>
          <w:iCs/>
          <w:sz w:val="22"/>
          <w:szCs w:val="22"/>
        </w:rPr>
        <w:t>Journal of Pharmaceutical Policy and Practice</w:t>
      </w:r>
      <w:r w:rsidRPr="00CA6527">
        <w:rPr>
          <w:rFonts w:ascii="Arial" w:hAnsi="Arial" w:cs="Arial"/>
          <w:sz w:val="22"/>
          <w:szCs w:val="22"/>
        </w:rPr>
        <w:t>, 18(1). doi:https://doi.org/10.1080/20523211.2025.2466203.</w:t>
      </w:r>
    </w:p>
    <w:p w:rsidRPr="00CA6527" w:rsidR="00DC2A76" w:rsidP="00CA6527" w:rsidRDefault="00DC2A76" w14:paraId="03978DFF"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Darzi, A. (2024). </w:t>
      </w:r>
      <w:r w:rsidRPr="00CA6527">
        <w:rPr>
          <w:rFonts w:ascii="Arial" w:hAnsi="Arial" w:cs="Arial"/>
          <w:i/>
          <w:iCs/>
          <w:sz w:val="22"/>
          <w:szCs w:val="22"/>
        </w:rPr>
        <w:t>Independent Investigation of the National Health Service in England</w:t>
      </w:r>
      <w:r w:rsidRPr="00CA6527">
        <w:rPr>
          <w:rFonts w:ascii="Arial" w:hAnsi="Arial" w:cs="Arial"/>
          <w:sz w:val="22"/>
          <w:szCs w:val="22"/>
        </w:rPr>
        <w:t>. [online] Available at: https://assets.publishing.service.gov.uk/media/66f42ae630536cb92748271f/Lord-Darzi-Independent-Investigation-of-the-National-Health-Service-in-England-Updated-25-September.pdf [Accessed 10 Jun. 2025].</w:t>
      </w:r>
    </w:p>
    <w:p w:rsidRPr="00CA6527" w:rsidR="00DC2A76" w:rsidP="00CA6527" w:rsidRDefault="00DC2A76" w14:paraId="682F3338"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Department of Health (2017). </w:t>
      </w:r>
      <w:r w:rsidRPr="00CA6527">
        <w:rPr>
          <w:rFonts w:ascii="Arial" w:hAnsi="Arial" w:cs="Arial"/>
          <w:i/>
          <w:iCs/>
          <w:sz w:val="22"/>
          <w:szCs w:val="22"/>
        </w:rPr>
        <w:t xml:space="preserve">Community Pharmacy in 2016/17 and beyond - proposals Stakeholder briefing sessions </w:t>
      </w:r>
      <w:r w:rsidRPr="00CA6527">
        <w:rPr>
          <w:rFonts w:ascii="Arial" w:hAnsi="Arial" w:cs="Arial"/>
          <w:sz w:val="22"/>
          <w:szCs w:val="22"/>
        </w:rPr>
        <w:t>. [online] Available at: https://assets.publishing.service.gov.uk/media/5a7f870ce5274a2e8ab4cb71/Community_pharmacy_in_2016-17_and_beyond_A.pdf [Accessed 10 Jun. 2025].</w:t>
      </w:r>
    </w:p>
    <w:p w:rsidRPr="00CA6527" w:rsidR="00DC2A76" w:rsidP="00CA6527" w:rsidRDefault="00DC2A76" w14:paraId="75CCE566"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Department of Health &amp; Social Care (2019). </w:t>
      </w:r>
      <w:r w:rsidRPr="00CA6527">
        <w:rPr>
          <w:rFonts w:ascii="Arial" w:hAnsi="Arial" w:cs="Arial"/>
          <w:i/>
          <w:iCs/>
          <w:sz w:val="22"/>
          <w:szCs w:val="22"/>
        </w:rPr>
        <w:t>The Community Pharmacy Contractual Framework for 2019/20 to 2023/24: supporting delivery for the NHS Long Term Plan</w:t>
      </w:r>
      <w:r w:rsidRPr="00CA6527">
        <w:rPr>
          <w:rFonts w:ascii="Arial" w:hAnsi="Arial" w:cs="Arial"/>
          <w:sz w:val="22"/>
          <w:szCs w:val="22"/>
        </w:rPr>
        <w:t>. [online] Available at: https://assets.publishing.service.gov.uk/media/5d359f2e40f0b604de59fd82/cpcf-2019-to-2024.pdf [Accessed 10 Jun. 2025].</w:t>
      </w:r>
    </w:p>
    <w:p w:rsidRPr="00CA6527" w:rsidR="00DC2A76" w:rsidP="00CA6527" w:rsidRDefault="00DC2A76" w14:paraId="50897623"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lastRenderedPageBreak/>
        <w:t>Ferner, R.E. and Aronson, J.K. (2022). Medicines Legislation and Regulation in the United Kingdom 1500</w:t>
      </w:r>
      <w:r w:rsidRPr="00CA6527">
        <w:rPr>
          <w:rFonts w:ascii="Cambria Math" w:hAnsi="Cambria Math" w:cs="Cambria Math"/>
          <w:sz w:val="22"/>
          <w:szCs w:val="22"/>
        </w:rPr>
        <w:t>‐</w:t>
      </w:r>
      <w:r w:rsidRPr="00CA6527">
        <w:rPr>
          <w:rFonts w:ascii="Arial" w:hAnsi="Arial" w:cs="Arial"/>
          <w:sz w:val="22"/>
          <w:szCs w:val="22"/>
        </w:rPr>
        <w:t xml:space="preserve">2020. </w:t>
      </w:r>
      <w:r w:rsidRPr="00CA6527">
        <w:rPr>
          <w:rFonts w:ascii="Arial" w:hAnsi="Arial" w:cs="Arial"/>
          <w:i/>
          <w:iCs/>
          <w:sz w:val="22"/>
          <w:szCs w:val="22"/>
        </w:rPr>
        <w:t>British Journal of Clinical Pharmacology</w:t>
      </w:r>
      <w:r w:rsidRPr="00CA6527">
        <w:rPr>
          <w:rFonts w:ascii="Arial" w:hAnsi="Arial" w:cs="Arial"/>
          <w:sz w:val="22"/>
          <w:szCs w:val="22"/>
        </w:rPr>
        <w:t>, 89(1). doi:https://doi.org/10.1111/bcp.15497.</w:t>
      </w:r>
    </w:p>
    <w:p w:rsidRPr="00CA6527" w:rsidR="00DC2A76" w:rsidP="00CA6527" w:rsidRDefault="00DC2A76" w14:paraId="4485EEC3"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Gov UK (2010). </w:t>
      </w:r>
      <w:r w:rsidRPr="00CA6527">
        <w:rPr>
          <w:rFonts w:ascii="Arial" w:hAnsi="Arial" w:cs="Arial"/>
          <w:i/>
          <w:iCs/>
          <w:sz w:val="22"/>
          <w:szCs w:val="22"/>
        </w:rPr>
        <w:t>The Pharmacy Order 2010</w:t>
      </w:r>
      <w:r w:rsidRPr="00CA6527">
        <w:rPr>
          <w:rFonts w:ascii="Arial" w:hAnsi="Arial" w:cs="Arial"/>
          <w:sz w:val="22"/>
          <w:szCs w:val="22"/>
        </w:rPr>
        <w:t>. [online] Legislation.gov.uk. Available at: https://www.legislation.gov.uk/ukdsi/2010/9780111487358 [Accessed 10 Jun. 2025].</w:t>
      </w:r>
    </w:p>
    <w:p w:rsidRPr="00CA6527" w:rsidR="00DC2A76" w:rsidP="00CA6527" w:rsidRDefault="00DC2A76" w14:paraId="612584B5"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Gov UK (2014). </w:t>
      </w:r>
      <w:r w:rsidRPr="00CA6527">
        <w:rPr>
          <w:rFonts w:ascii="Arial" w:hAnsi="Arial" w:cs="Arial"/>
          <w:i/>
          <w:iCs/>
          <w:sz w:val="22"/>
          <w:szCs w:val="22"/>
        </w:rPr>
        <w:t>Care Act 2014</w:t>
      </w:r>
      <w:r w:rsidRPr="00CA6527">
        <w:rPr>
          <w:rFonts w:ascii="Arial" w:hAnsi="Arial" w:cs="Arial"/>
          <w:sz w:val="22"/>
          <w:szCs w:val="22"/>
        </w:rPr>
        <w:t>. [online] Legislation.gov.uk. Available at: https://www.legislation.gov.uk/ukpga/2014/23/contents [Accessed 10 Jun. 2025].</w:t>
      </w:r>
    </w:p>
    <w:p w:rsidRPr="00CA6527" w:rsidR="00DC2A76" w:rsidP="00CA6527" w:rsidRDefault="00DC2A76" w14:paraId="7760F3BC"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Hope, V. (2024). </w:t>
      </w:r>
      <w:r w:rsidRPr="00CA6527">
        <w:rPr>
          <w:rFonts w:ascii="Arial" w:hAnsi="Arial" w:cs="Arial"/>
          <w:i/>
          <w:iCs/>
          <w:sz w:val="22"/>
          <w:szCs w:val="22"/>
        </w:rPr>
        <w:t>Supervision consultation</w:t>
      </w:r>
      <w:r w:rsidRPr="00CA6527">
        <w:rPr>
          <w:rFonts w:ascii="Arial" w:hAnsi="Arial" w:cs="Arial"/>
          <w:sz w:val="22"/>
          <w:szCs w:val="22"/>
        </w:rPr>
        <w:t>. [online] Aptuk.org. Available at: https://www.aptuk.org/member-news/supervision-consultation [Accessed 10 Jun. 2025].</w:t>
      </w:r>
    </w:p>
    <w:p w:rsidRPr="00CA6527" w:rsidR="00DC2A76" w:rsidP="00CA6527" w:rsidRDefault="00DC2A76" w14:paraId="5D736749"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House of Commons (2021). </w:t>
      </w:r>
      <w:r w:rsidRPr="00CA6527">
        <w:rPr>
          <w:rFonts w:ascii="Arial" w:hAnsi="Arial" w:cs="Arial"/>
          <w:i/>
          <w:iCs/>
          <w:sz w:val="22"/>
          <w:szCs w:val="22"/>
        </w:rPr>
        <w:t>Workforce Burnout and Resilience in the NHS and Social Care Second Report of Session 2021-22 Report, Together with Formal Minutes Relating to the Report</w:t>
      </w:r>
      <w:r w:rsidRPr="00CA6527">
        <w:rPr>
          <w:rFonts w:ascii="Arial" w:hAnsi="Arial" w:cs="Arial"/>
          <w:sz w:val="22"/>
          <w:szCs w:val="22"/>
        </w:rPr>
        <w:t>. [online] House of Commons. Available at: https://committees.parliament.uk/publications/6158/documents/68766/default/ [Accessed 10 Jun. 2025].</w:t>
      </w:r>
    </w:p>
    <w:p w:rsidRPr="00CA6527" w:rsidR="00DC2A76" w:rsidP="00CA6527" w:rsidRDefault="00DC2A76" w14:paraId="2F4E3C41"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Hunt, X., Bradshaw, M., Vogel, S.L., Encalada, A.V., Eksteen, S., Schneider, M., Chunga, K. and Swartz, L. (2022). Community Support for Persons with Disabilities in Low- and Middle-Income Countries: A Scoping Review. </w:t>
      </w:r>
      <w:r w:rsidRPr="00CA6527">
        <w:rPr>
          <w:rFonts w:ascii="Arial" w:hAnsi="Arial" w:cs="Arial"/>
          <w:i/>
          <w:iCs/>
          <w:sz w:val="22"/>
          <w:szCs w:val="22"/>
        </w:rPr>
        <w:t>International Journal of Environmental Research and Public Health</w:t>
      </w:r>
      <w:r w:rsidRPr="00CA6527">
        <w:rPr>
          <w:rFonts w:ascii="Arial" w:hAnsi="Arial" w:cs="Arial"/>
          <w:sz w:val="22"/>
          <w:szCs w:val="22"/>
        </w:rPr>
        <w:t>, 19(14), p.8269. doi:https://doi.org/10.3390/ijerph19148269.</w:t>
      </w:r>
    </w:p>
    <w:p w:rsidRPr="00CA6527" w:rsidR="00DC2A76" w:rsidP="00CA6527" w:rsidRDefault="00DC2A76" w14:paraId="676A5032"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Janković, S. (2024). </w:t>
      </w:r>
      <w:r w:rsidRPr="00CA6527">
        <w:rPr>
          <w:rFonts w:ascii="Arial" w:hAnsi="Arial" w:cs="Arial"/>
          <w:i/>
          <w:iCs/>
          <w:sz w:val="22"/>
          <w:szCs w:val="22"/>
        </w:rPr>
        <w:t>Two-thirds of pharmacies in England operate at a loss, reveals survey</w:t>
      </w:r>
      <w:r w:rsidRPr="00CA6527">
        <w:rPr>
          <w:rFonts w:ascii="Arial" w:hAnsi="Arial" w:cs="Arial"/>
          <w:sz w:val="22"/>
          <w:szCs w:val="22"/>
        </w:rPr>
        <w:t>. [online] The Pharmaceutical Journal. Available at: https://pharmaceutical-journal.com/article/news/two-thirds-of-pharmacies-in-england-operate-at-a-loss-reveals-survey [Accessed 10 Jun. 2025].</w:t>
      </w:r>
    </w:p>
    <w:p w:rsidRPr="00CA6527" w:rsidR="00DC2A76" w:rsidP="00CA6527" w:rsidRDefault="00DC2A76" w14:paraId="74936C0C"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Looman, W., Struckmann, V., Köppen, J., Baltaxe, E., Czypionka, T., Huic, M., Pitter, J., Ruths, S., Stokes, J., Bal, R. and Rutten-van Mölken, M. (2021). Drivers of successful implementation of integrated care for multi-morbidity: Mechanisms identified in 17 case studies from 8 European countries. </w:t>
      </w:r>
      <w:r w:rsidRPr="00CA6527">
        <w:rPr>
          <w:rFonts w:ascii="Arial" w:hAnsi="Arial" w:cs="Arial"/>
          <w:i/>
          <w:iCs/>
          <w:sz w:val="22"/>
          <w:szCs w:val="22"/>
        </w:rPr>
        <w:t>Social Science &amp; Medicine</w:t>
      </w:r>
      <w:r w:rsidRPr="00CA6527">
        <w:rPr>
          <w:rFonts w:ascii="Arial" w:hAnsi="Arial" w:cs="Arial"/>
          <w:sz w:val="22"/>
          <w:szCs w:val="22"/>
        </w:rPr>
        <w:t>, 277, p.113728. doi:https://doi.org/10.1016/j.socscimed.2021.113728.</w:t>
      </w:r>
    </w:p>
    <w:p w:rsidRPr="00CA6527" w:rsidR="00DC2A76" w:rsidP="00CA6527" w:rsidRDefault="00DC2A76" w14:paraId="56A4F90D"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Lu, P., Srivastav, A., Santibanez, T.A., Amaya, A., Dever, J.A., Roycroft, J., Kurtz, M.S. and Williams, W.W. (2021). Trends in place of early-season influenza vaccination among adults, 2014-15 through 2018-19 influenza seasons—The importance of medical and nonmedical settings for vaccination. </w:t>
      </w:r>
      <w:r w:rsidRPr="00CA6527">
        <w:rPr>
          <w:rFonts w:ascii="Arial" w:hAnsi="Arial" w:cs="Arial"/>
          <w:i/>
          <w:iCs/>
          <w:sz w:val="22"/>
          <w:szCs w:val="22"/>
        </w:rPr>
        <w:t>American Journal of Infection Control</w:t>
      </w:r>
      <w:r w:rsidRPr="00CA6527">
        <w:rPr>
          <w:rFonts w:ascii="Arial" w:hAnsi="Arial" w:cs="Arial"/>
          <w:sz w:val="22"/>
          <w:szCs w:val="22"/>
        </w:rPr>
        <w:t>, 49(5), pp.555–562. doi:https://doi.org/10.1016/j.ajic.2020.09.016.</w:t>
      </w:r>
    </w:p>
    <w:p w:rsidRPr="00CA6527" w:rsidR="00DC2A76" w:rsidP="00CA6527" w:rsidRDefault="00DC2A76" w14:paraId="11F348C2"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lastRenderedPageBreak/>
        <w:t xml:space="preserve">Manoliu-Hamwi, E.-M., Dascălu, C.G., Ghiciuc, C.M., Zegan, G., Cărăușu, E.-M., Moscu, M. and Stan, C.D. (2024). Beliefs of patients who visited community pharmacies about medicines and supplements, the need for drug therapy and medication adherence – a cross-sectional study. </w:t>
      </w:r>
      <w:r w:rsidRPr="00CA6527">
        <w:rPr>
          <w:rFonts w:ascii="Arial" w:hAnsi="Arial" w:cs="Arial"/>
          <w:i/>
          <w:iCs/>
          <w:sz w:val="22"/>
          <w:szCs w:val="22"/>
        </w:rPr>
        <w:t>Journal of Pharmaceutical Policy and Practice</w:t>
      </w:r>
      <w:r w:rsidRPr="00CA6527">
        <w:rPr>
          <w:rFonts w:ascii="Arial" w:hAnsi="Arial" w:cs="Arial"/>
          <w:sz w:val="22"/>
          <w:szCs w:val="22"/>
        </w:rPr>
        <w:t>, 17(1). doi:https://doi.org/10.1080/20523211.2024.2438235.</w:t>
      </w:r>
    </w:p>
    <w:p w:rsidRPr="00CA6527" w:rsidR="00DC2A76" w:rsidP="00CA6527" w:rsidRDefault="00DC2A76" w14:paraId="3D3AF692"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NHS (2024). </w:t>
      </w:r>
      <w:r w:rsidRPr="00CA6527">
        <w:rPr>
          <w:rFonts w:ascii="Arial" w:hAnsi="Arial" w:cs="Arial"/>
          <w:i/>
          <w:iCs/>
          <w:sz w:val="22"/>
          <w:szCs w:val="22"/>
        </w:rPr>
        <w:t>NHS England» Community Pharmacy Contractual Framework 2019-2024</w:t>
      </w:r>
      <w:r w:rsidRPr="00CA6527">
        <w:rPr>
          <w:rFonts w:ascii="Arial" w:hAnsi="Arial" w:cs="Arial"/>
          <w:sz w:val="22"/>
          <w:szCs w:val="22"/>
        </w:rPr>
        <w:t>. [online] www.england.nhs.uk. Available at: https://www.england.nhs.uk/primary-care/pharmacy/community-pharmacy-contractual-framework/ [Accessed 10 Jun. 2025].</w:t>
      </w:r>
    </w:p>
    <w:p w:rsidRPr="00CA6527" w:rsidR="00DC2A76" w:rsidP="00CA6527" w:rsidRDefault="00DC2A76" w14:paraId="1A120C71"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NHS England (2019). </w:t>
      </w:r>
      <w:r w:rsidRPr="00CA6527">
        <w:rPr>
          <w:rFonts w:ascii="Arial" w:hAnsi="Arial" w:cs="Arial"/>
          <w:i/>
          <w:iCs/>
          <w:sz w:val="22"/>
          <w:szCs w:val="22"/>
        </w:rPr>
        <w:t>NHS Long Term Plan</w:t>
      </w:r>
      <w:r w:rsidRPr="00CA6527">
        <w:rPr>
          <w:rFonts w:ascii="Arial" w:hAnsi="Arial" w:cs="Arial"/>
          <w:sz w:val="22"/>
          <w:szCs w:val="22"/>
        </w:rPr>
        <w:t>. [online] NHS. Available at: https://www.longtermplan.nhs.uk/ [Accessed 10 Jun. 2025].</w:t>
      </w:r>
    </w:p>
    <w:p w:rsidRPr="00CA6527" w:rsidR="00DC2A76" w:rsidP="00CA6527" w:rsidRDefault="00DC2A76" w14:paraId="417416E1"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NHS England (2020). </w:t>
      </w:r>
      <w:r w:rsidRPr="00CA6527">
        <w:rPr>
          <w:rFonts w:ascii="Arial" w:hAnsi="Arial" w:cs="Arial"/>
          <w:i/>
          <w:iCs/>
          <w:sz w:val="22"/>
          <w:szCs w:val="22"/>
        </w:rPr>
        <w:t>WE ARE THE NHS: People Plan 2020/21 - Action for Us All</w:t>
      </w:r>
      <w:r w:rsidRPr="00CA6527">
        <w:rPr>
          <w:rFonts w:ascii="Arial" w:hAnsi="Arial" w:cs="Arial"/>
          <w:sz w:val="22"/>
          <w:szCs w:val="22"/>
        </w:rPr>
        <w:t xml:space="preserve">. [online] </w:t>
      </w:r>
      <w:r w:rsidRPr="00CA6527">
        <w:rPr>
          <w:rFonts w:ascii="Arial" w:hAnsi="Arial" w:cs="Arial"/>
          <w:i/>
          <w:iCs/>
          <w:sz w:val="22"/>
          <w:szCs w:val="22"/>
        </w:rPr>
        <w:t>NHS England</w:t>
      </w:r>
      <w:r w:rsidRPr="00CA6527">
        <w:rPr>
          <w:rFonts w:ascii="Arial" w:hAnsi="Arial" w:cs="Arial"/>
          <w:sz w:val="22"/>
          <w:szCs w:val="22"/>
        </w:rPr>
        <w:t>. NHS England. Available at: https://www.england.nhs.uk/wp-content/uploads/2020/07/We-Are-The-NHS-Action-For-All-Of-Us-FINAL-March-21.pdf [Accessed 10 Jun. 2025].</w:t>
      </w:r>
    </w:p>
    <w:p w:rsidRPr="00CA6527" w:rsidR="00DC2A76" w:rsidP="00CA6527" w:rsidRDefault="00DC2A76" w14:paraId="1D9E88B0"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NICE (2020). </w:t>
      </w:r>
      <w:r w:rsidRPr="00CA6527">
        <w:rPr>
          <w:rFonts w:ascii="Arial" w:hAnsi="Arial" w:cs="Arial"/>
          <w:i/>
          <w:iCs/>
          <w:sz w:val="22"/>
          <w:szCs w:val="22"/>
        </w:rPr>
        <w:t>Perioperative care in adults NICE guideline: methods NICE guideline NG180</w:t>
      </w:r>
      <w:r w:rsidRPr="00CA6527">
        <w:rPr>
          <w:rFonts w:ascii="Arial" w:hAnsi="Arial" w:cs="Arial"/>
          <w:sz w:val="22"/>
          <w:szCs w:val="22"/>
        </w:rPr>
        <w:t>. [online] Available at: file:///Users/rimshasaqib/Desktop/niceng180er4_bm2.pdf [Accessed 10 Jun. 2025].</w:t>
      </w:r>
    </w:p>
    <w:p w:rsidRPr="00CA6527" w:rsidR="00DC2A76" w:rsidP="00CA6527" w:rsidRDefault="00DC2A76" w14:paraId="65EE7E55"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Nwoke, J. (2024). Regulatory Compliance and Risk Management in Pharmaceuticals and Healthcare. </w:t>
      </w:r>
      <w:r w:rsidRPr="00CA6527">
        <w:rPr>
          <w:rFonts w:ascii="Arial" w:hAnsi="Arial" w:cs="Arial"/>
          <w:i/>
          <w:iCs/>
          <w:sz w:val="22"/>
          <w:szCs w:val="22"/>
        </w:rPr>
        <w:t>International Journal of Health Sciences</w:t>
      </w:r>
      <w:r w:rsidRPr="00CA6527">
        <w:rPr>
          <w:rFonts w:ascii="Arial" w:hAnsi="Arial" w:cs="Arial"/>
          <w:sz w:val="22"/>
          <w:szCs w:val="22"/>
        </w:rPr>
        <w:t>, 7(6), pp.60–88. doi:https://doi.org/10.47941/ijhs.2223.</w:t>
      </w:r>
    </w:p>
    <w:p w:rsidRPr="00CA6527" w:rsidR="00DC2A76" w:rsidP="00CA6527" w:rsidRDefault="00DC2A76" w14:paraId="09717E24"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Robinson, J. (2025). </w:t>
      </w:r>
      <w:r w:rsidRPr="00CA6527">
        <w:rPr>
          <w:rFonts w:ascii="Arial" w:hAnsi="Arial" w:cs="Arial"/>
          <w:i/>
          <w:iCs/>
          <w:sz w:val="22"/>
          <w:szCs w:val="22"/>
        </w:rPr>
        <w:t>Ward-based pharmacy services help reduce high-risk prescribing errors in hospitals, report concludes</w:t>
      </w:r>
      <w:r w:rsidRPr="00CA6527">
        <w:rPr>
          <w:rFonts w:ascii="Arial" w:hAnsi="Arial" w:cs="Arial"/>
          <w:sz w:val="22"/>
          <w:szCs w:val="22"/>
        </w:rPr>
        <w:t>. [online] The Pharmaceutical Journal. Available at: https://pharmaceutical-journal.com/article/news/ward-based-pharmacy-services-help-reduce-high-risk-prescribing-errors-in-hospitals-report-concludes [Accessed 10 Jun. 2025].</w:t>
      </w:r>
    </w:p>
    <w:p w:rsidRPr="00CA6527" w:rsidR="00DC2A76" w:rsidP="00CA6527" w:rsidRDefault="00DC2A76" w14:paraId="6200D6D6"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Royal Pharmaceutical Society (2020). </w:t>
      </w:r>
      <w:r w:rsidRPr="00CA6527">
        <w:rPr>
          <w:rFonts w:ascii="Arial" w:hAnsi="Arial" w:cs="Arial"/>
          <w:i/>
          <w:iCs/>
          <w:sz w:val="22"/>
          <w:szCs w:val="22"/>
        </w:rPr>
        <w:t>RPS Mental Health and Wellbeing Survey 2020</w:t>
      </w:r>
      <w:r w:rsidRPr="00CA6527">
        <w:rPr>
          <w:rFonts w:ascii="Arial" w:hAnsi="Arial" w:cs="Arial"/>
          <w:sz w:val="22"/>
          <w:szCs w:val="22"/>
        </w:rPr>
        <w:t>. [online] www.rpharms.com. Available at: https://www.rpharms.com/recognition/all-our-campaigns/workforce-wellbeing/wellbeing-survey-2020 [Accessed 10 Jun. 2025].</w:t>
      </w:r>
    </w:p>
    <w:p w:rsidRPr="00CA6527" w:rsidR="00DC2A76" w:rsidP="00CA6527" w:rsidRDefault="00DC2A76" w14:paraId="553EAC94"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Sahota, H., Guzman, S., Tordera, L., Chan, M., Cocohoba, J. and Saberi, P. (2023). Pharmacy Deserts and Pharmacies’ Roles Post-Extreme Weather and Climate Events in the United States: A Scoping Review. </w:t>
      </w:r>
      <w:r w:rsidRPr="00CA6527">
        <w:rPr>
          <w:rFonts w:ascii="Arial" w:hAnsi="Arial" w:cs="Arial"/>
          <w:i/>
          <w:iCs/>
          <w:sz w:val="22"/>
          <w:szCs w:val="22"/>
        </w:rPr>
        <w:t>Journal of Primary Care &amp; Community Health</w:t>
      </w:r>
      <w:r w:rsidRPr="00CA6527">
        <w:rPr>
          <w:rFonts w:ascii="Arial" w:hAnsi="Arial" w:cs="Arial"/>
          <w:sz w:val="22"/>
          <w:szCs w:val="22"/>
        </w:rPr>
        <w:t>, 14. doi:https://doi.org/10.1177/21501319231186497.</w:t>
      </w:r>
    </w:p>
    <w:p w:rsidRPr="00CA6527" w:rsidR="00DC2A76" w:rsidP="00CA6527" w:rsidRDefault="00DC2A76" w14:paraId="606F85A0"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lastRenderedPageBreak/>
        <w:t xml:space="preserve">Walton-Roberts, M., Runnels, V., Rajan, S.I., Sood, A., Nair, S., Thomas, P., Packer, C., MacKenzie, A., Tomblin Murphy, G., Labonté, R. and Bourgeault, I.L. (2017). Causes, consequences, and policy responses to the migration of health workers: key findings from India. </w:t>
      </w:r>
      <w:r w:rsidRPr="00CA6527">
        <w:rPr>
          <w:rFonts w:ascii="Arial" w:hAnsi="Arial" w:cs="Arial"/>
          <w:i/>
          <w:iCs/>
          <w:sz w:val="22"/>
          <w:szCs w:val="22"/>
        </w:rPr>
        <w:t>Human Resources for Health</w:t>
      </w:r>
      <w:r w:rsidRPr="00CA6527">
        <w:rPr>
          <w:rFonts w:ascii="Arial" w:hAnsi="Arial" w:cs="Arial"/>
          <w:sz w:val="22"/>
          <w:szCs w:val="22"/>
        </w:rPr>
        <w:t>, 15(1). doi:https://doi.org/10.1186/s12960-017-0199-y.</w:t>
      </w:r>
    </w:p>
    <w:p w:rsidRPr="00CA6527" w:rsidR="00DC2A76" w:rsidP="00CA6527" w:rsidRDefault="00DC2A76" w14:paraId="31663F7D" w14:textId="77777777">
      <w:pPr>
        <w:pStyle w:val="NormalWeb"/>
        <w:spacing w:before="0" w:beforeAutospacing="0" w:after="240" w:afterAutospacing="0" w:line="360" w:lineRule="auto"/>
        <w:jc w:val="both"/>
        <w:rPr>
          <w:rFonts w:ascii="Arial" w:hAnsi="Arial" w:cs="Arial"/>
          <w:sz w:val="22"/>
          <w:szCs w:val="22"/>
        </w:rPr>
      </w:pPr>
      <w:r w:rsidRPr="00CA6527">
        <w:rPr>
          <w:rFonts w:ascii="Arial" w:hAnsi="Arial" w:cs="Arial"/>
          <w:sz w:val="22"/>
          <w:szCs w:val="22"/>
        </w:rPr>
        <w:t xml:space="preserve">World Health Organization (2024). </w:t>
      </w:r>
      <w:r w:rsidRPr="00CA6527">
        <w:rPr>
          <w:rFonts w:ascii="Arial" w:hAnsi="Arial" w:cs="Arial"/>
          <w:i/>
          <w:iCs/>
          <w:sz w:val="22"/>
          <w:szCs w:val="22"/>
        </w:rPr>
        <w:t>REHABILITATION</w:t>
      </w:r>
      <w:r w:rsidRPr="00CA6527">
        <w:rPr>
          <w:rFonts w:ascii="Arial" w:hAnsi="Arial" w:cs="Arial"/>
          <w:sz w:val="22"/>
          <w:szCs w:val="22"/>
        </w:rPr>
        <w:t>. [online] Available at: https://www.who.int/docs/librariesprovider2/default-document-library/rehabilitation-7-sdg-factsheet.pdf [Accessed 10 Jun. 2025].</w:t>
      </w:r>
    </w:p>
    <w:p w:rsidRPr="00CA6527" w:rsidR="00DC2A76" w:rsidP="00CA6527" w:rsidRDefault="00DC2A76" w14:paraId="509D4E7D" w14:textId="77777777">
      <w:pPr>
        <w:jc w:val="both"/>
        <w:rPr>
          <w:rFonts w:ascii="Arial" w:hAnsi="Arial" w:cs="Arial"/>
          <w:b/>
          <w:bCs/>
          <w:szCs w:val="22"/>
          <w:lang w:val="en-GB"/>
        </w:rPr>
      </w:pPr>
    </w:p>
    <w:p w:rsidRPr="00CA6527" w:rsidR="007D72AC" w:rsidP="00CA6527" w:rsidRDefault="005A3DEA" w14:paraId="5E50EFC2" w14:textId="0BE6656A">
      <w:pPr>
        <w:jc w:val="both"/>
        <w:rPr>
          <w:rFonts w:ascii="Arial" w:hAnsi="Arial" w:cs="Arial"/>
          <w:szCs w:val="22"/>
          <w:lang w:val="en-GB"/>
        </w:rPr>
      </w:pPr>
      <w:r w:rsidRPr="00CA6527">
        <w:rPr>
          <w:rFonts w:ascii="Arial" w:hAnsi="Arial" w:cs="Arial"/>
          <w:szCs w:val="22"/>
          <w:lang w:val="en-GB"/>
        </w:rPr>
        <w:tab/>
      </w:r>
    </w:p>
    <w:sectPr w:rsidRPr="00CA6527" w:rsidR="007D72AC" w:rsidSect="00200BBE">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6C645A"/>
    <w:multiLevelType w:val="multilevel"/>
    <w:tmpl w:val="3C7E0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6166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2AC"/>
    <w:rsid w:val="00004964"/>
    <w:rsid w:val="000363C5"/>
    <w:rsid w:val="000B743B"/>
    <w:rsid w:val="000C7CED"/>
    <w:rsid w:val="00126310"/>
    <w:rsid w:val="001C36C5"/>
    <w:rsid w:val="00200BBE"/>
    <w:rsid w:val="00235844"/>
    <w:rsid w:val="002663C0"/>
    <w:rsid w:val="002A5235"/>
    <w:rsid w:val="002D0074"/>
    <w:rsid w:val="002D49CD"/>
    <w:rsid w:val="002F5EDE"/>
    <w:rsid w:val="003104EA"/>
    <w:rsid w:val="00340028"/>
    <w:rsid w:val="003D1892"/>
    <w:rsid w:val="004116AE"/>
    <w:rsid w:val="00437888"/>
    <w:rsid w:val="004418D7"/>
    <w:rsid w:val="00457C74"/>
    <w:rsid w:val="00461624"/>
    <w:rsid w:val="0049688A"/>
    <w:rsid w:val="005707D1"/>
    <w:rsid w:val="005A3DEA"/>
    <w:rsid w:val="00647721"/>
    <w:rsid w:val="00757C96"/>
    <w:rsid w:val="007B389E"/>
    <w:rsid w:val="007D72AC"/>
    <w:rsid w:val="00804503"/>
    <w:rsid w:val="00807D13"/>
    <w:rsid w:val="00920D01"/>
    <w:rsid w:val="0092477A"/>
    <w:rsid w:val="00924957"/>
    <w:rsid w:val="009401B2"/>
    <w:rsid w:val="009B14D7"/>
    <w:rsid w:val="00A16245"/>
    <w:rsid w:val="00A3421A"/>
    <w:rsid w:val="00A572F8"/>
    <w:rsid w:val="00A861B2"/>
    <w:rsid w:val="00A91A61"/>
    <w:rsid w:val="00AF4980"/>
    <w:rsid w:val="00B30E49"/>
    <w:rsid w:val="00B72333"/>
    <w:rsid w:val="00B7337D"/>
    <w:rsid w:val="00BA2377"/>
    <w:rsid w:val="00BA2EEB"/>
    <w:rsid w:val="00BD4FD3"/>
    <w:rsid w:val="00BE4882"/>
    <w:rsid w:val="00C7552E"/>
    <w:rsid w:val="00CA6527"/>
    <w:rsid w:val="00D0770A"/>
    <w:rsid w:val="00D847B3"/>
    <w:rsid w:val="00D95A10"/>
    <w:rsid w:val="00DC09C4"/>
    <w:rsid w:val="00DC2A76"/>
    <w:rsid w:val="00DD5E4C"/>
    <w:rsid w:val="00E115E0"/>
    <w:rsid w:val="00E27109"/>
    <w:rsid w:val="00E947F1"/>
    <w:rsid w:val="00EB2994"/>
    <w:rsid w:val="00ED68E9"/>
    <w:rsid w:val="00EE1144"/>
    <w:rsid w:val="00EF0CA7"/>
    <w:rsid w:val="00FA51E1"/>
    <w:rsid w:val="00FB6C67"/>
    <w:rsid w:val="00FC3F5E"/>
    <w:rsid w:val="00FF4EC7"/>
    <w:rsid w:val="60DB0C3E"/>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decimalSymbol w:val="."/>
  <w:listSeparator w:val=","/>
  <w14:docId w14:val="4BB193FD"/>
  <w15:chartTrackingRefBased/>
  <w15:docId w15:val="{32EF69DF-4587-0D4D-AFC6-D09B8C0CF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7CED"/>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7D72AC"/>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72AC"/>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72AC"/>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2AC"/>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2AC"/>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2AC"/>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61624"/>
    <w:rPr>
      <w:rFonts w:asciiTheme="majorBidi" w:hAnsiTheme="majorBidi" w:eastAsiaTheme="majorEastAsia" w:cstheme="majorBidi"/>
      <w:b/>
      <w:color w:val="0F4761" w:themeColor="accent1" w:themeShade="BF"/>
      <w:sz w:val="28"/>
      <w:szCs w:val="40"/>
    </w:rPr>
  </w:style>
  <w:style w:type="character" w:styleId="Heading2Char" w:customStyle="1">
    <w:name w:val="Heading 2 Char"/>
    <w:basedOn w:val="DefaultParagraphFont"/>
    <w:link w:val="Heading2"/>
    <w:uiPriority w:val="9"/>
    <w:rsid w:val="00FB6C67"/>
    <w:rPr>
      <w:rFonts w:asciiTheme="majorBidi" w:hAnsiTheme="majorBidi" w:eastAsiaTheme="majorEastAsia" w:cstheme="majorBidi"/>
      <w:b/>
      <w:color w:val="0F4761" w:themeColor="accent1" w:themeShade="BF"/>
      <w:szCs w:val="32"/>
    </w:rPr>
  </w:style>
  <w:style w:type="character" w:styleId="Heading3Char" w:customStyle="1">
    <w:name w:val="Heading 3 Char"/>
    <w:basedOn w:val="DefaultParagraphFont"/>
    <w:link w:val="Heading3"/>
    <w:uiPriority w:val="9"/>
    <w:rsid w:val="00BE4882"/>
    <w:rPr>
      <w:rFonts w:asciiTheme="majorBidi" w:hAnsiTheme="majorBidi" w:eastAsiaTheme="majorEastAsia" w:cstheme="majorBidi"/>
      <w:b/>
      <w:i/>
      <w:color w:val="0F4761" w:themeColor="accent1" w:themeShade="BF"/>
      <w:szCs w:val="28"/>
    </w:rPr>
  </w:style>
  <w:style w:type="character" w:styleId="Heading4Char" w:customStyle="1">
    <w:name w:val="Heading 4 Char"/>
    <w:basedOn w:val="DefaultParagraphFont"/>
    <w:link w:val="Heading4"/>
    <w:uiPriority w:val="9"/>
    <w:semiHidden/>
    <w:rsid w:val="007D72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D72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D72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D72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D72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D72AC"/>
    <w:rPr>
      <w:rFonts w:eastAsiaTheme="majorEastAsia" w:cstheme="majorBidi"/>
      <w:color w:val="272727" w:themeColor="text1" w:themeTint="D8"/>
    </w:rPr>
  </w:style>
  <w:style w:type="paragraph" w:styleId="Title">
    <w:name w:val="Title"/>
    <w:basedOn w:val="Normal"/>
    <w:next w:val="Normal"/>
    <w:link w:val="TitleChar"/>
    <w:uiPriority w:val="10"/>
    <w:qFormat/>
    <w:rsid w:val="007D72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D72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D72AC"/>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D72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2AC"/>
    <w:pPr>
      <w:spacing w:before="160"/>
      <w:jc w:val="center"/>
    </w:pPr>
    <w:rPr>
      <w:i/>
      <w:iCs/>
      <w:color w:val="404040" w:themeColor="text1" w:themeTint="BF"/>
    </w:rPr>
  </w:style>
  <w:style w:type="character" w:styleId="QuoteChar" w:customStyle="1">
    <w:name w:val="Quote Char"/>
    <w:basedOn w:val="DefaultParagraphFont"/>
    <w:link w:val="Quote"/>
    <w:uiPriority w:val="29"/>
    <w:rsid w:val="007D72AC"/>
    <w:rPr>
      <w:rFonts w:asciiTheme="majorBidi" w:hAnsiTheme="majorBidi"/>
      <w:i/>
      <w:iCs/>
      <w:color w:val="404040" w:themeColor="text1" w:themeTint="BF"/>
    </w:rPr>
  </w:style>
  <w:style w:type="paragraph" w:styleId="ListParagraph">
    <w:name w:val="List Paragraph"/>
    <w:basedOn w:val="Normal"/>
    <w:uiPriority w:val="34"/>
    <w:qFormat/>
    <w:rsid w:val="007D72AC"/>
    <w:pPr>
      <w:ind w:left="720"/>
      <w:contextualSpacing/>
    </w:pPr>
  </w:style>
  <w:style w:type="character" w:styleId="IntenseEmphasis">
    <w:name w:val="Intense Emphasis"/>
    <w:basedOn w:val="DefaultParagraphFont"/>
    <w:uiPriority w:val="21"/>
    <w:qFormat/>
    <w:rsid w:val="007D72AC"/>
    <w:rPr>
      <w:i/>
      <w:iCs/>
      <w:color w:val="0F4761" w:themeColor="accent1" w:themeShade="BF"/>
    </w:rPr>
  </w:style>
  <w:style w:type="paragraph" w:styleId="IntenseQuote">
    <w:name w:val="Intense Quote"/>
    <w:basedOn w:val="Normal"/>
    <w:next w:val="Normal"/>
    <w:link w:val="IntenseQuoteChar"/>
    <w:uiPriority w:val="30"/>
    <w:qFormat/>
    <w:rsid w:val="007D72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D72AC"/>
    <w:rPr>
      <w:rFonts w:asciiTheme="majorBidi" w:hAnsiTheme="majorBidi"/>
      <w:i/>
      <w:iCs/>
      <w:color w:val="0F4761" w:themeColor="accent1" w:themeShade="BF"/>
    </w:rPr>
  </w:style>
  <w:style w:type="character" w:styleId="IntenseReference">
    <w:name w:val="Intense Reference"/>
    <w:basedOn w:val="DefaultParagraphFont"/>
    <w:uiPriority w:val="32"/>
    <w:qFormat/>
    <w:rsid w:val="007D72AC"/>
    <w:rPr>
      <w:b/>
      <w:bCs/>
      <w:smallCaps/>
      <w:color w:val="0F4761" w:themeColor="accent1" w:themeShade="BF"/>
      <w:spacing w:val="5"/>
    </w:rPr>
  </w:style>
  <w:style w:type="paragraph" w:styleId="NormalWeb">
    <w:name w:val="Normal (Web)"/>
    <w:basedOn w:val="Normal"/>
    <w:uiPriority w:val="99"/>
    <w:semiHidden/>
    <w:unhideWhenUsed/>
    <w:rsid w:val="000C7CED"/>
    <w:pPr>
      <w:spacing w:before="100" w:beforeAutospacing="1" w:after="100" w:afterAutospacing="1" w:line="240" w:lineRule="auto"/>
    </w:pPr>
    <w:rPr>
      <w:rFonts w:ascii="Times New Roman" w:hAnsi="Times New Roman" w:eastAsia="Times New Roman" w:cs="Times New Roman"/>
      <w:kern w:val="0"/>
      <w:sz w:val="24"/>
      <w:lang w:eastAsia="en-GB"/>
      <w14:ligatures w14:val="none"/>
    </w:rPr>
  </w:style>
  <w:style w:type="character" w:styleId="Strong">
    <w:name w:val="Strong"/>
    <w:basedOn w:val="DefaultParagraphFont"/>
    <w:uiPriority w:val="22"/>
    <w:qFormat/>
    <w:rsid w:val="000C7CED"/>
    <w:rPr>
      <w:b/>
      <w:bCs/>
    </w:rPr>
  </w:style>
  <w:style w:type="character" w:styleId="Emphasis">
    <w:name w:val="Emphasis"/>
    <w:basedOn w:val="DefaultParagraphFont"/>
    <w:uiPriority w:val="20"/>
    <w:qFormat/>
    <w:rsid w:val="002D49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5673037">
      <w:bodyDiv w:val="1"/>
      <w:marLeft w:val="0"/>
      <w:marRight w:val="0"/>
      <w:marTop w:val="0"/>
      <w:marBottom w:val="0"/>
      <w:divBdr>
        <w:top w:val="none" w:sz="0" w:space="0" w:color="auto"/>
        <w:left w:val="none" w:sz="0" w:space="0" w:color="auto"/>
        <w:bottom w:val="none" w:sz="0" w:space="0" w:color="auto"/>
        <w:right w:val="none" w:sz="0" w:space="0" w:color="auto"/>
      </w:divBdr>
      <w:divsChild>
        <w:div w:id="717897074">
          <w:marLeft w:val="0"/>
          <w:marRight w:val="0"/>
          <w:marTop w:val="0"/>
          <w:marBottom w:val="0"/>
          <w:divBdr>
            <w:top w:val="none" w:sz="0" w:space="0" w:color="auto"/>
            <w:left w:val="none" w:sz="0" w:space="0" w:color="auto"/>
            <w:bottom w:val="none" w:sz="0" w:space="0" w:color="auto"/>
            <w:right w:val="none" w:sz="0" w:space="0" w:color="auto"/>
          </w:divBdr>
        </w:div>
      </w:divsChild>
    </w:div>
    <w:div w:id="1720473828">
      <w:bodyDiv w:val="1"/>
      <w:marLeft w:val="0"/>
      <w:marRight w:val="0"/>
      <w:marTop w:val="0"/>
      <w:marBottom w:val="0"/>
      <w:divBdr>
        <w:top w:val="none" w:sz="0" w:space="0" w:color="auto"/>
        <w:left w:val="none" w:sz="0" w:space="0" w:color="auto"/>
        <w:bottom w:val="none" w:sz="0" w:space="0" w:color="auto"/>
        <w:right w:val="none" w:sz="0" w:space="0" w:color="auto"/>
      </w:divBdr>
    </w:div>
    <w:div w:id="1827551701">
      <w:bodyDiv w:val="1"/>
      <w:marLeft w:val="0"/>
      <w:marRight w:val="0"/>
      <w:marTop w:val="0"/>
      <w:marBottom w:val="0"/>
      <w:divBdr>
        <w:top w:val="none" w:sz="0" w:space="0" w:color="auto"/>
        <w:left w:val="none" w:sz="0" w:space="0" w:color="auto"/>
        <w:bottom w:val="none" w:sz="0" w:space="0" w:color="auto"/>
        <w:right w:val="none" w:sz="0" w:space="0" w:color="auto"/>
      </w:divBdr>
    </w:div>
    <w:div w:id="2069835426">
      <w:bodyDiv w:val="1"/>
      <w:marLeft w:val="0"/>
      <w:marRight w:val="0"/>
      <w:marTop w:val="0"/>
      <w:marBottom w:val="0"/>
      <w:divBdr>
        <w:top w:val="none" w:sz="0" w:space="0" w:color="auto"/>
        <w:left w:val="none" w:sz="0" w:space="0" w:color="auto"/>
        <w:bottom w:val="none" w:sz="0" w:space="0" w:color="auto"/>
        <w:right w:val="none" w:sz="0" w:space="0" w:color="auto"/>
      </w:divBdr>
      <w:divsChild>
        <w:div w:id="917439257">
          <w:marLeft w:val="0"/>
          <w:marRight w:val="0"/>
          <w:marTop w:val="0"/>
          <w:marBottom w:val="0"/>
          <w:divBdr>
            <w:top w:val="none" w:sz="0" w:space="0" w:color="auto"/>
            <w:left w:val="none" w:sz="0" w:space="0" w:color="auto"/>
            <w:bottom w:val="none" w:sz="0" w:space="0" w:color="auto"/>
            <w:right w:val="none" w:sz="0" w:space="0" w:color="auto"/>
          </w:divBdr>
          <w:divsChild>
            <w:div w:id="553393853">
              <w:marLeft w:val="0"/>
              <w:marRight w:val="0"/>
              <w:marTop w:val="0"/>
              <w:marBottom w:val="0"/>
              <w:divBdr>
                <w:top w:val="none" w:sz="0" w:space="0" w:color="auto"/>
                <w:left w:val="none" w:sz="0" w:space="0" w:color="auto"/>
                <w:bottom w:val="none" w:sz="0" w:space="0" w:color="auto"/>
                <w:right w:val="none" w:sz="0" w:space="0" w:color="auto"/>
              </w:divBdr>
              <w:divsChild>
                <w:div w:id="1440024324">
                  <w:marLeft w:val="0"/>
                  <w:marRight w:val="0"/>
                  <w:marTop w:val="0"/>
                  <w:marBottom w:val="0"/>
                  <w:divBdr>
                    <w:top w:val="none" w:sz="0" w:space="0" w:color="auto"/>
                    <w:left w:val="none" w:sz="0" w:space="0" w:color="auto"/>
                    <w:bottom w:val="none" w:sz="0" w:space="0" w:color="auto"/>
                    <w:right w:val="none" w:sz="0" w:space="0" w:color="auto"/>
                  </w:divBdr>
                  <w:divsChild>
                    <w:div w:id="633371699">
                      <w:marLeft w:val="0"/>
                      <w:marRight w:val="0"/>
                      <w:marTop w:val="0"/>
                      <w:marBottom w:val="0"/>
                      <w:divBdr>
                        <w:top w:val="none" w:sz="0" w:space="0" w:color="auto"/>
                        <w:left w:val="none" w:sz="0" w:space="0" w:color="auto"/>
                        <w:bottom w:val="none" w:sz="0" w:space="0" w:color="auto"/>
                        <w:right w:val="none" w:sz="0" w:space="0" w:color="auto"/>
                      </w:divBdr>
                      <w:divsChild>
                        <w:div w:id="1259291046">
                          <w:marLeft w:val="0"/>
                          <w:marRight w:val="0"/>
                          <w:marTop w:val="0"/>
                          <w:marBottom w:val="0"/>
                          <w:divBdr>
                            <w:top w:val="none" w:sz="0" w:space="0" w:color="auto"/>
                            <w:left w:val="none" w:sz="0" w:space="0" w:color="auto"/>
                            <w:bottom w:val="none" w:sz="0" w:space="0" w:color="auto"/>
                            <w:right w:val="none" w:sz="0" w:space="0" w:color="auto"/>
                          </w:divBdr>
                          <w:divsChild>
                            <w:div w:id="244342986">
                              <w:marLeft w:val="0"/>
                              <w:marRight w:val="0"/>
                              <w:marTop w:val="0"/>
                              <w:marBottom w:val="0"/>
                              <w:divBdr>
                                <w:top w:val="none" w:sz="0" w:space="0" w:color="auto"/>
                                <w:left w:val="none" w:sz="0" w:space="0" w:color="auto"/>
                                <w:bottom w:val="none" w:sz="0" w:space="0" w:color="auto"/>
                                <w:right w:val="none" w:sz="0" w:space="0" w:color="auto"/>
                              </w:divBdr>
                              <w:divsChild>
                                <w:div w:id="63067739">
                                  <w:marLeft w:val="0"/>
                                  <w:marRight w:val="0"/>
                                  <w:marTop w:val="0"/>
                                  <w:marBottom w:val="0"/>
                                  <w:divBdr>
                                    <w:top w:val="none" w:sz="0" w:space="0" w:color="auto"/>
                                    <w:left w:val="none" w:sz="0" w:space="0" w:color="auto"/>
                                    <w:bottom w:val="none" w:sz="0" w:space="0" w:color="auto"/>
                                    <w:right w:val="none" w:sz="0" w:space="0" w:color="auto"/>
                                  </w:divBdr>
                                  <w:divsChild>
                                    <w:div w:id="1812867675">
                                      <w:marLeft w:val="0"/>
                                      <w:marRight w:val="0"/>
                                      <w:marTop w:val="0"/>
                                      <w:marBottom w:val="0"/>
                                      <w:divBdr>
                                        <w:top w:val="none" w:sz="0" w:space="0" w:color="auto"/>
                                        <w:left w:val="none" w:sz="0" w:space="0" w:color="auto"/>
                                        <w:bottom w:val="none" w:sz="0" w:space="0" w:color="auto"/>
                                        <w:right w:val="none" w:sz="0" w:space="0" w:color="auto"/>
                                      </w:divBdr>
                                      <w:divsChild>
                                        <w:div w:id="1243444875">
                                          <w:marLeft w:val="0"/>
                                          <w:marRight w:val="0"/>
                                          <w:marTop w:val="0"/>
                                          <w:marBottom w:val="0"/>
                                          <w:divBdr>
                                            <w:top w:val="none" w:sz="0" w:space="0" w:color="auto"/>
                                            <w:left w:val="none" w:sz="0" w:space="0" w:color="auto"/>
                                            <w:bottom w:val="none" w:sz="0" w:space="0" w:color="auto"/>
                                            <w:right w:val="none" w:sz="0" w:space="0" w:color="auto"/>
                                          </w:divBdr>
                                          <w:divsChild>
                                            <w:div w:id="366830894">
                                              <w:marLeft w:val="0"/>
                                              <w:marRight w:val="0"/>
                                              <w:marTop w:val="0"/>
                                              <w:marBottom w:val="0"/>
                                              <w:divBdr>
                                                <w:top w:val="none" w:sz="0" w:space="0" w:color="auto"/>
                                                <w:left w:val="none" w:sz="0" w:space="0" w:color="auto"/>
                                                <w:bottom w:val="none" w:sz="0" w:space="0" w:color="auto"/>
                                                <w:right w:val="none" w:sz="0" w:space="0" w:color="auto"/>
                                              </w:divBdr>
                                              <w:divsChild>
                                                <w:div w:id="457993151">
                                                  <w:marLeft w:val="0"/>
                                                  <w:marRight w:val="0"/>
                                                  <w:marTop w:val="0"/>
                                                  <w:marBottom w:val="0"/>
                                                  <w:divBdr>
                                                    <w:top w:val="none" w:sz="0" w:space="0" w:color="auto"/>
                                                    <w:left w:val="none" w:sz="0" w:space="0" w:color="auto"/>
                                                    <w:bottom w:val="none" w:sz="0" w:space="0" w:color="auto"/>
                                                    <w:right w:val="none" w:sz="0" w:space="0" w:color="auto"/>
                                                  </w:divBdr>
                                                  <w:divsChild>
                                                    <w:div w:id="133236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16614092">
          <w:marLeft w:val="0"/>
          <w:marRight w:val="0"/>
          <w:marTop w:val="0"/>
          <w:marBottom w:val="0"/>
          <w:divBdr>
            <w:top w:val="none" w:sz="0" w:space="0" w:color="auto"/>
            <w:left w:val="none" w:sz="0" w:space="0" w:color="auto"/>
            <w:bottom w:val="none" w:sz="0" w:space="0" w:color="auto"/>
            <w:right w:val="none" w:sz="0" w:space="0" w:color="auto"/>
          </w:divBdr>
          <w:divsChild>
            <w:div w:id="457652637">
              <w:marLeft w:val="0"/>
              <w:marRight w:val="0"/>
              <w:marTop w:val="0"/>
              <w:marBottom w:val="0"/>
              <w:divBdr>
                <w:top w:val="none" w:sz="0" w:space="0" w:color="auto"/>
                <w:left w:val="none" w:sz="0" w:space="0" w:color="auto"/>
                <w:bottom w:val="none" w:sz="0" w:space="0" w:color="auto"/>
                <w:right w:val="none" w:sz="0" w:space="0" w:color="auto"/>
              </w:divBdr>
              <w:divsChild>
                <w:div w:id="944269800">
                  <w:marLeft w:val="0"/>
                  <w:marRight w:val="0"/>
                  <w:marTop w:val="0"/>
                  <w:marBottom w:val="0"/>
                  <w:divBdr>
                    <w:top w:val="none" w:sz="0" w:space="0" w:color="auto"/>
                    <w:left w:val="none" w:sz="0" w:space="0" w:color="auto"/>
                    <w:bottom w:val="none" w:sz="0" w:space="0" w:color="auto"/>
                    <w:right w:val="none" w:sz="0" w:space="0" w:color="auto"/>
                  </w:divBdr>
                  <w:divsChild>
                    <w:div w:id="1826506768">
                      <w:marLeft w:val="0"/>
                      <w:marRight w:val="0"/>
                      <w:marTop w:val="0"/>
                      <w:marBottom w:val="0"/>
                      <w:divBdr>
                        <w:top w:val="none" w:sz="0" w:space="0" w:color="auto"/>
                        <w:left w:val="none" w:sz="0" w:space="0" w:color="auto"/>
                        <w:bottom w:val="none" w:sz="0" w:space="0" w:color="auto"/>
                        <w:right w:val="none" w:sz="0" w:space="0" w:color="auto"/>
                      </w:divBdr>
                      <w:divsChild>
                        <w:div w:id="149128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WORD FILE</dc:creator>
  <keywords/>
  <dc:description/>
  <lastModifiedBy>Tabinda Riaz</lastModifiedBy>
  <revision>58</revision>
  <dcterms:created xsi:type="dcterms:W3CDTF">2025-06-02T06:24:00.0000000Z</dcterms:created>
  <dcterms:modified xsi:type="dcterms:W3CDTF">2025-06-22T19:45:56.2376681Z</dcterms:modified>
</coreProperties>
</file>