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E034E" w14:textId="374DF17B" w:rsidR="009E5555" w:rsidRPr="000B412F" w:rsidRDefault="009E5555" w:rsidP="009E5555">
      <w:pPr>
        <w:spacing w:line="360" w:lineRule="auto"/>
        <w:rPr>
          <w:rFonts w:ascii="Arial" w:hAnsi="Arial" w:cs="Arial"/>
          <w:sz w:val="24"/>
        </w:rPr>
      </w:pPr>
      <w:r w:rsidRPr="000B412F">
        <w:rPr>
          <w:rFonts w:ascii="Arial" w:hAnsi="Arial" w:cs="Arial"/>
          <w:sz w:val="24"/>
        </w:rPr>
        <w:t>This essay is a detailed account of Alexander the Great</w:t>
      </w:r>
      <w:r>
        <w:rPr>
          <w:rFonts w:ascii="Arial" w:hAnsi="Arial" w:cs="Arial"/>
          <w:sz w:val="24"/>
        </w:rPr>
        <w:t>’</w:t>
      </w:r>
      <w:r w:rsidRPr="000B412F">
        <w:rPr>
          <w:rFonts w:ascii="Arial" w:hAnsi="Arial" w:cs="Arial"/>
          <w:sz w:val="24"/>
        </w:rPr>
        <w:t xml:space="preserve">s encounter with the Amazon Queen, </w:t>
      </w:r>
      <w:proofErr w:type="spellStart"/>
      <w:r w:rsidRPr="000B412F">
        <w:rPr>
          <w:rFonts w:ascii="Arial" w:hAnsi="Arial" w:cs="Arial"/>
          <w:sz w:val="24"/>
        </w:rPr>
        <w:t>Talestris</w:t>
      </w:r>
      <w:proofErr w:type="spellEnd"/>
      <w:r w:rsidRPr="000B412F">
        <w:rPr>
          <w:rFonts w:ascii="Arial" w:hAnsi="Arial" w:cs="Arial"/>
          <w:sz w:val="24"/>
        </w:rPr>
        <w:t xml:space="preserve"> and will include analysis on any differences that there may be between the various sour</w:t>
      </w:r>
      <w:bookmarkStart w:id="0" w:name="_GoBack"/>
      <w:bookmarkEnd w:id="0"/>
      <w:r w:rsidRPr="000B412F">
        <w:rPr>
          <w:rFonts w:ascii="Arial" w:hAnsi="Arial" w:cs="Arial"/>
          <w:sz w:val="24"/>
        </w:rPr>
        <w:t>ces.</w:t>
      </w:r>
      <w:r>
        <w:rPr>
          <w:rFonts w:ascii="Arial" w:hAnsi="Arial" w:cs="Arial"/>
          <w:sz w:val="24"/>
        </w:rPr>
        <w:t xml:space="preserve"> The first source is </w:t>
      </w:r>
      <w:r>
        <w:rPr>
          <w:rFonts w:ascii="Arial" w:hAnsi="Arial" w:cs="Arial"/>
          <w:i/>
          <w:iCs/>
          <w:sz w:val="24"/>
        </w:rPr>
        <w:t xml:space="preserve">The History of Alexander </w:t>
      </w:r>
      <w:r>
        <w:rPr>
          <w:rFonts w:ascii="Arial" w:hAnsi="Arial" w:cs="Arial"/>
          <w:sz w:val="24"/>
        </w:rPr>
        <w:t>by</w:t>
      </w:r>
      <w:r w:rsidRPr="000B412F">
        <w:rPr>
          <w:rFonts w:ascii="Arial" w:hAnsi="Arial" w:cs="Arial"/>
          <w:sz w:val="24"/>
        </w:rPr>
        <w:t xml:space="preserve"> Quintus </w:t>
      </w:r>
      <w:proofErr w:type="spellStart"/>
      <w:r w:rsidRPr="000B412F">
        <w:rPr>
          <w:rFonts w:ascii="Arial" w:hAnsi="Arial" w:cs="Arial"/>
          <w:sz w:val="24"/>
        </w:rPr>
        <w:t>Curtius</w:t>
      </w:r>
      <w:proofErr w:type="spellEnd"/>
      <w:r w:rsidRPr="000B412F">
        <w:rPr>
          <w:rFonts w:ascii="Arial" w:hAnsi="Arial" w:cs="Arial"/>
          <w:sz w:val="24"/>
        </w:rPr>
        <w:t xml:space="preserve"> Rufus</w:t>
      </w:r>
      <w:r>
        <w:rPr>
          <w:rFonts w:ascii="Arial" w:hAnsi="Arial" w:cs="Arial"/>
          <w:sz w:val="24"/>
        </w:rPr>
        <w:t xml:space="preserve"> who</w:t>
      </w:r>
      <w:r w:rsidRPr="000B412F">
        <w:rPr>
          <w:rFonts w:ascii="Arial" w:hAnsi="Arial" w:cs="Arial"/>
          <w:sz w:val="24"/>
        </w:rPr>
        <w:t xml:space="preserve"> was a Roman historian writing in the 1</w:t>
      </w:r>
      <w:r w:rsidRPr="000B412F">
        <w:rPr>
          <w:rFonts w:ascii="Arial" w:hAnsi="Arial" w:cs="Arial"/>
          <w:sz w:val="24"/>
          <w:vertAlign w:val="superscript"/>
        </w:rPr>
        <w:t>st</w:t>
      </w:r>
      <w:r w:rsidRPr="000B412F">
        <w:rPr>
          <w:rFonts w:ascii="Arial" w:hAnsi="Arial" w:cs="Arial"/>
          <w:sz w:val="24"/>
        </w:rPr>
        <w:t xml:space="preserve"> century AD.</w:t>
      </w:r>
      <w:r w:rsidRPr="000B412F">
        <w:rPr>
          <w:rStyle w:val="FootnoteReference"/>
          <w:rFonts w:ascii="Arial" w:hAnsi="Arial" w:cs="Arial"/>
          <w:sz w:val="24"/>
        </w:rPr>
        <w:footnoteReference w:id="1"/>
      </w:r>
      <w:r w:rsidRPr="000B412F">
        <w:rPr>
          <w:rFonts w:ascii="Arial" w:hAnsi="Arial" w:cs="Arial"/>
          <w:sz w:val="24"/>
        </w:rPr>
        <w:t xml:space="preserve"> Walter of </w:t>
      </w:r>
      <w:proofErr w:type="spellStart"/>
      <w:r w:rsidRPr="000B412F">
        <w:rPr>
          <w:rFonts w:ascii="Arial" w:hAnsi="Arial" w:cs="Arial"/>
          <w:sz w:val="24"/>
        </w:rPr>
        <w:t>Châtillon</w:t>
      </w:r>
      <w:proofErr w:type="spellEnd"/>
      <w:r w:rsidRPr="000B412F">
        <w:rPr>
          <w:rFonts w:ascii="Arial" w:hAnsi="Arial" w:cs="Arial"/>
          <w:sz w:val="24"/>
        </w:rPr>
        <w:t xml:space="preserve"> was writing in the 12</w:t>
      </w:r>
      <w:r w:rsidRPr="000B412F">
        <w:rPr>
          <w:rFonts w:ascii="Arial" w:hAnsi="Arial" w:cs="Arial"/>
          <w:sz w:val="24"/>
          <w:vertAlign w:val="superscript"/>
        </w:rPr>
        <w:t>th</w:t>
      </w:r>
      <w:r w:rsidRPr="000B412F">
        <w:rPr>
          <w:rFonts w:ascii="Arial" w:hAnsi="Arial" w:cs="Arial"/>
          <w:sz w:val="24"/>
        </w:rPr>
        <w:t xml:space="preserve"> century and his work on </w:t>
      </w:r>
      <w:r>
        <w:rPr>
          <w:rFonts w:ascii="Arial" w:hAnsi="Arial" w:cs="Arial"/>
          <w:sz w:val="24"/>
        </w:rPr>
        <w:t xml:space="preserve">the </w:t>
      </w:r>
      <w:proofErr w:type="spellStart"/>
      <w:r w:rsidRPr="004720B9">
        <w:rPr>
          <w:rFonts w:ascii="Arial" w:hAnsi="Arial" w:cs="Arial"/>
          <w:i/>
          <w:iCs/>
          <w:sz w:val="24"/>
        </w:rPr>
        <w:t>Alexandreis</w:t>
      </w:r>
      <w:proofErr w:type="spellEnd"/>
      <w:r w:rsidRPr="000B412F">
        <w:rPr>
          <w:rFonts w:ascii="Arial" w:hAnsi="Arial" w:cs="Arial"/>
          <w:sz w:val="24"/>
        </w:rPr>
        <w:t xml:space="preserve"> according to Maura Lafferty “signals his desire to claim a place for his epic along with those of the classical period”.</w:t>
      </w:r>
      <w:r w:rsidRPr="000B412F">
        <w:rPr>
          <w:rStyle w:val="FootnoteReference"/>
          <w:rFonts w:ascii="Arial" w:hAnsi="Arial" w:cs="Arial"/>
          <w:sz w:val="24"/>
        </w:rPr>
        <w:footnoteReference w:id="2"/>
      </w:r>
      <w:r w:rsidRPr="000B412F">
        <w:rPr>
          <w:rFonts w:ascii="Arial" w:hAnsi="Arial" w:cs="Arial"/>
          <w:sz w:val="24"/>
        </w:rPr>
        <w:t xml:space="preserve"> The </w:t>
      </w:r>
      <w:r w:rsidRPr="000B412F">
        <w:rPr>
          <w:rFonts w:ascii="Arial" w:hAnsi="Arial" w:cs="Arial"/>
          <w:i/>
          <w:sz w:val="24"/>
        </w:rPr>
        <w:t xml:space="preserve">Historia de </w:t>
      </w:r>
      <w:proofErr w:type="spellStart"/>
      <w:r w:rsidRPr="000B412F">
        <w:rPr>
          <w:rFonts w:ascii="Arial" w:hAnsi="Arial" w:cs="Arial"/>
          <w:i/>
          <w:sz w:val="24"/>
        </w:rPr>
        <w:t>Preliis</w:t>
      </w:r>
      <w:proofErr w:type="spellEnd"/>
      <w:r w:rsidRPr="000B412F">
        <w:rPr>
          <w:rFonts w:ascii="Arial" w:hAnsi="Arial" w:cs="Arial"/>
          <w:i/>
          <w:sz w:val="24"/>
        </w:rPr>
        <w:t xml:space="preserve"> </w:t>
      </w:r>
      <w:r w:rsidRPr="000B412F">
        <w:rPr>
          <w:rFonts w:ascii="Arial" w:hAnsi="Arial" w:cs="Arial"/>
          <w:sz w:val="24"/>
        </w:rPr>
        <w:t xml:space="preserve">is a combination of different works which means that there is not </w:t>
      </w:r>
      <w:r w:rsidR="00C75504">
        <w:rPr>
          <w:rFonts w:ascii="Arial" w:hAnsi="Arial" w:cs="Arial"/>
          <w:sz w:val="24"/>
        </w:rPr>
        <w:t xml:space="preserve">just </w:t>
      </w:r>
      <w:r w:rsidRPr="000B412F">
        <w:rPr>
          <w:rFonts w:ascii="Arial" w:hAnsi="Arial" w:cs="Arial"/>
          <w:sz w:val="24"/>
        </w:rPr>
        <w:t>one voice throughout the work.</w:t>
      </w:r>
      <w:r w:rsidR="00006B30">
        <w:rPr>
          <w:rStyle w:val="FootnoteReference"/>
          <w:rFonts w:ascii="Arial" w:hAnsi="Arial" w:cs="Arial"/>
          <w:sz w:val="24"/>
        </w:rPr>
        <w:footnoteReference w:id="3"/>
      </w:r>
      <w:r w:rsidRPr="000B412F">
        <w:rPr>
          <w:rFonts w:ascii="Arial" w:hAnsi="Arial" w:cs="Arial"/>
          <w:sz w:val="24"/>
        </w:rPr>
        <w:t xml:space="preserve"> This result</w:t>
      </w:r>
      <w:r>
        <w:rPr>
          <w:rFonts w:ascii="Arial" w:hAnsi="Arial" w:cs="Arial"/>
          <w:sz w:val="24"/>
        </w:rPr>
        <w:t>s</w:t>
      </w:r>
      <w:r w:rsidRPr="000B412F">
        <w:rPr>
          <w:rFonts w:ascii="Arial" w:hAnsi="Arial" w:cs="Arial"/>
          <w:sz w:val="24"/>
        </w:rPr>
        <w:t xml:space="preserve"> in the work </w:t>
      </w:r>
      <w:r w:rsidR="00AA0559" w:rsidRPr="000B412F">
        <w:rPr>
          <w:rFonts w:ascii="Arial" w:hAnsi="Arial" w:cs="Arial"/>
          <w:sz w:val="24"/>
        </w:rPr>
        <w:t xml:space="preserve">having </w:t>
      </w:r>
      <w:r w:rsidR="00AA0559">
        <w:rPr>
          <w:rFonts w:ascii="Arial" w:hAnsi="Arial" w:cs="Arial"/>
          <w:sz w:val="24"/>
        </w:rPr>
        <w:t>multiple</w:t>
      </w:r>
      <w:r w:rsidRPr="000B412F">
        <w:rPr>
          <w:rFonts w:ascii="Arial" w:hAnsi="Arial" w:cs="Arial"/>
          <w:sz w:val="24"/>
        </w:rPr>
        <w:t xml:space="preserve"> agendas.</w:t>
      </w:r>
      <w:r w:rsidRPr="000B412F">
        <w:rPr>
          <w:rStyle w:val="FootnoteReference"/>
          <w:rFonts w:ascii="Arial" w:hAnsi="Arial" w:cs="Arial"/>
          <w:sz w:val="24"/>
        </w:rPr>
        <w:footnoteReference w:id="4"/>
      </w:r>
    </w:p>
    <w:p w14:paraId="7AC18CDE" w14:textId="6DF5176A" w:rsidR="009E5555" w:rsidRPr="000B412F" w:rsidRDefault="009E5555" w:rsidP="009E5555">
      <w:pPr>
        <w:spacing w:line="360" w:lineRule="auto"/>
        <w:rPr>
          <w:rFonts w:ascii="Arial" w:hAnsi="Arial" w:cs="Arial"/>
          <w:sz w:val="24"/>
        </w:rPr>
      </w:pPr>
      <w:proofErr w:type="spellStart"/>
      <w:r w:rsidRPr="000B412F">
        <w:rPr>
          <w:rFonts w:ascii="Arial" w:hAnsi="Arial" w:cs="Arial"/>
          <w:sz w:val="24"/>
        </w:rPr>
        <w:t>Curtius</w:t>
      </w:r>
      <w:r>
        <w:rPr>
          <w:rFonts w:ascii="Arial" w:hAnsi="Arial" w:cs="Arial"/>
          <w:sz w:val="24"/>
        </w:rPr>
        <w:t>’s</w:t>
      </w:r>
      <w:proofErr w:type="spellEnd"/>
      <w:r w:rsidRPr="000B412F">
        <w:rPr>
          <w:rFonts w:ascii="Arial" w:hAnsi="Arial" w:cs="Arial"/>
          <w:sz w:val="24"/>
        </w:rPr>
        <w:t xml:space="preserve"> and Walter</w:t>
      </w:r>
      <w:r>
        <w:rPr>
          <w:rFonts w:ascii="Arial" w:hAnsi="Arial" w:cs="Arial"/>
          <w:sz w:val="24"/>
        </w:rPr>
        <w:t>’s</w:t>
      </w:r>
      <w:r w:rsidRPr="000B412F">
        <w:rPr>
          <w:rFonts w:ascii="Arial" w:hAnsi="Arial" w:cs="Arial"/>
          <w:sz w:val="24"/>
        </w:rPr>
        <w:t xml:space="preserve"> accounts are extremely similar and follow the same narrative</w:t>
      </w:r>
      <w:r w:rsidR="00E42DB2">
        <w:rPr>
          <w:rFonts w:ascii="Arial" w:hAnsi="Arial" w:cs="Arial"/>
          <w:sz w:val="24"/>
        </w:rPr>
        <w:t>,</w:t>
      </w:r>
      <w:r w:rsidRPr="000B412F">
        <w:rPr>
          <w:rFonts w:ascii="Arial" w:hAnsi="Arial" w:cs="Arial"/>
          <w:sz w:val="24"/>
        </w:rPr>
        <w:t xml:space="preserve"> </w:t>
      </w:r>
      <w:r w:rsidR="00E42DB2">
        <w:rPr>
          <w:rFonts w:ascii="Arial" w:hAnsi="Arial" w:cs="Arial"/>
          <w:sz w:val="24"/>
        </w:rPr>
        <w:t xml:space="preserve">however </w:t>
      </w:r>
      <w:r w:rsidRPr="000B412F">
        <w:rPr>
          <w:rFonts w:ascii="Arial" w:hAnsi="Arial" w:cs="Arial"/>
          <w:sz w:val="24"/>
        </w:rPr>
        <w:t xml:space="preserve">Walter’s </w:t>
      </w:r>
      <w:r w:rsidR="008C4650">
        <w:rPr>
          <w:rFonts w:ascii="Arial" w:hAnsi="Arial" w:cs="Arial"/>
          <w:sz w:val="24"/>
        </w:rPr>
        <w:t>takes the form of a</w:t>
      </w:r>
      <w:r w:rsidRPr="000B412F">
        <w:rPr>
          <w:rFonts w:ascii="Arial" w:hAnsi="Arial" w:cs="Arial"/>
          <w:sz w:val="24"/>
        </w:rPr>
        <w:t xml:space="preserve"> poem. </w:t>
      </w:r>
      <w:proofErr w:type="spellStart"/>
      <w:r w:rsidRPr="000B412F">
        <w:rPr>
          <w:rFonts w:ascii="Arial" w:hAnsi="Arial" w:cs="Arial"/>
          <w:sz w:val="24"/>
        </w:rPr>
        <w:t>Curtius</w:t>
      </w:r>
      <w:proofErr w:type="spellEnd"/>
      <w:r w:rsidRPr="000B412F">
        <w:rPr>
          <w:rFonts w:ascii="Arial" w:hAnsi="Arial" w:cs="Arial"/>
          <w:sz w:val="24"/>
        </w:rPr>
        <w:t xml:space="preserve"> starts his account with </w:t>
      </w:r>
      <w:proofErr w:type="spellStart"/>
      <w:r w:rsidRPr="000B412F">
        <w:rPr>
          <w:rFonts w:ascii="Arial" w:hAnsi="Arial" w:cs="Arial"/>
          <w:sz w:val="24"/>
        </w:rPr>
        <w:t>Talestris</w:t>
      </w:r>
      <w:proofErr w:type="spellEnd"/>
      <w:r w:rsidRPr="000B412F">
        <w:rPr>
          <w:rFonts w:ascii="Arial" w:hAnsi="Arial" w:cs="Arial"/>
          <w:sz w:val="24"/>
        </w:rPr>
        <w:t xml:space="preserve"> sending messengers to Alexander in order to arrange a meeting.</w:t>
      </w:r>
      <w:r>
        <w:rPr>
          <w:rStyle w:val="FootnoteReference"/>
          <w:rFonts w:ascii="Arial" w:hAnsi="Arial" w:cs="Arial"/>
          <w:sz w:val="24"/>
        </w:rPr>
        <w:footnoteReference w:id="5"/>
      </w:r>
      <w:r w:rsidRPr="000B412F">
        <w:rPr>
          <w:rFonts w:ascii="Arial" w:hAnsi="Arial" w:cs="Arial"/>
          <w:sz w:val="24"/>
        </w:rPr>
        <w:t xml:space="preserve"> </w:t>
      </w:r>
      <w:proofErr w:type="spellStart"/>
      <w:r w:rsidRPr="000B412F">
        <w:rPr>
          <w:rFonts w:ascii="Arial" w:hAnsi="Arial" w:cs="Arial"/>
          <w:sz w:val="24"/>
        </w:rPr>
        <w:t>Curtius</w:t>
      </w:r>
      <w:proofErr w:type="spellEnd"/>
      <w:r w:rsidRPr="000B412F">
        <w:rPr>
          <w:rFonts w:ascii="Arial" w:hAnsi="Arial" w:cs="Arial"/>
          <w:sz w:val="24"/>
        </w:rPr>
        <w:t xml:space="preserve"> writes that when she met with the king she brought with her over 300 Amazons and in her hands, she held two lances.</w:t>
      </w:r>
      <w:r w:rsidRPr="000B412F">
        <w:rPr>
          <w:rStyle w:val="FootnoteReference"/>
          <w:rFonts w:ascii="Arial" w:hAnsi="Arial" w:cs="Arial"/>
          <w:sz w:val="24"/>
        </w:rPr>
        <w:footnoteReference w:id="6"/>
      </w:r>
      <w:r w:rsidRPr="000B412F">
        <w:rPr>
          <w:rFonts w:ascii="Arial" w:hAnsi="Arial" w:cs="Arial"/>
          <w:sz w:val="24"/>
        </w:rPr>
        <w:t xml:space="preserve"> Similarly</w:t>
      </w:r>
      <w:r>
        <w:rPr>
          <w:rFonts w:ascii="Arial" w:hAnsi="Arial" w:cs="Arial"/>
          <w:sz w:val="24"/>
        </w:rPr>
        <w:t>,</w:t>
      </w:r>
      <w:r w:rsidRPr="000B412F">
        <w:rPr>
          <w:rFonts w:ascii="Arial" w:hAnsi="Arial" w:cs="Arial"/>
          <w:sz w:val="24"/>
        </w:rPr>
        <w:t xml:space="preserve"> Walter echoes this</w:t>
      </w:r>
      <w:r>
        <w:rPr>
          <w:rFonts w:ascii="Arial" w:hAnsi="Arial" w:cs="Arial"/>
          <w:sz w:val="24"/>
        </w:rPr>
        <w:t xml:space="preserve"> as</w:t>
      </w:r>
      <w:r w:rsidRPr="000B412F">
        <w:rPr>
          <w:rFonts w:ascii="Arial" w:hAnsi="Arial" w:cs="Arial"/>
          <w:sz w:val="24"/>
        </w:rPr>
        <w:t xml:space="preserve"> he writes that the queen “approached the camp with a virgin retinue” and then descended from her horse with two spear shafts.</w:t>
      </w:r>
      <w:r w:rsidR="007D282C">
        <w:rPr>
          <w:rStyle w:val="FootnoteReference"/>
          <w:rFonts w:ascii="Arial" w:hAnsi="Arial" w:cs="Arial"/>
          <w:sz w:val="24"/>
        </w:rPr>
        <w:footnoteReference w:id="7"/>
      </w:r>
      <w:r w:rsidRPr="000B412F">
        <w:rPr>
          <w:rFonts w:ascii="Arial" w:hAnsi="Arial" w:cs="Arial"/>
          <w:sz w:val="24"/>
        </w:rPr>
        <w:t xml:space="preserve"> In Walter’s version</w:t>
      </w:r>
      <w:r>
        <w:rPr>
          <w:rFonts w:ascii="Arial" w:hAnsi="Arial" w:cs="Arial"/>
          <w:sz w:val="24"/>
        </w:rPr>
        <w:t>,</w:t>
      </w:r>
      <w:r w:rsidRPr="000B412F">
        <w:rPr>
          <w:rFonts w:ascii="Arial" w:hAnsi="Arial" w:cs="Arial"/>
          <w:sz w:val="24"/>
        </w:rPr>
        <w:t xml:space="preserve"> she gazes upon Alexander and wonders “where the great virtue of the unvanquished prince might lie concealed” suggesting that </w:t>
      </w:r>
      <w:r w:rsidR="00B254EA">
        <w:rPr>
          <w:rFonts w:ascii="Arial" w:hAnsi="Arial" w:cs="Arial"/>
          <w:sz w:val="24"/>
        </w:rPr>
        <w:t>physically</w:t>
      </w:r>
      <w:r>
        <w:rPr>
          <w:rFonts w:ascii="Arial" w:hAnsi="Arial" w:cs="Arial"/>
          <w:sz w:val="24"/>
        </w:rPr>
        <w:t>,</w:t>
      </w:r>
      <w:r w:rsidRPr="000B412F">
        <w:rPr>
          <w:rFonts w:ascii="Arial" w:hAnsi="Arial" w:cs="Arial"/>
          <w:sz w:val="24"/>
        </w:rPr>
        <w:t xml:space="preserve"> he was not impressive.</w:t>
      </w:r>
      <w:r w:rsidRPr="000B412F">
        <w:rPr>
          <w:rStyle w:val="FootnoteReference"/>
          <w:rFonts w:ascii="Arial" w:hAnsi="Arial" w:cs="Arial"/>
          <w:sz w:val="24"/>
        </w:rPr>
        <w:footnoteReference w:id="8"/>
      </w:r>
      <w:r w:rsidRPr="000B412F">
        <w:rPr>
          <w:rFonts w:ascii="Arial" w:hAnsi="Arial" w:cs="Arial"/>
          <w:sz w:val="24"/>
        </w:rPr>
        <w:t xml:space="preserve"> Similarly in both versions</w:t>
      </w:r>
      <w:r>
        <w:rPr>
          <w:rFonts w:ascii="Arial" w:hAnsi="Arial" w:cs="Arial"/>
          <w:sz w:val="24"/>
        </w:rPr>
        <w:t>,</w:t>
      </w:r>
      <w:r w:rsidRPr="000B412F">
        <w:rPr>
          <w:rFonts w:ascii="Arial" w:hAnsi="Arial" w:cs="Arial"/>
          <w:sz w:val="24"/>
        </w:rPr>
        <w:t xml:space="preserve"> she </w:t>
      </w:r>
      <w:r>
        <w:rPr>
          <w:rFonts w:ascii="Arial" w:hAnsi="Arial" w:cs="Arial"/>
          <w:sz w:val="24"/>
        </w:rPr>
        <w:t xml:space="preserve">told </w:t>
      </w:r>
      <w:r w:rsidRPr="000B412F">
        <w:rPr>
          <w:rFonts w:ascii="Arial" w:hAnsi="Arial" w:cs="Arial"/>
          <w:sz w:val="24"/>
        </w:rPr>
        <w:t>him that she wishe</w:t>
      </w:r>
      <w:r w:rsidR="00B54B82">
        <w:rPr>
          <w:rFonts w:ascii="Arial" w:hAnsi="Arial" w:cs="Arial"/>
          <w:sz w:val="24"/>
        </w:rPr>
        <w:t>s</w:t>
      </w:r>
      <w:r w:rsidRPr="000B412F">
        <w:rPr>
          <w:rFonts w:ascii="Arial" w:hAnsi="Arial" w:cs="Arial"/>
          <w:sz w:val="24"/>
        </w:rPr>
        <w:t xml:space="preserve"> to have a child with him but that she would only keep a daughter and if they had a son, the baby would be sent to him. After this</w:t>
      </w:r>
      <w:r>
        <w:rPr>
          <w:rFonts w:ascii="Arial" w:hAnsi="Arial" w:cs="Arial"/>
          <w:sz w:val="24"/>
        </w:rPr>
        <w:t>,</w:t>
      </w:r>
      <w:r w:rsidRPr="000B412F">
        <w:rPr>
          <w:rFonts w:ascii="Arial" w:hAnsi="Arial" w:cs="Arial"/>
          <w:sz w:val="24"/>
        </w:rPr>
        <w:t xml:space="preserve"> they spent thirteen nights in each other’s company before parting.</w:t>
      </w:r>
      <w:r w:rsidRPr="000B412F">
        <w:rPr>
          <w:rStyle w:val="FootnoteReference"/>
          <w:rFonts w:ascii="Arial" w:hAnsi="Arial" w:cs="Arial"/>
          <w:sz w:val="24"/>
        </w:rPr>
        <w:footnoteReference w:id="9"/>
      </w:r>
    </w:p>
    <w:p w14:paraId="6E461010" w14:textId="255AFE81" w:rsidR="009E5555" w:rsidRPr="000B412F" w:rsidRDefault="009E5555" w:rsidP="009E5555">
      <w:pPr>
        <w:spacing w:line="360" w:lineRule="auto"/>
        <w:rPr>
          <w:rFonts w:ascii="Arial" w:hAnsi="Arial" w:cs="Arial"/>
          <w:sz w:val="24"/>
        </w:rPr>
      </w:pPr>
      <w:bookmarkStart w:id="2" w:name="_Hlk29837796"/>
      <w:r w:rsidRPr="000B412F">
        <w:rPr>
          <w:rFonts w:ascii="Arial" w:hAnsi="Arial" w:cs="Arial"/>
          <w:sz w:val="24"/>
        </w:rPr>
        <w:t xml:space="preserve">The </w:t>
      </w:r>
      <w:r w:rsidRPr="000B412F">
        <w:rPr>
          <w:rFonts w:ascii="Arial" w:hAnsi="Arial" w:cs="Arial"/>
          <w:i/>
          <w:sz w:val="24"/>
        </w:rPr>
        <w:t xml:space="preserve">Historia de </w:t>
      </w:r>
      <w:proofErr w:type="spellStart"/>
      <w:r w:rsidRPr="000B412F">
        <w:rPr>
          <w:rFonts w:ascii="Arial" w:hAnsi="Arial" w:cs="Arial"/>
          <w:i/>
          <w:sz w:val="24"/>
        </w:rPr>
        <w:t>Preliis</w:t>
      </w:r>
      <w:proofErr w:type="spellEnd"/>
      <w:r w:rsidRPr="000B412F">
        <w:rPr>
          <w:rFonts w:ascii="Arial" w:hAnsi="Arial" w:cs="Arial"/>
          <w:sz w:val="24"/>
        </w:rPr>
        <w:t xml:space="preserve"> is very different when compared to the two other sources as instead of the two figures meeting in person they correspond using </w:t>
      </w:r>
      <w:r w:rsidR="00AA0559" w:rsidRPr="000B412F">
        <w:rPr>
          <w:rFonts w:ascii="Arial" w:hAnsi="Arial" w:cs="Arial"/>
          <w:sz w:val="24"/>
        </w:rPr>
        <w:t>letters</w:t>
      </w:r>
      <w:r w:rsidR="00AA0559">
        <w:rPr>
          <w:rFonts w:ascii="Arial" w:hAnsi="Arial" w:cs="Arial"/>
          <w:sz w:val="24"/>
        </w:rPr>
        <w:t>.</w:t>
      </w:r>
      <w:r w:rsidRPr="000B412F">
        <w:rPr>
          <w:rFonts w:ascii="Arial" w:hAnsi="Arial" w:cs="Arial"/>
          <w:sz w:val="24"/>
        </w:rPr>
        <w:t xml:space="preserve"> The first </w:t>
      </w:r>
      <w:r w:rsidRPr="000B412F">
        <w:rPr>
          <w:rFonts w:ascii="Arial" w:hAnsi="Arial" w:cs="Arial"/>
          <w:sz w:val="24"/>
        </w:rPr>
        <w:lastRenderedPageBreak/>
        <w:t>correspondence starts off with Alexander writing about who he is and the deeds he has accomplished, such as beating Darius</w:t>
      </w:r>
      <w:r w:rsidR="00156BF3">
        <w:rPr>
          <w:rFonts w:ascii="Arial" w:hAnsi="Arial" w:cs="Arial"/>
          <w:sz w:val="24"/>
        </w:rPr>
        <w:t>,</w:t>
      </w:r>
      <w:r w:rsidRPr="000B412F">
        <w:rPr>
          <w:rFonts w:ascii="Arial" w:hAnsi="Arial" w:cs="Arial"/>
          <w:sz w:val="24"/>
        </w:rPr>
        <w:t xml:space="preserve"> and he demands that </w:t>
      </w:r>
      <w:proofErr w:type="spellStart"/>
      <w:r w:rsidRPr="000B412F">
        <w:rPr>
          <w:rFonts w:ascii="Arial" w:hAnsi="Arial" w:cs="Arial"/>
          <w:sz w:val="24"/>
        </w:rPr>
        <w:t>Talestris</w:t>
      </w:r>
      <w:proofErr w:type="spellEnd"/>
      <w:r w:rsidRPr="000B412F">
        <w:rPr>
          <w:rFonts w:ascii="Arial" w:hAnsi="Arial" w:cs="Arial"/>
          <w:sz w:val="24"/>
        </w:rPr>
        <w:t xml:space="preserve"> pays tribute to him.</w:t>
      </w:r>
      <w:r w:rsidRPr="000B412F">
        <w:rPr>
          <w:rStyle w:val="FootnoteReference"/>
          <w:rFonts w:ascii="Arial" w:hAnsi="Arial" w:cs="Arial"/>
          <w:sz w:val="24"/>
        </w:rPr>
        <w:footnoteReference w:id="10"/>
      </w:r>
      <w:r w:rsidRPr="000B412F">
        <w:rPr>
          <w:rFonts w:ascii="Arial" w:hAnsi="Arial" w:cs="Arial"/>
          <w:sz w:val="24"/>
        </w:rPr>
        <w:t xml:space="preserve"> </w:t>
      </w:r>
      <w:proofErr w:type="spellStart"/>
      <w:r w:rsidRPr="000B412F">
        <w:rPr>
          <w:rFonts w:ascii="Arial" w:hAnsi="Arial" w:cs="Arial"/>
          <w:sz w:val="24"/>
        </w:rPr>
        <w:t>Talestris</w:t>
      </w:r>
      <w:proofErr w:type="spellEnd"/>
      <w:r w:rsidRPr="000B412F">
        <w:rPr>
          <w:rFonts w:ascii="Arial" w:hAnsi="Arial" w:cs="Arial"/>
          <w:sz w:val="24"/>
        </w:rPr>
        <w:t xml:space="preserve"> replies by describing where the Amazons live and the ways </w:t>
      </w:r>
      <w:r>
        <w:rPr>
          <w:rFonts w:ascii="Arial" w:hAnsi="Arial" w:cs="Arial"/>
          <w:sz w:val="24"/>
        </w:rPr>
        <w:t xml:space="preserve">in which they </w:t>
      </w:r>
      <w:r w:rsidRPr="000B412F">
        <w:rPr>
          <w:rFonts w:ascii="Arial" w:hAnsi="Arial" w:cs="Arial"/>
          <w:sz w:val="24"/>
        </w:rPr>
        <w:t>live</w:t>
      </w:r>
      <w:r>
        <w:rPr>
          <w:rFonts w:ascii="Arial" w:hAnsi="Arial" w:cs="Arial"/>
          <w:sz w:val="24"/>
        </w:rPr>
        <w:t>,</w:t>
      </w:r>
      <w:r w:rsidRPr="000B412F">
        <w:rPr>
          <w:rFonts w:ascii="Arial" w:hAnsi="Arial" w:cs="Arial"/>
          <w:sz w:val="24"/>
        </w:rPr>
        <w:t xml:space="preserve"> such as </w:t>
      </w:r>
      <w:r>
        <w:rPr>
          <w:rFonts w:ascii="Arial" w:hAnsi="Arial" w:cs="Arial"/>
          <w:sz w:val="24"/>
        </w:rPr>
        <w:t xml:space="preserve">how </w:t>
      </w:r>
      <w:r w:rsidRPr="000B412F">
        <w:rPr>
          <w:rFonts w:ascii="Arial" w:hAnsi="Arial" w:cs="Arial"/>
          <w:sz w:val="24"/>
        </w:rPr>
        <w:t xml:space="preserve">men </w:t>
      </w:r>
      <w:r>
        <w:rPr>
          <w:rFonts w:ascii="Arial" w:hAnsi="Arial" w:cs="Arial"/>
          <w:sz w:val="24"/>
        </w:rPr>
        <w:t>and women live separately</w:t>
      </w:r>
      <w:r w:rsidRPr="000B412F">
        <w:rPr>
          <w:rFonts w:ascii="Arial" w:hAnsi="Arial" w:cs="Arial"/>
          <w:sz w:val="24"/>
        </w:rPr>
        <w:t>. She also states that if Alexander conquers them there will be no glory in it, almost as if she is trying to ensure that they are protected from his designs.</w:t>
      </w:r>
      <w:r w:rsidRPr="000B412F">
        <w:rPr>
          <w:rStyle w:val="FootnoteReference"/>
          <w:rFonts w:ascii="Arial" w:hAnsi="Arial" w:cs="Arial"/>
          <w:sz w:val="24"/>
        </w:rPr>
        <w:footnoteReference w:id="11"/>
      </w:r>
      <w:r w:rsidRPr="000B412F">
        <w:rPr>
          <w:rFonts w:ascii="Arial" w:hAnsi="Arial" w:cs="Arial"/>
          <w:sz w:val="24"/>
        </w:rPr>
        <w:t xml:space="preserve"> Alexander replies by stating that he has no wish to fight them and that he just </w:t>
      </w:r>
      <w:r>
        <w:rPr>
          <w:rFonts w:ascii="Arial" w:hAnsi="Arial" w:cs="Arial"/>
          <w:sz w:val="24"/>
        </w:rPr>
        <w:t>only wants to arrange a meeting</w:t>
      </w:r>
      <w:r w:rsidRPr="000B412F">
        <w:rPr>
          <w:rFonts w:ascii="Arial" w:hAnsi="Arial" w:cs="Arial"/>
          <w:sz w:val="24"/>
        </w:rPr>
        <w:t xml:space="preserve">. </w:t>
      </w:r>
      <w:proofErr w:type="spellStart"/>
      <w:r w:rsidRPr="000B412F">
        <w:rPr>
          <w:rFonts w:ascii="Arial" w:hAnsi="Arial" w:cs="Arial"/>
          <w:sz w:val="24"/>
        </w:rPr>
        <w:t>Talestris</w:t>
      </w:r>
      <w:proofErr w:type="spellEnd"/>
      <w:r w:rsidRPr="000B412F">
        <w:rPr>
          <w:rFonts w:ascii="Arial" w:hAnsi="Arial" w:cs="Arial"/>
          <w:sz w:val="24"/>
        </w:rPr>
        <w:t xml:space="preserve"> sends tribute to Alexander which include</w:t>
      </w:r>
      <w:r>
        <w:rPr>
          <w:rFonts w:ascii="Arial" w:hAnsi="Arial" w:cs="Arial"/>
          <w:sz w:val="24"/>
        </w:rPr>
        <w:t>s</w:t>
      </w:r>
      <w:r w:rsidRPr="000B412F">
        <w:rPr>
          <w:rFonts w:ascii="Arial" w:hAnsi="Arial" w:cs="Arial"/>
          <w:sz w:val="24"/>
        </w:rPr>
        <w:t xml:space="preserve"> ten horses.</w:t>
      </w:r>
      <w:r w:rsidRPr="000B412F">
        <w:rPr>
          <w:rStyle w:val="FootnoteReference"/>
          <w:rFonts w:ascii="Arial" w:hAnsi="Arial" w:cs="Arial"/>
          <w:sz w:val="24"/>
        </w:rPr>
        <w:footnoteReference w:id="12"/>
      </w:r>
      <w:r w:rsidRPr="000B412F">
        <w:rPr>
          <w:rFonts w:ascii="Arial" w:hAnsi="Arial" w:cs="Arial"/>
          <w:sz w:val="24"/>
        </w:rPr>
        <w:t xml:space="preserve"> It is never stated if they ever met in person only that after peace was established</w:t>
      </w:r>
      <w:r>
        <w:rPr>
          <w:rFonts w:ascii="Arial" w:hAnsi="Arial" w:cs="Arial"/>
          <w:sz w:val="24"/>
        </w:rPr>
        <w:t xml:space="preserve"> </w:t>
      </w:r>
      <w:r w:rsidRPr="000B412F">
        <w:rPr>
          <w:rFonts w:ascii="Arial" w:hAnsi="Arial" w:cs="Arial"/>
          <w:sz w:val="24"/>
        </w:rPr>
        <w:t>Alexander left.</w:t>
      </w:r>
      <w:r>
        <w:rPr>
          <w:rStyle w:val="FootnoteReference"/>
          <w:rFonts w:ascii="Arial" w:hAnsi="Arial" w:cs="Arial"/>
          <w:sz w:val="24"/>
        </w:rPr>
        <w:footnoteReference w:id="13"/>
      </w:r>
    </w:p>
    <w:bookmarkEnd w:id="2"/>
    <w:p w14:paraId="10E339EA" w14:textId="09F341E7" w:rsidR="009E5555" w:rsidRPr="000B412F" w:rsidRDefault="009E5555" w:rsidP="009E5555">
      <w:pPr>
        <w:spacing w:line="360" w:lineRule="auto"/>
        <w:rPr>
          <w:rFonts w:ascii="Arial" w:hAnsi="Arial" w:cs="Arial"/>
          <w:sz w:val="24"/>
        </w:rPr>
      </w:pPr>
      <w:r w:rsidRPr="000B412F">
        <w:rPr>
          <w:rFonts w:ascii="Arial" w:hAnsi="Arial" w:cs="Arial"/>
          <w:sz w:val="24"/>
        </w:rPr>
        <w:t xml:space="preserve">The first two sources discussed are extremely similar </w:t>
      </w:r>
      <w:r>
        <w:rPr>
          <w:rFonts w:ascii="Arial" w:hAnsi="Arial" w:cs="Arial"/>
          <w:sz w:val="24"/>
        </w:rPr>
        <w:t xml:space="preserve">and </w:t>
      </w:r>
      <w:r w:rsidRPr="000B412F">
        <w:rPr>
          <w:rFonts w:ascii="Arial" w:hAnsi="Arial" w:cs="Arial"/>
          <w:sz w:val="24"/>
        </w:rPr>
        <w:t xml:space="preserve">Walter of </w:t>
      </w:r>
      <w:proofErr w:type="spellStart"/>
      <w:r w:rsidRPr="000B412F">
        <w:rPr>
          <w:rFonts w:ascii="Arial" w:hAnsi="Arial" w:cs="Arial"/>
          <w:sz w:val="24"/>
        </w:rPr>
        <w:t>Châtillon</w:t>
      </w:r>
      <w:proofErr w:type="spellEnd"/>
      <w:r w:rsidRPr="000B412F">
        <w:rPr>
          <w:rFonts w:ascii="Arial" w:hAnsi="Arial" w:cs="Arial"/>
          <w:sz w:val="24"/>
        </w:rPr>
        <w:t>, according to Maura Lafferty, was extremely well</w:t>
      </w:r>
      <w:r>
        <w:rPr>
          <w:rFonts w:ascii="Arial" w:hAnsi="Arial" w:cs="Arial"/>
          <w:sz w:val="24"/>
        </w:rPr>
        <w:t>-</w:t>
      </w:r>
      <w:r w:rsidRPr="000B412F">
        <w:rPr>
          <w:rFonts w:ascii="Arial" w:hAnsi="Arial" w:cs="Arial"/>
          <w:sz w:val="24"/>
        </w:rPr>
        <w:t>read and the main source for his poem was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Curtius</w:t>
      </w:r>
      <w:proofErr w:type="spellEnd"/>
      <w:r>
        <w:rPr>
          <w:rFonts w:ascii="Arial" w:hAnsi="Arial" w:cs="Arial"/>
          <w:sz w:val="24"/>
        </w:rPr>
        <w:t xml:space="preserve"> himself</w:t>
      </w:r>
      <w:r w:rsidRPr="000B412F">
        <w:rPr>
          <w:rFonts w:ascii="Arial" w:hAnsi="Arial" w:cs="Arial"/>
          <w:sz w:val="24"/>
        </w:rPr>
        <w:t>.</w:t>
      </w:r>
      <w:r w:rsidRPr="000B412F">
        <w:rPr>
          <w:rStyle w:val="FootnoteReference"/>
          <w:rFonts w:ascii="Arial" w:hAnsi="Arial" w:cs="Arial"/>
          <w:sz w:val="24"/>
        </w:rPr>
        <w:footnoteReference w:id="14"/>
      </w:r>
      <w:r w:rsidRPr="000B412F">
        <w:rPr>
          <w:rFonts w:ascii="Arial" w:hAnsi="Arial" w:cs="Arial"/>
          <w:sz w:val="24"/>
        </w:rPr>
        <w:t xml:space="preserve"> Townsend also </w:t>
      </w:r>
      <w:r>
        <w:rPr>
          <w:rFonts w:ascii="Arial" w:hAnsi="Arial" w:cs="Arial"/>
          <w:sz w:val="24"/>
        </w:rPr>
        <w:t>confirms this</w:t>
      </w:r>
      <w:r w:rsidRPr="000B412F">
        <w:rPr>
          <w:rFonts w:ascii="Arial" w:hAnsi="Arial" w:cs="Arial"/>
          <w:sz w:val="24"/>
        </w:rPr>
        <w:t xml:space="preserve"> but suggests that Walter would often digress from </w:t>
      </w:r>
      <w:proofErr w:type="spellStart"/>
      <w:r w:rsidRPr="000B412F">
        <w:rPr>
          <w:rFonts w:ascii="Arial" w:hAnsi="Arial" w:cs="Arial"/>
          <w:sz w:val="24"/>
        </w:rPr>
        <w:t>Curtius</w:t>
      </w:r>
      <w:proofErr w:type="spellEnd"/>
      <w:r w:rsidRPr="000B412F">
        <w:rPr>
          <w:rFonts w:ascii="Arial" w:hAnsi="Arial" w:cs="Arial"/>
          <w:sz w:val="24"/>
        </w:rPr>
        <w:t xml:space="preserve"> and modify some details, perhaps to better fit the form of an epic poem.</w:t>
      </w:r>
      <w:r w:rsidRPr="000B412F">
        <w:rPr>
          <w:rStyle w:val="FootnoteReference"/>
          <w:rFonts w:ascii="Arial" w:hAnsi="Arial" w:cs="Arial"/>
          <w:sz w:val="24"/>
        </w:rPr>
        <w:footnoteReference w:id="15"/>
      </w:r>
      <w:r>
        <w:rPr>
          <w:rFonts w:ascii="Arial" w:hAnsi="Arial" w:cs="Arial"/>
          <w:sz w:val="24"/>
        </w:rPr>
        <w:t xml:space="preserve"> </w:t>
      </w:r>
      <w:r w:rsidRPr="000B412F">
        <w:rPr>
          <w:rFonts w:ascii="Arial" w:hAnsi="Arial" w:cs="Arial"/>
          <w:sz w:val="24"/>
        </w:rPr>
        <w:t>However</w:t>
      </w:r>
      <w:r>
        <w:rPr>
          <w:rFonts w:ascii="Arial" w:hAnsi="Arial" w:cs="Arial"/>
          <w:sz w:val="24"/>
        </w:rPr>
        <w:t>,</w:t>
      </w:r>
      <w:r w:rsidRPr="000B412F">
        <w:rPr>
          <w:rFonts w:ascii="Arial" w:hAnsi="Arial" w:cs="Arial"/>
          <w:sz w:val="24"/>
        </w:rPr>
        <w:t xml:space="preserve"> it is clear that the </w:t>
      </w:r>
      <w:r w:rsidRPr="000B412F">
        <w:rPr>
          <w:rFonts w:ascii="Arial" w:hAnsi="Arial" w:cs="Arial"/>
          <w:i/>
          <w:sz w:val="24"/>
        </w:rPr>
        <w:t xml:space="preserve">Historia de </w:t>
      </w:r>
      <w:proofErr w:type="spellStart"/>
      <w:r w:rsidRPr="000B412F">
        <w:rPr>
          <w:rFonts w:ascii="Arial" w:hAnsi="Arial" w:cs="Arial"/>
          <w:i/>
          <w:sz w:val="24"/>
        </w:rPr>
        <w:t>Preliis</w:t>
      </w:r>
      <w:proofErr w:type="spellEnd"/>
      <w:r w:rsidRPr="000B412F">
        <w:rPr>
          <w:rFonts w:ascii="Arial" w:hAnsi="Arial" w:cs="Arial"/>
          <w:sz w:val="24"/>
        </w:rPr>
        <w:t xml:space="preserve"> was not influenced in the same way as the encounter is presented entirely differen</w:t>
      </w:r>
      <w:r>
        <w:rPr>
          <w:rFonts w:ascii="Arial" w:hAnsi="Arial" w:cs="Arial"/>
          <w:sz w:val="24"/>
        </w:rPr>
        <w:t>tly</w:t>
      </w:r>
      <w:r w:rsidRPr="000B412F">
        <w:rPr>
          <w:rFonts w:ascii="Arial" w:hAnsi="Arial" w:cs="Arial"/>
          <w:sz w:val="24"/>
        </w:rPr>
        <w:t xml:space="preserve">. The only main differences between the first two accounts </w:t>
      </w:r>
      <w:r>
        <w:rPr>
          <w:rFonts w:ascii="Arial" w:hAnsi="Arial" w:cs="Arial"/>
          <w:sz w:val="24"/>
        </w:rPr>
        <w:t>are</w:t>
      </w:r>
      <w:r w:rsidRPr="000B412F">
        <w:rPr>
          <w:rFonts w:ascii="Arial" w:hAnsi="Arial" w:cs="Arial"/>
          <w:sz w:val="24"/>
        </w:rPr>
        <w:t xml:space="preserve"> the way in which they are presented with </w:t>
      </w:r>
      <w:proofErr w:type="spellStart"/>
      <w:r w:rsidRPr="000B412F">
        <w:rPr>
          <w:rFonts w:ascii="Arial" w:hAnsi="Arial" w:cs="Arial"/>
          <w:sz w:val="24"/>
        </w:rPr>
        <w:t>Curtius’s</w:t>
      </w:r>
      <w:proofErr w:type="spellEnd"/>
      <w:r w:rsidRPr="000B412F">
        <w:rPr>
          <w:rFonts w:ascii="Arial" w:hAnsi="Arial" w:cs="Arial"/>
          <w:sz w:val="24"/>
        </w:rPr>
        <w:t xml:space="preserve"> version </w:t>
      </w:r>
      <w:r w:rsidR="000944D5">
        <w:rPr>
          <w:rFonts w:ascii="Arial" w:hAnsi="Arial" w:cs="Arial"/>
          <w:sz w:val="24"/>
        </w:rPr>
        <w:t xml:space="preserve">being </w:t>
      </w:r>
      <w:r w:rsidRPr="000B412F">
        <w:rPr>
          <w:rFonts w:ascii="Arial" w:hAnsi="Arial" w:cs="Arial"/>
          <w:sz w:val="24"/>
        </w:rPr>
        <w:t>more of a histor</w:t>
      </w:r>
      <w:r>
        <w:rPr>
          <w:rFonts w:ascii="Arial" w:hAnsi="Arial" w:cs="Arial"/>
          <w:sz w:val="24"/>
        </w:rPr>
        <w:t>ical account,</w:t>
      </w:r>
      <w:r w:rsidRPr="000B412F">
        <w:rPr>
          <w:rFonts w:ascii="Arial" w:hAnsi="Arial" w:cs="Arial"/>
          <w:sz w:val="24"/>
        </w:rPr>
        <w:t xml:space="preserve"> even if some aspects are fictitious. This </w:t>
      </w:r>
      <w:proofErr w:type="gramStart"/>
      <w:r w:rsidRPr="000B412F">
        <w:rPr>
          <w:rFonts w:ascii="Arial" w:hAnsi="Arial" w:cs="Arial"/>
          <w:sz w:val="24"/>
        </w:rPr>
        <w:t>can be seen as</w:t>
      </w:r>
      <w:proofErr w:type="gramEnd"/>
      <w:r w:rsidRPr="000B412F">
        <w:rPr>
          <w:rFonts w:ascii="Arial" w:hAnsi="Arial" w:cs="Arial"/>
          <w:sz w:val="24"/>
        </w:rPr>
        <w:t xml:space="preserve"> he includes a lot more background information such as where Alexander had come from before the meeting. In comparison</w:t>
      </w:r>
      <w:r>
        <w:rPr>
          <w:rFonts w:ascii="Arial" w:hAnsi="Arial" w:cs="Arial"/>
          <w:sz w:val="24"/>
        </w:rPr>
        <w:t>,</w:t>
      </w:r>
      <w:r w:rsidRPr="000B412F">
        <w:rPr>
          <w:rFonts w:ascii="Arial" w:hAnsi="Arial" w:cs="Arial"/>
          <w:sz w:val="24"/>
        </w:rPr>
        <w:t xml:space="preserve"> Walter’s is presented in the form of a poem which is testament to the style of writing in the 12</w:t>
      </w:r>
      <w:r w:rsidRPr="000B412F">
        <w:rPr>
          <w:rFonts w:ascii="Arial" w:hAnsi="Arial" w:cs="Arial"/>
          <w:sz w:val="24"/>
          <w:vertAlign w:val="superscript"/>
        </w:rPr>
        <w:t>th</w:t>
      </w:r>
      <w:r w:rsidRPr="000B412F">
        <w:rPr>
          <w:rFonts w:ascii="Arial" w:hAnsi="Arial" w:cs="Arial"/>
          <w:sz w:val="24"/>
        </w:rPr>
        <w:t xml:space="preserve"> century, which was </w:t>
      </w:r>
      <w:r>
        <w:rPr>
          <w:rFonts w:ascii="Arial" w:hAnsi="Arial" w:cs="Arial"/>
          <w:sz w:val="24"/>
        </w:rPr>
        <w:t xml:space="preserve">a </w:t>
      </w:r>
      <w:r w:rsidRPr="000B412F">
        <w:rPr>
          <w:rFonts w:ascii="Arial" w:hAnsi="Arial" w:cs="Arial"/>
          <w:sz w:val="24"/>
        </w:rPr>
        <w:t xml:space="preserve">romantic heroic literature, as such Walter seems to have modified </w:t>
      </w:r>
      <w:proofErr w:type="spellStart"/>
      <w:r w:rsidRPr="000B412F">
        <w:rPr>
          <w:rFonts w:ascii="Arial" w:hAnsi="Arial" w:cs="Arial"/>
          <w:sz w:val="24"/>
        </w:rPr>
        <w:t>Curtius’s</w:t>
      </w:r>
      <w:proofErr w:type="spellEnd"/>
      <w:r w:rsidRPr="000B412F">
        <w:rPr>
          <w:rFonts w:ascii="Arial" w:hAnsi="Arial" w:cs="Arial"/>
          <w:sz w:val="24"/>
        </w:rPr>
        <w:t xml:space="preserve"> information to fit the epic poetry mould.</w:t>
      </w:r>
      <w:r>
        <w:rPr>
          <w:rStyle w:val="FootnoteReference"/>
          <w:rFonts w:ascii="Arial" w:hAnsi="Arial" w:cs="Arial"/>
          <w:sz w:val="24"/>
        </w:rPr>
        <w:footnoteReference w:id="16"/>
      </w:r>
    </w:p>
    <w:p w14:paraId="78318279" w14:textId="33B38832" w:rsidR="009E5555" w:rsidRPr="000B412F" w:rsidRDefault="009E5555" w:rsidP="009E5555">
      <w:pPr>
        <w:spacing w:line="360" w:lineRule="auto"/>
        <w:rPr>
          <w:rFonts w:ascii="Arial" w:hAnsi="Arial" w:cs="Arial"/>
          <w:sz w:val="24"/>
        </w:rPr>
      </w:pPr>
      <w:r w:rsidRPr="000B412F">
        <w:rPr>
          <w:rFonts w:ascii="Arial" w:hAnsi="Arial" w:cs="Arial"/>
          <w:sz w:val="24"/>
        </w:rPr>
        <w:t xml:space="preserve">One main difference between the texts is the way that Alexander is portrayed. In the </w:t>
      </w:r>
      <w:proofErr w:type="gramStart"/>
      <w:r w:rsidRPr="000B412F">
        <w:rPr>
          <w:rFonts w:ascii="Arial" w:hAnsi="Arial" w:cs="Arial"/>
          <w:i/>
          <w:sz w:val="24"/>
        </w:rPr>
        <w:t xml:space="preserve">Historia de </w:t>
      </w:r>
      <w:proofErr w:type="spellStart"/>
      <w:r w:rsidRPr="000B412F">
        <w:rPr>
          <w:rFonts w:ascii="Arial" w:hAnsi="Arial" w:cs="Arial"/>
          <w:i/>
          <w:sz w:val="24"/>
        </w:rPr>
        <w:t>Preliis</w:t>
      </w:r>
      <w:proofErr w:type="spellEnd"/>
      <w:proofErr w:type="gramEnd"/>
      <w:r w:rsidRPr="000B412F">
        <w:rPr>
          <w:rFonts w:ascii="Arial" w:hAnsi="Arial" w:cs="Arial"/>
          <w:sz w:val="24"/>
        </w:rPr>
        <w:t xml:space="preserve"> he is shown to be a more assured of himself as well as having a more ruthless side. This can be seen as he demands that </w:t>
      </w:r>
      <w:proofErr w:type="spellStart"/>
      <w:r w:rsidRPr="000B412F">
        <w:rPr>
          <w:rFonts w:ascii="Arial" w:hAnsi="Arial" w:cs="Arial"/>
          <w:sz w:val="24"/>
        </w:rPr>
        <w:t>Talestris</w:t>
      </w:r>
      <w:proofErr w:type="spellEnd"/>
      <w:r w:rsidRPr="000B412F">
        <w:rPr>
          <w:rFonts w:ascii="Arial" w:hAnsi="Arial" w:cs="Arial"/>
          <w:sz w:val="24"/>
        </w:rPr>
        <w:t xml:space="preserve"> pay him tribute, whereas in the other two accounts he is more reserved and less demanding.</w:t>
      </w:r>
      <w:r w:rsidRPr="000B412F">
        <w:rPr>
          <w:rStyle w:val="FootnoteReference"/>
          <w:rFonts w:ascii="Arial" w:hAnsi="Arial" w:cs="Arial"/>
          <w:sz w:val="24"/>
        </w:rPr>
        <w:footnoteReference w:id="17"/>
      </w:r>
      <w:r w:rsidRPr="000B412F">
        <w:rPr>
          <w:rFonts w:ascii="Arial" w:hAnsi="Arial" w:cs="Arial"/>
          <w:sz w:val="24"/>
        </w:rPr>
        <w:t xml:space="preserve"> </w:t>
      </w:r>
      <w:r w:rsidRPr="000B412F">
        <w:rPr>
          <w:rFonts w:ascii="Arial" w:hAnsi="Arial" w:cs="Arial"/>
          <w:sz w:val="24"/>
        </w:rPr>
        <w:lastRenderedPageBreak/>
        <w:t xml:space="preserve">Perhaps </w:t>
      </w:r>
      <w:proofErr w:type="spellStart"/>
      <w:r w:rsidRPr="000B412F">
        <w:rPr>
          <w:rFonts w:ascii="Arial" w:hAnsi="Arial" w:cs="Arial"/>
          <w:sz w:val="24"/>
        </w:rPr>
        <w:t>Curtius</w:t>
      </w:r>
      <w:proofErr w:type="spellEnd"/>
      <w:r w:rsidRPr="000B412F">
        <w:rPr>
          <w:rFonts w:ascii="Arial" w:hAnsi="Arial" w:cs="Arial"/>
          <w:sz w:val="24"/>
        </w:rPr>
        <w:t xml:space="preserve"> and Walter chose to present him in this way in order to cast a more heroic picture of Alexander rather than the tyrannical way he is presented in the </w:t>
      </w:r>
      <w:proofErr w:type="spellStart"/>
      <w:r w:rsidRPr="000B412F">
        <w:rPr>
          <w:rFonts w:ascii="Arial" w:hAnsi="Arial" w:cs="Arial"/>
          <w:i/>
          <w:sz w:val="24"/>
        </w:rPr>
        <w:t>Preliis</w:t>
      </w:r>
      <w:proofErr w:type="spellEnd"/>
      <w:r w:rsidR="003672CB">
        <w:rPr>
          <w:rFonts w:ascii="Arial" w:hAnsi="Arial" w:cs="Arial"/>
          <w:i/>
          <w:sz w:val="24"/>
        </w:rPr>
        <w:t>.</w:t>
      </w:r>
      <w:r w:rsidRPr="000B412F">
        <w:rPr>
          <w:rFonts w:ascii="Arial" w:hAnsi="Arial" w:cs="Arial"/>
          <w:i/>
          <w:sz w:val="24"/>
        </w:rPr>
        <w:t xml:space="preserve"> </w:t>
      </w:r>
      <w:r>
        <w:rPr>
          <w:rFonts w:ascii="Arial" w:hAnsi="Arial" w:cs="Arial"/>
          <w:sz w:val="24"/>
        </w:rPr>
        <w:t>In a D</w:t>
      </w:r>
      <w:r w:rsidRPr="000B412F">
        <w:rPr>
          <w:rFonts w:ascii="Arial" w:hAnsi="Arial" w:cs="Arial"/>
          <w:sz w:val="24"/>
        </w:rPr>
        <w:t>ifferent way</w:t>
      </w:r>
      <w:r>
        <w:rPr>
          <w:rFonts w:ascii="Arial" w:hAnsi="Arial" w:cs="Arial"/>
          <w:sz w:val="24"/>
        </w:rPr>
        <w:t>, Walter</w:t>
      </w:r>
      <w:r w:rsidRPr="000B412F">
        <w:rPr>
          <w:rFonts w:ascii="Arial" w:hAnsi="Arial" w:cs="Arial"/>
          <w:sz w:val="24"/>
        </w:rPr>
        <w:t xml:space="preserve"> provides a moral lesson, in conjunction with the theme of epic poetry in the middle ages, in that although Alex</w:t>
      </w:r>
      <w:r>
        <w:rPr>
          <w:rFonts w:ascii="Arial" w:hAnsi="Arial" w:cs="Arial"/>
          <w:sz w:val="24"/>
        </w:rPr>
        <w:t>ander</w:t>
      </w:r>
      <w:r w:rsidRPr="000B412F">
        <w:rPr>
          <w:rFonts w:ascii="Arial" w:hAnsi="Arial" w:cs="Arial"/>
          <w:sz w:val="24"/>
        </w:rPr>
        <w:t xml:space="preserve"> does not look all that impressive </w:t>
      </w:r>
      <w:r w:rsidR="00ED6417">
        <w:rPr>
          <w:rFonts w:ascii="Arial" w:hAnsi="Arial" w:cs="Arial"/>
          <w:sz w:val="24"/>
        </w:rPr>
        <w:t>physically</w:t>
      </w:r>
      <w:r w:rsidRPr="000B412F">
        <w:rPr>
          <w:rFonts w:ascii="Arial" w:hAnsi="Arial" w:cs="Arial"/>
          <w:sz w:val="24"/>
        </w:rPr>
        <w:t xml:space="preserve">, he is still a great warrior and has done many heroic deeds despite his </w:t>
      </w:r>
      <w:r>
        <w:rPr>
          <w:rFonts w:ascii="Arial" w:hAnsi="Arial" w:cs="Arial"/>
          <w:sz w:val="24"/>
        </w:rPr>
        <w:t xml:space="preserve">physical </w:t>
      </w:r>
      <w:r w:rsidRPr="000B412F">
        <w:rPr>
          <w:rFonts w:ascii="Arial" w:hAnsi="Arial" w:cs="Arial"/>
          <w:sz w:val="24"/>
        </w:rPr>
        <w:t>limitations.</w:t>
      </w:r>
    </w:p>
    <w:p w14:paraId="1E674C34" w14:textId="56D7DE15" w:rsidR="009E5555" w:rsidRPr="000B412F" w:rsidRDefault="009E5555" w:rsidP="009E5555">
      <w:pPr>
        <w:spacing w:line="360" w:lineRule="auto"/>
        <w:rPr>
          <w:rFonts w:ascii="Arial" w:hAnsi="Arial" w:cs="Arial"/>
          <w:sz w:val="24"/>
        </w:rPr>
      </w:pPr>
      <w:r w:rsidRPr="000B412F">
        <w:rPr>
          <w:rFonts w:ascii="Arial" w:hAnsi="Arial" w:cs="Arial"/>
          <w:sz w:val="24"/>
        </w:rPr>
        <w:t xml:space="preserve">A possible reason as to why the authors present different accounts is that they are different types of historians and writers. Elizabeth </w:t>
      </w:r>
      <w:proofErr w:type="spellStart"/>
      <w:r w:rsidRPr="000B412F">
        <w:rPr>
          <w:rFonts w:ascii="Arial" w:hAnsi="Arial" w:cs="Arial"/>
          <w:sz w:val="24"/>
        </w:rPr>
        <w:t>Baynham</w:t>
      </w:r>
      <w:proofErr w:type="spellEnd"/>
      <w:r w:rsidRPr="000B412F">
        <w:rPr>
          <w:rFonts w:ascii="Arial" w:hAnsi="Arial" w:cs="Arial"/>
          <w:sz w:val="24"/>
        </w:rPr>
        <w:t xml:space="preserve"> states that </w:t>
      </w:r>
      <w:proofErr w:type="spellStart"/>
      <w:r w:rsidRPr="000B412F">
        <w:rPr>
          <w:rFonts w:ascii="Arial" w:hAnsi="Arial" w:cs="Arial"/>
          <w:sz w:val="24"/>
        </w:rPr>
        <w:t>Curtius</w:t>
      </w:r>
      <w:proofErr w:type="spellEnd"/>
      <w:r w:rsidRPr="000B412F">
        <w:rPr>
          <w:rFonts w:ascii="Arial" w:hAnsi="Arial" w:cs="Arial"/>
          <w:sz w:val="24"/>
        </w:rPr>
        <w:t xml:space="preserve"> followed the Roman tradition of presenting a moral story with a lesson to be learned as well as a distorting “his source material in his search for stylistic elegance” at the expense of any historical accuracy.</w:t>
      </w:r>
      <w:r w:rsidRPr="000B412F">
        <w:rPr>
          <w:rStyle w:val="FootnoteReference"/>
          <w:rFonts w:ascii="Arial" w:hAnsi="Arial" w:cs="Arial"/>
          <w:sz w:val="24"/>
        </w:rPr>
        <w:footnoteReference w:id="18"/>
      </w:r>
      <w:r w:rsidRPr="000B412F">
        <w:rPr>
          <w:rFonts w:ascii="Arial" w:hAnsi="Arial" w:cs="Arial"/>
          <w:sz w:val="24"/>
        </w:rPr>
        <w:t xml:space="preserve"> As stated before, Walter</w:t>
      </w:r>
      <w:r>
        <w:rPr>
          <w:rFonts w:ascii="Arial" w:hAnsi="Arial" w:cs="Arial"/>
          <w:sz w:val="24"/>
        </w:rPr>
        <w:t>’s</w:t>
      </w:r>
      <w:r w:rsidRPr="000B412F">
        <w:rPr>
          <w:rFonts w:ascii="Arial" w:hAnsi="Arial" w:cs="Arial"/>
          <w:sz w:val="24"/>
        </w:rPr>
        <w:t xml:space="preserve"> </w:t>
      </w:r>
      <w:r w:rsidR="00E5007D">
        <w:rPr>
          <w:rFonts w:ascii="Arial" w:hAnsi="Arial" w:cs="Arial"/>
          <w:sz w:val="24"/>
        </w:rPr>
        <w:t>was also</w:t>
      </w:r>
      <w:r w:rsidRPr="000B412F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written </w:t>
      </w:r>
      <w:r w:rsidRPr="000B412F">
        <w:rPr>
          <w:rFonts w:ascii="Arial" w:hAnsi="Arial" w:cs="Arial"/>
          <w:sz w:val="24"/>
        </w:rPr>
        <w:t>in the style of the period from which he was from</w:t>
      </w:r>
      <w:r w:rsidR="00E5007D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and</w:t>
      </w:r>
      <w:r w:rsidR="003F5882">
        <w:rPr>
          <w:rFonts w:ascii="Arial" w:hAnsi="Arial" w:cs="Arial"/>
          <w:sz w:val="24"/>
        </w:rPr>
        <w:t xml:space="preserve"> he</w:t>
      </w:r>
      <w:r>
        <w:rPr>
          <w:rFonts w:ascii="Arial" w:hAnsi="Arial" w:cs="Arial"/>
          <w:sz w:val="24"/>
        </w:rPr>
        <w:t xml:space="preserve"> </w:t>
      </w:r>
      <w:r w:rsidRPr="000B412F">
        <w:rPr>
          <w:rFonts w:ascii="Arial" w:hAnsi="Arial" w:cs="Arial"/>
          <w:sz w:val="24"/>
        </w:rPr>
        <w:t xml:space="preserve">would have taken the material from his source and adapted it to fit the narrative he was trying </w:t>
      </w:r>
      <w:r>
        <w:rPr>
          <w:rFonts w:ascii="Arial" w:hAnsi="Arial" w:cs="Arial"/>
          <w:sz w:val="24"/>
        </w:rPr>
        <w:t>portray</w:t>
      </w:r>
      <w:r w:rsidRPr="000B412F">
        <w:rPr>
          <w:rFonts w:ascii="Arial" w:hAnsi="Arial" w:cs="Arial"/>
          <w:sz w:val="24"/>
        </w:rPr>
        <w:t xml:space="preserve">. Perhaps the author of this part of the </w:t>
      </w:r>
      <w:proofErr w:type="spellStart"/>
      <w:r w:rsidRPr="000B412F">
        <w:rPr>
          <w:rFonts w:ascii="Arial" w:hAnsi="Arial" w:cs="Arial"/>
          <w:i/>
          <w:sz w:val="24"/>
        </w:rPr>
        <w:t>Preliis</w:t>
      </w:r>
      <w:proofErr w:type="spellEnd"/>
      <w:r w:rsidRPr="000B412F">
        <w:rPr>
          <w:rFonts w:ascii="Arial" w:hAnsi="Arial" w:cs="Arial"/>
          <w:sz w:val="24"/>
        </w:rPr>
        <w:t xml:space="preserve"> wanted to take a stylised approach and decided to depict the encounter as a series of letters rather than them </w:t>
      </w:r>
      <w:proofErr w:type="gramStart"/>
      <w:r w:rsidRPr="000B412F">
        <w:rPr>
          <w:rFonts w:ascii="Arial" w:hAnsi="Arial" w:cs="Arial"/>
          <w:sz w:val="24"/>
        </w:rPr>
        <w:t>actually meeting</w:t>
      </w:r>
      <w:proofErr w:type="gramEnd"/>
      <w:r w:rsidRPr="000B412F">
        <w:rPr>
          <w:rFonts w:ascii="Arial" w:hAnsi="Arial" w:cs="Arial"/>
          <w:sz w:val="24"/>
        </w:rPr>
        <w:t xml:space="preserve"> fac</w:t>
      </w:r>
      <w:r>
        <w:rPr>
          <w:rFonts w:ascii="Arial" w:hAnsi="Arial" w:cs="Arial"/>
          <w:sz w:val="24"/>
        </w:rPr>
        <w:t>e</w:t>
      </w:r>
      <w:r w:rsidRPr="000B412F">
        <w:rPr>
          <w:rFonts w:ascii="Arial" w:hAnsi="Arial" w:cs="Arial"/>
          <w:sz w:val="24"/>
        </w:rPr>
        <w:t xml:space="preserve"> to face. These stylised approaches resulted in each encounter differing as they needed the encounter to fit the</w:t>
      </w:r>
      <w:r>
        <w:rPr>
          <w:rFonts w:ascii="Arial" w:hAnsi="Arial" w:cs="Arial"/>
          <w:sz w:val="24"/>
        </w:rPr>
        <w:t>ir narrative and agenda.</w:t>
      </w:r>
    </w:p>
    <w:p w14:paraId="7BE31E42" w14:textId="33FA3F83" w:rsidR="009E5555" w:rsidRPr="000B412F" w:rsidRDefault="009E5555" w:rsidP="009E5555">
      <w:pPr>
        <w:spacing w:line="360" w:lineRule="auto"/>
        <w:rPr>
          <w:rFonts w:ascii="Arial" w:hAnsi="Arial" w:cs="Arial"/>
          <w:sz w:val="24"/>
        </w:rPr>
      </w:pPr>
      <w:r w:rsidRPr="000B412F">
        <w:rPr>
          <w:rFonts w:ascii="Arial" w:hAnsi="Arial" w:cs="Arial"/>
          <w:sz w:val="24"/>
        </w:rPr>
        <w:t>To conclude, each author is writing using the popular style of the</w:t>
      </w:r>
      <w:r>
        <w:rPr>
          <w:rFonts w:ascii="Arial" w:hAnsi="Arial" w:cs="Arial"/>
          <w:sz w:val="24"/>
        </w:rPr>
        <w:t>ir</w:t>
      </w:r>
      <w:r w:rsidRPr="000B412F">
        <w:rPr>
          <w:rFonts w:ascii="Arial" w:hAnsi="Arial" w:cs="Arial"/>
          <w:sz w:val="24"/>
        </w:rPr>
        <w:t xml:space="preserve"> time, </w:t>
      </w:r>
      <w:proofErr w:type="spellStart"/>
      <w:r w:rsidRPr="000B412F">
        <w:rPr>
          <w:rFonts w:ascii="Arial" w:hAnsi="Arial" w:cs="Arial"/>
          <w:sz w:val="24"/>
        </w:rPr>
        <w:t>Curtius</w:t>
      </w:r>
      <w:proofErr w:type="spellEnd"/>
      <w:r w:rsidRPr="000B412F">
        <w:rPr>
          <w:rFonts w:ascii="Arial" w:hAnsi="Arial" w:cs="Arial"/>
          <w:sz w:val="24"/>
        </w:rPr>
        <w:t xml:space="preserve"> in the Roman tradition and Walter in the form of epic poetry. The fact that the </w:t>
      </w:r>
      <w:r w:rsidRPr="000B412F">
        <w:rPr>
          <w:rFonts w:ascii="Arial" w:hAnsi="Arial" w:cs="Arial"/>
          <w:i/>
          <w:sz w:val="24"/>
        </w:rPr>
        <w:t xml:space="preserve">Historia de </w:t>
      </w:r>
      <w:proofErr w:type="spellStart"/>
      <w:r w:rsidRPr="000B412F">
        <w:rPr>
          <w:rFonts w:ascii="Arial" w:hAnsi="Arial" w:cs="Arial"/>
          <w:i/>
          <w:sz w:val="24"/>
        </w:rPr>
        <w:t>Preliis</w:t>
      </w:r>
      <w:proofErr w:type="spellEnd"/>
      <w:r w:rsidRPr="000B412F">
        <w:rPr>
          <w:rFonts w:ascii="Arial" w:hAnsi="Arial" w:cs="Arial"/>
          <w:sz w:val="24"/>
        </w:rPr>
        <w:t xml:space="preserve"> is written by multiple authors gives it its own style </w:t>
      </w:r>
      <w:r>
        <w:rPr>
          <w:rFonts w:ascii="Arial" w:hAnsi="Arial" w:cs="Arial"/>
          <w:sz w:val="24"/>
        </w:rPr>
        <w:t>and could be different, when compared to the others, in order to present an alternative account</w:t>
      </w:r>
      <w:r w:rsidR="007B4EBF">
        <w:rPr>
          <w:rFonts w:ascii="Arial" w:hAnsi="Arial" w:cs="Arial"/>
          <w:sz w:val="24"/>
        </w:rPr>
        <w:t xml:space="preserve"> of what happened</w:t>
      </w:r>
      <w:r>
        <w:rPr>
          <w:rFonts w:ascii="Arial" w:hAnsi="Arial" w:cs="Arial"/>
          <w:sz w:val="24"/>
        </w:rPr>
        <w:t xml:space="preserve">. </w:t>
      </w:r>
      <w:r w:rsidRPr="000B412F">
        <w:rPr>
          <w:rFonts w:ascii="Arial" w:hAnsi="Arial" w:cs="Arial"/>
          <w:sz w:val="24"/>
        </w:rPr>
        <w:t xml:space="preserve">This results in differences in the way </w:t>
      </w:r>
      <w:r>
        <w:rPr>
          <w:rFonts w:ascii="Arial" w:hAnsi="Arial" w:cs="Arial"/>
          <w:sz w:val="24"/>
        </w:rPr>
        <w:t>the two figures</w:t>
      </w:r>
      <w:r w:rsidRPr="000B412F">
        <w:rPr>
          <w:rFonts w:ascii="Arial" w:hAnsi="Arial" w:cs="Arial"/>
          <w:sz w:val="24"/>
        </w:rPr>
        <w:t xml:space="preserve"> are portrayed </w:t>
      </w:r>
      <w:r>
        <w:rPr>
          <w:rFonts w:ascii="Arial" w:hAnsi="Arial" w:cs="Arial"/>
          <w:sz w:val="24"/>
        </w:rPr>
        <w:t>and</w:t>
      </w:r>
      <w:r w:rsidRPr="000B412F">
        <w:rPr>
          <w:rFonts w:ascii="Arial" w:hAnsi="Arial" w:cs="Arial"/>
          <w:sz w:val="24"/>
        </w:rPr>
        <w:t xml:space="preserve"> the moral lesson</w:t>
      </w:r>
      <w:r w:rsidR="00CF140E">
        <w:rPr>
          <w:rFonts w:ascii="Arial" w:hAnsi="Arial" w:cs="Arial"/>
          <w:sz w:val="24"/>
        </w:rPr>
        <w:t>s</w:t>
      </w:r>
      <w:r w:rsidRPr="000B412F">
        <w:rPr>
          <w:rFonts w:ascii="Arial" w:hAnsi="Arial" w:cs="Arial"/>
          <w:sz w:val="24"/>
        </w:rPr>
        <w:t xml:space="preserve"> and themes throughout the various accounts.</w:t>
      </w:r>
    </w:p>
    <w:p w14:paraId="530CD318" w14:textId="000664DB" w:rsidR="009E5555" w:rsidRPr="000B412F" w:rsidRDefault="00FB0225" w:rsidP="009E5555">
      <w:pPr>
        <w:spacing w:line="360" w:lineRule="auto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>Word Count</w:t>
      </w:r>
      <w:r w:rsidR="009E5555" w:rsidRPr="000B412F">
        <w:rPr>
          <w:rFonts w:ascii="Arial" w:hAnsi="Arial" w:cs="Arial"/>
          <w:b/>
          <w:sz w:val="24"/>
          <w:u w:val="single"/>
        </w:rPr>
        <w:t>: 10</w:t>
      </w:r>
      <w:r w:rsidR="009B41D9">
        <w:rPr>
          <w:rFonts w:ascii="Arial" w:hAnsi="Arial" w:cs="Arial"/>
          <w:b/>
          <w:sz w:val="24"/>
          <w:u w:val="single"/>
        </w:rPr>
        <w:t>9</w:t>
      </w:r>
      <w:r w:rsidR="00E42DB2">
        <w:rPr>
          <w:rFonts w:ascii="Arial" w:hAnsi="Arial" w:cs="Arial"/>
          <w:b/>
          <w:sz w:val="24"/>
          <w:u w:val="single"/>
        </w:rPr>
        <w:t>0</w:t>
      </w:r>
    </w:p>
    <w:p w14:paraId="2E0B2925" w14:textId="77777777" w:rsidR="009E5555" w:rsidRDefault="009E5555" w:rsidP="009E5555">
      <w:pPr>
        <w:rPr>
          <w:rFonts w:ascii="Georgia" w:hAnsi="Georgia"/>
          <w:b/>
          <w:bCs/>
          <w:sz w:val="24"/>
          <w:szCs w:val="24"/>
          <w:u w:val="single"/>
        </w:rPr>
      </w:pPr>
    </w:p>
    <w:p w14:paraId="7D3639B8" w14:textId="77777777" w:rsidR="009E5555" w:rsidRDefault="009E5555" w:rsidP="009E5555">
      <w:pPr>
        <w:rPr>
          <w:rFonts w:ascii="Georgia" w:hAnsi="Georgia"/>
          <w:b/>
          <w:bCs/>
          <w:sz w:val="24"/>
          <w:szCs w:val="24"/>
          <w:u w:val="single"/>
        </w:rPr>
      </w:pPr>
    </w:p>
    <w:p w14:paraId="24513A69" w14:textId="77777777" w:rsidR="009E5555" w:rsidRDefault="009E5555" w:rsidP="009E5555">
      <w:pPr>
        <w:rPr>
          <w:rFonts w:ascii="Georgia" w:hAnsi="Georgia"/>
          <w:b/>
          <w:bCs/>
          <w:sz w:val="24"/>
          <w:szCs w:val="24"/>
          <w:u w:val="single"/>
        </w:rPr>
      </w:pPr>
    </w:p>
    <w:p w14:paraId="5B3A9DA4" w14:textId="77777777" w:rsidR="009E5555" w:rsidRDefault="009E5555" w:rsidP="009E5555">
      <w:pPr>
        <w:rPr>
          <w:rFonts w:ascii="Georgia" w:hAnsi="Georgia"/>
          <w:b/>
          <w:bCs/>
          <w:sz w:val="24"/>
          <w:szCs w:val="24"/>
          <w:u w:val="single"/>
        </w:rPr>
      </w:pPr>
    </w:p>
    <w:p w14:paraId="139572B0" w14:textId="77777777" w:rsidR="00EA7353" w:rsidRDefault="00EA7353" w:rsidP="009E5555">
      <w:pPr>
        <w:spacing w:line="360" w:lineRule="auto"/>
        <w:rPr>
          <w:rFonts w:ascii="Georgia" w:hAnsi="Georgia"/>
          <w:b/>
          <w:bCs/>
          <w:sz w:val="24"/>
          <w:szCs w:val="24"/>
          <w:u w:val="single"/>
        </w:rPr>
      </w:pPr>
    </w:p>
    <w:p w14:paraId="6F20279D" w14:textId="449B443B" w:rsidR="009E5555" w:rsidRPr="000B412F" w:rsidRDefault="009E5555" w:rsidP="009E555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0B412F">
        <w:rPr>
          <w:rFonts w:ascii="Arial" w:hAnsi="Arial" w:cs="Arial"/>
          <w:b/>
          <w:bCs/>
          <w:sz w:val="24"/>
          <w:szCs w:val="24"/>
          <w:u w:val="single"/>
        </w:rPr>
        <w:t>Bibliography</w:t>
      </w:r>
    </w:p>
    <w:p w14:paraId="3F9C9E62" w14:textId="77777777" w:rsidR="009E5555" w:rsidRPr="000B412F" w:rsidRDefault="009E5555" w:rsidP="009E555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0B412F">
        <w:rPr>
          <w:rFonts w:ascii="Arial" w:hAnsi="Arial" w:cs="Arial"/>
          <w:b/>
          <w:bCs/>
          <w:sz w:val="24"/>
          <w:szCs w:val="24"/>
          <w:u w:val="single"/>
        </w:rPr>
        <w:t>Primary Sources</w:t>
      </w:r>
    </w:p>
    <w:p w14:paraId="613EBC03" w14:textId="77777777" w:rsidR="00EF3525" w:rsidRPr="000B412F" w:rsidRDefault="00EF3525" w:rsidP="009E5555">
      <w:pPr>
        <w:spacing w:line="360" w:lineRule="auto"/>
        <w:rPr>
          <w:rFonts w:ascii="Arial" w:hAnsi="Arial" w:cs="Arial"/>
          <w:sz w:val="24"/>
          <w:szCs w:val="24"/>
        </w:rPr>
      </w:pPr>
      <w:r w:rsidRPr="000B412F">
        <w:rPr>
          <w:rFonts w:ascii="Arial" w:hAnsi="Arial" w:cs="Arial"/>
          <w:sz w:val="24"/>
          <w:szCs w:val="24"/>
        </w:rPr>
        <w:t>Leo of Naples,</w:t>
      </w:r>
      <w:r w:rsidRPr="000B412F">
        <w:rPr>
          <w:rFonts w:ascii="Arial" w:hAnsi="Arial" w:cs="Arial"/>
          <w:i/>
          <w:iCs/>
          <w:sz w:val="24"/>
          <w:szCs w:val="24"/>
        </w:rPr>
        <w:t xml:space="preserve"> Historia de </w:t>
      </w:r>
      <w:proofErr w:type="spellStart"/>
      <w:r w:rsidRPr="000B412F">
        <w:rPr>
          <w:rFonts w:ascii="Arial" w:hAnsi="Arial" w:cs="Arial"/>
          <w:i/>
          <w:iCs/>
          <w:sz w:val="24"/>
          <w:szCs w:val="24"/>
        </w:rPr>
        <w:t>Preliis</w:t>
      </w:r>
      <w:proofErr w:type="spellEnd"/>
      <w:r w:rsidRPr="000B412F">
        <w:rPr>
          <w:rFonts w:ascii="Arial" w:hAnsi="Arial" w:cs="Arial"/>
          <w:i/>
          <w:iCs/>
          <w:sz w:val="24"/>
          <w:szCs w:val="24"/>
        </w:rPr>
        <w:t xml:space="preserve">, </w:t>
      </w:r>
      <w:r w:rsidRPr="000B412F">
        <w:rPr>
          <w:rFonts w:ascii="Arial" w:hAnsi="Arial" w:cs="Arial"/>
          <w:sz w:val="24"/>
          <w:szCs w:val="24"/>
        </w:rPr>
        <w:t>R.T. Pritchard (Trans), 1992, Toronto: Pontifical Institute of Medieval Studies, pp.77-79.</w:t>
      </w:r>
    </w:p>
    <w:p w14:paraId="3EBFB94C" w14:textId="0BF33024" w:rsidR="00EF3525" w:rsidRPr="000B412F" w:rsidRDefault="00EF3525" w:rsidP="009E5555">
      <w:pPr>
        <w:spacing w:line="360" w:lineRule="auto"/>
        <w:rPr>
          <w:rFonts w:ascii="Arial" w:hAnsi="Arial" w:cs="Arial"/>
          <w:sz w:val="24"/>
          <w:szCs w:val="24"/>
        </w:rPr>
      </w:pPr>
      <w:r w:rsidRPr="000B412F">
        <w:rPr>
          <w:rFonts w:ascii="Arial" w:hAnsi="Arial" w:cs="Arial"/>
          <w:sz w:val="24"/>
          <w:szCs w:val="24"/>
        </w:rPr>
        <w:t>Walter of</w:t>
      </w:r>
      <w:r w:rsidR="006D6F12" w:rsidRPr="006D6F12">
        <w:rPr>
          <w:rFonts w:ascii="Arial" w:hAnsi="Arial" w:cs="Arial"/>
          <w:sz w:val="24"/>
        </w:rPr>
        <w:t xml:space="preserve"> </w:t>
      </w:r>
      <w:proofErr w:type="spellStart"/>
      <w:r w:rsidR="006D6F12" w:rsidRPr="000B412F">
        <w:rPr>
          <w:rFonts w:ascii="Arial" w:hAnsi="Arial" w:cs="Arial"/>
          <w:sz w:val="24"/>
        </w:rPr>
        <w:t>Châtillon</w:t>
      </w:r>
      <w:proofErr w:type="spellEnd"/>
      <w:r w:rsidRPr="000B412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B412F">
        <w:rPr>
          <w:rFonts w:ascii="Arial" w:hAnsi="Arial" w:cs="Arial"/>
          <w:i/>
          <w:iCs/>
          <w:sz w:val="24"/>
          <w:szCs w:val="24"/>
        </w:rPr>
        <w:t>Alexandreis</w:t>
      </w:r>
      <w:proofErr w:type="spellEnd"/>
      <w:r w:rsidRPr="000B412F">
        <w:rPr>
          <w:rFonts w:ascii="Arial" w:hAnsi="Arial" w:cs="Arial"/>
          <w:i/>
          <w:iCs/>
          <w:sz w:val="24"/>
          <w:szCs w:val="24"/>
        </w:rPr>
        <w:t xml:space="preserve"> 8.1-48, </w:t>
      </w:r>
      <w:r w:rsidRPr="000B412F">
        <w:rPr>
          <w:rFonts w:ascii="Arial" w:hAnsi="Arial" w:cs="Arial"/>
          <w:sz w:val="24"/>
          <w:szCs w:val="24"/>
        </w:rPr>
        <w:t>D. Townsend (Trans), 1996, Philadelphia: University of Philadelphia Press, pp.131-132.</w:t>
      </w:r>
    </w:p>
    <w:p w14:paraId="5C347C43" w14:textId="77777777" w:rsidR="00EF3525" w:rsidRPr="000B412F" w:rsidRDefault="00EF3525" w:rsidP="009E5555">
      <w:pPr>
        <w:spacing w:line="360" w:lineRule="auto"/>
        <w:rPr>
          <w:rFonts w:ascii="Arial" w:hAnsi="Arial" w:cs="Arial"/>
          <w:sz w:val="24"/>
          <w:szCs w:val="24"/>
        </w:rPr>
      </w:pPr>
      <w:r w:rsidRPr="000B412F">
        <w:rPr>
          <w:rFonts w:ascii="Arial" w:hAnsi="Arial" w:cs="Arial"/>
          <w:sz w:val="24"/>
          <w:szCs w:val="24"/>
        </w:rPr>
        <w:t xml:space="preserve">Quintus </w:t>
      </w:r>
      <w:proofErr w:type="spellStart"/>
      <w:r w:rsidRPr="000B412F">
        <w:rPr>
          <w:rFonts w:ascii="Arial" w:hAnsi="Arial" w:cs="Arial"/>
          <w:sz w:val="24"/>
          <w:szCs w:val="24"/>
        </w:rPr>
        <w:t>Curtius</w:t>
      </w:r>
      <w:proofErr w:type="spellEnd"/>
      <w:r w:rsidRPr="000B412F">
        <w:rPr>
          <w:rFonts w:ascii="Arial" w:hAnsi="Arial" w:cs="Arial"/>
          <w:sz w:val="24"/>
          <w:szCs w:val="24"/>
        </w:rPr>
        <w:t xml:space="preserve"> Rufus,</w:t>
      </w:r>
      <w:r w:rsidRPr="000B412F">
        <w:rPr>
          <w:rFonts w:ascii="Arial" w:hAnsi="Arial" w:cs="Arial"/>
          <w:i/>
          <w:iCs/>
          <w:sz w:val="24"/>
          <w:szCs w:val="24"/>
        </w:rPr>
        <w:t xml:space="preserve"> History of Alexander, Volume II: Books 6-10, </w:t>
      </w:r>
      <w:r w:rsidRPr="000B412F">
        <w:rPr>
          <w:rFonts w:ascii="Arial" w:hAnsi="Arial" w:cs="Arial"/>
          <w:sz w:val="24"/>
          <w:szCs w:val="24"/>
        </w:rPr>
        <w:t>J.C. Rolfe (Trans). 1946, Cambridge: Harvard University Press, pp.48-49.</w:t>
      </w:r>
    </w:p>
    <w:p w14:paraId="6337CCEF" w14:textId="77777777" w:rsidR="009E5555" w:rsidRPr="000B412F" w:rsidRDefault="009E5555" w:rsidP="009E555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0B412F">
        <w:rPr>
          <w:rFonts w:ascii="Arial" w:hAnsi="Arial" w:cs="Arial"/>
          <w:b/>
          <w:bCs/>
          <w:sz w:val="24"/>
          <w:szCs w:val="24"/>
          <w:u w:val="single"/>
        </w:rPr>
        <w:t>Secondary Sources</w:t>
      </w:r>
    </w:p>
    <w:p w14:paraId="2C6256CD" w14:textId="77777777" w:rsidR="00EF3525" w:rsidRPr="00617B96" w:rsidRDefault="00EF3525" w:rsidP="009E555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7B96">
        <w:rPr>
          <w:rFonts w:ascii="Arial" w:hAnsi="Arial" w:cs="Arial"/>
          <w:sz w:val="24"/>
          <w:szCs w:val="24"/>
        </w:rPr>
        <w:t>Baynham</w:t>
      </w:r>
      <w:proofErr w:type="spellEnd"/>
      <w:r w:rsidRPr="00617B96">
        <w:rPr>
          <w:rFonts w:ascii="Arial" w:hAnsi="Arial" w:cs="Arial"/>
          <w:sz w:val="24"/>
          <w:szCs w:val="24"/>
        </w:rPr>
        <w:t xml:space="preserve">, E. (1998) </w:t>
      </w:r>
      <w:r w:rsidRPr="00617B96">
        <w:rPr>
          <w:rFonts w:ascii="Arial" w:hAnsi="Arial" w:cs="Arial"/>
          <w:i/>
          <w:iCs/>
          <w:sz w:val="24"/>
          <w:szCs w:val="24"/>
        </w:rPr>
        <w:t xml:space="preserve">Alexander the great: The Unique History of Quintus </w:t>
      </w:r>
      <w:proofErr w:type="spellStart"/>
      <w:r w:rsidRPr="00617B96">
        <w:rPr>
          <w:rFonts w:ascii="Arial" w:hAnsi="Arial" w:cs="Arial"/>
          <w:i/>
          <w:iCs/>
          <w:sz w:val="24"/>
          <w:szCs w:val="24"/>
        </w:rPr>
        <w:t>Cutius</w:t>
      </w:r>
      <w:proofErr w:type="spellEnd"/>
      <w:r w:rsidRPr="00617B96">
        <w:rPr>
          <w:rFonts w:ascii="Arial" w:hAnsi="Arial" w:cs="Arial"/>
          <w:sz w:val="24"/>
          <w:szCs w:val="24"/>
        </w:rPr>
        <w:t>, Ann Arbor: The University of Michigan Press.</w:t>
      </w:r>
    </w:p>
    <w:p w14:paraId="53A8CD63" w14:textId="77777777" w:rsidR="00EF3525" w:rsidRPr="00617B96" w:rsidRDefault="00EF3525" w:rsidP="009E5555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Lafferty, M. (2011) 'Walter of </w:t>
      </w:r>
      <w:proofErr w:type="spellStart"/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Châtillon's</w:t>
      </w:r>
      <w:proofErr w:type="spellEnd"/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Alexandreis</w:t>
      </w:r>
      <w:proofErr w:type="spellEnd"/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', in </w:t>
      </w:r>
      <w:proofErr w:type="spellStart"/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Zuwiyya</w:t>
      </w:r>
      <w:proofErr w:type="spellEnd"/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, D. (ed.) </w:t>
      </w:r>
      <w:r w:rsidRPr="00617B9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 Companion to Alexander Literature in the Middle Ages. </w:t>
      </w:r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Boston: Brill, pp. 177-199.</w:t>
      </w:r>
    </w:p>
    <w:p w14:paraId="0DDC43C8" w14:textId="77777777" w:rsidR="00EF3525" w:rsidRPr="00617B96" w:rsidRDefault="00EF3525" w:rsidP="009E5555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McCarthy, P., </w:t>
      </w:r>
      <w:proofErr w:type="spellStart"/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Ménager</w:t>
      </w:r>
      <w:proofErr w:type="spellEnd"/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, D. (2019) </w:t>
      </w:r>
      <w:r w:rsidRPr="00617B9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French Literature, </w:t>
      </w:r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Available at: </w:t>
      </w:r>
      <w:r w:rsidRPr="00617B96"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  <w:t>https://www.britannica.com/art/French-literature</w:t>
      </w:r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 (Accessed: 13th January 2020).</w:t>
      </w:r>
    </w:p>
    <w:p w14:paraId="562109F3" w14:textId="77777777" w:rsidR="00EF3525" w:rsidRPr="00617B96" w:rsidRDefault="00EF3525" w:rsidP="009E5555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Stoneman, R. (2011) 'Primary Sources from the Classical and Early Medieval Periods', in </w:t>
      </w:r>
      <w:proofErr w:type="spellStart"/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Zuwiyya</w:t>
      </w:r>
      <w:proofErr w:type="spellEnd"/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, D. (ed.) </w:t>
      </w:r>
      <w:r w:rsidRPr="00617B9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 Companion to Alexander Literature in the Middle Ages. </w:t>
      </w:r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Boston: Brill, pp. 1-21.</w:t>
      </w:r>
    </w:p>
    <w:p w14:paraId="4C879541" w14:textId="77777777" w:rsidR="00EF3525" w:rsidRPr="00617B96" w:rsidRDefault="00EF3525" w:rsidP="009E5555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Townsend, D. (1995) 'Sex and the Single Amazon in Twelfth-Century Latin Epic', </w:t>
      </w:r>
      <w:r w:rsidRPr="00617B9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University of Toronto Quarterly, </w:t>
      </w:r>
      <w:r w:rsidRPr="00617B96">
        <w:rPr>
          <w:rFonts w:ascii="Arial" w:hAnsi="Arial" w:cs="Arial"/>
          <w:color w:val="000000"/>
          <w:sz w:val="24"/>
          <w:szCs w:val="24"/>
          <w:shd w:val="clear" w:color="auto" w:fill="FFFFFF"/>
        </w:rPr>
        <w:t>64(2), pp. 255-273.</w:t>
      </w:r>
    </w:p>
    <w:p w14:paraId="6054FF9E" w14:textId="77777777" w:rsidR="001F5847" w:rsidRPr="00CF6C0D" w:rsidRDefault="001F5847">
      <w:pPr>
        <w:rPr>
          <w:rFonts w:ascii="Georgia" w:hAnsi="Georgia"/>
          <w:sz w:val="24"/>
        </w:rPr>
      </w:pPr>
    </w:p>
    <w:sectPr w:rsidR="001F5847" w:rsidRPr="00CF6C0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31071" w14:textId="77777777" w:rsidR="00DA79CF" w:rsidRDefault="00DA79CF" w:rsidP="00FD6FE4">
      <w:pPr>
        <w:spacing w:after="0" w:line="240" w:lineRule="auto"/>
      </w:pPr>
      <w:r>
        <w:separator/>
      </w:r>
    </w:p>
  </w:endnote>
  <w:endnote w:type="continuationSeparator" w:id="0">
    <w:p w14:paraId="3EAAC381" w14:textId="77777777" w:rsidR="00DA79CF" w:rsidRDefault="00DA79CF" w:rsidP="00FD6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BA71B" w14:textId="1B56B8DD" w:rsidR="00607FA8" w:rsidRDefault="00607FA8">
    <w:pPr>
      <w:pStyle w:val="Footer"/>
    </w:pPr>
    <w:r>
      <w:t>1702828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D25CF" w14:textId="77777777" w:rsidR="00DA79CF" w:rsidRDefault="00DA79CF" w:rsidP="00FD6FE4">
      <w:pPr>
        <w:spacing w:after="0" w:line="240" w:lineRule="auto"/>
      </w:pPr>
      <w:r>
        <w:separator/>
      </w:r>
    </w:p>
  </w:footnote>
  <w:footnote w:type="continuationSeparator" w:id="0">
    <w:p w14:paraId="393A688C" w14:textId="77777777" w:rsidR="00DA79CF" w:rsidRDefault="00DA79CF" w:rsidP="00FD6FE4">
      <w:pPr>
        <w:spacing w:after="0" w:line="240" w:lineRule="auto"/>
      </w:pPr>
      <w:r>
        <w:continuationSeparator/>
      </w:r>
    </w:p>
  </w:footnote>
  <w:footnote w:id="1">
    <w:p w14:paraId="3A7D9741" w14:textId="6E06976C" w:rsidR="009E5555" w:rsidRPr="007D282C" w:rsidRDefault="009E5555" w:rsidP="009E5555">
      <w:pPr>
        <w:pStyle w:val="FootnoteText"/>
        <w:rPr>
          <w:rFonts w:ascii="Arial" w:hAnsi="Arial" w:cs="Arial"/>
        </w:rPr>
      </w:pPr>
      <w:r w:rsidRPr="007D282C">
        <w:rPr>
          <w:rStyle w:val="FootnoteReference"/>
          <w:rFonts w:ascii="Arial" w:hAnsi="Arial" w:cs="Arial"/>
        </w:rPr>
        <w:footnoteRef/>
      </w:r>
      <w:r w:rsidRPr="007D282C">
        <w:rPr>
          <w:rFonts w:ascii="Arial" w:hAnsi="Arial" w:cs="Arial"/>
        </w:rPr>
        <w:t xml:space="preserve"> Lafferty, 2011, p.185.</w:t>
      </w:r>
    </w:p>
    <w:p w14:paraId="0DEC0831" w14:textId="2B50DEDF" w:rsidR="00E6274E" w:rsidRPr="007D282C" w:rsidRDefault="00E6274E" w:rsidP="009E5555">
      <w:pPr>
        <w:pStyle w:val="FootnoteText"/>
        <w:rPr>
          <w:rFonts w:ascii="Arial" w:hAnsi="Arial" w:cs="Arial"/>
        </w:rPr>
      </w:pPr>
      <w:r w:rsidRPr="007D282C">
        <w:rPr>
          <w:rFonts w:ascii="Arial" w:hAnsi="Arial" w:cs="Arial"/>
        </w:rPr>
        <w:t xml:space="preserve">  Curt, </w:t>
      </w:r>
      <w:r w:rsidRPr="007D282C">
        <w:rPr>
          <w:rFonts w:ascii="Arial" w:hAnsi="Arial" w:cs="Arial"/>
          <w:i/>
          <w:iCs/>
        </w:rPr>
        <w:t>History of Alexander</w:t>
      </w:r>
      <w:r w:rsidRPr="007D282C">
        <w:rPr>
          <w:rFonts w:ascii="Arial" w:hAnsi="Arial" w:cs="Arial"/>
        </w:rPr>
        <w:t>.6.5.24-32.</w:t>
      </w:r>
    </w:p>
  </w:footnote>
  <w:footnote w:id="2">
    <w:p w14:paraId="7F207632" w14:textId="2741D787" w:rsidR="009E5555" w:rsidRPr="007D282C" w:rsidRDefault="009E5555" w:rsidP="009E5555">
      <w:pPr>
        <w:pStyle w:val="FootnoteText"/>
        <w:rPr>
          <w:rFonts w:ascii="Arial" w:hAnsi="Arial" w:cs="Arial"/>
        </w:rPr>
      </w:pPr>
      <w:r w:rsidRPr="007D282C">
        <w:rPr>
          <w:rStyle w:val="FootnoteReference"/>
          <w:rFonts w:ascii="Arial" w:hAnsi="Arial" w:cs="Arial"/>
        </w:rPr>
        <w:footnoteRef/>
      </w:r>
      <w:r w:rsidRPr="007D282C">
        <w:rPr>
          <w:rFonts w:ascii="Arial" w:hAnsi="Arial" w:cs="Arial"/>
        </w:rPr>
        <w:t xml:space="preserve"> Lafferty, 2011, p.187.</w:t>
      </w:r>
    </w:p>
    <w:p w14:paraId="23F61296" w14:textId="072C62EF" w:rsidR="00AB1C3B" w:rsidRPr="007D282C" w:rsidRDefault="00AB1C3B" w:rsidP="009E5555">
      <w:pPr>
        <w:pStyle w:val="FootnoteText"/>
        <w:rPr>
          <w:rFonts w:ascii="Arial" w:hAnsi="Arial" w:cs="Arial"/>
        </w:rPr>
      </w:pPr>
      <w:r w:rsidRPr="007D282C">
        <w:rPr>
          <w:rFonts w:ascii="Arial" w:hAnsi="Arial" w:cs="Arial"/>
        </w:rPr>
        <w:t xml:space="preserve">   Walter, </w:t>
      </w:r>
      <w:proofErr w:type="spellStart"/>
      <w:r w:rsidRPr="007D282C">
        <w:rPr>
          <w:rFonts w:ascii="Arial" w:hAnsi="Arial" w:cs="Arial"/>
          <w:i/>
          <w:iCs/>
        </w:rPr>
        <w:t>Alexandreis</w:t>
      </w:r>
      <w:proofErr w:type="spellEnd"/>
      <w:r w:rsidRPr="007D282C">
        <w:rPr>
          <w:rFonts w:ascii="Arial" w:hAnsi="Arial" w:cs="Arial"/>
          <w:i/>
          <w:iCs/>
        </w:rPr>
        <w:t xml:space="preserve">. </w:t>
      </w:r>
      <w:r w:rsidRPr="007D282C">
        <w:rPr>
          <w:rFonts w:ascii="Arial" w:hAnsi="Arial" w:cs="Arial"/>
        </w:rPr>
        <w:t>8.1-48</w:t>
      </w:r>
    </w:p>
  </w:footnote>
  <w:footnote w:id="3">
    <w:p w14:paraId="54AB64CA" w14:textId="67A0A6E3" w:rsidR="00006B30" w:rsidRPr="007D282C" w:rsidRDefault="00006B30">
      <w:pPr>
        <w:pStyle w:val="FootnoteText"/>
        <w:rPr>
          <w:rFonts w:ascii="Arial" w:hAnsi="Arial" w:cs="Arial"/>
        </w:rPr>
      </w:pPr>
      <w:r w:rsidRPr="007D282C">
        <w:rPr>
          <w:rStyle w:val="FootnoteReference"/>
          <w:rFonts w:ascii="Arial" w:hAnsi="Arial" w:cs="Arial"/>
        </w:rPr>
        <w:footnoteRef/>
      </w:r>
      <w:r w:rsidRPr="007D282C">
        <w:rPr>
          <w:rFonts w:ascii="Arial" w:hAnsi="Arial" w:cs="Arial"/>
        </w:rPr>
        <w:t xml:space="preserve"> </w:t>
      </w:r>
      <w:r w:rsidR="00F3611C" w:rsidRPr="007D282C">
        <w:rPr>
          <w:rStyle w:val="FootnoteReference"/>
          <w:rFonts w:ascii="Arial" w:hAnsi="Arial" w:cs="Arial"/>
        </w:rPr>
        <w:footnoteRef/>
      </w:r>
      <w:r w:rsidR="00F3611C" w:rsidRPr="007D282C">
        <w:rPr>
          <w:rFonts w:ascii="Arial" w:hAnsi="Arial" w:cs="Arial"/>
        </w:rPr>
        <w:t xml:space="preserve"> Leo of Naples, </w:t>
      </w:r>
      <w:r w:rsidR="00F3611C" w:rsidRPr="007D282C">
        <w:rPr>
          <w:rFonts w:ascii="Arial" w:hAnsi="Arial" w:cs="Arial"/>
          <w:i/>
        </w:rPr>
        <w:t xml:space="preserve">Historia de </w:t>
      </w:r>
      <w:proofErr w:type="spellStart"/>
      <w:r w:rsidR="00F3611C" w:rsidRPr="007D282C">
        <w:rPr>
          <w:rFonts w:ascii="Arial" w:hAnsi="Arial" w:cs="Arial"/>
          <w:i/>
        </w:rPr>
        <w:t>Preliis</w:t>
      </w:r>
      <w:proofErr w:type="spellEnd"/>
      <w:r w:rsidR="00F3611C" w:rsidRPr="007D282C">
        <w:rPr>
          <w:rFonts w:ascii="Arial" w:hAnsi="Arial" w:cs="Arial"/>
          <w:i/>
        </w:rPr>
        <w:t>.</w:t>
      </w:r>
    </w:p>
  </w:footnote>
  <w:footnote w:id="4">
    <w:p w14:paraId="1B635759" w14:textId="77777777" w:rsidR="009E5555" w:rsidRPr="007D282C" w:rsidRDefault="009E5555" w:rsidP="009E5555">
      <w:pPr>
        <w:pStyle w:val="FootnoteText"/>
        <w:rPr>
          <w:rFonts w:ascii="Arial" w:hAnsi="Arial" w:cs="Arial"/>
        </w:rPr>
      </w:pPr>
      <w:r w:rsidRPr="007D282C">
        <w:rPr>
          <w:rStyle w:val="FootnoteReference"/>
          <w:rFonts w:ascii="Arial" w:hAnsi="Arial" w:cs="Arial"/>
        </w:rPr>
        <w:footnoteRef/>
      </w:r>
      <w:r w:rsidRPr="007D282C">
        <w:rPr>
          <w:rFonts w:ascii="Arial" w:hAnsi="Arial" w:cs="Arial"/>
        </w:rPr>
        <w:t xml:space="preserve"> Stoneman, 2011, p.18.</w:t>
      </w:r>
    </w:p>
  </w:footnote>
  <w:footnote w:id="5">
    <w:p w14:paraId="4D1ABC7C" w14:textId="77777777" w:rsidR="009E5555" w:rsidRPr="007D282C" w:rsidRDefault="009E5555" w:rsidP="009E5555">
      <w:pPr>
        <w:pStyle w:val="FootnoteText"/>
        <w:rPr>
          <w:rFonts w:ascii="Arial" w:hAnsi="Arial" w:cs="Arial"/>
        </w:rPr>
      </w:pPr>
      <w:r w:rsidRPr="007D282C">
        <w:rPr>
          <w:rStyle w:val="FootnoteReference"/>
          <w:rFonts w:ascii="Arial" w:hAnsi="Arial" w:cs="Arial"/>
        </w:rPr>
        <w:footnoteRef/>
      </w:r>
      <w:r w:rsidRPr="007D282C">
        <w:rPr>
          <w:rFonts w:ascii="Arial" w:hAnsi="Arial" w:cs="Arial"/>
        </w:rPr>
        <w:t xml:space="preserve"> Curt, </w:t>
      </w:r>
      <w:r w:rsidRPr="007D282C">
        <w:rPr>
          <w:rFonts w:ascii="Arial" w:hAnsi="Arial" w:cs="Arial"/>
          <w:i/>
          <w:iCs/>
        </w:rPr>
        <w:t>History of Alexander</w:t>
      </w:r>
      <w:r w:rsidRPr="007D282C">
        <w:rPr>
          <w:rFonts w:ascii="Arial" w:hAnsi="Arial" w:cs="Arial"/>
        </w:rPr>
        <w:t>.6.5.24-32.</w:t>
      </w:r>
    </w:p>
  </w:footnote>
  <w:footnote w:id="6">
    <w:p w14:paraId="15BDC202" w14:textId="77777777" w:rsidR="009E5555" w:rsidRPr="007D282C" w:rsidRDefault="009E5555" w:rsidP="009E5555">
      <w:pPr>
        <w:pStyle w:val="FootnoteText"/>
        <w:rPr>
          <w:rFonts w:ascii="Arial" w:hAnsi="Arial" w:cs="Arial"/>
        </w:rPr>
      </w:pPr>
      <w:r w:rsidRPr="007D282C">
        <w:rPr>
          <w:rStyle w:val="FootnoteReference"/>
          <w:rFonts w:ascii="Arial" w:hAnsi="Arial" w:cs="Arial"/>
        </w:rPr>
        <w:footnoteRef/>
      </w:r>
      <w:r w:rsidRPr="007D282C">
        <w:rPr>
          <w:rFonts w:ascii="Arial" w:hAnsi="Arial" w:cs="Arial"/>
        </w:rPr>
        <w:t xml:space="preserve"> </w:t>
      </w:r>
      <w:bookmarkStart w:id="1" w:name="_Hlk29815813"/>
      <w:r w:rsidRPr="007D282C">
        <w:rPr>
          <w:rFonts w:ascii="Arial" w:hAnsi="Arial" w:cs="Arial"/>
        </w:rPr>
        <w:t xml:space="preserve">Curt, </w:t>
      </w:r>
      <w:r w:rsidRPr="007D282C">
        <w:rPr>
          <w:rFonts w:ascii="Arial" w:hAnsi="Arial" w:cs="Arial"/>
          <w:i/>
          <w:iCs/>
        </w:rPr>
        <w:t>History of Alexander</w:t>
      </w:r>
      <w:r w:rsidRPr="007D282C">
        <w:rPr>
          <w:rFonts w:ascii="Arial" w:hAnsi="Arial" w:cs="Arial"/>
        </w:rPr>
        <w:t>.6.5.24-32.</w:t>
      </w:r>
      <w:bookmarkEnd w:id="1"/>
    </w:p>
  </w:footnote>
  <w:footnote w:id="7">
    <w:p w14:paraId="7B2B0245" w14:textId="77AC417C" w:rsidR="007D282C" w:rsidRPr="007D282C" w:rsidRDefault="007D282C">
      <w:pPr>
        <w:pStyle w:val="FootnoteText"/>
        <w:rPr>
          <w:rFonts w:ascii="Arial" w:hAnsi="Arial" w:cs="Arial"/>
        </w:rPr>
      </w:pPr>
      <w:r w:rsidRPr="007D282C">
        <w:rPr>
          <w:rStyle w:val="FootnoteReference"/>
          <w:rFonts w:ascii="Arial" w:hAnsi="Arial" w:cs="Arial"/>
        </w:rPr>
        <w:footnoteRef/>
      </w:r>
      <w:r w:rsidRPr="007D282C">
        <w:rPr>
          <w:rFonts w:ascii="Arial" w:hAnsi="Arial" w:cs="Arial"/>
        </w:rPr>
        <w:t xml:space="preserve"> Walter, </w:t>
      </w:r>
      <w:proofErr w:type="spellStart"/>
      <w:r w:rsidRPr="007D282C">
        <w:rPr>
          <w:rFonts w:ascii="Arial" w:hAnsi="Arial" w:cs="Arial"/>
          <w:i/>
          <w:iCs/>
        </w:rPr>
        <w:t>Alexandreis</w:t>
      </w:r>
      <w:proofErr w:type="spellEnd"/>
      <w:r w:rsidRPr="007D282C">
        <w:rPr>
          <w:rFonts w:ascii="Arial" w:hAnsi="Arial" w:cs="Arial"/>
          <w:i/>
          <w:iCs/>
        </w:rPr>
        <w:t xml:space="preserve">. </w:t>
      </w:r>
      <w:r w:rsidRPr="007D282C">
        <w:rPr>
          <w:rFonts w:ascii="Arial" w:hAnsi="Arial" w:cs="Arial"/>
        </w:rPr>
        <w:t>8.1-48</w:t>
      </w:r>
    </w:p>
  </w:footnote>
  <w:footnote w:id="8">
    <w:p w14:paraId="2BC87BDA" w14:textId="26592164" w:rsidR="009E5555" w:rsidRPr="007D282C" w:rsidRDefault="009E5555" w:rsidP="009E5555">
      <w:pPr>
        <w:pStyle w:val="FootnoteText"/>
        <w:rPr>
          <w:rFonts w:ascii="Arial" w:hAnsi="Arial" w:cs="Arial"/>
        </w:rPr>
      </w:pPr>
      <w:r w:rsidRPr="007D282C">
        <w:rPr>
          <w:rStyle w:val="FootnoteReference"/>
          <w:rFonts w:ascii="Arial" w:hAnsi="Arial" w:cs="Arial"/>
        </w:rPr>
        <w:footnoteRef/>
      </w:r>
      <w:r w:rsidRPr="007D282C">
        <w:rPr>
          <w:rFonts w:ascii="Arial" w:hAnsi="Arial" w:cs="Arial"/>
        </w:rPr>
        <w:t xml:space="preserve"> Walter, </w:t>
      </w:r>
      <w:proofErr w:type="spellStart"/>
      <w:r w:rsidRPr="007D282C">
        <w:rPr>
          <w:rFonts w:ascii="Arial" w:hAnsi="Arial" w:cs="Arial"/>
          <w:i/>
          <w:iCs/>
        </w:rPr>
        <w:t>Alexandreis</w:t>
      </w:r>
      <w:proofErr w:type="spellEnd"/>
      <w:r w:rsidRPr="007D282C">
        <w:rPr>
          <w:rFonts w:ascii="Arial" w:hAnsi="Arial" w:cs="Arial"/>
          <w:i/>
          <w:iCs/>
        </w:rPr>
        <w:t xml:space="preserve">. </w:t>
      </w:r>
      <w:r w:rsidRPr="007D282C">
        <w:rPr>
          <w:rFonts w:ascii="Arial" w:hAnsi="Arial" w:cs="Arial"/>
        </w:rPr>
        <w:t>8.1-48</w:t>
      </w:r>
    </w:p>
  </w:footnote>
  <w:footnote w:id="9">
    <w:p w14:paraId="45442BB8" w14:textId="77777777" w:rsidR="009E5555" w:rsidRPr="007D282C" w:rsidRDefault="009E5555" w:rsidP="009E5555">
      <w:pPr>
        <w:pStyle w:val="FootnoteText"/>
        <w:rPr>
          <w:rFonts w:ascii="Arial" w:hAnsi="Arial" w:cs="Arial"/>
        </w:rPr>
      </w:pPr>
      <w:r w:rsidRPr="007D282C">
        <w:rPr>
          <w:rStyle w:val="FootnoteReference"/>
          <w:rFonts w:ascii="Arial" w:hAnsi="Arial" w:cs="Arial"/>
        </w:rPr>
        <w:footnoteRef/>
      </w:r>
      <w:r w:rsidRPr="007D282C">
        <w:rPr>
          <w:rFonts w:ascii="Arial" w:hAnsi="Arial" w:cs="Arial"/>
        </w:rPr>
        <w:t xml:space="preserve"> Curt, </w:t>
      </w:r>
      <w:r w:rsidRPr="007D282C">
        <w:rPr>
          <w:rFonts w:ascii="Arial" w:hAnsi="Arial" w:cs="Arial"/>
          <w:i/>
          <w:iCs/>
        </w:rPr>
        <w:t>History of Alexander</w:t>
      </w:r>
      <w:r w:rsidRPr="007D282C">
        <w:rPr>
          <w:rFonts w:ascii="Arial" w:hAnsi="Arial" w:cs="Arial"/>
        </w:rPr>
        <w:t>.6.5.24-32.</w:t>
      </w:r>
    </w:p>
    <w:p w14:paraId="634DFD4B" w14:textId="77777777" w:rsidR="009E5555" w:rsidRPr="000B412F" w:rsidRDefault="009E5555" w:rsidP="009E5555">
      <w:pPr>
        <w:pStyle w:val="FootnoteText"/>
        <w:rPr>
          <w:rFonts w:ascii="Arial" w:hAnsi="Arial" w:cs="Arial"/>
        </w:rPr>
      </w:pPr>
      <w:r w:rsidRPr="007D282C">
        <w:rPr>
          <w:rFonts w:ascii="Arial" w:hAnsi="Arial" w:cs="Arial"/>
        </w:rPr>
        <w:t xml:space="preserve">   Walter, </w:t>
      </w:r>
      <w:proofErr w:type="spellStart"/>
      <w:r w:rsidRPr="007D282C">
        <w:rPr>
          <w:rFonts w:ascii="Arial" w:hAnsi="Arial" w:cs="Arial"/>
          <w:i/>
          <w:iCs/>
        </w:rPr>
        <w:t>Alexandreis</w:t>
      </w:r>
      <w:proofErr w:type="spellEnd"/>
      <w:r w:rsidRPr="007D282C">
        <w:rPr>
          <w:rFonts w:ascii="Arial" w:hAnsi="Arial" w:cs="Arial"/>
          <w:i/>
          <w:iCs/>
        </w:rPr>
        <w:t xml:space="preserve">. </w:t>
      </w:r>
      <w:r w:rsidRPr="007D282C">
        <w:rPr>
          <w:rFonts w:ascii="Arial" w:hAnsi="Arial" w:cs="Arial"/>
        </w:rPr>
        <w:t>8.1-48</w:t>
      </w:r>
    </w:p>
  </w:footnote>
  <w:footnote w:id="10">
    <w:p w14:paraId="41FB2314" w14:textId="77777777" w:rsidR="009E5555" w:rsidRPr="007F455C" w:rsidRDefault="009E5555" w:rsidP="009E5555">
      <w:pPr>
        <w:pStyle w:val="FootnoteText"/>
      </w:pPr>
      <w:r w:rsidRPr="000B412F">
        <w:rPr>
          <w:rStyle w:val="FootnoteReference"/>
          <w:rFonts w:ascii="Arial" w:hAnsi="Arial" w:cs="Arial"/>
        </w:rPr>
        <w:footnoteRef/>
      </w:r>
      <w:r w:rsidRPr="000B412F">
        <w:rPr>
          <w:rFonts w:ascii="Arial" w:hAnsi="Arial" w:cs="Arial"/>
        </w:rPr>
        <w:t xml:space="preserve"> </w:t>
      </w:r>
      <w:bookmarkStart w:id="3" w:name="_Hlk29816327"/>
      <w:r w:rsidRPr="000B412F">
        <w:rPr>
          <w:rFonts w:ascii="Arial" w:hAnsi="Arial" w:cs="Arial"/>
        </w:rPr>
        <w:t xml:space="preserve">Leo of Naples, </w:t>
      </w:r>
      <w:r w:rsidRPr="000B412F">
        <w:rPr>
          <w:rFonts w:ascii="Arial" w:hAnsi="Arial" w:cs="Arial"/>
          <w:i/>
        </w:rPr>
        <w:t xml:space="preserve">Historia de </w:t>
      </w:r>
      <w:proofErr w:type="spellStart"/>
      <w:r w:rsidRPr="000B412F">
        <w:rPr>
          <w:rFonts w:ascii="Arial" w:hAnsi="Arial" w:cs="Arial"/>
          <w:i/>
        </w:rPr>
        <w:t>Preliis</w:t>
      </w:r>
      <w:proofErr w:type="spellEnd"/>
      <w:r w:rsidRPr="000B412F">
        <w:rPr>
          <w:rFonts w:ascii="Arial" w:hAnsi="Arial" w:cs="Arial"/>
          <w:i/>
        </w:rPr>
        <w:t xml:space="preserve">. </w:t>
      </w:r>
      <w:bookmarkEnd w:id="3"/>
      <w:r w:rsidRPr="000B412F">
        <w:rPr>
          <w:rFonts w:ascii="Arial" w:hAnsi="Arial" w:cs="Arial"/>
        </w:rPr>
        <w:t>p.77.</w:t>
      </w:r>
    </w:p>
  </w:footnote>
  <w:footnote w:id="11">
    <w:p w14:paraId="5A7D8144" w14:textId="77777777" w:rsidR="009E5555" w:rsidRPr="009562F7" w:rsidRDefault="009E5555" w:rsidP="009E5555">
      <w:pPr>
        <w:pStyle w:val="FootnoteText"/>
        <w:rPr>
          <w:rFonts w:ascii="Arial" w:hAnsi="Arial" w:cs="Arial"/>
        </w:rPr>
      </w:pPr>
      <w:r w:rsidRPr="009562F7">
        <w:rPr>
          <w:rStyle w:val="FootnoteReference"/>
          <w:rFonts w:ascii="Arial" w:hAnsi="Arial" w:cs="Arial"/>
        </w:rPr>
        <w:footnoteRef/>
      </w:r>
      <w:r w:rsidRPr="009562F7">
        <w:rPr>
          <w:rFonts w:ascii="Arial" w:hAnsi="Arial" w:cs="Arial"/>
        </w:rPr>
        <w:t xml:space="preserve"> Leo of Naples, </w:t>
      </w:r>
      <w:r w:rsidRPr="009562F7">
        <w:rPr>
          <w:rFonts w:ascii="Arial" w:hAnsi="Arial" w:cs="Arial"/>
          <w:i/>
        </w:rPr>
        <w:t xml:space="preserve">Historia de </w:t>
      </w:r>
      <w:proofErr w:type="spellStart"/>
      <w:r w:rsidRPr="009562F7">
        <w:rPr>
          <w:rFonts w:ascii="Arial" w:hAnsi="Arial" w:cs="Arial"/>
          <w:i/>
        </w:rPr>
        <w:t>Preliis</w:t>
      </w:r>
      <w:proofErr w:type="spellEnd"/>
      <w:r w:rsidRPr="009562F7">
        <w:rPr>
          <w:rFonts w:ascii="Arial" w:hAnsi="Arial" w:cs="Arial"/>
          <w:i/>
        </w:rPr>
        <w:t xml:space="preserve">. </w:t>
      </w:r>
      <w:r w:rsidRPr="009562F7">
        <w:rPr>
          <w:rFonts w:ascii="Arial" w:hAnsi="Arial" w:cs="Arial"/>
        </w:rPr>
        <w:t>p.78.</w:t>
      </w:r>
    </w:p>
  </w:footnote>
  <w:footnote w:id="12">
    <w:p w14:paraId="1BD50717" w14:textId="77777777" w:rsidR="009E5555" w:rsidRPr="009562F7" w:rsidRDefault="009E5555" w:rsidP="009E5555">
      <w:pPr>
        <w:pStyle w:val="FootnoteText"/>
        <w:rPr>
          <w:rFonts w:ascii="Arial" w:hAnsi="Arial" w:cs="Arial"/>
        </w:rPr>
      </w:pPr>
      <w:r w:rsidRPr="009562F7">
        <w:rPr>
          <w:rStyle w:val="FootnoteReference"/>
          <w:rFonts w:ascii="Arial" w:hAnsi="Arial" w:cs="Arial"/>
        </w:rPr>
        <w:footnoteRef/>
      </w:r>
      <w:bookmarkStart w:id="4" w:name="_Hlk29816550"/>
      <w:r w:rsidRPr="009562F7">
        <w:rPr>
          <w:rFonts w:ascii="Arial" w:hAnsi="Arial" w:cs="Arial"/>
        </w:rPr>
        <w:t xml:space="preserve"> Leo of Naples, </w:t>
      </w:r>
      <w:r w:rsidRPr="009562F7">
        <w:rPr>
          <w:rFonts w:ascii="Arial" w:hAnsi="Arial" w:cs="Arial"/>
          <w:i/>
        </w:rPr>
        <w:t xml:space="preserve">Historia de </w:t>
      </w:r>
      <w:proofErr w:type="spellStart"/>
      <w:r w:rsidRPr="009562F7">
        <w:rPr>
          <w:rFonts w:ascii="Arial" w:hAnsi="Arial" w:cs="Arial"/>
          <w:i/>
        </w:rPr>
        <w:t>Preliis</w:t>
      </w:r>
      <w:proofErr w:type="spellEnd"/>
      <w:r w:rsidRPr="009562F7">
        <w:rPr>
          <w:rFonts w:ascii="Arial" w:hAnsi="Arial" w:cs="Arial"/>
          <w:i/>
        </w:rPr>
        <w:t xml:space="preserve">. </w:t>
      </w:r>
      <w:r w:rsidRPr="009562F7">
        <w:rPr>
          <w:rFonts w:ascii="Arial" w:hAnsi="Arial" w:cs="Arial"/>
        </w:rPr>
        <w:t>p.79.</w:t>
      </w:r>
      <w:bookmarkEnd w:id="4"/>
    </w:p>
  </w:footnote>
  <w:footnote w:id="13">
    <w:p w14:paraId="567DBAB8" w14:textId="77777777" w:rsidR="009E5555" w:rsidRDefault="009E5555" w:rsidP="009E555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562F7">
        <w:rPr>
          <w:rFonts w:ascii="Arial" w:hAnsi="Arial" w:cs="Arial"/>
        </w:rPr>
        <w:t xml:space="preserve">Leo of Naples, </w:t>
      </w:r>
      <w:r w:rsidRPr="009562F7">
        <w:rPr>
          <w:rFonts w:ascii="Arial" w:hAnsi="Arial" w:cs="Arial"/>
          <w:i/>
        </w:rPr>
        <w:t xml:space="preserve">Historia de </w:t>
      </w:r>
      <w:proofErr w:type="spellStart"/>
      <w:r w:rsidRPr="009562F7">
        <w:rPr>
          <w:rFonts w:ascii="Arial" w:hAnsi="Arial" w:cs="Arial"/>
          <w:i/>
        </w:rPr>
        <w:t>Preliis</w:t>
      </w:r>
      <w:proofErr w:type="spellEnd"/>
      <w:r w:rsidRPr="009562F7">
        <w:rPr>
          <w:rFonts w:ascii="Arial" w:hAnsi="Arial" w:cs="Arial"/>
          <w:i/>
        </w:rPr>
        <w:t xml:space="preserve">. </w:t>
      </w:r>
      <w:r w:rsidRPr="009562F7">
        <w:rPr>
          <w:rFonts w:ascii="Arial" w:hAnsi="Arial" w:cs="Arial"/>
        </w:rPr>
        <w:t>p.79.</w:t>
      </w:r>
    </w:p>
  </w:footnote>
  <w:footnote w:id="14">
    <w:p w14:paraId="30711BFB" w14:textId="77777777" w:rsidR="009E5555" w:rsidRPr="009562F7" w:rsidRDefault="009E5555" w:rsidP="009E5555">
      <w:pPr>
        <w:pStyle w:val="FootnoteText"/>
        <w:rPr>
          <w:rFonts w:ascii="Arial" w:hAnsi="Arial" w:cs="Arial"/>
        </w:rPr>
      </w:pPr>
      <w:r w:rsidRPr="009562F7">
        <w:rPr>
          <w:rStyle w:val="FootnoteReference"/>
          <w:rFonts w:ascii="Arial" w:hAnsi="Arial" w:cs="Arial"/>
        </w:rPr>
        <w:footnoteRef/>
      </w:r>
      <w:r w:rsidRPr="009562F7">
        <w:rPr>
          <w:rFonts w:ascii="Arial" w:hAnsi="Arial" w:cs="Arial"/>
        </w:rPr>
        <w:t xml:space="preserve"> Lafferty, 2011, p.185.</w:t>
      </w:r>
    </w:p>
  </w:footnote>
  <w:footnote w:id="15">
    <w:p w14:paraId="7E4B3EAD" w14:textId="77777777" w:rsidR="009E5555" w:rsidRPr="009562F7" w:rsidRDefault="009E5555" w:rsidP="009E5555">
      <w:pPr>
        <w:pStyle w:val="FootnoteText"/>
        <w:rPr>
          <w:rFonts w:ascii="Arial" w:hAnsi="Arial" w:cs="Arial"/>
        </w:rPr>
      </w:pPr>
      <w:r w:rsidRPr="009562F7">
        <w:rPr>
          <w:rStyle w:val="FootnoteReference"/>
          <w:rFonts w:ascii="Arial" w:hAnsi="Arial" w:cs="Arial"/>
        </w:rPr>
        <w:footnoteRef/>
      </w:r>
      <w:r w:rsidRPr="009562F7">
        <w:rPr>
          <w:rFonts w:ascii="Arial" w:hAnsi="Arial" w:cs="Arial"/>
        </w:rPr>
        <w:t xml:space="preserve"> Townsend, 1995, p.257.</w:t>
      </w:r>
    </w:p>
  </w:footnote>
  <w:footnote w:id="16">
    <w:p w14:paraId="27B07287" w14:textId="77777777" w:rsidR="009E5555" w:rsidRPr="009562F7" w:rsidRDefault="009E5555" w:rsidP="009E5555">
      <w:pPr>
        <w:pStyle w:val="FootnoteText"/>
        <w:rPr>
          <w:rFonts w:ascii="Arial" w:hAnsi="Arial" w:cs="Arial"/>
        </w:rPr>
      </w:pPr>
      <w:r w:rsidRPr="009562F7">
        <w:rPr>
          <w:rStyle w:val="FootnoteReference"/>
          <w:rFonts w:ascii="Arial" w:hAnsi="Arial" w:cs="Arial"/>
        </w:rPr>
        <w:footnoteRef/>
      </w:r>
      <w:r w:rsidRPr="009562F7">
        <w:rPr>
          <w:rFonts w:ascii="Arial" w:hAnsi="Arial" w:cs="Arial"/>
        </w:rPr>
        <w:t xml:space="preserve"> </w:t>
      </w:r>
      <w:proofErr w:type="spellStart"/>
      <w:r w:rsidRPr="009562F7">
        <w:rPr>
          <w:rFonts w:ascii="Arial" w:hAnsi="Arial" w:cs="Arial"/>
        </w:rPr>
        <w:t>Mcarthy</w:t>
      </w:r>
      <w:proofErr w:type="spellEnd"/>
      <w:r w:rsidRPr="009562F7">
        <w:rPr>
          <w:rFonts w:ascii="Arial" w:hAnsi="Arial" w:cs="Arial"/>
        </w:rPr>
        <w:t xml:space="preserve"> et al, 2019.</w:t>
      </w:r>
    </w:p>
  </w:footnote>
  <w:footnote w:id="17">
    <w:p w14:paraId="37266C4D" w14:textId="77777777" w:rsidR="009E5555" w:rsidRDefault="009E5555" w:rsidP="009E5555">
      <w:pPr>
        <w:pStyle w:val="FootnoteText"/>
      </w:pPr>
      <w:r w:rsidRPr="009562F7">
        <w:rPr>
          <w:rStyle w:val="FootnoteReference"/>
          <w:rFonts w:ascii="Arial" w:hAnsi="Arial" w:cs="Arial"/>
        </w:rPr>
        <w:footnoteRef/>
      </w:r>
      <w:r w:rsidRPr="009562F7">
        <w:rPr>
          <w:rFonts w:ascii="Arial" w:hAnsi="Arial" w:cs="Arial"/>
        </w:rPr>
        <w:t xml:space="preserve"> Leo of Naples, </w:t>
      </w:r>
      <w:r w:rsidRPr="009562F7">
        <w:rPr>
          <w:rFonts w:ascii="Arial" w:hAnsi="Arial" w:cs="Arial"/>
          <w:i/>
        </w:rPr>
        <w:t xml:space="preserve">Historia de </w:t>
      </w:r>
      <w:proofErr w:type="spellStart"/>
      <w:r w:rsidRPr="009562F7">
        <w:rPr>
          <w:rFonts w:ascii="Arial" w:hAnsi="Arial" w:cs="Arial"/>
          <w:i/>
        </w:rPr>
        <w:t>Preliis</w:t>
      </w:r>
      <w:proofErr w:type="spellEnd"/>
      <w:r w:rsidRPr="009562F7">
        <w:rPr>
          <w:rFonts w:ascii="Arial" w:hAnsi="Arial" w:cs="Arial"/>
          <w:i/>
        </w:rPr>
        <w:t xml:space="preserve">. </w:t>
      </w:r>
      <w:r w:rsidRPr="009562F7">
        <w:rPr>
          <w:rFonts w:ascii="Arial" w:hAnsi="Arial" w:cs="Arial"/>
        </w:rPr>
        <w:t>p.79.</w:t>
      </w:r>
    </w:p>
  </w:footnote>
  <w:footnote w:id="18">
    <w:p w14:paraId="581595D8" w14:textId="77777777" w:rsidR="009E5555" w:rsidRPr="000B412F" w:rsidRDefault="009E5555" w:rsidP="009E5555">
      <w:pPr>
        <w:pStyle w:val="FootnoteText"/>
        <w:rPr>
          <w:rFonts w:ascii="Arial" w:hAnsi="Arial" w:cs="Arial"/>
        </w:rPr>
      </w:pPr>
      <w:r w:rsidRPr="000B412F">
        <w:rPr>
          <w:rStyle w:val="FootnoteReference"/>
          <w:rFonts w:ascii="Arial" w:hAnsi="Arial" w:cs="Arial"/>
        </w:rPr>
        <w:footnoteRef/>
      </w:r>
      <w:r w:rsidRPr="000B412F">
        <w:rPr>
          <w:rFonts w:ascii="Arial" w:hAnsi="Arial" w:cs="Arial"/>
        </w:rPr>
        <w:t xml:space="preserve"> Bayham, 1998, p.59.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1A24D9" w14:textId="0600B0AB" w:rsidR="000B412F" w:rsidRPr="000B412F" w:rsidRDefault="000B412F" w:rsidP="000B412F">
    <w:pPr>
      <w:pStyle w:val="Header"/>
      <w:spacing w:after="240" w:line="360" w:lineRule="auto"/>
      <w:rPr>
        <w:rFonts w:ascii="Arial" w:hAnsi="Arial" w:cs="Arial"/>
        <w:sz w:val="24"/>
      </w:rPr>
    </w:pPr>
    <w:r w:rsidRPr="000B412F">
      <w:rPr>
        <w:rFonts w:ascii="Arial" w:hAnsi="Arial" w:cs="Arial"/>
        <w:sz w:val="24"/>
      </w:rPr>
      <w:t xml:space="preserve">Give a detailed account of Alexander’s encounter with </w:t>
    </w:r>
    <w:proofErr w:type="spellStart"/>
    <w:r w:rsidRPr="000B412F">
      <w:rPr>
        <w:rFonts w:ascii="Arial" w:hAnsi="Arial" w:cs="Arial"/>
        <w:sz w:val="24"/>
      </w:rPr>
      <w:t>Talestris</w:t>
    </w:r>
    <w:proofErr w:type="spellEnd"/>
    <w:r w:rsidRPr="000B412F">
      <w:rPr>
        <w:rFonts w:ascii="Arial" w:hAnsi="Arial" w:cs="Arial"/>
        <w:sz w:val="24"/>
      </w:rPr>
      <w:t xml:space="preserve"> in the sources and include analysis of reasons for the differences. Focus upon Walter of </w:t>
    </w:r>
    <w:proofErr w:type="spellStart"/>
    <w:r w:rsidRPr="000B412F">
      <w:rPr>
        <w:rFonts w:ascii="Arial" w:hAnsi="Arial" w:cs="Arial"/>
        <w:sz w:val="24"/>
      </w:rPr>
      <w:t>Châtillon</w:t>
    </w:r>
    <w:proofErr w:type="spellEnd"/>
    <w:r w:rsidRPr="000B412F">
      <w:rPr>
        <w:rFonts w:ascii="Arial" w:hAnsi="Arial" w:cs="Arial"/>
        <w:sz w:val="24"/>
      </w:rPr>
      <w:t xml:space="preserve">, </w:t>
    </w:r>
    <w:proofErr w:type="spellStart"/>
    <w:r w:rsidRPr="000B412F">
      <w:rPr>
        <w:rFonts w:ascii="Arial" w:hAnsi="Arial" w:cs="Arial"/>
        <w:sz w:val="24"/>
      </w:rPr>
      <w:t>Alexandreis</w:t>
    </w:r>
    <w:proofErr w:type="spellEnd"/>
    <w:r w:rsidRPr="000B412F">
      <w:rPr>
        <w:rFonts w:ascii="Arial" w:hAnsi="Arial" w:cs="Arial"/>
        <w:sz w:val="24"/>
      </w:rPr>
      <w:t xml:space="preserve"> 8.1-48; Quintus </w:t>
    </w:r>
    <w:proofErr w:type="spellStart"/>
    <w:r w:rsidRPr="000B412F">
      <w:rPr>
        <w:rFonts w:ascii="Arial" w:hAnsi="Arial" w:cs="Arial"/>
        <w:sz w:val="24"/>
      </w:rPr>
      <w:t>Curtius</w:t>
    </w:r>
    <w:proofErr w:type="spellEnd"/>
    <w:r w:rsidRPr="000B412F">
      <w:rPr>
        <w:rFonts w:ascii="Arial" w:hAnsi="Arial" w:cs="Arial"/>
        <w:sz w:val="24"/>
      </w:rPr>
      <w:t xml:space="preserve"> Rufus 6.5.24-32; Historia de </w:t>
    </w:r>
    <w:proofErr w:type="spellStart"/>
    <w:r w:rsidRPr="000B412F">
      <w:rPr>
        <w:rFonts w:ascii="Arial" w:hAnsi="Arial" w:cs="Arial"/>
        <w:sz w:val="24"/>
      </w:rPr>
      <w:t>preliis</w:t>
    </w:r>
    <w:proofErr w:type="spellEnd"/>
    <w:r w:rsidRPr="000B412F">
      <w:rPr>
        <w:rFonts w:ascii="Arial" w:hAnsi="Arial" w:cs="Arial"/>
        <w:sz w:val="24"/>
      </w:rPr>
      <w:t xml:space="preserve"> pp77-9</w:t>
    </w:r>
    <w:r w:rsidR="00C00ACB">
      <w:rPr>
        <w:rFonts w:ascii="Arial" w:hAnsi="Arial" w:cs="Arial"/>
        <w:sz w:val="24"/>
      </w:rPr>
      <w:t xml:space="preserve">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7E6"/>
    <w:rsid w:val="0000321C"/>
    <w:rsid w:val="00006B30"/>
    <w:rsid w:val="0003472B"/>
    <w:rsid w:val="00045039"/>
    <w:rsid w:val="00046B95"/>
    <w:rsid w:val="0005011E"/>
    <w:rsid w:val="00055D06"/>
    <w:rsid w:val="000944D5"/>
    <w:rsid w:val="000B412F"/>
    <w:rsid w:val="000C49BB"/>
    <w:rsid w:val="000F5421"/>
    <w:rsid w:val="001555FF"/>
    <w:rsid w:val="00156BF3"/>
    <w:rsid w:val="00164350"/>
    <w:rsid w:val="00172F25"/>
    <w:rsid w:val="00184BA0"/>
    <w:rsid w:val="001B4A20"/>
    <w:rsid w:val="001D1337"/>
    <w:rsid w:val="001F2E36"/>
    <w:rsid w:val="001F5847"/>
    <w:rsid w:val="00204352"/>
    <w:rsid w:val="002142FB"/>
    <w:rsid w:val="0026724A"/>
    <w:rsid w:val="00285D32"/>
    <w:rsid w:val="00290BF0"/>
    <w:rsid w:val="00293CCB"/>
    <w:rsid w:val="00294591"/>
    <w:rsid w:val="002A7F2A"/>
    <w:rsid w:val="00321408"/>
    <w:rsid w:val="00332322"/>
    <w:rsid w:val="003672CB"/>
    <w:rsid w:val="0037299C"/>
    <w:rsid w:val="0037388F"/>
    <w:rsid w:val="00386E46"/>
    <w:rsid w:val="003C15B1"/>
    <w:rsid w:val="003F5882"/>
    <w:rsid w:val="00416D0D"/>
    <w:rsid w:val="004720B9"/>
    <w:rsid w:val="00475C42"/>
    <w:rsid w:val="004931F3"/>
    <w:rsid w:val="004C49B8"/>
    <w:rsid w:val="004C619E"/>
    <w:rsid w:val="005421B2"/>
    <w:rsid w:val="00542D45"/>
    <w:rsid w:val="00552F8A"/>
    <w:rsid w:val="00555FE8"/>
    <w:rsid w:val="00557A72"/>
    <w:rsid w:val="005850A7"/>
    <w:rsid w:val="0059678F"/>
    <w:rsid w:val="005B31EE"/>
    <w:rsid w:val="005B3E83"/>
    <w:rsid w:val="005B7B5A"/>
    <w:rsid w:val="005F78C3"/>
    <w:rsid w:val="00601FB7"/>
    <w:rsid w:val="00607FA8"/>
    <w:rsid w:val="00617B96"/>
    <w:rsid w:val="00663F46"/>
    <w:rsid w:val="006C008A"/>
    <w:rsid w:val="006D3847"/>
    <w:rsid w:val="006D6F12"/>
    <w:rsid w:val="00736B60"/>
    <w:rsid w:val="007445A1"/>
    <w:rsid w:val="00763687"/>
    <w:rsid w:val="007B0E64"/>
    <w:rsid w:val="007B4EBF"/>
    <w:rsid w:val="007D282C"/>
    <w:rsid w:val="007F22B2"/>
    <w:rsid w:val="007F455C"/>
    <w:rsid w:val="00823B21"/>
    <w:rsid w:val="00843AE6"/>
    <w:rsid w:val="00843B73"/>
    <w:rsid w:val="0087032B"/>
    <w:rsid w:val="008726DB"/>
    <w:rsid w:val="00877ED6"/>
    <w:rsid w:val="00883693"/>
    <w:rsid w:val="00883F67"/>
    <w:rsid w:val="008B4A83"/>
    <w:rsid w:val="008C4650"/>
    <w:rsid w:val="008F6EA0"/>
    <w:rsid w:val="008F7F0B"/>
    <w:rsid w:val="009364BD"/>
    <w:rsid w:val="009562F7"/>
    <w:rsid w:val="00971FFB"/>
    <w:rsid w:val="00975CA7"/>
    <w:rsid w:val="009956F7"/>
    <w:rsid w:val="009A080E"/>
    <w:rsid w:val="009B41D9"/>
    <w:rsid w:val="009B7F4E"/>
    <w:rsid w:val="009C1512"/>
    <w:rsid w:val="009E2E61"/>
    <w:rsid w:val="009E5555"/>
    <w:rsid w:val="00A35B95"/>
    <w:rsid w:val="00A52415"/>
    <w:rsid w:val="00A55391"/>
    <w:rsid w:val="00A557E6"/>
    <w:rsid w:val="00A94F61"/>
    <w:rsid w:val="00AA0559"/>
    <w:rsid w:val="00AB1C3B"/>
    <w:rsid w:val="00B015B7"/>
    <w:rsid w:val="00B02056"/>
    <w:rsid w:val="00B214FD"/>
    <w:rsid w:val="00B254EA"/>
    <w:rsid w:val="00B527EE"/>
    <w:rsid w:val="00B54B82"/>
    <w:rsid w:val="00B56466"/>
    <w:rsid w:val="00B65B86"/>
    <w:rsid w:val="00B8689C"/>
    <w:rsid w:val="00BC615B"/>
    <w:rsid w:val="00BD6C8E"/>
    <w:rsid w:val="00BE4F35"/>
    <w:rsid w:val="00BF1AF2"/>
    <w:rsid w:val="00C00ACB"/>
    <w:rsid w:val="00C30C2C"/>
    <w:rsid w:val="00C45D8E"/>
    <w:rsid w:val="00C5111B"/>
    <w:rsid w:val="00C5173E"/>
    <w:rsid w:val="00C75504"/>
    <w:rsid w:val="00CA4C6C"/>
    <w:rsid w:val="00CB12F2"/>
    <w:rsid w:val="00CC13A6"/>
    <w:rsid w:val="00CF140E"/>
    <w:rsid w:val="00CF6C0D"/>
    <w:rsid w:val="00D1407E"/>
    <w:rsid w:val="00D17D55"/>
    <w:rsid w:val="00D474E3"/>
    <w:rsid w:val="00D60E56"/>
    <w:rsid w:val="00D65C0D"/>
    <w:rsid w:val="00D702F1"/>
    <w:rsid w:val="00DA79CF"/>
    <w:rsid w:val="00E21FAE"/>
    <w:rsid w:val="00E234AD"/>
    <w:rsid w:val="00E42DB2"/>
    <w:rsid w:val="00E5007D"/>
    <w:rsid w:val="00E53AC8"/>
    <w:rsid w:val="00E6274E"/>
    <w:rsid w:val="00E74B1B"/>
    <w:rsid w:val="00E81DCD"/>
    <w:rsid w:val="00E8209F"/>
    <w:rsid w:val="00E952F6"/>
    <w:rsid w:val="00EA7353"/>
    <w:rsid w:val="00ED00C5"/>
    <w:rsid w:val="00ED1648"/>
    <w:rsid w:val="00ED6417"/>
    <w:rsid w:val="00EF3525"/>
    <w:rsid w:val="00F03E09"/>
    <w:rsid w:val="00F1018C"/>
    <w:rsid w:val="00F33C17"/>
    <w:rsid w:val="00F3611C"/>
    <w:rsid w:val="00F54B2B"/>
    <w:rsid w:val="00FB0225"/>
    <w:rsid w:val="00FC70E6"/>
    <w:rsid w:val="00FD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A3714DB"/>
  <w15:chartTrackingRefBased/>
  <w15:docId w15:val="{4F4972E7-0035-40FA-BD64-9ABC4C7B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6D0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D6FE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D6FE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D6FE4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5539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5B8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B4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12F"/>
  </w:style>
  <w:style w:type="paragraph" w:styleId="Footer">
    <w:name w:val="footer"/>
    <w:basedOn w:val="Normal"/>
    <w:link w:val="FooterChar"/>
    <w:uiPriority w:val="99"/>
    <w:unhideWhenUsed/>
    <w:rsid w:val="000B4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12F"/>
  </w:style>
  <w:style w:type="paragraph" w:styleId="BalloonText">
    <w:name w:val="Balloon Text"/>
    <w:basedOn w:val="Normal"/>
    <w:link w:val="BalloonTextChar"/>
    <w:uiPriority w:val="99"/>
    <w:semiHidden/>
    <w:unhideWhenUsed/>
    <w:rsid w:val="00ED16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64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E55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55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555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4B9D1-0420-4F30-ABDD-7BEFE932B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Kemp (1702828)</dc:creator>
  <cp:keywords/>
  <dc:description/>
  <cp:lastModifiedBy>Joshua Kemp</cp:lastModifiedBy>
  <cp:revision>2</cp:revision>
  <dcterms:created xsi:type="dcterms:W3CDTF">2020-01-13T21:07:00Z</dcterms:created>
  <dcterms:modified xsi:type="dcterms:W3CDTF">2020-01-13T21:07:00Z</dcterms:modified>
</cp:coreProperties>
</file>