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4BE3DF" w14:textId="77777777" w:rsidR="00F81F67" w:rsidRPr="00C07BB7" w:rsidRDefault="00F81F67" w:rsidP="00462CB9">
      <w:pPr>
        <w:jc w:val="center"/>
        <w:rPr>
          <w:rFonts w:cs="Arial"/>
          <w:b/>
          <w:bCs/>
          <w:sz w:val="24"/>
          <w:szCs w:val="24"/>
        </w:rPr>
      </w:pPr>
      <w:r w:rsidRPr="00C07BB7">
        <w:rPr>
          <w:rFonts w:cs="Arial"/>
          <w:noProof/>
        </w:rPr>
        <w:drawing>
          <wp:inline distT="0" distB="0" distL="0" distR="0" wp14:anchorId="551E0A5A" wp14:editId="7DF9F85D">
            <wp:extent cx="4941354" cy="2057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79891" cy="2073446"/>
                    </a:xfrm>
                    <a:prstGeom prst="rect">
                      <a:avLst/>
                    </a:prstGeom>
                    <a:noFill/>
                  </pic:spPr>
                </pic:pic>
              </a:graphicData>
            </a:graphic>
          </wp:inline>
        </w:drawing>
      </w:r>
    </w:p>
    <w:p w14:paraId="47F5FF18" w14:textId="7FED4033" w:rsidR="00062E46" w:rsidRPr="00062E46" w:rsidRDefault="00F81F67" w:rsidP="00062E46">
      <w:pPr>
        <w:jc w:val="center"/>
        <w:rPr>
          <w:rFonts w:cs="Arial"/>
          <w:b/>
          <w:bCs/>
          <w:sz w:val="40"/>
          <w:szCs w:val="40"/>
        </w:rPr>
      </w:pPr>
      <w:r w:rsidRPr="00062E46">
        <w:rPr>
          <w:rFonts w:cs="Arial"/>
          <w:b/>
          <w:bCs/>
          <w:sz w:val="40"/>
          <w:szCs w:val="40"/>
        </w:rPr>
        <w:t>Risk Factors and Management Strategies for Chronic Kidney Disease (CKD) Among the UK Adult Population (18 and Older): A Systematic Review</w:t>
      </w:r>
    </w:p>
    <w:p w14:paraId="3FC61CBE" w14:textId="77777777" w:rsidR="00062E46" w:rsidRDefault="00062E46" w:rsidP="00462CB9">
      <w:pPr>
        <w:jc w:val="center"/>
        <w:rPr>
          <w:rFonts w:cs="Arial"/>
          <w:b/>
          <w:bCs/>
          <w:sz w:val="24"/>
          <w:szCs w:val="24"/>
        </w:rPr>
      </w:pPr>
    </w:p>
    <w:p w14:paraId="533BC57A" w14:textId="77777777" w:rsidR="00062E46" w:rsidRPr="00C07BB7" w:rsidRDefault="00062E46" w:rsidP="00AE00BA">
      <w:pPr>
        <w:jc w:val="center"/>
        <w:rPr>
          <w:rFonts w:cs="Arial"/>
          <w:b/>
          <w:bCs/>
          <w:sz w:val="24"/>
          <w:szCs w:val="24"/>
        </w:rPr>
      </w:pPr>
    </w:p>
    <w:p w14:paraId="6DE6A228" w14:textId="2DBC6198" w:rsidR="00F81F67" w:rsidRPr="00627734" w:rsidRDefault="00F81F67" w:rsidP="00AE00BA">
      <w:pPr>
        <w:jc w:val="center"/>
        <w:rPr>
          <w:rFonts w:cs="Arial"/>
          <w:sz w:val="24"/>
        </w:rPr>
      </w:pPr>
      <w:r w:rsidRPr="00627734">
        <w:rPr>
          <w:rFonts w:cs="Arial"/>
          <w:sz w:val="24"/>
        </w:rPr>
        <w:t>Student Name:</w:t>
      </w:r>
      <w:r w:rsidR="00462CB9" w:rsidRPr="00627734">
        <w:rPr>
          <w:rFonts w:cs="Arial"/>
          <w:sz w:val="24"/>
        </w:rPr>
        <w:t xml:space="preserve"> </w:t>
      </w:r>
      <w:r w:rsidRPr="00627734">
        <w:rPr>
          <w:rFonts w:cs="Arial"/>
          <w:sz w:val="24"/>
        </w:rPr>
        <w:t>Md. Sakyf Jawad</w:t>
      </w:r>
    </w:p>
    <w:p w14:paraId="3CC4BE82" w14:textId="5EA0A3A4" w:rsidR="00F81F67" w:rsidRPr="00627734" w:rsidRDefault="00F81F67" w:rsidP="00AE00BA">
      <w:pPr>
        <w:jc w:val="center"/>
        <w:rPr>
          <w:rFonts w:cs="Arial"/>
          <w:sz w:val="24"/>
        </w:rPr>
      </w:pPr>
      <w:r w:rsidRPr="00627734">
        <w:rPr>
          <w:rFonts w:cs="Arial"/>
          <w:sz w:val="24"/>
        </w:rPr>
        <w:t>Student ID:</w:t>
      </w:r>
      <w:r w:rsidR="00462CB9" w:rsidRPr="00627734">
        <w:rPr>
          <w:rFonts w:cs="Arial"/>
          <w:sz w:val="24"/>
        </w:rPr>
        <w:t xml:space="preserve"> </w:t>
      </w:r>
      <w:r w:rsidRPr="00627734">
        <w:rPr>
          <w:rFonts w:cs="Arial"/>
          <w:sz w:val="24"/>
        </w:rPr>
        <w:t>2435265</w:t>
      </w:r>
    </w:p>
    <w:p w14:paraId="319A3348" w14:textId="5C815A84" w:rsidR="00D914F1" w:rsidRPr="00627734" w:rsidRDefault="00AE00BA" w:rsidP="00AE00BA">
      <w:pPr>
        <w:jc w:val="center"/>
        <w:rPr>
          <w:rFonts w:cs="Arial"/>
          <w:sz w:val="24"/>
        </w:rPr>
      </w:pPr>
      <w:r w:rsidRPr="00627734">
        <w:rPr>
          <w:rFonts w:cs="Arial"/>
          <w:sz w:val="24"/>
        </w:rPr>
        <w:t>Course</w:t>
      </w:r>
      <w:r w:rsidR="00D914F1" w:rsidRPr="00627734">
        <w:rPr>
          <w:rFonts w:cs="Arial"/>
          <w:sz w:val="24"/>
        </w:rPr>
        <w:t xml:space="preserve"> </w:t>
      </w:r>
      <w:r w:rsidRPr="00627734">
        <w:rPr>
          <w:rFonts w:cs="Arial"/>
          <w:sz w:val="24"/>
        </w:rPr>
        <w:t>Name:</w:t>
      </w:r>
      <w:r w:rsidR="00D914F1" w:rsidRPr="00627734">
        <w:rPr>
          <w:rFonts w:cs="Arial"/>
          <w:sz w:val="24"/>
        </w:rPr>
        <w:t xml:space="preserve"> </w:t>
      </w:r>
      <w:r w:rsidRPr="00627734">
        <w:rPr>
          <w:rFonts w:cs="Arial"/>
          <w:sz w:val="24"/>
        </w:rPr>
        <w:t>Master of Science Public Health and Social Care in Practice</w:t>
      </w:r>
    </w:p>
    <w:p w14:paraId="3B229888" w14:textId="4501DF3B" w:rsidR="00D914F1" w:rsidRPr="00627734" w:rsidRDefault="00D914F1" w:rsidP="00AE00BA">
      <w:pPr>
        <w:jc w:val="center"/>
        <w:rPr>
          <w:rFonts w:cs="Arial"/>
          <w:sz w:val="24"/>
        </w:rPr>
      </w:pPr>
      <w:r w:rsidRPr="00627734">
        <w:rPr>
          <w:rFonts w:cs="Arial"/>
          <w:sz w:val="24"/>
        </w:rPr>
        <w:t xml:space="preserve">Module Name: Public Health and Social Care in </w:t>
      </w:r>
      <w:r w:rsidR="00AE00BA" w:rsidRPr="00627734">
        <w:rPr>
          <w:rFonts w:cs="Arial"/>
          <w:sz w:val="24"/>
        </w:rPr>
        <w:t>Practice</w:t>
      </w:r>
      <w:r w:rsidR="002C43B8" w:rsidRPr="00627734">
        <w:rPr>
          <w:rFonts w:cs="Arial"/>
          <w:sz w:val="24"/>
        </w:rPr>
        <w:t xml:space="preserve"> </w:t>
      </w:r>
      <w:r w:rsidRPr="00627734">
        <w:rPr>
          <w:rFonts w:cs="Arial"/>
          <w:sz w:val="24"/>
        </w:rPr>
        <w:t>Dissertation</w:t>
      </w:r>
    </w:p>
    <w:p w14:paraId="2ACA0127" w14:textId="36BBAADD" w:rsidR="00AE00BA" w:rsidRPr="00627734" w:rsidRDefault="00AE00BA" w:rsidP="00AE00BA">
      <w:pPr>
        <w:jc w:val="center"/>
        <w:rPr>
          <w:rFonts w:cs="Arial"/>
          <w:sz w:val="24"/>
        </w:rPr>
      </w:pPr>
      <w:r w:rsidRPr="00627734">
        <w:rPr>
          <w:rFonts w:cs="Arial"/>
          <w:sz w:val="24"/>
        </w:rPr>
        <w:t>Module Code: LCHS7004_LON</w:t>
      </w:r>
    </w:p>
    <w:p w14:paraId="142AACA9" w14:textId="4F0CBA04" w:rsidR="00AC471E" w:rsidRPr="00627734" w:rsidRDefault="00AC471E" w:rsidP="00AE00BA">
      <w:pPr>
        <w:jc w:val="center"/>
        <w:rPr>
          <w:rFonts w:cs="Arial"/>
          <w:sz w:val="24"/>
        </w:rPr>
      </w:pPr>
      <w:r w:rsidRPr="00627734">
        <w:rPr>
          <w:rFonts w:cs="Arial"/>
          <w:sz w:val="24"/>
        </w:rPr>
        <w:t xml:space="preserve">Word Count: </w:t>
      </w:r>
      <w:r w:rsidR="00421807" w:rsidRPr="00627734">
        <w:rPr>
          <w:rFonts w:cs="Arial"/>
          <w:sz w:val="24"/>
        </w:rPr>
        <w:t>15,0</w:t>
      </w:r>
      <w:r w:rsidR="00117C2B">
        <w:rPr>
          <w:rFonts w:cs="Arial"/>
          <w:sz w:val="24"/>
        </w:rPr>
        <w:t>69</w:t>
      </w:r>
    </w:p>
    <w:p w14:paraId="2836C727" w14:textId="53B2C26D" w:rsidR="004506D3" w:rsidRPr="00627734" w:rsidRDefault="00F81F67" w:rsidP="00AE00BA">
      <w:pPr>
        <w:jc w:val="center"/>
        <w:rPr>
          <w:rFonts w:cs="Arial"/>
          <w:sz w:val="24"/>
        </w:rPr>
      </w:pPr>
      <w:r w:rsidRPr="00627734">
        <w:rPr>
          <w:rFonts w:cs="Arial"/>
          <w:sz w:val="24"/>
        </w:rPr>
        <w:t>Supervisor</w:t>
      </w:r>
      <w:r w:rsidR="00421807" w:rsidRPr="00627734">
        <w:rPr>
          <w:rFonts w:cs="Arial"/>
          <w:sz w:val="24"/>
        </w:rPr>
        <w:t xml:space="preserve"> Name</w:t>
      </w:r>
      <w:r w:rsidRPr="00627734">
        <w:rPr>
          <w:rFonts w:cs="Arial"/>
          <w:sz w:val="24"/>
        </w:rPr>
        <w:t>:</w:t>
      </w:r>
      <w:r w:rsidR="008018C1" w:rsidRPr="00627734">
        <w:rPr>
          <w:rFonts w:cs="Arial"/>
          <w:sz w:val="24"/>
        </w:rPr>
        <w:t xml:space="preserve"> </w:t>
      </w:r>
      <w:r w:rsidRPr="00627734">
        <w:rPr>
          <w:rFonts w:cs="Arial"/>
          <w:sz w:val="24"/>
        </w:rPr>
        <w:t>Oluwadamilola Tayo</w:t>
      </w:r>
    </w:p>
    <w:p w14:paraId="37926474" w14:textId="0BD9AAB7" w:rsidR="008018C1" w:rsidRPr="00627734" w:rsidRDefault="008018C1" w:rsidP="00AE00BA">
      <w:pPr>
        <w:jc w:val="center"/>
        <w:rPr>
          <w:rFonts w:cs="Arial"/>
          <w:sz w:val="24"/>
        </w:rPr>
      </w:pPr>
      <w:r w:rsidRPr="00627734">
        <w:rPr>
          <w:rFonts w:cs="Arial"/>
          <w:sz w:val="24"/>
        </w:rPr>
        <w:t xml:space="preserve">Submission Date: </w:t>
      </w:r>
      <w:r w:rsidR="00732E98" w:rsidRPr="00627734">
        <w:rPr>
          <w:rFonts w:cs="Arial"/>
          <w:sz w:val="24"/>
        </w:rPr>
        <w:t>23</w:t>
      </w:r>
      <w:r w:rsidR="00A50B65" w:rsidRPr="00627734">
        <w:rPr>
          <w:rFonts w:cs="Arial"/>
          <w:sz w:val="24"/>
          <w:vertAlign w:val="superscript"/>
        </w:rPr>
        <w:t>rd</w:t>
      </w:r>
      <w:r w:rsidR="00732E98" w:rsidRPr="00627734">
        <w:rPr>
          <w:rFonts w:cs="Arial"/>
          <w:sz w:val="24"/>
        </w:rPr>
        <w:t xml:space="preserve"> </w:t>
      </w:r>
      <w:r w:rsidRPr="00627734">
        <w:rPr>
          <w:rFonts w:cs="Arial"/>
          <w:sz w:val="24"/>
        </w:rPr>
        <w:t>September 2026</w:t>
      </w:r>
    </w:p>
    <w:p w14:paraId="7C3B44E7" w14:textId="77777777" w:rsidR="004506D3" w:rsidRPr="00C07BB7" w:rsidRDefault="004506D3" w:rsidP="00462CB9">
      <w:pPr>
        <w:spacing w:after="200"/>
        <w:jc w:val="left"/>
        <w:rPr>
          <w:rFonts w:cs="Arial"/>
          <w:sz w:val="28"/>
          <w:szCs w:val="24"/>
        </w:rPr>
      </w:pPr>
      <w:r w:rsidRPr="00C07BB7">
        <w:rPr>
          <w:rFonts w:cs="Arial"/>
          <w:sz w:val="28"/>
          <w:szCs w:val="24"/>
        </w:rPr>
        <w:br w:type="page"/>
      </w:r>
    </w:p>
    <w:p w14:paraId="54271CD3" w14:textId="64D9A9A6" w:rsidR="004506D3" w:rsidRPr="00C07BB7" w:rsidRDefault="004506D3" w:rsidP="00462CB9">
      <w:pPr>
        <w:pStyle w:val="Heading1"/>
        <w:rPr>
          <w:rFonts w:cs="Arial"/>
          <w:lang w:val="hr-HR"/>
        </w:rPr>
      </w:pPr>
      <w:bookmarkStart w:id="0" w:name="_Toc241090854"/>
      <w:r w:rsidRPr="00C07BB7">
        <w:rPr>
          <w:rFonts w:cs="Arial"/>
          <w:lang w:val="hr-HR"/>
        </w:rPr>
        <w:lastRenderedPageBreak/>
        <w:t>DECLARATION</w:t>
      </w:r>
      <w:bookmarkEnd w:id="0"/>
    </w:p>
    <w:p w14:paraId="7B899B6C" w14:textId="009FD196" w:rsidR="004506D3" w:rsidRPr="00C07BB7" w:rsidRDefault="004506D3" w:rsidP="00462CB9">
      <w:pPr>
        <w:rPr>
          <w:rFonts w:cs="Arial"/>
          <w:lang w:val="hr-HR"/>
        </w:rPr>
      </w:pPr>
      <w:r w:rsidRPr="00C07BB7">
        <w:rPr>
          <w:rFonts w:cs="Arial"/>
          <w:noProof/>
          <w:lang w:val="en-GB"/>
        </w:rPr>
        <mc:AlternateContent>
          <mc:Choice Requires="wpi">
            <w:drawing>
              <wp:anchor distT="0" distB="0" distL="114300" distR="114300" simplePos="0" relativeHeight="251653120" behindDoc="0" locked="0" layoutInCell="1" allowOverlap="1" wp14:anchorId="5BEA6B51" wp14:editId="69E0F951">
                <wp:simplePos x="0" y="0"/>
                <wp:positionH relativeFrom="column">
                  <wp:posOffset>-2084070</wp:posOffset>
                </wp:positionH>
                <wp:positionV relativeFrom="paragraph">
                  <wp:posOffset>-224790</wp:posOffset>
                </wp:positionV>
                <wp:extent cx="920750" cy="920750"/>
                <wp:effectExtent l="1905" t="3810" r="1270" b="0"/>
                <wp:wrapNone/>
                <wp:docPr id="19" name="Ink 1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type w14:anchorId="771D6FC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164.1pt;margin-top:-17.7pt;width:72.5pt;height:72.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IxIA5r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C07BB7">
        <w:rPr>
          <w:rFonts w:cs="Arial"/>
          <w:noProof/>
          <w:lang w:val="en-GB"/>
        </w:rPr>
        <mc:AlternateContent>
          <mc:Choice Requires="wpi">
            <w:drawing>
              <wp:anchor distT="0" distB="0" distL="114300" distR="114300" simplePos="0" relativeHeight="251657216" behindDoc="0" locked="0" layoutInCell="1" allowOverlap="1" wp14:anchorId="4B23DD63" wp14:editId="47350CF1">
                <wp:simplePos x="0" y="0"/>
                <wp:positionH relativeFrom="column">
                  <wp:posOffset>-2084070</wp:posOffset>
                </wp:positionH>
                <wp:positionV relativeFrom="paragraph">
                  <wp:posOffset>233045</wp:posOffset>
                </wp:positionV>
                <wp:extent cx="920750" cy="40640"/>
                <wp:effectExtent l="1905" t="4445" r="1270" b="2540"/>
                <wp:wrapNone/>
                <wp:docPr id="18" name="Ink 18"/>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w:pict>
              <v:shape w14:anchorId="7BD56089" id="Ink 18" o:spid="_x0000_s1026" type="#_x0000_t75" style="position:absolute;margin-left:-164.1pt;margin-top:18.35pt;width:72.5pt;height:3.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">
                <o:lock v:ext="edit" rotation="t" verticies="t" shapetype="t"/>
              </v:shape>
            </w:pict>
          </mc:Fallback>
        </mc:AlternateContent>
      </w:r>
      <w:r w:rsidRPr="00C07BB7">
        <w:rPr>
          <w:rFonts w:cs="Arial"/>
          <w:noProof/>
          <w:lang w:val="en-GB"/>
        </w:rPr>
        <mc:AlternateContent>
          <mc:Choice Requires="wpi">
            <w:drawing>
              <wp:anchor distT="0" distB="0" distL="114300" distR="114300" simplePos="0" relativeHeight="251661312" behindDoc="0" locked="0" layoutInCell="1" allowOverlap="1" wp14:anchorId="39F10C70" wp14:editId="6C040CE3">
                <wp:simplePos x="0" y="0"/>
                <wp:positionH relativeFrom="column">
                  <wp:posOffset>-2084070</wp:posOffset>
                </wp:positionH>
                <wp:positionV relativeFrom="paragraph">
                  <wp:posOffset>-214630</wp:posOffset>
                </wp:positionV>
                <wp:extent cx="920750" cy="920750"/>
                <wp:effectExtent l="1905" t="4445" r="1270" b="0"/>
                <wp:wrapNone/>
                <wp:docPr id="17" name="Ink 1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5AACCB5B" id="Ink 17"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Cgo/OH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C07BB7">
        <w:rPr>
          <w:rFonts w:cs="Arial"/>
          <w:noProof/>
          <w:lang w:val="en-GB"/>
        </w:rPr>
        <mc:AlternateContent>
          <mc:Choice Requires="wpi">
            <w:drawing>
              <wp:anchor distT="0" distB="0" distL="114300" distR="114300" simplePos="0" relativeHeight="251665408" behindDoc="0" locked="0" layoutInCell="1" allowOverlap="1" wp14:anchorId="6F76E69F" wp14:editId="3F60CD57">
                <wp:simplePos x="0" y="0"/>
                <wp:positionH relativeFrom="column">
                  <wp:posOffset>-2395855</wp:posOffset>
                </wp:positionH>
                <wp:positionV relativeFrom="paragraph">
                  <wp:posOffset>-216535</wp:posOffset>
                </wp:positionV>
                <wp:extent cx="920750" cy="920750"/>
                <wp:effectExtent l="4445" t="2540" r="0" b="635"/>
                <wp:wrapNone/>
                <wp:docPr id="16"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7803B134" id="Ink 16" o:spid="_x0000_s1026" type="#_x0000_t75" style="position:absolute;margin-left:-188.65pt;margin-top:-17.05pt;width:72.5pt;height:7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DfpPxv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C07BB7">
        <w:rPr>
          <w:rFonts w:cs="Arial"/>
          <w:lang w:val="hr-HR"/>
        </w:rPr>
        <w:t xml:space="preserve">I, </w:t>
      </w:r>
      <w:r w:rsidR="00BF54FA" w:rsidRPr="00C07BB7">
        <w:rPr>
          <w:rFonts w:cs="Arial"/>
          <w:lang w:val="hr-HR"/>
        </w:rPr>
        <w:t>Md. Sakyf Jawad</w:t>
      </w:r>
      <w:r w:rsidRPr="00C07BB7">
        <w:rPr>
          <w:rFonts w:cs="Arial"/>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0411AD1D" w14:textId="77777777" w:rsidR="004506D3" w:rsidRDefault="004506D3" w:rsidP="00462CB9">
      <w:pPr>
        <w:rPr>
          <w:rFonts w:cs="Arial"/>
          <w:lang w:val="hr-HR"/>
        </w:rPr>
      </w:pPr>
    </w:p>
    <w:p w14:paraId="68529843" w14:textId="77777777" w:rsidR="00622D61" w:rsidRDefault="00622D61" w:rsidP="00462CB9">
      <w:pPr>
        <w:rPr>
          <w:rFonts w:cs="Arial"/>
          <w:lang w:val="hr-HR"/>
        </w:rPr>
      </w:pPr>
    </w:p>
    <w:p w14:paraId="27221649" w14:textId="77777777" w:rsidR="00622D61" w:rsidRDefault="00622D61" w:rsidP="00462CB9">
      <w:pPr>
        <w:rPr>
          <w:rFonts w:cs="Arial"/>
          <w:lang w:val="hr-HR"/>
        </w:rPr>
      </w:pPr>
    </w:p>
    <w:p w14:paraId="450A8DA4" w14:textId="77777777" w:rsidR="00622D61" w:rsidRPr="00C07BB7" w:rsidRDefault="00622D61" w:rsidP="00462CB9">
      <w:pPr>
        <w:rPr>
          <w:rFonts w:cs="Arial"/>
          <w:lang w:val="hr-HR"/>
        </w:rPr>
      </w:pPr>
    </w:p>
    <w:p w14:paraId="47E2E9CF" w14:textId="1CB7B679" w:rsidR="004506D3" w:rsidRPr="00C07BB7" w:rsidRDefault="004506D3" w:rsidP="00462CB9">
      <w:pPr>
        <w:rPr>
          <w:rFonts w:cs="Arial"/>
          <w:lang w:val="hr-HR"/>
        </w:rPr>
      </w:pPr>
      <w:r w:rsidRPr="00C07BB7">
        <w:rPr>
          <w:rFonts w:cs="Arial"/>
          <w:lang w:val="hr-HR"/>
        </w:rPr>
        <w:t>Signed:</w:t>
      </w:r>
      <w:r w:rsidR="00AC471E">
        <w:rPr>
          <w:rFonts w:cs="Arial"/>
          <w:lang w:val="hr-HR"/>
        </w:rPr>
        <w:t xml:space="preserve"> Md. </w:t>
      </w:r>
      <w:r w:rsidR="00CA753A" w:rsidRPr="00C07BB7">
        <w:rPr>
          <w:rFonts w:cs="Arial"/>
          <w:lang w:val="hr-HR"/>
        </w:rPr>
        <w:t>Sakyf Jawad</w:t>
      </w:r>
    </w:p>
    <w:p w14:paraId="6730762D" w14:textId="77746199" w:rsidR="004506D3" w:rsidRPr="00C07BB7" w:rsidRDefault="004506D3" w:rsidP="00462CB9">
      <w:pPr>
        <w:rPr>
          <w:rFonts w:cs="Arial"/>
          <w:lang w:val="hr-HR"/>
        </w:rPr>
      </w:pPr>
      <w:r w:rsidRPr="00C07BB7">
        <w:rPr>
          <w:rFonts w:cs="Arial"/>
          <w:lang w:val="hr-HR"/>
        </w:rPr>
        <w:t>Date:</w:t>
      </w:r>
      <w:r w:rsidR="00AC471E">
        <w:rPr>
          <w:rFonts w:cs="Arial"/>
          <w:lang w:val="hr-HR"/>
        </w:rPr>
        <w:t xml:space="preserve"> 23</w:t>
      </w:r>
      <w:r w:rsidR="006D085E">
        <w:rPr>
          <w:rFonts w:cs="Arial"/>
          <w:vertAlign w:val="superscript"/>
          <w:lang w:val="hr-HR"/>
        </w:rPr>
        <w:t>rd</w:t>
      </w:r>
      <w:r w:rsidR="00AC471E">
        <w:rPr>
          <w:rFonts w:cs="Arial"/>
          <w:lang w:val="hr-HR"/>
        </w:rPr>
        <w:t xml:space="preserve"> September 2026</w:t>
      </w:r>
    </w:p>
    <w:p w14:paraId="02218717" w14:textId="77777777" w:rsidR="00F81F67" w:rsidRPr="00C07BB7" w:rsidRDefault="00F81F67" w:rsidP="00462CB9">
      <w:pPr>
        <w:rPr>
          <w:rFonts w:cs="Arial"/>
        </w:rPr>
      </w:pPr>
    </w:p>
    <w:p w14:paraId="5882EA6C" w14:textId="77777777" w:rsidR="00F81F67" w:rsidRPr="00C07BB7" w:rsidRDefault="00F81F67" w:rsidP="00462CB9">
      <w:pPr>
        <w:spacing w:after="200"/>
        <w:jc w:val="left"/>
        <w:rPr>
          <w:rFonts w:cs="Arial"/>
          <w:b/>
          <w:bCs/>
          <w:sz w:val="28"/>
          <w:szCs w:val="24"/>
        </w:rPr>
      </w:pPr>
      <w:r w:rsidRPr="00C07BB7">
        <w:rPr>
          <w:rFonts w:cs="Arial"/>
          <w:b/>
          <w:bCs/>
          <w:sz w:val="28"/>
          <w:szCs w:val="24"/>
        </w:rPr>
        <w:br w:type="page"/>
      </w:r>
    </w:p>
    <w:p w14:paraId="31682779" w14:textId="77777777" w:rsidR="00F81F67" w:rsidRPr="00C07BB7" w:rsidRDefault="00F81F67" w:rsidP="00462CB9">
      <w:pPr>
        <w:pStyle w:val="Heading1"/>
        <w:rPr>
          <w:rFonts w:cs="Arial"/>
        </w:rPr>
      </w:pPr>
      <w:bookmarkStart w:id="1" w:name="_Toc240673003"/>
      <w:bookmarkStart w:id="2" w:name="_Toc241090855"/>
      <w:r w:rsidRPr="00C07BB7">
        <w:rPr>
          <w:rFonts w:cs="Arial"/>
        </w:rPr>
        <w:t>Acknowledgement</w:t>
      </w:r>
      <w:bookmarkEnd w:id="1"/>
      <w:bookmarkEnd w:id="2"/>
    </w:p>
    <w:p w14:paraId="03BF1890" w14:textId="40BB7376" w:rsidR="00F81F67" w:rsidRPr="00C07BB7" w:rsidRDefault="00F81F67" w:rsidP="00462CB9">
      <w:pPr>
        <w:rPr>
          <w:rFonts w:cs="Arial"/>
        </w:rPr>
      </w:pPr>
      <w:r w:rsidRPr="00C07BB7">
        <w:rPr>
          <w:rFonts w:cs="Arial"/>
        </w:rPr>
        <w:t xml:space="preserve">I would like to thank my supervisor, Oluwadamilola Tayo, for the guidance, constructive feedback and encouragement given throughout this dissertation. The assistance provided in developing the research question, systematic review and final writing was very helpful. I would also like to thank the academic staff of the </w:t>
      </w:r>
      <w:r w:rsidR="00152253">
        <w:rPr>
          <w:rFonts w:cs="Arial"/>
        </w:rPr>
        <w:t>Master’s in</w:t>
      </w:r>
      <w:r w:rsidRPr="00C07BB7">
        <w:rPr>
          <w:rFonts w:cs="Arial"/>
        </w:rPr>
        <w:t xml:space="preserve"> Public Health and Social Care in Practice programme for the knowledge and research skills gained whilst studying. Thank you to my family and friends for their patience, understanding and encouragement during this work. Lastly, I thank the published evidence of the researchers, healthcare professionals and study participants who enabled this systematic review. Throughout this dissertation, their contributions to a better understanding of the risk, prevention and management of chronic kidney disease have formed the basis.</w:t>
      </w:r>
    </w:p>
    <w:p w14:paraId="4943B03E" w14:textId="77777777" w:rsidR="00416C8C" w:rsidRPr="00C07BB7" w:rsidRDefault="00416C8C" w:rsidP="00462CB9">
      <w:pPr>
        <w:rPr>
          <w:rFonts w:cs="Arial"/>
        </w:rPr>
      </w:pPr>
      <w:r w:rsidRPr="00C07BB7">
        <w:rPr>
          <w:rFonts w:cs="Arial"/>
        </w:rPr>
        <w:br w:type="page"/>
      </w:r>
    </w:p>
    <w:p w14:paraId="44CD1962" w14:textId="77777777" w:rsidR="00416C8C" w:rsidRPr="00C07BB7" w:rsidRDefault="00416C8C" w:rsidP="00462CB9">
      <w:pPr>
        <w:pStyle w:val="Heading1"/>
        <w:rPr>
          <w:rFonts w:cs="Arial"/>
        </w:rPr>
      </w:pPr>
      <w:bookmarkStart w:id="3" w:name="_Toc241090856"/>
      <w:r w:rsidRPr="00C07BB7">
        <w:rPr>
          <w:rFonts w:cs="Arial"/>
        </w:rPr>
        <w:t>Abstract</w:t>
      </w:r>
      <w:bookmarkEnd w:id="3"/>
    </w:p>
    <w:p w14:paraId="37571405" w14:textId="60AB348A" w:rsidR="008808BC" w:rsidRPr="008808BC" w:rsidRDefault="00FF1AEE" w:rsidP="008808BC">
      <w:pPr>
        <w:rPr>
          <w:rFonts w:cs="Arial"/>
        </w:rPr>
      </w:pPr>
      <w:r w:rsidRPr="00FF1AEE">
        <w:rPr>
          <w:rFonts w:cs="Arial"/>
          <w:b/>
          <w:bCs/>
        </w:rPr>
        <w:t>Background:</w:t>
      </w:r>
      <w:r>
        <w:rPr>
          <w:rFonts w:cs="Arial"/>
        </w:rPr>
        <w:t xml:space="preserve"> </w:t>
      </w:r>
      <w:r w:rsidR="008808BC" w:rsidRPr="008808BC">
        <w:rPr>
          <w:rFonts w:cs="Arial"/>
        </w:rPr>
        <w:t>Chronic kidney disease (CKD) is a significant public health</w:t>
      </w:r>
      <w:r>
        <w:rPr>
          <w:rFonts w:cs="Arial"/>
        </w:rPr>
        <w:t xml:space="preserve"> concern</w:t>
      </w:r>
      <w:r w:rsidR="008808BC" w:rsidRPr="008808BC">
        <w:rPr>
          <w:rFonts w:cs="Arial"/>
        </w:rPr>
        <w:t xml:space="preserve"> in the UK and often is not diagnosed or treated; it is associated with cardiovascular problems, kidney failure, diminished quality of life, and early death.</w:t>
      </w:r>
    </w:p>
    <w:p w14:paraId="22A7DC3C" w14:textId="77777777" w:rsidR="008808BC" w:rsidRPr="008808BC" w:rsidRDefault="008808BC" w:rsidP="008808BC">
      <w:pPr>
        <w:rPr>
          <w:rFonts w:cs="Arial"/>
        </w:rPr>
      </w:pPr>
      <w:r w:rsidRPr="00FF1AEE">
        <w:rPr>
          <w:rFonts w:cs="Arial"/>
          <w:b/>
          <w:bCs/>
        </w:rPr>
        <w:t>Aim:</w:t>
      </w:r>
      <w:r w:rsidRPr="008808BC">
        <w:rPr>
          <w:rFonts w:cs="Arial"/>
        </w:rPr>
        <w:t xml:space="preserve"> To update the risk factors and management advice for adults (aged 18 years and over) with CKD in the UK.</w:t>
      </w:r>
    </w:p>
    <w:p w14:paraId="1CB8AA2A" w14:textId="77777777" w:rsidR="008808BC" w:rsidRPr="008808BC" w:rsidRDefault="008808BC" w:rsidP="008808BC">
      <w:pPr>
        <w:rPr>
          <w:rFonts w:cs="Arial"/>
        </w:rPr>
      </w:pPr>
      <w:r w:rsidRPr="00FF1AEE">
        <w:rPr>
          <w:rFonts w:cs="Arial"/>
          <w:b/>
          <w:bCs/>
        </w:rPr>
        <w:t>Methods:</w:t>
      </w:r>
      <w:r w:rsidRPr="008808BC">
        <w:rPr>
          <w:rFonts w:cs="Arial"/>
        </w:rPr>
        <w:t xml:space="preserve"> Empirical studies between 2020 and 2026 were searched using peer-reviewed articles from MEDLINE, CINAHL, Academic Search Complete and Web of Science. Studies were identified and included in the PRISMA process and were selected through pre-established criteria. CASP checklists were used to evaluate the methodological quality of the included studies, and narrative and thematic analysis were used to synthesise the results of the 15 included studies.</w:t>
      </w:r>
    </w:p>
    <w:p w14:paraId="7364C1DB" w14:textId="061F0749" w:rsidR="008808BC" w:rsidRPr="001D77AF" w:rsidRDefault="00FF1AEE" w:rsidP="001D77AF">
      <w:pPr>
        <w:rPr>
          <w:rFonts w:cs="Arial"/>
          <w:color w:val="000000" w:themeColor="text1"/>
        </w:rPr>
      </w:pPr>
      <w:r>
        <w:rPr>
          <w:rFonts w:cs="Arial"/>
          <w:b/>
          <w:bCs/>
        </w:rPr>
        <w:t>Results</w:t>
      </w:r>
      <w:r w:rsidR="008808BC" w:rsidRPr="00FF1AEE">
        <w:rPr>
          <w:rFonts w:cs="Arial"/>
          <w:b/>
          <w:bCs/>
        </w:rPr>
        <w:t xml:space="preserve">: </w:t>
      </w:r>
      <w:r w:rsidR="008808BC">
        <w:rPr>
          <w:rFonts w:cs="Arial"/>
        </w:rPr>
        <w:t>Seven</w:t>
      </w:r>
      <w:r w:rsidR="008808BC" w:rsidRPr="008808BC">
        <w:rPr>
          <w:rFonts w:cs="Arial"/>
        </w:rPr>
        <w:t xml:space="preserve"> themes emerged: burden of CKD, clinical and metabolic risk, lifestyle, social and emerging risk, diagnosis and risk stratification, pharmacological management, lifestyle, digital and patient-centred management, and integrated care. Apart from diabetes, hypertension, obesity and multimorbidity, there was a significant risk of diet, physical inactivity, second-hand smoke, psychosocial factors and environmental exposures. Precise measurement of </w:t>
      </w:r>
      <w:r w:rsidR="001D77AF" w:rsidRPr="00C07BB7">
        <w:rPr>
          <w:rFonts w:cs="Arial"/>
          <w:color w:val="000000" w:themeColor="text1"/>
          <w:sz w:val="21"/>
        </w:rPr>
        <w:t xml:space="preserve">Estimated </w:t>
      </w:r>
      <w:r w:rsidR="001D77AF" w:rsidRPr="00C07BB7">
        <w:rPr>
          <w:rFonts w:cs="Arial"/>
          <w:color w:val="000000" w:themeColor="text1"/>
          <w:sz w:val="21"/>
        </w:rPr>
        <w:t>Glomerular Filtration Rate</w:t>
      </w:r>
      <w:r w:rsidR="001D77AF">
        <w:rPr>
          <w:rFonts w:cs="Arial"/>
          <w:color w:val="000000" w:themeColor="text1"/>
        </w:rPr>
        <w:t xml:space="preserve"> </w:t>
      </w:r>
      <w:r w:rsidR="001D77AF">
        <w:rPr>
          <w:rFonts w:cs="Arial"/>
        </w:rPr>
        <w:t>(</w:t>
      </w:r>
      <w:r w:rsidR="008808BC" w:rsidRPr="008808BC">
        <w:rPr>
          <w:rFonts w:cs="Arial"/>
        </w:rPr>
        <w:t>eGFR</w:t>
      </w:r>
      <w:r w:rsidR="001D77AF">
        <w:rPr>
          <w:rFonts w:cs="Arial"/>
        </w:rPr>
        <w:t>)</w:t>
      </w:r>
      <w:r w:rsidR="008808BC" w:rsidRPr="008808BC">
        <w:rPr>
          <w:rFonts w:cs="Arial"/>
        </w:rPr>
        <w:t xml:space="preserve"> and albuminuria, correct use of </w:t>
      </w:r>
      <w:r w:rsidR="001D77AF">
        <w:rPr>
          <w:rFonts w:cs="Arial"/>
        </w:rPr>
        <w:t>the Kidney Failure Risk Equation (</w:t>
      </w:r>
      <w:r w:rsidR="008808BC" w:rsidRPr="008808BC">
        <w:rPr>
          <w:rFonts w:cs="Arial"/>
        </w:rPr>
        <w:t>KFRE</w:t>
      </w:r>
      <w:r w:rsidR="001D77AF">
        <w:rPr>
          <w:rFonts w:cs="Arial"/>
        </w:rPr>
        <w:t>)</w:t>
      </w:r>
      <w:r w:rsidR="008808BC" w:rsidRPr="008808BC">
        <w:rPr>
          <w:rFonts w:cs="Arial"/>
        </w:rPr>
        <w:t>, kidney-protective drugs, and self-management facilitation and integration of primary-secondary care were required for good management. Limited evidence was provided using observational designs and few related intervention studies in the UK, using data from UK Biobank. The results of this study emphasize the need for early identification, equal access, and ongoing monitoring of CKD.</w:t>
      </w:r>
    </w:p>
    <w:p w14:paraId="7B6DDC07" w14:textId="1A31B29E" w:rsidR="008808BC" w:rsidRPr="008808BC" w:rsidRDefault="008808BC" w:rsidP="008808BC">
      <w:pPr>
        <w:rPr>
          <w:rFonts w:cs="Arial"/>
        </w:rPr>
      </w:pPr>
      <w:r w:rsidRPr="00FF1AEE">
        <w:rPr>
          <w:rFonts w:cs="Arial"/>
          <w:b/>
          <w:bCs/>
        </w:rPr>
        <w:t>Conclusion:</w:t>
      </w:r>
      <w:r w:rsidRPr="008808BC">
        <w:rPr>
          <w:rFonts w:cs="Arial"/>
        </w:rPr>
        <w:t xml:space="preserve"> In addition to representative and long-term research in the UK, there is a need for </w:t>
      </w:r>
      <w:r w:rsidR="00D42CA5" w:rsidRPr="008808BC">
        <w:rPr>
          <w:rFonts w:cs="Arial"/>
        </w:rPr>
        <w:t>coordinated</w:t>
      </w:r>
      <w:r w:rsidRPr="008808BC">
        <w:rPr>
          <w:rFonts w:cs="Arial"/>
        </w:rPr>
        <w:t xml:space="preserve"> identification, risk reduction, equitable treatment, support for patients and integrated NHS pathways for the prevention and management of CKD.</w:t>
      </w:r>
      <w:r w:rsidRPr="008808BC">
        <w:rPr>
          <w:rFonts w:cs="Arial"/>
        </w:rPr>
        <w:t xml:space="preserve"> </w:t>
      </w:r>
    </w:p>
    <w:p w14:paraId="00A8ADC2" w14:textId="2EFD3807" w:rsidR="00416C8C" w:rsidRPr="008808BC" w:rsidRDefault="00416C8C" w:rsidP="008808BC">
      <w:pPr>
        <w:rPr>
          <w:rFonts w:cs="Arial"/>
        </w:rPr>
      </w:pPr>
      <w:r w:rsidRPr="008808BC">
        <w:rPr>
          <w:rFonts w:cs="Arial"/>
          <w:b/>
        </w:rPr>
        <w:t>Keywords:</w:t>
      </w:r>
      <w:r w:rsidRPr="008808BC">
        <w:rPr>
          <w:rFonts w:cs="Arial"/>
          <w:bCs/>
        </w:rPr>
        <w:t xml:space="preserve"> </w:t>
      </w:r>
      <w:r w:rsidRPr="008808BC">
        <w:rPr>
          <w:rFonts w:cs="Arial"/>
          <w:bCs/>
          <w:i/>
        </w:rPr>
        <w:t xml:space="preserve">chronic kidney </w:t>
      </w:r>
      <w:r w:rsidR="00F64A0E" w:rsidRPr="008808BC">
        <w:rPr>
          <w:rFonts w:cs="Arial"/>
          <w:bCs/>
          <w:i/>
        </w:rPr>
        <w:t xml:space="preserve">disease, In the </w:t>
      </w:r>
      <w:r w:rsidRPr="008808BC">
        <w:rPr>
          <w:rFonts w:cs="Arial"/>
          <w:bCs/>
          <w:i/>
        </w:rPr>
        <w:t>UK adults, risk factors, management, systematic review, public</w:t>
      </w:r>
      <w:r w:rsidRPr="008808BC">
        <w:rPr>
          <w:rFonts w:cs="Arial"/>
          <w:i/>
        </w:rPr>
        <w:t xml:space="preserve"> health</w:t>
      </w:r>
    </w:p>
    <w:p w14:paraId="621E9942" w14:textId="77777777" w:rsidR="00416C8C" w:rsidRPr="00C07BB7" w:rsidRDefault="00416C8C" w:rsidP="00462CB9">
      <w:pPr>
        <w:rPr>
          <w:rFonts w:cs="Arial"/>
        </w:rPr>
      </w:pPr>
      <w:r w:rsidRPr="00C07BB7">
        <w:rPr>
          <w:rFonts w:cs="Arial"/>
        </w:rPr>
        <w:br w:type="page"/>
      </w:r>
    </w:p>
    <w:p w14:paraId="4AEA5224" w14:textId="77777777" w:rsidR="00416C8C" w:rsidRPr="00C07BB7" w:rsidRDefault="00416C8C" w:rsidP="00462CB9">
      <w:pPr>
        <w:pStyle w:val="Heading1"/>
        <w:rPr>
          <w:rFonts w:cs="Arial"/>
        </w:rPr>
      </w:pPr>
      <w:bookmarkStart w:id="4" w:name="_Toc241090857"/>
      <w:r w:rsidRPr="00C07BB7">
        <w:rPr>
          <w:rFonts w:cs="Arial"/>
        </w:rPr>
        <w:t>List of Tables</w:t>
      </w:r>
      <w:bookmarkEnd w:id="4"/>
    </w:p>
    <w:p w14:paraId="1A5E1A3A" w14:textId="1B1EA5DE" w:rsidR="00416C8C" w:rsidRPr="00C07BB7" w:rsidRDefault="00416C8C" w:rsidP="00462CB9">
      <w:pPr>
        <w:rPr>
          <w:rFonts w:cs="Arial"/>
        </w:rPr>
      </w:pPr>
      <w:r w:rsidRPr="00C07BB7">
        <w:rPr>
          <w:rFonts w:cs="Arial"/>
          <w:b/>
        </w:rPr>
        <w:t>Table 3.1</w:t>
      </w:r>
      <w:r w:rsidR="00BF54FA" w:rsidRPr="00C07BB7">
        <w:rPr>
          <w:rFonts w:cs="Arial"/>
          <w:b/>
        </w:rPr>
        <w:t>:</w:t>
      </w:r>
      <w:r w:rsidRPr="00C07BB7">
        <w:rPr>
          <w:rFonts w:cs="Arial"/>
          <w:b/>
        </w:rPr>
        <w:t xml:space="preserve"> </w:t>
      </w:r>
      <w:r w:rsidRPr="00C07BB7">
        <w:rPr>
          <w:rFonts w:cs="Arial"/>
        </w:rPr>
        <w:t>Adapted PICO Framework and Search Terms</w:t>
      </w:r>
    </w:p>
    <w:p w14:paraId="2720F32C" w14:textId="412748AA" w:rsidR="00416C8C" w:rsidRPr="00C07BB7" w:rsidRDefault="00416C8C" w:rsidP="00462CB9">
      <w:pPr>
        <w:rPr>
          <w:rFonts w:cs="Arial"/>
        </w:rPr>
      </w:pPr>
      <w:r w:rsidRPr="00C07BB7">
        <w:rPr>
          <w:rFonts w:cs="Arial"/>
          <w:b/>
        </w:rPr>
        <w:t>Table 3.2</w:t>
      </w:r>
      <w:r w:rsidR="00BF54FA" w:rsidRPr="00C07BB7">
        <w:rPr>
          <w:rFonts w:cs="Arial"/>
          <w:b/>
        </w:rPr>
        <w:t>:</w:t>
      </w:r>
      <w:r w:rsidRPr="00C07BB7">
        <w:rPr>
          <w:rFonts w:cs="Arial"/>
          <w:b/>
        </w:rPr>
        <w:t xml:space="preserve"> </w:t>
      </w:r>
      <w:r w:rsidRPr="00C07BB7">
        <w:rPr>
          <w:rFonts w:cs="Arial"/>
        </w:rPr>
        <w:t>Databases Used for the Formal CKD Search</w:t>
      </w:r>
    </w:p>
    <w:p w14:paraId="361D9921" w14:textId="1B1B6E69" w:rsidR="00416C8C" w:rsidRPr="00C07BB7" w:rsidRDefault="00416C8C" w:rsidP="00462CB9">
      <w:pPr>
        <w:rPr>
          <w:rFonts w:cs="Arial"/>
        </w:rPr>
      </w:pPr>
      <w:r w:rsidRPr="00C07BB7">
        <w:rPr>
          <w:rFonts w:cs="Arial"/>
          <w:b/>
        </w:rPr>
        <w:t>Table 3.</w:t>
      </w:r>
      <w:r w:rsidR="00E26350" w:rsidRPr="00C07BB7">
        <w:rPr>
          <w:rFonts w:cs="Arial"/>
          <w:b/>
        </w:rPr>
        <w:t>3</w:t>
      </w:r>
      <w:r w:rsidR="00BF54FA" w:rsidRPr="00C07BB7">
        <w:rPr>
          <w:rFonts w:cs="Arial"/>
          <w:b/>
        </w:rPr>
        <w:t>:</w:t>
      </w:r>
      <w:r w:rsidRPr="00C07BB7">
        <w:rPr>
          <w:rFonts w:cs="Arial"/>
          <w:b/>
        </w:rPr>
        <w:t xml:space="preserve"> </w:t>
      </w:r>
      <w:r w:rsidRPr="00C07BB7">
        <w:rPr>
          <w:rFonts w:cs="Arial"/>
        </w:rPr>
        <w:t>Inclusion and Exclusion Criteria</w:t>
      </w:r>
    </w:p>
    <w:p w14:paraId="28885F08" w14:textId="06678505" w:rsidR="00416C8C" w:rsidRPr="00C07BB7" w:rsidRDefault="00416C8C" w:rsidP="00462CB9">
      <w:pPr>
        <w:rPr>
          <w:rFonts w:cs="Arial"/>
        </w:rPr>
      </w:pPr>
      <w:r w:rsidRPr="00C07BB7">
        <w:rPr>
          <w:rFonts w:cs="Arial"/>
          <w:b/>
        </w:rPr>
        <w:t>Table 3.</w:t>
      </w:r>
      <w:r w:rsidR="00E26350" w:rsidRPr="00C07BB7">
        <w:rPr>
          <w:rFonts w:cs="Arial"/>
          <w:b/>
        </w:rPr>
        <w:t>4</w:t>
      </w:r>
      <w:r w:rsidR="00BF54FA" w:rsidRPr="00C07BB7">
        <w:rPr>
          <w:rFonts w:cs="Arial"/>
          <w:b/>
        </w:rPr>
        <w:t>:</w:t>
      </w:r>
      <w:r w:rsidRPr="00C07BB7">
        <w:rPr>
          <w:rFonts w:cs="Arial"/>
          <w:b/>
        </w:rPr>
        <w:t xml:space="preserve"> </w:t>
      </w:r>
      <w:r w:rsidRPr="00C07BB7">
        <w:rPr>
          <w:rFonts w:cs="Arial"/>
        </w:rPr>
        <w:t>Data Extraction Framework</w:t>
      </w:r>
    </w:p>
    <w:p w14:paraId="12B279CB" w14:textId="4C66C03F" w:rsidR="00416C8C" w:rsidRPr="00C07BB7" w:rsidRDefault="00416C8C" w:rsidP="00462CB9">
      <w:pPr>
        <w:rPr>
          <w:rFonts w:cs="Arial"/>
        </w:rPr>
      </w:pPr>
      <w:r w:rsidRPr="00C07BB7">
        <w:rPr>
          <w:rFonts w:cs="Arial"/>
          <w:b/>
        </w:rPr>
        <w:t>Table 3.</w:t>
      </w:r>
      <w:r w:rsidR="00E26350" w:rsidRPr="00C07BB7">
        <w:rPr>
          <w:rFonts w:cs="Arial"/>
          <w:b/>
        </w:rPr>
        <w:t>5</w:t>
      </w:r>
      <w:r w:rsidR="00BF54FA" w:rsidRPr="00C07BB7">
        <w:rPr>
          <w:rFonts w:cs="Arial"/>
          <w:b/>
        </w:rPr>
        <w:t>:</w:t>
      </w:r>
      <w:r w:rsidRPr="00C07BB7">
        <w:rPr>
          <w:rFonts w:cs="Arial"/>
          <w:b/>
        </w:rPr>
        <w:t xml:space="preserve"> </w:t>
      </w:r>
      <w:r w:rsidRPr="00C07BB7">
        <w:rPr>
          <w:rFonts w:cs="Arial"/>
        </w:rPr>
        <w:t>Initial Coding and Theme Development Framework</w:t>
      </w:r>
    </w:p>
    <w:p w14:paraId="63F729F3" w14:textId="1CEA09E7" w:rsidR="00416C8C" w:rsidRPr="00C07BB7" w:rsidRDefault="00416C8C" w:rsidP="00462CB9">
      <w:pPr>
        <w:rPr>
          <w:rFonts w:cs="Arial"/>
        </w:rPr>
      </w:pPr>
      <w:r w:rsidRPr="00C07BB7">
        <w:rPr>
          <w:rFonts w:cs="Arial"/>
          <w:b/>
        </w:rPr>
        <w:t>Table 4.1</w:t>
      </w:r>
      <w:r w:rsidR="00BF54FA" w:rsidRPr="00C07BB7">
        <w:rPr>
          <w:rFonts w:cs="Arial"/>
          <w:b/>
        </w:rPr>
        <w:t>:</w:t>
      </w:r>
      <w:r w:rsidRPr="00C07BB7">
        <w:rPr>
          <w:rFonts w:cs="Arial"/>
          <w:b/>
        </w:rPr>
        <w:t xml:space="preserve"> </w:t>
      </w:r>
      <w:r w:rsidRPr="00C07BB7">
        <w:rPr>
          <w:rFonts w:cs="Arial"/>
        </w:rPr>
        <w:t>CASP Informed Quality Appraisal Summary of the 15 Included Studies</w:t>
      </w:r>
    </w:p>
    <w:p w14:paraId="1C113AE0" w14:textId="598AB4AA" w:rsidR="00416C8C" w:rsidRPr="00C07BB7" w:rsidRDefault="00416C8C" w:rsidP="00462CB9">
      <w:pPr>
        <w:rPr>
          <w:rFonts w:cs="Arial"/>
        </w:rPr>
      </w:pPr>
      <w:r w:rsidRPr="00C07BB7">
        <w:rPr>
          <w:rFonts w:cs="Arial"/>
          <w:b/>
        </w:rPr>
        <w:t>Table 4.2</w:t>
      </w:r>
      <w:r w:rsidR="00BF54FA" w:rsidRPr="00C07BB7">
        <w:rPr>
          <w:rFonts w:cs="Arial"/>
          <w:b/>
        </w:rPr>
        <w:t>:</w:t>
      </w:r>
      <w:r w:rsidRPr="00C07BB7">
        <w:rPr>
          <w:rFonts w:cs="Arial"/>
          <w:b/>
        </w:rPr>
        <w:t xml:space="preserve"> </w:t>
      </w:r>
      <w:r w:rsidRPr="00C07BB7">
        <w:rPr>
          <w:rFonts w:cs="Arial"/>
        </w:rPr>
        <w:t>Detailed Characteristics and Data Extraction of the 15 Included Studies</w:t>
      </w:r>
    </w:p>
    <w:p w14:paraId="5C0C76EB" w14:textId="3941BE1E" w:rsidR="00416C8C" w:rsidRPr="00C07BB7" w:rsidRDefault="00416C8C" w:rsidP="00462CB9">
      <w:pPr>
        <w:rPr>
          <w:rFonts w:cs="Arial"/>
        </w:rPr>
      </w:pPr>
      <w:r w:rsidRPr="00C07BB7">
        <w:rPr>
          <w:rFonts w:cs="Arial"/>
          <w:b/>
        </w:rPr>
        <w:t>Table 4.3</w:t>
      </w:r>
      <w:r w:rsidR="00BF54FA" w:rsidRPr="00C07BB7">
        <w:rPr>
          <w:rFonts w:cs="Arial"/>
          <w:b/>
        </w:rPr>
        <w:t>:</w:t>
      </w:r>
      <w:r w:rsidRPr="00C07BB7">
        <w:rPr>
          <w:rFonts w:cs="Arial"/>
          <w:b/>
        </w:rPr>
        <w:t xml:space="preserve"> </w:t>
      </w:r>
      <w:r w:rsidRPr="00C07BB7">
        <w:rPr>
          <w:rFonts w:cs="Arial"/>
        </w:rPr>
        <w:t>Summary of Thematic Findings Against the Research Objectives</w:t>
      </w:r>
    </w:p>
    <w:p w14:paraId="2402B93E" w14:textId="77777777" w:rsidR="00416C8C" w:rsidRPr="00C07BB7" w:rsidRDefault="00416C8C" w:rsidP="00462CB9">
      <w:pPr>
        <w:pStyle w:val="Heading1"/>
        <w:rPr>
          <w:rFonts w:cs="Arial"/>
        </w:rPr>
      </w:pPr>
      <w:bookmarkStart w:id="5" w:name="_Toc241090858"/>
      <w:r w:rsidRPr="00C07BB7">
        <w:rPr>
          <w:rFonts w:cs="Arial"/>
        </w:rPr>
        <w:t>List of Figures</w:t>
      </w:r>
      <w:bookmarkEnd w:id="5"/>
    </w:p>
    <w:p w14:paraId="178954A5" w14:textId="62506161" w:rsidR="00416C8C" w:rsidRPr="00C07BB7" w:rsidRDefault="00416C8C" w:rsidP="00462CB9">
      <w:pPr>
        <w:rPr>
          <w:rFonts w:cs="Arial"/>
        </w:rPr>
      </w:pPr>
      <w:r w:rsidRPr="00C07BB7">
        <w:rPr>
          <w:rFonts w:cs="Arial"/>
          <w:b/>
        </w:rPr>
        <w:t>Figure 2.1</w:t>
      </w:r>
      <w:r w:rsidR="006A29C4" w:rsidRPr="00C07BB7">
        <w:rPr>
          <w:rFonts w:cs="Arial"/>
          <w:b/>
        </w:rPr>
        <w:t xml:space="preserve">: </w:t>
      </w:r>
      <w:r w:rsidR="006A29C4" w:rsidRPr="00117C2B">
        <w:rPr>
          <w:rFonts w:cs="Arial"/>
          <w:bCs/>
        </w:rPr>
        <w:t>Theoretical</w:t>
      </w:r>
      <w:r w:rsidRPr="00C07BB7">
        <w:rPr>
          <w:rFonts w:cs="Arial"/>
        </w:rPr>
        <w:t xml:space="preserve"> </w:t>
      </w:r>
      <w:r w:rsidR="00BF54FA" w:rsidRPr="00C07BB7">
        <w:rPr>
          <w:rFonts w:cs="Arial"/>
        </w:rPr>
        <w:t>Framework Health</w:t>
      </w:r>
      <w:r w:rsidRPr="00C07BB7">
        <w:rPr>
          <w:rFonts w:cs="Arial"/>
        </w:rPr>
        <w:t xml:space="preserve"> Belief Model Applied to CKD Risk and Management Among</w:t>
      </w:r>
      <w:r w:rsidR="00F64A0E">
        <w:rPr>
          <w:rFonts w:cs="Arial"/>
        </w:rPr>
        <w:t xml:space="preserve"> the</w:t>
      </w:r>
      <w:r w:rsidRPr="00C07BB7">
        <w:rPr>
          <w:rFonts w:cs="Arial"/>
        </w:rPr>
        <w:t xml:space="preserve"> UK Adults</w:t>
      </w:r>
    </w:p>
    <w:p w14:paraId="0A80FE9C" w14:textId="7AD19A21" w:rsidR="00416C8C" w:rsidRPr="00C07BB7" w:rsidRDefault="00416C8C" w:rsidP="00462CB9">
      <w:pPr>
        <w:rPr>
          <w:rFonts w:cs="Arial"/>
        </w:rPr>
      </w:pPr>
      <w:r w:rsidRPr="00C07BB7">
        <w:rPr>
          <w:rFonts w:cs="Arial"/>
          <w:b/>
        </w:rPr>
        <w:t>Figure 3.1</w:t>
      </w:r>
      <w:r w:rsidR="006A29C4" w:rsidRPr="00C07BB7">
        <w:rPr>
          <w:rFonts w:cs="Arial"/>
          <w:b/>
        </w:rPr>
        <w:t xml:space="preserve">: </w:t>
      </w:r>
      <w:r w:rsidR="006A29C4" w:rsidRPr="00117C2B">
        <w:rPr>
          <w:rFonts w:cs="Arial"/>
          <w:bCs/>
        </w:rPr>
        <w:t>Topic</w:t>
      </w:r>
      <w:r w:rsidRPr="00C07BB7">
        <w:rPr>
          <w:rFonts w:cs="Arial"/>
        </w:rPr>
        <w:t xml:space="preserve"> Specific Search Concept Structure</w:t>
      </w:r>
    </w:p>
    <w:p w14:paraId="11B450C9" w14:textId="7DFB7567" w:rsidR="00416C8C" w:rsidRPr="00B433F6" w:rsidRDefault="00416C8C" w:rsidP="00462CB9">
      <w:pPr>
        <w:rPr>
          <w:rFonts w:cs="Arial"/>
          <w:bCs/>
        </w:rPr>
      </w:pPr>
      <w:r w:rsidRPr="00C07BB7">
        <w:rPr>
          <w:rFonts w:cs="Arial"/>
          <w:b/>
        </w:rPr>
        <w:t>Figure 4.1</w:t>
      </w:r>
      <w:r w:rsidR="00B433F6">
        <w:rPr>
          <w:rFonts w:cs="Arial"/>
          <w:b/>
        </w:rPr>
        <w:t>:</w:t>
      </w:r>
      <w:r w:rsidR="00CA753A" w:rsidRPr="00C07BB7">
        <w:rPr>
          <w:rFonts w:cs="Arial"/>
          <w:b/>
        </w:rPr>
        <w:t xml:space="preserve"> </w:t>
      </w:r>
      <w:r w:rsidR="00CA753A" w:rsidRPr="00B433F6">
        <w:rPr>
          <w:rFonts w:cs="Arial"/>
          <w:bCs/>
        </w:rPr>
        <w:t>PRISMA</w:t>
      </w:r>
      <w:r w:rsidRPr="00B433F6">
        <w:rPr>
          <w:rFonts w:cs="Arial"/>
          <w:bCs/>
        </w:rPr>
        <w:t xml:space="preserve"> Aligned Study Selection Pathway</w:t>
      </w:r>
    </w:p>
    <w:p w14:paraId="4D8BE5A4" w14:textId="77777777" w:rsidR="00416C8C" w:rsidRPr="00C07BB7" w:rsidRDefault="00416C8C" w:rsidP="00462CB9">
      <w:pPr>
        <w:rPr>
          <w:rFonts w:cs="Arial"/>
        </w:rPr>
      </w:pPr>
      <w:r w:rsidRPr="00C07BB7">
        <w:rPr>
          <w:rFonts w:cs="Arial"/>
        </w:rPr>
        <w:br w:type="page"/>
      </w:r>
    </w:p>
    <w:p w14:paraId="0AF5AE61" w14:textId="77777777" w:rsidR="00416C8C" w:rsidRPr="00C07BB7" w:rsidRDefault="00416C8C" w:rsidP="00462CB9">
      <w:pPr>
        <w:pStyle w:val="Heading1"/>
        <w:rPr>
          <w:rFonts w:cs="Arial"/>
        </w:rPr>
      </w:pPr>
      <w:bookmarkStart w:id="6" w:name="_Toc241090859"/>
      <w:r w:rsidRPr="00C07BB7">
        <w:rPr>
          <w:rFonts w:cs="Arial"/>
        </w:rPr>
        <w:t>List of Abbreviations</w:t>
      </w:r>
      <w:bookmarkEnd w:id="6"/>
    </w:p>
    <w:tbl>
      <w:tblPr>
        <w:tblStyle w:val="TableGrid"/>
        <w:tblW w:w="8658" w:type="dxa"/>
        <w:tblLayout w:type="fixed"/>
        <w:tblLook w:val="04A0" w:firstRow="1" w:lastRow="0" w:firstColumn="1" w:lastColumn="0" w:noHBand="0" w:noVBand="1"/>
      </w:tblPr>
      <w:tblGrid>
        <w:gridCol w:w="1728"/>
        <w:gridCol w:w="6930"/>
      </w:tblGrid>
      <w:tr w:rsidR="00416C8C" w:rsidRPr="00C07BB7" w14:paraId="456CA6E1" w14:textId="77777777" w:rsidTr="00B433F6">
        <w:tc>
          <w:tcPr>
            <w:tcW w:w="1728" w:type="dxa"/>
          </w:tcPr>
          <w:p w14:paraId="0E2F8500" w14:textId="77777777" w:rsidR="00416C8C" w:rsidRPr="00C07BB7" w:rsidRDefault="00416C8C" w:rsidP="00D42CA5">
            <w:pPr>
              <w:rPr>
                <w:rFonts w:cs="Arial"/>
                <w:b/>
                <w:color w:val="000000" w:themeColor="text1"/>
                <w:szCs w:val="24"/>
              </w:rPr>
            </w:pPr>
            <w:r w:rsidRPr="00C07BB7">
              <w:rPr>
                <w:rFonts w:cs="Arial"/>
                <w:b/>
                <w:color w:val="000000" w:themeColor="text1"/>
                <w:szCs w:val="24"/>
              </w:rPr>
              <w:t>Abbreviation</w:t>
            </w:r>
          </w:p>
        </w:tc>
        <w:tc>
          <w:tcPr>
            <w:tcW w:w="6930" w:type="dxa"/>
          </w:tcPr>
          <w:p w14:paraId="500E0899" w14:textId="77777777" w:rsidR="00416C8C" w:rsidRPr="00C07BB7" w:rsidRDefault="00416C8C" w:rsidP="00D42CA5">
            <w:pPr>
              <w:rPr>
                <w:rFonts w:cs="Arial"/>
                <w:b/>
                <w:color w:val="000000" w:themeColor="text1"/>
                <w:szCs w:val="24"/>
              </w:rPr>
            </w:pPr>
            <w:r w:rsidRPr="00C07BB7">
              <w:rPr>
                <w:rFonts w:cs="Arial"/>
                <w:b/>
                <w:color w:val="000000" w:themeColor="text1"/>
                <w:szCs w:val="24"/>
              </w:rPr>
              <w:t>Meaning</w:t>
            </w:r>
          </w:p>
        </w:tc>
      </w:tr>
      <w:tr w:rsidR="00416C8C" w:rsidRPr="00C07BB7" w14:paraId="486151AB" w14:textId="77777777" w:rsidTr="00B433F6">
        <w:tc>
          <w:tcPr>
            <w:tcW w:w="1728" w:type="dxa"/>
          </w:tcPr>
          <w:p w14:paraId="744AE2A6" w14:textId="77777777" w:rsidR="00416C8C" w:rsidRPr="00C07BB7" w:rsidRDefault="00416C8C" w:rsidP="00D42CA5">
            <w:pPr>
              <w:rPr>
                <w:rFonts w:cs="Arial"/>
                <w:bCs/>
                <w:color w:val="000000" w:themeColor="text1"/>
              </w:rPr>
            </w:pPr>
            <w:r w:rsidRPr="00C07BB7">
              <w:rPr>
                <w:rFonts w:cs="Arial"/>
                <w:bCs/>
                <w:color w:val="000000" w:themeColor="text1"/>
                <w:sz w:val="21"/>
              </w:rPr>
              <w:t>ACR</w:t>
            </w:r>
          </w:p>
        </w:tc>
        <w:tc>
          <w:tcPr>
            <w:tcW w:w="6930" w:type="dxa"/>
          </w:tcPr>
          <w:p w14:paraId="77E5DD22" w14:textId="77777777" w:rsidR="00416C8C" w:rsidRPr="00C07BB7" w:rsidRDefault="00416C8C" w:rsidP="00D42CA5">
            <w:pPr>
              <w:rPr>
                <w:rFonts w:cs="Arial"/>
                <w:color w:val="000000" w:themeColor="text1"/>
              </w:rPr>
            </w:pPr>
            <w:r w:rsidRPr="00C07BB7">
              <w:rPr>
                <w:rFonts w:cs="Arial"/>
                <w:color w:val="000000" w:themeColor="text1"/>
                <w:sz w:val="21"/>
              </w:rPr>
              <w:t>Albumin to creatinine ratio</w:t>
            </w:r>
          </w:p>
        </w:tc>
      </w:tr>
      <w:tr w:rsidR="00416C8C" w:rsidRPr="00C07BB7" w14:paraId="17691248" w14:textId="77777777" w:rsidTr="00B433F6">
        <w:tc>
          <w:tcPr>
            <w:tcW w:w="1728" w:type="dxa"/>
          </w:tcPr>
          <w:p w14:paraId="5886F1C0" w14:textId="77777777" w:rsidR="00416C8C" w:rsidRPr="00C07BB7" w:rsidRDefault="00416C8C" w:rsidP="00D42CA5">
            <w:pPr>
              <w:rPr>
                <w:rFonts w:cs="Arial"/>
                <w:bCs/>
                <w:color w:val="000000" w:themeColor="text1"/>
              </w:rPr>
            </w:pPr>
            <w:r w:rsidRPr="00C07BB7">
              <w:rPr>
                <w:rFonts w:cs="Arial"/>
                <w:bCs/>
                <w:color w:val="000000" w:themeColor="text1"/>
                <w:sz w:val="21"/>
              </w:rPr>
              <w:t>BP</w:t>
            </w:r>
          </w:p>
        </w:tc>
        <w:tc>
          <w:tcPr>
            <w:tcW w:w="6930" w:type="dxa"/>
          </w:tcPr>
          <w:p w14:paraId="4BF52A6A" w14:textId="77777777" w:rsidR="00416C8C" w:rsidRPr="00C07BB7" w:rsidRDefault="00416C8C" w:rsidP="00D42CA5">
            <w:pPr>
              <w:rPr>
                <w:rFonts w:cs="Arial"/>
                <w:color w:val="000000" w:themeColor="text1"/>
              </w:rPr>
            </w:pPr>
            <w:r w:rsidRPr="00C07BB7">
              <w:rPr>
                <w:rFonts w:cs="Arial"/>
                <w:color w:val="000000" w:themeColor="text1"/>
                <w:sz w:val="21"/>
              </w:rPr>
              <w:t>Blood pressure</w:t>
            </w:r>
          </w:p>
        </w:tc>
      </w:tr>
      <w:tr w:rsidR="00416C8C" w:rsidRPr="00C07BB7" w14:paraId="0E961147" w14:textId="77777777" w:rsidTr="00B433F6">
        <w:tc>
          <w:tcPr>
            <w:tcW w:w="1728" w:type="dxa"/>
          </w:tcPr>
          <w:p w14:paraId="34EF0B9B" w14:textId="77777777" w:rsidR="00416C8C" w:rsidRPr="00C07BB7" w:rsidRDefault="00416C8C" w:rsidP="00D42CA5">
            <w:pPr>
              <w:rPr>
                <w:rFonts w:cs="Arial"/>
                <w:bCs/>
                <w:color w:val="000000" w:themeColor="text1"/>
              </w:rPr>
            </w:pPr>
            <w:r w:rsidRPr="00C07BB7">
              <w:rPr>
                <w:rFonts w:cs="Arial"/>
                <w:bCs/>
                <w:color w:val="000000" w:themeColor="text1"/>
                <w:sz w:val="21"/>
              </w:rPr>
              <w:t>CASP</w:t>
            </w:r>
          </w:p>
        </w:tc>
        <w:tc>
          <w:tcPr>
            <w:tcW w:w="6930" w:type="dxa"/>
          </w:tcPr>
          <w:p w14:paraId="519CFCAB" w14:textId="77777777" w:rsidR="00416C8C" w:rsidRPr="00C07BB7" w:rsidRDefault="00416C8C" w:rsidP="00D42CA5">
            <w:pPr>
              <w:rPr>
                <w:rFonts w:cs="Arial"/>
                <w:color w:val="000000" w:themeColor="text1"/>
              </w:rPr>
            </w:pPr>
            <w:r w:rsidRPr="00C07BB7">
              <w:rPr>
                <w:rFonts w:cs="Arial"/>
                <w:color w:val="000000" w:themeColor="text1"/>
                <w:sz w:val="21"/>
              </w:rPr>
              <w:t>Critical Appraisal Skills Programme</w:t>
            </w:r>
          </w:p>
        </w:tc>
      </w:tr>
      <w:tr w:rsidR="00416C8C" w:rsidRPr="00C07BB7" w14:paraId="3788D806" w14:textId="77777777" w:rsidTr="00B433F6">
        <w:tc>
          <w:tcPr>
            <w:tcW w:w="1728" w:type="dxa"/>
          </w:tcPr>
          <w:p w14:paraId="2E218C83" w14:textId="77777777" w:rsidR="00416C8C" w:rsidRPr="00C07BB7" w:rsidRDefault="00416C8C" w:rsidP="00D42CA5">
            <w:pPr>
              <w:rPr>
                <w:rFonts w:cs="Arial"/>
                <w:bCs/>
                <w:color w:val="000000" w:themeColor="text1"/>
              </w:rPr>
            </w:pPr>
            <w:r w:rsidRPr="00C07BB7">
              <w:rPr>
                <w:rFonts w:cs="Arial"/>
                <w:bCs/>
                <w:color w:val="000000" w:themeColor="text1"/>
                <w:sz w:val="21"/>
              </w:rPr>
              <w:t>CCG</w:t>
            </w:r>
          </w:p>
        </w:tc>
        <w:tc>
          <w:tcPr>
            <w:tcW w:w="6930" w:type="dxa"/>
          </w:tcPr>
          <w:p w14:paraId="58184E83" w14:textId="77777777" w:rsidR="00416C8C" w:rsidRPr="00C07BB7" w:rsidRDefault="00416C8C" w:rsidP="00D42CA5">
            <w:pPr>
              <w:rPr>
                <w:rFonts w:cs="Arial"/>
                <w:color w:val="000000" w:themeColor="text1"/>
              </w:rPr>
            </w:pPr>
            <w:r w:rsidRPr="00C07BB7">
              <w:rPr>
                <w:rFonts w:cs="Arial"/>
                <w:color w:val="000000" w:themeColor="text1"/>
                <w:sz w:val="21"/>
              </w:rPr>
              <w:t>Clinical Commissioning Group</w:t>
            </w:r>
          </w:p>
        </w:tc>
      </w:tr>
      <w:tr w:rsidR="00416C8C" w:rsidRPr="00C07BB7" w14:paraId="375CD498" w14:textId="77777777" w:rsidTr="00B433F6">
        <w:tc>
          <w:tcPr>
            <w:tcW w:w="1728" w:type="dxa"/>
          </w:tcPr>
          <w:p w14:paraId="17D42F41" w14:textId="77777777" w:rsidR="00416C8C" w:rsidRPr="00C07BB7" w:rsidRDefault="00416C8C" w:rsidP="00D42CA5">
            <w:pPr>
              <w:rPr>
                <w:rFonts w:cs="Arial"/>
                <w:bCs/>
                <w:color w:val="000000" w:themeColor="text1"/>
              </w:rPr>
            </w:pPr>
            <w:r w:rsidRPr="00C07BB7">
              <w:rPr>
                <w:rFonts w:cs="Arial"/>
                <w:bCs/>
                <w:color w:val="000000" w:themeColor="text1"/>
                <w:sz w:val="21"/>
              </w:rPr>
              <w:t>CINAHL</w:t>
            </w:r>
          </w:p>
        </w:tc>
        <w:tc>
          <w:tcPr>
            <w:tcW w:w="6930" w:type="dxa"/>
          </w:tcPr>
          <w:p w14:paraId="4225989F" w14:textId="77777777" w:rsidR="00416C8C" w:rsidRPr="00C07BB7" w:rsidRDefault="00416C8C" w:rsidP="00D42CA5">
            <w:pPr>
              <w:rPr>
                <w:rFonts w:cs="Arial"/>
                <w:color w:val="000000" w:themeColor="text1"/>
              </w:rPr>
            </w:pPr>
            <w:r w:rsidRPr="00C07BB7">
              <w:rPr>
                <w:rFonts w:cs="Arial"/>
                <w:color w:val="000000" w:themeColor="text1"/>
                <w:sz w:val="21"/>
              </w:rPr>
              <w:t>Cumulative Index to Nursing and Allied Health Literature</w:t>
            </w:r>
          </w:p>
        </w:tc>
      </w:tr>
      <w:tr w:rsidR="00416C8C" w:rsidRPr="00C07BB7" w14:paraId="07A0E9BC" w14:textId="77777777" w:rsidTr="00B433F6">
        <w:tc>
          <w:tcPr>
            <w:tcW w:w="1728" w:type="dxa"/>
          </w:tcPr>
          <w:p w14:paraId="7F5493F8" w14:textId="77777777" w:rsidR="00416C8C" w:rsidRPr="00C07BB7" w:rsidRDefault="00416C8C" w:rsidP="00D42CA5">
            <w:pPr>
              <w:rPr>
                <w:rFonts w:cs="Arial"/>
                <w:bCs/>
                <w:color w:val="000000" w:themeColor="text1"/>
              </w:rPr>
            </w:pPr>
            <w:r w:rsidRPr="00C07BB7">
              <w:rPr>
                <w:rFonts w:cs="Arial"/>
                <w:bCs/>
                <w:color w:val="000000" w:themeColor="text1"/>
                <w:sz w:val="21"/>
              </w:rPr>
              <w:t>CKD</w:t>
            </w:r>
          </w:p>
        </w:tc>
        <w:tc>
          <w:tcPr>
            <w:tcW w:w="6930" w:type="dxa"/>
          </w:tcPr>
          <w:p w14:paraId="6ABD9F9B" w14:textId="77777777" w:rsidR="00416C8C" w:rsidRPr="00C07BB7" w:rsidRDefault="00416C8C" w:rsidP="00D42CA5">
            <w:pPr>
              <w:rPr>
                <w:rFonts w:cs="Arial"/>
                <w:color w:val="000000" w:themeColor="text1"/>
              </w:rPr>
            </w:pPr>
            <w:r w:rsidRPr="00C07BB7">
              <w:rPr>
                <w:rFonts w:cs="Arial"/>
                <w:color w:val="000000" w:themeColor="text1"/>
                <w:sz w:val="21"/>
              </w:rPr>
              <w:t>Chronic kidney disease</w:t>
            </w:r>
          </w:p>
        </w:tc>
      </w:tr>
      <w:tr w:rsidR="00416C8C" w:rsidRPr="00C07BB7" w14:paraId="72A6D1A0" w14:textId="77777777" w:rsidTr="00B433F6">
        <w:tc>
          <w:tcPr>
            <w:tcW w:w="1728" w:type="dxa"/>
          </w:tcPr>
          <w:p w14:paraId="43337E67" w14:textId="77777777" w:rsidR="00416C8C" w:rsidRPr="00C07BB7" w:rsidRDefault="00416C8C" w:rsidP="00D42CA5">
            <w:pPr>
              <w:rPr>
                <w:rFonts w:cs="Arial"/>
                <w:bCs/>
                <w:color w:val="000000" w:themeColor="text1"/>
              </w:rPr>
            </w:pPr>
            <w:r w:rsidRPr="00C07BB7">
              <w:rPr>
                <w:rFonts w:cs="Arial"/>
                <w:bCs/>
                <w:color w:val="000000" w:themeColor="text1"/>
                <w:sz w:val="21"/>
              </w:rPr>
              <w:t>CPRD</w:t>
            </w:r>
          </w:p>
        </w:tc>
        <w:tc>
          <w:tcPr>
            <w:tcW w:w="6930" w:type="dxa"/>
          </w:tcPr>
          <w:p w14:paraId="29851C99" w14:textId="77777777" w:rsidR="00416C8C" w:rsidRPr="00C07BB7" w:rsidRDefault="00416C8C" w:rsidP="00D42CA5">
            <w:pPr>
              <w:rPr>
                <w:rFonts w:cs="Arial"/>
                <w:color w:val="000000" w:themeColor="text1"/>
              </w:rPr>
            </w:pPr>
            <w:r w:rsidRPr="00C07BB7">
              <w:rPr>
                <w:rFonts w:cs="Arial"/>
                <w:color w:val="000000" w:themeColor="text1"/>
                <w:sz w:val="21"/>
              </w:rPr>
              <w:t>Clinical Practice Research Datalink</w:t>
            </w:r>
          </w:p>
        </w:tc>
      </w:tr>
      <w:tr w:rsidR="00416C8C" w:rsidRPr="00C07BB7" w14:paraId="6431F121" w14:textId="77777777" w:rsidTr="00B433F6">
        <w:tc>
          <w:tcPr>
            <w:tcW w:w="1728" w:type="dxa"/>
          </w:tcPr>
          <w:p w14:paraId="04C4E23C" w14:textId="77777777" w:rsidR="00416C8C" w:rsidRPr="00C07BB7" w:rsidRDefault="00416C8C" w:rsidP="00D42CA5">
            <w:pPr>
              <w:rPr>
                <w:rFonts w:cs="Arial"/>
                <w:bCs/>
                <w:color w:val="000000" w:themeColor="text1"/>
              </w:rPr>
            </w:pPr>
            <w:r w:rsidRPr="00C07BB7">
              <w:rPr>
                <w:rFonts w:cs="Arial"/>
                <w:bCs/>
                <w:color w:val="000000" w:themeColor="text1"/>
                <w:sz w:val="21"/>
              </w:rPr>
              <w:t>CVD</w:t>
            </w:r>
          </w:p>
        </w:tc>
        <w:tc>
          <w:tcPr>
            <w:tcW w:w="6930" w:type="dxa"/>
          </w:tcPr>
          <w:p w14:paraId="1027DC0F" w14:textId="77777777" w:rsidR="00416C8C" w:rsidRPr="00C07BB7" w:rsidRDefault="00416C8C" w:rsidP="00D42CA5">
            <w:pPr>
              <w:rPr>
                <w:rFonts w:cs="Arial"/>
                <w:color w:val="000000" w:themeColor="text1"/>
              </w:rPr>
            </w:pPr>
            <w:r w:rsidRPr="00C07BB7">
              <w:rPr>
                <w:rFonts w:cs="Arial"/>
                <w:color w:val="000000" w:themeColor="text1"/>
                <w:sz w:val="21"/>
              </w:rPr>
              <w:t>Cardiovascular disease</w:t>
            </w:r>
          </w:p>
        </w:tc>
      </w:tr>
      <w:tr w:rsidR="00416C8C" w:rsidRPr="00C07BB7" w14:paraId="3C16DF80" w14:textId="77777777" w:rsidTr="00B433F6">
        <w:tc>
          <w:tcPr>
            <w:tcW w:w="1728" w:type="dxa"/>
          </w:tcPr>
          <w:p w14:paraId="6AFC7C57" w14:textId="77777777" w:rsidR="00416C8C" w:rsidRPr="00C07BB7" w:rsidRDefault="00416C8C" w:rsidP="00D42CA5">
            <w:pPr>
              <w:rPr>
                <w:rFonts w:cs="Arial"/>
                <w:bCs/>
                <w:color w:val="000000" w:themeColor="text1"/>
              </w:rPr>
            </w:pPr>
            <w:r w:rsidRPr="00C07BB7">
              <w:rPr>
                <w:rFonts w:cs="Arial"/>
                <w:bCs/>
                <w:color w:val="000000" w:themeColor="text1"/>
                <w:sz w:val="21"/>
              </w:rPr>
              <w:t>DKD</w:t>
            </w:r>
          </w:p>
        </w:tc>
        <w:tc>
          <w:tcPr>
            <w:tcW w:w="6930" w:type="dxa"/>
          </w:tcPr>
          <w:p w14:paraId="733B1162" w14:textId="77777777" w:rsidR="00416C8C" w:rsidRPr="00C07BB7" w:rsidRDefault="00416C8C" w:rsidP="00D42CA5">
            <w:pPr>
              <w:rPr>
                <w:rFonts w:cs="Arial"/>
                <w:color w:val="000000" w:themeColor="text1"/>
              </w:rPr>
            </w:pPr>
            <w:r w:rsidRPr="00C07BB7">
              <w:rPr>
                <w:rFonts w:cs="Arial"/>
                <w:color w:val="000000" w:themeColor="text1"/>
                <w:sz w:val="21"/>
              </w:rPr>
              <w:t>Diabetic kidney disease</w:t>
            </w:r>
          </w:p>
        </w:tc>
      </w:tr>
      <w:tr w:rsidR="00416C8C" w:rsidRPr="00C07BB7" w14:paraId="69EC2CD0" w14:textId="77777777" w:rsidTr="00B433F6">
        <w:tc>
          <w:tcPr>
            <w:tcW w:w="1728" w:type="dxa"/>
          </w:tcPr>
          <w:p w14:paraId="548917ED" w14:textId="77777777" w:rsidR="00416C8C" w:rsidRPr="00C07BB7" w:rsidRDefault="00416C8C" w:rsidP="00D42CA5">
            <w:pPr>
              <w:rPr>
                <w:rFonts w:cs="Arial"/>
                <w:bCs/>
                <w:color w:val="000000" w:themeColor="text1"/>
              </w:rPr>
            </w:pPr>
            <w:r w:rsidRPr="00C07BB7">
              <w:rPr>
                <w:rFonts w:cs="Arial"/>
                <w:bCs/>
                <w:color w:val="000000" w:themeColor="text1"/>
                <w:sz w:val="21"/>
              </w:rPr>
              <w:t>eGFR</w:t>
            </w:r>
          </w:p>
        </w:tc>
        <w:tc>
          <w:tcPr>
            <w:tcW w:w="6930" w:type="dxa"/>
          </w:tcPr>
          <w:p w14:paraId="2A67C48D" w14:textId="77777777" w:rsidR="00416C8C" w:rsidRPr="00C07BB7" w:rsidRDefault="00416C8C" w:rsidP="00D42CA5">
            <w:pPr>
              <w:rPr>
                <w:rFonts w:cs="Arial"/>
                <w:color w:val="000000" w:themeColor="text1"/>
              </w:rPr>
            </w:pPr>
            <w:r w:rsidRPr="00C07BB7">
              <w:rPr>
                <w:rFonts w:cs="Arial"/>
                <w:color w:val="000000" w:themeColor="text1"/>
                <w:sz w:val="21"/>
              </w:rPr>
              <w:t>Estimated glomerular filtration rate</w:t>
            </w:r>
          </w:p>
        </w:tc>
      </w:tr>
      <w:tr w:rsidR="00416C8C" w:rsidRPr="00C07BB7" w14:paraId="13CD40D5" w14:textId="77777777" w:rsidTr="00B433F6">
        <w:tc>
          <w:tcPr>
            <w:tcW w:w="1728" w:type="dxa"/>
          </w:tcPr>
          <w:p w14:paraId="24800E5E" w14:textId="77777777" w:rsidR="00416C8C" w:rsidRPr="00C07BB7" w:rsidRDefault="00416C8C" w:rsidP="00D42CA5">
            <w:pPr>
              <w:rPr>
                <w:rFonts w:cs="Arial"/>
                <w:bCs/>
                <w:color w:val="000000" w:themeColor="text1"/>
              </w:rPr>
            </w:pPr>
            <w:r w:rsidRPr="00C07BB7">
              <w:rPr>
                <w:rFonts w:cs="Arial"/>
                <w:bCs/>
                <w:color w:val="000000" w:themeColor="text1"/>
                <w:sz w:val="21"/>
              </w:rPr>
              <w:t>EHR</w:t>
            </w:r>
          </w:p>
        </w:tc>
        <w:tc>
          <w:tcPr>
            <w:tcW w:w="6930" w:type="dxa"/>
          </w:tcPr>
          <w:p w14:paraId="5FB3E7B7" w14:textId="77777777" w:rsidR="00416C8C" w:rsidRPr="00C07BB7" w:rsidRDefault="00416C8C" w:rsidP="00D42CA5">
            <w:pPr>
              <w:rPr>
                <w:rFonts w:cs="Arial"/>
                <w:color w:val="000000" w:themeColor="text1"/>
              </w:rPr>
            </w:pPr>
            <w:r w:rsidRPr="00C07BB7">
              <w:rPr>
                <w:rFonts w:cs="Arial"/>
                <w:color w:val="000000" w:themeColor="text1"/>
                <w:sz w:val="21"/>
              </w:rPr>
              <w:t>Electronic health record</w:t>
            </w:r>
          </w:p>
        </w:tc>
      </w:tr>
      <w:tr w:rsidR="00416C8C" w:rsidRPr="00C07BB7" w14:paraId="31021C2D" w14:textId="77777777" w:rsidTr="00B433F6">
        <w:tc>
          <w:tcPr>
            <w:tcW w:w="1728" w:type="dxa"/>
          </w:tcPr>
          <w:p w14:paraId="443CEDB1" w14:textId="77777777" w:rsidR="00416C8C" w:rsidRPr="00C07BB7" w:rsidRDefault="00416C8C" w:rsidP="00D42CA5">
            <w:pPr>
              <w:rPr>
                <w:rFonts w:cs="Arial"/>
                <w:bCs/>
                <w:color w:val="000000" w:themeColor="text1"/>
              </w:rPr>
            </w:pPr>
            <w:r w:rsidRPr="00C07BB7">
              <w:rPr>
                <w:rFonts w:cs="Arial"/>
                <w:bCs/>
                <w:color w:val="000000" w:themeColor="text1"/>
                <w:sz w:val="21"/>
              </w:rPr>
              <w:t>GFR</w:t>
            </w:r>
          </w:p>
        </w:tc>
        <w:tc>
          <w:tcPr>
            <w:tcW w:w="6930" w:type="dxa"/>
          </w:tcPr>
          <w:p w14:paraId="70776F9F" w14:textId="77777777" w:rsidR="00416C8C" w:rsidRPr="00C07BB7" w:rsidRDefault="00416C8C" w:rsidP="00D42CA5">
            <w:pPr>
              <w:rPr>
                <w:rFonts w:cs="Arial"/>
                <w:color w:val="000000" w:themeColor="text1"/>
              </w:rPr>
            </w:pPr>
            <w:r w:rsidRPr="00C07BB7">
              <w:rPr>
                <w:rFonts w:cs="Arial"/>
                <w:color w:val="000000" w:themeColor="text1"/>
                <w:sz w:val="21"/>
              </w:rPr>
              <w:t>Glomerular filtration rate</w:t>
            </w:r>
          </w:p>
        </w:tc>
      </w:tr>
      <w:tr w:rsidR="00416C8C" w:rsidRPr="00C07BB7" w14:paraId="3E97431E" w14:textId="77777777" w:rsidTr="00B433F6">
        <w:tc>
          <w:tcPr>
            <w:tcW w:w="1728" w:type="dxa"/>
          </w:tcPr>
          <w:p w14:paraId="38FFB61A" w14:textId="77777777" w:rsidR="00416C8C" w:rsidRPr="00C07BB7" w:rsidRDefault="00416C8C" w:rsidP="00D42CA5">
            <w:pPr>
              <w:rPr>
                <w:rFonts w:cs="Arial"/>
                <w:bCs/>
                <w:color w:val="000000" w:themeColor="text1"/>
              </w:rPr>
            </w:pPr>
            <w:r w:rsidRPr="00C07BB7">
              <w:rPr>
                <w:rFonts w:cs="Arial"/>
                <w:bCs/>
                <w:color w:val="000000" w:themeColor="text1"/>
                <w:sz w:val="21"/>
              </w:rPr>
              <w:t>GP</w:t>
            </w:r>
          </w:p>
        </w:tc>
        <w:tc>
          <w:tcPr>
            <w:tcW w:w="6930" w:type="dxa"/>
          </w:tcPr>
          <w:p w14:paraId="44F9CF6C" w14:textId="77777777" w:rsidR="00416C8C" w:rsidRPr="00C07BB7" w:rsidRDefault="00416C8C" w:rsidP="00D42CA5">
            <w:pPr>
              <w:rPr>
                <w:rFonts w:cs="Arial"/>
                <w:color w:val="000000" w:themeColor="text1"/>
              </w:rPr>
            </w:pPr>
            <w:r w:rsidRPr="00C07BB7">
              <w:rPr>
                <w:rFonts w:cs="Arial"/>
                <w:color w:val="000000" w:themeColor="text1"/>
                <w:sz w:val="21"/>
              </w:rPr>
              <w:t>General practitioner</w:t>
            </w:r>
          </w:p>
        </w:tc>
      </w:tr>
      <w:tr w:rsidR="00416C8C" w:rsidRPr="00C07BB7" w14:paraId="53BEB308" w14:textId="77777777" w:rsidTr="00B433F6">
        <w:tc>
          <w:tcPr>
            <w:tcW w:w="1728" w:type="dxa"/>
          </w:tcPr>
          <w:p w14:paraId="4BF6AA6B" w14:textId="77777777" w:rsidR="00416C8C" w:rsidRPr="00C07BB7" w:rsidRDefault="00416C8C" w:rsidP="00D42CA5">
            <w:pPr>
              <w:rPr>
                <w:rFonts w:cs="Arial"/>
                <w:bCs/>
                <w:color w:val="000000" w:themeColor="text1"/>
              </w:rPr>
            </w:pPr>
            <w:r w:rsidRPr="00C07BB7">
              <w:rPr>
                <w:rFonts w:cs="Arial"/>
                <w:bCs/>
                <w:color w:val="000000" w:themeColor="text1"/>
                <w:sz w:val="21"/>
              </w:rPr>
              <w:t>HBM</w:t>
            </w:r>
          </w:p>
        </w:tc>
        <w:tc>
          <w:tcPr>
            <w:tcW w:w="6930" w:type="dxa"/>
          </w:tcPr>
          <w:p w14:paraId="50F4A083" w14:textId="77777777" w:rsidR="00416C8C" w:rsidRPr="00C07BB7" w:rsidRDefault="00416C8C" w:rsidP="00D42CA5">
            <w:pPr>
              <w:rPr>
                <w:rFonts w:cs="Arial"/>
                <w:color w:val="000000" w:themeColor="text1"/>
              </w:rPr>
            </w:pPr>
            <w:r w:rsidRPr="00C07BB7">
              <w:rPr>
                <w:rFonts w:cs="Arial"/>
                <w:color w:val="000000" w:themeColor="text1"/>
                <w:sz w:val="21"/>
              </w:rPr>
              <w:t>Health Belief Model</w:t>
            </w:r>
          </w:p>
        </w:tc>
      </w:tr>
      <w:tr w:rsidR="00416C8C" w:rsidRPr="00C07BB7" w14:paraId="34E4E49F" w14:textId="77777777" w:rsidTr="00B433F6">
        <w:tc>
          <w:tcPr>
            <w:tcW w:w="1728" w:type="dxa"/>
          </w:tcPr>
          <w:p w14:paraId="55E713E5" w14:textId="77777777" w:rsidR="00416C8C" w:rsidRPr="00C07BB7" w:rsidRDefault="00416C8C" w:rsidP="00D42CA5">
            <w:pPr>
              <w:rPr>
                <w:rFonts w:cs="Arial"/>
                <w:bCs/>
                <w:color w:val="000000" w:themeColor="text1"/>
              </w:rPr>
            </w:pPr>
            <w:r w:rsidRPr="00C07BB7">
              <w:rPr>
                <w:rFonts w:cs="Arial"/>
                <w:bCs/>
                <w:color w:val="000000" w:themeColor="text1"/>
                <w:sz w:val="21"/>
              </w:rPr>
              <w:t>ICS</w:t>
            </w:r>
          </w:p>
        </w:tc>
        <w:tc>
          <w:tcPr>
            <w:tcW w:w="6930" w:type="dxa"/>
          </w:tcPr>
          <w:p w14:paraId="1CF317CD" w14:textId="77777777" w:rsidR="00416C8C" w:rsidRPr="00C07BB7" w:rsidRDefault="00416C8C" w:rsidP="00D42CA5">
            <w:pPr>
              <w:rPr>
                <w:rFonts w:cs="Arial"/>
                <w:color w:val="000000" w:themeColor="text1"/>
              </w:rPr>
            </w:pPr>
            <w:r w:rsidRPr="00C07BB7">
              <w:rPr>
                <w:rFonts w:cs="Arial"/>
                <w:color w:val="000000" w:themeColor="text1"/>
                <w:sz w:val="21"/>
              </w:rPr>
              <w:t>Integrated Care System</w:t>
            </w:r>
          </w:p>
        </w:tc>
      </w:tr>
      <w:tr w:rsidR="00416C8C" w:rsidRPr="00C07BB7" w14:paraId="126806A5" w14:textId="77777777" w:rsidTr="00B433F6">
        <w:tc>
          <w:tcPr>
            <w:tcW w:w="1728" w:type="dxa"/>
          </w:tcPr>
          <w:p w14:paraId="4C2376BC" w14:textId="77777777" w:rsidR="00416C8C" w:rsidRPr="00C07BB7" w:rsidRDefault="00416C8C" w:rsidP="00D42CA5">
            <w:pPr>
              <w:rPr>
                <w:rFonts w:cs="Arial"/>
                <w:bCs/>
                <w:color w:val="000000" w:themeColor="text1"/>
              </w:rPr>
            </w:pPr>
            <w:r w:rsidRPr="00C07BB7">
              <w:rPr>
                <w:rFonts w:cs="Arial"/>
                <w:bCs/>
                <w:color w:val="000000" w:themeColor="text1"/>
                <w:sz w:val="21"/>
              </w:rPr>
              <w:t>KDIGO</w:t>
            </w:r>
          </w:p>
        </w:tc>
        <w:tc>
          <w:tcPr>
            <w:tcW w:w="6930" w:type="dxa"/>
          </w:tcPr>
          <w:p w14:paraId="078EF560" w14:textId="16E710E0" w:rsidR="00416C8C" w:rsidRPr="00C07BB7" w:rsidRDefault="00416C8C" w:rsidP="00D42CA5">
            <w:pPr>
              <w:rPr>
                <w:rFonts w:cs="Arial"/>
                <w:color w:val="000000" w:themeColor="text1"/>
              </w:rPr>
            </w:pPr>
            <w:r w:rsidRPr="00C07BB7">
              <w:rPr>
                <w:rFonts w:cs="Arial"/>
                <w:color w:val="000000" w:themeColor="text1"/>
                <w:sz w:val="21"/>
              </w:rPr>
              <w:t xml:space="preserve">Kidney </w:t>
            </w:r>
            <w:r w:rsidR="00CA753A" w:rsidRPr="00C07BB7">
              <w:rPr>
                <w:rFonts w:cs="Arial"/>
                <w:color w:val="000000" w:themeColor="text1"/>
                <w:sz w:val="21"/>
              </w:rPr>
              <w:t>Disease Improving</w:t>
            </w:r>
            <w:r w:rsidRPr="00C07BB7">
              <w:rPr>
                <w:rFonts w:cs="Arial"/>
                <w:color w:val="000000" w:themeColor="text1"/>
                <w:sz w:val="21"/>
              </w:rPr>
              <w:t xml:space="preserve"> Global Outcomes</w:t>
            </w:r>
          </w:p>
        </w:tc>
      </w:tr>
      <w:tr w:rsidR="00416C8C" w:rsidRPr="00C07BB7" w14:paraId="1C282325" w14:textId="77777777" w:rsidTr="00B433F6">
        <w:tc>
          <w:tcPr>
            <w:tcW w:w="1728" w:type="dxa"/>
          </w:tcPr>
          <w:p w14:paraId="3BD3A635" w14:textId="77777777" w:rsidR="00416C8C" w:rsidRPr="00C07BB7" w:rsidRDefault="00416C8C" w:rsidP="00D42CA5">
            <w:pPr>
              <w:rPr>
                <w:rFonts w:cs="Arial"/>
                <w:bCs/>
                <w:color w:val="000000" w:themeColor="text1"/>
              </w:rPr>
            </w:pPr>
            <w:r w:rsidRPr="00C07BB7">
              <w:rPr>
                <w:rFonts w:cs="Arial"/>
                <w:bCs/>
                <w:color w:val="000000" w:themeColor="text1"/>
                <w:sz w:val="21"/>
              </w:rPr>
              <w:t>KFRE</w:t>
            </w:r>
          </w:p>
        </w:tc>
        <w:tc>
          <w:tcPr>
            <w:tcW w:w="6930" w:type="dxa"/>
          </w:tcPr>
          <w:p w14:paraId="419C16EC" w14:textId="77777777" w:rsidR="00416C8C" w:rsidRPr="00C07BB7" w:rsidRDefault="00416C8C" w:rsidP="00D42CA5">
            <w:pPr>
              <w:rPr>
                <w:rFonts w:cs="Arial"/>
                <w:color w:val="000000" w:themeColor="text1"/>
              </w:rPr>
            </w:pPr>
            <w:r w:rsidRPr="00C07BB7">
              <w:rPr>
                <w:rFonts w:cs="Arial"/>
                <w:color w:val="000000" w:themeColor="text1"/>
                <w:sz w:val="21"/>
              </w:rPr>
              <w:t>Kidney Failure Risk Equation</w:t>
            </w:r>
          </w:p>
        </w:tc>
      </w:tr>
      <w:tr w:rsidR="00416C8C" w:rsidRPr="00C07BB7" w14:paraId="2DA50D98" w14:textId="77777777" w:rsidTr="00B433F6">
        <w:tc>
          <w:tcPr>
            <w:tcW w:w="1728" w:type="dxa"/>
          </w:tcPr>
          <w:p w14:paraId="4AD8F9E3" w14:textId="77777777" w:rsidR="00416C8C" w:rsidRPr="00C07BB7" w:rsidRDefault="00416C8C" w:rsidP="00D42CA5">
            <w:pPr>
              <w:rPr>
                <w:rFonts w:cs="Arial"/>
                <w:bCs/>
                <w:color w:val="000000" w:themeColor="text1"/>
              </w:rPr>
            </w:pPr>
            <w:r w:rsidRPr="00C07BB7">
              <w:rPr>
                <w:rFonts w:cs="Arial"/>
                <w:bCs/>
                <w:color w:val="000000" w:themeColor="text1"/>
                <w:sz w:val="21"/>
              </w:rPr>
              <w:t>KRT</w:t>
            </w:r>
          </w:p>
        </w:tc>
        <w:tc>
          <w:tcPr>
            <w:tcW w:w="6930" w:type="dxa"/>
          </w:tcPr>
          <w:p w14:paraId="00F76331" w14:textId="77777777" w:rsidR="00416C8C" w:rsidRPr="00C07BB7" w:rsidRDefault="00416C8C" w:rsidP="00D42CA5">
            <w:pPr>
              <w:rPr>
                <w:rFonts w:cs="Arial"/>
                <w:color w:val="000000" w:themeColor="text1"/>
              </w:rPr>
            </w:pPr>
            <w:r w:rsidRPr="00C07BB7">
              <w:rPr>
                <w:rFonts w:cs="Arial"/>
                <w:color w:val="000000" w:themeColor="text1"/>
                <w:sz w:val="21"/>
              </w:rPr>
              <w:t>Kidney replacement therapy</w:t>
            </w:r>
          </w:p>
        </w:tc>
      </w:tr>
      <w:tr w:rsidR="00416C8C" w:rsidRPr="00C07BB7" w14:paraId="4C6F49C1" w14:textId="77777777" w:rsidTr="00B433F6">
        <w:tc>
          <w:tcPr>
            <w:tcW w:w="1728" w:type="dxa"/>
          </w:tcPr>
          <w:p w14:paraId="30073BF0" w14:textId="77777777" w:rsidR="00416C8C" w:rsidRPr="00C07BB7" w:rsidRDefault="00416C8C" w:rsidP="00D42CA5">
            <w:pPr>
              <w:rPr>
                <w:rFonts w:cs="Arial"/>
                <w:bCs/>
                <w:color w:val="000000" w:themeColor="text1"/>
              </w:rPr>
            </w:pPr>
            <w:r w:rsidRPr="00C07BB7">
              <w:rPr>
                <w:rFonts w:cs="Arial"/>
                <w:bCs/>
                <w:color w:val="000000" w:themeColor="text1"/>
                <w:sz w:val="21"/>
              </w:rPr>
              <w:t>LDL</w:t>
            </w:r>
          </w:p>
        </w:tc>
        <w:tc>
          <w:tcPr>
            <w:tcW w:w="6930" w:type="dxa"/>
          </w:tcPr>
          <w:p w14:paraId="2093429D" w14:textId="77777777" w:rsidR="00416C8C" w:rsidRPr="00C07BB7" w:rsidRDefault="00416C8C" w:rsidP="00D42CA5">
            <w:pPr>
              <w:rPr>
                <w:rFonts w:cs="Arial"/>
                <w:color w:val="000000" w:themeColor="text1"/>
              </w:rPr>
            </w:pPr>
            <w:r w:rsidRPr="00C07BB7">
              <w:rPr>
                <w:rFonts w:cs="Arial"/>
                <w:color w:val="000000" w:themeColor="text1"/>
                <w:sz w:val="21"/>
              </w:rPr>
              <w:t>Low density lipoprotein</w:t>
            </w:r>
          </w:p>
        </w:tc>
      </w:tr>
      <w:tr w:rsidR="00416C8C" w:rsidRPr="00C07BB7" w14:paraId="0859FBB6" w14:textId="77777777" w:rsidTr="00B433F6">
        <w:tc>
          <w:tcPr>
            <w:tcW w:w="1728" w:type="dxa"/>
          </w:tcPr>
          <w:p w14:paraId="646D4299" w14:textId="77777777" w:rsidR="00416C8C" w:rsidRPr="00C07BB7" w:rsidRDefault="00416C8C" w:rsidP="00D42CA5">
            <w:pPr>
              <w:rPr>
                <w:rFonts w:cs="Arial"/>
                <w:bCs/>
                <w:color w:val="000000" w:themeColor="text1"/>
              </w:rPr>
            </w:pPr>
            <w:r w:rsidRPr="00C07BB7">
              <w:rPr>
                <w:rFonts w:cs="Arial"/>
                <w:bCs/>
                <w:color w:val="000000" w:themeColor="text1"/>
                <w:sz w:val="21"/>
              </w:rPr>
              <w:t>MDT</w:t>
            </w:r>
          </w:p>
        </w:tc>
        <w:tc>
          <w:tcPr>
            <w:tcW w:w="6930" w:type="dxa"/>
          </w:tcPr>
          <w:p w14:paraId="4EA0C2B2" w14:textId="77777777" w:rsidR="00416C8C" w:rsidRPr="00C07BB7" w:rsidRDefault="00416C8C" w:rsidP="00D42CA5">
            <w:pPr>
              <w:rPr>
                <w:rFonts w:cs="Arial"/>
                <w:color w:val="000000" w:themeColor="text1"/>
              </w:rPr>
            </w:pPr>
            <w:r w:rsidRPr="00C07BB7">
              <w:rPr>
                <w:rFonts w:cs="Arial"/>
                <w:color w:val="000000" w:themeColor="text1"/>
                <w:sz w:val="21"/>
              </w:rPr>
              <w:t>Multidisciplinary team</w:t>
            </w:r>
          </w:p>
        </w:tc>
      </w:tr>
      <w:tr w:rsidR="00416C8C" w:rsidRPr="00C07BB7" w14:paraId="7392F937" w14:textId="77777777" w:rsidTr="00B433F6">
        <w:tc>
          <w:tcPr>
            <w:tcW w:w="1728" w:type="dxa"/>
          </w:tcPr>
          <w:p w14:paraId="7F1A2ECF" w14:textId="77777777" w:rsidR="00416C8C" w:rsidRPr="00C07BB7" w:rsidRDefault="00416C8C" w:rsidP="00D42CA5">
            <w:pPr>
              <w:rPr>
                <w:rFonts w:cs="Arial"/>
                <w:bCs/>
                <w:color w:val="000000" w:themeColor="text1"/>
              </w:rPr>
            </w:pPr>
            <w:r w:rsidRPr="00C07BB7">
              <w:rPr>
                <w:rFonts w:cs="Arial"/>
                <w:bCs/>
                <w:color w:val="000000" w:themeColor="text1"/>
                <w:sz w:val="21"/>
              </w:rPr>
              <w:t>MEDLINE</w:t>
            </w:r>
          </w:p>
        </w:tc>
        <w:tc>
          <w:tcPr>
            <w:tcW w:w="6930" w:type="dxa"/>
          </w:tcPr>
          <w:p w14:paraId="2A82B628" w14:textId="77777777" w:rsidR="00416C8C" w:rsidRPr="00C07BB7" w:rsidRDefault="00416C8C" w:rsidP="00D42CA5">
            <w:pPr>
              <w:rPr>
                <w:rFonts w:cs="Arial"/>
                <w:color w:val="000000" w:themeColor="text1"/>
              </w:rPr>
            </w:pPr>
            <w:r w:rsidRPr="00C07BB7">
              <w:rPr>
                <w:rFonts w:cs="Arial"/>
                <w:color w:val="000000" w:themeColor="text1"/>
                <w:sz w:val="21"/>
              </w:rPr>
              <w:t>Medical Literature Analysis and Retrieval System Online</w:t>
            </w:r>
          </w:p>
        </w:tc>
      </w:tr>
      <w:tr w:rsidR="00416C8C" w:rsidRPr="00C07BB7" w14:paraId="6A272B29" w14:textId="77777777" w:rsidTr="00B433F6">
        <w:tc>
          <w:tcPr>
            <w:tcW w:w="1728" w:type="dxa"/>
          </w:tcPr>
          <w:p w14:paraId="686FA744" w14:textId="77777777" w:rsidR="00416C8C" w:rsidRPr="00C07BB7" w:rsidRDefault="00416C8C" w:rsidP="00D42CA5">
            <w:pPr>
              <w:rPr>
                <w:rFonts w:cs="Arial"/>
                <w:bCs/>
                <w:color w:val="000000" w:themeColor="text1"/>
              </w:rPr>
            </w:pPr>
            <w:r w:rsidRPr="00C07BB7">
              <w:rPr>
                <w:rFonts w:cs="Arial"/>
                <w:bCs/>
                <w:color w:val="000000" w:themeColor="text1"/>
                <w:sz w:val="21"/>
              </w:rPr>
              <w:t>MeSH</w:t>
            </w:r>
          </w:p>
        </w:tc>
        <w:tc>
          <w:tcPr>
            <w:tcW w:w="6930" w:type="dxa"/>
          </w:tcPr>
          <w:p w14:paraId="1E70D850" w14:textId="77777777" w:rsidR="00416C8C" w:rsidRPr="00C07BB7" w:rsidRDefault="00416C8C" w:rsidP="00D42CA5">
            <w:pPr>
              <w:rPr>
                <w:rFonts w:cs="Arial"/>
                <w:color w:val="000000" w:themeColor="text1"/>
              </w:rPr>
            </w:pPr>
            <w:r w:rsidRPr="00C07BB7">
              <w:rPr>
                <w:rFonts w:cs="Arial"/>
                <w:color w:val="000000" w:themeColor="text1"/>
                <w:sz w:val="21"/>
              </w:rPr>
              <w:t>Medical Subject Headings</w:t>
            </w:r>
          </w:p>
        </w:tc>
      </w:tr>
      <w:tr w:rsidR="00416C8C" w:rsidRPr="00C07BB7" w14:paraId="55C9CD64" w14:textId="77777777" w:rsidTr="00B433F6">
        <w:tc>
          <w:tcPr>
            <w:tcW w:w="1728" w:type="dxa"/>
          </w:tcPr>
          <w:p w14:paraId="7BAFA346" w14:textId="77777777" w:rsidR="00416C8C" w:rsidRPr="00C07BB7" w:rsidRDefault="00416C8C" w:rsidP="00D42CA5">
            <w:pPr>
              <w:rPr>
                <w:rFonts w:cs="Arial"/>
                <w:bCs/>
                <w:color w:val="000000" w:themeColor="text1"/>
              </w:rPr>
            </w:pPr>
            <w:r w:rsidRPr="00C07BB7">
              <w:rPr>
                <w:rFonts w:cs="Arial"/>
                <w:bCs/>
                <w:color w:val="000000" w:themeColor="text1"/>
                <w:sz w:val="21"/>
              </w:rPr>
              <w:t>NHS</w:t>
            </w:r>
          </w:p>
        </w:tc>
        <w:tc>
          <w:tcPr>
            <w:tcW w:w="6930" w:type="dxa"/>
          </w:tcPr>
          <w:p w14:paraId="1C17BD67" w14:textId="77777777" w:rsidR="00416C8C" w:rsidRPr="00C07BB7" w:rsidRDefault="00416C8C" w:rsidP="00D42CA5">
            <w:pPr>
              <w:rPr>
                <w:rFonts w:cs="Arial"/>
                <w:color w:val="000000" w:themeColor="text1"/>
              </w:rPr>
            </w:pPr>
            <w:r w:rsidRPr="00C07BB7">
              <w:rPr>
                <w:rFonts w:cs="Arial"/>
                <w:color w:val="000000" w:themeColor="text1"/>
                <w:sz w:val="21"/>
              </w:rPr>
              <w:t>National Health Service</w:t>
            </w:r>
          </w:p>
        </w:tc>
      </w:tr>
      <w:tr w:rsidR="00416C8C" w:rsidRPr="00C07BB7" w14:paraId="361E6321" w14:textId="77777777" w:rsidTr="00B433F6">
        <w:tc>
          <w:tcPr>
            <w:tcW w:w="1728" w:type="dxa"/>
          </w:tcPr>
          <w:p w14:paraId="39D95F47" w14:textId="77777777" w:rsidR="00416C8C" w:rsidRPr="00C07BB7" w:rsidRDefault="00416C8C" w:rsidP="00D42CA5">
            <w:pPr>
              <w:rPr>
                <w:rFonts w:cs="Arial"/>
                <w:bCs/>
                <w:color w:val="000000" w:themeColor="text1"/>
              </w:rPr>
            </w:pPr>
            <w:r w:rsidRPr="00C07BB7">
              <w:rPr>
                <w:rFonts w:cs="Arial"/>
                <w:bCs/>
                <w:color w:val="000000" w:themeColor="text1"/>
                <w:sz w:val="21"/>
              </w:rPr>
              <w:t>NICE</w:t>
            </w:r>
          </w:p>
        </w:tc>
        <w:tc>
          <w:tcPr>
            <w:tcW w:w="6930" w:type="dxa"/>
          </w:tcPr>
          <w:p w14:paraId="6328FA7C" w14:textId="77777777" w:rsidR="00416C8C" w:rsidRPr="00C07BB7" w:rsidRDefault="00416C8C" w:rsidP="00D42CA5">
            <w:pPr>
              <w:rPr>
                <w:rFonts w:cs="Arial"/>
                <w:color w:val="000000" w:themeColor="text1"/>
              </w:rPr>
            </w:pPr>
            <w:r w:rsidRPr="00C07BB7">
              <w:rPr>
                <w:rFonts w:cs="Arial"/>
                <w:color w:val="000000" w:themeColor="text1"/>
                <w:sz w:val="21"/>
              </w:rPr>
              <w:t>National Institute for Health and Care Excellence</w:t>
            </w:r>
          </w:p>
        </w:tc>
      </w:tr>
      <w:tr w:rsidR="00416C8C" w:rsidRPr="00C07BB7" w14:paraId="09CA04B4" w14:textId="77777777" w:rsidTr="00B433F6">
        <w:tc>
          <w:tcPr>
            <w:tcW w:w="1728" w:type="dxa"/>
          </w:tcPr>
          <w:p w14:paraId="46CDBB09" w14:textId="77777777" w:rsidR="00416C8C" w:rsidRPr="00C07BB7" w:rsidRDefault="00416C8C" w:rsidP="00D42CA5">
            <w:pPr>
              <w:rPr>
                <w:rFonts w:cs="Arial"/>
                <w:bCs/>
                <w:color w:val="000000" w:themeColor="text1"/>
              </w:rPr>
            </w:pPr>
            <w:r w:rsidRPr="00C07BB7">
              <w:rPr>
                <w:rFonts w:cs="Arial"/>
                <w:bCs/>
                <w:color w:val="000000" w:themeColor="text1"/>
                <w:sz w:val="21"/>
              </w:rPr>
              <w:t>NO2</w:t>
            </w:r>
          </w:p>
        </w:tc>
        <w:tc>
          <w:tcPr>
            <w:tcW w:w="6930" w:type="dxa"/>
          </w:tcPr>
          <w:p w14:paraId="5D8D1E23" w14:textId="77777777" w:rsidR="00416C8C" w:rsidRPr="00C07BB7" w:rsidRDefault="00416C8C" w:rsidP="00D42CA5">
            <w:pPr>
              <w:rPr>
                <w:rFonts w:cs="Arial"/>
                <w:color w:val="000000" w:themeColor="text1"/>
              </w:rPr>
            </w:pPr>
            <w:r w:rsidRPr="00C07BB7">
              <w:rPr>
                <w:rFonts w:cs="Arial"/>
                <w:color w:val="000000" w:themeColor="text1"/>
                <w:sz w:val="21"/>
              </w:rPr>
              <w:t>Nitrogen dioxide</w:t>
            </w:r>
          </w:p>
        </w:tc>
      </w:tr>
      <w:tr w:rsidR="00416C8C" w:rsidRPr="00C07BB7" w14:paraId="5B79D500" w14:textId="77777777" w:rsidTr="00B433F6">
        <w:tc>
          <w:tcPr>
            <w:tcW w:w="1728" w:type="dxa"/>
          </w:tcPr>
          <w:p w14:paraId="262314A8" w14:textId="77777777" w:rsidR="00416C8C" w:rsidRPr="00C07BB7" w:rsidRDefault="00416C8C" w:rsidP="00D42CA5">
            <w:pPr>
              <w:rPr>
                <w:rFonts w:cs="Arial"/>
                <w:bCs/>
                <w:color w:val="000000" w:themeColor="text1"/>
              </w:rPr>
            </w:pPr>
            <w:r w:rsidRPr="00C07BB7">
              <w:rPr>
                <w:rFonts w:cs="Arial"/>
                <w:bCs/>
                <w:color w:val="000000" w:themeColor="text1"/>
                <w:sz w:val="21"/>
              </w:rPr>
              <w:t>NOx</w:t>
            </w:r>
          </w:p>
        </w:tc>
        <w:tc>
          <w:tcPr>
            <w:tcW w:w="6930" w:type="dxa"/>
          </w:tcPr>
          <w:p w14:paraId="2ADC2B67" w14:textId="77777777" w:rsidR="00416C8C" w:rsidRPr="00C07BB7" w:rsidRDefault="00416C8C" w:rsidP="00D42CA5">
            <w:pPr>
              <w:rPr>
                <w:rFonts w:cs="Arial"/>
                <w:color w:val="000000" w:themeColor="text1"/>
              </w:rPr>
            </w:pPr>
            <w:r w:rsidRPr="00C07BB7">
              <w:rPr>
                <w:rFonts w:cs="Arial"/>
                <w:color w:val="000000" w:themeColor="text1"/>
                <w:sz w:val="21"/>
              </w:rPr>
              <w:t>Nitrogen oxides</w:t>
            </w:r>
          </w:p>
        </w:tc>
      </w:tr>
      <w:tr w:rsidR="00416C8C" w:rsidRPr="00C07BB7" w14:paraId="13CBD0C8" w14:textId="77777777" w:rsidTr="00B433F6">
        <w:tc>
          <w:tcPr>
            <w:tcW w:w="1728" w:type="dxa"/>
          </w:tcPr>
          <w:p w14:paraId="6BED3EE2" w14:textId="77777777" w:rsidR="00416C8C" w:rsidRPr="00C07BB7" w:rsidRDefault="00416C8C" w:rsidP="00D42CA5">
            <w:pPr>
              <w:rPr>
                <w:rFonts w:cs="Arial"/>
                <w:bCs/>
                <w:color w:val="000000" w:themeColor="text1"/>
              </w:rPr>
            </w:pPr>
            <w:r w:rsidRPr="00C07BB7">
              <w:rPr>
                <w:rFonts w:cs="Arial"/>
                <w:bCs/>
                <w:color w:val="000000" w:themeColor="text1"/>
                <w:sz w:val="21"/>
              </w:rPr>
              <w:t>PICO</w:t>
            </w:r>
          </w:p>
        </w:tc>
        <w:tc>
          <w:tcPr>
            <w:tcW w:w="6930" w:type="dxa"/>
          </w:tcPr>
          <w:p w14:paraId="079254CC" w14:textId="1DA4A193" w:rsidR="00416C8C" w:rsidRPr="00C07BB7" w:rsidRDefault="00CA753A" w:rsidP="00D42CA5">
            <w:pPr>
              <w:rPr>
                <w:rFonts w:cs="Arial"/>
                <w:color w:val="000000" w:themeColor="text1"/>
              </w:rPr>
            </w:pPr>
            <w:r w:rsidRPr="00C07BB7">
              <w:rPr>
                <w:rFonts w:cs="Arial"/>
                <w:color w:val="000000" w:themeColor="text1"/>
                <w:sz w:val="21"/>
              </w:rPr>
              <w:t>Population Intervention</w:t>
            </w:r>
            <w:r w:rsidR="00416C8C" w:rsidRPr="00C07BB7">
              <w:rPr>
                <w:rFonts w:cs="Arial"/>
                <w:color w:val="000000" w:themeColor="text1"/>
                <w:sz w:val="21"/>
              </w:rPr>
              <w:t xml:space="preserve"> or </w:t>
            </w:r>
            <w:r w:rsidRPr="00C07BB7">
              <w:rPr>
                <w:rFonts w:cs="Arial"/>
                <w:color w:val="000000" w:themeColor="text1"/>
                <w:sz w:val="21"/>
              </w:rPr>
              <w:t>Exposure Comparison Outcome</w:t>
            </w:r>
          </w:p>
        </w:tc>
      </w:tr>
      <w:tr w:rsidR="00416C8C" w:rsidRPr="00C07BB7" w14:paraId="59E56EFF" w14:textId="77777777" w:rsidTr="00B433F6">
        <w:tc>
          <w:tcPr>
            <w:tcW w:w="1728" w:type="dxa"/>
          </w:tcPr>
          <w:p w14:paraId="0D1544C1" w14:textId="77777777" w:rsidR="00416C8C" w:rsidRPr="00C07BB7" w:rsidRDefault="00416C8C" w:rsidP="00D42CA5">
            <w:pPr>
              <w:rPr>
                <w:rFonts w:cs="Arial"/>
                <w:bCs/>
                <w:color w:val="000000" w:themeColor="text1"/>
              </w:rPr>
            </w:pPr>
            <w:r w:rsidRPr="00C07BB7">
              <w:rPr>
                <w:rFonts w:cs="Arial"/>
                <w:bCs/>
                <w:color w:val="000000" w:themeColor="text1"/>
                <w:sz w:val="21"/>
              </w:rPr>
              <w:t>PM2.5</w:t>
            </w:r>
          </w:p>
        </w:tc>
        <w:tc>
          <w:tcPr>
            <w:tcW w:w="6930" w:type="dxa"/>
          </w:tcPr>
          <w:p w14:paraId="03FB4728" w14:textId="77777777" w:rsidR="00416C8C" w:rsidRPr="00C07BB7" w:rsidRDefault="00416C8C" w:rsidP="00D42CA5">
            <w:pPr>
              <w:rPr>
                <w:rFonts w:cs="Arial"/>
                <w:color w:val="000000" w:themeColor="text1"/>
              </w:rPr>
            </w:pPr>
            <w:r w:rsidRPr="00C07BB7">
              <w:rPr>
                <w:rFonts w:cs="Arial"/>
                <w:color w:val="000000" w:themeColor="text1"/>
                <w:sz w:val="21"/>
              </w:rPr>
              <w:t>Particulate matter with a diameter of 2.5 micrometres or less</w:t>
            </w:r>
          </w:p>
        </w:tc>
      </w:tr>
      <w:tr w:rsidR="00416C8C" w:rsidRPr="00C07BB7" w14:paraId="1939A6B9" w14:textId="77777777" w:rsidTr="00B433F6">
        <w:tc>
          <w:tcPr>
            <w:tcW w:w="1728" w:type="dxa"/>
          </w:tcPr>
          <w:p w14:paraId="51DFFF95" w14:textId="77777777" w:rsidR="00416C8C" w:rsidRPr="00C07BB7" w:rsidRDefault="00416C8C" w:rsidP="00D42CA5">
            <w:pPr>
              <w:rPr>
                <w:rFonts w:cs="Arial"/>
                <w:bCs/>
                <w:color w:val="000000" w:themeColor="text1"/>
              </w:rPr>
            </w:pPr>
            <w:r w:rsidRPr="00C07BB7">
              <w:rPr>
                <w:rFonts w:cs="Arial"/>
                <w:bCs/>
                <w:color w:val="000000" w:themeColor="text1"/>
                <w:sz w:val="21"/>
              </w:rPr>
              <w:t>PM10</w:t>
            </w:r>
          </w:p>
        </w:tc>
        <w:tc>
          <w:tcPr>
            <w:tcW w:w="6930" w:type="dxa"/>
          </w:tcPr>
          <w:p w14:paraId="195CD3E5" w14:textId="77777777" w:rsidR="00416C8C" w:rsidRPr="00C07BB7" w:rsidRDefault="00416C8C" w:rsidP="00D42CA5">
            <w:pPr>
              <w:rPr>
                <w:rFonts w:cs="Arial"/>
                <w:color w:val="000000" w:themeColor="text1"/>
              </w:rPr>
            </w:pPr>
            <w:r w:rsidRPr="00C07BB7">
              <w:rPr>
                <w:rFonts w:cs="Arial"/>
                <w:color w:val="000000" w:themeColor="text1"/>
                <w:sz w:val="21"/>
              </w:rPr>
              <w:t>Particulate matter with a diameter of 10 micrometres or less</w:t>
            </w:r>
          </w:p>
        </w:tc>
      </w:tr>
      <w:tr w:rsidR="00416C8C" w:rsidRPr="00C07BB7" w14:paraId="0AAF8090" w14:textId="77777777" w:rsidTr="00B433F6">
        <w:tc>
          <w:tcPr>
            <w:tcW w:w="1728" w:type="dxa"/>
          </w:tcPr>
          <w:p w14:paraId="53BDD954" w14:textId="77777777" w:rsidR="00416C8C" w:rsidRPr="00C07BB7" w:rsidRDefault="00416C8C" w:rsidP="00D42CA5">
            <w:pPr>
              <w:rPr>
                <w:rFonts w:cs="Arial"/>
                <w:bCs/>
                <w:color w:val="000000" w:themeColor="text1"/>
              </w:rPr>
            </w:pPr>
            <w:r w:rsidRPr="00C07BB7">
              <w:rPr>
                <w:rFonts w:cs="Arial"/>
                <w:bCs/>
                <w:color w:val="000000" w:themeColor="text1"/>
                <w:sz w:val="21"/>
              </w:rPr>
              <w:t>PRISMA</w:t>
            </w:r>
          </w:p>
        </w:tc>
        <w:tc>
          <w:tcPr>
            <w:tcW w:w="6930" w:type="dxa"/>
          </w:tcPr>
          <w:p w14:paraId="3547485A" w14:textId="77777777" w:rsidR="00416C8C" w:rsidRPr="00C07BB7" w:rsidRDefault="00416C8C" w:rsidP="00D42CA5">
            <w:pPr>
              <w:rPr>
                <w:rFonts w:cs="Arial"/>
                <w:color w:val="000000" w:themeColor="text1"/>
              </w:rPr>
            </w:pPr>
            <w:r w:rsidRPr="00C07BB7">
              <w:rPr>
                <w:rFonts w:cs="Arial"/>
                <w:color w:val="000000" w:themeColor="text1"/>
                <w:sz w:val="21"/>
              </w:rPr>
              <w:t>Preferred Reporting Items for Systematic Reviews and Meta Analyses</w:t>
            </w:r>
          </w:p>
        </w:tc>
      </w:tr>
      <w:tr w:rsidR="00416C8C" w:rsidRPr="00C07BB7" w14:paraId="366D31C0" w14:textId="77777777" w:rsidTr="00B433F6">
        <w:tc>
          <w:tcPr>
            <w:tcW w:w="1728" w:type="dxa"/>
          </w:tcPr>
          <w:p w14:paraId="09E3BBF4" w14:textId="77777777" w:rsidR="00416C8C" w:rsidRPr="00C07BB7" w:rsidRDefault="00416C8C" w:rsidP="00D42CA5">
            <w:pPr>
              <w:rPr>
                <w:rFonts w:cs="Arial"/>
                <w:bCs/>
                <w:color w:val="000000" w:themeColor="text1"/>
              </w:rPr>
            </w:pPr>
            <w:r w:rsidRPr="00C07BB7">
              <w:rPr>
                <w:rFonts w:cs="Arial"/>
                <w:bCs/>
                <w:color w:val="000000" w:themeColor="text1"/>
                <w:sz w:val="21"/>
              </w:rPr>
              <w:t>RCT</w:t>
            </w:r>
          </w:p>
        </w:tc>
        <w:tc>
          <w:tcPr>
            <w:tcW w:w="6930" w:type="dxa"/>
          </w:tcPr>
          <w:p w14:paraId="00AE367E" w14:textId="77777777" w:rsidR="00416C8C" w:rsidRPr="00C07BB7" w:rsidRDefault="00416C8C" w:rsidP="00D42CA5">
            <w:pPr>
              <w:rPr>
                <w:rFonts w:cs="Arial"/>
                <w:color w:val="000000" w:themeColor="text1"/>
              </w:rPr>
            </w:pPr>
            <w:r w:rsidRPr="00C07BB7">
              <w:rPr>
                <w:rFonts w:cs="Arial"/>
                <w:color w:val="000000" w:themeColor="text1"/>
                <w:sz w:val="21"/>
              </w:rPr>
              <w:t>Randomised controlled trial</w:t>
            </w:r>
          </w:p>
        </w:tc>
      </w:tr>
      <w:tr w:rsidR="00416C8C" w:rsidRPr="00C07BB7" w14:paraId="33DAC402" w14:textId="77777777" w:rsidTr="00B433F6">
        <w:tc>
          <w:tcPr>
            <w:tcW w:w="1728" w:type="dxa"/>
          </w:tcPr>
          <w:p w14:paraId="161A7283" w14:textId="77777777" w:rsidR="00416C8C" w:rsidRPr="00C07BB7" w:rsidRDefault="00416C8C" w:rsidP="00D42CA5">
            <w:pPr>
              <w:rPr>
                <w:rFonts w:cs="Arial"/>
                <w:bCs/>
                <w:color w:val="000000" w:themeColor="text1"/>
              </w:rPr>
            </w:pPr>
            <w:r w:rsidRPr="00C07BB7">
              <w:rPr>
                <w:rFonts w:cs="Arial"/>
                <w:bCs/>
                <w:color w:val="000000" w:themeColor="text1"/>
                <w:sz w:val="21"/>
              </w:rPr>
              <w:t>SAIL</w:t>
            </w:r>
          </w:p>
        </w:tc>
        <w:tc>
          <w:tcPr>
            <w:tcW w:w="6930" w:type="dxa"/>
          </w:tcPr>
          <w:p w14:paraId="0FA7CFC7" w14:textId="77777777" w:rsidR="00416C8C" w:rsidRPr="00C07BB7" w:rsidRDefault="00416C8C" w:rsidP="00D42CA5">
            <w:pPr>
              <w:rPr>
                <w:rFonts w:cs="Arial"/>
                <w:color w:val="000000" w:themeColor="text1"/>
              </w:rPr>
            </w:pPr>
            <w:r w:rsidRPr="00C07BB7">
              <w:rPr>
                <w:rFonts w:cs="Arial"/>
                <w:color w:val="000000" w:themeColor="text1"/>
                <w:sz w:val="21"/>
              </w:rPr>
              <w:t>Secure Anonymised Information Linkage</w:t>
            </w:r>
          </w:p>
        </w:tc>
      </w:tr>
      <w:tr w:rsidR="00416C8C" w:rsidRPr="00C07BB7" w14:paraId="2EE2BDDD" w14:textId="77777777" w:rsidTr="00B433F6">
        <w:tc>
          <w:tcPr>
            <w:tcW w:w="1728" w:type="dxa"/>
          </w:tcPr>
          <w:p w14:paraId="6A9E5BD6" w14:textId="77777777" w:rsidR="00416C8C" w:rsidRPr="00C07BB7" w:rsidRDefault="00416C8C" w:rsidP="00D42CA5">
            <w:pPr>
              <w:rPr>
                <w:rFonts w:cs="Arial"/>
                <w:bCs/>
                <w:color w:val="000000" w:themeColor="text1"/>
              </w:rPr>
            </w:pPr>
            <w:r w:rsidRPr="00C07BB7">
              <w:rPr>
                <w:rFonts w:cs="Arial"/>
                <w:bCs/>
                <w:color w:val="000000" w:themeColor="text1"/>
                <w:sz w:val="21"/>
              </w:rPr>
              <w:t>SGLT2</w:t>
            </w:r>
          </w:p>
        </w:tc>
        <w:tc>
          <w:tcPr>
            <w:tcW w:w="6930" w:type="dxa"/>
          </w:tcPr>
          <w:p w14:paraId="58361C26" w14:textId="77777777" w:rsidR="00416C8C" w:rsidRPr="00C07BB7" w:rsidRDefault="00416C8C" w:rsidP="00D42CA5">
            <w:pPr>
              <w:rPr>
                <w:rFonts w:cs="Arial"/>
                <w:color w:val="000000" w:themeColor="text1"/>
              </w:rPr>
            </w:pPr>
            <w:r w:rsidRPr="00C07BB7">
              <w:rPr>
                <w:rFonts w:cs="Arial"/>
                <w:color w:val="000000" w:themeColor="text1"/>
                <w:sz w:val="21"/>
              </w:rPr>
              <w:t>Sodium glucose cotransporter 2</w:t>
            </w:r>
          </w:p>
        </w:tc>
      </w:tr>
      <w:tr w:rsidR="00416C8C" w:rsidRPr="00C07BB7" w14:paraId="0AD0BAA8" w14:textId="77777777" w:rsidTr="00B433F6">
        <w:tc>
          <w:tcPr>
            <w:tcW w:w="1728" w:type="dxa"/>
          </w:tcPr>
          <w:p w14:paraId="4B9A9BE1" w14:textId="77777777" w:rsidR="00416C8C" w:rsidRPr="00C07BB7" w:rsidRDefault="00416C8C" w:rsidP="00D42CA5">
            <w:pPr>
              <w:rPr>
                <w:rFonts w:cs="Arial"/>
                <w:bCs/>
                <w:color w:val="000000" w:themeColor="text1"/>
              </w:rPr>
            </w:pPr>
            <w:r w:rsidRPr="00C07BB7">
              <w:rPr>
                <w:rFonts w:cs="Arial"/>
                <w:bCs/>
                <w:color w:val="000000" w:themeColor="text1"/>
                <w:sz w:val="21"/>
              </w:rPr>
              <w:t>SLR</w:t>
            </w:r>
          </w:p>
        </w:tc>
        <w:tc>
          <w:tcPr>
            <w:tcW w:w="6930" w:type="dxa"/>
          </w:tcPr>
          <w:p w14:paraId="055AE35B" w14:textId="77777777" w:rsidR="00416C8C" w:rsidRPr="00C07BB7" w:rsidRDefault="00416C8C" w:rsidP="00D42CA5">
            <w:pPr>
              <w:rPr>
                <w:rFonts w:cs="Arial"/>
                <w:color w:val="000000" w:themeColor="text1"/>
              </w:rPr>
            </w:pPr>
            <w:r w:rsidRPr="00C07BB7">
              <w:rPr>
                <w:rFonts w:cs="Arial"/>
                <w:color w:val="000000" w:themeColor="text1"/>
                <w:sz w:val="21"/>
              </w:rPr>
              <w:t>Systematic literature review</w:t>
            </w:r>
          </w:p>
        </w:tc>
      </w:tr>
      <w:tr w:rsidR="00416C8C" w:rsidRPr="00C07BB7" w14:paraId="41A0542E" w14:textId="77777777" w:rsidTr="00B433F6">
        <w:tc>
          <w:tcPr>
            <w:tcW w:w="1728" w:type="dxa"/>
          </w:tcPr>
          <w:p w14:paraId="04957309" w14:textId="77777777" w:rsidR="00416C8C" w:rsidRPr="00C07BB7" w:rsidRDefault="00416C8C" w:rsidP="00D42CA5">
            <w:pPr>
              <w:rPr>
                <w:rFonts w:cs="Arial"/>
                <w:bCs/>
                <w:color w:val="000000" w:themeColor="text1"/>
              </w:rPr>
            </w:pPr>
            <w:r w:rsidRPr="00C07BB7">
              <w:rPr>
                <w:rFonts w:cs="Arial"/>
                <w:bCs/>
                <w:color w:val="000000" w:themeColor="text1"/>
                <w:sz w:val="21"/>
              </w:rPr>
              <w:t>T2DM</w:t>
            </w:r>
          </w:p>
        </w:tc>
        <w:tc>
          <w:tcPr>
            <w:tcW w:w="6930" w:type="dxa"/>
          </w:tcPr>
          <w:p w14:paraId="746AD5FE" w14:textId="77777777" w:rsidR="00416C8C" w:rsidRPr="00C07BB7" w:rsidRDefault="00416C8C" w:rsidP="00D42CA5">
            <w:pPr>
              <w:rPr>
                <w:rFonts w:cs="Arial"/>
                <w:color w:val="000000" w:themeColor="text1"/>
              </w:rPr>
            </w:pPr>
            <w:r w:rsidRPr="00C07BB7">
              <w:rPr>
                <w:rFonts w:cs="Arial"/>
                <w:color w:val="000000" w:themeColor="text1"/>
                <w:sz w:val="21"/>
              </w:rPr>
              <w:t>Type 2 diabetes mellitus</w:t>
            </w:r>
          </w:p>
        </w:tc>
      </w:tr>
      <w:tr w:rsidR="00416C8C" w:rsidRPr="00C07BB7" w14:paraId="2CF643B4" w14:textId="77777777" w:rsidTr="00B433F6">
        <w:tc>
          <w:tcPr>
            <w:tcW w:w="1728" w:type="dxa"/>
          </w:tcPr>
          <w:p w14:paraId="3ECA398F" w14:textId="77777777" w:rsidR="00416C8C" w:rsidRPr="00C07BB7" w:rsidRDefault="00416C8C" w:rsidP="00D42CA5">
            <w:pPr>
              <w:rPr>
                <w:rFonts w:cs="Arial"/>
                <w:bCs/>
                <w:color w:val="000000" w:themeColor="text1"/>
              </w:rPr>
            </w:pPr>
            <w:r w:rsidRPr="00C07BB7">
              <w:rPr>
                <w:rFonts w:cs="Arial"/>
                <w:bCs/>
                <w:color w:val="000000" w:themeColor="text1"/>
                <w:sz w:val="21"/>
              </w:rPr>
              <w:t>uACR</w:t>
            </w:r>
          </w:p>
        </w:tc>
        <w:tc>
          <w:tcPr>
            <w:tcW w:w="6930" w:type="dxa"/>
          </w:tcPr>
          <w:p w14:paraId="6F0EFC69" w14:textId="77777777" w:rsidR="00416C8C" w:rsidRPr="00C07BB7" w:rsidRDefault="00416C8C" w:rsidP="00D42CA5">
            <w:pPr>
              <w:rPr>
                <w:rFonts w:cs="Arial"/>
                <w:color w:val="000000" w:themeColor="text1"/>
              </w:rPr>
            </w:pPr>
            <w:r w:rsidRPr="00C07BB7">
              <w:rPr>
                <w:rFonts w:cs="Arial"/>
                <w:color w:val="000000" w:themeColor="text1"/>
                <w:sz w:val="21"/>
              </w:rPr>
              <w:t>Urine albumin to creatinine ratio</w:t>
            </w:r>
          </w:p>
        </w:tc>
      </w:tr>
      <w:tr w:rsidR="00416C8C" w:rsidRPr="00C07BB7" w14:paraId="0EA82AA9" w14:textId="77777777" w:rsidTr="00B433F6">
        <w:tc>
          <w:tcPr>
            <w:tcW w:w="1728" w:type="dxa"/>
          </w:tcPr>
          <w:p w14:paraId="7E901818" w14:textId="77777777" w:rsidR="00416C8C" w:rsidRPr="00C07BB7" w:rsidRDefault="00416C8C" w:rsidP="00D42CA5">
            <w:pPr>
              <w:rPr>
                <w:rFonts w:cs="Arial"/>
                <w:bCs/>
                <w:color w:val="000000" w:themeColor="text1"/>
              </w:rPr>
            </w:pPr>
            <w:r w:rsidRPr="00C07BB7">
              <w:rPr>
                <w:rFonts w:cs="Arial"/>
                <w:bCs/>
                <w:color w:val="000000" w:themeColor="text1"/>
                <w:sz w:val="21"/>
              </w:rPr>
              <w:t>UK</w:t>
            </w:r>
          </w:p>
        </w:tc>
        <w:tc>
          <w:tcPr>
            <w:tcW w:w="6930" w:type="dxa"/>
          </w:tcPr>
          <w:p w14:paraId="78F94A66" w14:textId="77777777" w:rsidR="00416C8C" w:rsidRPr="00C07BB7" w:rsidRDefault="00416C8C" w:rsidP="00D42CA5">
            <w:pPr>
              <w:rPr>
                <w:rFonts w:cs="Arial"/>
                <w:color w:val="000000" w:themeColor="text1"/>
              </w:rPr>
            </w:pPr>
            <w:r w:rsidRPr="00C07BB7">
              <w:rPr>
                <w:rFonts w:cs="Arial"/>
                <w:color w:val="000000" w:themeColor="text1"/>
                <w:sz w:val="21"/>
              </w:rPr>
              <w:t>United Kingdom</w:t>
            </w:r>
          </w:p>
        </w:tc>
      </w:tr>
      <w:tr w:rsidR="00416C8C" w:rsidRPr="00C07BB7" w14:paraId="148B8C29" w14:textId="77777777" w:rsidTr="00B433F6">
        <w:tc>
          <w:tcPr>
            <w:tcW w:w="1728" w:type="dxa"/>
          </w:tcPr>
          <w:p w14:paraId="647955C2" w14:textId="77777777" w:rsidR="00416C8C" w:rsidRPr="00C07BB7" w:rsidRDefault="00416C8C" w:rsidP="00D42CA5">
            <w:pPr>
              <w:rPr>
                <w:rFonts w:cs="Arial"/>
                <w:bCs/>
                <w:color w:val="000000" w:themeColor="text1"/>
              </w:rPr>
            </w:pPr>
            <w:r w:rsidRPr="00C07BB7">
              <w:rPr>
                <w:rFonts w:cs="Arial"/>
                <w:bCs/>
                <w:color w:val="000000" w:themeColor="text1"/>
                <w:sz w:val="21"/>
              </w:rPr>
              <w:t>UKRI</w:t>
            </w:r>
          </w:p>
        </w:tc>
        <w:tc>
          <w:tcPr>
            <w:tcW w:w="6930" w:type="dxa"/>
          </w:tcPr>
          <w:p w14:paraId="1DDBCE71" w14:textId="77777777" w:rsidR="00416C8C" w:rsidRPr="00C07BB7" w:rsidRDefault="00416C8C" w:rsidP="00D42CA5">
            <w:pPr>
              <w:rPr>
                <w:rFonts w:cs="Arial"/>
                <w:color w:val="000000" w:themeColor="text1"/>
              </w:rPr>
            </w:pPr>
            <w:r w:rsidRPr="00C07BB7">
              <w:rPr>
                <w:rFonts w:cs="Arial"/>
                <w:color w:val="000000" w:themeColor="text1"/>
                <w:sz w:val="21"/>
              </w:rPr>
              <w:t>UK Research and Innovation</w:t>
            </w:r>
          </w:p>
        </w:tc>
      </w:tr>
      <w:tr w:rsidR="00416C8C" w:rsidRPr="00C07BB7" w14:paraId="3E6F235D" w14:textId="77777777" w:rsidTr="00B433F6">
        <w:tc>
          <w:tcPr>
            <w:tcW w:w="1728" w:type="dxa"/>
          </w:tcPr>
          <w:p w14:paraId="488CC2D5" w14:textId="77777777" w:rsidR="00416C8C" w:rsidRPr="00C07BB7" w:rsidRDefault="00416C8C" w:rsidP="00D42CA5">
            <w:pPr>
              <w:rPr>
                <w:rFonts w:cs="Arial"/>
                <w:bCs/>
                <w:color w:val="000000" w:themeColor="text1"/>
              </w:rPr>
            </w:pPr>
            <w:r w:rsidRPr="00C07BB7">
              <w:rPr>
                <w:rFonts w:cs="Arial"/>
                <w:bCs/>
                <w:color w:val="000000" w:themeColor="text1"/>
                <w:sz w:val="21"/>
              </w:rPr>
              <w:t>UKRIO</w:t>
            </w:r>
          </w:p>
        </w:tc>
        <w:tc>
          <w:tcPr>
            <w:tcW w:w="6930" w:type="dxa"/>
          </w:tcPr>
          <w:p w14:paraId="5B1B3939" w14:textId="77777777" w:rsidR="00416C8C" w:rsidRPr="00C07BB7" w:rsidRDefault="00416C8C" w:rsidP="00D42CA5">
            <w:pPr>
              <w:rPr>
                <w:rFonts w:cs="Arial"/>
                <w:color w:val="000000" w:themeColor="text1"/>
              </w:rPr>
            </w:pPr>
            <w:r w:rsidRPr="00C07BB7">
              <w:rPr>
                <w:rFonts w:cs="Arial"/>
                <w:color w:val="000000" w:themeColor="text1"/>
                <w:sz w:val="21"/>
              </w:rPr>
              <w:t>UK Research Integrity Office</w:t>
            </w:r>
          </w:p>
        </w:tc>
      </w:tr>
      <w:tr w:rsidR="00416C8C" w:rsidRPr="00C07BB7" w14:paraId="28BF25E6" w14:textId="77777777" w:rsidTr="00B433F6">
        <w:tc>
          <w:tcPr>
            <w:tcW w:w="1728" w:type="dxa"/>
          </w:tcPr>
          <w:p w14:paraId="48AC7097" w14:textId="77777777" w:rsidR="00416C8C" w:rsidRPr="00C07BB7" w:rsidRDefault="00416C8C" w:rsidP="00D42CA5">
            <w:pPr>
              <w:rPr>
                <w:rFonts w:cs="Arial"/>
                <w:bCs/>
                <w:color w:val="000000" w:themeColor="text1"/>
              </w:rPr>
            </w:pPr>
            <w:r w:rsidRPr="00C07BB7">
              <w:rPr>
                <w:rFonts w:cs="Arial"/>
                <w:bCs/>
                <w:color w:val="000000" w:themeColor="text1"/>
                <w:sz w:val="21"/>
              </w:rPr>
              <w:t>WHO</w:t>
            </w:r>
          </w:p>
        </w:tc>
        <w:tc>
          <w:tcPr>
            <w:tcW w:w="6930" w:type="dxa"/>
          </w:tcPr>
          <w:p w14:paraId="1A68277A" w14:textId="77777777" w:rsidR="00416C8C" w:rsidRPr="00C07BB7" w:rsidRDefault="00416C8C" w:rsidP="00D42CA5">
            <w:pPr>
              <w:rPr>
                <w:rFonts w:cs="Arial"/>
                <w:color w:val="000000" w:themeColor="text1"/>
              </w:rPr>
            </w:pPr>
            <w:r w:rsidRPr="00C07BB7">
              <w:rPr>
                <w:rFonts w:cs="Arial"/>
                <w:color w:val="000000" w:themeColor="text1"/>
                <w:sz w:val="21"/>
              </w:rPr>
              <w:t>World Health Organization</w:t>
            </w:r>
          </w:p>
        </w:tc>
      </w:tr>
    </w:tbl>
    <w:p w14:paraId="39FACC71" w14:textId="77777777" w:rsidR="002F4036" w:rsidRPr="00C07BB7" w:rsidRDefault="002F4036" w:rsidP="00462CB9">
      <w:pPr>
        <w:rPr>
          <w:rFonts w:cs="Arial"/>
        </w:rPr>
      </w:pPr>
    </w:p>
    <w:p w14:paraId="2DADBB08" w14:textId="77777777" w:rsidR="00613093" w:rsidRPr="00C07BB7" w:rsidRDefault="00613093" w:rsidP="00462CB9">
      <w:pPr>
        <w:rPr>
          <w:rFonts w:cs="Arial"/>
          <w:color w:val="000000" w:themeColor="text1"/>
          <w:sz w:val="28"/>
        </w:rPr>
      </w:pPr>
      <w:r w:rsidRPr="00C07BB7">
        <w:rPr>
          <w:rFonts w:cs="Arial"/>
          <w:color w:val="000000" w:themeColor="text1"/>
          <w:sz w:val="28"/>
        </w:rPr>
        <w:br w:type="page"/>
      </w:r>
    </w:p>
    <w:sdt>
      <w:sdtPr>
        <w:rPr>
          <w:rFonts w:eastAsia="Times New Roman" w:cs="Arial"/>
          <w:b w:val="0"/>
          <w:bCs w:val="0"/>
          <w:color w:val="auto"/>
          <w:sz w:val="22"/>
          <w:szCs w:val="22"/>
        </w:rPr>
        <w:id w:val="-436524520"/>
        <w:docPartObj>
          <w:docPartGallery w:val="Table of Contents"/>
          <w:docPartUnique/>
        </w:docPartObj>
      </w:sdtPr>
      <w:sdtEndPr>
        <w:rPr>
          <w:noProof/>
        </w:rPr>
      </w:sdtEndPr>
      <w:sdtContent>
        <w:p w14:paraId="5A6B02DE" w14:textId="5ABBD598" w:rsidR="00A429BD" w:rsidRPr="00C07BB7" w:rsidRDefault="00A429BD" w:rsidP="00462CB9">
          <w:pPr>
            <w:pStyle w:val="TOCHeading"/>
            <w:rPr>
              <w:rFonts w:cs="Arial"/>
            </w:rPr>
          </w:pPr>
          <w:r w:rsidRPr="00C07BB7">
            <w:rPr>
              <w:rFonts w:cs="Arial"/>
            </w:rPr>
            <w:t>Table of Contents</w:t>
          </w:r>
        </w:p>
        <w:p w14:paraId="43B6B9FD" w14:textId="43702885" w:rsidR="00117C2B" w:rsidRDefault="00A429BD">
          <w:pPr>
            <w:pStyle w:val="TOC1"/>
            <w:tabs>
              <w:tab w:val="right" w:leader="dot" w:pos="8296"/>
            </w:tabs>
            <w:rPr>
              <w:rFonts w:asciiTheme="minorHAnsi" w:eastAsiaTheme="minorEastAsia" w:hAnsiTheme="minorHAnsi" w:cstheme="minorBidi"/>
              <w:noProof/>
              <w:kern w:val="2"/>
              <w14:ligatures w14:val="standardContextual"/>
            </w:rPr>
          </w:pPr>
          <w:r w:rsidRPr="00C07BB7">
            <w:fldChar w:fldCharType="begin"/>
          </w:r>
          <w:r w:rsidRPr="00C07BB7">
            <w:instrText xml:space="preserve"> TOC \o "1-3" \h \z \u </w:instrText>
          </w:r>
          <w:r w:rsidRPr="00C07BB7">
            <w:fldChar w:fldCharType="separate"/>
          </w:r>
          <w:hyperlink w:anchor="_Toc241090854" w:history="1">
            <w:r w:rsidR="00117C2B" w:rsidRPr="002D3772">
              <w:rPr>
                <w:rStyle w:val="Hyperlink"/>
                <w:noProof/>
                <w:lang w:val="hr-HR"/>
              </w:rPr>
              <w:t>DECLARATION</w:t>
            </w:r>
            <w:r w:rsidR="00117C2B">
              <w:rPr>
                <w:noProof/>
                <w:webHidden/>
              </w:rPr>
              <w:tab/>
            </w:r>
            <w:r w:rsidR="00117C2B">
              <w:rPr>
                <w:noProof/>
                <w:webHidden/>
              </w:rPr>
              <w:fldChar w:fldCharType="begin"/>
            </w:r>
            <w:r w:rsidR="00117C2B">
              <w:rPr>
                <w:noProof/>
                <w:webHidden/>
              </w:rPr>
              <w:instrText xml:space="preserve"> PAGEREF _Toc241090854 \h </w:instrText>
            </w:r>
            <w:r w:rsidR="00117C2B">
              <w:rPr>
                <w:noProof/>
                <w:webHidden/>
              </w:rPr>
            </w:r>
            <w:r w:rsidR="00117C2B">
              <w:rPr>
                <w:noProof/>
                <w:webHidden/>
              </w:rPr>
              <w:fldChar w:fldCharType="separate"/>
            </w:r>
            <w:r w:rsidR="00117C2B">
              <w:rPr>
                <w:noProof/>
                <w:webHidden/>
              </w:rPr>
              <w:t>2</w:t>
            </w:r>
            <w:r w:rsidR="00117C2B">
              <w:rPr>
                <w:noProof/>
                <w:webHidden/>
              </w:rPr>
              <w:fldChar w:fldCharType="end"/>
            </w:r>
          </w:hyperlink>
        </w:p>
        <w:p w14:paraId="540A0590" w14:textId="6DBB6F42" w:rsidR="00117C2B" w:rsidRDefault="00117C2B">
          <w:pPr>
            <w:pStyle w:val="TOC1"/>
            <w:tabs>
              <w:tab w:val="right" w:leader="dot" w:pos="8296"/>
            </w:tabs>
            <w:rPr>
              <w:rFonts w:asciiTheme="minorHAnsi" w:eastAsiaTheme="minorEastAsia" w:hAnsiTheme="minorHAnsi" w:cstheme="minorBidi"/>
              <w:noProof/>
              <w:kern w:val="2"/>
              <w14:ligatures w14:val="standardContextual"/>
            </w:rPr>
          </w:pPr>
          <w:hyperlink w:anchor="_Toc241090855" w:history="1">
            <w:r w:rsidRPr="002D3772">
              <w:rPr>
                <w:rStyle w:val="Hyperlink"/>
                <w:noProof/>
              </w:rPr>
              <w:t>Acknowledgement</w:t>
            </w:r>
            <w:r>
              <w:rPr>
                <w:noProof/>
                <w:webHidden/>
              </w:rPr>
              <w:tab/>
            </w:r>
            <w:r>
              <w:rPr>
                <w:noProof/>
                <w:webHidden/>
              </w:rPr>
              <w:fldChar w:fldCharType="begin"/>
            </w:r>
            <w:r>
              <w:rPr>
                <w:noProof/>
                <w:webHidden/>
              </w:rPr>
              <w:instrText xml:space="preserve"> PAGEREF _Toc241090855 \h </w:instrText>
            </w:r>
            <w:r>
              <w:rPr>
                <w:noProof/>
                <w:webHidden/>
              </w:rPr>
            </w:r>
            <w:r>
              <w:rPr>
                <w:noProof/>
                <w:webHidden/>
              </w:rPr>
              <w:fldChar w:fldCharType="separate"/>
            </w:r>
            <w:r>
              <w:rPr>
                <w:noProof/>
                <w:webHidden/>
              </w:rPr>
              <w:t>3</w:t>
            </w:r>
            <w:r>
              <w:rPr>
                <w:noProof/>
                <w:webHidden/>
              </w:rPr>
              <w:fldChar w:fldCharType="end"/>
            </w:r>
          </w:hyperlink>
        </w:p>
        <w:p w14:paraId="1F84394F" w14:textId="31DE16F2" w:rsidR="00117C2B" w:rsidRDefault="00117C2B">
          <w:pPr>
            <w:pStyle w:val="TOC1"/>
            <w:tabs>
              <w:tab w:val="right" w:leader="dot" w:pos="8296"/>
            </w:tabs>
            <w:rPr>
              <w:rFonts w:asciiTheme="minorHAnsi" w:eastAsiaTheme="minorEastAsia" w:hAnsiTheme="minorHAnsi" w:cstheme="minorBidi"/>
              <w:noProof/>
              <w:kern w:val="2"/>
              <w14:ligatures w14:val="standardContextual"/>
            </w:rPr>
          </w:pPr>
          <w:hyperlink w:anchor="_Toc241090856" w:history="1">
            <w:r w:rsidRPr="002D3772">
              <w:rPr>
                <w:rStyle w:val="Hyperlink"/>
                <w:noProof/>
              </w:rPr>
              <w:t>Abstract</w:t>
            </w:r>
            <w:r>
              <w:rPr>
                <w:noProof/>
                <w:webHidden/>
              </w:rPr>
              <w:tab/>
            </w:r>
            <w:r>
              <w:rPr>
                <w:noProof/>
                <w:webHidden/>
              </w:rPr>
              <w:fldChar w:fldCharType="begin"/>
            </w:r>
            <w:r>
              <w:rPr>
                <w:noProof/>
                <w:webHidden/>
              </w:rPr>
              <w:instrText xml:space="preserve"> PAGEREF _Toc241090856 \h </w:instrText>
            </w:r>
            <w:r>
              <w:rPr>
                <w:noProof/>
                <w:webHidden/>
              </w:rPr>
            </w:r>
            <w:r>
              <w:rPr>
                <w:noProof/>
                <w:webHidden/>
              </w:rPr>
              <w:fldChar w:fldCharType="separate"/>
            </w:r>
            <w:r>
              <w:rPr>
                <w:noProof/>
                <w:webHidden/>
              </w:rPr>
              <w:t>4</w:t>
            </w:r>
            <w:r>
              <w:rPr>
                <w:noProof/>
                <w:webHidden/>
              </w:rPr>
              <w:fldChar w:fldCharType="end"/>
            </w:r>
          </w:hyperlink>
        </w:p>
        <w:p w14:paraId="2E9756EE" w14:textId="4BAAC6C7" w:rsidR="00117C2B" w:rsidRDefault="00117C2B">
          <w:pPr>
            <w:pStyle w:val="TOC1"/>
            <w:tabs>
              <w:tab w:val="right" w:leader="dot" w:pos="8296"/>
            </w:tabs>
            <w:rPr>
              <w:rFonts w:asciiTheme="minorHAnsi" w:eastAsiaTheme="minorEastAsia" w:hAnsiTheme="minorHAnsi" w:cstheme="minorBidi"/>
              <w:noProof/>
              <w:kern w:val="2"/>
              <w14:ligatures w14:val="standardContextual"/>
            </w:rPr>
          </w:pPr>
          <w:hyperlink w:anchor="_Toc241090857" w:history="1">
            <w:r w:rsidRPr="002D3772">
              <w:rPr>
                <w:rStyle w:val="Hyperlink"/>
                <w:noProof/>
              </w:rPr>
              <w:t>List of Tables</w:t>
            </w:r>
            <w:r>
              <w:rPr>
                <w:noProof/>
                <w:webHidden/>
              </w:rPr>
              <w:tab/>
            </w:r>
            <w:r>
              <w:rPr>
                <w:noProof/>
                <w:webHidden/>
              </w:rPr>
              <w:fldChar w:fldCharType="begin"/>
            </w:r>
            <w:r>
              <w:rPr>
                <w:noProof/>
                <w:webHidden/>
              </w:rPr>
              <w:instrText xml:space="preserve"> PAGEREF _Toc241090857 \h </w:instrText>
            </w:r>
            <w:r>
              <w:rPr>
                <w:noProof/>
                <w:webHidden/>
              </w:rPr>
            </w:r>
            <w:r>
              <w:rPr>
                <w:noProof/>
                <w:webHidden/>
              </w:rPr>
              <w:fldChar w:fldCharType="separate"/>
            </w:r>
            <w:r>
              <w:rPr>
                <w:noProof/>
                <w:webHidden/>
              </w:rPr>
              <w:t>5</w:t>
            </w:r>
            <w:r>
              <w:rPr>
                <w:noProof/>
                <w:webHidden/>
              </w:rPr>
              <w:fldChar w:fldCharType="end"/>
            </w:r>
          </w:hyperlink>
        </w:p>
        <w:p w14:paraId="7EEEAA05" w14:textId="09B3959E" w:rsidR="00117C2B" w:rsidRDefault="00117C2B">
          <w:pPr>
            <w:pStyle w:val="TOC1"/>
            <w:tabs>
              <w:tab w:val="right" w:leader="dot" w:pos="8296"/>
            </w:tabs>
            <w:rPr>
              <w:rFonts w:asciiTheme="minorHAnsi" w:eastAsiaTheme="minorEastAsia" w:hAnsiTheme="minorHAnsi" w:cstheme="minorBidi"/>
              <w:noProof/>
              <w:kern w:val="2"/>
              <w14:ligatures w14:val="standardContextual"/>
            </w:rPr>
          </w:pPr>
          <w:hyperlink w:anchor="_Toc241090858" w:history="1">
            <w:r w:rsidRPr="002D3772">
              <w:rPr>
                <w:rStyle w:val="Hyperlink"/>
                <w:noProof/>
              </w:rPr>
              <w:t>List of Figures</w:t>
            </w:r>
            <w:r>
              <w:rPr>
                <w:noProof/>
                <w:webHidden/>
              </w:rPr>
              <w:tab/>
            </w:r>
            <w:r>
              <w:rPr>
                <w:noProof/>
                <w:webHidden/>
              </w:rPr>
              <w:fldChar w:fldCharType="begin"/>
            </w:r>
            <w:r>
              <w:rPr>
                <w:noProof/>
                <w:webHidden/>
              </w:rPr>
              <w:instrText xml:space="preserve"> PAGEREF _Toc241090858 \h </w:instrText>
            </w:r>
            <w:r>
              <w:rPr>
                <w:noProof/>
                <w:webHidden/>
              </w:rPr>
            </w:r>
            <w:r>
              <w:rPr>
                <w:noProof/>
                <w:webHidden/>
              </w:rPr>
              <w:fldChar w:fldCharType="separate"/>
            </w:r>
            <w:r>
              <w:rPr>
                <w:noProof/>
                <w:webHidden/>
              </w:rPr>
              <w:t>5</w:t>
            </w:r>
            <w:r>
              <w:rPr>
                <w:noProof/>
                <w:webHidden/>
              </w:rPr>
              <w:fldChar w:fldCharType="end"/>
            </w:r>
          </w:hyperlink>
        </w:p>
        <w:p w14:paraId="24FD7F8C" w14:textId="3C24BA5B" w:rsidR="00117C2B" w:rsidRDefault="00117C2B">
          <w:pPr>
            <w:pStyle w:val="TOC1"/>
            <w:tabs>
              <w:tab w:val="right" w:leader="dot" w:pos="8296"/>
            </w:tabs>
            <w:rPr>
              <w:rFonts w:asciiTheme="minorHAnsi" w:eastAsiaTheme="minorEastAsia" w:hAnsiTheme="minorHAnsi" w:cstheme="minorBidi"/>
              <w:noProof/>
              <w:kern w:val="2"/>
              <w14:ligatures w14:val="standardContextual"/>
            </w:rPr>
          </w:pPr>
          <w:hyperlink w:anchor="_Toc241090859" w:history="1">
            <w:r w:rsidRPr="002D3772">
              <w:rPr>
                <w:rStyle w:val="Hyperlink"/>
                <w:noProof/>
              </w:rPr>
              <w:t>List of Abbreviations</w:t>
            </w:r>
            <w:r>
              <w:rPr>
                <w:noProof/>
                <w:webHidden/>
              </w:rPr>
              <w:tab/>
            </w:r>
            <w:r>
              <w:rPr>
                <w:noProof/>
                <w:webHidden/>
              </w:rPr>
              <w:fldChar w:fldCharType="begin"/>
            </w:r>
            <w:r>
              <w:rPr>
                <w:noProof/>
                <w:webHidden/>
              </w:rPr>
              <w:instrText xml:space="preserve"> PAGEREF _Toc241090859 \h </w:instrText>
            </w:r>
            <w:r>
              <w:rPr>
                <w:noProof/>
                <w:webHidden/>
              </w:rPr>
            </w:r>
            <w:r>
              <w:rPr>
                <w:noProof/>
                <w:webHidden/>
              </w:rPr>
              <w:fldChar w:fldCharType="separate"/>
            </w:r>
            <w:r>
              <w:rPr>
                <w:noProof/>
                <w:webHidden/>
              </w:rPr>
              <w:t>6</w:t>
            </w:r>
            <w:r>
              <w:rPr>
                <w:noProof/>
                <w:webHidden/>
              </w:rPr>
              <w:fldChar w:fldCharType="end"/>
            </w:r>
          </w:hyperlink>
        </w:p>
        <w:p w14:paraId="2C12EFE8" w14:textId="7FDF8DE5" w:rsidR="00117C2B" w:rsidRDefault="00117C2B">
          <w:pPr>
            <w:pStyle w:val="TOC1"/>
            <w:tabs>
              <w:tab w:val="right" w:leader="dot" w:pos="8296"/>
            </w:tabs>
            <w:rPr>
              <w:rFonts w:asciiTheme="minorHAnsi" w:eastAsiaTheme="minorEastAsia" w:hAnsiTheme="minorHAnsi" w:cstheme="minorBidi"/>
              <w:noProof/>
              <w:kern w:val="2"/>
              <w14:ligatures w14:val="standardContextual"/>
            </w:rPr>
          </w:pPr>
          <w:hyperlink w:anchor="_Toc241090860" w:history="1">
            <w:r w:rsidRPr="002D3772">
              <w:rPr>
                <w:rStyle w:val="Hyperlink"/>
                <w:noProof/>
              </w:rPr>
              <w:t>Chapter One: Introduction</w:t>
            </w:r>
            <w:r>
              <w:rPr>
                <w:noProof/>
                <w:webHidden/>
              </w:rPr>
              <w:tab/>
            </w:r>
            <w:r>
              <w:rPr>
                <w:noProof/>
                <w:webHidden/>
              </w:rPr>
              <w:fldChar w:fldCharType="begin"/>
            </w:r>
            <w:r>
              <w:rPr>
                <w:noProof/>
                <w:webHidden/>
              </w:rPr>
              <w:instrText xml:space="preserve"> PAGEREF _Toc241090860 \h </w:instrText>
            </w:r>
            <w:r>
              <w:rPr>
                <w:noProof/>
                <w:webHidden/>
              </w:rPr>
            </w:r>
            <w:r>
              <w:rPr>
                <w:noProof/>
                <w:webHidden/>
              </w:rPr>
              <w:fldChar w:fldCharType="separate"/>
            </w:r>
            <w:r>
              <w:rPr>
                <w:noProof/>
                <w:webHidden/>
              </w:rPr>
              <w:t>11</w:t>
            </w:r>
            <w:r>
              <w:rPr>
                <w:noProof/>
                <w:webHidden/>
              </w:rPr>
              <w:fldChar w:fldCharType="end"/>
            </w:r>
          </w:hyperlink>
        </w:p>
        <w:p w14:paraId="6D8A6D26" w14:textId="239B3157"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61" w:history="1">
            <w:r w:rsidRPr="002D3772">
              <w:rPr>
                <w:rStyle w:val="Hyperlink"/>
                <w:rFonts w:cs="Arial"/>
                <w:noProof/>
              </w:rPr>
              <w:t>1.1 Introduction</w:t>
            </w:r>
            <w:r>
              <w:rPr>
                <w:noProof/>
                <w:webHidden/>
              </w:rPr>
              <w:tab/>
            </w:r>
            <w:r>
              <w:rPr>
                <w:noProof/>
                <w:webHidden/>
              </w:rPr>
              <w:fldChar w:fldCharType="begin"/>
            </w:r>
            <w:r>
              <w:rPr>
                <w:noProof/>
                <w:webHidden/>
              </w:rPr>
              <w:instrText xml:space="preserve"> PAGEREF _Toc241090861 \h </w:instrText>
            </w:r>
            <w:r>
              <w:rPr>
                <w:noProof/>
                <w:webHidden/>
              </w:rPr>
            </w:r>
            <w:r>
              <w:rPr>
                <w:noProof/>
                <w:webHidden/>
              </w:rPr>
              <w:fldChar w:fldCharType="separate"/>
            </w:r>
            <w:r>
              <w:rPr>
                <w:noProof/>
                <w:webHidden/>
              </w:rPr>
              <w:t>11</w:t>
            </w:r>
            <w:r>
              <w:rPr>
                <w:noProof/>
                <w:webHidden/>
              </w:rPr>
              <w:fldChar w:fldCharType="end"/>
            </w:r>
          </w:hyperlink>
        </w:p>
        <w:p w14:paraId="728A2AC9" w14:textId="5F721749"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62" w:history="1">
            <w:r w:rsidRPr="002D3772">
              <w:rPr>
                <w:rStyle w:val="Hyperlink"/>
                <w:rFonts w:cs="Arial"/>
                <w:noProof/>
              </w:rPr>
              <w:t>1.2 Background of the Study</w:t>
            </w:r>
            <w:r>
              <w:rPr>
                <w:noProof/>
                <w:webHidden/>
              </w:rPr>
              <w:tab/>
            </w:r>
            <w:r>
              <w:rPr>
                <w:noProof/>
                <w:webHidden/>
              </w:rPr>
              <w:fldChar w:fldCharType="begin"/>
            </w:r>
            <w:r>
              <w:rPr>
                <w:noProof/>
                <w:webHidden/>
              </w:rPr>
              <w:instrText xml:space="preserve"> PAGEREF _Toc241090862 \h </w:instrText>
            </w:r>
            <w:r>
              <w:rPr>
                <w:noProof/>
                <w:webHidden/>
              </w:rPr>
            </w:r>
            <w:r>
              <w:rPr>
                <w:noProof/>
                <w:webHidden/>
              </w:rPr>
              <w:fldChar w:fldCharType="separate"/>
            </w:r>
            <w:r>
              <w:rPr>
                <w:noProof/>
                <w:webHidden/>
              </w:rPr>
              <w:t>11</w:t>
            </w:r>
            <w:r>
              <w:rPr>
                <w:noProof/>
                <w:webHidden/>
              </w:rPr>
              <w:fldChar w:fldCharType="end"/>
            </w:r>
          </w:hyperlink>
        </w:p>
        <w:p w14:paraId="39985516" w14:textId="5385BB56"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63" w:history="1">
            <w:r w:rsidRPr="002D3772">
              <w:rPr>
                <w:rStyle w:val="Hyperlink"/>
                <w:rFonts w:cs="Arial"/>
                <w:noProof/>
              </w:rPr>
              <w:t>1.3 The UK Context</w:t>
            </w:r>
            <w:r>
              <w:rPr>
                <w:noProof/>
                <w:webHidden/>
              </w:rPr>
              <w:tab/>
            </w:r>
            <w:r>
              <w:rPr>
                <w:noProof/>
                <w:webHidden/>
              </w:rPr>
              <w:fldChar w:fldCharType="begin"/>
            </w:r>
            <w:r>
              <w:rPr>
                <w:noProof/>
                <w:webHidden/>
              </w:rPr>
              <w:instrText xml:space="preserve"> PAGEREF _Toc241090863 \h </w:instrText>
            </w:r>
            <w:r>
              <w:rPr>
                <w:noProof/>
                <w:webHidden/>
              </w:rPr>
            </w:r>
            <w:r>
              <w:rPr>
                <w:noProof/>
                <w:webHidden/>
              </w:rPr>
              <w:fldChar w:fldCharType="separate"/>
            </w:r>
            <w:r>
              <w:rPr>
                <w:noProof/>
                <w:webHidden/>
              </w:rPr>
              <w:t>12</w:t>
            </w:r>
            <w:r>
              <w:rPr>
                <w:noProof/>
                <w:webHidden/>
              </w:rPr>
              <w:fldChar w:fldCharType="end"/>
            </w:r>
          </w:hyperlink>
        </w:p>
        <w:p w14:paraId="2404EE68" w14:textId="1C57F2D8"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64" w:history="1">
            <w:r w:rsidRPr="002D3772">
              <w:rPr>
                <w:rStyle w:val="Hyperlink"/>
                <w:rFonts w:cs="Arial"/>
                <w:noProof/>
              </w:rPr>
              <w:t>1.4 Overview of Risk Factors and Management Strategies</w:t>
            </w:r>
            <w:r>
              <w:rPr>
                <w:noProof/>
                <w:webHidden/>
              </w:rPr>
              <w:tab/>
            </w:r>
            <w:r>
              <w:rPr>
                <w:noProof/>
                <w:webHidden/>
              </w:rPr>
              <w:fldChar w:fldCharType="begin"/>
            </w:r>
            <w:r>
              <w:rPr>
                <w:noProof/>
                <w:webHidden/>
              </w:rPr>
              <w:instrText xml:space="preserve"> PAGEREF _Toc241090864 \h </w:instrText>
            </w:r>
            <w:r>
              <w:rPr>
                <w:noProof/>
                <w:webHidden/>
              </w:rPr>
            </w:r>
            <w:r>
              <w:rPr>
                <w:noProof/>
                <w:webHidden/>
              </w:rPr>
              <w:fldChar w:fldCharType="separate"/>
            </w:r>
            <w:r>
              <w:rPr>
                <w:noProof/>
                <w:webHidden/>
              </w:rPr>
              <w:t>13</w:t>
            </w:r>
            <w:r>
              <w:rPr>
                <w:noProof/>
                <w:webHidden/>
              </w:rPr>
              <w:fldChar w:fldCharType="end"/>
            </w:r>
          </w:hyperlink>
        </w:p>
        <w:p w14:paraId="6C3AD535" w14:textId="67F2A2E7"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65" w:history="1">
            <w:r w:rsidRPr="002D3772">
              <w:rPr>
                <w:rStyle w:val="Hyperlink"/>
                <w:rFonts w:cs="Arial"/>
                <w:noProof/>
              </w:rPr>
              <w:t>1.5 Research Rationale</w:t>
            </w:r>
            <w:r>
              <w:rPr>
                <w:noProof/>
                <w:webHidden/>
              </w:rPr>
              <w:tab/>
            </w:r>
            <w:r>
              <w:rPr>
                <w:noProof/>
                <w:webHidden/>
              </w:rPr>
              <w:fldChar w:fldCharType="begin"/>
            </w:r>
            <w:r>
              <w:rPr>
                <w:noProof/>
                <w:webHidden/>
              </w:rPr>
              <w:instrText xml:space="preserve"> PAGEREF _Toc241090865 \h </w:instrText>
            </w:r>
            <w:r>
              <w:rPr>
                <w:noProof/>
                <w:webHidden/>
              </w:rPr>
            </w:r>
            <w:r>
              <w:rPr>
                <w:noProof/>
                <w:webHidden/>
              </w:rPr>
              <w:fldChar w:fldCharType="separate"/>
            </w:r>
            <w:r>
              <w:rPr>
                <w:noProof/>
                <w:webHidden/>
              </w:rPr>
              <w:t>14</w:t>
            </w:r>
            <w:r>
              <w:rPr>
                <w:noProof/>
                <w:webHidden/>
              </w:rPr>
              <w:fldChar w:fldCharType="end"/>
            </w:r>
          </w:hyperlink>
        </w:p>
        <w:p w14:paraId="281252C2" w14:textId="279729D6"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66" w:history="1">
            <w:r w:rsidRPr="002D3772">
              <w:rPr>
                <w:rStyle w:val="Hyperlink"/>
                <w:rFonts w:cs="Arial"/>
                <w:noProof/>
              </w:rPr>
              <w:t>1.6 Research Aim, Objectives and Research question</w:t>
            </w:r>
            <w:r>
              <w:rPr>
                <w:noProof/>
                <w:webHidden/>
              </w:rPr>
              <w:tab/>
            </w:r>
            <w:r>
              <w:rPr>
                <w:noProof/>
                <w:webHidden/>
              </w:rPr>
              <w:fldChar w:fldCharType="begin"/>
            </w:r>
            <w:r>
              <w:rPr>
                <w:noProof/>
                <w:webHidden/>
              </w:rPr>
              <w:instrText xml:space="preserve"> PAGEREF _Toc241090866 \h </w:instrText>
            </w:r>
            <w:r>
              <w:rPr>
                <w:noProof/>
                <w:webHidden/>
              </w:rPr>
            </w:r>
            <w:r>
              <w:rPr>
                <w:noProof/>
                <w:webHidden/>
              </w:rPr>
              <w:fldChar w:fldCharType="separate"/>
            </w:r>
            <w:r>
              <w:rPr>
                <w:noProof/>
                <w:webHidden/>
              </w:rPr>
              <w:t>14</w:t>
            </w:r>
            <w:r>
              <w:rPr>
                <w:noProof/>
                <w:webHidden/>
              </w:rPr>
              <w:fldChar w:fldCharType="end"/>
            </w:r>
          </w:hyperlink>
        </w:p>
        <w:p w14:paraId="61FDA3BB" w14:textId="6773A207"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67" w:history="1">
            <w:r w:rsidRPr="002D3772">
              <w:rPr>
                <w:rStyle w:val="Hyperlink"/>
                <w:rFonts w:cs="Arial"/>
                <w:noProof/>
              </w:rPr>
              <w:t>1.7 Structure of the Dissertation</w:t>
            </w:r>
            <w:r>
              <w:rPr>
                <w:noProof/>
                <w:webHidden/>
              </w:rPr>
              <w:tab/>
            </w:r>
            <w:r>
              <w:rPr>
                <w:noProof/>
                <w:webHidden/>
              </w:rPr>
              <w:fldChar w:fldCharType="begin"/>
            </w:r>
            <w:r>
              <w:rPr>
                <w:noProof/>
                <w:webHidden/>
              </w:rPr>
              <w:instrText xml:space="preserve"> PAGEREF _Toc241090867 \h </w:instrText>
            </w:r>
            <w:r>
              <w:rPr>
                <w:noProof/>
                <w:webHidden/>
              </w:rPr>
            </w:r>
            <w:r>
              <w:rPr>
                <w:noProof/>
                <w:webHidden/>
              </w:rPr>
              <w:fldChar w:fldCharType="separate"/>
            </w:r>
            <w:r>
              <w:rPr>
                <w:noProof/>
                <w:webHidden/>
              </w:rPr>
              <w:t>15</w:t>
            </w:r>
            <w:r>
              <w:rPr>
                <w:noProof/>
                <w:webHidden/>
              </w:rPr>
              <w:fldChar w:fldCharType="end"/>
            </w:r>
          </w:hyperlink>
        </w:p>
        <w:p w14:paraId="5A7F332B" w14:textId="79DD9129" w:rsidR="00117C2B" w:rsidRDefault="00117C2B">
          <w:pPr>
            <w:pStyle w:val="TOC1"/>
            <w:tabs>
              <w:tab w:val="right" w:leader="dot" w:pos="8296"/>
            </w:tabs>
            <w:rPr>
              <w:rFonts w:asciiTheme="minorHAnsi" w:eastAsiaTheme="minorEastAsia" w:hAnsiTheme="minorHAnsi" w:cstheme="minorBidi"/>
              <w:noProof/>
              <w:kern w:val="2"/>
              <w14:ligatures w14:val="standardContextual"/>
            </w:rPr>
          </w:pPr>
          <w:hyperlink w:anchor="_Toc241090868" w:history="1">
            <w:r w:rsidRPr="002D3772">
              <w:rPr>
                <w:rStyle w:val="Hyperlink"/>
                <w:noProof/>
              </w:rPr>
              <w:t>Chapter Two: Literature Review</w:t>
            </w:r>
            <w:r>
              <w:rPr>
                <w:noProof/>
                <w:webHidden/>
              </w:rPr>
              <w:tab/>
            </w:r>
            <w:r>
              <w:rPr>
                <w:noProof/>
                <w:webHidden/>
              </w:rPr>
              <w:fldChar w:fldCharType="begin"/>
            </w:r>
            <w:r>
              <w:rPr>
                <w:noProof/>
                <w:webHidden/>
              </w:rPr>
              <w:instrText xml:space="preserve"> PAGEREF _Toc241090868 \h </w:instrText>
            </w:r>
            <w:r>
              <w:rPr>
                <w:noProof/>
                <w:webHidden/>
              </w:rPr>
            </w:r>
            <w:r>
              <w:rPr>
                <w:noProof/>
                <w:webHidden/>
              </w:rPr>
              <w:fldChar w:fldCharType="separate"/>
            </w:r>
            <w:r>
              <w:rPr>
                <w:noProof/>
                <w:webHidden/>
              </w:rPr>
              <w:t>16</w:t>
            </w:r>
            <w:r>
              <w:rPr>
                <w:noProof/>
                <w:webHidden/>
              </w:rPr>
              <w:fldChar w:fldCharType="end"/>
            </w:r>
          </w:hyperlink>
        </w:p>
        <w:p w14:paraId="5CDAEA96" w14:textId="3AAF1905"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69" w:history="1">
            <w:r w:rsidRPr="002D3772">
              <w:rPr>
                <w:rStyle w:val="Hyperlink"/>
                <w:rFonts w:cs="Arial"/>
                <w:noProof/>
              </w:rPr>
              <w:t>2.1 Introduction</w:t>
            </w:r>
            <w:r>
              <w:rPr>
                <w:noProof/>
                <w:webHidden/>
              </w:rPr>
              <w:tab/>
            </w:r>
            <w:r>
              <w:rPr>
                <w:noProof/>
                <w:webHidden/>
              </w:rPr>
              <w:fldChar w:fldCharType="begin"/>
            </w:r>
            <w:r>
              <w:rPr>
                <w:noProof/>
                <w:webHidden/>
              </w:rPr>
              <w:instrText xml:space="preserve"> PAGEREF _Toc241090869 \h </w:instrText>
            </w:r>
            <w:r>
              <w:rPr>
                <w:noProof/>
                <w:webHidden/>
              </w:rPr>
            </w:r>
            <w:r>
              <w:rPr>
                <w:noProof/>
                <w:webHidden/>
              </w:rPr>
              <w:fldChar w:fldCharType="separate"/>
            </w:r>
            <w:r>
              <w:rPr>
                <w:noProof/>
                <w:webHidden/>
              </w:rPr>
              <w:t>16</w:t>
            </w:r>
            <w:r>
              <w:rPr>
                <w:noProof/>
                <w:webHidden/>
              </w:rPr>
              <w:fldChar w:fldCharType="end"/>
            </w:r>
          </w:hyperlink>
        </w:p>
        <w:p w14:paraId="556660E5" w14:textId="71D0AAD1"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70" w:history="1">
            <w:r w:rsidRPr="002D3772">
              <w:rPr>
                <w:rStyle w:val="Hyperlink"/>
                <w:rFonts w:cs="Arial"/>
                <w:noProof/>
              </w:rPr>
              <w:t>2.2 Literature Review</w:t>
            </w:r>
            <w:r>
              <w:rPr>
                <w:noProof/>
                <w:webHidden/>
              </w:rPr>
              <w:tab/>
            </w:r>
            <w:r>
              <w:rPr>
                <w:noProof/>
                <w:webHidden/>
              </w:rPr>
              <w:fldChar w:fldCharType="begin"/>
            </w:r>
            <w:r>
              <w:rPr>
                <w:noProof/>
                <w:webHidden/>
              </w:rPr>
              <w:instrText xml:space="preserve"> PAGEREF _Toc241090870 \h </w:instrText>
            </w:r>
            <w:r>
              <w:rPr>
                <w:noProof/>
                <w:webHidden/>
              </w:rPr>
            </w:r>
            <w:r>
              <w:rPr>
                <w:noProof/>
                <w:webHidden/>
              </w:rPr>
              <w:fldChar w:fldCharType="separate"/>
            </w:r>
            <w:r>
              <w:rPr>
                <w:noProof/>
                <w:webHidden/>
              </w:rPr>
              <w:t>16</w:t>
            </w:r>
            <w:r>
              <w:rPr>
                <w:noProof/>
                <w:webHidden/>
              </w:rPr>
              <w:fldChar w:fldCharType="end"/>
            </w:r>
          </w:hyperlink>
        </w:p>
        <w:p w14:paraId="53A01A51" w14:textId="4AFD525C"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871" w:history="1">
            <w:r w:rsidRPr="002D3772">
              <w:rPr>
                <w:rStyle w:val="Hyperlink"/>
                <w:rFonts w:cs="Arial"/>
                <w:noProof/>
              </w:rPr>
              <w:t>2.2.1 CKD as a Public Health Condition</w:t>
            </w:r>
            <w:r>
              <w:rPr>
                <w:noProof/>
                <w:webHidden/>
              </w:rPr>
              <w:tab/>
            </w:r>
            <w:r>
              <w:rPr>
                <w:noProof/>
                <w:webHidden/>
              </w:rPr>
              <w:fldChar w:fldCharType="begin"/>
            </w:r>
            <w:r>
              <w:rPr>
                <w:noProof/>
                <w:webHidden/>
              </w:rPr>
              <w:instrText xml:space="preserve"> PAGEREF _Toc241090871 \h </w:instrText>
            </w:r>
            <w:r>
              <w:rPr>
                <w:noProof/>
                <w:webHidden/>
              </w:rPr>
            </w:r>
            <w:r>
              <w:rPr>
                <w:noProof/>
                <w:webHidden/>
              </w:rPr>
              <w:fldChar w:fldCharType="separate"/>
            </w:r>
            <w:r>
              <w:rPr>
                <w:noProof/>
                <w:webHidden/>
              </w:rPr>
              <w:t>16</w:t>
            </w:r>
            <w:r>
              <w:rPr>
                <w:noProof/>
                <w:webHidden/>
              </w:rPr>
              <w:fldChar w:fldCharType="end"/>
            </w:r>
          </w:hyperlink>
        </w:p>
        <w:p w14:paraId="401E6932" w14:textId="7AA5092F"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872" w:history="1">
            <w:r w:rsidRPr="002D3772">
              <w:rPr>
                <w:rStyle w:val="Hyperlink"/>
                <w:rFonts w:cs="Arial"/>
                <w:noProof/>
              </w:rPr>
              <w:t>2.2.2 Prevalence, Coding and Hidden CKD in the UK</w:t>
            </w:r>
            <w:r>
              <w:rPr>
                <w:noProof/>
                <w:webHidden/>
              </w:rPr>
              <w:tab/>
            </w:r>
            <w:r>
              <w:rPr>
                <w:noProof/>
                <w:webHidden/>
              </w:rPr>
              <w:fldChar w:fldCharType="begin"/>
            </w:r>
            <w:r>
              <w:rPr>
                <w:noProof/>
                <w:webHidden/>
              </w:rPr>
              <w:instrText xml:space="preserve"> PAGEREF _Toc241090872 \h </w:instrText>
            </w:r>
            <w:r>
              <w:rPr>
                <w:noProof/>
                <w:webHidden/>
              </w:rPr>
            </w:r>
            <w:r>
              <w:rPr>
                <w:noProof/>
                <w:webHidden/>
              </w:rPr>
              <w:fldChar w:fldCharType="separate"/>
            </w:r>
            <w:r>
              <w:rPr>
                <w:noProof/>
                <w:webHidden/>
              </w:rPr>
              <w:t>17</w:t>
            </w:r>
            <w:r>
              <w:rPr>
                <w:noProof/>
                <w:webHidden/>
              </w:rPr>
              <w:fldChar w:fldCharType="end"/>
            </w:r>
          </w:hyperlink>
        </w:p>
        <w:p w14:paraId="69B67FD9" w14:textId="43CA9618"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873" w:history="1">
            <w:r w:rsidRPr="002D3772">
              <w:rPr>
                <w:rStyle w:val="Hyperlink"/>
                <w:rFonts w:cs="Arial"/>
                <w:noProof/>
              </w:rPr>
              <w:t>2.2.3 Diabetes, Hypertension and Multimorbidity as Core Risk Factors</w:t>
            </w:r>
            <w:r>
              <w:rPr>
                <w:noProof/>
                <w:webHidden/>
              </w:rPr>
              <w:tab/>
            </w:r>
            <w:r>
              <w:rPr>
                <w:noProof/>
                <w:webHidden/>
              </w:rPr>
              <w:fldChar w:fldCharType="begin"/>
            </w:r>
            <w:r>
              <w:rPr>
                <w:noProof/>
                <w:webHidden/>
              </w:rPr>
              <w:instrText xml:space="preserve"> PAGEREF _Toc241090873 \h </w:instrText>
            </w:r>
            <w:r>
              <w:rPr>
                <w:noProof/>
                <w:webHidden/>
              </w:rPr>
            </w:r>
            <w:r>
              <w:rPr>
                <w:noProof/>
                <w:webHidden/>
              </w:rPr>
              <w:fldChar w:fldCharType="separate"/>
            </w:r>
            <w:r>
              <w:rPr>
                <w:noProof/>
                <w:webHidden/>
              </w:rPr>
              <w:t>18</w:t>
            </w:r>
            <w:r>
              <w:rPr>
                <w:noProof/>
                <w:webHidden/>
              </w:rPr>
              <w:fldChar w:fldCharType="end"/>
            </w:r>
          </w:hyperlink>
        </w:p>
        <w:p w14:paraId="19539C20" w14:textId="155F94ED"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874" w:history="1">
            <w:r w:rsidRPr="002D3772">
              <w:rPr>
                <w:rStyle w:val="Hyperlink"/>
                <w:rFonts w:cs="Arial"/>
                <w:noProof/>
              </w:rPr>
              <w:t>2.2.4 Obesity, Diet and Lifestyle-Related Risk Factors</w:t>
            </w:r>
            <w:r>
              <w:rPr>
                <w:noProof/>
                <w:webHidden/>
              </w:rPr>
              <w:tab/>
            </w:r>
            <w:r>
              <w:rPr>
                <w:noProof/>
                <w:webHidden/>
              </w:rPr>
              <w:fldChar w:fldCharType="begin"/>
            </w:r>
            <w:r>
              <w:rPr>
                <w:noProof/>
                <w:webHidden/>
              </w:rPr>
              <w:instrText xml:space="preserve"> PAGEREF _Toc241090874 \h </w:instrText>
            </w:r>
            <w:r>
              <w:rPr>
                <w:noProof/>
                <w:webHidden/>
              </w:rPr>
            </w:r>
            <w:r>
              <w:rPr>
                <w:noProof/>
                <w:webHidden/>
              </w:rPr>
              <w:fldChar w:fldCharType="separate"/>
            </w:r>
            <w:r>
              <w:rPr>
                <w:noProof/>
                <w:webHidden/>
              </w:rPr>
              <w:t>19</w:t>
            </w:r>
            <w:r>
              <w:rPr>
                <w:noProof/>
                <w:webHidden/>
              </w:rPr>
              <w:fldChar w:fldCharType="end"/>
            </w:r>
          </w:hyperlink>
        </w:p>
        <w:p w14:paraId="37992781" w14:textId="6A61CE14"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875" w:history="1">
            <w:r w:rsidRPr="002D3772">
              <w:rPr>
                <w:rStyle w:val="Hyperlink"/>
                <w:rFonts w:cs="Arial"/>
                <w:noProof/>
              </w:rPr>
              <w:t>2.2.5 Social, Psychological, Genetic and Environmental Risk Factors</w:t>
            </w:r>
            <w:r>
              <w:rPr>
                <w:noProof/>
                <w:webHidden/>
              </w:rPr>
              <w:tab/>
            </w:r>
            <w:r>
              <w:rPr>
                <w:noProof/>
                <w:webHidden/>
              </w:rPr>
              <w:fldChar w:fldCharType="begin"/>
            </w:r>
            <w:r>
              <w:rPr>
                <w:noProof/>
                <w:webHidden/>
              </w:rPr>
              <w:instrText xml:space="preserve"> PAGEREF _Toc241090875 \h </w:instrText>
            </w:r>
            <w:r>
              <w:rPr>
                <w:noProof/>
                <w:webHidden/>
              </w:rPr>
            </w:r>
            <w:r>
              <w:rPr>
                <w:noProof/>
                <w:webHidden/>
              </w:rPr>
              <w:fldChar w:fldCharType="separate"/>
            </w:r>
            <w:r>
              <w:rPr>
                <w:noProof/>
                <w:webHidden/>
              </w:rPr>
              <w:t>20</w:t>
            </w:r>
            <w:r>
              <w:rPr>
                <w:noProof/>
                <w:webHidden/>
              </w:rPr>
              <w:fldChar w:fldCharType="end"/>
            </w:r>
          </w:hyperlink>
        </w:p>
        <w:p w14:paraId="098D5C54" w14:textId="3A30F63A"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876" w:history="1">
            <w:r w:rsidRPr="002D3772">
              <w:rPr>
                <w:rStyle w:val="Hyperlink"/>
                <w:rFonts w:cs="Arial"/>
                <w:noProof/>
              </w:rPr>
              <w:t>2.2.6 Diagnosis, Screening and Risk Stratification</w:t>
            </w:r>
            <w:r>
              <w:rPr>
                <w:noProof/>
                <w:webHidden/>
              </w:rPr>
              <w:tab/>
            </w:r>
            <w:r>
              <w:rPr>
                <w:noProof/>
                <w:webHidden/>
              </w:rPr>
              <w:fldChar w:fldCharType="begin"/>
            </w:r>
            <w:r>
              <w:rPr>
                <w:noProof/>
                <w:webHidden/>
              </w:rPr>
              <w:instrText xml:space="preserve"> PAGEREF _Toc241090876 \h </w:instrText>
            </w:r>
            <w:r>
              <w:rPr>
                <w:noProof/>
                <w:webHidden/>
              </w:rPr>
            </w:r>
            <w:r>
              <w:rPr>
                <w:noProof/>
                <w:webHidden/>
              </w:rPr>
              <w:fldChar w:fldCharType="separate"/>
            </w:r>
            <w:r>
              <w:rPr>
                <w:noProof/>
                <w:webHidden/>
              </w:rPr>
              <w:t>21</w:t>
            </w:r>
            <w:r>
              <w:rPr>
                <w:noProof/>
                <w:webHidden/>
              </w:rPr>
              <w:fldChar w:fldCharType="end"/>
            </w:r>
          </w:hyperlink>
        </w:p>
        <w:p w14:paraId="0F1BBB8A" w14:textId="0599584B"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877" w:history="1">
            <w:r w:rsidRPr="002D3772">
              <w:rPr>
                <w:rStyle w:val="Hyperlink"/>
                <w:rFonts w:cs="Arial"/>
                <w:noProof/>
              </w:rPr>
              <w:t>2.2.7 Pharmacological Management of CKD</w:t>
            </w:r>
            <w:r>
              <w:rPr>
                <w:noProof/>
                <w:webHidden/>
              </w:rPr>
              <w:tab/>
            </w:r>
            <w:r>
              <w:rPr>
                <w:noProof/>
                <w:webHidden/>
              </w:rPr>
              <w:fldChar w:fldCharType="begin"/>
            </w:r>
            <w:r>
              <w:rPr>
                <w:noProof/>
                <w:webHidden/>
              </w:rPr>
              <w:instrText xml:space="preserve"> PAGEREF _Toc241090877 \h </w:instrText>
            </w:r>
            <w:r>
              <w:rPr>
                <w:noProof/>
                <w:webHidden/>
              </w:rPr>
            </w:r>
            <w:r>
              <w:rPr>
                <w:noProof/>
                <w:webHidden/>
              </w:rPr>
              <w:fldChar w:fldCharType="separate"/>
            </w:r>
            <w:r>
              <w:rPr>
                <w:noProof/>
                <w:webHidden/>
              </w:rPr>
              <w:t>22</w:t>
            </w:r>
            <w:r>
              <w:rPr>
                <w:noProof/>
                <w:webHidden/>
              </w:rPr>
              <w:fldChar w:fldCharType="end"/>
            </w:r>
          </w:hyperlink>
        </w:p>
        <w:p w14:paraId="35F65960" w14:textId="43D5F302"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878" w:history="1">
            <w:r w:rsidRPr="002D3772">
              <w:rPr>
                <w:rStyle w:val="Hyperlink"/>
                <w:rFonts w:cs="Arial"/>
                <w:noProof/>
              </w:rPr>
              <w:t>2.2.8 Lifestyle, Digital and Patient-Centred Management</w:t>
            </w:r>
            <w:r>
              <w:rPr>
                <w:noProof/>
                <w:webHidden/>
              </w:rPr>
              <w:tab/>
            </w:r>
            <w:r>
              <w:rPr>
                <w:noProof/>
                <w:webHidden/>
              </w:rPr>
              <w:fldChar w:fldCharType="begin"/>
            </w:r>
            <w:r>
              <w:rPr>
                <w:noProof/>
                <w:webHidden/>
              </w:rPr>
              <w:instrText xml:space="preserve"> PAGEREF _Toc241090878 \h </w:instrText>
            </w:r>
            <w:r>
              <w:rPr>
                <w:noProof/>
                <w:webHidden/>
              </w:rPr>
            </w:r>
            <w:r>
              <w:rPr>
                <w:noProof/>
                <w:webHidden/>
              </w:rPr>
              <w:fldChar w:fldCharType="separate"/>
            </w:r>
            <w:r>
              <w:rPr>
                <w:noProof/>
                <w:webHidden/>
              </w:rPr>
              <w:t>22</w:t>
            </w:r>
            <w:r>
              <w:rPr>
                <w:noProof/>
                <w:webHidden/>
              </w:rPr>
              <w:fldChar w:fldCharType="end"/>
            </w:r>
          </w:hyperlink>
        </w:p>
        <w:p w14:paraId="46CF9336" w14:textId="677CFF02"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879" w:history="1">
            <w:r w:rsidRPr="002D3772">
              <w:rPr>
                <w:rStyle w:val="Hyperlink"/>
                <w:rFonts w:cs="Arial"/>
                <w:noProof/>
              </w:rPr>
              <w:t>2.2.9 Integrated CKD Management and Health-System Challenges</w:t>
            </w:r>
            <w:r>
              <w:rPr>
                <w:noProof/>
                <w:webHidden/>
              </w:rPr>
              <w:tab/>
            </w:r>
            <w:r>
              <w:rPr>
                <w:noProof/>
                <w:webHidden/>
              </w:rPr>
              <w:fldChar w:fldCharType="begin"/>
            </w:r>
            <w:r>
              <w:rPr>
                <w:noProof/>
                <w:webHidden/>
              </w:rPr>
              <w:instrText xml:space="preserve"> PAGEREF _Toc241090879 \h </w:instrText>
            </w:r>
            <w:r>
              <w:rPr>
                <w:noProof/>
                <w:webHidden/>
              </w:rPr>
            </w:r>
            <w:r>
              <w:rPr>
                <w:noProof/>
                <w:webHidden/>
              </w:rPr>
              <w:fldChar w:fldCharType="separate"/>
            </w:r>
            <w:r>
              <w:rPr>
                <w:noProof/>
                <w:webHidden/>
              </w:rPr>
              <w:t>23</w:t>
            </w:r>
            <w:r>
              <w:rPr>
                <w:noProof/>
                <w:webHidden/>
              </w:rPr>
              <w:fldChar w:fldCharType="end"/>
            </w:r>
          </w:hyperlink>
        </w:p>
        <w:p w14:paraId="244F6891" w14:textId="311F185F"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80" w:history="1">
            <w:r w:rsidRPr="002D3772">
              <w:rPr>
                <w:rStyle w:val="Hyperlink"/>
                <w:rFonts w:cs="Arial"/>
                <w:noProof/>
              </w:rPr>
              <w:t>2.3 Gaps in Literature</w:t>
            </w:r>
            <w:r>
              <w:rPr>
                <w:noProof/>
                <w:webHidden/>
              </w:rPr>
              <w:tab/>
            </w:r>
            <w:r>
              <w:rPr>
                <w:noProof/>
                <w:webHidden/>
              </w:rPr>
              <w:fldChar w:fldCharType="begin"/>
            </w:r>
            <w:r>
              <w:rPr>
                <w:noProof/>
                <w:webHidden/>
              </w:rPr>
              <w:instrText xml:space="preserve"> PAGEREF _Toc241090880 \h </w:instrText>
            </w:r>
            <w:r>
              <w:rPr>
                <w:noProof/>
                <w:webHidden/>
              </w:rPr>
            </w:r>
            <w:r>
              <w:rPr>
                <w:noProof/>
                <w:webHidden/>
              </w:rPr>
              <w:fldChar w:fldCharType="separate"/>
            </w:r>
            <w:r>
              <w:rPr>
                <w:noProof/>
                <w:webHidden/>
              </w:rPr>
              <w:t>23</w:t>
            </w:r>
            <w:r>
              <w:rPr>
                <w:noProof/>
                <w:webHidden/>
              </w:rPr>
              <w:fldChar w:fldCharType="end"/>
            </w:r>
          </w:hyperlink>
        </w:p>
        <w:p w14:paraId="156B5660" w14:textId="66C1AB17"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81" w:history="1">
            <w:r w:rsidRPr="002D3772">
              <w:rPr>
                <w:rStyle w:val="Hyperlink"/>
                <w:rFonts w:cs="Arial"/>
                <w:noProof/>
              </w:rPr>
              <w:t>2.4 Theoretical Framework</w:t>
            </w:r>
            <w:r>
              <w:rPr>
                <w:noProof/>
                <w:webHidden/>
              </w:rPr>
              <w:tab/>
            </w:r>
            <w:r>
              <w:rPr>
                <w:noProof/>
                <w:webHidden/>
              </w:rPr>
              <w:fldChar w:fldCharType="begin"/>
            </w:r>
            <w:r>
              <w:rPr>
                <w:noProof/>
                <w:webHidden/>
              </w:rPr>
              <w:instrText xml:space="preserve"> PAGEREF _Toc241090881 \h </w:instrText>
            </w:r>
            <w:r>
              <w:rPr>
                <w:noProof/>
                <w:webHidden/>
              </w:rPr>
            </w:r>
            <w:r>
              <w:rPr>
                <w:noProof/>
                <w:webHidden/>
              </w:rPr>
              <w:fldChar w:fldCharType="separate"/>
            </w:r>
            <w:r>
              <w:rPr>
                <w:noProof/>
                <w:webHidden/>
              </w:rPr>
              <w:t>24</w:t>
            </w:r>
            <w:r>
              <w:rPr>
                <w:noProof/>
                <w:webHidden/>
              </w:rPr>
              <w:fldChar w:fldCharType="end"/>
            </w:r>
          </w:hyperlink>
        </w:p>
        <w:p w14:paraId="51DD503B" w14:textId="1CE348D1"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882" w:history="1">
            <w:r w:rsidRPr="002D3772">
              <w:rPr>
                <w:rStyle w:val="Hyperlink"/>
                <w:rFonts w:cs="Arial"/>
                <w:noProof/>
              </w:rPr>
              <w:t>2.4.1 Overview and Justification of the Health Belief Model</w:t>
            </w:r>
            <w:r>
              <w:rPr>
                <w:noProof/>
                <w:webHidden/>
              </w:rPr>
              <w:tab/>
            </w:r>
            <w:r>
              <w:rPr>
                <w:noProof/>
                <w:webHidden/>
              </w:rPr>
              <w:fldChar w:fldCharType="begin"/>
            </w:r>
            <w:r>
              <w:rPr>
                <w:noProof/>
                <w:webHidden/>
              </w:rPr>
              <w:instrText xml:space="preserve"> PAGEREF _Toc241090882 \h </w:instrText>
            </w:r>
            <w:r>
              <w:rPr>
                <w:noProof/>
                <w:webHidden/>
              </w:rPr>
            </w:r>
            <w:r>
              <w:rPr>
                <w:noProof/>
                <w:webHidden/>
              </w:rPr>
              <w:fldChar w:fldCharType="separate"/>
            </w:r>
            <w:r>
              <w:rPr>
                <w:noProof/>
                <w:webHidden/>
              </w:rPr>
              <w:t>24</w:t>
            </w:r>
            <w:r>
              <w:rPr>
                <w:noProof/>
                <w:webHidden/>
              </w:rPr>
              <w:fldChar w:fldCharType="end"/>
            </w:r>
          </w:hyperlink>
        </w:p>
        <w:p w14:paraId="325BB97B" w14:textId="37C97F31"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883" w:history="1">
            <w:r w:rsidRPr="002D3772">
              <w:rPr>
                <w:rStyle w:val="Hyperlink"/>
                <w:rFonts w:cs="Arial"/>
                <w:noProof/>
              </w:rPr>
              <w:t>2.4.2 Perceived Susceptibility and Perceived Severity</w:t>
            </w:r>
            <w:r>
              <w:rPr>
                <w:noProof/>
                <w:webHidden/>
              </w:rPr>
              <w:tab/>
            </w:r>
            <w:r>
              <w:rPr>
                <w:noProof/>
                <w:webHidden/>
              </w:rPr>
              <w:fldChar w:fldCharType="begin"/>
            </w:r>
            <w:r>
              <w:rPr>
                <w:noProof/>
                <w:webHidden/>
              </w:rPr>
              <w:instrText xml:space="preserve"> PAGEREF _Toc241090883 \h </w:instrText>
            </w:r>
            <w:r>
              <w:rPr>
                <w:noProof/>
                <w:webHidden/>
              </w:rPr>
            </w:r>
            <w:r>
              <w:rPr>
                <w:noProof/>
                <w:webHidden/>
              </w:rPr>
              <w:fldChar w:fldCharType="separate"/>
            </w:r>
            <w:r>
              <w:rPr>
                <w:noProof/>
                <w:webHidden/>
              </w:rPr>
              <w:t>25</w:t>
            </w:r>
            <w:r>
              <w:rPr>
                <w:noProof/>
                <w:webHidden/>
              </w:rPr>
              <w:fldChar w:fldCharType="end"/>
            </w:r>
          </w:hyperlink>
        </w:p>
        <w:p w14:paraId="03E7798E" w14:textId="3FADC0CA"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884" w:history="1">
            <w:r w:rsidRPr="002D3772">
              <w:rPr>
                <w:rStyle w:val="Hyperlink"/>
                <w:rFonts w:cs="Arial"/>
                <w:noProof/>
              </w:rPr>
              <w:t>2.4.3 Perceived Benefits, Perceived Barriers and Cues to Action</w:t>
            </w:r>
            <w:r>
              <w:rPr>
                <w:noProof/>
                <w:webHidden/>
              </w:rPr>
              <w:tab/>
            </w:r>
            <w:r>
              <w:rPr>
                <w:noProof/>
                <w:webHidden/>
              </w:rPr>
              <w:fldChar w:fldCharType="begin"/>
            </w:r>
            <w:r>
              <w:rPr>
                <w:noProof/>
                <w:webHidden/>
              </w:rPr>
              <w:instrText xml:space="preserve"> PAGEREF _Toc241090884 \h </w:instrText>
            </w:r>
            <w:r>
              <w:rPr>
                <w:noProof/>
                <w:webHidden/>
              </w:rPr>
            </w:r>
            <w:r>
              <w:rPr>
                <w:noProof/>
                <w:webHidden/>
              </w:rPr>
              <w:fldChar w:fldCharType="separate"/>
            </w:r>
            <w:r>
              <w:rPr>
                <w:noProof/>
                <w:webHidden/>
              </w:rPr>
              <w:t>26</w:t>
            </w:r>
            <w:r>
              <w:rPr>
                <w:noProof/>
                <w:webHidden/>
              </w:rPr>
              <w:fldChar w:fldCharType="end"/>
            </w:r>
          </w:hyperlink>
        </w:p>
        <w:p w14:paraId="622EF634" w14:textId="63DEFDE6"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885" w:history="1">
            <w:r w:rsidRPr="002D3772">
              <w:rPr>
                <w:rStyle w:val="Hyperlink"/>
                <w:rFonts w:cs="Arial"/>
                <w:noProof/>
              </w:rPr>
              <w:t>2.4.4 Self-Efficacy and Critical Limitation of the Model</w:t>
            </w:r>
            <w:r>
              <w:rPr>
                <w:noProof/>
                <w:webHidden/>
              </w:rPr>
              <w:tab/>
            </w:r>
            <w:r>
              <w:rPr>
                <w:noProof/>
                <w:webHidden/>
              </w:rPr>
              <w:fldChar w:fldCharType="begin"/>
            </w:r>
            <w:r>
              <w:rPr>
                <w:noProof/>
                <w:webHidden/>
              </w:rPr>
              <w:instrText xml:space="preserve"> PAGEREF _Toc241090885 \h </w:instrText>
            </w:r>
            <w:r>
              <w:rPr>
                <w:noProof/>
                <w:webHidden/>
              </w:rPr>
            </w:r>
            <w:r>
              <w:rPr>
                <w:noProof/>
                <w:webHidden/>
              </w:rPr>
              <w:fldChar w:fldCharType="separate"/>
            </w:r>
            <w:r>
              <w:rPr>
                <w:noProof/>
                <w:webHidden/>
              </w:rPr>
              <w:t>26</w:t>
            </w:r>
            <w:r>
              <w:rPr>
                <w:noProof/>
                <w:webHidden/>
              </w:rPr>
              <w:fldChar w:fldCharType="end"/>
            </w:r>
          </w:hyperlink>
        </w:p>
        <w:p w14:paraId="3EA81CE1" w14:textId="51242FDC"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86" w:history="1">
            <w:r w:rsidRPr="002D3772">
              <w:rPr>
                <w:rStyle w:val="Hyperlink"/>
                <w:rFonts w:cs="Arial"/>
                <w:noProof/>
              </w:rPr>
              <w:t>2.5 Summary of the Chapter</w:t>
            </w:r>
            <w:r>
              <w:rPr>
                <w:noProof/>
                <w:webHidden/>
              </w:rPr>
              <w:tab/>
            </w:r>
            <w:r>
              <w:rPr>
                <w:noProof/>
                <w:webHidden/>
              </w:rPr>
              <w:fldChar w:fldCharType="begin"/>
            </w:r>
            <w:r>
              <w:rPr>
                <w:noProof/>
                <w:webHidden/>
              </w:rPr>
              <w:instrText xml:space="preserve"> PAGEREF _Toc241090886 \h </w:instrText>
            </w:r>
            <w:r>
              <w:rPr>
                <w:noProof/>
                <w:webHidden/>
              </w:rPr>
            </w:r>
            <w:r>
              <w:rPr>
                <w:noProof/>
                <w:webHidden/>
              </w:rPr>
              <w:fldChar w:fldCharType="separate"/>
            </w:r>
            <w:r>
              <w:rPr>
                <w:noProof/>
                <w:webHidden/>
              </w:rPr>
              <w:t>26</w:t>
            </w:r>
            <w:r>
              <w:rPr>
                <w:noProof/>
                <w:webHidden/>
              </w:rPr>
              <w:fldChar w:fldCharType="end"/>
            </w:r>
          </w:hyperlink>
        </w:p>
        <w:p w14:paraId="5268C478" w14:textId="46A5CADB" w:rsidR="00117C2B" w:rsidRDefault="00117C2B">
          <w:pPr>
            <w:pStyle w:val="TOC1"/>
            <w:tabs>
              <w:tab w:val="right" w:leader="dot" w:pos="8296"/>
            </w:tabs>
            <w:rPr>
              <w:rFonts w:asciiTheme="minorHAnsi" w:eastAsiaTheme="minorEastAsia" w:hAnsiTheme="minorHAnsi" w:cstheme="minorBidi"/>
              <w:noProof/>
              <w:kern w:val="2"/>
              <w14:ligatures w14:val="standardContextual"/>
            </w:rPr>
          </w:pPr>
          <w:hyperlink w:anchor="_Toc241090887" w:history="1">
            <w:r w:rsidRPr="002D3772">
              <w:rPr>
                <w:rStyle w:val="Hyperlink"/>
                <w:noProof/>
              </w:rPr>
              <w:t>Chapter Three: Research Methodology</w:t>
            </w:r>
            <w:r>
              <w:rPr>
                <w:noProof/>
                <w:webHidden/>
              </w:rPr>
              <w:tab/>
            </w:r>
            <w:r>
              <w:rPr>
                <w:noProof/>
                <w:webHidden/>
              </w:rPr>
              <w:fldChar w:fldCharType="begin"/>
            </w:r>
            <w:r>
              <w:rPr>
                <w:noProof/>
                <w:webHidden/>
              </w:rPr>
              <w:instrText xml:space="preserve"> PAGEREF _Toc241090887 \h </w:instrText>
            </w:r>
            <w:r>
              <w:rPr>
                <w:noProof/>
                <w:webHidden/>
              </w:rPr>
            </w:r>
            <w:r>
              <w:rPr>
                <w:noProof/>
                <w:webHidden/>
              </w:rPr>
              <w:fldChar w:fldCharType="separate"/>
            </w:r>
            <w:r>
              <w:rPr>
                <w:noProof/>
                <w:webHidden/>
              </w:rPr>
              <w:t>28</w:t>
            </w:r>
            <w:r>
              <w:rPr>
                <w:noProof/>
                <w:webHidden/>
              </w:rPr>
              <w:fldChar w:fldCharType="end"/>
            </w:r>
          </w:hyperlink>
        </w:p>
        <w:p w14:paraId="18461C8B" w14:textId="547469F8"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88" w:history="1">
            <w:r w:rsidRPr="002D3772">
              <w:rPr>
                <w:rStyle w:val="Hyperlink"/>
                <w:rFonts w:cs="Arial"/>
                <w:noProof/>
              </w:rPr>
              <w:t>3.1 Research Approach</w:t>
            </w:r>
            <w:r>
              <w:rPr>
                <w:noProof/>
                <w:webHidden/>
              </w:rPr>
              <w:tab/>
            </w:r>
            <w:r>
              <w:rPr>
                <w:noProof/>
                <w:webHidden/>
              </w:rPr>
              <w:fldChar w:fldCharType="begin"/>
            </w:r>
            <w:r>
              <w:rPr>
                <w:noProof/>
                <w:webHidden/>
              </w:rPr>
              <w:instrText xml:space="preserve"> PAGEREF _Toc241090888 \h </w:instrText>
            </w:r>
            <w:r>
              <w:rPr>
                <w:noProof/>
                <w:webHidden/>
              </w:rPr>
            </w:r>
            <w:r>
              <w:rPr>
                <w:noProof/>
                <w:webHidden/>
              </w:rPr>
              <w:fldChar w:fldCharType="separate"/>
            </w:r>
            <w:r>
              <w:rPr>
                <w:noProof/>
                <w:webHidden/>
              </w:rPr>
              <w:t>28</w:t>
            </w:r>
            <w:r>
              <w:rPr>
                <w:noProof/>
                <w:webHidden/>
              </w:rPr>
              <w:fldChar w:fldCharType="end"/>
            </w:r>
          </w:hyperlink>
        </w:p>
        <w:p w14:paraId="54C1B804" w14:textId="03654BB8"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89" w:history="1">
            <w:r w:rsidRPr="002D3772">
              <w:rPr>
                <w:rStyle w:val="Hyperlink"/>
                <w:rFonts w:cs="Arial"/>
                <w:noProof/>
              </w:rPr>
              <w:t>3.2 Study Design</w:t>
            </w:r>
            <w:r>
              <w:rPr>
                <w:noProof/>
                <w:webHidden/>
              </w:rPr>
              <w:tab/>
            </w:r>
            <w:r>
              <w:rPr>
                <w:noProof/>
                <w:webHidden/>
              </w:rPr>
              <w:fldChar w:fldCharType="begin"/>
            </w:r>
            <w:r>
              <w:rPr>
                <w:noProof/>
                <w:webHidden/>
              </w:rPr>
              <w:instrText xml:space="preserve"> PAGEREF _Toc241090889 \h </w:instrText>
            </w:r>
            <w:r>
              <w:rPr>
                <w:noProof/>
                <w:webHidden/>
              </w:rPr>
            </w:r>
            <w:r>
              <w:rPr>
                <w:noProof/>
                <w:webHidden/>
              </w:rPr>
              <w:fldChar w:fldCharType="separate"/>
            </w:r>
            <w:r>
              <w:rPr>
                <w:noProof/>
                <w:webHidden/>
              </w:rPr>
              <w:t>28</w:t>
            </w:r>
            <w:r>
              <w:rPr>
                <w:noProof/>
                <w:webHidden/>
              </w:rPr>
              <w:fldChar w:fldCharType="end"/>
            </w:r>
          </w:hyperlink>
        </w:p>
        <w:p w14:paraId="26BD6226" w14:textId="5D725086"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90" w:history="1">
            <w:r w:rsidRPr="002D3772">
              <w:rPr>
                <w:rStyle w:val="Hyperlink"/>
                <w:rFonts w:cs="Arial"/>
                <w:noProof/>
              </w:rPr>
              <w:t>3.3 Search Strategy</w:t>
            </w:r>
            <w:r>
              <w:rPr>
                <w:noProof/>
                <w:webHidden/>
              </w:rPr>
              <w:tab/>
            </w:r>
            <w:r>
              <w:rPr>
                <w:noProof/>
                <w:webHidden/>
              </w:rPr>
              <w:fldChar w:fldCharType="begin"/>
            </w:r>
            <w:r>
              <w:rPr>
                <w:noProof/>
                <w:webHidden/>
              </w:rPr>
              <w:instrText xml:space="preserve"> PAGEREF _Toc241090890 \h </w:instrText>
            </w:r>
            <w:r>
              <w:rPr>
                <w:noProof/>
                <w:webHidden/>
              </w:rPr>
            </w:r>
            <w:r>
              <w:rPr>
                <w:noProof/>
                <w:webHidden/>
              </w:rPr>
              <w:fldChar w:fldCharType="separate"/>
            </w:r>
            <w:r>
              <w:rPr>
                <w:noProof/>
                <w:webHidden/>
              </w:rPr>
              <w:t>29</w:t>
            </w:r>
            <w:r>
              <w:rPr>
                <w:noProof/>
                <w:webHidden/>
              </w:rPr>
              <w:fldChar w:fldCharType="end"/>
            </w:r>
          </w:hyperlink>
        </w:p>
        <w:p w14:paraId="4A6B0679" w14:textId="51BF9200"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91" w:history="1">
            <w:r w:rsidRPr="002D3772">
              <w:rPr>
                <w:rStyle w:val="Hyperlink"/>
                <w:noProof/>
              </w:rPr>
              <w:t>3.4 Inclusion and Exclusion Criteria</w:t>
            </w:r>
            <w:r>
              <w:rPr>
                <w:noProof/>
                <w:webHidden/>
              </w:rPr>
              <w:tab/>
            </w:r>
            <w:r>
              <w:rPr>
                <w:noProof/>
                <w:webHidden/>
              </w:rPr>
              <w:fldChar w:fldCharType="begin"/>
            </w:r>
            <w:r>
              <w:rPr>
                <w:noProof/>
                <w:webHidden/>
              </w:rPr>
              <w:instrText xml:space="preserve"> PAGEREF _Toc241090891 \h </w:instrText>
            </w:r>
            <w:r>
              <w:rPr>
                <w:noProof/>
                <w:webHidden/>
              </w:rPr>
            </w:r>
            <w:r>
              <w:rPr>
                <w:noProof/>
                <w:webHidden/>
              </w:rPr>
              <w:fldChar w:fldCharType="separate"/>
            </w:r>
            <w:r>
              <w:rPr>
                <w:noProof/>
                <w:webHidden/>
              </w:rPr>
              <w:t>32</w:t>
            </w:r>
            <w:r>
              <w:rPr>
                <w:noProof/>
                <w:webHidden/>
              </w:rPr>
              <w:fldChar w:fldCharType="end"/>
            </w:r>
          </w:hyperlink>
        </w:p>
        <w:p w14:paraId="06E4326B" w14:textId="62220DB5"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92" w:history="1">
            <w:r w:rsidRPr="002D3772">
              <w:rPr>
                <w:rStyle w:val="Hyperlink"/>
                <w:rFonts w:cs="Arial"/>
                <w:noProof/>
              </w:rPr>
              <w:t>3.5 PRISMA</w:t>
            </w:r>
            <w:r>
              <w:rPr>
                <w:noProof/>
                <w:webHidden/>
              </w:rPr>
              <w:tab/>
            </w:r>
            <w:r>
              <w:rPr>
                <w:noProof/>
                <w:webHidden/>
              </w:rPr>
              <w:fldChar w:fldCharType="begin"/>
            </w:r>
            <w:r>
              <w:rPr>
                <w:noProof/>
                <w:webHidden/>
              </w:rPr>
              <w:instrText xml:space="preserve"> PAGEREF _Toc241090892 \h </w:instrText>
            </w:r>
            <w:r>
              <w:rPr>
                <w:noProof/>
                <w:webHidden/>
              </w:rPr>
            </w:r>
            <w:r>
              <w:rPr>
                <w:noProof/>
                <w:webHidden/>
              </w:rPr>
              <w:fldChar w:fldCharType="separate"/>
            </w:r>
            <w:r>
              <w:rPr>
                <w:noProof/>
                <w:webHidden/>
              </w:rPr>
              <w:t>33</w:t>
            </w:r>
            <w:r>
              <w:rPr>
                <w:noProof/>
                <w:webHidden/>
              </w:rPr>
              <w:fldChar w:fldCharType="end"/>
            </w:r>
          </w:hyperlink>
        </w:p>
        <w:p w14:paraId="7B6ED9E8" w14:textId="4F275286"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93" w:history="1">
            <w:r w:rsidRPr="002D3772">
              <w:rPr>
                <w:rStyle w:val="Hyperlink"/>
                <w:rFonts w:cs="Arial"/>
                <w:noProof/>
              </w:rPr>
              <w:t>3.6 CASP Critical Appraisal</w:t>
            </w:r>
            <w:r>
              <w:rPr>
                <w:noProof/>
                <w:webHidden/>
              </w:rPr>
              <w:tab/>
            </w:r>
            <w:r>
              <w:rPr>
                <w:noProof/>
                <w:webHidden/>
              </w:rPr>
              <w:fldChar w:fldCharType="begin"/>
            </w:r>
            <w:r>
              <w:rPr>
                <w:noProof/>
                <w:webHidden/>
              </w:rPr>
              <w:instrText xml:space="preserve"> PAGEREF _Toc241090893 \h </w:instrText>
            </w:r>
            <w:r>
              <w:rPr>
                <w:noProof/>
                <w:webHidden/>
              </w:rPr>
            </w:r>
            <w:r>
              <w:rPr>
                <w:noProof/>
                <w:webHidden/>
              </w:rPr>
              <w:fldChar w:fldCharType="separate"/>
            </w:r>
            <w:r>
              <w:rPr>
                <w:noProof/>
                <w:webHidden/>
              </w:rPr>
              <w:t>34</w:t>
            </w:r>
            <w:r>
              <w:rPr>
                <w:noProof/>
                <w:webHidden/>
              </w:rPr>
              <w:fldChar w:fldCharType="end"/>
            </w:r>
          </w:hyperlink>
        </w:p>
        <w:p w14:paraId="66AA8B78" w14:textId="33C0A468"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94" w:history="1">
            <w:r w:rsidRPr="002D3772">
              <w:rPr>
                <w:rStyle w:val="Hyperlink"/>
                <w:rFonts w:cs="Arial"/>
                <w:noProof/>
              </w:rPr>
              <w:t>3.7 Data Extraction</w:t>
            </w:r>
            <w:r>
              <w:rPr>
                <w:noProof/>
                <w:webHidden/>
              </w:rPr>
              <w:tab/>
            </w:r>
            <w:r>
              <w:rPr>
                <w:noProof/>
                <w:webHidden/>
              </w:rPr>
              <w:fldChar w:fldCharType="begin"/>
            </w:r>
            <w:r>
              <w:rPr>
                <w:noProof/>
                <w:webHidden/>
              </w:rPr>
              <w:instrText xml:space="preserve"> PAGEREF _Toc241090894 \h </w:instrText>
            </w:r>
            <w:r>
              <w:rPr>
                <w:noProof/>
                <w:webHidden/>
              </w:rPr>
            </w:r>
            <w:r>
              <w:rPr>
                <w:noProof/>
                <w:webHidden/>
              </w:rPr>
              <w:fldChar w:fldCharType="separate"/>
            </w:r>
            <w:r>
              <w:rPr>
                <w:noProof/>
                <w:webHidden/>
              </w:rPr>
              <w:t>34</w:t>
            </w:r>
            <w:r>
              <w:rPr>
                <w:noProof/>
                <w:webHidden/>
              </w:rPr>
              <w:fldChar w:fldCharType="end"/>
            </w:r>
          </w:hyperlink>
        </w:p>
        <w:p w14:paraId="37B573E7" w14:textId="6042AABB"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95" w:history="1">
            <w:r w:rsidRPr="002D3772">
              <w:rPr>
                <w:rStyle w:val="Hyperlink"/>
                <w:rFonts w:cs="Arial"/>
                <w:noProof/>
              </w:rPr>
              <w:t>3.8 Thematic Analysis</w:t>
            </w:r>
            <w:r>
              <w:rPr>
                <w:noProof/>
                <w:webHidden/>
              </w:rPr>
              <w:tab/>
            </w:r>
            <w:r>
              <w:rPr>
                <w:noProof/>
                <w:webHidden/>
              </w:rPr>
              <w:fldChar w:fldCharType="begin"/>
            </w:r>
            <w:r>
              <w:rPr>
                <w:noProof/>
                <w:webHidden/>
              </w:rPr>
              <w:instrText xml:space="preserve"> PAGEREF _Toc241090895 \h </w:instrText>
            </w:r>
            <w:r>
              <w:rPr>
                <w:noProof/>
                <w:webHidden/>
              </w:rPr>
            </w:r>
            <w:r>
              <w:rPr>
                <w:noProof/>
                <w:webHidden/>
              </w:rPr>
              <w:fldChar w:fldCharType="separate"/>
            </w:r>
            <w:r>
              <w:rPr>
                <w:noProof/>
                <w:webHidden/>
              </w:rPr>
              <w:t>36</w:t>
            </w:r>
            <w:r>
              <w:rPr>
                <w:noProof/>
                <w:webHidden/>
              </w:rPr>
              <w:fldChar w:fldCharType="end"/>
            </w:r>
          </w:hyperlink>
        </w:p>
        <w:p w14:paraId="472C41AE" w14:textId="2E866895"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96" w:history="1">
            <w:r w:rsidRPr="002D3772">
              <w:rPr>
                <w:rStyle w:val="Hyperlink"/>
                <w:rFonts w:cs="Arial"/>
                <w:noProof/>
              </w:rPr>
              <w:t>3.9 Ethical Considerations</w:t>
            </w:r>
            <w:r>
              <w:rPr>
                <w:noProof/>
                <w:webHidden/>
              </w:rPr>
              <w:tab/>
            </w:r>
            <w:r>
              <w:rPr>
                <w:noProof/>
                <w:webHidden/>
              </w:rPr>
              <w:fldChar w:fldCharType="begin"/>
            </w:r>
            <w:r>
              <w:rPr>
                <w:noProof/>
                <w:webHidden/>
              </w:rPr>
              <w:instrText xml:space="preserve"> PAGEREF _Toc241090896 \h </w:instrText>
            </w:r>
            <w:r>
              <w:rPr>
                <w:noProof/>
                <w:webHidden/>
              </w:rPr>
            </w:r>
            <w:r>
              <w:rPr>
                <w:noProof/>
                <w:webHidden/>
              </w:rPr>
              <w:fldChar w:fldCharType="separate"/>
            </w:r>
            <w:r>
              <w:rPr>
                <w:noProof/>
                <w:webHidden/>
              </w:rPr>
              <w:t>37</w:t>
            </w:r>
            <w:r>
              <w:rPr>
                <w:noProof/>
                <w:webHidden/>
              </w:rPr>
              <w:fldChar w:fldCharType="end"/>
            </w:r>
          </w:hyperlink>
        </w:p>
        <w:p w14:paraId="07E0851C" w14:textId="05E0ABD8"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97" w:history="1">
            <w:r w:rsidRPr="002D3772">
              <w:rPr>
                <w:rStyle w:val="Hyperlink"/>
                <w:rFonts w:cs="Arial"/>
                <w:noProof/>
              </w:rPr>
              <w:t>3.10 Chapter Summary</w:t>
            </w:r>
            <w:r>
              <w:rPr>
                <w:noProof/>
                <w:webHidden/>
              </w:rPr>
              <w:tab/>
            </w:r>
            <w:r>
              <w:rPr>
                <w:noProof/>
                <w:webHidden/>
              </w:rPr>
              <w:fldChar w:fldCharType="begin"/>
            </w:r>
            <w:r>
              <w:rPr>
                <w:noProof/>
                <w:webHidden/>
              </w:rPr>
              <w:instrText xml:space="preserve"> PAGEREF _Toc241090897 \h </w:instrText>
            </w:r>
            <w:r>
              <w:rPr>
                <w:noProof/>
                <w:webHidden/>
              </w:rPr>
            </w:r>
            <w:r>
              <w:rPr>
                <w:noProof/>
                <w:webHidden/>
              </w:rPr>
              <w:fldChar w:fldCharType="separate"/>
            </w:r>
            <w:r>
              <w:rPr>
                <w:noProof/>
                <w:webHidden/>
              </w:rPr>
              <w:t>37</w:t>
            </w:r>
            <w:r>
              <w:rPr>
                <w:noProof/>
                <w:webHidden/>
              </w:rPr>
              <w:fldChar w:fldCharType="end"/>
            </w:r>
          </w:hyperlink>
        </w:p>
        <w:p w14:paraId="4B5F2EEE" w14:textId="3C457F61" w:rsidR="00117C2B" w:rsidRDefault="00117C2B">
          <w:pPr>
            <w:pStyle w:val="TOC1"/>
            <w:tabs>
              <w:tab w:val="right" w:leader="dot" w:pos="8296"/>
            </w:tabs>
            <w:rPr>
              <w:rFonts w:asciiTheme="minorHAnsi" w:eastAsiaTheme="minorEastAsia" w:hAnsiTheme="minorHAnsi" w:cstheme="minorBidi"/>
              <w:noProof/>
              <w:kern w:val="2"/>
              <w14:ligatures w14:val="standardContextual"/>
            </w:rPr>
          </w:pPr>
          <w:hyperlink w:anchor="_Toc241090898" w:history="1">
            <w:r w:rsidRPr="002D3772">
              <w:rPr>
                <w:rStyle w:val="Hyperlink"/>
                <w:noProof/>
              </w:rPr>
              <w:t>CHAPTER Four: RESULTS AND FINDINGS</w:t>
            </w:r>
            <w:r>
              <w:rPr>
                <w:noProof/>
                <w:webHidden/>
              </w:rPr>
              <w:tab/>
            </w:r>
            <w:r>
              <w:rPr>
                <w:noProof/>
                <w:webHidden/>
              </w:rPr>
              <w:fldChar w:fldCharType="begin"/>
            </w:r>
            <w:r>
              <w:rPr>
                <w:noProof/>
                <w:webHidden/>
              </w:rPr>
              <w:instrText xml:space="preserve"> PAGEREF _Toc241090898 \h </w:instrText>
            </w:r>
            <w:r>
              <w:rPr>
                <w:noProof/>
                <w:webHidden/>
              </w:rPr>
            </w:r>
            <w:r>
              <w:rPr>
                <w:noProof/>
                <w:webHidden/>
              </w:rPr>
              <w:fldChar w:fldCharType="separate"/>
            </w:r>
            <w:r>
              <w:rPr>
                <w:noProof/>
                <w:webHidden/>
              </w:rPr>
              <w:t>39</w:t>
            </w:r>
            <w:r>
              <w:rPr>
                <w:noProof/>
                <w:webHidden/>
              </w:rPr>
              <w:fldChar w:fldCharType="end"/>
            </w:r>
          </w:hyperlink>
        </w:p>
        <w:p w14:paraId="1D983D4D" w14:textId="66114A0F"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899" w:history="1">
            <w:r w:rsidRPr="002D3772">
              <w:rPr>
                <w:rStyle w:val="Hyperlink"/>
                <w:rFonts w:cs="Arial"/>
                <w:noProof/>
              </w:rPr>
              <w:t>4.1 Introduction</w:t>
            </w:r>
            <w:r>
              <w:rPr>
                <w:noProof/>
                <w:webHidden/>
              </w:rPr>
              <w:tab/>
            </w:r>
            <w:r>
              <w:rPr>
                <w:noProof/>
                <w:webHidden/>
              </w:rPr>
              <w:fldChar w:fldCharType="begin"/>
            </w:r>
            <w:r>
              <w:rPr>
                <w:noProof/>
                <w:webHidden/>
              </w:rPr>
              <w:instrText xml:space="preserve"> PAGEREF _Toc241090899 \h </w:instrText>
            </w:r>
            <w:r>
              <w:rPr>
                <w:noProof/>
                <w:webHidden/>
              </w:rPr>
            </w:r>
            <w:r>
              <w:rPr>
                <w:noProof/>
                <w:webHidden/>
              </w:rPr>
              <w:fldChar w:fldCharType="separate"/>
            </w:r>
            <w:r>
              <w:rPr>
                <w:noProof/>
                <w:webHidden/>
              </w:rPr>
              <w:t>39</w:t>
            </w:r>
            <w:r>
              <w:rPr>
                <w:noProof/>
                <w:webHidden/>
              </w:rPr>
              <w:fldChar w:fldCharType="end"/>
            </w:r>
          </w:hyperlink>
        </w:p>
        <w:p w14:paraId="74746878" w14:textId="4BCC888D"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00" w:history="1">
            <w:r w:rsidRPr="002D3772">
              <w:rPr>
                <w:rStyle w:val="Hyperlink"/>
                <w:rFonts w:cs="Arial"/>
                <w:noProof/>
              </w:rPr>
              <w:t>4.2 PRISMA Study Selection</w:t>
            </w:r>
            <w:r>
              <w:rPr>
                <w:noProof/>
                <w:webHidden/>
              </w:rPr>
              <w:tab/>
            </w:r>
            <w:r>
              <w:rPr>
                <w:noProof/>
                <w:webHidden/>
              </w:rPr>
              <w:fldChar w:fldCharType="begin"/>
            </w:r>
            <w:r>
              <w:rPr>
                <w:noProof/>
                <w:webHidden/>
              </w:rPr>
              <w:instrText xml:space="preserve"> PAGEREF _Toc241090900 \h </w:instrText>
            </w:r>
            <w:r>
              <w:rPr>
                <w:noProof/>
                <w:webHidden/>
              </w:rPr>
            </w:r>
            <w:r>
              <w:rPr>
                <w:noProof/>
                <w:webHidden/>
              </w:rPr>
              <w:fldChar w:fldCharType="separate"/>
            </w:r>
            <w:r>
              <w:rPr>
                <w:noProof/>
                <w:webHidden/>
              </w:rPr>
              <w:t>39</w:t>
            </w:r>
            <w:r>
              <w:rPr>
                <w:noProof/>
                <w:webHidden/>
              </w:rPr>
              <w:fldChar w:fldCharType="end"/>
            </w:r>
          </w:hyperlink>
        </w:p>
        <w:p w14:paraId="30D8B7F5" w14:textId="00B04B92"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01" w:history="1">
            <w:r w:rsidRPr="002D3772">
              <w:rPr>
                <w:rStyle w:val="Hyperlink"/>
                <w:rFonts w:cs="Arial"/>
                <w:noProof/>
              </w:rPr>
              <w:t>4.3 Quality Appraisal of Included Studies</w:t>
            </w:r>
            <w:r>
              <w:rPr>
                <w:noProof/>
                <w:webHidden/>
              </w:rPr>
              <w:tab/>
            </w:r>
            <w:r>
              <w:rPr>
                <w:noProof/>
                <w:webHidden/>
              </w:rPr>
              <w:fldChar w:fldCharType="begin"/>
            </w:r>
            <w:r>
              <w:rPr>
                <w:noProof/>
                <w:webHidden/>
              </w:rPr>
              <w:instrText xml:space="preserve"> PAGEREF _Toc241090901 \h </w:instrText>
            </w:r>
            <w:r>
              <w:rPr>
                <w:noProof/>
                <w:webHidden/>
              </w:rPr>
            </w:r>
            <w:r>
              <w:rPr>
                <w:noProof/>
                <w:webHidden/>
              </w:rPr>
              <w:fldChar w:fldCharType="separate"/>
            </w:r>
            <w:r>
              <w:rPr>
                <w:noProof/>
                <w:webHidden/>
              </w:rPr>
              <w:t>41</w:t>
            </w:r>
            <w:r>
              <w:rPr>
                <w:noProof/>
                <w:webHidden/>
              </w:rPr>
              <w:fldChar w:fldCharType="end"/>
            </w:r>
          </w:hyperlink>
        </w:p>
        <w:p w14:paraId="05160F4B" w14:textId="3F5B4D29"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02" w:history="1">
            <w:r w:rsidRPr="002D3772">
              <w:rPr>
                <w:rStyle w:val="Hyperlink"/>
                <w:rFonts w:cs="Arial"/>
                <w:noProof/>
              </w:rPr>
              <w:t>4.4 Characteristics of Included Studies</w:t>
            </w:r>
            <w:r>
              <w:rPr>
                <w:noProof/>
                <w:webHidden/>
              </w:rPr>
              <w:tab/>
            </w:r>
            <w:r>
              <w:rPr>
                <w:noProof/>
                <w:webHidden/>
              </w:rPr>
              <w:fldChar w:fldCharType="begin"/>
            </w:r>
            <w:r>
              <w:rPr>
                <w:noProof/>
                <w:webHidden/>
              </w:rPr>
              <w:instrText xml:space="preserve"> PAGEREF _Toc241090902 \h </w:instrText>
            </w:r>
            <w:r>
              <w:rPr>
                <w:noProof/>
                <w:webHidden/>
              </w:rPr>
            </w:r>
            <w:r>
              <w:rPr>
                <w:noProof/>
                <w:webHidden/>
              </w:rPr>
              <w:fldChar w:fldCharType="separate"/>
            </w:r>
            <w:r>
              <w:rPr>
                <w:noProof/>
                <w:webHidden/>
              </w:rPr>
              <w:t>46</w:t>
            </w:r>
            <w:r>
              <w:rPr>
                <w:noProof/>
                <w:webHidden/>
              </w:rPr>
              <w:fldChar w:fldCharType="end"/>
            </w:r>
          </w:hyperlink>
        </w:p>
        <w:p w14:paraId="3A556931" w14:textId="5A2B5D73"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03" w:history="1">
            <w:r w:rsidRPr="002D3772">
              <w:rPr>
                <w:rStyle w:val="Hyperlink"/>
                <w:rFonts w:cs="Arial"/>
                <w:noProof/>
              </w:rPr>
              <w:t>4.5 Thematic Analysis of Findings</w:t>
            </w:r>
            <w:r>
              <w:rPr>
                <w:noProof/>
                <w:webHidden/>
              </w:rPr>
              <w:tab/>
            </w:r>
            <w:r>
              <w:rPr>
                <w:noProof/>
                <w:webHidden/>
              </w:rPr>
              <w:fldChar w:fldCharType="begin"/>
            </w:r>
            <w:r>
              <w:rPr>
                <w:noProof/>
                <w:webHidden/>
              </w:rPr>
              <w:instrText xml:space="preserve"> PAGEREF _Toc241090903 \h </w:instrText>
            </w:r>
            <w:r>
              <w:rPr>
                <w:noProof/>
                <w:webHidden/>
              </w:rPr>
            </w:r>
            <w:r>
              <w:rPr>
                <w:noProof/>
                <w:webHidden/>
              </w:rPr>
              <w:fldChar w:fldCharType="separate"/>
            </w:r>
            <w:r>
              <w:rPr>
                <w:noProof/>
                <w:webHidden/>
              </w:rPr>
              <w:t>52</w:t>
            </w:r>
            <w:r>
              <w:rPr>
                <w:noProof/>
                <w:webHidden/>
              </w:rPr>
              <w:fldChar w:fldCharType="end"/>
            </w:r>
          </w:hyperlink>
        </w:p>
        <w:p w14:paraId="79B1586F" w14:textId="20AB50A4"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904" w:history="1">
            <w:r w:rsidRPr="002D3772">
              <w:rPr>
                <w:rStyle w:val="Hyperlink"/>
                <w:rFonts w:cs="Arial"/>
                <w:noProof/>
              </w:rPr>
              <w:t>4.5.1 Theme 1: Epidemiology, Prevalence and Burden of CKD in UK Adults</w:t>
            </w:r>
            <w:r>
              <w:rPr>
                <w:noProof/>
                <w:webHidden/>
              </w:rPr>
              <w:tab/>
            </w:r>
            <w:r>
              <w:rPr>
                <w:noProof/>
                <w:webHidden/>
              </w:rPr>
              <w:fldChar w:fldCharType="begin"/>
            </w:r>
            <w:r>
              <w:rPr>
                <w:noProof/>
                <w:webHidden/>
              </w:rPr>
              <w:instrText xml:space="preserve"> PAGEREF _Toc241090904 \h </w:instrText>
            </w:r>
            <w:r>
              <w:rPr>
                <w:noProof/>
                <w:webHidden/>
              </w:rPr>
            </w:r>
            <w:r>
              <w:rPr>
                <w:noProof/>
                <w:webHidden/>
              </w:rPr>
              <w:fldChar w:fldCharType="separate"/>
            </w:r>
            <w:r>
              <w:rPr>
                <w:noProof/>
                <w:webHidden/>
              </w:rPr>
              <w:t>52</w:t>
            </w:r>
            <w:r>
              <w:rPr>
                <w:noProof/>
                <w:webHidden/>
              </w:rPr>
              <w:fldChar w:fldCharType="end"/>
            </w:r>
          </w:hyperlink>
        </w:p>
        <w:p w14:paraId="239AA026" w14:textId="50CC84B9"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905" w:history="1">
            <w:r w:rsidRPr="002D3772">
              <w:rPr>
                <w:rStyle w:val="Hyperlink"/>
                <w:rFonts w:cs="Arial"/>
                <w:noProof/>
              </w:rPr>
              <w:t>4.5.2 Theme 2: Clinical and Metabolic Risk Factors</w:t>
            </w:r>
            <w:r>
              <w:rPr>
                <w:noProof/>
                <w:webHidden/>
              </w:rPr>
              <w:tab/>
            </w:r>
            <w:r>
              <w:rPr>
                <w:noProof/>
                <w:webHidden/>
              </w:rPr>
              <w:fldChar w:fldCharType="begin"/>
            </w:r>
            <w:r>
              <w:rPr>
                <w:noProof/>
                <w:webHidden/>
              </w:rPr>
              <w:instrText xml:space="preserve"> PAGEREF _Toc241090905 \h </w:instrText>
            </w:r>
            <w:r>
              <w:rPr>
                <w:noProof/>
                <w:webHidden/>
              </w:rPr>
            </w:r>
            <w:r>
              <w:rPr>
                <w:noProof/>
                <w:webHidden/>
              </w:rPr>
              <w:fldChar w:fldCharType="separate"/>
            </w:r>
            <w:r>
              <w:rPr>
                <w:noProof/>
                <w:webHidden/>
              </w:rPr>
              <w:t>52</w:t>
            </w:r>
            <w:r>
              <w:rPr>
                <w:noProof/>
                <w:webHidden/>
              </w:rPr>
              <w:fldChar w:fldCharType="end"/>
            </w:r>
          </w:hyperlink>
        </w:p>
        <w:p w14:paraId="7DFE9529" w14:textId="6963607E"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906" w:history="1">
            <w:r w:rsidRPr="002D3772">
              <w:rPr>
                <w:rStyle w:val="Hyperlink"/>
                <w:rFonts w:cs="Arial"/>
                <w:noProof/>
              </w:rPr>
              <w:t>4.5.3 Theme 3: Lifestyle, Social and Emerging Risk Factors</w:t>
            </w:r>
            <w:r>
              <w:rPr>
                <w:noProof/>
                <w:webHidden/>
              </w:rPr>
              <w:tab/>
            </w:r>
            <w:r>
              <w:rPr>
                <w:noProof/>
                <w:webHidden/>
              </w:rPr>
              <w:fldChar w:fldCharType="begin"/>
            </w:r>
            <w:r>
              <w:rPr>
                <w:noProof/>
                <w:webHidden/>
              </w:rPr>
              <w:instrText xml:space="preserve"> PAGEREF _Toc241090906 \h </w:instrText>
            </w:r>
            <w:r>
              <w:rPr>
                <w:noProof/>
                <w:webHidden/>
              </w:rPr>
            </w:r>
            <w:r>
              <w:rPr>
                <w:noProof/>
                <w:webHidden/>
              </w:rPr>
              <w:fldChar w:fldCharType="separate"/>
            </w:r>
            <w:r>
              <w:rPr>
                <w:noProof/>
                <w:webHidden/>
              </w:rPr>
              <w:t>52</w:t>
            </w:r>
            <w:r>
              <w:rPr>
                <w:noProof/>
                <w:webHidden/>
              </w:rPr>
              <w:fldChar w:fldCharType="end"/>
            </w:r>
          </w:hyperlink>
        </w:p>
        <w:p w14:paraId="2AAD516A" w14:textId="6D7DEC37"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907" w:history="1">
            <w:r w:rsidRPr="002D3772">
              <w:rPr>
                <w:rStyle w:val="Hyperlink"/>
                <w:rFonts w:cs="Arial"/>
                <w:noProof/>
              </w:rPr>
              <w:t>4.5.4 Theme 4: Diagnosis, Screening and Risk Stratification</w:t>
            </w:r>
            <w:r>
              <w:rPr>
                <w:noProof/>
                <w:webHidden/>
              </w:rPr>
              <w:tab/>
            </w:r>
            <w:r>
              <w:rPr>
                <w:noProof/>
                <w:webHidden/>
              </w:rPr>
              <w:fldChar w:fldCharType="begin"/>
            </w:r>
            <w:r>
              <w:rPr>
                <w:noProof/>
                <w:webHidden/>
              </w:rPr>
              <w:instrText xml:space="preserve"> PAGEREF _Toc241090907 \h </w:instrText>
            </w:r>
            <w:r>
              <w:rPr>
                <w:noProof/>
                <w:webHidden/>
              </w:rPr>
            </w:r>
            <w:r>
              <w:rPr>
                <w:noProof/>
                <w:webHidden/>
              </w:rPr>
              <w:fldChar w:fldCharType="separate"/>
            </w:r>
            <w:r>
              <w:rPr>
                <w:noProof/>
                <w:webHidden/>
              </w:rPr>
              <w:t>53</w:t>
            </w:r>
            <w:r>
              <w:rPr>
                <w:noProof/>
                <w:webHidden/>
              </w:rPr>
              <w:fldChar w:fldCharType="end"/>
            </w:r>
          </w:hyperlink>
        </w:p>
        <w:p w14:paraId="56190B60" w14:textId="19A70B04"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908" w:history="1">
            <w:r w:rsidRPr="002D3772">
              <w:rPr>
                <w:rStyle w:val="Hyperlink"/>
                <w:rFonts w:cs="Arial"/>
                <w:noProof/>
              </w:rPr>
              <w:t>4.5.5 Theme 5: Pharmacological Management Strategies</w:t>
            </w:r>
            <w:r>
              <w:rPr>
                <w:noProof/>
                <w:webHidden/>
              </w:rPr>
              <w:tab/>
            </w:r>
            <w:r>
              <w:rPr>
                <w:noProof/>
                <w:webHidden/>
              </w:rPr>
              <w:fldChar w:fldCharType="begin"/>
            </w:r>
            <w:r>
              <w:rPr>
                <w:noProof/>
                <w:webHidden/>
              </w:rPr>
              <w:instrText xml:space="preserve"> PAGEREF _Toc241090908 \h </w:instrText>
            </w:r>
            <w:r>
              <w:rPr>
                <w:noProof/>
                <w:webHidden/>
              </w:rPr>
            </w:r>
            <w:r>
              <w:rPr>
                <w:noProof/>
                <w:webHidden/>
              </w:rPr>
              <w:fldChar w:fldCharType="separate"/>
            </w:r>
            <w:r>
              <w:rPr>
                <w:noProof/>
                <w:webHidden/>
              </w:rPr>
              <w:t>53</w:t>
            </w:r>
            <w:r>
              <w:rPr>
                <w:noProof/>
                <w:webHidden/>
              </w:rPr>
              <w:fldChar w:fldCharType="end"/>
            </w:r>
          </w:hyperlink>
        </w:p>
        <w:p w14:paraId="19D640BD" w14:textId="17F4F435"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909" w:history="1">
            <w:r w:rsidRPr="002D3772">
              <w:rPr>
                <w:rStyle w:val="Hyperlink"/>
                <w:rFonts w:cs="Arial"/>
                <w:noProof/>
              </w:rPr>
              <w:t>4.5.6 Theme 6: Lifestyle, Digital and Patient-Centred Management</w:t>
            </w:r>
            <w:r>
              <w:rPr>
                <w:noProof/>
                <w:webHidden/>
              </w:rPr>
              <w:tab/>
            </w:r>
            <w:r>
              <w:rPr>
                <w:noProof/>
                <w:webHidden/>
              </w:rPr>
              <w:fldChar w:fldCharType="begin"/>
            </w:r>
            <w:r>
              <w:rPr>
                <w:noProof/>
                <w:webHidden/>
              </w:rPr>
              <w:instrText xml:space="preserve"> PAGEREF _Toc241090909 \h </w:instrText>
            </w:r>
            <w:r>
              <w:rPr>
                <w:noProof/>
                <w:webHidden/>
              </w:rPr>
            </w:r>
            <w:r>
              <w:rPr>
                <w:noProof/>
                <w:webHidden/>
              </w:rPr>
              <w:fldChar w:fldCharType="separate"/>
            </w:r>
            <w:r>
              <w:rPr>
                <w:noProof/>
                <w:webHidden/>
              </w:rPr>
              <w:t>53</w:t>
            </w:r>
            <w:r>
              <w:rPr>
                <w:noProof/>
                <w:webHidden/>
              </w:rPr>
              <w:fldChar w:fldCharType="end"/>
            </w:r>
          </w:hyperlink>
        </w:p>
        <w:p w14:paraId="4B7E447D" w14:textId="393AF448" w:rsidR="00117C2B" w:rsidRDefault="00117C2B">
          <w:pPr>
            <w:pStyle w:val="TOC3"/>
            <w:tabs>
              <w:tab w:val="right" w:leader="dot" w:pos="8296"/>
            </w:tabs>
            <w:rPr>
              <w:rFonts w:asciiTheme="minorHAnsi" w:eastAsiaTheme="minorEastAsia" w:hAnsiTheme="minorHAnsi"/>
              <w:noProof/>
              <w:kern w:val="2"/>
              <w:sz w:val="24"/>
              <w:szCs w:val="24"/>
              <w14:ligatures w14:val="standardContextual"/>
            </w:rPr>
          </w:pPr>
          <w:hyperlink w:anchor="_Toc241090910" w:history="1">
            <w:r w:rsidRPr="002D3772">
              <w:rPr>
                <w:rStyle w:val="Hyperlink"/>
                <w:rFonts w:cs="Arial"/>
                <w:noProof/>
              </w:rPr>
              <w:t>4.5.7 Theme 7: Integrated Care and Health-System Management</w:t>
            </w:r>
            <w:r>
              <w:rPr>
                <w:noProof/>
                <w:webHidden/>
              </w:rPr>
              <w:tab/>
            </w:r>
            <w:r>
              <w:rPr>
                <w:noProof/>
                <w:webHidden/>
              </w:rPr>
              <w:fldChar w:fldCharType="begin"/>
            </w:r>
            <w:r>
              <w:rPr>
                <w:noProof/>
                <w:webHidden/>
              </w:rPr>
              <w:instrText xml:space="preserve"> PAGEREF _Toc241090910 \h </w:instrText>
            </w:r>
            <w:r>
              <w:rPr>
                <w:noProof/>
                <w:webHidden/>
              </w:rPr>
            </w:r>
            <w:r>
              <w:rPr>
                <w:noProof/>
                <w:webHidden/>
              </w:rPr>
              <w:fldChar w:fldCharType="separate"/>
            </w:r>
            <w:r>
              <w:rPr>
                <w:noProof/>
                <w:webHidden/>
              </w:rPr>
              <w:t>54</w:t>
            </w:r>
            <w:r>
              <w:rPr>
                <w:noProof/>
                <w:webHidden/>
              </w:rPr>
              <w:fldChar w:fldCharType="end"/>
            </w:r>
          </w:hyperlink>
        </w:p>
        <w:p w14:paraId="4616413B" w14:textId="766BB32D"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11" w:history="1">
            <w:r w:rsidRPr="002D3772">
              <w:rPr>
                <w:rStyle w:val="Hyperlink"/>
                <w:rFonts w:cs="Arial"/>
                <w:noProof/>
              </w:rPr>
              <w:t>4.6 Summary of Findings Against the Research Objectives</w:t>
            </w:r>
            <w:r>
              <w:rPr>
                <w:noProof/>
                <w:webHidden/>
              </w:rPr>
              <w:tab/>
            </w:r>
            <w:r>
              <w:rPr>
                <w:noProof/>
                <w:webHidden/>
              </w:rPr>
              <w:fldChar w:fldCharType="begin"/>
            </w:r>
            <w:r>
              <w:rPr>
                <w:noProof/>
                <w:webHidden/>
              </w:rPr>
              <w:instrText xml:space="preserve"> PAGEREF _Toc241090911 \h </w:instrText>
            </w:r>
            <w:r>
              <w:rPr>
                <w:noProof/>
                <w:webHidden/>
              </w:rPr>
            </w:r>
            <w:r>
              <w:rPr>
                <w:noProof/>
                <w:webHidden/>
              </w:rPr>
              <w:fldChar w:fldCharType="separate"/>
            </w:r>
            <w:r>
              <w:rPr>
                <w:noProof/>
                <w:webHidden/>
              </w:rPr>
              <w:t>54</w:t>
            </w:r>
            <w:r>
              <w:rPr>
                <w:noProof/>
                <w:webHidden/>
              </w:rPr>
              <w:fldChar w:fldCharType="end"/>
            </w:r>
          </w:hyperlink>
        </w:p>
        <w:p w14:paraId="5ED15BC2" w14:textId="69892BEE"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12" w:history="1">
            <w:r w:rsidRPr="002D3772">
              <w:rPr>
                <w:rStyle w:val="Hyperlink"/>
                <w:rFonts w:cs="Arial"/>
                <w:noProof/>
              </w:rPr>
              <w:t>4.7 Chapter Summary</w:t>
            </w:r>
            <w:r>
              <w:rPr>
                <w:noProof/>
                <w:webHidden/>
              </w:rPr>
              <w:tab/>
            </w:r>
            <w:r>
              <w:rPr>
                <w:noProof/>
                <w:webHidden/>
              </w:rPr>
              <w:fldChar w:fldCharType="begin"/>
            </w:r>
            <w:r>
              <w:rPr>
                <w:noProof/>
                <w:webHidden/>
              </w:rPr>
              <w:instrText xml:space="preserve"> PAGEREF _Toc241090912 \h </w:instrText>
            </w:r>
            <w:r>
              <w:rPr>
                <w:noProof/>
                <w:webHidden/>
              </w:rPr>
            </w:r>
            <w:r>
              <w:rPr>
                <w:noProof/>
                <w:webHidden/>
              </w:rPr>
              <w:fldChar w:fldCharType="separate"/>
            </w:r>
            <w:r>
              <w:rPr>
                <w:noProof/>
                <w:webHidden/>
              </w:rPr>
              <w:t>55</w:t>
            </w:r>
            <w:r>
              <w:rPr>
                <w:noProof/>
                <w:webHidden/>
              </w:rPr>
              <w:fldChar w:fldCharType="end"/>
            </w:r>
          </w:hyperlink>
        </w:p>
        <w:p w14:paraId="20BA0DD3" w14:textId="6AF4F6C4" w:rsidR="00117C2B" w:rsidRDefault="00117C2B">
          <w:pPr>
            <w:pStyle w:val="TOC1"/>
            <w:tabs>
              <w:tab w:val="right" w:leader="dot" w:pos="8296"/>
            </w:tabs>
            <w:rPr>
              <w:rFonts w:asciiTheme="minorHAnsi" w:eastAsiaTheme="minorEastAsia" w:hAnsiTheme="minorHAnsi" w:cstheme="minorBidi"/>
              <w:noProof/>
              <w:kern w:val="2"/>
              <w14:ligatures w14:val="standardContextual"/>
            </w:rPr>
          </w:pPr>
          <w:hyperlink w:anchor="_Toc241090913" w:history="1">
            <w:r w:rsidRPr="002D3772">
              <w:rPr>
                <w:rStyle w:val="Hyperlink"/>
                <w:noProof/>
              </w:rPr>
              <w:t>Chapter Five: Discussion</w:t>
            </w:r>
            <w:r>
              <w:rPr>
                <w:noProof/>
                <w:webHidden/>
              </w:rPr>
              <w:tab/>
            </w:r>
            <w:r>
              <w:rPr>
                <w:noProof/>
                <w:webHidden/>
              </w:rPr>
              <w:fldChar w:fldCharType="begin"/>
            </w:r>
            <w:r>
              <w:rPr>
                <w:noProof/>
                <w:webHidden/>
              </w:rPr>
              <w:instrText xml:space="preserve"> PAGEREF _Toc241090913 \h </w:instrText>
            </w:r>
            <w:r>
              <w:rPr>
                <w:noProof/>
                <w:webHidden/>
              </w:rPr>
            </w:r>
            <w:r>
              <w:rPr>
                <w:noProof/>
                <w:webHidden/>
              </w:rPr>
              <w:fldChar w:fldCharType="separate"/>
            </w:r>
            <w:r>
              <w:rPr>
                <w:noProof/>
                <w:webHidden/>
              </w:rPr>
              <w:t>56</w:t>
            </w:r>
            <w:r>
              <w:rPr>
                <w:noProof/>
                <w:webHidden/>
              </w:rPr>
              <w:fldChar w:fldCharType="end"/>
            </w:r>
          </w:hyperlink>
        </w:p>
        <w:p w14:paraId="1CB12428" w14:textId="1D4121FD"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14" w:history="1">
            <w:r w:rsidRPr="002D3772">
              <w:rPr>
                <w:rStyle w:val="Hyperlink"/>
                <w:rFonts w:cs="Arial"/>
                <w:noProof/>
              </w:rPr>
              <w:t>5.1 Interpretation of CKD Burden and Risk</w:t>
            </w:r>
            <w:r>
              <w:rPr>
                <w:noProof/>
                <w:webHidden/>
              </w:rPr>
              <w:tab/>
            </w:r>
            <w:r>
              <w:rPr>
                <w:noProof/>
                <w:webHidden/>
              </w:rPr>
              <w:fldChar w:fldCharType="begin"/>
            </w:r>
            <w:r>
              <w:rPr>
                <w:noProof/>
                <w:webHidden/>
              </w:rPr>
              <w:instrText xml:space="preserve"> PAGEREF _Toc241090914 \h </w:instrText>
            </w:r>
            <w:r>
              <w:rPr>
                <w:noProof/>
                <w:webHidden/>
              </w:rPr>
            </w:r>
            <w:r>
              <w:rPr>
                <w:noProof/>
                <w:webHidden/>
              </w:rPr>
              <w:fldChar w:fldCharType="separate"/>
            </w:r>
            <w:r>
              <w:rPr>
                <w:noProof/>
                <w:webHidden/>
              </w:rPr>
              <w:t>56</w:t>
            </w:r>
            <w:r>
              <w:rPr>
                <w:noProof/>
                <w:webHidden/>
              </w:rPr>
              <w:fldChar w:fldCharType="end"/>
            </w:r>
          </w:hyperlink>
        </w:p>
        <w:p w14:paraId="52C4D777" w14:textId="2D0D30F9"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15" w:history="1">
            <w:r w:rsidRPr="002D3772">
              <w:rPr>
                <w:rStyle w:val="Hyperlink"/>
                <w:rFonts w:cs="Arial"/>
                <w:noProof/>
              </w:rPr>
              <w:t>5.2 Risk Factors, Behaviour and Inequality</w:t>
            </w:r>
            <w:r>
              <w:rPr>
                <w:noProof/>
                <w:webHidden/>
              </w:rPr>
              <w:tab/>
            </w:r>
            <w:r>
              <w:rPr>
                <w:noProof/>
                <w:webHidden/>
              </w:rPr>
              <w:fldChar w:fldCharType="begin"/>
            </w:r>
            <w:r>
              <w:rPr>
                <w:noProof/>
                <w:webHidden/>
              </w:rPr>
              <w:instrText xml:space="preserve"> PAGEREF _Toc241090915 \h </w:instrText>
            </w:r>
            <w:r>
              <w:rPr>
                <w:noProof/>
                <w:webHidden/>
              </w:rPr>
            </w:r>
            <w:r>
              <w:rPr>
                <w:noProof/>
                <w:webHidden/>
              </w:rPr>
              <w:fldChar w:fldCharType="separate"/>
            </w:r>
            <w:r>
              <w:rPr>
                <w:noProof/>
                <w:webHidden/>
              </w:rPr>
              <w:t>56</w:t>
            </w:r>
            <w:r>
              <w:rPr>
                <w:noProof/>
                <w:webHidden/>
              </w:rPr>
              <w:fldChar w:fldCharType="end"/>
            </w:r>
          </w:hyperlink>
        </w:p>
        <w:p w14:paraId="648ACE43" w14:textId="5924951E"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16" w:history="1">
            <w:r w:rsidRPr="002D3772">
              <w:rPr>
                <w:rStyle w:val="Hyperlink"/>
                <w:rFonts w:cs="Arial"/>
                <w:noProof/>
              </w:rPr>
              <w:t>5.3 Management Strategies and the Health Belief Model</w:t>
            </w:r>
            <w:r>
              <w:rPr>
                <w:noProof/>
                <w:webHidden/>
              </w:rPr>
              <w:tab/>
            </w:r>
            <w:r>
              <w:rPr>
                <w:noProof/>
                <w:webHidden/>
              </w:rPr>
              <w:fldChar w:fldCharType="begin"/>
            </w:r>
            <w:r>
              <w:rPr>
                <w:noProof/>
                <w:webHidden/>
              </w:rPr>
              <w:instrText xml:space="preserve"> PAGEREF _Toc241090916 \h </w:instrText>
            </w:r>
            <w:r>
              <w:rPr>
                <w:noProof/>
                <w:webHidden/>
              </w:rPr>
            </w:r>
            <w:r>
              <w:rPr>
                <w:noProof/>
                <w:webHidden/>
              </w:rPr>
              <w:fldChar w:fldCharType="separate"/>
            </w:r>
            <w:r>
              <w:rPr>
                <w:noProof/>
                <w:webHidden/>
              </w:rPr>
              <w:t>57</w:t>
            </w:r>
            <w:r>
              <w:rPr>
                <w:noProof/>
                <w:webHidden/>
              </w:rPr>
              <w:fldChar w:fldCharType="end"/>
            </w:r>
          </w:hyperlink>
        </w:p>
        <w:p w14:paraId="3C17DEF8" w14:textId="3108F943"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17" w:history="1">
            <w:r w:rsidRPr="002D3772">
              <w:rPr>
                <w:rStyle w:val="Hyperlink"/>
                <w:rFonts w:cs="Arial"/>
                <w:noProof/>
              </w:rPr>
              <w:t>5.4 Implications for the UK Public Health and Evidence Limitations</w:t>
            </w:r>
            <w:r>
              <w:rPr>
                <w:noProof/>
                <w:webHidden/>
              </w:rPr>
              <w:tab/>
            </w:r>
            <w:r>
              <w:rPr>
                <w:noProof/>
                <w:webHidden/>
              </w:rPr>
              <w:fldChar w:fldCharType="begin"/>
            </w:r>
            <w:r>
              <w:rPr>
                <w:noProof/>
                <w:webHidden/>
              </w:rPr>
              <w:instrText xml:space="preserve"> PAGEREF _Toc241090917 \h </w:instrText>
            </w:r>
            <w:r>
              <w:rPr>
                <w:noProof/>
                <w:webHidden/>
              </w:rPr>
            </w:r>
            <w:r>
              <w:rPr>
                <w:noProof/>
                <w:webHidden/>
              </w:rPr>
              <w:fldChar w:fldCharType="separate"/>
            </w:r>
            <w:r>
              <w:rPr>
                <w:noProof/>
                <w:webHidden/>
              </w:rPr>
              <w:t>58</w:t>
            </w:r>
            <w:r>
              <w:rPr>
                <w:noProof/>
                <w:webHidden/>
              </w:rPr>
              <w:fldChar w:fldCharType="end"/>
            </w:r>
          </w:hyperlink>
        </w:p>
        <w:p w14:paraId="7AD1A8E1" w14:textId="3B62B652" w:rsidR="00117C2B" w:rsidRDefault="00117C2B">
          <w:pPr>
            <w:pStyle w:val="TOC1"/>
            <w:tabs>
              <w:tab w:val="right" w:leader="dot" w:pos="8296"/>
            </w:tabs>
            <w:rPr>
              <w:rFonts w:asciiTheme="minorHAnsi" w:eastAsiaTheme="minorEastAsia" w:hAnsiTheme="minorHAnsi" w:cstheme="minorBidi"/>
              <w:noProof/>
              <w:kern w:val="2"/>
              <w14:ligatures w14:val="standardContextual"/>
            </w:rPr>
          </w:pPr>
          <w:hyperlink w:anchor="_Toc241090918" w:history="1">
            <w:r w:rsidRPr="002D3772">
              <w:rPr>
                <w:rStyle w:val="Hyperlink"/>
                <w:noProof/>
              </w:rPr>
              <w:t>Chapter Six: Conclusion and Recommendations</w:t>
            </w:r>
            <w:r>
              <w:rPr>
                <w:noProof/>
                <w:webHidden/>
              </w:rPr>
              <w:tab/>
            </w:r>
            <w:r>
              <w:rPr>
                <w:noProof/>
                <w:webHidden/>
              </w:rPr>
              <w:fldChar w:fldCharType="begin"/>
            </w:r>
            <w:r>
              <w:rPr>
                <w:noProof/>
                <w:webHidden/>
              </w:rPr>
              <w:instrText xml:space="preserve"> PAGEREF _Toc241090918 \h </w:instrText>
            </w:r>
            <w:r>
              <w:rPr>
                <w:noProof/>
                <w:webHidden/>
              </w:rPr>
            </w:r>
            <w:r>
              <w:rPr>
                <w:noProof/>
                <w:webHidden/>
              </w:rPr>
              <w:fldChar w:fldCharType="separate"/>
            </w:r>
            <w:r>
              <w:rPr>
                <w:noProof/>
                <w:webHidden/>
              </w:rPr>
              <w:t>60</w:t>
            </w:r>
            <w:r>
              <w:rPr>
                <w:noProof/>
                <w:webHidden/>
              </w:rPr>
              <w:fldChar w:fldCharType="end"/>
            </w:r>
          </w:hyperlink>
        </w:p>
        <w:p w14:paraId="5848C94E" w14:textId="7757E62D"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19" w:history="1">
            <w:r w:rsidRPr="002D3772">
              <w:rPr>
                <w:rStyle w:val="Hyperlink"/>
                <w:rFonts w:cs="Arial"/>
                <w:noProof/>
              </w:rPr>
              <w:t>6.1 Conclusion</w:t>
            </w:r>
            <w:r>
              <w:rPr>
                <w:noProof/>
                <w:webHidden/>
              </w:rPr>
              <w:tab/>
            </w:r>
            <w:r>
              <w:rPr>
                <w:noProof/>
                <w:webHidden/>
              </w:rPr>
              <w:fldChar w:fldCharType="begin"/>
            </w:r>
            <w:r>
              <w:rPr>
                <w:noProof/>
                <w:webHidden/>
              </w:rPr>
              <w:instrText xml:space="preserve"> PAGEREF _Toc241090919 \h </w:instrText>
            </w:r>
            <w:r>
              <w:rPr>
                <w:noProof/>
                <w:webHidden/>
              </w:rPr>
            </w:r>
            <w:r>
              <w:rPr>
                <w:noProof/>
                <w:webHidden/>
              </w:rPr>
              <w:fldChar w:fldCharType="separate"/>
            </w:r>
            <w:r>
              <w:rPr>
                <w:noProof/>
                <w:webHidden/>
              </w:rPr>
              <w:t>60</w:t>
            </w:r>
            <w:r>
              <w:rPr>
                <w:noProof/>
                <w:webHidden/>
              </w:rPr>
              <w:fldChar w:fldCharType="end"/>
            </w:r>
          </w:hyperlink>
        </w:p>
        <w:p w14:paraId="7B5FA20E" w14:textId="12F487BB"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20" w:history="1">
            <w:r w:rsidRPr="002D3772">
              <w:rPr>
                <w:rStyle w:val="Hyperlink"/>
                <w:rFonts w:cs="Arial"/>
                <w:noProof/>
              </w:rPr>
              <w:t>6.2 Recommendations for UK Practice and Policy</w:t>
            </w:r>
            <w:r>
              <w:rPr>
                <w:noProof/>
                <w:webHidden/>
              </w:rPr>
              <w:tab/>
            </w:r>
            <w:r>
              <w:rPr>
                <w:noProof/>
                <w:webHidden/>
              </w:rPr>
              <w:fldChar w:fldCharType="begin"/>
            </w:r>
            <w:r>
              <w:rPr>
                <w:noProof/>
                <w:webHidden/>
              </w:rPr>
              <w:instrText xml:space="preserve"> PAGEREF _Toc241090920 \h </w:instrText>
            </w:r>
            <w:r>
              <w:rPr>
                <w:noProof/>
                <w:webHidden/>
              </w:rPr>
            </w:r>
            <w:r>
              <w:rPr>
                <w:noProof/>
                <w:webHidden/>
              </w:rPr>
              <w:fldChar w:fldCharType="separate"/>
            </w:r>
            <w:r>
              <w:rPr>
                <w:noProof/>
                <w:webHidden/>
              </w:rPr>
              <w:t>60</w:t>
            </w:r>
            <w:r>
              <w:rPr>
                <w:noProof/>
                <w:webHidden/>
              </w:rPr>
              <w:fldChar w:fldCharType="end"/>
            </w:r>
          </w:hyperlink>
        </w:p>
        <w:p w14:paraId="1ED8E26F" w14:textId="27E9EE9B"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21" w:history="1">
            <w:r w:rsidRPr="002D3772">
              <w:rPr>
                <w:rStyle w:val="Hyperlink"/>
                <w:rFonts w:cs="Arial"/>
                <w:noProof/>
              </w:rPr>
              <w:t>6.3 Limitations and Future Research</w:t>
            </w:r>
            <w:r>
              <w:rPr>
                <w:noProof/>
                <w:webHidden/>
              </w:rPr>
              <w:tab/>
            </w:r>
            <w:r>
              <w:rPr>
                <w:noProof/>
                <w:webHidden/>
              </w:rPr>
              <w:fldChar w:fldCharType="begin"/>
            </w:r>
            <w:r>
              <w:rPr>
                <w:noProof/>
                <w:webHidden/>
              </w:rPr>
              <w:instrText xml:space="preserve"> PAGEREF _Toc241090921 \h </w:instrText>
            </w:r>
            <w:r>
              <w:rPr>
                <w:noProof/>
                <w:webHidden/>
              </w:rPr>
            </w:r>
            <w:r>
              <w:rPr>
                <w:noProof/>
                <w:webHidden/>
              </w:rPr>
              <w:fldChar w:fldCharType="separate"/>
            </w:r>
            <w:r>
              <w:rPr>
                <w:noProof/>
                <w:webHidden/>
              </w:rPr>
              <w:t>60</w:t>
            </w:r>
            <w:r>
              <w:rPr>
                <w:noProof/>
                <w:webHidden/>
              </w:rPr>
              <w:fldChar w:fldCharType="end"/>
            </w:r>
          </w:hyperlink>
        </w:p>
        <w:p w14:paraId="01736CCF" w14:textId="6B4ED61A" w:rsidR="00117C2B" w:rsidRDefault="00117C2B">
          <w:pPr>
            <w:pStyle w:val="TOC1"/>
            <w:tabs>
              <w:tab w:val="right" w:leader="dot" w:pos="8296"/>
            </w:tabs>
            <w:rPr>
              <w:rFonts w:asciiTheme="minorHAnsi" w:eastAsiaTheme="minorEastAsia" w:hAnsiTheme="minorHAnsi" w:cstheme="minorBidi"/>
              <w:noProof/>
              <w:kern w:val="2"/>
              <w14:ligatures w14:val="standardContextual"/>
            </w:rPr>
          </w:pPr>
          <w:hyperlink w:anchor="_Toc241090922" w:history="1">
            <w:r w:rsidRPr="002D3772">
              <w:rPr>
                <w:rStyle w:val="Hyperlink"/>
                <w:noProof/>
              </w:rPr>
              <w:t>References</w:t>
            </w:r>
            <w:r>
              <w:rPr>
                <w:noProof/>
                <w:webHidden/>
              </w:rPr>
              <w:tab/>
            </w:r>
            <w:r>
              <w:rPr>
                <w:noProof/>
                <w:webHidden/>
              </w:rPr>
              <w:fldChar w:fldCharType="begin"/>
            </w:r>
            <w:r>
              <w:rPr>
                <w:noProof/>
                <w:webHidden/>
              </w:rPr>
              <w:instrText xml:space="preserve"> PAGEREF _Toc241090922 \h </w:instrText>
            </w:r>
            <w:r>
              <w:rPr>
                <w:noProof/>
                <w:webHidden/>
              </w:rPr>
            </w:r>
            <w:r>
              <w:rPr>
                <w:noProof/>
                <w:webHidden/>
              </w:rPr>
              <w:fldChar w:fldCharType="separate"/>
            </w:r>
            <w:r>
              <w:rPr>
                <w:noProof/>
                <w:webHidden/>
              </w:rPr>
              <w:t>62</w:t>
            </w:r>
            <w:r>
              <w:rPr>
                <w:noProof/>
                <w:webHidden/>
              </w:rPr>
              <w:fldChar w:fldCharType="end"/>
            </w:r>
          </w:hyperlink>
        </w:p>
        <w:p w14:paraId="4421E251" w14:textId="0D98D22E" w:rsidR="00117C2B" w:rsidRDefault="00117C2B">
          <w:pPr>
            <w:pStyle w:val="TOC1"/>
            <w:tabs>
              <w:tab w:val="right" w:leader="dot" w:pos="8296"/>
            </w:tabs>
            <w:rPr>
              <w:rFonts w:asciiTheme="minorHAnsi" w:eastAsiaTheme="minorEastAsia" w:hAnsiTheme="minorHAnsi" w:cstheme="minorBidi"/>
              <w:noProof/>
              <w:kern w:val="2"/>
              <w14:ligatures w14:val="standardContextual"/>
            </w:rPr>
          </w:pPr>
          <w:hyperlink w:anchor="_Toc241090923" w:history="1">
            <w:r w:rsidRPr="002D3772">
              <w:rPr>
                <w:rStyle w:val="Hyperlink"/>
                <w:rFonts w:eastAsiaTheme="majorEastAsia"/>
                <w:b/>
                <w:bCs/>
                <w:noProof/>
              </w:rPr>
              <w:t>Appendices</w:t>
            </w:r>
            <w:r>
              <w:rPr>
                <w:noProof/>
                <w:webHidden/>
              </w:rPr>
              <w:tab/>
            </w:r>
            <w:r>
              <w:rPr>
                <w:noProof/>
                <w:webHidden/>
              </w:rPr>
              <w:fldChar w:fldCharType="begin"/>
            </w:r>
            <w:r>
              <w:rPr>
                <w:noProof/>
                <w:webHidden/>
              </w:rPr>
              <w:instrText xml:space="preserve"> PAGEREF _Toc241090923 \h </w:instrText>
            </w:r>
            <w:r>
              <w:rPr>
                <w:noProof/>
                <w:webHidden/>
              </w:rPr>
            </w:r>
            <w:r>
              <w:rPr>
                <w:noProof/>
                <w:webHidden/>
              </w:rPr>
              <w:fldChar w:fldCharType="separate"/>
            </w:r>
            <w:r>
              <w:rPr>
                <w:noProof/>
                <w:webHidden/>
              </w:rPr>
              <w:t>76</w:t>
            </w:r>
            <w:r>
              <w:rPr>
                <w:noProof/>
                <w:webHidden/>
              </w:rPr>
              <w:fldChar w:fldCharType="end"/>
            </w:r>
          </w:hyperlink>
        </w:p>
        <w:p w14:paraId="62F42234" w14:textId="09AEE742"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24" w:history="1">
            <w:r w:rsidRPr="002D3772">
              <w:rPr>
                <w:rStyle w:val="Hyperlink"/>
                <w:rFonts w:eastAsiaTheme="majorEastAsia" w:cs="Arial"/>
                <w:b/>
                <w:bCs/>
                <w:noProof/>
              </w:rPr>
              <w:t>Appendix 1 – Search Strategy and Eligibility Criteria</w:t>
            </w:r>
            <w:r>
              <w:rPr>
                <w:noProof/>
                <w:webHidden/>
              </w:rPr>
              <w:tab/>
            </w:r>
            <w:r>
              <w:rPr>
                <w:noProof/>
                <w:webHidden/>
              </w:rPr>
              <w:fldChar w:fldCharType="begin"/>
            </w:r>
            <w:r>
              <w:rPr>
                <w:noProof/>
                <w:webHidden/>
              </w:rPr>
              <w:instrText xml:space="preserve"> PAGEREF _Toc241090924 \h </w:instrText>
            </w:r>
            <w:r>
              <w:rPr>
                <w:noProof/>
                <w:webHidden/>
              </w:rPr>
            </w:r>
            <w:r>
              <w:rPr>
                <w:noProof/>
                <w:webHidden/>
              </w:rPr>
              <w:fldChar w:fldCharType="separate"/>
            </w:r>
            <w:r>
              <w:rPr>
                <w:noProof/>
                <w:webHidden/>
              </w:rPr>
              <w:t>76</w:t>
            </w:r>
            <w:r>
              <w:rPr>
                <w:noProof/>
                <w:webHidden/>
              </w:rPr>
              <w:fldChar w:fldCharType="end"/>
            </w:r>
          </w:hyperlink>
        </w:p>
        <w:p w14:paraId="4AD115F5" w14:textId="5FA718CE"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25" w:history="1">
            <w:r w:rsidRPr="002D3772">
              <w:rPr>
                <w:rStyle w:val="Hyperlink"/>
                <w:rFonts w:eastAsiaTheme="majorEastAsia" w:cs="Arial"/>
                <w:b/>
                <w:bCs/>
                <w:noProof/>
              </w:rPr>
              <w:t>Appendix 2 – PRISMA Study-Selection Evidence</w:t>
            </w:r>
            <w:r>
              <w:rPr>
                <w:noProof/>
                <w:webHidden/>
              </w:rPr>
              <w:tab/>
            </w:r>
            <w:r>
              <w:rPr>
                <w:noProof/>
                <w:webHidden/>
              </w:rPr>
              <w:fldChar w:fldCharType="begin"/>
            </w:r>
            <w:r>
              <w:rPr>
                <w:noProof/>
                <w:webHidden/>
              </w:rPr>
              <w:instrText xml:space="preserve"> PAGEREF _Toc241090925 \h </w:instrText>
            </w:r>
            <w:r>
              <w:rPr>
                <w:noProof/>
                <w:webHidden/>
              </w:rPr>
            </w:r>
            <w:r>
              <w:rPr>
                <w:noProof/>
                <w:webHidden/>
              </w:rPr>
              <w:fldChar w:fldCharType="separate"/>
            </w:r>
            <w:r>
              <w:rPr>
                <w:noProof/>
                <w:webHidden/>
              </w:rPr>
              <w:t>78</w:t>
            </w:r>
            <w:r>
              <w:rPr>
                <w:noProof/>
                <w:webHidden/>
              </w:rPr>
              <w:fldChar w:fldCharType="end"/>
            </w:r>
          </w:hyperlink>
        </w:p>
        <w:p w14:paraId="52443583" w14:textId="56F1C6A1"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26" w:history="1">
            <w:r w:rsidRPr="002D3772">
              <w:rPr>
                <w:rStyle w:val="Hyperlink"/>
                <w:rFonts w:eastAsiaTheme="majorEastAsia" w:cs="Arial"/>
                <w:b/>
                <w:bCs/>
                <w:noProof/>
              </w:rPr>
              <w:t>Appendix 3 – Critical Appraisal Summary</w:t>
            </w:r>
            <w:r>
              <w:rPr>
                <w:noProof/>
                <w:webHidden/>
              </w:rPr>
              <w:tab/>
            </w:r>
            <w:r>
              <w:rPr>
                <w:noProof/>
                <w:webHidden/>
              </w:rPr>
              <w:fldChar w:fldCharType="begin"/>
            </w:r>
            <w:r>
              <w:rPr>
                <w:noProof/>
                <w:webHidden/>
              </w:rPr>
              <w:instrText xml:space="preserve"> PAGEREF _Toc241090926 \h </w:instrText>
            </w:r>
            <w:r>
              <w:rPr>
                <w:noProof/>
                <w:webHidden/>
              </w:rPr>
            </w:r>
            <w:r>
              <w:rPr>
                <w:noProof/>
                <w:webHidden/>
              </w:rPr>
              <w:fldChar w:fldCharType="separate"/>
            </w:r>
            <w:r>
              <w:rPr>
                <w:noProof/>
                <w:webHidden/>
              </w:rPr>
              <w:t>79</w:t>
            </w:r>
            <w:r>
              <w:rPr>
                <w:noProof/>
                <w:webHidden/>
              </w:rPr>
              <w:fldChar w:fldCharType="end"/>
            </w:r>
          </w:hyperlink>
        </w:p>
        <w:p w14:paraId="1DC5D6CE" w14:textId="7427B358"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27" w:history="1">
            <w:r w:rsidRPr="002D3772">
              <w:rPr>
                <w:rStyle w:val="Hyperlink"/>
                <w:rFonts w:eastAsiaTheme="majorEastAsia" w:cs="Arial"/>
                <w:b/>
                <w:bCs/>
                <w:noProof/>
              </w:rPr>
              <w:t>Appendix 4 – Full Data-Extraction Matrix</w:t>
            </w:r>
            <w:r>
              <w:rPr>
                <w:noProof/>
                <w:webHidden/>
              </w:rPr>
              <w:tab/>
            </w:r>
            <w:r>
              <w:rPr>
                <w:noProof/>
                <w:webHidden/>
              </w:rPr>
              <w:fldChar w:fldCharType="begin"/>
            </w:r>
            <w:r>
              <w:rPr>
                <w:noProof/>
                <w:webHidden/>
              </w:rPr>
              <w:instrText xml:space="preserve"> PAGEREF _Toc241090927 \h </w:instrText>
            </w:r>
            <w:r>
              <w:rPr>
                <w:noProof/>
                <w:webHidden/>
              </w:rPr>
            </w:r>
            <w:r>
              <w:rPr>
                <w:noProof/>
                <w:webHidden/>
              </w:rPr>
              <w:fldChar w:fldCharType="separate"/>
            </w:r>
            <w:r>
              <w:rPr>
                <w:noProof/>
                <w:webHidden/>
              </w:rPr>
              <w:t>81</w:t>
            </w:r>
            <w:r>
              <w:rPr>
                <w:noProof/>
                <w:webHidden/>
              </w:rPr>
              <w:fldChar w:fldCharType="end"/>
            </w:r>
          </w:hyperlink>
        </w:p>
        <w:p w14:paraId="49CE6C1C" w14:textId="663A4275" w:rsidR="00117C2B" w:rsidRDefault="00117C2B">
          <w:pPr>
            <w:pStyle w:val="TOC2"/>
            <w:tabs>
              <w:tab w:val="right" w:leader="dot" w:pos="8296"/>
            </w:tabs>
            <w:rPr>
              <w:rFonts w:asciiTheme="minorHAnsi" w:eastAsiaTheme="minorEastAsia" w:hAnsiTheme="minorHAnsi"/>
              <w:noProof/>
              <w:kern w:val="2"/>
              <w:sz w:val="24"/>
              <w:szCs w:val="24"/>
              <w14:ligatures w14:val="standardContextual"/>
            </w:rPr>
          </w:pPr>
          <w:hyperlink w:anchor="_Toc241090928" w:history="1">
            <w:r w:rsidRPr="002D3772">
              <w:rPr>
                <w:rStyle w:val="Hyperlink"/>
                <w:rFonts w:eastAsiaTheme="majorEastAsia" w:cs="Arial"/>
                <w:b/>
                <w:bCs/>
                <w:noProof/>
              </w:rPr>
              <w:t>Appendix 5 – Thematic Analysis Audit Trail</w:t>
            </w:r>
            <w:r>
              <w:rPr>
                <w:noProof/>
                <w:webHidden/>
              </w:rPr>
              <w:tab/>
            </w:r>
            <w:r>
              <w:rPr>
                <w:noProof/>
                <w:webHidden/>
              </w:rPr>
              <w:fldChar w:fldCharType="begin"/>
            </w:r>
            <w:r>
              <w:rPr>
                <w:noProof/>
                <w:webHidden/>
              </w:rPr>
              <w:instrText xml:space="preserve"> PAGEREF _Toc241090928 \h </w:instrText>
            </w:r>
            <w:r>
              <w:rPr>
                <w:noProof/>
                <w:webHidden/>
              </w:rPr>
            </w:r>
            <w:r>
              <w:rPr>
                <w:noProof/>
                <w:webHidden/>
              </w:rPr>
              <w:fldChar w:fldCharType="separate"/>
            </w:r>
            <w:r>
              <w:rPr>
                <w:noProof/>
                <w:webHidden/>
              </w:rPr>
              <w:t>84</w:t>
            </w:r>
            <w:r>
              <w:rPr>
                <w:noProof/>
                <w:webHidden/>
              </w:rPr>
              <w:fldChar w:fldCharType="end"/>
            </w:r>
          </w:hyperlink>
        </w:p>
        <w:p w14:paraId="5659EEBD" w14:textId="0F164EC2" w:rsidR="00A429BD" w:rsidRPr="00C07BB7" w:rsidRDefault="00A429BD" w:rsidP="00462CB9">
          <w:pPr>
            <w:rPr>
              <w:rFonts w:cs="Arial"/>
            </w:rPr>
          </w:pPr>
          <w:r w:rsidRPr="00C07BB7">
            <w:rPr>
              <w:rFonts w:cs="Arial"/>
              <w:b/>
              <w:bCs/>
              <w:noProof/>
            </w:rPr>
            <w:fldChar w:fldCharType="end"/>
          </w:r>
        </w:p>
      </w:sdtContent>
    </w:sdt>
    <w:p w14:paraId="18292513" w14:textId="3E7CA290" w:rsidR="000D5753" w:rsidRPr="00C07BB7" w:rsidRDefault="000D5753" w:rsidP="00462CB9">
      <w:pPr>
        <w:rPr>
          <w:rFonts w:cs="Arial"/>
          <w:color w:val="000000" w:themeColor="text1"/>
        </w:rPr>
      </w:pPr>
    </w:p>
    <w:p w14:paraId="28019CE6" w14:textId="77777777" w:rsidR="00613093" w:rsidRPr="00C07BB7" w:rsidRDefault="00613093" w:rsidP="00462CB9">
      <w:pPr>
        <w:rPr>
          <w:rFonts w:cs="Arial"/>
          <w:color w:val="000000" w:themeColor="text1"/>
          <w:sz w:val="28"/>
        </w:rPr>
      </w:pPr>
      <w:r w:rsidRPr="00C07BB7">
        <w:rPr>
          <w:rFonts w:cs="Arial"/>
          <w:color w:val="000000" w:themeColor="text1"/>
          <w:sz w:val="28"/>
        </w:rPr>
        <w:br w:type="page"/>
      </w:r>
    </w:p>
    <w:p w14:paraId="676E87E7" w14:textId="05C3E4F9" w:rsidR="007748AF" w:rsidRPr="00C07BB7" w:rsidRDefault="00061744" w:rsidP="00462CB9">
      <w:pPr>
        <w:pStyle w:val="Heading1"/>
        <w:rPr>
          <w:rFonts w:cs="Arial"/>
        </w:rPr>
      </w:pPr>
      <w:bookmarkStart w:id="7" w:name="_Toc240666886"/>
      <w:bookmarkStart w:id="8" w:name="_Toc241090860"/>
      <w:r w:rsidRPr="00C07BB7">
        <w:rPr>
          <w:rFonts w:cs="Arial"/>
        </w:rPr>
        <w:t xml:space="preserve">Chapter </w:t>
      </w:r>
      <w:r w:rsidR="000B1451">
        <w:rPr>
          <w:rFonts w:cs="Arial"/>
        </w:rPr>
        <w:t>One</w:t>
      </w:r>
      <w:r w:rsidRPr="00C07BB7">
        <w:rPr>
          <w:rFonts w:cs="Arial"/>
        </w:rPr>
        <w:t>: Introduction</w:t>
      </w:r>
      <w:bookmarkEnd w:id="7"/>
      <w:bookmarkEnd w:id="8"/>
    </w:p>
    <w:p w14:paraId="65B8D7C8" w14:textId="7DC15447" w:rsidR="00D405A3" w:rsidRPr="004210D8" w:rsidRDefault="00D405A3" w:rsidP="00462CB9">
      <w:pPr>
        <w:pStyle w:val="Heading2"/>
        <w:rPr>
          <w:rFonts w:cs="Arial"/>
          <w:sz w:val="28"/>
          <w:szCs w:val="28"/>
        </w:rPr>
      </w:pPr>
      <w:bookmarkStart w:id="9" w:name="_Toc240666887"/>
      <w:bookmarkStart w:id="10" w:name="_Toc241090861"/>
      <w:r w:rsidRPr="004210D8">
        <w:rPr>
          <w:rFonts w:cs="Arial"/>
          <w:sz w:val="28"/>
          <w:szCs w:val="28"/>
        </w:rPr>
        <w:t>1.1 Introduction</w:t>
      </w:r>
      <w:bookmarkEnd w:id="10"/>
      <w:r w:rsidR="008131AA" w:rsidRPr="004210D8">
        <w:rPr>
          <w:rFonts w:cs="Arial"/>
          <w:sz w:val="28"/>
          <w:szCs w:val="28"/>
        </w:rPr>
        <w:t xml:space="preserve"> </w:t>
      </w:r>
      <w:bookmarkEnd w:id="9"/>
    </w:p>
    <w:p w14:paraId="7F3AF669" w14:textId="2C42AA34" w:rsidR="00D405A3" w:rsidRPr="00C07BB7" w:rsidRDefault="00FC5D04" w:rsidP="00462CB9">
      <w:pPr>
        <w:rPr>
          <w:rFonts w:cs="Arial"/>
          <w:color w:val="000000" w:themeColor="text1"/>
        </w:rPr>
      </w:pPr>
      <w:r w:rsidRPr="00C07BB7">
        <w:rPr>
          <w:rFonts w:cs="Arial"/>
          <w:color w:val="000000" w:themeColor="text1"/>
        </w:rPr>
        <w:t>Chronic kidney disease (CKD) is a condition where the kidneys are damaged or have a lower-than-normal level of function for more than 3 months. The KDIGO staging system is the most commonly used system for diagnosis and risk stratification. The routine tests are estimated glomerular filtration rate (eGFR) and urine albumin</w:t>
      </w:r>
      <w:r w:rsidRPr="00C07BB7">
        <w:rPr>
          <w:rFonts w:ascii="Cambria Math" w:hAnsi="Cambria Math" w:cs="Cambria Math"/>
          <w:color w:val="000000" w:themeColor="text1"/>
        </w:rPr>
        <w:t>‑</w:t>
      </w:r>
      <w:r w:rsidRPr="00C07BB7">
        <w:rPr>
          <w:rFonts w:cs="Arial"/>
          <w:color w:val="000000" w:themeColor="text1"/>
        </w:rPr>
        <w:t>to</w:t>
      </w:r>
      <w:r w:rsidRPr="00C07BB7">
        <w:rPr>
          <w:rFonts w:ascii="Cambria Math" w:hAnsi="Cambria Math" w:cs="Cambria Math"/>
          <w:color w:val="000000" w:themeColor="text1"/>
        </w:rPr>
        <w:t>‑</w:t>
      </w:r>
      <w:r w:rsidRPr="00C07BB7">
        <w:rPr>
          <w:rFonts w:cs="Arial"/>
          <w:color w:val="000000" w:themeColor="text1"/>
        </w:rPr>
        <w:t>creatinine ratio (uACR) which, when used together, enhances the prediction of progression and cardiovascular risk.</w:t>
      </w:r>
      <w:r w:rsidR="00D405A3" w:rsidRPr="00C07BB7">
        <w:rPr>
          <w:rFonts w:cs="Arial"/>
          <w:color w:val="000000" w:themeColor="text1"/>
        </w:rPr>
        <w:t xml:space="preserve"> This multimodal approach is essential because the level of risk can vary among patients with identical eGFR based on their albuminuria, underlying cause/condition and comorbidities (Levin et al., 2024). In its early stages, CKD may not have any signs or symptoms, and the disease may only be detected when complications or significant loss of kidney function develops (Stewart et al., 2024). It is therefore a clinical and public health issue that needs to be addressed in a timely manner and managed sustainably during healthcare services in the UK.</w:t>
      </w:r>
    </w:p>
    <w:p w14:paraId="140C036C" w14:textId="4DC2291C" w:rsidR="00D405A3" w:rsidRPr="00C07BB7" w:rsidRDefault="00D405A3" w:rsidP="00462CB9">
      <w:pPr>
        <w:rPr>
          <w:rFonts w:cs="Arial"/>
          <w:color w:val="000000" w:themeColor="text1"/>
        </w:rPr>
      </w:pPr>
      <w:r w:rsidRPr="00C07BB7">
        <w:rPr>
          <w:rFonts w:cs="Arial"/>
          <w:color w:val="000000" w:themeColor="text1"/>
        </w:rPr>
        <w:t>Some people may develop symptoms as their kidneys do not work as well, including symptoms of fatigue, swelling, loss of appetite, itching or changes in how much they pass urine, but this is not a diagnosis that only applies to kidney failure or CKD (World Health Organi</w:t>
      </w:r>
      <w:r w:rsidR="005F7DA1" w:rsidRPr="00C07BB7">
        <w:rPr>
          <w:rFonts w:cs="Arial"/>
          <w:color w:val="000000" w:themeColor="text1"/>
        </w:rPr>
        <w:t>z</w:t>
      </w:r>
      <w:r w:rsidRPr="00C07BB7">
        <w:rPr>
          <w:rFonts w:cs="Arial"/>
          <w:color w:val="000000" w:themeColor="text1"/>
        </w:rPr>
        <w:t>ation, 2026). It is particularly challenging to make a diagnosis in older adults with several other medical issues, as some symptoms can be the result of both cardiovascular and metabolic or other chronic disease (Stewart et al., 2024). Therefore, symptoms are not enough for diagnosis and must be backed up by blood and urine tests. The clinical importance of early identification lies in the fact that CKD has an association with cardiovascular disease, anaemia, diminished quality of life and early mortality (Levin et al., 2024). Thus, the condition has to be seen in the broader picture beyond just progressive renal impairment. This view encourages preventative measures to be taken prior to the onset of kidney failure or other complications arising in the standard of care pathway.</w:t>
      </w:r>
    </w:p>
    <w:p w14:paraId="2BEC01A7" w14:textId="77777777" w:rsidR="00D405A3" w:rsidRPr="00575BD2" w:rsidRDefault="00D405A3" w:rsidP="00462CB9">
      <w:pPr>
        <w:pStyle w:val="Heading2"/>
        <w:rPr>
          <w:rFonts w:cs="Arial"/>
          <w:sz w:val="28"/>
          <w:szCs w:val="28"/>
        </w:rPr>
      </w:pPr>
      <w:bookmarkStart w:id="11" w:name="_Toc240666888"/>
      <w:bookmarkStart w:id="12" w:name="_Toc241090862"/>
      <w:r w:rsidRPr="00575BD2">
        <w:rPr>
          <w:rFonts w:cs="Arial"/>
          <w:sz w:val="28"/>
          <w:szCs w:val="28"/>
        </w:rPr>
        <w:t>1.2 Background of the Study</w:t>
      </w:r>
      <w:bookmarkEnd w:id="11"/>
      <w:bookmarkEnd w:id="12"/>
    </w:p>
    <w:p w14:paraId="18083F15" w14:textId="10D194E6" w:rsidR="00D405A3" w:rsidRPr="00C07BB7" w:rsidRDefault="00F92F56" w:rsidP="00462CB9">
      <w:pPr>
        <w:rPr>
          <w:rFonts w:cs="Arial"/>
          <w:color w:val="000000" w:themeColor="text1"/>
        </w:rPr>
      </w:pPr>
      <w:r w:rsidRPr="00C07BB7">
        <w:rPr>
          <w:rFonts w:cs="Arial"/>
          <w:color w:val="000000" w:themeColor="text1"/>
        </w:rPr>
        <w:t>With an ageing global population occurring at a greater rate and the increasing prevalence of diabetes, hypertension and obesity, the burden of CKD on our health system is growing in significance as a non-communicable disease.</w:t>
      </w:r>
      <w:r w:rsidR="00530A72" w:rsidRPr="00C07BB7">
        <w:rPr>
          <w:rFonts w:cs="Arial"/>
          <w:color w:val="000000" w:themeColor="text1"/>
        </w:rPr>
        <w:t xml:space="preserve"> </w:t>
      </w:r>
      <w:r w:rsidR="00D405A3" w:rsidRPr="00C07BB7">
        <w:rPr>
          <w:rFonts w:cs="Arial"/>
          <w:color w:val="000000" w:themeColor="text1"/>
        </w:rPr>
        <w:t>In the Global Burden of Disease, the estimated prevalence of adults aged 20 years and older with CKD in 2023 was 788 million, compared to 378 million in 1990, and an age-standardised prevalence of 14.2%</w:t>
      </w:r>
      <w:r w:rsidR="00DF6E77" w:rsidRPr="00C07BB7">
        <w:rPr>
          <w:rFonts w:cs="Arial"/>
          <w:color w:val="000000" w:themeColor="text1"/>
        </w:rPr>
        <w:t xml:space="preserve"> (Healthdata, 2023)</w:t>
      </w:r>
      <w:r w:rsidR="00D405A3" w:rsidRPr="00C07BB7">
        <w:rPr>
          <w:rFonts w:cs="Arial"/>
          <w:color w:val="000000" w:themeColor="text1"/>
        </w:rPr>
        <w:t xml:space="preserve">. The estimate is used as it clearly specifies the population and the year (and the analytical method, too), without giving rise to confusion due to the presentation of incomparable global data without an explanation. The rise is proof that </w:t>
      </w:r>
      <w:r w:rsidR="006D7325" w:rsidRPr="00C07BB7">
        <w:rPr>
          <w:rFonts w:cs="Arial"/>
          <w:color w:val="000000" w:themeColor="text1"/>
        </w:rPr>
        <w:t>“CKD is not confined to specialist clinical practice but represents a substantial population-health concern</w:t>
      </w:r>
      <w:r w:rsidR="00D405A3" w:rsidRPr="00C07BB7">
        <w:rPr>
          <w:rFonts w:cs="Arial"/>
          <w:color w:val="000000" w:themeColor="text1"/>
        </w:rPr>
        <w:t>, but rather a significant population health concern that will impact the need for prevention, diagnosis, capacity building, long-term treatment and costs to healthcare systems in many countries over the coming decades around the world.</w:t>
      </w:r>
    </w:p>
    <w:p w14:paraId="0F68D330" w14:textId="4CACE693" w:rsidR="00D405A3" w:rsidRPr="00C07BB7" w:rsidRDefault="00D405A3" w:rsidP="00462CB9">
      <w:pPr>
        <w:rPr>
          <w:rFonts w:cs="Arial"/>
          <w:color w:val="000000" w:themeColor="text1"/>
        </w:rPr>
      </w:pPr>
      <w:r w:rsidRPr="00C07BB7">
        <w:rPr>
          <w:rFonts w:cs="Arial"/>
          <w:color w:val="000000" w:themeColor="text1"/>
        </w:rPr>
        <w:t xml:space="preserve">The burden of CKD is an interplay between clinical, behavioural and social determinants. Diabetes and hypertension are still leading causes of disease onset and progression, and obesity, cardiovascular disease and ageing are further risk factors that increase vulnerability (Mallamaci and Tripepi, 2024). Socioeconomic </w:t>
      </w:r>
      <w:r w:rsidR="00D42CA5" w:rsidRPr="00C07BB7">
        <w:rPr>
          <w:rFonts w:cs="Arial"/>
          <w:color w:val="000000" w:themeColor="text1"/>
        </w:rPr>
        <w:t>disadvantages</w:t>
      </w:r>
      <w:r w:rsidRPr="00C07BB7">
        <w:rPr>
          <w:rFonts w:cs="Arial"/>
          <w:color w:val="000000" w:themeColor="text1"/>
        </w:rPr>
        <w:t xml:space="preserve"> can exacerbate risk through its effect on diet, exposure to poor environments and access to preventive services and continuity of care (Stewart et al., 2024). </w:t>
      </w:r>
      <w:r w:rsidR="00A425C2" w:rsidRPr="00C07BB7">
        <w:rPr>
          <w:rFonts w:cs="Arial"/>
          <w:color w:val="000000" w:themeColor="text1"/>
        </w:rPr>
        <w:t>Managing CKD is a multifaceted process, and treatment cannot only slow down the decline of kidney function. Typically consists of blood pressure and diabetes control, cardiovascular risk reduction, lifestyle support, and regular monitoring that depends on the severity of the disease (Levin et al., 2024).</w:t>
      </w:r>
      <w:r w:rsidRPr="00C07BB7">
        <w:rPr>
          <w:rFonts w:cs="Arial"/>
          <w:color w:val="000000" w:themeColor="text1"/>
        </w:rPr>
        <w:t xml:space="preserve"> If a person reaches kidney failure stage, then dialysis, transplant or maintaining the kidneys (conservative treatment) may be recommended based on clinical and patient preference (Stevens et al., 2024). These requirements put </w:t>
      </w:r>
      <w:r w:rsidR="00D42CA5" w:rsidRPr="00C07BB7">
        <w:rPr>
          <w:rFonts w:cs="Arial"/>
          <w:color w:val="000000" w:themeColor="text1"/>
        </w:rPr>
        <w:t>ongoing</w:t>
      </w:r>
      <w:r w:rsidRPr="00C07BB7">
        <w:rPr>
          <w:rFonts w:cs="Arial"/>
          <w:color w:val="000000" w:themeColor="text1"/>
        </w:rPr>
        <w:t xml:space="preserve"> clinical, organisational and financial strain on the modern healthcare system in today's world.</w:t>
      </w:r>
    </w:p>
    <w:p w14:paraId="437A81A6" w14:textId="29C4A6B6" w:rsidR="00D405A3" w:rsidRPr="00D863A2" w:rsidRDefault="00D405A3" w:rsidP="00462CB9">
      <w:pPr>
        <w:pStyle w:val="Heading2"/>
        <w:rPr>
          <w:rFonts w:cs="Arial"/>
          <w:sz w:val="28"/>
          <w:szCs w:val="28"/>
        </w:rPr>
      </w:pPr>
      <w:bookmarkStart w:id="13" w:name="_Toc240666889"/>
      <w:bookmarkStart w:id="14" w:name="_Toc241090863"/>
      <w:r w:rsidRPr="00D863A2">
        <w:rPr>
          <w:rFonts w:cs="Arial"/>
          <w:sz w:val="28"/>
          <w:szCs w:val="28"/>
        </w:rPr>
        <w:t>1.3</w:t>
      </w:r>
      <w:r w:rsidR="00C765C5">
        <w:rPr>
          <w:rFonts w:cs="Arial"/>
          <w:sz w:val="28"/>
          <w:szCs w:val="28"/>
        </w:rPr>
        <w:t xml:space="preserve"> The</w:t>
      </w:r>
      <w:r w:rsidRPr="00D863A2">
        <w:rPr>
          <w:rFonts w:cs="Arial"/>
          <w:sz w:val="28"/>
          <w:szCs w:val="28"/>
        </w:rPr>
        <w:t xml:space="preserve"> UK Context</w:t>
      </w:r>
      <w:bookmarkEnd w:id="13"/>
      <w:bookmarkEnd w:id="14"/>
    </w:p>
    <w:p w14:paraId="4DCC9366" w14:textId="458D1F2D" w:rsidR="00D405A3" w:rsidRPr="00C07BB7" w:rsidRDefault="00943CFD" w:rsidP="00462CB9">
      <w:pPr>
        <w:rPr>
          <w:rFonts w:cs="Arial"/>
          <w:color w:val="000000" w:themeColor="text1"/>
        </w:rPr>
      </w:pPr>
      <w:r w:rsidRPr="00C07BB7">
        <w:rPr>
          <w:rFonts w:cs="Arial"/>
        </w:rPr>
        <w:t>Based on national estimates, several million adults in the UK may have CKD, but the number of people with coded diagnoses and diagnosed with CKD is much lower. For example, the estimated number of people with kidney disease at all stages was around 7.2 million by Kidney Research</w:t>
      </w:r>
      <w:r w:rsidR="00F64A0E">
        <w:rPr>
          <w:rFonts w:cs="Arial"/>
        </w:rPr>
        <w:t xml:space="preserve"> in the</w:t>
      </w:r>
      <w:r w:rsidRPr="00C07BB7">
        <w:rPr>
          <w:rFonts w:cs="Arial"/>
        </w:rPr>
        <w:t xml:space="preserve"> UK (2023) and survey and EHR data reveal significant disparities between the prevalence as defined by the laboratory and the number of people diagnosed with kidney disease. These differences account for underdiagnosis, differences in coding and variable testing, and have implications for surveillance, service planning, and for equitable access to care.</w:t>
      </w:r>
      <w:r w:rsidR="00D405A3" w:rsidRPr="00C07BB7">
        <w:rPr>
          <w:rFonts w:cs="Arial"/>
          <w:color w:val="000000" w:themeColor="text1"/>
        </w:rPr>
        <w:t xml:space="preserve"> These numbers highlight the recognition gap, and their meaning is a reminder that prevalence rates based on objective tests may be higher than those </w:t>
      </w:r>
      <w:r w:rsidR="00982206" w:rsidRPr="00C07BB7">
        <w:rPr>
          <w:rFonts w:cs="Arial"/>
          <w:color w:val="000000" w:themeColor="text1"/>
        </w:rPr>
        <w:t>identified through self-reported awareness of a medical diagnosis</w:t>
      </w:r>
      <w:r w:rsidR="00D405A3" w:rsidRPr="00C07BB7">
        <w:rPr>
          <w:rFonts w:cs="Arial"/>
          <w:color w:val="000000" w:themeColor="text1"/>
        </w:rPr>
        <w:t>, particularly at early stages of the disease.</w:t>
      </w:r>
    </w:p>
    <w:p w14:paraId="3C3F7E95" w14:textId="73E28740" w:rsidR="00D405A3" w:rsidRPr="00C07BB7" w:rsidRDefault="006D7325" w:rsidP="00462CB9">
      <w:pPr>
        <w:rPr>
          <w:rFonts w:cs="Arial"/>
          <w:color w:val="000000" w:themeColor="text1"/>
        </w:rPr>
      </w:pPr>
      <w:r w:rsidRPr="00C07BB7">
        <w:rPr>
          <w:rFonts w:cs="Arial"/>
          <w:color w:val="000000" w:themeColor="text1"/>
        </w:rPr>
        <w:t>The UK should not be regarded as a homogeneous healthcare context</w:t>
      </w:r>
      <w:r w:rsidR="00D405A3" w:rsidRPr="00C07BB7">
        <w:rPr>
          <w:rFonts w:cs="Arial"/>
          <w:color w:val="000000" w:themeColor="text1"/>
        </w:rPr>
        <w:t xml:space="preserve">, as England, Scotland, Wales &amp; Northern Ireland all have different population profiles, service organisation, surveillance systems and availability of data. The CKD action plan for Scotland highlights several areas where there is a lack of information regarding the diagnosis, treatment and progression of the disease (Kidney Research UK, 2024). There were 93,722 diagnosed cases of CKD and an estimated 160,037 people with stages 3–5 CKD in Wales, suggesting there is a gap between the number of people with a diagnosed CKD and </w:t>
      </w:r>
      <w:r w:rsidR="003C6B20" w:rsidRPr="00C07BB7">
        <w:rPr>
          <w:rFonts w:cs="Arial"/>
          <w:color w:val="000000" w:themeColor="text1"/>
        </w:rPr>
        <w:t xml:space="preserve">those estimated to be living with stages 3–5 CKD </w:t>
      </w:r>
      <w:r w:rsidR="00D405A3" w:rsidRPr="00C07BB7">
        <w:rPr>
          <w:rFonts w:cs="Arial"/>
          <w:color w:val="000000" w:themeColor="text1"/>
        </w:rPr>
        <w:t>(Health Technology Wales, 2024). There were 79,098 individuals with a reported CKD in Northern Ireland in 2022/23, although the extent of reporting in Northern Ireland is less comprehensive than in England (Ulster University, 2024). Such differences prevent direct comparison, but make it legitimate to create a synthesis of experiences for the UK, which could highlight a common set of issues, as well as areas of regional disparity within the UK and priorities for enhanced surveillance and service coordination.</w:t>
      </w:r>
    </w:p>
    <w:p w14:paraId="6AE7DB64" w14:textId="77777777" w:rsidR="00D405A3" w:rsidRPr="00E63F82" w:rsidRDefault="00D405A3" w:rsidP="00462CB9">
      <w:pPr>
        <w:pStyle w:val="Heading2"/>
        <w:rPr>
          <w:rFonts w:cs="Arial"/>
          <w:sz w:val="28"/>
          <w:szCs w:val="28"/>
        </w:rPr>
      </w:pPr>
      <w:bookmarkStart w:id="15" w:name="_Toc240666890"/>
      <w:bookmarkStart w:id="16" w:name="_Toc241090864"/>
      <w:r w:rsidRPr="00E63F82">
        <w:rPr>
          <w:rFonts w:cs="Arial"/>
          <w:sz w:val="28"/>
          <w:szCs w:val="28"/>
        </w:rPr>
        <w:t>1.4 Overview of Risk Factors and Management Strategies</w:t>
      </w:r>
      <w:bookmarkEnd w:id="15"/>
      <w:bookmarkEnd w:id="16"/>
    </w:p>
    <w:p w14:paraId="5BD86D2F" w14:textId="773A817E" w:rsidR="00D405A3" w:rsidRPr="00C07BB7" w:rsidRDefault="00D405A3" w:rsidP="00462CB9">
      <w:pPr>
        <w:rPr>
          <w:rFonts w:cs="Arial"/>
          <w:color w:val="000000" w:themeColor="text1"/>
        </w:rPr>
      </w:pPr>
      <w:r w:rsidRPr="00C07BB7">
        <w:rPr>
          <w:rFonts w:cs="Arial"/>
          <w:color w:val="000000" w:themeColor="text1"/>
        </w:rPr>
        <w:t>Diabetes, hypertension, obesity, ageing, cardiovascular diseases, and smoking are the main risk factors for CKD among</w:t>
      </w:r>
      <w:r w:rsidR="00C765C5">
        <w:rPr>
          <w:rFonts w:cs="Arial"/>
          <w:color w:val="000000" w:themeColor="text1"/>
        </w:rPr>
        <w:t xml:space="preserve"> the</w:t>
      </w:r>
      <w:r w:rsidRPr="00C07BB7">
        <w:rPr>
          <w:rFonts w:cs="Arial"/>
          <w:color w:val="000000" w:themeColor="text1"/>
        </w:rPr>
        <w:t xml:space="preserve"> UK adults (Mallamaci and Tripepi, 2024). Diabetes and hypertension are especially relevant due to potential chronic hyperglycemia and chronically elevated BP, which can cause destruction of renal blood vessels and filtration structures (Levin et al., 2024). Ethnicity and socioeconomic disadvantage are also important, as this can play a role in the prevalence of diabetes, control of hypertension, diabetes testing and continuity of care (Stewart et al., 2024). The influences are often interwoven, and not always unique. Such as poorer access to preventive services or healthy food, and higher exposure to unhealthy environments (Stewart et al., 2024). Thus, the risk of developing CKD should be evaluated via biological, behavioural and healthcare avenues instead of individual lifestyle choices.</w:t>
      </w:r>
    </w:p>
    <w:p w14:paraId="404ED189" w14:textId="78622506" w:rsidR="00613093" w:rsidRPr="00C07BB7" w:rsidRDefault="00C52902" w:rsidP="00462CB9">
      <w:pPr>
        <w:rPr>
          <w:rFonts w:cs="Arial"/>
          <w:color w:val="000000" w:themeColor="text1"/>
        </w:rPr>
      </w:pPr>
      <w:r w:rsidRPr="00C07BB7">
        <w:rPr>
          <w:rFonts w:cs="Arial"/>
          <w:color w:val="000000" w:themeColor="text1"/>
        </w:rPr>
        <w:t>CKD management</w:t>
      </w:r>
      <w:r w:rsidR="00D405A3" w:rsidRPr="00C07BB7">
        <w:rPr>
          <w:rFonts w:cs="Arial"/>
          <w:color w:val="000000" w:themeColor="text1"/>
        </w:rPr>
        <w:t xml:space="preserve"> is a combination of pharmacological, lifestyle and service level interventions, chosen based on disease stage, albuminuria, underlying cause and comorbidities (Stevens et al., 2024). Key strategies are to monitor eGFR and uACR, control hypertension and diabetes, reduce cardiovascular risk, and, if clinically indicated, to use kidney protective medications (Levin et al., 2024</w:t>
      </w:r>
      <w:r w:rsidR="009D3822" w:rsidRPr="00C07BB7">
        <w:rPr>
          <w:rFonts w:cs="Arial"/>
        </w:rPr>
        <w:t xml:space="preserve"> Lifestyle interventions (dietary change, weight management, smoking cessation, physical activity) are suggested to be useful elements of the care of people with CKD, but high-quality trials demonstrating long-term renal benefit are few and far between in the UK. Digital self</w:t>
      </w:r>
      <w:r w:rsidR="009D3822" w:rsidRPr="00C07BB7">
        <w:rPr>
          <w:rFonts w:ascii="Cambria Math" w:hAnsi="Cambria Math" w:cs="Cambria Math"/>
        </w:rPr>
        <w:t>‑</w:t>
      </w:r>
      <w:r w:rsidR="009D3822" w:rsidRPr="00C07BB7">
        <w:rPr>
          <w:rFonts w:cs="Arial"/>
        </w:rPr>
        <w:t>management tools demonstrate short</w:t>
      </w:r>
      <w:r w:rsidR="009D3822" w:rsidRPr="00C07BB7">
        <w:rPr>
          <w:rFonts w:ascii="Cambria Math" w:hAnsi="Cambria Math" w:cs="Cambria Math"/>
        </w:rPr>
        <w:t>‑</w:t>
      </w:r>
      <w:r w:rsidR="009D3822" w:rsidRPr="00C07BB7">
        <w:rPr>
          <w:rFonts w:cs="Arial"/>
        </w:rPr>
        <w:t xml:space="preserve">term benefits of activity and </w:t>
      </w:r>
      <w:r w:rsidR="009642A4" w:rsidRPr="00C07BB7">
        <w:rPr>
          <w:rFonts w:cs="Arial"/>
        </w:rPr>
        <w:t>knowledge,</w:t>
      </w:r>
      <w:r w:rsidR="009D3822" w:rsidRPr="00C07BB7">
        <w:rPr>
          <w:rFonts w:cs="Arial"/>
        </w:rPr>
        <w:t xml:space="preserve"> but trials are limited in population, size and length, reducing generalisability to older and deprived populations. Future research should focus on inclusive, pragmatic trials with process evaluations, and pay attention to access, health literacy and multimorbidity aspects of patient-centered care.</w:t>
      </w:r>
      <w:r w:rsidR="00D405A3" w:rsidRPr="00C07BB7">
        <w:rPr>
          <w:rFonts w:cs="Arial"/>
          <w:color w:val="000000" w:themeColor="text1"/>
        </w:rPr>
        <w:t xml:space="preserve"> This chapter contains the background information required to </w:t>
      </w:r>
      <w:r w:rsidR="00F94D42" w:rsidRPr="00C07BB7">
        <w:rPr>
          <w:rFonts w:cs="Arial"/>
          <w:color w:val="000000" w:themeColor="text1"/>
        </w:rPr>
        <w:t>identify</w:t>
      </w:r>
      <w:r w:rsidR="00D405A3" w:rsidRPr="00C07BB7">
        <w:rPr>
          <w:rFonts w:cs="Arial"/>
          <w:color w:val="000000" w:themeColor="text1"/>
        </w:rPr>
        <w:t xml:space="preserve"> the scope and rationale for this study, which will be critically examined in Chapter Two.</w:t>
      </w:r>
    </w:p>
    <w:p w14:paraId="2B1701F4" w14:textId="77777777" w:rsidR="00F4228A" w:rsidRPr="00FB4D98" w:rsidRDefault="00F4228A" w:rsidP="00462CB9">
      <w:pPr>
        <w:pStyle w:val="Heading2"/>
        <w:rPr>
          <w:rFonts w:cs="Arial"/>
          <w:sz w:val="28"/>
          <w:szCs w:val="28"/>
        </w:rPr>
      </w:pPr>
      <w:bookmarkStart w:id="17" w:name="_Toc240666891"/>
      <w:bookmarkStart w:id="18" w:name="_Toc241090865"/>
      <w:r w:rsidRPr="00FB4D98">
        <w:rPr>
          <w:rFonts w:cs="Arial"/>
          <w:sz w:val="28"/>
          <w:szCs w:val="28"/>
        </w:rPr>
        <w:t>1.5 Research Rationale</w:t>
      </w:r>
      <w:bookmarkEnd w:id="17"/>
      <w:bookmarkEnd w:id="18"/>
    </w:p>
    <w:p w14:paraId="655C226A" w14:textId="20EEB6D9" w:rsidR="00F4228A" w:rsidRPr="00C07BB7" w:rsidRDefault="00F4228A" w:rsidP="00462CB9">
      <w:pPr>
        <w:rPr>
          <w:rFonts w:cs="Arial"/>
          <w:color w:val="000000" w:themeColor="text1"/>
        </w:rPr>
      </w:pPr>
      <w:r w:rsidRPr="00C07BB7">
        <w:rPr>
          <w:rFonts w:cs="Arial"/>
          <w:color w:val="000000" w:themeColor="text1"/>
        </w:rPr>
        <w:t xml:space="preserve">Although CKD is a significant clinical burden in the UK, there are key unmet areas with respect to detection, awareness, monitoring and implementation of evidence-based CKD care. Knowledge of the proportion of people with the disease, obtained through objective testing, could detect a far greater number of cases than what is known about the number of people who have had a diagnosis (NHS Digital, 2024; Kidney Research UK, 2024), and data availability and service organisation differ between England, Scotland, Wales and Northern Ireland. There is thus cross-population, cross-setting and cross-intervention evidence on risk factors and on management. A systematic review is required to </w:t>
      </w:r>
      <w:r w:rsidR="00FB4D98" w:rsidRPr="00C07BB7">
        <w:rPr>
          <w:rFonts w:cs="Arial"/>
          <w:color w:val="000000" w:themeColor="text1"/>
        </w:rPr>
        <w:t>collect</w:t>
      </w:r>
      <w:r w:rsidRPr="00C07BB7">
        <w:rPr>
          <w:rFonts w:cs="Arial"/>
          <w:color w:val="000000" w:themeColor="text1"/>
        </w:rPr>
        <w:t xml:space="preserve"> the most recent evidence from the UK to clarify emerging trends and gaps and to inform more specific public health, clinical and service planning decisions nationally.</w:t>
      </w:r>
    </w:p>
    <w:p w14:paraId="2AC93F66" w14:textId="1AFB2530" w:rsidR="00613093" w:rsidRPr="00FB4D98" w:rsidRDefault="00613093" w:rsidP="00462CB9">
      <w:pPr>
        <w:pStyle w:val="Heading2"/>
        <w:rPr>
          <w:rFonts w:cs="Arial"/>
          <w:sz w:val="28"/>
          <w:szCs w:val="28"/>
        </w:rPr>
      </w:pPr>
      <w:bookmarkStart w:id="19" w:name="_Toc240666892"/>
      <w:bookmarkStart w:id="20" w:name="_Toc241090866"/>
      <w:r w:rsidRPr="00FB4D98">
        <w:rPr>
          <w:rFonts w:cs="Arial"/>
          <w:sz w:val="28"/>
          <w:szCs w:val="28"/>
        </w:rPr>
        <w:t>1.</w:t>
      </w:r>
      <w:r w:rsidR="00F4228A" w:rsidRPr="00FB4D98">
        <w:rPr>
          <w:rFonts w:cs="Arial"/>
          <w:sz w:val="28"/>
          <w:szCs w:val="28"/>
        </w:rPr>
        <w:t>6</w:t>
      </w:r>
      <w:r w:rsidRPr="00FB4D98">
        <w:rPr>
          <w:rFonts w:cs="Arial"/>
          <w:sz w:val="28"/>
          <w:szCs w:val="28"/>
        </w:rPr>
        <w:t xml:space="preserve"> Research </w:t>
      </w:r>
      <w:r w:rsidR="00F92DEB" w:rsidRPr="00FB4D98">
        <w:rPr>
          <w:rFonts w:cs="Arial"/>
          <w:sz w:val="28"/>
          <w:szCs w:val="28"/>
        </w:rPr>
        <w:t>A</w:t>
      </w:r>
      <w:r w:rsidRPr="00FB4D98">
        <w:rPr>
          <w:rFonts w:cs="Arial"/>
          <w:sz w:val="28"/>
          <w:szCs w:val="28"/>
        </w:rPr>
        <w:t xml:space="preserve">im, </w:t>
      </w:r>
      <w:r w:rsidR="00F92DEB" w:rsidRPr="00FB4D98">
        <w:rPr>
          <w:rFonts w:cs="Arial"/>
          <w:sz w:val="28"/>
          <w:szCs w:val="28"/>
        </w:rPr>
        <w:t>O</w:t>
      </w:r>
      <w:r w:rsidRPr="00FB4D98">
        <w:rPr>
          <w:rFonts w:cs="Arial"/>
          <w:sz w:val="28"/>
          <w:szCs w:val="28"/>
        </w:rPr>
        <w:t xml:space="preserve">bjectives and </w:t>
      </w:r>
      <w:r w:rsidR="00F92DEB" w:rsidRPr="00FB4D98">
        <w:rPr>
          <w:rFonts w:cs="Arial"/>
          <w:sz w:val="28"/>
          <w:szCs w:val="28"/>
        </w:rPr>
        <w:t>R</w:t>
      </w:r>
      <w:r w:rsidRPr="00FB4D98">
        <w:rPr>
          <w:rFonts w:cs="Arial"/>
          <w:sz w:val="28"/>
          <w:szCs w:val="28"/>
        </w:rPr>
        <w:t>esearch question</w:t>
      </w:r>
      <w:bookmarkEnd w:id="19"/>
      <w:bookmarkEnd w:id="20"/>
    </w:p>
    <w:p w14:paraId="0592029A" w14:textId="111DD403" w:rsidR="00613093" w:rsidRPr="00C07BB7" w:rsidRDefault="00613093" w:rsidP="00462CB9">
      <w:pPr>
        <w:rPr>
          <w:rFonts w:cs="Arial"/>
          <w:b/>
          <w:bCs/>
          <w:color w:val="000000" w:themeColor="text1"/>
          <w:u w:val="single"/>
        </w:rPr>
      </w:pPr>
      <w:r w:rsidRPr="00C07BB7">
        <w:rPr>
          <w:rFonts w:cs="Arial"/>
          <w:b/>
          <w:bCs/>
          <w:color w:val="000000" w:themeColor="text1"/>
          <w:u w:val="single"/>
        </w:rPr>
        <w:t>Research Question:</w:t>
      </w:r>
    </w:p>
    <w:p w14:paraId="4D7A798E" w14:textId="4A703491" w:rsidR="00613093" w:rsidRPr="00C07BB7" w:rsidRDefault="003C6B20" w:rsidP="00462CB9">
      <w:pPr>
        <w:rPr>
          <w:rFonts w:cs="Arial"/>
          <w:color w:val="000000" w:themeColor="text1"/>
        </w:rPr>
      </w:pPr>
      <w:r w:rsidRPr="00C07BB7">
        <w:rPr>
          <w:rFonts w:cs="Arial"/>
          <w:color w:val="000000" w:themeColor="text1"/>
        </w:rPr>
        <w:t>What are the key risk factors and effective management strategies for CKD among adults aged 18 years and older in the UK, based on recent peer-reviewed evidence?</w:t>
      </w:r>
    </w:p>
    <w:p w14:paraId="6E960B7C" w14:textId="405B23D3" w:rsidR="00613093" w:rsidRPr="00C07BB7" w:rsidRDefault="00613093" w:rsidP="00462CB9">
      <w:pPr>
        <w:rPr>
          <w:rFonts w:cs="Arial"/>
          <w:b/>
          <w:bCs/>
          <w:color w:val="000000" w:themeColor="text1"/>
          <w:u w:val="single"/>
        </w:rPr>
      </w:pPr>
      <w:r w:rsidRPr="00C07BB7">
        <w:rPr>
          <w:rFonts w:cs="Arial"/>
          <w:b/>
          <w:bCs/>
          <w:color w:val="000000" w:themeColor="text1"/>
          <w:u w:val="single"/>
        </w:rPr>
        <w:t>Research Aim:</w:t>
      </w:r>
    </w:p>
    <w:p w14:paraId="0D437828" w14:textId="5344B336" w:rsidR="00613093" w:rsidRPr="00C07BB7" w:rsidRDefault="00613093" w:rsidP="00462CB9">
      <w:pPr>
        <w:rPr>
          <w:rFonts w:cs="Arial"/>
          <w:color w:val="000000" w:themeColor="text1"/>
        </w:rPr>
      </w:pPr>
      <w:r w:rsidRPr="00C07BB7">
        <w:rPr>
          <w:rFonts w:cs="Arial"/>
          <w:color w:val="000000" w:themeColor="text1"/>
        </w:rPr>
        <w:t>To systematically review and synthesise evidence on the risk factors and management approaches for CKD in the UK adult population (18 and Older), informing targeted public health interventions.</w:t>
      </w:r>
    </w:p>
    <w:p w14:paraId="70653D6B" w14:textId="77777777" w:rsidR="00613093" w:rsidRPr="00C07BB7" w:rsidRDefault="00613093" w:rsidP="00462CB9">
      <w:pPr>
        <w:rPr>
          <w:rFonts w:cs="Arial"/>
          <w:b/>
          <w:bCs/>
          <w:color w:val="000000" w:themeColor="text1"/>
          <w:u w:val="single"/>
        </w:rPr>
      </w:pPr>
      <w:r w:rsidRPr="00C07BB7">
        <w:rPr>
          <w:rFonts w:cs="Arial"/>
          <w:b/>
          <w:bCs/>
          <w:color w:val="000000" w:themeColor="text1"/>
          <w:u w:val="single"/>
        </w:rPr>
        <w:t>Research Objectives:</w:t>
      </w:r>
    </w:p>
    <w:p w14:paraId="76F2161F" w14:textId="2929B873" w:rsidR="00613093" w:rsidRPr="00C07BB7" w:rsidRDefault="004215FB" w:rsidP="00462CB9">
      <w:pPr>
        <w:pStyle w:val="ListParagraph"/>
        <w:numPr>
          <w:ilvl w:val="0"/>
          <w:numId w:val="11"/>
        </w:numPr>
        <w:rPr>
          <w:rFonts w:cs="Arial"/>
          <w:color w:val="000000" w:themeColor="text1"/>
        </w:rPr>
      </w:pPr>
      <w:r w:rsidRPr="00C07BB7">
        <w:rPr>
          <w:rFonts w:cs="Arial"/>
          <w:color w:val="000000" w:themeColor="text1"/>
        </w:rPr>
        <w:t>To synthesise evidence on the epidemiology, distribution and burden of CKD among</w:t>
      </w:r>
      <w:r w:rsidR="00C765C5">
        <w:rPr>
          <w:rFonts w:cs="Arial"/>
          <w:color w:val="000000" w:themeColor="text1"/>
        </w:rPr>
        <w:t xml:space="preserve"> the</w:t>
      </w:r>
      <w:r w:rsidRPr="00C07BB7">
        <w:rPr>
          <w:rFonts w:cs="Arial"/>
          <w:color w:val="000000" w:themeColor="text1"/>
        </w:rPr>
        <w:t xml:space="preserve"> UK adults.</w:t>
      </w:r>
    </w:p>
    <w:p w14:paraId="4047A4F7" w14:textId="77777777" w:rsidR="00613093" w:rsidRPr="00C07BB7" w:rsidRDefault="00613093" w:rsidP="00462CB9">
      <w:pPr>
        <w:pStyle w:val="ListParagraph"/>
        <w:numPr>
          <w:ilvl w:val="0"/>
          <w:numId w:val="11"/>
        </w:numPr>
        <w:rPr>
          <w:rFonts w:cs="Arial"/>
          <w:color w:val="000000" w:themeColor="text1"/>
        </w:rPr>
      </w:pPr>
      <w:r w:rsidRPr="00C07BB7">
        <w:rPr>
          <w:rFonts w:cs="Arial"/>
          <w:color w:val="000000" w:themeColor="text1"/>
        </w:rPr>
        <w:t>To analyse the primary risk factors (e.g., diabetes, hypertension, ethnicity) associated with CKD onset and progression in the UK context.</w:t>
      </w:r>
    </w:p>
    <w:p w14:paraId="17905B65" w14:textId="04C80925" w:rsidR="00613093" w:rsidRPr="00C07BB7" w:rsidRDefault="00613093" w:rsidP="00462CB9">
      <w:pPr>
        <w:pStyle w:val="ListParagraph"/>
        <w:numPr>
          <w:ilvl w:val="0"/>
          <w:numId w:val="11"/>
        </w:numPr>
        <w:rPr>
          <w:rFonts w:cs="Arial"/>
          <w:color w:val="000000" w:themeColor="text1"/>
        </w:rPr>
      </w:pPr>
      <w:r w:rsidRPr="00C07BB7">
        <w:rPr>
          <w:rFonts w:cs="Arial"/>
          <w:color w:val="000000" w:themeColor="text1"/>
        </w:rPr>
        <w:t>To evaluate evidence-based management strategies, including pharmacological and lifestyle interventions, for improving CKD outcomes among</w:t>
      </w:r>
      <w:r w:rsidR="00C765C5">
        <w:rPr>
          <w:rFonts w:cs="Arial"/>
          <w:color w:val="000000" w:themeColor="text1"/>
        </w:rPr>
        <w:t xml:space="preserve"> the</w:t>
      </w:r>
      <w:r w:rsidRPr="00C07BB7">
        <w:rPr>
          <w:rFonts w:cs="Arial"/>
          <w:color w:val="000000" w:themeColor="text1"/>
        </w:rPr>
        <w:t xml:space="preserve"> UK adults (18 and Older).</w:t>
      </w:r>
    </w:p>
    <w:p w14:paraId="180EE5FE" w14:textId="1D9F9732" w:rsidR="00613093" w:rsidRPr="00FB4D98" w:rsidRDefault="00613093" w:rsidP="00462CB9">
      <w:pPr>
        <w:pStyle w:val="Heading2"/>
        <w:rPr>
          <w:rFonts w:cs="Arial"/>
          <w:sz w:val="28"/>
          <w:szCs w:val="28"/>
        </w:rPr>
      </w:pPr>
      <w:bookmarkStart w:id="21" w:name="_Toc240666893"/>
      <w:bookmarkStart w:id="22" w:name="_Toc241090867"/>
      <w:r w:rsidRPr="00FB4D98">
        <w:rPr>
          <w:rFonts w:cs="Arial"/>
          <w:sz w:val="28"/>
          <w:szCs w:val="28"/>
        </w:rPr>
        <w:t>1.</w:t>
      </w:r>
      <w:r w:rsidR="00F4228A" w:rsidRPr="00FB4D98">
        <w:rPr>
          <w:rFonts w:cs="Arial"/>
          <w:sz w:val="28"/>
          <w:szCs w:val="28"/>
        </w:rPr>
        <w:t>7</w:t>
      </w:r>
      <w:r w:rsidRPr="00FB4D98">
        <w:rPr>
          <w:rFonts w:cs="Arial"/>
          <w:sz w:val="28"/>
          <w:szCs w:val="28"/>
        </w:rPr>
        <w:t xml:space="preserve"> Structure of the Dissertation</w:t>
      </w:r>
      <w:bookmarkEnd w:id="21"/>
      <w:bookmarkEnd w:id="22"/>
    </w:p>
    <w:p w14:paraId="37A834A4" w14:textId="4B9DFAD4" w:rsidR="006329CC" w:rsidRPr="00C07BB7" w:rsidRDefault="00654BED" w:rsidP="00462CB9">
      <w:pPr>
        <w:rPr>
          <w:rFonts w:cs="Arial"/>
          <w:color w:val="000000" w:themeColor="text1"/>
        </w:rPr>
      </w:pPr>
      <w:r w:rsidRPr="00C07BB7">
        <w:rPr>
          <w:rFonts w:cs="Arial"/>
          <w:color w:val="000000" w:themeColor="text1"/>
        </w:rPr>
        <w:t xml:space="preserve">This dissertation will consist of six chapters. This chapter introduces the study by the background, rationale, aim and objectives and research </w:t>
      </w:r>
      <w:r w:rsidR="00FB4D98" w:rsidRPr="00C07BB7">
        <w:rPr>
          <w:rFonts w:cs="Arial"/>
          <w:color w:val="000000" w:themeColor="text1"/>
        </w:rPr>
        <w:t>questions</w:t>
      </w:r>
      <w:r w:rsidRPr="00C07BB7">
        <w:rPr>
          <w:rFonts w:cs="Arial"/>
          <w:color w:val="000000" w:themeColor="text1"/>
        </w:rPr>
        <w:t>. Important literature will be critically analysed in Chapter Two, which will explore the epidemiology, risk factors, progression, diagnosis and management of CKD, including a focus on the UK. Chapter Three will explain the systematic-review methodology. The results of the studies will be presented in Chapter Four. The findings will be addressed with the research question, literature review and implications for practice in Chapter Five. The conclusion, recommendations, limitations and directions for future research will be given in Chapter Six.</w:t>
      </w:r>
    </w:p>
    <w:p w14:paraId="2D2853B5" w14:textId="77777777" w:rsidR="006329CC" w:rsidRPr="00C07BB7" w:rsidRDefault="006329CC" w:rsidP="00462CB9">
      <w:pPr>
        <w:rPr>
          <w:rFonts w:cs="Arial"/>
          <w:color w:val="000000" w:themeColor="text1"/>
        </w:rPr>
      </w:pPr>
      <w:r w:rsidRPr="00C07BB7">
        <w:rPr>
          <w:rFonts w:cs="Arial"/>
          <w:color w:val="000000" w:themeColor="text1"/>
        </w:rPr>
        <w:br w:type="page"/>
      </w:r>
    </w:p>
    <w:p w14:paraId="265F2DCE" w14:textId="4D8F7B87" w:rsidR="00544F3D" w:rsidRPr="00C07BB7" w:rsidRDefault="00544F3D" w:rsidP="00462CB9">
      <w:pPr>
        <w:pStyle w:val="Heading1"/>
        <w:rPr>
          <w:rFonts w:cs="Arial"/>
        </w:rPr>
      </w:pPr>
      <w:bookmarkStart w:id="23" w:name="_Toc239290088"/>
      <w:bookmarkStart w:id="24" w:name="_Toc240666894"/>
      <w:bookmarkStart w:id="25" w:name="_Toc241090868"/>
      <w:r w:rsidRPr="00C07BB7">
        <w:rPr>
          <w:rFonts w:cs="Arial"/>
        </w:rPr>
        <w:t xml:space="preserve">Chapter </w:t>
      </w:r>
      <w:r w:rsidR="00500B53">
        <w:rPr>
          <w:rFonts w:cs="Arial"/>
        </w:rPr>
        <w:t>Two</w:t>
      </w:r>
      <w:r w:rsidRPr="00C07BB7">
        <w:rPr>
          <w:rFonts w:cs="Arial"/>
        </w:rPr>
        <w:t>: Literature Review</w:t>
      </w:r>
      <w:bookmarkEnd w:id="23"/>
      <w:bookmarkEnd w:id="24"/>
      <w:bookmarkEnd w:id="25"/>
      <w:r w:rsidR="00500B53">
        <w:rPr>
          <w:rFonts w:cs="Arial"/>
        </w:rPr>
        <w:t xml:space="preserve"> </w:t>
      </w:r>
    </w:p>
    <w:p w14:paraId="2C6CF6B4" w14:textId="77777777" w:rsidR="00544F3D" w:rsidRPr="00F276B3" w:rsidRDefault="00544F3D" w:rsidP="00462CB9">
      <w:pPr>
        <w:pStyle w:val="Heading2"/>
        <w:rPr>
          <w:rFonts w:cs="Arial"/>
          <w:sz w:val="28"/>
          <w:szCs w:val="28"/>
        </w:rPr>
      </w:pPr>
      <w:bookmarkStart w:id="26" w:name="_Toc239290089"/>
      <w:bookmarkStart w:id="27" w:name="_Toc240666895"/>
      <w:bookmarkStart w:id="28" w:name="_Toc241090869"/>
      <w:r w:rsidRPr="00F276B3">
        <w:rPr>
          <w:rStyle w:val="Strong"/>
          <w:rFonts w:cs="Arial"/>
          <w:b/>
          <w:bCs/>
          <w:sz w:val="28"/>
          <w:szCs w:val="28"/>
        </w:rPr>
        <w:t>2.1 Introduction</w:t>
      </w:r>
      <w:bookmarkEnd w:id="26"/>
      <w:bookmarkEnd w:id="27"/>
      <w:bookmarkEnd w:id="28"/>
    </w:p>
    <w:p w14:paraId="6B411A13" w14:textId="6DFFA357" w:rsidR="00544F3D" w:rsidRPr="00C07BB7" w:rsidRDefault="00544F3D" w:rsidP="00462CB9">
      <w:pPr>
        <w:rPr>
          <w:rFonts w:cs="Arial"/>
        </w:rPr>
      </w:pPr>
      <w:r w:rsidRPr="00C07BB7">
        <w:rPr>
          <w:rFonts w:cs="Arial"/>
        </w:rPr>
        <w:t xml:space="preserve">The chapter will focus on the literature from the last few years on the risk factors and management of chronic kidney disease (CKD) in adults (aged ≥18) in the UK context. It will then discuss critically the literature that addresses the burden of CKD, traditional and emerging risk factors, diagnosis, under-recognition, treatment, digital health, lifestyle intervention and integrated care. The chapter will also identify gaps in the existing evidence and provide theory to be applied in conducting a systematic review. The structure is relevant because CKD is a clinical condition as well as a public health problem with a focus on prevention, early detection, </w:t>
      </w:r>
      <w:r w:rsidR="00C765C5" w:rsidRPr="00C07BB7">
        <w:rPr>
          <w:rFonts w:cs="Arial"/>
        </w:rPr>
        <w:t>behavio</w:t>
      </w:r>
      <w:r w:rsidR="006D0340">
        <w:rPr>
          <w:rFonts w:cs="Arial"/>
        </w:rPr>
        <w:t>u</w:t>
      </w:r>
      <w:r w:rsidR="00C765C5" w:rsidRPr="00C07BB7">
        <w:rPr>
          <w:rFonts w:cs="Arial"/>
        </w:rPr>
        <w:t>r’s</w:t>
      </w:r>
      <w:r w:rsidRPr="00C07BB7">
        <w:rPr>
          <w:rFonts w:cs="Arial"/>
        </w:rPr>
        <w:t xml:space="preserve"> of patients, access to health care and chronicity of disease management.</w:t>
      </w:r>
    </w:p>
    <w:p w14:paraId="3B923E11" w14:textId="77777777" w:rsidR="00544F3D" w:rsidRPr="00E14D33" w:rsidRDefault="00544F3D" w:rsidP="00462CB9">
      <w:pPr>
        <w:pStyle w:val="Heading2"/>
        <w:rPr>
          <w:rFonts w:cs="Arial"/>
          <w:sz w:val="28"/>
          <w:szCs w:val="28"/>
        </w:rPr>
      </w:pPr>
      <w:bookmarkStart w:id="29" w:name="_Toc239290090"/>
      <w:bookmarkStart w:id="30" w:name="_Toc240666896"/>
      <w:bookmarkStart w:id="31" w:name="_Toc241090870"/>
      <w:r w:rsidRPr="00E14D33">
        <w:rPr>
          <w:rStyle w:val="Strong"/>
          <w:rFonts w:cs="Arial"/>
          <w:b/>
          <w:bCs/>
          <w:sz w:val="28"/>
          <w:szCs w:val="28"/>
        </w:rPr>
        <w:t>2.2 Literature Review</w:t>
      </w:r>
      <w:bookmarkEnd w:id="29"/>
      <w:bookmarkEnd w:id="30"/>
      <w:bookmarkEnd w:id="31"/>
    </w:p>
    <w:p w14:paraId="7463F30E" w14:textId="77777777" w:rsidR="00544F3D" w:rsidRPr="00E14D33" w:rsidRDefault="00544F3D" w:rsidP="00462CB9">
      <w:pPr>
        <w:pStyle w:val="Heading3"/>
        <w:rPr>
          <w:rFonts w:cs="Arial"/>
          <w:color w:val="auto"/>
        </w:rPr>
      </w:pPr>
      <w:bookmarkStart w:id="32" w:name="_Toc239290091"/>
      <w:bookmarkStart w:id="33" w:name="_Toc240666897"/>
      <w:bookmarkStart w:id="34" w:name="_Toc241090871"/>
      <w:r w:rsidRPr="00E14D33">
        <w:rPr>
          <w:rStyle w:val="Strong"/>
          <w:rFonts w:cs="Arial"/>
          <w:b/>
          <w:bCs/>
          <w:color w:val="auto"/>
        </w:rPr>
        <w:t>2.2.1 CKD as a Public Health Condition</w:t>
      </w:r>
      <w:bookmarkEnd w:id="32"/>
      <w:bookmarkEnd w:id="33"/>
      <w:bookmarkEnd w:id="34"/>
    </w:p>
    <w:p w14:paraId="39705AF8" w14:textId="18C9772D" w:rsidR="00544F3D" w:rsidRPr="00C07BB7" w:rsidRDefault="006F0FDA" w:rsidP="00462CB9">
      <w:pPr>
        <w:rPr>
          <w:rFonts w:cs="Arial"/>
        </w:rPr>
      </w:pPr>
      <w:r w:rsidRPr="00C07BB7">
        <w:rPr>
          <w:rFonts w:cs="Arial"/>
        </w:rPr>
        <w:t xml:space="preserve">CKD is a long-term decrease in kidney function or kidney damage, usually detected by eGFR and albuminuria. It is a significant public health problem as many of the early cases are asymptomatic but linked to greater cardiovascular morbidity, progression to kidney failure, and early death. Compared to the UK, there is less quantitative research on patient-reported functional and/or psychosocial burden of the condition in validated tools, and less evidence is purely observational and biomedical outcomes-based </w:t>
      </w:r>
      <w:r w:rsidR="00544F3D" w:rsidRPr="00C07BB7">
        <w:rPr>
          <w:rFonts w:cs="Arial"/>
        </w:rPr>
        <w:t>(Bhandari et al., 2025; Stewart et al., 2024).</w:t>
      </w:r>
    </w:p>
    <w:p w14:paraId="265EB1BD" w14:textId="65C5137C" w:rsidR="00544F3D" w:rsidRPr="00C07BB7" w:rsidRDefault="00544F3D" w:rsidP="00462CB9">
      <w:pPr>
        <w:rPr>
          <w:rFonts w:cs="Arial"/>
        </w:rPr>
      </w:pPr>
      <w:r w:rsidRPr="00C07BB7">
        <w:rPr>
          <w:rFonts w:cs="Arial"/>
        </w:rPr>
        <w:t>The clinical staging and biomedical outcomes of CKD have been the focus of the majority of recent CKD literature, while the functional and psychosocial burden of the patient and carer has been a less common focus</w:t>
      </w:r>
      <w:r w:rsidR="00D34803" w:rsidRPr="00C07BB7">
        <w:rPr>
          <w:rFonts w:cs="Arial"/>
        </w:rPr>
        <w:t xml:space="preserve"> (Phillips et al., 2024)</w:t>
      </w:r>
      <w:r w:rsidRPr="00C07BB7">
        <w:rPr>
          <w:rFonts w:cs="Arial"/>
        </w:rPr>
        <w:t>. Fatigue decreased daily functioning and burden of treatment in those with CKD-associated anaemia were identified by Hull et al. (2024). These results suggest that a biomedical view of the lived impacts of CKD may be under-represented. Therefore, as well as managing functional status and psychological well-being and patient knowledge of disease progression, management should consider the disease itself.</w:t>
      </w:r>
    </w:p>
    <w:p w14:paraId="19D56ABE" w14:textId="77777777" w:rsidR="00544F3D" w:rsidRPr="00C07BB7" w:rsidRDefault="00544F3D" w:rsidP="00462CB9">
      <w:pPr>
        <w:rPr>
          <w:rFonts w:cs="Arial"/>
        </w:rPr>
      </w:pPr>
      <w:r w:rsidRPr="00C07BB7">
        <w:rPr>
          <w:rFonts w:cs="Arial"/>
        </w:rPr>
        <w:t>Other recent research indicates that CKD has a high economic cost to the NHS. Disease prevention or slowing the progression of CKD may be economically valued in the UK health system at the population level, through their potential to delay the need for costly CKD-related interventions, such as dialysis and transplantation (Agathangelou et al., 2025). This is significant as it will impact the need for dialysis and/or special renal care as well as transplant treatment with advanced CKD, which will further burden patients and health services. Economics is the main thrust of an economic evaluation, and patient experience is not always adequately included. Management of CKD, therefore, requires the use of NHS time to be efficient, whilst treating the patient in a manner that is best for them (Agathangelou et al, 2025; Hull et al, 2024).</w:t>
      </w:r>
    </w:p>
    <w:p w14:paraId="2B6CAEA7" w14:textId="77777777" w:rsidR="00544F3D" w:rsidRPr="008A3F07" w:rsidRDefault="00544F3D" w:rsidP="00462CB9">
      <w:pPr>
        <w:pStyle w:val="Heading3"/>
        <w:rPr>
          <w:rFonts w:cs="Arial"/>
          <w:color w:val="auto"/>
        </w:rPr>
      </w:pPr>
      <w:bookmarkStart w:id="35" w:name="_Toc239290092"/>
      <w:bookmarkStart w:id="36" w:name="_Toc240666898"/>
      <w:bookmarkStart w:id="37" w:name="_Toc241090872"/>
      <w:r w:rsidRPr="008A3F07">
        <w:rPr>
          <w:rFonts w:cs="Arial"/>
          <w:color w:val="auto"/>
        </w:rPr>
        <w:t>2.2.2 Prevalence, Coding and Hidden CKD in the UK</w:t>
      </w:r>
      <w:bookmarkEnd w:id="35"/>
      <w:bookmarkEnd w:id="36"/>
      <w:bookmarkEnd w:id="37"/>
    </w:p>
    <w:p w14:paraId="0374F5EB" w14:textId="28BD4EF1" w:rsidR="00544F3D" w:rsidRPr="00C07BB7" w:rsidRDefault="00942CF4" w:rsidP="00462CB9">
      <w:pPr>
        <w:rPr>
          <w:rFonts w:cs="Arial"/>
        </w:rPr>
      </w:pPr>
      <w:r w:rsidRPr="00C07BB7">
        <w:rPr>
          <w:rFonts w:cs="Arial"/>
        </w:rPr>
        <w:t>The gap between the prevalence of CKD as defined in the laboratory and actual diagnosis in primary care is consistent in the UK data. There is under-ascertainment of individuals with CKD as seen in studies that use eGFR and uACR to detect CKD, compared to those identified by HEC coding. This undermining of systems of recall, structured review, eligibility for interventions, and bias in EHR-based research makes prevalence estimates subject to the data source and coding practices</w:t>
      </w:r>
      <w:r w:rsidR="00544F3D" w:rsidRPr="00C07BB7">
        <w:rPr>
          <w:rFonts w:cs="Arial"/>
        </w:rPr>
        <w:t>. Similar barriers to detection, diagnosis and disclosure were also identified in</w:t>
      </w:r>
      <w:r w:rsidR="00C765C5">
        <w:rPr>
          <w:rFonts w:cs="Arial"/>
        </w:rPr>
        <w:t xml:space="preserve"> the</w:t>
      </w:r>
      <w:r w:rsidR="00544F3D" w:rsidRPr="00C07BB7">
        <w:rPr>
          <w:rFonts w:cs="Arial"/>
        </w:rPr>
        <w:t xml:space="preserve"> UK primary care by Stewart et al. (2024) and may limit monitoring, treatment and opportunities for self-management. Prevalence estimates, however, rely on the method used to define the disease and caution is needed when comparing the prevalence of coded diagnosis, laboratory-defined disease, and self-reported disease awareness.</w:t>
      </w:r>
    </w:p>
    <w:p w14:paraId="390AE328" w14:textId="61177753" w:rsidR="00544F3D" w:rsidRPr="00C07BB7" w:rsidRDefault="00544F3D" w:rsidP="00462CB9">
      <w:pPr>
        <w:rPr>
          <w:rFonts w:cs="Arial"/>
        </w:rPr>
      </w:pPr>
      <w:r w:rsidRPr="00C07BB7">
        <w:rPr>
          <w:rFonts w:cs="Arial"/>
        </w:rPr>
        <w:t xml:space="preserve">This is supported by evidence of coding. In a study of type 2 diabetes in the UK primary-care setting, Sisk et al. (2024) reported that the incidence of CKD may be underestimated based on diagnosis codes compared to evidence from eGFR measurements. Dolan et al. (2025) also found that there was an uncoded form of CKD that occurred in secondary care, showing that clinically relevant CKD can occur without formal diagnostic coding. Coding has an impact on recall systems, structured review, risk stratification and quality monitoring. However, these studies include specific clinical contexts and high-risk groups, and the conclusions may not be applicable to </w:t>
      </w:r>
      <w:r w:rsidR="002D4B06" w:rsidRPr="00C07BB7">
        <w:rPr>
          <w:rFonts w:cs="Arial"/>
        </w:rPr>
        <w:t>all</w:t>
      </w:r>
      <w:r w:rsidRPr="00C07BB7">
        <w:rPr>
          <w:rFonts w:cs="Arial"/>
        </w:rPr>
        <w:t xml:space="preserve"> UK adults.</w:t>
      </w:r>
    </w:p>
    <w:p w14:paraId="71B94481" w14:textId="5ACBCA8C" w:rsidR="00544F3D" w:rsidRPr="00C07BB7" w:rsidRDefault="00544F3D" w:rsidP="00462CB9">
      <w:pPr>
        <w:rPr>
          <w:rFonts w:cs="Arial"/>
        </w:rPr>
      </w:pPr>
      <w:r w:rsidRPr="00C07BB7">
        <w:rPr>
          <w:rFonts w:cs="Arial"/>
        </w:rPr>
        <w:t xml:space="preserve">Lindemann et al. (2025) studied the link between coding for CKD and kidney replacement therapy (KRT) at CCG level in England, suggesting that coding could have consequences beyond administrative use. </w:t>
      </w:r>
      <w:r w:rsidR="0065718E" w:rsidRPr="00C07BB7">
        <w:rPr>
          <w:rFonts w:cs="Arial"/>
        </w:rPr>
        <w:t>In addition</w:t>
      </w:r>
      <w:r w:rsidRPr="00C07BB7">
        <w:rPr>
          <w:rFonts w:cs="Arial"/>
        </w:rPr>
        <w:t>, Stewart et al. (2025) also defined coded and uncoded CKD, further reinforcing the hypothesis that the prevalence recorded is at least in part driven by the proactiveness of health systems with regard to testing, diagnosis and monitoring patients. Overall, the findings indicate that hidden CKD is a reflection of clinical and organisational factors. One of the main challenges is that many of these data are observational in nature; they show associations between coding and outcomes, but do not prove that poor coding directly leads to poorer kidney outcomes.</w:t>
      </w:r>
    </w:p>
    <w:p w14:paraId="6B85F3EF" w14:textId="77777777" w:rsidR="00544F3D" w:rsidRPr="008A3F07" w:rsidRDefault="00544F3D" w:rsidP="00462CB9">
      <w:pPr>
        <w:pStyle w:val="Heading3"/>
        <w:rPr>
          <w:rFonts w:cs="Arial"/>
          <w:color w:val="auto"/>
        </w:rPr>
      </w:pPr>
      <w:bookmarkStart w:id="38" w:name="_Toc239290093"/>
      <w:bookmarkStart w:id="39" w:name="_Toc240666899"/>
      <w:bookmarkStart w:id="40" w:name="_Toc241090873"/>
      <w:r w:rsidRPr="008A3F07">
        <w:rPr>
          <w:rFonts w:cs="Arial"/>
          <w:color w:val="auto"/>
        </w:rPr>
        <w:t>2.2.3 Diabetes, Hypertension and Multimorbidity as Core Risk Factors</w:t>
      </w:r>
      <w:bookmarkEnd w:id="38"/>
      <w:bookmarkEnd w:id="39"/>
      <w:bookmarkEnd w:id="40"/>
    </w:p>
    <w:p w14:paraId="0CEC0765" w14:textId="0E3D3665" w:rsidR="00544F3D" w:rsidRPr="00C07BB7" w:rsidRDefault="00F3604E" w:rsidP="00462CB9">
      <w:pPr>
        <w:rPr>
          <w:rFonts w:cs="Arial"/>
        </w:rPr>
      </w:pPr>
      <w:r w:rsidRPr="00C07BB7">
        <w:rPr>
          <w:rFonts w:cs="Arial"/>
        </w:rPr>
        <w:t>There are clear clinical risk factors for the onset and progression of CKD in</w:t>
      </w:r>
      <w:r w:rsidR="00C765C5">
        <w:rPr>
          <w:rFonts w:cs="Arial"/>
        </w:rPr>
        <w:t xml:space="preserve"> the</w:t>
      </w:r>
      <w:r w:rsidRPr="00C07BB7">
        <w:rPr>
          <w:rFonts w:cs="Arial"/>
        </w:rPr>
        <w:t xml:space="preserve"> UK cohorts, with diabetes and hypertension being the most consistently reported. Both mechanisms and observation-based associations are strong, and there is </w:t>
      </w:r>
      <w:r w:rsidR="002D4B06" w:rsidRPr="00C07BB7">
        <w:rPr>
          <w:rFonts w:cs="Arial"/>
        </w:rPr>
        <w:t>high-quality</w:t>
      </w:r>
      <w:r w:rsidRPr="00C07BB7">
        <w:rPr>
          <w:rFonts w:cs="Arial"/>
        </w:rPr>
        <w:t xml:space="preserve"> evidence from random controlled trials (such as trials of SGLT2 inhibitors) of renal benefit in people with diabetes. Direct comparison between studies, however, is complicated by heterogeneity of response to the intervention, and by baseline kidney function and multimorbidity, as demonstrated by implementation research, which reveals a discrepancy between trial results and real-world prescribing and monitoring</w:t>
      </w:r>
      <w:r w:rsidR="009B1E77" w:rsidRPr="00C07BB7">
        <w:rPr>
          <w:rFonts w:cs="Arial"/>
        </w:rPr>
        <w:t xml:space="preserve"> (Hawthorne et al., 2023; Boateng et al., 2026)</w:t>
      </w:r>
      <w:r w:rsidRPr="00C07BB7">
        <w:rPr>
          <w:rFonts w:cs="Arial"/>
        </w:rPr>
        <w:t>.</w:t>
      </w:r>
      <w:r w:rsidR="00544F3D" w:rsidRPr="00C07BB7">
        <w:rPr>
          <w:rFonts w:cs="Arial"/>
        </w:rPr>
        <w:t xml:space="preserve"> This lends support to a concept of the management of CKD in which kidney protection is part of cardiovascular and metabolic risk reduction, and not a separate renal problem.</w:t>
      </w:r>
    </w:p>
    <w:p w14:paraId="55E47300" w14:textId="2F326153" w:rsidR="00544F3D" w:rsidRPr="00C07BB7" w:rsidRDefault="00544F3D" w:rsidP="00462CB9">
      <w:pPr>
        <w:rPr>
          <w:rFonts w:cs="Arial"/>
        </w:rPr>
      </w:pPr>
      <w:r w:rsidRPr="00C07BB7">
        <w:rPr>
          <w:rFonts w:cs="Arial"/>
        </w:rPr>
        <w:t xml:space="preserve">The </w:t>
      </w:r>
      <w:r w:rsidR="002D4B06" w:rsidRPr="00C07BB7">
        <w:rPr>
          <w:rFonts w:cs="Arial"/>
        </w:rPr>
        <w:t>recent</w:t>
      </w:r>
      <w:r w:rsidR="002D4B06">
        <w:rPr>
          <w:rFonts w:cs="Arial"/>
        </w:rPr>
        <w:t xml:space="preserve"> </w:t>
      </w:r>
      <w:r w:rsidR="002D4B06" w:rsidRPr="00C07BB7">
        <w:rPr>
          <w:rFonts w:cs="Arial"/>
        </w:rPr>
        <w:t>UK</w:t>
      </w:r>
      <w:r w:rsidRPr="00C07BB7">
        <w:rPr>
          <w:rFonts w:cs="Arial"/>
        </w:rPr>
        <w:t xml:space="preserve"> evidence shows that there is a direct link between the management of type 2 diabetes and kidney protection. In a primary care setting, clinical guidance was not sufficient to ensure an appropriate level of SGLT2 uptake, as reported by Forbes et al (2024). This is important because SGLT2 inhibitor therapy could be recommended to eligible patients with type 2 diabetes for renal and cardiovascular protection. Choosing SGLT2 inhibitors for kidney protection in T2DM in a personalised manner was another consideration by Jansz et al. (2026). These studies collectively highlight the need for better identification, treatment, and management of eligible patients if the pharmaceutical innovations are to be used to their fullest potential. These, then, reveal opportunities for therapy and a gap between guideline recommendations and routine clinical practice.</w:t>
      </w:r>
    </w:p>
    <w:p w14:paraId="381CA184" w14:textId="3C363DEF" w:rsidR="00544F3D" w:rsidRPr="00C07BB7" w:rsidRDefault="00544F3D" w:rsidP="00462CB9">
      <w:pPr>
        <w:rPr>
          <w:rFonts w:cs="Arial"/>
        </w:rPr>
      </w:pPr>
      <w:r w:rsidRPr="00C07BB7">
        <w:rPr>
          <w:rFonts w:cs="Arial"/>
        </w:rPr>
        <w:t>A differentiated approach to hypertension is also necessary</w:t>
      </w:r>
      <w:r w:rsidR="00D34803" w:rsidRPr="00C07BB7">
        <w:rPr>
          <w:rFonts w:cs="Arial"/>
        </w:rPr>
        <w:t xml:space="preserve"> (Sullivan et al., 2024)</w:t>
      </w:r>
      <w:r w:rsidRPr="00C07BB7">
        <w:rPr>
          <w:rFonts w:cs="Arial"/>
        </w:rPr>
        <w:t>. Mayne et al. (2023) pointed out that there is a difference in the management of CKD and hypertension between women and men, with treatment and outcome potentially different in different populations. In an earlier paper (Hawthorne et al., 2023), it was reported that there is significant multimorbidity in patients with CKD, which serves to further illustrate the need to manage multiple chronic conditions in many people with CKD. Thus, disease-specific care pathways might not be effective in cases of multiple medicines and competing clinical priorities requiring monitoring</w:t>
      </w:r>
      <w:r w:rsidR="00007A18" w:rsidRPr="00C07BB7">
        <w:rPr>
          <w:rFonts w:cs="Arial"/>
        </w:rPr>
        <w:t xml:space="preserve"> </w:t>
      </w:r>
      <w:r w:rsidR="00007A18" w:rsidRPr="00C07BB7">
        <w:rPr>
          <w:rFonts w:cs="Arial"/>
          <w:color w:val="000000"/>
        </w:rPr>
        <w:t>(Jani et al., 2019; MacRae et al., 2021; Zemedikun et al., 2018)</w:t>
      </w:r>
      <w:r w:rsidRPr="00C07BB7">
        <w:rPr>
          <w:rFonts w:cs="Arial"/>
        </w:rPr>
        <w:t>.</w:t>
      </w:r>
    </w:p>
    <w:p w14:paraId="3D6D089D" w14:textId="196C1CAA" w:rsidR="00544F3D" w:rsidRPr="00C07BB7" w:rsidRDefault="00544F3D" w:rsidP="00462CB9">
      <w:pPr>
        <w:rPr>
          <w:rFonts w:cs="Arial"/>
        </w:rPr>
      </w:pPr>
      <w:r w:rsidRPr="00C07BB7">
        <w:rPr>
          <w:rFonts w:cs="Arial"/>
        </w:rPr>
        <w:t>Fragmented care may hinder management of interconnected conditions, such as heart failure, type 2 diabetes and CKD, as identified by Pasea et al. (2025). This is important as patients may transition between primary care, diabetes and cardiology or nephrology. However, findings from highly comorbid populations may not be generalisable to the wider</w:t>
      </w:r>
      <w:r w:rsidR="00C765C5">
        <w:rPr>
          <w:rFonts w:cs="Arial"/>
        </w:rPr>
        <w:t xml:space="preserve"> in the</w:t>
      </w:r>
      <w:r w:rsidRPr="00C07BB7">
        <w:rPr>
          <w:rFonts w:cs="Arial"/>
        </w:rPr>
        <w:t xml:space="preserve"> UK adult population. </w:t>
      </w:r>
      <w:r w:rsidR="006D7325" w:rsidRPr="00C07BB7">
        <w:rPr>
          <w:rFonts w:cs="Arial"/>
        </w:rPr>
        <w:t>Therefore, CKD management should account for</w:t>
      </w:r>
      <w:r w:rsidRPr="00C07BB7">
        <w:rPr>
          <w:rFonts w:cs="Arial"/>
        </w:rPr>
        <w:t xml:space="preserve"> multimorbidity and eligibility for and risk of treatment. This distinction is important when interpreting the applicability of the evidence.</w:t>
      </w:r>
    </w:p>
    <w:p w14:paraId="1AF049B3" w14:textId="77777777" w:rsidR="00544F3D" w:rsidRPr="008A3F07" w:rsidRDefault="00544F3D" w:rsidP="00462CB9">
      <w:pPr>
        <w:pStyle w:val="Heading3"/>
        <w:rPr>
          <w:rFonts w:cs="Arial"/>
          <w:color w:val="auto"/>
        </w:rPr>
      </w:pPr>
      <w:bookmarkStart w:id="41" w:name="_Toc239290094"/>
      <w:bookmarkStart w:id="42" w:name="_Toc240666900"/>
      <w:bookmarkStart w:id="43" w:name="_Toc241090874"/>
      <w:r w:rsidRPr="008A3F07">
        <w:rPr>
          <w:rFonts w:cs="Arial"/>
          <w:color w:val="auto"/>
        </w:rPr>
        <w:t>2.2.4 Obesity, Diet and Lifestyle-Related Risk Factors</w:t>
      </w:r>
      <w:bookmarkEnd w:id="41"/>
      <w:bookmarkEnd w:id="42"/>
      <w:bookmarkEnd w:id="43"/>
    </w:p>
    <w:p w14:paraId="0F4829A1" w14:textId="4B4E8BBA" w:rsidR="00544F3D" w:rsidRPr="00C07BB7" w:rsidRDefault="00632AAE" w:rsidP="00462CB9">
      <w:pPr>
        <w:rPr>
          <w:rFonts w:cs="Arial"/>
        </w:rPr>
      </w:pPr>
      <w:r w:rsidRPr="00C07BB7">
        <w:rPr>
          <w:rFonts w:cs="Arial"/>
        </w:rPr>
        <w:t>CKD risk is related to lifestyle factors such as obesity, dietary patterns, salt intake and physical inactivity, in part due to the impact these factors have on diabetes, hypertension and metabolic dysfunction. In the UK, BMI has been consistently associated with the risk of incident CKD, and there are some cohort studies that show that better dietary patterns and increased physical activity are associated with a reduced risk of incident CKD</w:t>
      </w:r>
      <w:r w:rsidR="009B1E77" w:rsidRPr="00C07BB7">
        <w:rPr>
          <w:rFonts w:cs="Arial"/>
        </w:rPr>
        <w:t xml:space="preserve"> (Gunnarsson et al., 2026)</w:t>
      </w:r>
      <w:r w:rsidRPr="00C07BB7">
        <w:rPr>
          <w:rFonts w:cs="Arial"/>
        </w:rPr>
        <w:t>. There is, however, heterogeneous exposure measurement (self</w:t>
      </w:r>
      <w:r w:rsidRPr="00C07BB7">
        <w:rPr>
          <w:rFonts w:ascii="Cambria Math" w:hAnsi="Cambria Math" w:cs="Cambria Math"/>
        </w:rPr>
        <w:t>‐</w:t>
      </w:r>
      <w:r w:rsidRPr="00C07BB7">
        <w:rPr>
          <w:rFonts w:cs="Arial"/>
        </w:rPr>
        <w:t>reported diet, BMI vs body composition), and confounding is common, and reverse causation is not ruled out in cross</w:t>
      </w:r>
      <w:r w:rsidRPr="00C07BB7">
        <w:rPr>
          <w:rFonts w:ascii="Cambria Math" w:hAnsi="Cambria Math" w:cs="Cambria Math"/>
        </w:rPr>
        <w:t>‐</w:t>
      </w:r>
      <w:r w:rsidRPr="00C07BB7">
        <w:rPr>
          <w:rFonts w:cs="Arial"/>
        </w:rPr>
        <w:t>sectional analyses. Overall, lifestyle evidence is plausible and actionable, but is of moderate certainty with measurement heterogeneity and residual confounding (Honigberg et al., 2021; Staplin et al., 2022; Wang et al., 2022).</w:t>
      </w:r>
    </w:p>
    <w:p w14:paraId="5E71B18B" w14:textId="53F3497A" w:rsidR="00544F3D" w:rsidRPr="00C07BB7" w:rsidRDefault="00757788" w:rsidP="00462CB9">
      <w:pPr>
        <w:rPr>
          <w:rFonts w:cs="Arial"/>
        </w:rPr>
      </w:pPr>
      <w:r w:rsidRPr="00C07BB7">
        <w:rPr>
          <w:rFonts w:cs="Arial"/>
        </w:rPr>
        <w:t xml:space="preserve">There is limited evidence to support the role of social determinants (deprivation, education), psychosocial stressors and environmental exposures (air pollution, occupational hazards) in the risk of CKD in </w:t>
      </w:r>
      <w:r w:rsidR="002D4B06" w:rsidRPr="00C07BB7">
        <w:rPr>
          <w:rFonts w:cs="Arial"/>
        </w:rPr>
        <w:t>several</w:t>
      </w:r>
      <w:r w:rsidRPr="00C07BB7">
        <w:rPr>
          <w:rFonts w:cs="Arial"/>
        </w:rPr>
        <w:t xml:space="preserve"> UK studies. Confidence in causal interpretation is limited by the small sample size and/or the fact that many analyses are cross-sectional or fail to adjust for extensive confounding or comorbidity. Identification of susceptibility loci through genetic studies, but limited translation to the population level for prevention; needs larger and representative studies to better understand these pathways</w:t>
      </w:r>
      <w:r w:rsidR="005344D0" w:rsidRPr="00C07BB7">
        <w:rPr>
          <w:rFonts w:cs="Arial"/>
        </w:rPr>
        <w:t xml:space="preserve"> </w:t>
      </w:r>
      <w:r w:rsidR="005344D0" w:rsidRPr="00C07BB7">
        <w:rPr>
          <w:rFonts w:cs="Arial"/>
          <w:color w:val="000000"/>
        </w:rPr>
        <w:t>(Gu et al., 2023; Heo et al., 2023; Tang et al., 2023)</w:t>
      </w:r>
      <w:r w:rsidR="00544F3D" w:rsidRPr="00C07BB7">
        <w:rPr>
          <w:rFonts w:cs="Arial"/>
        </w:rPr>
        <w:t>. Heo et al. (2024) reported an association of sweetened beverage consumption with incident CKD in the UK Biobank, and Koh et al. (2024) studied the association between dietary magnesium and CKD risk. A higher adherence to a Mediterranean diet was linked to reduced risk for diabetic kidney disease in individuals with hyperglycaemia, according to the findings of Qu et al. (2024). Kim et al. (2026) and Lv et al. (2026) built on this research for a more general application of dietary patterns. These studies have identified potentially important preventive factors, but there is significant observational and</w:t>
      </w:r>
      <w:r w:rsidR="00C765C5">
        <w:rPr>
          <w:rFonts w:cs="Arial"/>
        </w:rPr>
        <w:t xml:space="preserve"> the</w:t>
      </w:r>
      <w:r w:rsidR="00544F3D" w:rsidRPr="00C07BB7">
        <w:rPr>
          <w:rFonts w:cs="Arial"/>
        </w:rPr>
        <w:t xml:space="preserve"> UK Biobank evidence. These types of designs can detect population associations but not prove causality, as there is a potential for residual confounding and self-reported dietary measurement and selection effects to affect the results. Therefore, recommendations on diet should not be overly confident</w:t>
      </w:r>
      <w:r w:rsidR="00F25A26" w:rsidRPr="00C07BB7">
        <w:rPr>
          <w:rFonts w:cs="Arial"/>
        </w:rPr>
        <w:t xml:space="preserve"> (Liu et al., 2024; Lin et al., 2024; Jin et al., 2025)</w:t>
      </w:r>
      <w:r w:rsidR="00544F3D" w:rsidRPr="00C07BB7">
        <w:rPr>
          <w:rFonts w:cs="Arial"/>
        </w:rPr>
        <w:t>.</w:t>
      </w:r>
    </w:p>
    <w:p w14:paraId="4AB51A35" w14:textId="1D8A99F4" w:rsidR="00544F3D" w:rsidRPr="00C07BB7" w:rsidRDefault="00544F3D" w:rsidP="00462CB9">
      <w:pPr>
        <w:rPr>
          <w:rFonts w:cs="Arial"/>
        </w:rPr>
      </w:pPr>
      <w:r w:rsidRPr="00C07BB7">
        <w:rPr>
          <w:rFonts w:cs="Arial"/>
        </w:rPr>
        <w:t>The practical application of dietary recommendations also depends on their affordability, cultural preferences and food access, all of which can impact lower-income groups. Evidence of physical activity interventions is more robust. In individuals with cardiometabolic disease, Liu et al. (2026) found a relationship between physical activity and decreased risk of CKD, and Greenwood et al. (2024b) noted that the Kidney BEAM digital intervention resulted in increased physical activity</w:t>
      </w:r>
      <w:r w:rsidR="00826D2E" w:rsidRPr="00C07BB7">
        <w:rPr>
          <w:rFonts w:cs="Arial"/>
        </w:rPr>
        <w:t xml:space="preserve"> </w:t>
      </w:r>
      <w:r w:rsidR="00826D2E" w:rsidRPr="00C07BB7">
        <w:rPr>
          <w:rFonts w:cs="Arial"/>
          <w:color w:val="000000"/>
        </w:rPr>
        <w:t>(Cao et al., 2022; He et al., 2023; Park et al., 2022)</w:t>
      </w:r>
      <w:r w:rsidRPr="00C07BB7">
        <w:rPr>
          <w:rFonts w:cs="Arial"/>
        </w:rPr>
        <w:t>. Randomised controlled design in Kidney BEAM enhances the effectiveness of the evidence for intervention effectiveness compared to observational lifestyle studies, due to the benefits of randomisation in enhancing causal inference. However, there may be limitations in generalisability due to digital engagement and participant characteristics such as age or digital exclusion.</w:t>
      </w:r>
    </w:p>
    <w:p w14:paraId="20BB2EA2" w14:textId="77777777" w:rsidR="00544F3D" w:rsidRPr="008A3F07" w:rsidRDefault="00544F3D" w:rsidP="00462CB9">
      <w:pPr>
        <w:pStyle w:val="Heading3"/>
        <w:rPr>
          <w:rFonts w:cs="Arial"/>
          <w:color w:val="auto"/>
        </w:rPr>
      </w:pPr>
      <w:bookmarkStart w:id="44" w:name="_Toc239290095"/>
      <w:bookmarkStart w:id="45" w:name="_Toc240666901"/>
      <w:bookmarkStart w:id="46" w:name="_Toc241090875"/>
      <w:r w:rsidRPr="008A3F07">
        <w:rPr>
          <w:rFonts w:cs="Arial"/>
          <w:color w:val="auto"/>
        </w:rPr>
        <w:t>2.2.5 Social, Psychological, Genetic and Environmental Risk Factors</w:t>
      </w:r>
      <w:bookmarkEnd w:id="44"/>
      <w:bookmarkEnd w:id="45"/>
      <w:bookmarkEnd w:id="46"/>
    </w:p>
    <w:p w14:paraId="47F8CC5A" w14:textId="631B8AB2" w:rsidR="00544F3D" w:rsidRPr="00C07BB7" w:rsidRDefault="00544F3D" w:rsidP="00462CB9">
      <w:pPr>
        <w:rPr>
          <w:rFonts w:cs="Arial"/>
        </w:rPr>
      </w:pPr>
      <w:r w:rsidRPr="00C07BB7">
        <w:rPr>
          <w:rFonts w:cs="Arial"/>
        </w:rPr>
        <w:t>Social, psychological, genetic and environmental factors also play a role in the risk of CKD</w:t>
      </w:r>
      <w:r w:rsidR="00DE66B3" w:rsidRPr="00C07BB7">
        <w:rPr>
          <w:rFonts w:cs="Arial"/>
        </w:rPr>
        <w:t xml:space="preserve"> </w:t>
      </w:r>
      <w:r w:rsidR="00DE66B3" w:rsidRPr="00C07BB7">
        <w:rPr>
          <w:rFonts w:cs="Arial"/>
          <w:color w:val="000000"/>
        </w:rPr>
        <w:t>(Liu et al., 2023; Mathur et al., 2018; Wu et al., 2023)</w:t>
      </w:r>
      <w:r w:rsidRPr="00C07BB7">
        <w:rPr>
          <w:rFonts w:cs="Arial"/>
        </w:rPr>
        <w:t xml:space="preserve">. Sawhney et al. (2024) found an association between individual and neighbourhood deprivation and kidney health, showing that individual behaviours alone </w:t>
      </w:r>
      <w:r w:rsidR="008A3F07" w:rsidRPr="00C07BB7">
        <w:rPr>
          <w:rFonts w:cs="Arial"/>
        </w:rPr>
        <w:t>can</w:t>
      </w:r>
      <w:r w:rsidR="008A3F07">
        <w:rPr>
          <w:rFonts w:cs="Arial"/>
        </w:rPr>
        <w:t xml:space="preserve"> n</w:t>
      </w:r>
      <w:r w:rsidR="008A3F07" w:rsidRPr="00C07BB7">
        <w:rPr>
          <w:rFonts w:cs="Arial"/>
        </w:rPr>
        <w:t>ot</w:t>
      </w:r>
      <w:r w:rsidRPr="00C07BB7">
        <w:rPr>
          <w:rFonts w:cs="Arial"/>
        </w:rPr>
        <w:t xml:space="preserve"> explain CKD. Deprivation can exacerbate food insecurity, health literacy, and access to preventive services and delayed diagnosis</w:t>
      </w:r>
      <w:r w:rsidR="00F740B5" w:rsidRPr="00C07BB7">
        <w:rPr>
          <w:rFonts w:cs="Arial"/>
        </w:rPr>
        <w:t xml:space="preserve"> (Croucher et al., 2026)</w:t>
      </w:r>
      <w:r w:rsidRPr="00C07BB7">
        <w:rPr>
          <w:rFonts w:cs="Arial"/>
        </w:rPr>
        <w:t>. Tang et al. (2024b) also found a correlation between loneliness, social isolation and incident CKD among individuals with diabetes. This does not mean that loneliness leads to CKD; psychosocial vulnerability can go through health behaviours, support networks, and involvement in health care.</w:t>
      </w:r>
    </w:p>
    <w:p w14:paraId="2EC467D2" w14:textId="2204C121" w:rsidR="00544F3D" w:rsidRPr="00C07BB7" w:rsidRDefault="00544F3D" w:rsidP="00462CB9">
      <w:pPr>
        <w:rPr>
          <w:rFonts w:cs="Arial"/>
        </w:rPr>
      </w:pPr>
      <w:r w:rsidRPr="00C07BB7">
        <w:rPr>
          <w:rFonts w:cs="Arial"/>
        </w:rPr>
        <w:t xml:space="preserve">There are aspects of mental health and quality of life that are relevant to management. Castle et al. (2024) and Greenwood et al. (2024a) reported positive impacts of Kidney BEAM on mental health-related quality of life and cost-effectiveness. But Kaklamanou et al. (2024) demonstrated the effect of perceived usefulness and ease of use on the acceptance of digital health. This is a key paradox: digital interventions can have positive impacts on the outcomes of those who engage with </w:t>
      </w:r>
      <w:r w:rsidR="00FB4D98" w:rsidRPr="00C07BB7">
        <w:rPr>
          <w:rFonts w:cs="Arial"/>
        </w:rPr>
        <w:t>them but</w:t>
      </w:r>
      <w:r w:rsidRPr="00C07BB7">
        <w:rPr>
          <w:rFonts w:cs="Arial"/>
        </w:rPr>
        <w:t xml:space="preserve"> could also exacerbate inequalities if those who are not able to engage with digital interventions are less likely to benefit. Accessibility should, therefore, be used in conjunction with evidence of effectiveness.</w:t>
      </w:r>
    </w:p>
    <w:p w14:paraId="3FCFB5EF" w14:textId="52B4E517" w:rsidR="00544F3D" w:rsidRPr="00C07BB7" w:rsidRDefault="00544F3D" w:rsidP="00462CB9">
      <w:pPr>
        <w:rPr>
          <w:rFonts w:cs="Arial"/>
        </w:rPr>
      </w:pPr>
      <w:r w:rsidRPr="00C07BB7">
        <w:rPr>
          <w:rFonts w:cs="Arial"/>
        </w:rPr>
        <w:t>Biological and environmental studies expand knowledge of the risk of CKD. Weon et al. (2024) investigated genetic susceptibility to dyslipidaemia. While Zhang et al. (2024) studied associations between air pollution exposure and risk of CKD in diabetes</w:t>
      </w:r>
      <w:r w:rsidR="00016401" w:rsidRPr="00C07BB7">
        <w:rPr>
          <w:rFonts w:cs="Arial"/>
        </w:rPr>
        <w:t xml:space="preserve">. </w:t>
      </w:r>
      <w:r w:rsidRPr="00C07BB7">
        <w:rPr>
          <w:rFonts w:cs="Arial"/>
        </w:rPr>
        <w:t>The fact that these studies show that CKD is not just the domain of behaviours that can be modified immediately. However, many are observational and thus can only be used to identify correlations rather than cause. Overall, the data favour a multi-dimensional model in which biological vulnerability, social inequality, psychological factors and environmental exposure synergise with existing metabolic and behavioural risk factors.</w:t>
      </w:r>
    </w:p>
    <w:p w14:paraId="1E837914" w14:textId="77777777" w:rsidR="00544F3D" w:rsidRPr="008A3F07" w:rsidRDefault="00544F3D" w:rsidP="00462CB9">
      <w:pPr>
        <w:pStyle w:val="Heading3"/>
        <w:rPr>
          <w:rFonts w:cs="Arial"/>
          <w:color w:val="auto"/>
        </w:rPr>
      </w:pPr>
      <w:bookmarkStart w:id="47" w:name="_Toc239290096"/>
      <w:bookmarkStart w:id="48" w:name="_Toc240666902"/>
      <w:bookmarkStart w:id="49" w:name="_Toc241090876"/>
      <w:r w:rsidRPr="008A3F07">
        <w:rPr>
          <w:rStyle w:val="Strong"/>
          <w:rFonts w:cs="Arial"/>
          <w:b/>
          <w:bCs/>
          <w:color w:val="auto"/>
        </w:rPr>
        <w:t>2.2.6 Diagnosis, Screening and Risk Stratification</w:t>
      </w:r>
      <w:bookmarkEnd w:id="47"/>
      <w:bookmarkEnd w:id="48"/>
      <w:bookmarkEnd w:id="49"/>
    </w:p>
    <w:p w14:paraId="34C8B348" w14:textId="62A415E0" w:rsidR="00544F3D" w:rsidRPr="00C07BB7" w:rsidRDefault="00544F3D" w:rsidP="00462CB9">
      <w:pPr>
        <w:rPr>
          <w:rFonts w:cs="Arial"/>
        </w:rPr>
      </w:pPr>
      <w:r w:rsidRPr="00C07BB7">
        <w:rPr>
          <w:rFonts w:cs="Arial"/>
        </w:rPr>
        <w:t xml:space="preserve">Diagnosis and screening </w:t>
      </w:r>
      <w:r w:rsidR="001E7DB1" w:rsidRPr="00C07BB7">
        <w:rPr>
          <w:rFonts w:cs="Arial"/>
        </w:rPr>
        <w:t>play a central role</w:t>
      </w:r>
      <w:r w:rsidRPr="00C07BB7">
        <w:rPr>
          <w:rFonts w:cs="Arial"/>
        </w:rPr>
        <w:t xml:space="preserve"> in the management of CKD, as treatment depends on adequate diagnosis of CKD. The detection, diagnosis and disclosure of CKD continue to be barriers and enablers of effective CKD care in</w:t>
      </w:r>
      <w:r w:rsidR="00F64A0E">
        <w:rPr>
          <w:rFonts w:cs="Arial"/>
        </w:rPr>
        <w:t xml:space="preserve"> the</w:t>
      </w:r>
      <w:r w:rsidRPr="00C07BB7">
        <w:rPr>
          <w:rFonts w:cs="Arial"/>
        </w:rPr>
        <w:t xml:space="preserve"> UK primary care (Stewart et al., 2024</w:t>
      </w:r>
      <w:r w:rsidR="0055105F" w:rsidRPr="00C07BB7">
        <w:rPr>
          <w:rFonts w:cs="Arial"/>
        </w:rPr>
        <w:t>; Stewart et al., 2024; Griffiths et al., 2024</w:t>
      </w:r>
      <w:r w:rsidRPr="00C07BB7">
        <w:rPr>
          <w:rFonts w:cs="Arial"/>
        </w:rPr>
        <w:t>). This is a concern because the symptoms of CKD may be present, it may not be diagnosed. Sisk et al. (2024) have shown that diagnosis codes underestimate the incidence of CKD based on evidence of eGFR in</w:t>
      </w:r>
      <w:r w:rsidR="00F64A0E">
        <w:rPr>
          <w:rFonts w:cs="Arial"/>
        </w:rPr>
        <w:t xml:space="preserve"> the</w:t>
      </w:r>
      <w:r w:rsidRPr="00C07BB7">
        <w:rPr>
          <w:rFonts w:cs="Arial"/>
        </w:rPr>
        <w:t xml:space="preserve"> UK primary-care patients with type 2 diabetes. Therefore, CKD is not only underdiagnosed, but it is also not recorded, which may lead to a reduction in the number of opportunities to monitor, educate and treat </w:t>
      </w:r>
      <w:r w:rsidR="00FB4D98" w:rsidRPr="00C07BB7">
        <w:rPr>
          <w:rFonts w:cs="Arial"/>
        </w:rPr>
        <w:t>people</w:t>
      </w:r>
      <w:r w:rsidRPr="00C07BB7">
        <w:rPr>
          <w:rFonts w:cs="Arial"/>
        </w:rPr>
        <w:t xml:space="preserve"> early.</w:t>
      </w:r>
    </w:p>
    <w:p w14:paraId="1292A1C8" w14:textId="15A7DAA8" w:rsidR="00544F3D" w:rsidRPr="00C07BB7" w:rsidRDefault="00544F3D" w:rsidP="00462CB9">
      <w:pPr>
        <w:rPr>
          <w:rFonts w:cs="Arial"/>
        </w:rPr>
      </w:pPr>
      <w:r w:rsidRPr="00C07BB7">
        <w:rPr>
          <w:rFonts w:cs="Arial"/>
        </w:rPr>
        <w:t>Risk stratification can be useful to ensure that the best possible care is achieved in CKD recognising those patients who require additional follow-up or referral</w:t>
      </w:r>
      <w:r w:rsidR="00CF4029" w:rsidRPr="00C07BB7">
        <w:rPr>
          <w:rFonts w:cs="Arial"/>
        </w:rPr>
        <w:t xml:space="preserve"> </w:t>
      </w:r>
      <w:r w:rsidR="00CF4029" w:rsidRPr="00C07BB7">
        <w:rPr>
          <w:rFonts w:cs="Arial"/>
          <w:color w:val="000000"/>
        </w:rPr>
        <w:t>(Lees et al., 2019; Lees et al., 2022; Major et al., 2019</w:t>
      </w:r>
      <w:r w:rsidR="0055105F" w:rsidRPr="00C07BB7">
        <w:rPr>
          <w:rFonts w:cs="Arial"/>
          <w:color w:val="000000"/>
        </w:rPr>
        <w:t>; Goubar et al., 2024</w:t>
      </w:r>
      <w:r w:rsidR="00CF4029" w:rsidRPr="00C07BB7">
        <w:rPr>
          <w:rFonts w:cs="Arial"/>
          <w:color w:val="000000"/>
        </w:rPr>
        <w:t>)</w:t>
      </w:r>
      <w:r w:rsidRPr="00C07BB7">
        <w:rPr>
          <w:rFonts w:cs="Arial"/>
        </w:rPr>
        <w:t xml:space="preserve">. Walker et al. (2025) spoke about introducing KFRE into daily practice and highlighted inequities in the care of CKD. Sullivan et al. (2023) also demonstrated that the implementation of NICE referral guidance could impact referral uptake from primary care to nephrology care. To be effective, risk tools need to be applied fairly, with respect to the test, coding and follow-up. Support for better diagnosis and optimisation is also possible in the integrated service models and point-of-care. Gama et al. (2025) described a primary-care kidney disease clinic for CKD patients who are optimised on medication, and Jones et al. (2025) reviewed the integration of CKD between primary and secondary care. The models have been encouraging, but it may be necessary to </w:t>
      </w:r>
      <w:r w:rsidR="002A55E6" w:rsidRPr="00C07BB7">
        <w:rPr>
          <w:rFonts w:cs="Arial"/>
        </w:rPr>
        <w:t>ensure that successful outcomes observed in one setting</w:t>
      </w:r>
      <w:r w:rsidRPr="00C07BB7">
        <w:rPr>
          <w:rFonts w:cs="Arial"/>
        </w:rPr>
        <w:t xml:space="preserve"> </w:t>
      </w:r>
      <w:r w:rsidR="00FB4D98" w:rsidRPr="00C07BB7">
        <w:rPr>
          <w:rFonts w:cs="Arial"/>
        </w:rPr>
        <w:t>do</w:t>
      </w:r>
      <w:r w:rsidRPr="00C07BB7">
        <w:rPr>
          <w:rFonts w:cs="Arial"/>
        </w:rPr>
        <w:t xml:space="preserve"> n</w:t>
      </w:r>
      <w:r w:rsidR="00E7437F" w:rsidRPr="00C07BB7">
        <w:rPr>
          <w:rFonts w:cs="Arial"/>
        </w:rPr>
        <w:t>o</w:t>
      </w:r>
      <w:r w:rsidRPr="00C07BB7">
        <w:rPr>
          <w:rFonts w:cs="Arial"/>
        </w:rPr>
        <w:t>t necessarily be replicated in another place in the NHS.</w:t>
      </w:r>
    </w:p>
    <w:p w14:paraId="1E553A38" w14:textId="77777777" w:rsidR="00544F3D" w:rsidRPr="00C07BB7" w:rsidRDefault="00544F3D" w:rsidP="00462CB9">
      <w:pPr>
        <w:rPr>
          <w:rFonts w:cs="Arial"/>
        </w:rPr>
      </w:pPr>
      <w:r w:rsidRPr="00C07BB7">
        <w:rPr>
          <w:rFonts w:cs="Arial"/>
        </w:rPr>
        <w:t>However, there is not yet compelling evidence to support indiscriminate population-wide screening for CKD, as much of the CKD research relates to high-risk populations and risk stratification. Appropriate targeting, accurate testing, follow-up capacity and access to effective treatment after identification are therefore critical to the efficacy of the screening.</w:t>
      </w:r>
    </w:p>
    <w:p w14:paraId="46A73189" w14:textId="77777777" w:rsidR="00544F3D" w:rsidRPr="008A3F07" w:rsidRDefault="00544F3D" w:rsidP="00462CB9">
      <w:pPr>
        <w:pStyle w:val="Heading3"/>
        <w:rPr>
          <w:rFonts w:cs="Arial"/>
          <w:color w:val="auto"/>
        </w:rPr>
      </w:pPr>
      <w:bookmarkStart w:id="50" w:name="_Toc239290097"/>
      <w:bookmarkStart w:id="51" w:name="_Toc240666903"/>
      <w:bookmarkStart w:id="52" w:name="_Toc241090877"/>
      <w:r w:rsidRPr="008A3F07">
        <w:rPr>
          <w:rStyle w:val="Strong"/>
          <w:rFonts w:cs="Arial"/>
          <w:b/>
          <w:bCs/>
          <w:color w:val="auto"/>
        </w:rPr>
        <w:t>2.2.7 Pharmacological Management of CKD</w:t>
      </w:r>
      <w:bookmarkEnd w:id="50"/>
      <w:bookmarkEnd w:id="51"/>
      <w:bookmarkEnd w:id="52"/>
    </w:p>
    <w:p w14:paraId="172441A5" w14:textId="12FDE193" w:rsidR="00544F3D" w:rsidRPr="00C07BB7" w:rsidRDefault="00544F3D" w:rsidP="00462CB9">
      <w:pPr>
        <w:rPr>
          <w:rFonts w:cs="Arial"/>
        </w:rPr>
      </w:pPr>
      <w:r w:rsidRPr="00C07BB7">
        <w:rPr>
          <w:rFonts w:cs="Arial"/>
        </w:rPr>
        <w:t>Pharmacological management is crucial in adults with CKD, particularly in the presence of diabetes, hypertension, albuminuria or cardiovascular risk. Poor uptake of SGLT2 inhibitor guidance in</w:t>
      </w:r>
      <w:r w:rsidR="006315DC">
        <w:rPr>
          <w:rFonts w:cs="Arial"/>
        </w:rPr>
        <w:t xml:space="preserve"> the</w:t>
      </w:r>
      <w:r w:rsidRPr="00C07BB7">
        <w:rPr>
          <w:rFonts w:cs="Arial"/>
        </w:rPr>
        <w:t xml:space="preserve"> UK primary care (Forbes et al., 2024) and the cost-effectiveness of empagliflozin as add-on therapy for CKD management in the UK (Ramos et al., 2024) were reported. This means the value of SGLT2 inhibitors in terms of both clinical and economic outcomes is very sensitive to the timely diagnosis, correct prescription, eligibility, and equitable access of patients.</w:t>
      </w:r>
    </w:p>
    <w:p w14:paraId="64F7077E" w14:textId="77777777" w:rsidR="00544F3D" w:rsidRPr="00C07BB7" w:rsidRDefault="00544F3D" w:rsidP="00462CB9">
      <w:pPr>
        <w:rPr>
          <w:rFonts w:cs="Arial"/>
        </w:rPr>
      </w:pPr>
      <w:r w:rsidRPr="00C07BB7">
        <w:rPr>
          <w:rFonts w:cs="Arial"/>
        </w:rPr>
        <w:t>Finerenone can also be used in patients with type 2 diabetes and CKD. Cherney et al. (2025) found evidence of cost-effectiveness for the use of finerenone in England and Wales among those with CKD and Type 2 diabetes, and Jansz et al. (2026) did so for SGLT2 inhibitors in kidney protection. In addition, the management of complications is an important factor. The updated guidance on anaemia of CKD in the UK was provided by Bhandari et al (2025), and the importance of lipid management in DKD by Zac-Varghese et al (2024). Therefore, CKD should be treated along with the progression of the disease and cardiovascular risk and complications.</w:t>
      </w:r>
    </w:p>
    <w:p w14:paraId="73E76195" w14:textId="77777777" w:rsidR="00544F3D" w:rsidRPr="008A3F07" w:rsidRDefault="00544F3D" w:rsidP="00462CB9">
      <w:pPr>
        <w:pStyle w:val="Heading3"/>
        <w:rPr>
          <w:rFonts w:cs="Arial"/>
          <w:color w:val="auto"/>
        </w:rPr>
      </w:pPr>
      <w:bookmarkStart w:id="53" w:name="_Toc239290098"/>
      <w:bookmarkStart w:id="54" w:name="_Toc240666904"/>
      <w:bookmarkStart w:id="55" w:name="_Toc241090878"/>
      <w:r w:rsidRPr="008A3F07">
        <w:rPr>
          <w:rFonts w:cs="Arial"/>
          <w:color w:val="auto"/>
        </w:rPr>
        <w:t>2.2.8 Lifestyle, Digital and Patient-Centred Management</w:t>
      </w:r>
      <w:bookmarkEnd w:id="53"/>
      <w:bookmarkEnd w:id="54"/>
      <w:bookmarkEnd w:id="55"/>
    </w:p>
    <w:p w14:paraId="0E979827" w14:textId="29FB959B" w:rsidR="00544F3D" w:rsidRPr="00C07BB7" w:rsidRDefault="00544F3D" w:rsidP="00462CB9">
      <w:pPr>
        <w:rPr>
          <w:rFonts w:cs="Arial"/>
        </w:rPr>
      </w:pPr>
      <w:r w:rsidRPr="00C07BB7">
        <w:rPr>
          <w:rFonts w:cs="Arial"/>
        </w:rPr>
        <w:t xml:space="preserve">Non-pharmacological management is also crucial as lifestyle and self-management interventions could affect the progression of CKD, functional capacity and quality of life. The Kidney BEAM intervention led to increased physical activity in persons with CKD (Greenwood et al., 2024b) and benefits on mental health-related quality of life were reported by Castle et al. (2024). Randomised controlled design lends credibility to the effects of interventions in Kidney </w:t>
      </w:r>
      <w:r w:rsidR="00FB4D98" w:rsidRPr="00C07BB7">
        <w:rPr>
          <w:rFonts w:cs="Arial"/>
        </w:rPr>
        <w:t>BEAM but</w:t>
      </w:r>
      <w:r w:rsidRPr="00C07BB7">
        <w:rPr>
          <w:rFonts w:cs="Arial"/>
        </w:rPr>
        <w:t xml:space="preserve"> may be limited by the generalisability of digital access, motivation and engagement.</w:t>
      </w:r>
    </w:p>
    <w:p w14:paraId="68B4CFEE" w14:textId="5C0D2973" w:rsidR="00544F3D" w:rsidRPr="00C07BB7" w:rsidRDefault="00544F3D" w:rsidP="00462CB9">
      <w:pPr>
        <w:rPr>
          <w:rFonts w:cs="Arial"/>
        </w:rPr>
      </w:pPr>
      <w:r w:rsidRPr="00C07BB7">
        <w:rPr>
          <w:rFonts w:cs="Arial"/>
        </w:rPr>
        <w:t>Patient-centred care is also important as this has an impact on patients' daily function, emotional state and burden of treatment. The perceived usefulness and ease of use are found to influence acceptance of digital health, meaning that technological interventions cannot be beneficial for everyone (Kaklamanou et al., 2024). Hull et al. (2024) also showed the burden of anaemia associated with CKD on the patient/carer. Hence, effective management should include education, shared decision-making, self-management support and access to digital interventions in the routine management of</w:t>
      </w:r>
      <w:r w:rsidR="00F64A0E">
        <w:rPr>
          <w:rFonts w:cs="Arial"/>
        </w:rPr>
        <w:t xml:space="preserve"> the</w:t>
      </w:r>
      <w:r w:rsidRPr="00C07BB7">
        <w:rPr>
          <w:rFonts w:cs="Arial"/>
        </w:rPr>
        <w:t xml:space="preserve"> UK CKD.</w:t>
      </w:r>
    </w:p>
    <w:p w14:paraId="7B99CD67" w14:textId="77777777" w:rsidR="00544F3D" w:rsidRPr="008A3F07" w:rsidRDefault="00544F3D" w:rsidP="00462CB9">
      <w:pPr>
        <w:pStyle w:val="Heading3"/>
        <w:rPr>
          <w:rFonts w:cs="Arial"/>
          <w:color w:val="auto"/>
        </w:rPr>
      </w:pPr>
      <w:bookmarkStart w:id="56" w:name="_Toc239290099"/>
      <w:bookmarkStart w:id="57" w:name="_Toc240666905"/>
      <w:bookmarkStart w:id="58" w:name="_Toc241090879"/>
      <w:r w:rsidRPr="008A3F07">
        <w:rPr>
          <w:rFonts w:cs="Arial"/>
          <w:color w:val="auto"/>
        </w:rPr>
        <w:t>2.2.9 Integrated CKD Management and Health-System Challenges</w:t>
      </w:r>
      <w:bookmarkEnd w:id="56"/>
      <w:bookmarkEnd w:id="57"/>
      <w:bookmarkEnd w:id="58"/>
    </w:p>
    <w:p w14:paraId="5669D07E" w14:textId="77777777" w:rsidR="00544F3D" w:rsidRPr="00C07BB7" w:rsidRDefault="00544F3D" w:rsidP="00462CB9">
      <w:pPr>
        <w:rPr>
          <w:rFonts w:cs="Arial"/>
        </w:rPr>
      </w:pPr>
      <w:r w:rsidRPr="00C07BB7">
        <w:rPr>
          <w:rFonts w:cs="Arial"/>
        </w:rPr>
        <w:t>Collaborative working between primary care, secondary care and specialist renal services is important for good management of CKD. Integrated and primary-care-based treatment models can have a positive impact on pathways and optimize treatment, as suggested by Jones et al. (2025) and Gama et al. (2025). But there are significant problems with implementation. Forbes et al. (2024) reported inconsistencies in the use of the SGLT2 inhibitor guidance, and uncoded CKD in secondary care was identified by Dolan et al. (2025). The results reveal a discrepancy between evidence-based advice and regular practice.</w:t>
      </w:r>
    </w:p>
    <w:p w14:paraId="34705727" w14:textId="77777777" w:rsidR="00544F3D" w:rsidRPr="00C07BB7" w:rsidRDefault="00544F3D" w:rsidP="00462CB9">
      <w:pPr>
        <w:rPr>
          <w:rFonts w:cs="Arial"/>
        </w:rPr>
      </w:pPr>
      <w:r w:rsidRPr="00C07BB7">
        <w:rPr>
          <w:rFonts w:cs="Arial"/>
        </w:rPr>
        <w:t>There is evidence for the cost-effectiveness of investments in early CKD management. At the population level, some interventions for CKD may be of value to the NHS, as suggested by Agathangelou et al. (2025); and certain drug therapies may be economically valuable, as highlighted by Cherney et al. (2025) and Ramos et al. (2024). Cost-effectiveness does not mean equitable implementation. While the health literacy of patients might be reduced and access to diagnosis and treatment might be limited, interventions for CKD can still increase inequality (Sawhney et al., 2024).</w:t>
      </w:r>
    </w:p>
    <w:p w14:paraId="54CC43CA" w14:textId="30304A2B" w:rsidR="00544F3D" w:rsidRPr="008A3F07" w:rsidRDefault="00544F3D" w:rsidP="00462CB9">
      <w:pPr>
        <w:pStyle w:val="Heading2"/>
        <w:rPr>
          <w:rFonts w:cs="Arial"/>
          <w:sz w:val="28"/>
          <w:szCs w:val="28"/>
        </w:rPr>
      </w:pPr>
      <w:bookmarkStart w:id="59" w:name="_Toc239290100"/>
      <w:bookmarkStart w:id="60" w:name="_Toc240666906"/>
      <w:bookmarkStart w:id="61" w:name="_Toc241090880"/>
      <w:r w:rsidRPr="008A3F07">
        <w:rPr>
          <w:rStyle w:val="Strong"/>
          <w:rFonts w:cs="Arial"/>
          <w:b/>
          <w:bCs/>
          <w:sz w:val="28"/>
          <w:szCs w:val="28"/>
        </w:rPr>
        <w:t xml:space="preserve">2.3 Gaps in </w:t>
      </w:r>
      <w:bookmarkEnd w:id="59"/>
      <w:bookmarkEnd w:id="60"/>
      <w:r w:rsidR="00FB4D98" w:rsidRPr="008A3F07">
        <w:rPr>
          <w:rStyle w:val="Strong"/>
          <w:rFonts w:cs="Arial"/>
          <w:b/>
          <w:bCs/>
          <w:sz w:val="28"/>
          <w:szCs w:val="28"/>
        </w:rPr>
        <w:t>Literature</w:t>
      </w:r>
      <w:bookmarkEnd w:id="61"/>
    </w:p>
    <w:p w14:paraId="3B51874E" w14:textId="6E8354DF" w:rsidR="00544F3D" w:rsidRPr="00C07BB7" w:rsidRDefault="00544F3D" w:rsidP="00462CB9">
      <w:pPr>
        <w:rPr>
          <w:rFonts w:cs="Arial"/>
        </w:rPr>
      </w:pPr>
      <w:r w:rsidRPr="00C07BB7">
        <w:rPr>
          <w:rFonts w:cs="Arial"/>
        </w:rPr>
        <w:t>The first gap would be the independence of studies that often focus on individual risk factors and/or individual management strategies instead of integrating risk factors and management strategies in a single adult-oriented review in the United Kingdom. As typical examples, Heo et al. (2024) studied sweetened beverage consumption, Tang et al. (2024a) studied obesity and joint management of risk factors, and Forbes et al. (2024) studied the implementation of SGLT2 inhibitors. Therefore, the purpose of this dissertation is to address this gap by summarising the risk factors for CKD and management in one place.</w:t>
      </w:r>
    </w:p>
    <w:p w14:paraId="41C09CE5" w14:textId="68DA30BE" w:rsidR="00544F3D" w:rsidRPr="00C07BB7" w:rsidRDefault="00544F3D" w:rsidP="00462CB9">
      <w:pPr>
        <w:rPr>
          <w:rFonts w:cs="Arial"/>
        </w:rPr>
      </w:pPr>
      <w:r w:rsidRPr="00C07BB7">
        <w:rPr>
          <w:rFonts w:cs="Arial"/>
        </w:rPr>
        <w:t xml:space="preserve">The second gap concerns the age profile and population applicability of the existing evidence. There is evidence that is specific to certain populations such as those with type 2 diabetes, obesity, cardiometabolic disease/cardiovascular and kidney disease-related complications in the UK. Sisk et al. 2024 were a group of patients who had type 2 diabetes, and Pasea et al. 2025 were a group of individuals with heart failure and diabetes and CKD. </w:t>
      </w:r>
      <w:r w:rsidR="00101472" w:rsidRPr="00C07BB7">
        <w:rPr>
          <w:rFonts w:cs="Arial"/>
        </w:rPr>
        <w:t>T</w:t>
      </w:r>
      <w:r w:rsidRPr="00C07BB7">
        <w:rPr>
          <w:rFonts w:cs="Arial"/>
        </w:rPr>
        <w:t>hese studies are often not representative of all</w:t>
      </w:r>
      <w:r w:rsidR="006315DC">
        <w:rPr>
          <w:rFonts w:cs="Arial"/>
        </w:rPr>
        <w:t xml:space="preserve"> in the</w:t>
      </w:r>
      <w:r w:rsidRPr="00C07BB7">
        <w:rPr>
          <w:rFonts w:cs="Arial"/>
        </w:rPr>
        <w:t xml:space="preserve"> UK adults aged 18+, so they are not necessarily representative of everyone. Therefore, care needs to be taken in interpreting the literature for the present review and in assuming that the findings from high-risk groups are applicable to the general adult population.</w:t>
      </w:r>
    </w:p>
    <w:p w14:paraId="154FC3B4" w14:textId="77777777" w:rsidR="00544F3D" w:rsidRPr="00C07BB7" w:rsidRDefault="00544F3D" w:rsidP="00462CB9">
      <w:pPr>
        <w:rPr>
          <w:rFonts w:cs="Arial"/>
        </w:rPr>
      </w:pPr>
      <w:r w:rsidRPr="00C07BB7">
        <w:rPr>
          <w:rFonts w:cs="Arial"/>
        </w:rPr>
        <w:t>The third gap is the underdiagnosis gap. Occasionally there are studies that mention coding issues and disclosure/detection issues, but very few studies offer a detailed overview of how these issues could be handled within the UK across settings. For primary care, barriers were found by Stewart et al. (2024) and coding and recognition issues by Dolan et al. (2025) and Sisk et al. (2024). The findings of these studies confirm the issues, but there is a need to better integrate the evidence base for the impact of primary-care systems, patient education, and integrated services on CKD outcomes.</w:t>
      </w:r>
    </w:p>
    <w:p w14:paraId="301380F2" w14:textId="77777777" w:rsidR="00544F3D" w:rsidRPr="00C07BB7" w:rsidRDefault="00544F3D" w:rsidP="00462CB9">
      <w:pPr>
        <w:rPr>
          <w:rFonts w:cs="Arial"/>
        </w:rPr>
      </w:pPr>
      <w:r w:rsidRPr="00C07BB7">
        <w:rPr>
          <w:rFonts w:cs="Arial"/>
        </w:rPr>
        <w:t>The fourth gap is that of digital health and inequality. Digital interventions (e.g., Kidney BEAM) can have positive impacts on physical activity, mental health and cost-effectiveness (Greenwood et al., 2024a; Greenwood et al., 2024b). However, Kaklamanou et al. (2024) found that attitudes and usability of patients have an impact on acceptance. The groups that would benefit from a digital intervention for CKD and which groups would not remain unknown. This is especially pertinent in the context of the links between age and CKD and deprivation and CKD (and multimorbidity and inequitable access to care) respectively (Sawhney et al., 2024; Walker et al., 2025).</w:t>
      </w:r>
    </w:p>
    <w:p w14:paraId="7746925C" w14:textId="0062D5BB" w:rsidR="00544F3D" w:rsidRPr="00C07BB7" w:rsidRDefault="00A30065" w:rsidP="00462CB9">
      <w:pPr>
        <w:rPr>
          <w:rFonts w:cs="Arial"/>
        </w:rPr>
      </w:pPr>
      <w:r w:rsidRPr="00C07BB7">
        <w:rPr>
          <w:rFonts w:cs="Arial"/>
        </w:rPr>
        <w:t>There are key gaps such as (1) underdiagnosis and inconsistent coding in primary care, which will skew the prevalence and monitoring of these interventions; (2) limited representativeness of cohort data, particularly use of</w:t>
      </w:r>
      <w:r w:rsidR="006315DC">
        <w:rPr>
          <w:rFonts w:cs="Arial"/>
        </w:rPr>
        <w:t xml:space="preserve"> the</w:t>
      </w:r>
      <w:r w:rsidRPr="00C07BB7">
        <w:rPr>
          <w:rFonts w:cs="Arial"/>
        </w:rPr>
        <w:t xml:space="preserve"> UK Biobank; (3) few pragmatic evaluations of integrated care and implementation studies of uptake of pharmacotherapy; and (4) short and selective trials of digital and lifestyle interventions. Incorporating the principles of representative longitudinal cohorts, pragmatic implementation trials and inclusive digital intervention studies will directly tackle these gaps and help provide the evidence base for</w:t>
      </w:r>
      <w:r w:rsidR="006315DC">
        <w:rPr>
          <w:rFonts w:cs="Arial"/>
        </w:rPr>
        <w:t xml:space="preserve"> </w:t>
      </w:r>
      <w:r w:rsidR="00F64A0E">
        <w:rPr>
          <w:rFonts w:cs="Arial"/>
        </w:rPr>
        <w:t>UK</w:t>
      </w:r>
      <w:r w:rsidRPr="00C07BB7">
        <w:rPr>
          <w:rFonts w:cs="Arial"/>
        </w:rPr>
        <w:t xml:space="preserve"> policy and practice.</w:t>
      </w:r>
    </w:p>
    <w:p w14:paraId="6969DA71" w14:textId="77777777" w:rsidR="00544F3D" w:rsidRPr="00FB4D98" w:rsidRDefault="00544F3D" w:rsidP="005E5F3F">
      <w:pPr>
        <w:pStyle w:val="Heading2"/>
        <w:spacing w:before="0"/>
        <w:rPr>
          <w:rFonts w:cs="Arial"/>
          <w:sz w:val="28"/>
          <w:szCs w:val="28"/>
        </w:rPr>
      </w:pPr>
      <w:bookmarkStart w:id="62" w:name="_Toc239290101"/>
      <w:bookmarkStart w:id="63" w:name="_Toc240666907"/>
      <w:bookmarkStart w:id="64" w:name="_Toc241090881"/>
      <w:r w:rsidRPr="00FB4D98">
        <w:rPr>
          <w:rStyle w:val="Strong"/>
          <w:rFonts w:cs="Arial"/>
          <w:b/>
          <w:bCs/>
          <w:sz w:val="28"/>
          <w:szCs w:val="28"/>
        </w:rPr>
        <w:t>2.4 Theoretical Framework</w:t>
      </w:r>
      <w:bookmarkEnd w:id="62"/>
      <w:bookmarkEnd w:id="63"/>
      <w:bookmarkEnd w:id="64"/>
    </w:p>
    <w:p w14:paraId="1CEE072E" w14:textId="77777777" w:rsidR="00544F3D" w:rsidRPr="005E5F3F" w:rsidRDefault="00544F3D" w:rsidP="005E5F3F">
      <w:pPr>
        <w:pStyle w:val="Heading3"/>
        <w:spacing w:before="0"/>
        <w:rPr>
          <w:rFonts w:cs="Arial"/>
          <w:color w:val="auto"/>
        </w:rPr>
      </w:pPr>
      <w:bookmarkStart w:id="65" w:name="_Toc239290102"/>
      <w:bookmarkStart w:id="66" w:name="_Toc240666908"/>
      <w:bookmarkStart w:id="67" w:name="_Toc241090882"/>
      <w:r w:rsidRPr="005E5F3F">
        <w:rPr>
          <w:rStyle w:val="Strong"/>
          <w:rFonts w:cs="Arial"/>
          <w:b/>
          <w:bCs/>
          <w:color w:val="auto"/>
        </w:rPr>
        <w:t>2.4.1 Overview and Justification of the Health Belief Model</w:t>
      </w:r>
      <w:bookmarkEnd w:id="65"/>
      <w:bookmarkEnd w:id="66"/>
      <w:bookmarkEnd w:id="67"/>
    </w:p>
    <w:p w14:paraId="7296394A" w14:textId="6270C508" w:rsidR="00544F3D" w:rsidRPr="00C07BB7" w:rsidRDefault="00544F3D" w:rsidP="00462CB9">
      <w:pPr>
        <w:rPr>
          <w:rFonts w:cs="Arial"/>
        </w:rPr>
      </w:pPr>
      <w:r w:rsidRPr="00C07BB7">
        <w:rPr>
          <w:rFonts w:cs="Arial"/>
        </w:rPr>
        <w:t xml:space="preserve">The theory used in this Systematic Review is the Health Belief Model (HBM). </w:t>
      </w:r>
      <w:r w:rsidR="009642A4" w:rsidRPr="00C07BB7">
        <w:rPr>
          <w:rFonts w:cs="Arial"/>
        </w:rPr>
        <w:t>HBM</w:t>
      </w:r>
      <w:r w:rsidRPr="00C07BB7">
        <w:rPr>
          <w:rFonts w:cs="Arial"/>
        </w:rPr>
        <w:t xml:space="preserve"> explains why individuals decide to take, delay or avoid health-related actions. This is suitable for this dissertation because chronic kidney disease (CKD) is a hidden condition in early stages, and the severity of the disease means adults are less likely to seek screening, monitoring and treatment when they do</w:t>
      </w:r>
      <w:r w:rsidR="00233C80" w:rsidRPr="00C07BB7">
        <w:rPr>
          <w:rFonts w:cs="Arial"/>
        </w:rPr>
        <w:t xml:space="preserve"> </w:t>
      </w:r>
      <w:r w:rsidRPr="00C07BB7">
        <w:rPr>
          <w:rFonts w:cs="Arial"/>
        </w:rPr>
        <w:t>n</w:t>
      </w:r>
      <w:r w:rsidR="00233C80" w:rsidRPr="00C07BB7">
        <w:rPr>
          <w:rFonts w:cs="Arial"/>
        </w:rPr>
        <w:t>o</w:t>
      </w:r>
      <w:r w:rsidRPr="00C07BB7">
        <w:rPr>
          <w:rFonts w:cs="Arial"/>
        </w:rPr>
        <w:t xml:space="preserve">t know of their personal risk, nor understand the severity of the disease. </w:t>
      </w:r>
      <w:r w:rsidR="00B50398" w:rsidRPr="00C07BB7">
        <w:rPr>
          <w:rFonts w:cs="Arial"/>
        </w:rPr>
        <w:t xml:space="preserve">The model is relevant to CKD because </w:t>
      </w:r>
      <w:r w:rsidRPr="00C07BB7">
        <w:rPr>
          <w:rFonts w:cs="Arial"/>
        </w:rPr>
        <w:t>Prevention and management will be successful if there is risk awareness, early testing, disclosure of diagnosis, adherence to medication, lifestyle changes and regular follow-up. Evidence from the UK indicates that CKD may remain undetected, uncoded or not necessarily well disclosed, thus limiting opportunities to take early action on the part of the patient and for self-management (Stewart et al., 2024; Sisk et al., 2024).</w:t>
      </w:r>
    </w:p>
    <w:p w14:paraId="0820B3F6" w14:textId="77777777" w:rsidR="00544F3D" w:rsidRPr="00C07BB7" w:rsidRDefault="00544F3D" w:rsidP="00462CB9">
      <w:pPr>
        <w:jc w:val="center"/>
        <w:rPr>
          <w:rFonts w:cs="Arial"/>
        </w:rPr>
      </w:pPr>
      <w:r w:rsidRPr="00C07BB7">
        <w:rPr>
          <w:rFonts w:cs="Arial"/>
          <w:noProof/>
        </w:rPr>
        <w:drawing>
          <wp:inline distT="0" distB="0" distL="0" distR="0" wp14:anchorId="0B3A7A84" wp14:editId="5147FA2E">
            <wp:extent cx="4565255" cy="3058136"/>
            <wp:effectExtent l="0" t="0" r="698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4585712" cy="3071840"/>
                    </a:xfrm>
                    <a:prstGeom prst="rect">
                      <a:avLst/>
                    </a:prstGeom>
                    <a:noFill/>
                    <a:ln>
                      <a:noFill/>
                    </a:ln>
                    <a:extLst>
                      <a:ext uri="{53640926-AAD7-44D8-BBD7-CCE9431645EC}">
                        <a14:shadowObscured xmlns:a14="http://schemas.microsoft.com/office/drawing/2010/main"/>
                      </a:ext>
                    </a:extLst>
                  </pic:spPr>
                </pic:pic>
              </a:graphicData>
            </a:graphic>
          </wp:inline>
        </w:drawing>
      </w:r>
    </w:p>
    <w:p w14:paraId="69A4A361" w14:textId="6726CF7D" w:rsidR="00544F3D" w:rsidRPr="00C07BB7" w:rsidRDefault="00544F3D" w:rsidP="00462CB9">
      <w:pPr>
        <w:jc w:val="center"/>
        <w:rPr>
          <w:rFonts w:cs="Arial"/>
        </w:rPr>
      </w:pPr>
      <w:r w:rsidRPr="00C07BB7">
        <w:rPr>
          <w:rFonts w:cs="Arial"/>
        </w:rPr>
        <w:t>Figure 2.1: Theoretical Framework: Health Belief Model Applied to CKD Risk and Management Among</w:t>
      </w:r>
      <w:r w:rsidR="006315DC">
        <w:rPr>
          <w:rFonts w:cs="Arial"/>
        </w:rPr>
        <w:t xml:space="preserve"> the</w:t>
      </w:r>
      <w:r w:rsidRPr="00C07BB7">
        <w:rPr>
          <w:rFonts w:cs="Arial"/>
        </w:rPr>
        <w:t xml:space="preserve"> UK Adults</w:t>
      </w:r>
    </w:p>
    <w:p w14:paraId="6C1CB739" w14:textId="77777777" w:rsidR="00544F3D" w:rsidRPr="007C4C33" w:rsidRDefault="00544F3D" w:rsidP="00462CB9">
      <w:pPr>
        <w:pStyle w:val="Heading3"/>
        <w:rPr>
          <w:rFonts w:cs="Arial"/>
          <w:color w:val="auto"/>
        </w:rPr>
      </w:pPr>
      <w:bookmarkStart w:id="68" w:name="_Toc239290103"/>
      <w:bookmarkStart w:id="69" w:name="_Toc240666909"/>
      <w:bookmarkStart w:id="70" w:name="_Toc241090883"/>
      <w:r w:rsidRPr="007C4C33">
        <w:rPr>
          <w:rStyle w:val="Strong"/>
          <w:rFonts w:cs="Arial"/>
          <w:b/>
          <w:bCs/>
          <w:color w:val="auto"/>
        </w:rPr>
        <w:t>2.4.2 Perceived Susceptibility and Perceived Severity</w:t>
      </w:r>
      <w:bookmarkEnd w:id="68"/>
      <w:bookmarkEnd w:id="69"/>
      <w:bookmarkEnd w:id="70"/>
    </w:p>
    <w:p w14:paraId="24ADF0A2" w14:textId="77777777" w:rsidR="00544F3D" w:rsidRPr="00C07BB7" w:rsidRDefault="00544F3D" w:rsidP="00462CB9">
      <w:pPr>
        <w:rPr>
          <w:rFonts w:cs="Arial"/>
        </w:rPr>
      </w:pPr>
      <w:r w:rsidRPr="00C07BB7">
        <w:rPr>
          <w:rFonts w:cs="Arial"/>
        </w:rPr>
        <w:t>Perceived Susceptibility is adults' perception of their risk for CKD. This is significant as these conditions are not necessarily known to adults with diabetes, hypertension, obesity, poor diet, or cardiometabolic disease as a kidney-related risk. There is no knowledge of risk, and/or patients may not adhere to recommended risk-reduction lifestyle and/or monitoring. Perceived severity is the individual's understanding of the consequences of CKD. Kidney failure, cardiovascular disease and anaemia are all possible complications of CKD, which also contribute to poorer quality of life and more health care consumption. Evidence of the physical and psychological effects of CKD-related anaemia and multimorbidity reinforces the need to take into account the effects of CKD, especially with the presence of multimorbidity or if the disease progresses (Bhandari et al., 2025; Hawthorne et al., 2023).</w:t>
      </w:r>
    </w:p>
    <w:p w14:paraId="3FF5321F" w14:textId="77777777" w:rsidR="00544F3D" w:rsidRPr="007C4C33" w:rsidRDefault="00544F3D" w:rsidP="00462CB9">
      <w:pPr>
        <w:pStyle w:val="Heading3"/>
        <w:rPr>
          <w:rFonts w:cs="Arial"/>
          <w:color w:val="auto"/>
        </w:rPr>
      </w:pPr>
      <w:bookmarkStart w:id="71" w:name="_Toc239290104"/>
      <w:bookmarkStart w:id="72" w:name="_Toc240666910"/>
      <w:bookmarkStart w:id="73" w:name="_Toc241090884"/>
      <w:r w:rsidRPr="007C4C33">
        <w:rPr>
          <w:rStyle w:val="Strong"/>
          <w:rFonts w:cs="Arial"/>
          <w:b/>
          <w:bCs/>
          <w:color w:val="auto"/>
        </w:rPr>
        <w:t>2.4.3 Perceived Benefits, Perceived Barriers and Cues to Action</w:t>
      </w:r>
      <w:bookmarkEnd w:id="71"/>
      <w:bookmarkEnd w:id="72"/>
      <w:bookmarkEnd w:id="73"/>
    </w:p>
    <w:p w14:paraId="3C909CBD" w14:textId="77777777" w:rsidR="00544F3D" w:rsidRPr="00C07BB7" w:rsidRDefault="00544F3D" w:rsidP="00462CB9">
      <w:pPr>
        <w:rPr>
          <w:rFonts w:cs="Arial"/>
        </w:rPr>
      </w:pPr>
      <w:r w:rsidRPr="00C07BB7">
        <w:rPr>
          <w:rFonts w:cs="Arial"/>
        </w:rPr>
        <w:t>Perceived benefits are the degree to which patients and health care professionals think screening, medication, lifestyle changes and periodic screening will help them improve the outcome of CKD. Emerging evidence suggests that, used appropriately, SGLT2 inhibitors, lipid management, finerenone, physical activity and digital self-management can all help to preserve the kidney and improve outcomes for patients (Forbes et al., 2024; Greenwood et al., 2024b). There are potentially various barriers to treatment; however, these may be perceived as a lack of awareness, communication issues, treatment burden, multimorbidity, deprivation, digital exclusion and unequal access to healthcare. Cues to action are alerts that trigger a patient or professional to take action, such as abnormal eGFR results, albuminuria results, GP guidance, diagnosis coding, referral guidance and risk prediction tools. The Kidney Failure Risk Equation and integrated care pathways could be used to identify a patient as being at risk of kidney failure, which may guide professional action (Sullivan et al., 2023; Walker et al., 2025).</w:t>
      </w:r>
    </w:p>
    <w:p w14:paraId="12D9D176" w14:textId="77777777" w:rsidR="00544F3D" w:rsidRPr="007C4C33" w:rsidRDefault="00544F3D" w:rsidP="00462CB9">
      <w:pPr>
        <w:pStyle w:val="Heading3"/>
        <w:rPr>
          <w:rFonts w:cs="Arial"/>
          <w:color w:val="auto"/>
        </w:rPr>
      </w:pPr>
      <w:bookmarkStart w:id="74" w:name="_Toc239290105"/>
      <w:bookmarkStart w:id="75" w:name="_Toc240666911"/>
      <w:bookmarkStart w:id="76" w:name="_Toc241090885"/>
      <w:r w:rsidRPr="007C4C33">
        <w:rPr>
          <w:rStyle w:val="Strong"/>
          <w:rFonts w:cs="Arial"/>
          <w:b/>
          <w:bCs/>
          <w:color w:val="auto"/>
        </w:rPr>
        <w:t>2.4.4 Self-Efficacy and Critical Limitation of the Model</w:t>
      </w:r>
      <w:bookmarkEnd w:id="74"/>
      <w:bookmarkEnd w:id="75"/>
      <w:bookmarkEnd w:id="76"/>
    </w:p>
    <w:p w14:paraId="49454454" w14:textId="4510B081" w:rsidR="00544F3D" w:rsidRPr="00C07BB7" w:rsidRDefault="00544F3D" w:rsidP="00462CB9">
      <w:pPr>
        <w:rPr>
          <w:rFonts w:cs="Arial"/>
        </w:rPr>
      </w:pPr>
      <w:r w:rsidRPr="00C07BB7">
        <w:rPr>
          <w:rFonts w:cs="Arial"/>
        </w:rPr>
        <w:t xml:space="preserve">Self-efficacy is defined as a person's belief in his/her capability to cope with his/her health. Patients should be confident that they will have access to appointments for monitoring, will be given information on how to take medication, will be encouraged to make lifestyle changes, and will have access to more exercise and digital and/or primary care support. While it is possible that digital physical activity interventions can positively affect patients' confidence and self-management, this will depend on their usefulness, accessibility, and acceptability by patients (Castle et al., 2024; Kaklamanou et al., 2024). One weakness of the HBM is that it only takes into account individual beliefs and behaviours. Other structural problems, like deprivation, workload of the NHS, access to services and inequalities in health, affect the risk and management of CKD. Therefore, this dissertation will focus on the HBM as a key </w:t>
      </w:r>
      <w:r w:rsidR="008E3A72" w:rsidRPr="00C07BB7">
        <w:rPr>
          <w:rFonts w:cs="Arial"/>
        </w:rPr>
        <w:t>concept but</w:t>
      </w:r>
      <w:r w:rsidRPr="00C07BB7">
        <w:rPr>
          <w:rFonts w:cs="Arial"/>
        </w:rPr>
        <w:t xml:space="preserve"> recognises the wider public health view of prevention and management of CKD (Agathangelou et al., 2025; Sawhney et al., 2024).</w:t>
      </w:r>
    </w:p>
    <w:p w14:paraId="015B27A8" w14:textId="77777777" w:rsidR="00544F3D" w:rsidRPr="00AA140B" w:rsidRDefault="00544F3D" w:rsidP="00462CB9">
      <w:pPr>
        <w:pStyle w:val="Heading2"/>
        <w:rPr>
          <w:rFonts w:cs="Arial"/>
          <w:color w:val="auto"/>
          <w:sz w:val="28"/>
          <w:szCs w:val="28"/>
        </w:rPr>
      </w:pPr>
      <w:bookmarkStart w:id="77" w:name="_Toc239290106"/>
      <w:bookmarkStart w:id="78" w:name="_Toc240666912"/>
      <w:bookmarkStart w:id="79" w:name="_Toc241090886"/>
      <w:r w:rsidRPr="00AA140B">
        <w:rPr>
          <w:rStyle w:val="Strong"/>
          <w:rFonts w:cs="Arial"/>
          <w:b/>
          <w:bCs/>
          <w:color w:val="auto"/>
          <w:sz w:val="28"/>
          <w:szCs w:val="28"/>
        </w:rPr>
        <w:t>2.5 Summary of the Chapter</w:t>
      </w:r>
      <w:bookmarkEnd w:id="77"/>
      <w:bookmarkEnd w:id="78"/>
      <w:bookmarkEnd w:id="79"/>
    </w:p>
    <w:p w14:paraId="41A354E1" w14:textId="11CF1D41" w:rsidR="00544F3D" w:rsidRDefault="00544F3D" w:rsidP="00462CB9">
      <w:pPr>
        <w:rPr>
          <w:rFonts w:cs="Arial"/>
        </w:rPr>
      </w:pPr>
      <w:r w:rsidRPr="00C07BB7">
        <w:rPr>
          <w:rFonts w:cs="Arial"/>
        </w:rPr>
        <w:t>The chapter has reviewed literature to summarise the knowledge about the risk factors and management of CKD in adults in the UK. The review identified that in the UK healthcare system, CKD is not always identified, diagnosed and recorded. Diabetes, hypertension, obesity, multimorbidity, diet, physical inactivity and deprivation were the main risk factors. The chapter also explored pharmacological treatment, SGLT2 inhibitors, lipid and anaemia management and digital intervention and integrated care. Finally, it highlighted the gaps in the literature and</w:t>
      </w:r>
      <w:r w:rsidR="009642A4">
        <w:rPr>
          <w:rFonts w:cs="Arial"/>
        </w:rPr>
        <w:t xml:space="preserve"> </w:t>
      </w:r>
      <w:r w:rsidRPr="00C07BB7">
        <w:rPr>
          <w:rFonts w:cs="Arial"/>
        </w:rPr>
        <w:t>recommended the Health Belief Model as the theoretical model to develop awareness and support self-management of CKD.</w:t>
      </w:r>
    </w:p>
    <w:p w14:paraId="32E51DBD" w14:textId="12ED7056" w:rsidR="007C4C33" w:rsidRDefault="007C4C33" w:rsidP="00462CB9">
      <w:pPr>
        <w:rPr>
          <w:rFonts w:cs="Arial"/>
        </w:rPr>
      </w:pPr>
      <w:r>
        <w:rPr>
          <w:rFonts w:cs="Arial"/>
        </w:rPr>
        <w:br/>
      </w:r>
    </w:p>
    <w:p w14:paraId="39FB606B" w14:textId="77777777" w:rsidR="007C4C33" w:rsidRDefault="007C4C33">
      <w:pPr>
        <w:spacing w:after="200" w:line="276" w:lineRule="auto"/>
        <w:jc w:val="left"/>
        <w:rPr>
          <w:rFonts w:cs="Arial"/>
        </w:rPr>
      </w:pPr>
      <w:r>
        <w:rPr>
          <w:rFonts w:cs="Arial"/>
        </w:rPr>
        <w:br w:type="page"/>
      </w:r>
    </w:p>
    <w:p w14:paraId="56A5AFCA" w14:textId="41BA0B61" w:rsidR="0038603C" w:rsidRPr="00C07BB7" w:rsidRDefault="00897818" w:rsidP="007C4C33">
      <w:pPr>
        <w:pStyle w:val="Heading1"/>
        <w:rPr>
          <w:rFonts w:cs="Arial"/>
        </w:rPr>
      </w:pPr>
      <w:bookmarkStart w:id="80" w:name="_Toc239294382"/>
      <w:bookmarkStart w:id="81" w:name="_Toc240666913"/>
      <w:bookmarkStart w:id="82" w:name="_Toc241090887"/>
      <w:r w:rsidRPr="00C07BB7">
        <w:rPr>
          <w:rFonts w:cs="Arial"/>
        </w:rPr>
        <w:t xml:space="preserve">Chapter </w:t>
      </w:r>
      <w:r w:rsidR="008C3575">
        <w:rPr>
          <w:rFonts w:cs="Arial"/>
        </w:rPr>
        <w:t>Three</w:t>
      </w:r>
      <w:r w:rsidRPr="00C07BB7">
        <w:rPr>
          <w:rFonts w:cs="Arial"/>
        </w:rPr>
        <w:t>:</w:t>
      </w:r>
      <w:r w:rsidR="00975B17">
        <w:rPr>
          <w:rFonts w:cs="Arial"/>
        </w:rPr>
        <w:t xml:space="preserve"> Research</w:t>
      </w:r>
      <w:r w:rsidRPr="00C07BB7">
        <w:rPr>
          <w:rFonts w:cs="Arial"/>
        </w:rPr>
        <w:t xml:space="preserve"> Methodology</w:t>
      </w:r>
      <w:bookmarkEnd w:id="80"/>
      <w:bookmarkEnd w:id="81"/>
      <w:bookmarkEnd w:id="82"/>
    </w:p>
    <w:p w14:paraId="2D55AA5B" w14:textId="77777777" w:rsidR="0038603C" w:rsidRPr="0005168B" w:rsidRDefault="0038603C" w:rsidP="00462CB9">
      <w:pPr>
        <w:pStyle w:val="Heading2"/>
        <w:rPr>
          <w:rFonts w:cs="Arial"/>
          <w:sz w:val="28"/>
          <w:szCs w:val="28"/>
        </w:rPr>
      </w:pPr>
      <w:bookmarkStart w:id="83" w:name="_Toc239294383"/>
      <w:bookmarkStart w:id="84" w:name="_Toc240666914"/>
      <w:bookmarkStart w:id="85" w:name="_Toc241090888"/>
      <w:r w:rsidRPr="0005168B">
        <w:rPr>
          <w:rFonts w:cs="Arial"/>
          <w:sz w:val="28"/>
          <w:szCs w:val="28"/>
        </w:rPr>
        <w:t>3.1 Research Approach</w:t>
      </w:r>
      <w:bookmarkEnd w:id="83"/>
      <w:bookmarkEnd w:id="84"/>
      <w:bookmarkEnd w:id="85"/>
    </w:p>
    <w:p w14:paraId="4A7533F5" w14:textId="61560AF2" w:rsidR="0038603C" w:rsidRPr="00C07BB7" w:rsidRDefault="0038603C" w:rsidP="00462CB9">
      <w:pPr>
        <w:rPr>
          <w:rFonts w:cs="Arial"/>
        </w:rPr>
      </w:pPr>
      <w:r w:rsidRPr="00C07BB7">
        <w:rPr>
          <w:rFonts w:cs="Arial"/>
        </w:rPr>
        <w:t xml:space="preserve">This study applies a systematic literature review (SLR) methodology to identify risk factors and how to manage chronic kidney disease (CKD) in adults (age 18 years and over) in the United Kingdom. </w:t>
      </w:r>
      <w:r w:rsidR="00905342" w:rsidRPr="00C07BB7">
        <w:rPr>
          <w:rFonts w:cs="Arial"/>
        </w:rPr>
        <w:t>The method does not involve the collection of new clinical data; instead, it relies exclusively on secondary evidence. This is appropriate given</w:t>
      </w:r>
      <w:r w:rsidRPr="00C07BB7">
        <w:rPr>
          <w:rFonts w:cs="Arial"/>
        </w:rPr>
        <w:t xml:space="preserve"> the nature of the research question: comparison of recent evidence from epidemiology, clinical practice, public health, patient experience and service delivery. Estimating prevalence, associations, and outcomes of intervention is possible in quantitative studies; explaining acceptability, barriers, and implementation is possible in qualitative and mixed-methods studies. Each of these kinds of evidence addresses a different aspect of the review question and so receives a different interpretation based upon the claims each design can support. The review is conducted using a structured process of question formation, searching, screening, critical appraisal, extraction and synthesis, which is appropriate for this review and provides transparency of the systematic-review process. A systematic approach also minimises the subjectivity associated with study selection by ensuring that there are clear criteria to follow and a traceable study selection process (Cherry</w:t>
      </w:r>
      <w:r w:rsidR="006B23C2" w:rsidRPr="00C07BB7">
        <w:rPr>
          <w:rFonts w:cs="Arial"/>
        </w:rPr>
        <w:t>,</w:t>
      </w:r>
      <w:r w:rsidRPr="00C07BB7">
        <w:rPr>
          <w:rFonts w:cs="Arial"/>
        </w:rPr>
        <w:t xml:space="preserve"> Boland</w:t>
      </w:r>
      <w:r w:rsidR="006B23C2" w:rsidRPr="00C07BB7">
        <w:rPr>
          <w:rFonts w:cs="Arial"/>
        </w:rPr>
        <w:t xml:space="preserve"> and</w:t>
      </w:r>
      <w:r w:rsidRPr="00C07BB7">
        <w:rPr>
          <w:rFonts w:cs="Arial"/>
        </w:rPr>
        <w:t xml:space="preserve"> </w:t>
      </w:r>
      <w:r w:rsidR="006B23C2" w:rsidRPr="00C07BB7">
        <w:rPr>
          <w:rFonts w:cs="Arial"/>
        </w:rPr>
        <w:t xml:space="preserve">Dickson, </w:t>
      </w:r>
      <w:r w:rsidRPr="00C07BB7">
        <w:rPr>
          <w:rFonts w:cs="Arial"/>
        </w:rPr>
        <w:t>2023; Purssell and McCrae, 2024).</w:t>
      </w:r>
    </w:p>
    <w:p w14:paraId="0D57221D" w14:textId="77777777" w:rsidR="0038603C" w:rsidRPr="0005168B" w:rsidRDefault="0038603C" w:rsidP="00462CB9">
      <w:pPr>
        <w:pStyle w:val="Heading2"/>
        <w:rPr>
          <w:rFonts w:cs="Arial"/>
          <w:sz w:val="28"/>
          <w:szCs w:val="28"/>
        </w:rPr>
      </w:pPr>
      <w:bookmarkStart w:id="86" w:name="_Toc239294384"/>
      <w:bookmarkStart w:id="87" w:name="_Toc240666915"/>
      <w:bookmarkStart w:id="88" w:name="_Toc241090889"/>
      <w:r w:rsidRPr="0005168B">
        <w:rPr>
          <w:rFonts w:cs="Arial"/>
          <w:sz w:val="28"/>
          <w:szCs w:val="28"/>
        </w:rPr>
        <w:t>3.2 Study Design</w:t>
      </w:r>
      <w:bookmarkEnd w:id="86"/>
      <w:bookmarkEnd w:id="87"/>
      <w:bookmarkEnd w:id="88"/>
    </w:p>
    <w:p w14:paraId="099E9D09" w14:textId="77777777" w:rsidR="00130280" w:rsidRPr="00C07BB7" w:rsidRDefault="00130280" w:rsidP="00462CB9">
      <w:pPr>
        <w:rPr>
          <w:rFonts w:cs="Arial"/>
        </w:rPr>
      </w:pPr>
      <w:r w:rsidRPr="00C07BB7">
        <w:rPr>
          <w:rFonts w:cs="Arial"/>
        </w:rPr>
        <w:t>The design of this study was a systematic literature review for the purpose of exploring risk factors and management for chronic kidney disease (CKD) in adults aged 18 years and older in the UK. A systematic review was deemed appropriate as it will allow the relevant evidence to be identified, screened, critically appraised and synthesised in a systematic, structured way. This also gives room for epidemiological, clinical, public-health and service-related evidence to be taken into account, acknowledging variations in study type and quality of the methodologies used (Cherry, Boland and Dickson, 2023; Purssell and McCrae, 2024).</w:t>
      </w:r>
    </w:p>
    <w:p w14:paraId="24FB0CE8" w14:textId="54E19BD9" w:rsidR="00130280" w:rsidRPr="00C07BB7" w:rsidRDefault="00130280" w:rsidP="00462CB9">
      <w:pPr>
        <w:rPr>
          <w:rFonts w:cs="Arial"/>
        </w:rPr>
      </w:pPr>
      <w:r w:rsidRPr="00C07BB7">
        <w:rPr>
          <w:rFonts w:cs="Arial"/>
        </w:rPr>
        <w:t>The research question defined in Chapter One guided the review, and it specifically addressed</w:t>
      </w:r>
      <w:r w:rsidR="006315DC">
        <w:rPr>
          <w:rFonts w:cs="Arial"/>
        </w:rPr>
        <w:t xml:space="preserve"> in the</w:t>
      </w:r>
      <w:r w:rsidRPr="00C07BB7">
        <w:rPr>
          <w:rFonts w:cs="Arial"/>
        </w:rPr>
        <w:t xml:space="preserve"> UK adults with CKD or populations that could be relevant to either the risk, progression, prevention or management of CKD. Literature was reviewed initially to set the background of the topic, identify important risk factors and management, and fine-tune the scope of the systematic review.</w:t>
      </w:r>
    </w:p>
    <w:p w14:paraId="4DCAE2B9" w14:textId="097404E2" w:rsidR="0038603C" w:rsidRPr="00C07BB7" w:rsidRDefault="00130280" w:rsidP="00462CB9">
      <w:pPr>
        <w:rPr>
          <w:rFonts w:cs="Arial"/>
        </w:rPr>
      </w:pPr>
      <w:r w:rsidRPr="00C07BB7">
        <w:rPr>
          <w:rFonts w:cs="Arial"/>
        </w:rPr>
        <w:t>The study was conducted sequentially with a structured process of searching databases, assessing eligibility, screening and selecting studies, critical appraisal, extraction of data and thematic synthesis. The detailed search strategy is provided in Section 3.3, the study-selection process outlined in PRISMA is provided in Section 3.4, critical appraisal is provided in Section 3.5, data extraction is provided in Section 3.6, thematic analysis is provided in Section 3.7, and the inclusion and exclusion criteria are provided in Section 3.</w:t>
      </w:r>
      <w:r w:rsidR="007213B5" w:rsidRPr="00C07BB7">
        <w:rPr>
          <w:rFonts w:cs="Arial"/>
        </w:rPr>
        <w:t>3</w:t>
      </w:r>
      <w:r w:rsidRPr="00C07BB7">
        <w:rPr>
          <w:rFonts w:cs="Arial"/>
        </w:rPr>
        <w:t>. These stages offered a clear, step-by-step approach to the research question and objectives of the dissertation.</w:t>
      </w:r>
    </w:p>
    <w:p w14:paraId="7B68B13D" w14:textId="77777777" w:rsidR="0038603C" w:rsidRPr="00251E03" w:rsidRDefault="0038603C" w:rsidP="00462CB9">
      <w:pPr>
        <w:pStyle w:val="Heading2"/>
        <w:rPr>
          <w:rFonts w:cs="Arial"/>
          <w:sz w:val="28"/>
          <w:szCs w:val="28"/>
        </w:rPr>
      </w:pPr>
      <w:bookmarkStart w:id="89" w:name="_Toc239294385"/>
      <w:bookmarkStart w:id="90" w:name="_Toc240666916"/>
      <w:bookmarkStart w:id="91" w:name="_Toc241090890"/>
      <w:r w:rsidRPr="00251E03">
        <w:rPr>
          <w:rFonts w:cs="Arial"/>
          <w:sz w:val="28"/>
          <w:szCs w:val="28"/>
        </w:rPr>
        <w:t>3.3 Search Strategy</w:t>
      </w:r>
      <w:bookmarkEnd w:id="89"/>
      <w:bookmarkEnd w:id="90"/>
      <w:bookmarkEnd w:id="91"/>
    </w:p>
    <w:p w14:paraId="19639465" w14:textId="77761C4B" w:rsidR="00DE7970" w:rsidRPr="00C07BB7" w:rsidRDefault="00DE7970" w:rsidP="00462CB9">
      <w:pPr>
        <w:rPr>
          <w:rFonts w:cs="Arial"/>
          <w:color w:val="000000" w:themeColor="text1"/>
        </w:rPr>
      </w:pPr>
      <w:r w:rsidRPr="00C07BB7">
        <w:rPr>
          <w:rFonts w:cs="Arial"/>
          <w:color w:val="000000" w:themeColor="text1"/>
        </w:rPr>
        <w:t xml:space="preserve">A systematic literature search was conducted to locate recent, peer-reviewed evidence that addressed factors associated with the risk of chronic kidney disease (CKD) and how it should be managed in adults aged 18 years and above in the United Kingdom. </w:t>
      </w:r>
      <w:r w:rsidR="00764647" w:rsidRPr="00C07BB7">
        <w:rPr>
          <w:rFonts w:cs="Arial"/>
          <w:color w:val="000000" w:themeColor="text1"/>
        </w:rPr>
        <w:t>The formal database searches were conducted between 16 July and 5 August 2026, with publications limited to 2020–2026</w:t>
      </w:r>
      <w:r w:rsidRPr="00C07BB7">
        <w:rPr>
          <w:rFonts w:cs="Arial"/>
          <w:color w:val="000000" w:themeColor="text1"/>
        </w:rPr>
        <w:t xml:space="preserve">. The period was chosen to provide up-to-date evidence of detecting, monitoring, risk stratifying, drug treatment, lifestyle changes, digital health and integrated care practice for CKD. Support for the background and methodological framework was provided in earlier conceptual or methodological literature as needed; empirical studies older than 2020 were not included in the systematic synthesis. </w:t>
      </w:r>
    </w:p>
    <w:p w14:paraId="7034627D" w14:textId="18A5835E" w:rsidR="009F139F" w:rsidRPr="00C07BB7" w:rsidRDefault="00DE7970" w:rsidP="00462CB9">
      <w:pPr>
        <w:rPr>
          <w:rFonts w:cs="Arial"/>
          <w:color w:val="000000" w:themeColor="text1"/>
        </w:rPr>
      </w:pPr>
      <w:r w:rsidRPr="00C07BB7">
        <w:rPr>
          <w:rFonts w:cs="Arial"/>
          <w:color w:val="000000" w:themeColor="text1"/>
        </w:rPr>
        <w:t>The review question and main search concepts were aligned to an adapted PICO framework. This ensured a systematic way of defining the population, exposures/interventions, potential comparators, and outcomes of interest. The framework was modified to include observational and intervention evidence and was adapted to include risk-factor studies in the review, as well as management studies. The Population (P) consisted of</w:t>
      </w:r>
      <w:r w:rsidR="006315DC">
        <w:rPr>
          <w:rFonts w:cs="Arial"/>
          <w:color w:val="000000" w:themeColor="text1"/>
        </w:rPr>
        <w:t xml:space="preserve"> the</w:t>
      </w:r>
      <w:r w:rsidRPr="00C07BB7">
        <w:rPr>
          <w:rFonts w:cs="Arial"/>
          <w:color w:val="000000" w:themeColor="text1"/>
        </w:rPr>
        <w:t xml:space="preserve"> UK adults ≥18 years who were either diagnosed with CKD or at risk of CKD. The Intervention/Exposure (I) was comprised of clinical, metabolic, behavioural, social and environmental risk factors, as well as pharmacological, lifestyle and health-service management strategies. Alternative management or lower/no exposure (L/NE) (where applicable) served as the comparator (C) for usual care. The Outcome (O) consisted of occurrence of CKD, progression of CKD, kidney-function outcomes and outcomes related to CKD management. The review was limited to the UK and its constituent countries by the </w:t>
      </w:r>
      <w:r w:rsidR="006315DC" w:rsidRPr="00C07BB7">
        <w:rPr>
          <w:rFonts w:cs="Arial"/>
          <w:color w:val="000000" w:themeColor="text1"/>
        </w:rPr>
        <w:t>setting</w:t>
      </w:r>
      <w:r w:rsidRPr="00C07BB7">
        <w:rPr>
          <w:rFonts w:cs="Arial"/>
          <w:color w:val="000000" w:themeColor="text1"/>
        </w:rPr>
        <w:t xml:space="preserve"> (S). This is in line with the systematic-review guidelines, which suggest first formulating the research question and search terms with a suitable question-formulation framework, and then describing the database-search procedure. </w:t>
      </w:r>
      <w:r w:rsidR="009F139F" w:rsidRPr="00C07BB7">
        <w:rPr>
          <w:rFonts w:cs="Arial"/>
          <w:color w:val="000000" w:themeColor="text1"/>
        </w:rPr>
        <w:t xml:space="preserve"> </w:t>
      </w:r>
    </w:p>
    <w:p w14:paraId="24B34B59" w14:textId="77777777" w:rsidR="009F139F" w:rsidRPr="00811E5D" w:rsidRDefault="009F139F" w:rsidP="00462CB9">
      <w:pPr>
        <w:rPr>
          <w:rFonts w:cs="Arial"/>
          <w:color w:val="000000" w:themeColor="text1"/>
          <w:sz w:val="24"/>
          <w:szCs w:val="24"/>
        </w:rPr>
      </w:pPr>
      <w:r w:rsidRPr="006D0340">
        <w:rPr>
          <w:rFonts w:cs="Arial"/>
          <w:b/>
          <w:bCs/>
          <w:color w:val="000000" w:themeColor="text1"/>
          <w:sz w:val="24"/>
          <w:szCs w:val="24"/>
        </w:rPr>
        <w:t>Table 3.1.</w:t>
      </w:r>
      <w:r w:rsidRPr="00811E5D">
        <w:rPr>
          <w:rFonts w:cs="Arial"/>
          <w:color w:val="000000" w:themeColor="text1"/>
          <w:sz w:val="24"/>
          <w:szCs w:val="24"/>
        </w:rPr>
        <w:t xml:space="preserve"> Adapted PICO Framework and Search Terms</w:t>
      </w:r>
    </w:p>
    <w:tbl>
      <w:tblPr>
        <w:tblStyle w:val="TableGrid"/>
        <w:tblW w:w="0" w:type="auto"/>
        <w:tblInd w:w="108" w:type="dxa"/>
        <w:tblLook w:val="04A0" w:firstRow="1" w:lastRow="0" w:firstColumn="1" w:lastColumn="0" w:noHBand="0" w:noVBand="1"/>
      </w:tblPr>
      <w:tblGrid>
        <w:gridCol w:w="2328"/>
        <w:gridCol w:w="2607"/>
        <w:gridCol w:w="3479"/>
      </w:tblGrid>
      <w:tr w:rsidR="00DE7970" w:rsidRPr="00E669EB" w14:paraId="72D4BDCD" w14:textId="77777777" w:rsidTr="009642A4">
        <w:tc>
          <w:tcPr>
            <w:tcW w:w="2273" w:type="dxa"/>
            <w:hideMark/>
          </w:tcPr>
          <w:p w14:paraId="0D5E6B94" w14:textId="77777777" w:rsidR="009F139F" w:rsidRPr="00E669EB" w:rsidRDefault="009F139F" w:rsidP="00462CB9">
            <w:pPr>
              <w:rPr>
                <w:rFonts w:cs="Arial"/>
                <w:b/>
                <w:bCs/>
                <w:color w:val="000000" w:themeColor="text1"/>
                <w:sz w:val="20"/>
                <w:szCs w:val="20"/>
              </w:rPr>
            </w:pPr>
            <w:r w:rsidRPr="00E669EB">
              <w:rPr>
                <w:rFonts w:cs="Arial"/>
                <w:b/>
                <w:bCs/>
                <w:color w:val="000000" w:themeColor="text1"/>
                <w:sz w:val="20"/>
                <w:szCs w:val="20"/>
              </w:rPr>
              <w:t>Component</w:t>
            </w:r>
          </w:p>
        </w:tc>
        <w:tc>
          <w:tcPr>
            <w:tcW w:w="0" w:type="auto"/>
            <w:hideMark/>
          </w:tcPr>
          <w:p w14:paraId="7A51C2DC" w14:textId="77777777" w:rsidR="009F139F" w:rsidRPr="00E669EB" w:rsidRDefault="009F139F" w:rsidP="00462CB9">
            <w:pPr>
              <w:rPr>
                <w:rFonts w:cs="Arial"/>
                <w:b/>
                <w:bCs/>
                <w:color w:val="000000" w:themeColor="text1"/>
                <w:sz w:val="20"/>
                <w:szCs w:val="20"/>
              </w:rPr>
            </w:pPr>
            <w:r w:rsidRPr="00E669EB">
              <w:rPr>
                <w:rFonts w:cs="Arial"/>
                <w:b/>
                <w:bCs/>
                <w:color w:val="000000" w:themeColor="text1"/>
                <w:sz w:val="20"/>
                <w:szCs w:val="20"/>
              </w:rPr>
              <w:t>Application to the Review</w:t>
            </w:r>
          </w:p>
        </w:tc>
        <w:tc>
          <w:tcPr>
            <w:tcW w:w="0" w:type="auto"/>
            <w:hideMark/>
          </w:tcPr>
          <w:p w14:paraId="2DAD77AC" w14:textId="77777777" w:rsidR="009F139F" w:rsidRPr="00E669EB" w:rsidRDefault="009F139F" w:rsidP="00462CB9">
            <w:pPr>
              <w:rPr>
                <w:rFonts w:cs="Arial"/>
                <w:b/>
                <w:bCs/>
                <w:color w:val="000000" w:themeColor="text1"/>
                <w:sz w:val="20"/>
                <w:szCs w:val="20"/>
              </w:rPr>
            </w:pPr>
            <w:r w:rsidRPr="00E669EB">
              <w:rPr>
                <w:rFonts w:cs="Arial"/>
                <w:b/>
                <w:bCs/>
                <w:color w:val="000000" w:themeColor="text1"/>
                <w:sz w:val="20"/>
                <w:szCs w:val="20"/>
              </w:rPr>
              <w:t>Key Search Terms</w:t>
            </w:r>
          </w:p>
        </w:tc>
      </w:tr>
      <w:tr w:rsidR="00DE7970" w:rsidRPr="00E669EB" w14:paraId="2CAE4B14" w14:textId="77777777" w:rsidTr="009642A4">
        <w:tc>
          <w:tcPr>
            <w:tcW w:w="2273" w:type="dxa"/>
            <w:hideMark/>
          </w:tcPr>
          <w:p w14:paraId="668243C7" w14:textId="77777777" w:rsidR="009F139F" w:rsidRPr="00E669EB" w:rsidRDefault="009F139F" w:rsidP="00462CB9">
            <w:pPr>
              <w:rPr>
                <w:rFonts w:cs="Arial"/>
                <w:color w:val="000000" w:themeColor="text1"/>
                <w:sz w:val="20"/>
                <w:szCs w:val="20"/>
              </w:rPr>
            </w:pPr>
            <w:r w:rsidRPr="00E669EB">
              <w:rPr>
                <w:rFonts w:cs="Arial"/>
                <w:b/>
                <w:bCs/>
                <w:color w:val="000000" w:themeColor="text1"/>
                <w:sz w:val="20"/>
                <w:szCs w:val="20"/>
              </w:rPr>
              <w:t>Population (P)</w:t>
            </w:r>
          </w:p>
        </w:tc>
        <w:tc>
          <w:tcPr>
            <w:tcW w:w="0" w:type="auto"/>
            <w:hideMark/>
          </w:tcPr>
          <w:p w14:paraId="2E6F0F1F"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UK adults aged ≥18 years with CKD or at risk of CKD</w:t>
            </w:r>
          </w:p>
        </w:tc>
        <w:tc>
          <w:tcPr>
            <w:tcW w:w="0" w:type="auto"/>
            <w:hideMark/>
          </w:tcPr>
          <w:p w14:paraId="75A3EC54"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adult*, CKD, “chronic kidney disease”, “chronic renal disease”</w:t>
            </w:r>
          </w:p>
        </w:tc>
      </w:tr>
      <w:tr w:rsidR="00DE7970" w:rsidRPr="00E669EB" w14:paraId="10245F8F" w14:textId="77777777" w:rsidTr="009642A4">
        <w:tc>
          <w:tcPr>
            <w:tcW w:w="2273" w:type="dxa"/>
            <w:hideMark/>
          </w:tcPr>
          <w:p w14:paraId="3582FBC8" w14:textId="77777777" w:rsidR="009F139F" w:rsidRPr="00E669EB" w:rsidRDefault="009F139F" w:rsidP="00462CB9">
            <w:pPr>
              <w:rPr>
                <w:rFonts w:cs="Arial"/>
                <w:color w:val="000000" w:themeColor="text1"/>
                <w:sz w:val="20"/>
                <w:szCs w:val="20"/>
              </w:rPr>
            </w:pPr>
            <w:r w:rsidRPr="00E669EB">
              <w:rPr>
                <w:rFonts w:cs="Arial"/>
                <w:b/>
                <w:bCs/>
                <w:color w:val="000000" w:themeColor="text1"/>
                <w:sz w:val="20"/>
                <w:szCs w:val="20"/>
              </w:rPr>
              <w:t>Intervention/Exposure (I)</w:t>
            </w:r>
          </w:p>
        </w:tc>
        <w:tc>
          <w:tcPr>
            <w:tcW w:w="0" w:type="auto"/>
            <w:hideMark/>
          </w:tcPr>
          <w:p w14:paraId="7D02065D"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CKD risk factors and management strategies</w:t>
            </w:r>
          </w:p>
        </w:tc>
        <w:tc>
          <w:tcPr>
            <w:tcW w:w="0" w:type="auto"/>
            <w:hideMark/>
          </w:tcPr>
          <w:p w14:paraId="51BB0E67"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diabetes, hypertension, obes*, smoking, diet, “physical activity”, treatment, management, “SGLT2 inhibitor*”, “digital health”</w:t>
            </w:r>
          </w:p>
        </w:tc>
      </w:tr>
      <w:tr w:rsidR="00DE7970" w:rsidRPr="00E669EB" w14:paraId="441CFF0F" w14:textId="77777777" w:rsidTr="009642A4">
        <w:tc>
          <w:tcPr>
            <w:tcW w:w="2273" w:type="dxa"/>
            <w:hideMark/>
          </w:tcPr>
          <w:p w14:paraId="5E72B821" w14:textId="77777777" w:rsidR="009F139F" w:rsidRPr="00E669EB" w:rsidRDefault="009F139F" w:rsidP="00462CB9">
            <w:pPr>
              <w:rPr>
                <w:rFonts w:cs="Arial"/>
                <w:color w:val="000000" w:themeColor="text1"/>
                <w:sz w:val="20"/>
                <w:szCs w:val="20"/>
              </w:rPr>
            </w:pPr>
            <w:r w:rsidRPr="00E669EB">
              <w:rPr>
                <w:rFonts w:cs="Arial"/>
                <w:b/>
                <w:bCs/>
                <w:color w:val="000000" w:themeColor="text1"/>
                <w:sz w:val="20"/>
                <w:szCs w:val="20"/>
              </w:rPr>
              <w:t>Comparison (C)</w:t>
            </w:r>
          </w:p>
        </w:tc>
        <w:tc>
          <w:tcPr>
            <w:tcW w:w="0" w:type="auto"/>
            <w:hideMark/>
          </w:tcPr>
          <w:p w14:paraId="720EB941"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Usual care, alternative management, or lower/no exposure where applicable</w:t>
            </w:r>
          </w:p>
        </w:tc>
        <w:tc>
          <w:tcPr>
            <w:tcW w:w="0" w:type="auto"/>
            <w:hideMark/>
          </w:tcPr>
          <w:p w14:paraId="39E5E8B3"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usual care, control, comparator</w:t>
            </w:r>
          </w:p>
        </w:tc>
      </w:tr>
      <w:tr w:rsidR="00DE7970" w:rsidRPr="00E669EB" w14:paraId="42AFF420" w14:textId="77777777" w:rsidTr="009642A4">
        <w:tc>
          <w:tcPr>
            <w:tcW w:w="2273" w:type="dxa"/>
            <w:hideMark/>
          </w:tcPr>
          <w:p w14:paraId="2771A8BC" w14:textId="77777777" w:rsidR="009F139F" w:rsidRPr="00E669EB" w:rsidRDefault="009F139F" w:rsidP="00462CB9">
            <w:pPr>
              <w:rPr>
                <w:rFonts w:cs="Arial"/>
                <w:color w:val="000000" w:themeColor="text1"/>
                <w:sz w:val="20"/>
                <w:szCs w:val="20"/>
              </w:rPr>
            </w:pPr>
            <w:r w:rsidRPr="00E669EB">
              <w:rPr>
                <w:rFonts w:cs="Arial"/>
                <w:b/>
                <w:bCs/>
                <w:color w:val="000000" w:themeColor="text1"/>
                <w:sz w:val="20"/>
                <w:szCs w:val="20"/>
              </w:rPr>
              <w:t>Outcome (O)</w:t>
            </w:r>
          </w:p>
        </w:tc>
        <w:tc>
          <w:tcPr>
            <w:tcW w:w="0" w:type="auto"/>
            <w:hideMark/>
          </w:tcPr>
          <w:p w14:paraId="4E62F64F"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CKD occurrence, progression and management outcomes</w:t>
            </w:r>
          </w:p>
        </w:tc>
        <w:tc>
          <w:tcPr>
            <w:tcW w:w="0" w:type="auto"/>
            <w:hideMark/>
          </w:tcPr>
          <w:p w14:paraId="45900F83"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prevalence, incidence, progression, eGFR, albuminuria, treatment uptake, referral</w:t>
            </w:r>
          </w:p>
        </w:tc>
      </w:tr>
      <w:tr w:rsidR="00DE7970" w:rsidRPr="00E669EB" w14:paraId="2767086B" w14:textId="77777777" w:rsidTr="009642A4">
        <w:tc>
          <w:tcPr>
            <w:tcW w:w="2273" w:type="dxa"/>
            <w:hideMark/>
          </w:tcPr>
          <w:p w14:paraId="733539CD" w14:textId="77777777" w:rsidR="009F139F" w:rsidRPr="00E669EB" w:rsidRDefault="009F139F" w:rsidP="00462CB9">
            <w:pPr>
              <w:rPr>
                <w:rFonts w:cs="Arial"/>
                <w:color w:val="000000" w:themeColor="text1"/>
                <w:sz w:val="20"/>
                <w:szCs w:val="20"/>
              </w:rPr>
            </w:pPr>
            <w:r w:rsidRPr="00E669EB">
              <w:rPr>
                <w:rFonts w:cs="Arial"/>
                <w:b/>
                <w:bCs/>
                <w:color w:val="000000" w:themeColor="text1"/>
                <w:sz w:val="20"/>
                <w:szCs w:val="20"/>
              </w:rPr>
              <w:t>Setting (S)</w:t>
            </w:r>
          </w:p>
        </w:tc>
        <w:tc>
          <w:tcPr>
            <w:tcW w:w="0" w:type="auto"/>
            <w:hideMark/>
          </w:tcPr>
          <w:p w14:paraId="5BF766EE"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United Kingdom and constituent nations</w:t>
            </w:r>
          </w:p>
        </w:tc>
        <w:tc>
          <w:tcPr>
            <w:tcW w:w="0" w:type="auto"/>
            <w:hideMark/>
          </w:tcPr>
          <w:p w14:paraId="3D34A33C"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“United Kingdom”, UK, England, Scotland, Wales, “Northern Ireland”</w:t>
            </w:r>
          </w:p>
        </w:tc>
      </w:tr>
    </w:tbl>
    <w:p w14:paraId="7CF9A7F9" w14:textId="77777777" w:rsidR="004D0B81" w:rsidRPr="00C07BB7" w:rsidRDefault="004D0B81" w:rsidP="00811E5D">
      <w:pPr>
        <w:spacing w:before="240"/>
        <w:rPr>
          <w:rFonts w:cs="Arial"/>
          <w:color w:val="000000" w:themeColor="text1"/>
        </w:rPr>
      </w:pPr>
      <w:r w:rsidRPr="00C07BB7">
        <w:rPr>
          <w:rFonts w:cs="Arial"/>
          <w:color w:val="000000" w:themeColor="text1"/>
        </w:rPr>
        <w:t>Not all included studies needed to have a formal comparator, as observational and qualitative designs may not have a defined comparison group.</w:t>
      </w:r>
    </w:p>
    <w:p w14:paraId="1184C4FA" w14:textId="58081222" w:rsidR="004D0DB5" w:rsidRDefault="004D0B81" w:rsidP="00462CB9">
      <w:pPr>
        <w:rPr>
          <w:rFonts w:cs="Arial"/>
          <w:color w:val="000000" w:themeColor="text1"/>
        </w:rPr>
      </w:pPr>
      <w:r w:rsidRPr="00C07BB7">
        <w:rPr>
          <w:rFonts w:cs="Arial"/>
          <w:color w:val="000000" w:themeColor="text1"/>
        </w:rPr>
        <w:t xml:space="preserve">The following electronic databases were used: MEDLINE (via PubMed), CINAHL (via EBSCOhost), Academic Search Complete (via EBSCOhost), and Web of Science Core Collection (Clarivate). The databases were chosen to complement coverage of </w:t>
      </w:r>
      <w:r w:rsidR="006D0340" w:rsidRPr="00C07BB7">
        <w:rPr>
          <w:rFonts w:cs="Arial"/>
          <w:color w:val="000000" w:themeColor="text1"/>
        </w:rPr>
        <w:t>biomedical</w:t>
      </w:r>
      <w:r w:rsidRPr="00C07BB7">
        <w:rPr>
          <w:rFonts w:cs="Arial"/>
          <w:color w:val="000000" w:themeColor="text1"/>
        </w:rPr>
        <w:t xml:space="preserve">, clinical, nursing, and </w:t>
      </w:r>
      <w:r w:rsidR="008E3A72" w:rsidRPr="00C07BB7">
        <w:rPr>
          <w:rFonts w:cs="Arial"/>
          <w:color w:val="000000" w:themeColor="text1"/>
        </w:rPr>
        <w:t>allied health</w:t>
      </w:r>
      <w:r w:rsidRPr="00C07BB7">
        <w:rPr>
          <w:rFonts w:cs="Arial"/>
          <w:color w:val="000000" w:themeColor="text1"/>
        </w:rPr>
        <w:t xml:space="preserve"> and multidisciplinary public health literature. MEDLINE was more relevant to biomedical and clinical research on CKD, while CINAHL covered nursing, patient-management and self-management evidence. Academic Search Complete extended the public-health search to a multidisciplinary scope, and Web of Science assisted cross-disciplinary searching and citation tracking. </w:t>
      </w:r>
    </w:p>
    <w:p w14:paraId="6EC4AF32" w14:textId="77777777" w:rsidR="004D0DB5" w:rsidRDefault="004D0DB5" w:rsidP="00462CB9">
      <w:pPr>
        <w:rPr>
          <w:rFonts w:cs="Arial"/>
          <w:color w:val="000000" w:themeColor="text1"/>
        </w:rPr>
      </w:pPr>
    </w:p>
    <w:p w14:paraId="382F33EF" w14:textId="77777777" w:rsidR="004D0DB5" w:rsidRDefault="004D0DB5" w:rsidP="00462CB9">
      <w:pPr>
        <w:rPr>
          <w:rFonts w:cs="Arial"/>
          <w:color w:val="000000" w:themeColor="text1"/>
        </w:rPr>
      </w:pPr>
    </w:p>
    <w:p w14:paraId="35560CEE" w14:textId="0A81FF63" w:rsidR="009F139F" w:rsidRDefault="009F139F" w:rsidP="00462CB9">
      <w:pPr>
        <w:rPr>
          <w:rFonts w:cs="Arial"/>
          <w:color w:val="000000" w:themeColor="text1"/>
        </w:rPr>
      </w:pPr>
      <w:r w:rsidRPr="00C07BB7">
        <w:rPr>
          <w:rFonts w:cs="Arial"/>
          <w:color w:val="000000" w:themeColor="text1"/>
        </w:rPr>
        <w:t xml:space="preserve"> </w:t>
      </w:r>
    </w:p>
    <w:p w14:paraId="2CDDBEEC" w14:textId="77777777" w:rsidR="009642A4" w:rsidRDefault="009642A4" w:rsidP="00462CB9">
      <w:pPr>
        <w:rPr>
          <w:rFonts w:cs="Arial"/>
          <w:color w:val="000000" w:themeColor="text1"/>
        </w:rPr>
      </w:pPr>
    </w:p>
    <w:p w14:paraId="51291080" w14:textId="77777777" w:rsidR="009642A4" w:rsidRPr="00C07BB7" w:rsidRDefault="009642A4" w:rsidP="00462CB9">
      <w:pPr>
        <w:rPr>
          <w:rFonts w:cs="Arial"/>
          <w:color w:val="000000" w:themeColor="text1"/>
        </w:rPr>
      </w:pPr>
    </w:p>
    <w:p w14:paraId="413ADBF4" w14:textId="77777777" w:rsidR="009F139F" w:rsidRPr="001277AC" w:rsidRDefault="009F139F" w:rsidP="00462CB9">
      <w:pPr>
        <w:rPr>
          <w:rFonts w:cs="Arial"/>
          <w:color w:val="000000" w:themeColor="text1"/>
          <w:sz w:val="24"/>
          <w:szCs w:val="24"/>
        </w:rPr>
      </w:pPr>
      <w:r w:rsidRPr="006D0340">
        <w:rPr>
          <w:rFonts w:cs="Arial"/>
          <w:b/>
          <w:bCs/>
          <w:color w:val="000000" w:themeColor="text1"/>
          <w:sz w:val="24"/>
          <w:szCs w:val="24"/>
        </w:rPr>
        <w:t>Table 3.2.</w:t>
      </w:r>
      <w:r w:rsidRPr="001277AC">
        <w:rPr>
          <w:rFonts w:cs="Arial"/>
          <w:color w:val="000000" w:themeColor="text1"/>
          <w:sz w:val="24"/>
          <w:szCs w:val="24"/>
        </w:rPr>
        <w:t xml:space="preserve"> Databases Used for the Formal CKD Search</w:t>
      </w:r>
    </w:p>
    <w:tbl>
      <w:tblPr>
        <w:tblStyle w:val="TableGrid"/>
        <w:tblW w:w="0" w:type="auto"/>
        <w:tblLook w:val="04A0" w:firstRow="1" w:lastRow="0" w:firstColumn="1" w:lastColumn="0" w:noHBand="0" w:noVBand="1"/>
      </w:tblPr>
      <w:tblGrid>
        <w:gridCol w:w="2368"/>
        <w:gridCol w:w="1295"/>
        <w:gridCol w:w="1568"/>
        <w:gridCol w:w="3291"/>
      </w:tblGrid>
      <w:tr w:rsidR="004D0B81" w:rsidRPr="009642A4" w14:paraId="17C0FFB8" w14:textId="77777777" w:rsidTr="00DE4C8B">
        <w:tc>
          <w:tcPr>
            <w:tcW w:w="0" w:type="auto"/>
            <w:hideMark/>
          </w:tcPr>
          <w:p w14:paraId="0A150326" w14:textId="77777777" w:rsidR="009F139F" w:rsidRPr="009642A4" w:rsidRDefault="009F139F" w:rsidP="00462CB9">
            <w:pPr>
              <w:rPr>
                <w:rFonts w:cs="Arial"/>
                <w:b/>
                <w:bCs/>
                <w:color w:val="000000" w:themeColor="text1"/>
                <w:sz w:val="20"/>
                <w:szCs w:val="20"/>
              </w:rPr>
            </w:pPr>
            <w:r w:rsidRPr="009642A4">
              <w:rPr>
                <w:rFonts w:cs="Arial"/>
                <w:b/>
                <w:bCs/>
                <w:color w:val="000000" w:themeColor="text1"/>
                <w:sz w:val="20"/>
                <w:szCs w:val="20"/>
              </w:rPr>
              <w:t>Database</w:t>
            </w:r>
          </w:p>
        </w:tc>
        <w:tc>
          <w:tcPr>
            <w:tcW w:w="0" w:type="auto"/>
            <w:hideMark/>
          </w:tcPr>
          <w:p w14:paraId="632684AC" w14:textId="77777777" w:rsidR="009F139F" w:rsidRPr="009642A4" w:rsidRDefault="009F139F" w:rsidP="00462CB9">
            <w:pPr>
              <w:rPr>
                <w:rFonts w:cs="Arial"/>
                <w:b/>
                <w:bCs/>
                <w:color w:val="000000" w:themeColor="text1"/>
                <w:sz w:val="20"/>
                <w:szCs w:val="20"/>
              </w:rPr>
            </w:pPr>
            <w:r w:rsidRPr="009642A4">
              <w:rPr>
                <w:rFonts w:cs="Arial"/>
                <w:b/>
                <w:bCs/>
                <w:color w:val="000000" w:themeColor="text1"/>
                <w:sz w:val="20"/>
                <w:szCs w:val="20"/>
              </w:rPr>
              <w:t>Platform</w:t>
            </w:r>
          </w:p>
        </w:tc>
        <w:tc>
          <w:tcPr>
            <w:tcW w:w="0" w:type="auto"/>
            <w:hideMark/>
          </w:tcPr>
          <w:p w14:paraId="57BC9958" w14:textId="77777777" w:rsidR="009F139F" w:rsidRPr="009642A4" w:rsidRDefault="009F139F" w:rsidP="00462CB9">
            <w:pPr>
              <w:rPr>
                <w:rFonts w:cs="Arial"/>
                <w:b/>
                <w:bCs/>
                <w:color w:val="000000" w:themeColor="text1"/>
                <w:sz w:val="20"/>
                <w:szCs w:val="20"/>
              </w:rPr>
            </w:pPr>
            <w:r w:rsidRPr="009642A4">
              <w:rPr>
                <w:rFonts w:cs="Arial"/>
                <w:b/>
                <w:bCs/>
                <w:color w:val="000000" w:themeColor="text1"/>
                <w:sz w:val="20"/>
                <w:szCs w:val="20"/>
              </w:rPr>
              <w:t>Search Period</w:t>
            </w:r>
          </w:p>
        </w:tc>
        <w:tc>
          <w:tcPr>
            <w:tcW w:w="0" w:type="auto"/>
            <w:hideMark/>
          </w:tcPr>
          <w:p w14:paraId="79539D28" w14:textId="77777777" w:rsidR="009F139F" w:rsidRPr="009642A4" w:rsidRDefault="009F139F" w:rsidP="00462CB9">
            <w:pPr>
              <w:rPr>
                <w:rFonts w:cs="Arial"/>
                <w:b/>
                <w:bCs/>
                <w:color w:val="000000" w:themeColor="text1"/>
                <w:sz w:val="20"/>
                <w:szCs w:val="20"/>
              </w:rPr>
            </w:pPr>
            <w:r w:rsidRPr="009642A4">
              <w:rPr>
                <w:rFonts w:cs="Arial"/>
                <w:b/>
                <w:bCs/>
                <w:color w:val="000000" w:themeColor="text1"/>
                <w:sz w:val="20"/>
                <w:szCs w:val="20"/>
              </w:rPr>
              <w:t>Purpose</w:t>
            </w:r>
          </w:p>
        </w:tc>
      </w:tr>
      <w:tr w:rsidR="004D0B81" w:rsidRPr="009642A4" w14:paraId="57C83710" w14:textId="77777777" w:rsidTr="00DE4C8B">
        <w:tc>
          <w:tcPr>
            <w:tcW w:w="0" w:type="auto"/>
            <w:hideMark/>
          </w:tcPr>
          <w:p w14:paraId="621EF6CE" w14:textId="77777777" w:rsidR="009F139F" w:rsidRPr="009642A4" w:rsidRDefault="009F139F" w:rsidP="00462CB9">
            <w:pPr>
              <w:rPr>
                <w:rFonts w:cs="Arial"/>
                <w:color w:val="000000" w:themeColor="text1"/>
                <w:sz w:val="20"/>
                <w:szCs w:val="20"/>
              </w:rPr>
            </w:pPr>
            <w:r w:rsidRPr="009642A4">
              <w:rPr>
                <w:rFonts w:cs="Arial"/>
                <w:b/>
                <w:bCs/>
                <w:color w:val="000000" w:themeColor="text1"/>
                <w:sz w:val="20"/>
                <w:szCs w:val="20"/>
              </w:rPr>
              <w:t>MEDLINE</w:t>
            </w:r>
          </w:p>
        </w:tc>
        <w:tc>
          <w:tcPr>
            <w:tcW w:w="0" w:type="auto"/>
            <w:hideMark/>
          </w:tcPr>
          <w:p w14:paraId="58EF292E"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PubMed</w:t>
            </w:r>
          </w:p>
        </w:tc>
        <w:tc>
          <w:tcPr>
            <w:tcW w:w="0" w:type="auto"/>
            <w:hideMark/>
          </w:tcPr>
          <w:p w14:paraId="6A0BBC93"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2020–16 July 2026</w:t>
            </w:r>
          </w:p>
        </w:tc>
        <w:tc>
          <w:tcPr>
            <w:tcW w:w="0" w:type="auto"/>
            <w:hideMark/>
          </w:tcPr>
          <w:p w14:paraId="5F4E3EB3"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Biomedical and clinical CKD evidence</w:t>
            </w:r>
          </w:p>
        </w:tc>
      </w:tr>
      <w:tr w:rsidR="004D0B81" w:rsidRPr="009642A4" w14:paraId="6E50B74A" w14:textId="77777777" w:rsidTr="00DE4C8B">
        <w:tc>
          <w:tcPr>
            <w:tcW w:w="0" w:type="auto"/>
            <w:hideMark/>
          </w:tcPr>
          <w:p w14:paraId="36F53914" w14:textId="77777777" w:rsidR="009F139F" w:rsidRPr="009642A4" w:rsidRDefault="009F139F" w:rsidP="00462CB9">
            <w:pPr>
              <w:rPr>
                <w:rFonts w:cs="Arial"/>
                <w:color w:val="000000" w:themeColor="text1"/>
                <w:sz w:val="20"/>
                <w:szCs w:val="20"/>
              </w:rPr>
            </w:pPr>
            <w:r w:rsidRPr="009642A4">
              <w:rPr>
                <w:rFonts w:cs="Arial"/>
                <w:b/>
                <w:bCs/>
                <w:color w:val="000000" w:themeColor="text1"/>
                <w:sz w:val="20"/>
                <w:szCs w:val="20"/>
              </w:rPr>
              <w:t>CINAHL</w:t>
            </w:r>
          </w:p>
        </w:tc>
        <w:tc>
          <w:tcPr>
            <w:tcW w:w="0" w:type="auto"/>
            <w:hideMark/>
          </w:tcPr>
          <w:p w14:paraId="789B8D0D"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EBSCOhost</w:t>
            </w:r>
          </w:p>
        </w:tc>
        <w:tc>
          <w:tcPr>
            <w:tcW w:w="0" w:type="auto"/>
            <w:hideMark/>
          </w:tcPr>
          <w:p w14:paraId="027F354C" w14:textId="22CBDFFD" w:rsidR="009F139F" w:rsidRPr="009642A4" w:rsidRDefault="009F139F" w:rsidP="00462CB9">
            <w:pPr>
              <w:rPr>
                <w:rFonts w:cs="Arial"/>
                <w:color w:val="000000" w:themeColor="text1"/>
                <w:sz w:val="20"/>
                <w:szCs w:val="20"/>
              </w:rPr>
            </w:pPr>
            <w:r w:rsidRPr="009642A4">
              <w:rPr>
                <w:rFonts w:cs="Arial"/>
                <w:color w:val="000000" w:themeColor="text1"/>
                <w:sz w:val="20"/>
                <w:szCs w:val="20"/>
              </w:rPr>
              <w:t>2020–</w:t>
            </w:r>
            <w:r w:rsidR="00DE4C8B" w:rsidRPr="009642A4">
              <w:rPr>
                <w:rFonts w:cs="Arial"/>
                <w:color w:val="000000" w:themeColor="text1"/>
                <w:sz w:val="20"/>
                <w:szCs w:val="20"/>
              </w:rPr>
              <w:t>20</w:t>
            </w:r>
            <w:r w:rsidRPr="009642A4">
              <w:rPr>
                <w:rFonts w:cs="Arial"/>
                <w:color w:val="000000" w:themeColor="text1"/>
                <w:sz w:val="20"/>
                <w:szCs w:val="20"/>
              </w:rPr>
              <w:t xml:space="preserve"> July 2026</w:t>
            </w:r>
          </w:p>
        </w:tc>
        <w:tc>
          <w:tcPr>
            <w:tcW w:w="0" w:type="auto"/>
            <w:hideMark/>
          </w:tcPr>
          <w:p w14:paraId="652C449A"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Nursing and patient-management evidence</w:t>
            </w:r>
          </w:p>
        </w:tc>
      </w:tr>
      <w:tr w:rsidR="004D0B81" w:rsidRPr="009642A4" w14:paraId="51F6A084" w14:textId="77777777" w:rsidTr="00DE4C8B">
        <w:tc>
          <w:tcPr>
            <w:tcW w:w="0" w:type="auto"/>
            <w:hideMark/>
          </w:tcPr>
          <w:p w14:paraId="29947F94" w14:textId="77777777" w:rsidR="009F139F" w:rsidRPr="009642A4" w:rsidRDefault="009F139F" w:rsidP="00462CB9">
            <w:pPr>
              <w:rPr>
                <w:rFonts w:cs="Arial"/>
                <w:color w:val="000000" w:themeColor="text1"/>
                <w:sz w:val="20"/>
                <w:szCs w:val="20"/>
              </w:rPr>
            </w:pPr>
            <w:r w:rsidRPr="009642A4">
              <w:rPr>
                <w:rFonts w:cs="Arial"/>
                <w:b/>
                <w:bCs/>
                <w:color w:val="000000" w:themeColor="text1"/>
                <w:sz w:val="20"/>
                <w:szCs w:val="20"/>
              </w:rPr>
              <w:t>Academic Search Complete</w:t>
            </w:r>
          </w:p>
        </w:tc>
        <w:tc>
          <w:tcPr>
            <w:tcW w:w="0" w:type="auto"/>
            <w:hideMark/>
          </w:tcPr>
          <w:p w14:paraId="40EF279C"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EBSCOhost</w:t>
            </w:r>
          </w:p>
        </w:tc>
        <w:tc>
          <w:tcPr>
            <w:tcW w:w="0" w:type="auto"/>
            <w:hideMark/>
          </w:tcPr>
          <w:p w14:paraId="31CF5328" w14:textId="76DD8962" w:rsidR="009F139F" w:rsidRPr="009642A4" w:rsidRDefault="009F139F" w:rsidP="00462CB9">
            <w:pPr>
              <w:rPr>
                <w:rFonts w:cs="Arial"/>
                <w:color w:val="000000" w:themeColor="text1"/>
                <w:sz w:val="20"/>
                <w:szCs w:val="20"/>
              </w:rPr>
            </w:pPr>
            <w:r w:rsidRPr="009642A4">
              <w:rPr>
                <w:rFonts w:cs="Arial"/>
                <w:color w:val="000000" w:themeColor="text1"/>
                <w:sz w:val="20"/>
                <w:szCs w:val="20"/>
              </w:rPr>
              <w:t>2020–</w:t>
            </w:r>
            <w:r w:rsidR="00DE4C8B" w:rsidRPr="009642A4">
              <w:rPr>
                <w:rFonts w:cs="Arial"/>
                <w:color w:val="000000" w:themeColor="text1"/>
                <w:sz w:val="20"/>
                <w:szCs w:val="20"/>
              </w:rPr>
              <w:t>29</w:t>
            </w:r>
            <w:r w:rsidRPr="009642A4">
              <w:rPr>
                <w:rFonts w:cs="Arial"/>
                <w:color w:val="000000" w:themeColor="text1"/>
                <w:sz w:val="20"/>
                <w:szCs w:val="20"/>
              </w:rPr>
              <w:t xml:space="preserve"> July 2026</w:t>
            </w:r>
          </w:p>
        </w:tc>
        <w:tc>
          <w:tcPr>
            <w:tcW w:w="0" w:type="auto"/>
            <w:hideMark/>
          </w:tcPr>
          <w:p w14:paraId="79B5E3F1"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Multidisciplinary public-health evidence</w:t>
            </w:r>
          </w:p>
        </w:tc>
      </w:tr>
      <w:tr w:rsidR="004D0B81" w:rsidRPr="009642A4" w14:paraId="335343C6" w14:textId="77777777" w:rsidTr="00DE4C8B">
        <w:tc>
          <w:tcPr>
            <w:tcW w:w="0" w:type="auto"/>
            <w:hideMark/>
          </w:tcPr>
          <w:p w14:paraId="7D78CD7A" w14:textId="77777777" w:rsidR="009F139F" w:rsidRPr="009642A4" w:rsidRDefault="009F139F" w:rsidP="00462CB9">
            <w:pPr>
              <w:rPr>
                <w:rFonts w:cs="Arial"/>
                <w:color w:val="000000" w:themeColor="text1"/>
                <w:sz w:val="20"/>
                <w:szCs w:val="20"/>
              </w:rPr>
            </w:pPr>
            <w:r w:rsidRPr="009642A4">
              <w:rPr>
                <w:rFonts w:cs="Arial"/>
                <w:b/>
                <w:bCs/>
                <w:color w:val="000000" w:themeColor="text1"/>
                <w:sz w:val="20"/>
                <w:szCs w:val="20"/>
              </w:rPr>
              <w:t>Web of Science Core Collection</w:t>
            </w:r>
          </w:p>
        </w:tc>
        <w:tc>
          <w:tcPr>
            <w:tcW w:w="0" w:type="auto"/>
            <w:hideMark/>
          </w:tcPr>
          <w:p w14:paraId="1E6FC63F"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Clarivate</w:t>
            </w:r>
          </w:p>
        </w:tc>
        <w:tc>
          <w:tcPr>
            <w:tcW w:w="0" w:type="auto"/>
            <w:hideMark/>
          </w:tcPr>
          <w:p w14:paraId="41151B5B" w14:textId="60682F56" w:rsidR="009F139F" w:rsidRPr="009642A4" w:rsidRDefault="009F139F" w:rsidP="00462CB9">
            <w:pPr>
              <w:rPr>
                <w:rFonts w:cs="Arial"/>
                <w:color w:val="000000" w:themeColor="text1"/>
                <w:sz w:val="20"/>
                <w:szCs w:val="20"/>
              </w:rPr>
            </w:pPr>
            <w:r w:rsidRPr="009642A4">
              <w:rPr>
                <w:rFonts w:cs="Arial"/>
                <w:color w:val="000000" w:themeColor="text1"/>
                <w:sz w:val="20"/>
                <w:szCs w:val="20"/>
              </w:rPr>
              <w:t>2020–</w:t>
            </w:r>
            <w:r w:rsidR="00DE4C8B" w:rsidRPr="009642A4">
              <w:rPr>
                <w:rFonts w:cs="Arial"/>
                <w:color w:val="000000" w:themeColor="text1"/>
                <w:sz w:val="20"/>
                <w:szCs w:val="20"/>
              </w:rPr>
              <w:t>5</w:t>
            </w:r>
            <w:r w:rsidRPr="009642A4">
              <w:rPr>
                <w:rFonts w:cs="Arial"/>
                <w:color w:val="000000" w:themeColor="text1"/>
                <w:sz w:val="20"/>
                <w:szCs w:val="20"/>
              </w:rPr>
              <w:t xml:space="preserve"> </w:t>
            </w:r>
            <w:r w:rsidR="00DE4C8B" w:rsidRPr="009642A4">
              <w:rPr>
                <w:rFonts w:cs="Arial"/>
                <w:color w:val="000000" w:themeColor="text1"/>
                <w:sz w:val="20"/>
                <w:szCs w:val="20"/>
              </w:rPr>
              <w:t>August</w:t>
            </w:r>
            <w:r w:rsidRPr="009642A4">
              <w:rPr>
                <w:rFonts w:cs="Arial"/>
                <w:color w:val="000000" w:themeColor="text1"/>
                <w:sz w:val="20"/>
                <w:szCs w:val="20"/>
              </w:rPr>
              <w:t xml:space="preserve"> 2026</w:t>
            </w:r>
          </w:p>
        </w:tc>
        <w:tc>
          <w:tcPr>
            <w:tcW w:w="0" w:type="auto"/>
            <w:hideMark/>
          </w:tcPr>
          <w:p w14:paraId="61C73BF0"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Cross-disciplinary and citation-tracking evidence</w:t>
            </w:r>
          </w:p>
        </w:tc>
      </w:tr>
    </w:tbl>
    <w:p w14:paraId="1C5BD7C0" w14:textId="5E0E30B2" w:rsidR="009F139F" w:rsidRPr="00C07BB7" w:rsidRDefault="00FE225E" w:rsidP="00356B02">
      <w:pPr>
        <w:spacing w:before="240"/>
        <w:rPr>
          <w:rFonts w:cs="Arial"/>
          <w:color w:val="000000" w:themeColor="text1"/>
        </w:rPr>
      </w:pPr>
      <w:r w:rsidRPr="00C07BB7">
        <w:rPr>
          <w:rFonts w:cs="Arial"/>
          <w:color w:val="000000" w:themeColor="text1"/>
        </w:rPr>
        <w:t xml:space="preserve">The search strategy was designed in four main concept blocks: CKD, adults, United Kingdom and risk factors or management strategies. The following terms were used to describe the disease of the kidneys: chronic kidney disease, CKD, chronic renal disease, kidney function decline and renal insufficiency. Population terms: adult*, “aged 18 years and over”. UK related terms: “United Kingdom”, UK, England, Scotland, Wales, “Northern Ireland”, British. Risk-factor and management terms: risk factor*, prevalence, incidence, progression, diabetes, hypertension, obes*, smoking, ethnicity, deprivation, diet, “physical activity”, management, treatment, intervention*, screening, “SGLT2 inhibitor*”, lifestyle, “digital health”, “self-management”, “integrated care”. </w:t>
      </w:r>
      <w:r w:rsidR="009F139F" w:rsidRPr="00C07BB7">
        <w:rPr>
          <w:rFonts w:cs="Arial"/>
          <w:color w:val="000000" w:themeColor="text1"/>
        </w:rPr>
        <w:t xml:space="preserve"> </w:t>
      </w:r>
    </w:p>
    <w:p w14:paraId="25AECC7E" w14:textId="77777777" w:rsidR="00DE4C8B" w:rsidRPr="00C07BB7" w:rsidRDefault="00DE4C8B" w:rsidP="00462CB9">
      <w:pPr>
        <w:jc w:val="center"/>
        <w:rPr>
          <w:rFonts w:cs="Arial"/>
          <w:color w:val="FF0000"/>
        </w:rPr>
      </w:pPr>
      <w:r w:rsidRPr="00C07BB7">
        <w:rPr>
          <w:rFonts w:cs="Arial"/>
          <w:noProof/>
          <w:color w:val="FF0000"/>
        </w:rPr>
        <w:drawing>
          <wp:inline distT="0" distB="0" distL="0" distR="0" wp14:anchorId="0B088BE5" wp14:editId="500DBA1A">
            <wp:extent cx="4342130" cy="2001439"/>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kyf_fig3_2_search.png"/>
                    <pic:cNvPicPr/>
                  </pic:nvPicPr>
                  <pic:blipFill rotWithShape="1">
                    <a:blip r:embed="rId14"/>
                    <a:srcRect t="14536" b="14781"/>
                    <a:stretch/>
                  </pic:blipFill>
                  <pic:spPr bwMode="auto">
                    <a:xfrm>
                      <a:off x="0" y="0"/>
                      <a:ext cx="4359730" cy="2009551"/>
                    </a:xfrm>
                    <a:prstGeom prst="rect">
                      <a:avLst/>
                    </a:prstGeom>
                    <a:ln>
                      <a:noFill/>
                    </a:ln>
                    <a:extLst>
                      <a:ext uri="{53640926-AAD7-44D8-BBD7-CCE9431645EC}">
                        <a14:shadowObscured xmlns:a14="http://schemas.microsoft.com/office/drawing/2010/main"/>
                      </a:ext>
                    </a:extLst>
                  </pic:spPr>
                </pic:pic>
              </a:graphicData>
            </a:graphic>
          </wp:inline>
        </w:drawing>
      </w:r>
    </w:p>
    <w:p w14:paraId="3DE7B585" w14:textId="77777777" w:rsidR="00DE4C8B" w:rsidRPr="00C07BB7" w:rsidRDefault="00DE4C8B" w:rsidP="00462CB9">
      <w:pPr>
        <w:jc w:val="center"/>
        <w:rPr>
          <w:rFonts w:cs="Arial"/>
          <w:i/>
          <w:iCs/>
          <w:color w:val="000000" w:themeColor="text1"/>
        </w:rPr>
      </w:pPr>
      <w:r w:rsidRPr="00C07BB7">
        <w:rPr>
          <w:rFonts w:cs="Arial"/>
          <w:i/>
          <w:iCs/>
          <w:color w:val="000000" w:themeColor="text1"/>
        </w:rPr>
        <w:t>Figure 3.1. Topic-specific search concept structure</w:t>
      </w:r>
    </w:p>
    <w:p w14:paraId="7D2B8E8C" w14:textId="77777777" w:rsidR="00DE4C8B" w:rsidRPr="00C07BB7" w:rsidRDefault="00DE4C8B" w:rsidP="00462CB9">
      <w:pPr>
        <w:rPr>
          <w:rFonts w:cs="Arial"/>
          <w:i/>
          <w:iCs/>
          <w:color w:val="000000" w:themeColor="text1"/>
          <w:sz w:val="20"/>
          <w:szCs w:val="18"/>
        </w:rPr>
      </w:pPr>
      <w:r w:rsidRPr="00C07BB7">
        <w:rPr>
          <w:rFonts w:cs="Arial"/>
          <w:i/>
          <w:iCs/>
          <w:color w:val="000000" w:themeColor="text1"/>
          <w:sz w:val="20"/>
          <w:szCs w:val="18"/>
        </w:rPr>
        <w:t>Master search logic: (CKD terms) AND (adult terms) AND (UK terms) AND (risk-factor OR management terms).</w:t>
      </w:r>
    </w:p>
    <w:p w14:paraId="196EAF55" w14:textId="21A1A5C8" w:rsidR="00FE225E" w:rsidRPr="00C07BB7" w:rsidRDefault="00FE225E" w:rsidP="00462CB9">
      <w:pPr>
        <w:rPr>
          <w:rFonts w:cs="Arial"/>
          <w:color w:val="000000" w:themeColor="text1"/>
        </w:rPr>
      </w:pPr>
      <w:r w:rsidRPr="00C07BB7">
        <w:rPr>
          <w:rFonts w:cs="Arial"/>
          <w:color w:val="000000" w:themeColor="text1"/>
        </w:rPr>
        <w:t xml:space="preserve">The overall Boolean search strategy was (CKD terms) AND (adult terms) AND (UK terms) AND (risk-factor OR management terms). Each database's indexing and search function was incorporated into the master strategy. The sources used were PubMed's MeSH and free-text terms, CINAHL subject headings and free-text terms, Academic Search </w:t>
      </w:r>
      <w:r w:rsidR="008E3A72" w:rsidRPr="00C07BB7">
        <w:rPr>
          <w:rFonts w:cs="Arial"/>
          <w:color w:val="000000" w:themeColor="text1"/>
        </w:rPr>
        <w:t>Completes</w:t>
      </w:r>
      <w:r w:rsidRPr="00C07BB7">
        <w:rPr>
          <w:rFonts w:cs="Arial"/>
          <w:color w:val="000000" w:themeColor="text1"/>
        </w:rPr>
        <w:t xml:space="preserve"> keyword-field searching and Web of Science's topic-field searching. Boolean operators, phrase searching, truncation and database-specific field codes were modified as needed. Search dates, exact strings of the databases searched, limits and numbers of results retrieved were documented in a search log, which adheres to PRISMA-S principles (Rethlefsen et al., 2021) for transparency and reproducibility. </w:t>
      </w:r>
    </w:p>
    <w:p w14:paraId="7DD875DC" w14:textId="763C5D45" w:rsidR="009F139F" w:rsidRPr="00C07BB7" w:rsidRDefault="00FE225E" w:rsidP="00462CB9">
      <w:pPr>
        <w:rPr>
          <w:rFonts w:cs="Arial"/>
          <w:color w:val="000000" w:themeColor="text1"/>
        </w:rPr>
      </w:pPr>
      <w:r w:rsidRPr="00C07BB7">
        <w:rPr>
          <w:rFonts w:cs="Arial"/>
          <w:color w:val="000000" w:themeColor="text1"/>
        </w:rPr>
        <w:t xml:space="preserve">Reference-list checking and forward citation searching were added to the general searching as supplementary searches. All retrieved records were downloaded into a reference-management system, duplicates were eliminated, and titles and abstracts were checked for eligibility according to pre-established criteria. Potentially relevant records progressed to full-text assessment. One reviewer screened, and a structured screening log was kept </w:t>
      </w:r>
      <w:r w:rsidR="00205FE3" w:rsidRPr="00C07BB7">
        <w:rPr>
          <w:rFonts w:cs="Arial"/>
          <w:color w:val="000000" w:themeColor="text1"/>
        </w:rPr>
        <w:t>ensuring</w:t>
      </w:r>
      <w:r w:rsidRPr="00C07BB7">
        <w:rPr>
          <w:rFonts w:cs="Arial"/>
          <w:color w:val="000000" w:themeColor="text1"/>
        </w:rPr>
        <w:t xml:space="preserve"> transparency and minimise the risk of selection and judgement bias. In Section 3.4, the following study-selection process is reported using the PRISMA framework.</w:t>
      </w:r>
      <w:r w:rsidR="009F139F" w:rsidRPr="00C07BB7">
        <w:rPr>
          <w:rFonts w:cs="Arial"/>
          <w:color w:val="000000" w:themeColor="text1"/>
        </w:rPr>
        <w:t xml:space="preserve"> </w:t>
      </w:r>
    </w:p>
    <w:p w14:paraId="36EC3A4D" w14:textId="53857BAA" w:rsidR="000D4C48" w:rsidRPr="009642A4" w:rsidRDefault="000B3C1F" w:rsidP="001B1E45">
      <w:pPr>
        <w:pStyle w:val="Heading2"/>
        <w:rPr>
          <w:sz w:val="28"/>
          <w:szCs w:val="28"/>
        </w:rPr>
      </w:pPr>
      <w:bookmarkStart w:id="92" w:name="_Toc239294390"/>
      <w:bookmarkStart w:id="93" w:name="_Toc241090891"/>
      <w:r w:rsidRPr="009642A4">
        <w:rPr>
          <w:sz w:val="28"/>
          <w:szCs w:val="28"/>
        </w:rPr>
        <w:t xml:space="preserve">3.4 </w:t>
      </w:r>
      <w:r w:rsidR="000D4C48" w:rsidRPr="009642A4">
        <w:rPr>
          <w:sz w:val="28"/>
          <w:szCs w:val="28"/>
        </w:rPr>
        <w:t>Inclusion and Exclusion Criteria</w:t>
      </w:r>
      <w:bookmarkEnd w:id="92"/>
      <w:bookmarkEnd w:id="93"/>
    </w:p>
    <w:p w14:paraId="1F856135" w14:textId="6E43E4AA" w:rsidR="000D4C48" w:rsidRPr="00C07BB7" w:rsidRDefault="000D4C48" w:rsidP="00462CB9">
      <w:pPr>
        <w:rPr>
          <w:rFonts w:cs="Arial"/>
        </w:rPr>
      </w:pPr>
      <w:r w:rsidRPr="00C07BB7">
        <w:rPr>
          <w:rFonts w:cs="Arial"/>
        </w:rPr>
        <w:t>To ensure consistency between the research question and the studies selected, eligibility criteria were established prior to screening. Included studies evaluated adults aged ≥18 years, were conducted in the UK or included</w:t>
      </w:r>
      <w:r w:rsidR="00F64A0E">
        <w:rPr>
          <w:rFonts w:cs="Arial"/>
        </w:rPr>
        <w:t xml:space="preserve"> the</w:t>
      </w:r>
      <w:r w:rsidRPr="00C07BB7">
        <w:rPr>
          <w:rFonts w:cs="Arial"/>
        </w:rPr>
        <w:t xml:space="preserve"> UK data, studied defined CKD or a population with potential for CKD, included prevalence, risk, progression or management, included empirical research, were published in English from 2020 to 2026, and provided full text. Eligible study designs were observational, intervention, qualitative and mixed </w:t>
      </w:r>
      <w:r w:rsidR="008E3A72" w:rsidRPr="00C07BB7">
        <w:rPr>
          <w:rFonts w:cs="Arial"/>
        </w:rPr>
        <w:t>methods</w:t>
      </w:r>
      <w:r w:rsidR="008E3A72">
        <w:rPr>
          <w:rFonts w:cs="Arial"/>
        </w:rPr>
        <w:t>, The</w:t>
      </w:r>
      <w:r w:rsidRPr="00C07BB7">
        <w:rPr>
          <w:rFonts w:cs="Arial"/>
        </w:rPr>
        <w:t xml:space="preserve"> UK Biobank studies were allowed; however, representativeness was taken into account when appraising.</w:t>
      </w:r>
    </w:p>
    <w:p w14:paraId="5AEF01CC" w14:textId="77777777" w:rsidR="000D4C48" w:rsidRPr="00C07BB7" w:rsidRDefault="000D4C48" w:rsidP="00462CB9">
      <w:pPr>
        <w:rPr>
          <w:rFonts w:cs="Arial"/>
        </w:rPr>
      </w:pPr>
      <w:r w:rsidRPr="00C07BB7">
        <w:rPr>
          <w:rFonts w:cs="Arial"/>
        </w:rPr>
        <w:t>Excluded evidence included child-only studies, studies that did not report separately from other studies in the UK, acute kidney injury studies that did not have a CKD outcome, animal or laboratory studies, editorials, letters, protocols, commentaries, and other non-empirical publications. Background interpretation or citation chasing could be supported via systematic review and official guidance, but these were not recognised as a primary empirical study for the main synthesis. These criteria were better for relevance, but also for language, publication and date-restriction bias.</w:t>
      </w:r>
    </w:p>
    <w:p w14:paraId="33E2B94C" w14:textId="77777777" w:rsidR="00205FE3" w:rsidRDefault="00205FE3" w:rsidP="00462CB9">
      <w:pPr>
        <w:rPr>
          <w:rFonts w:cs="Arial"/>
          <w:sz w:val="24"/>
          <w:szCs w:val="24"/>
        </w:rPr>
      </w:pPr>
    </w:p>
    <w:p w14:paraId="2E6DC72C" w14:textId="77777777" w:rsidR="00205FE3" w:rsidRDefault="00205FE3" w:rsidP="00462CB9">
      <w:pPr>
        <w:rPr>
          <w:rFonts w:cs="Arial"/>
          <w:sz w:val="24"/>
          <w:szCs w:val="24"/>
        </w:rPr>
      </w:pPr>
    </w:p>
    <w:p w14:paraId="1E24DD42" w14:textId="1C927090" w:rsidR="000D4C48" w:rsidRPr="001B1E45" w:rsidRDefault="000D4C48" w:rsidP="00462CB9">
      <w:pPr>
        <w:rPr>
          <w:rFonts w:cs="Arial"/>
          <w:sz w:val="24"/>
          <w:szCs w:val="24"/>
        </w:rPr>
      </w:pPr>
      <w:r w:rsidRPr="006D0340">
        <w:rPr>
          <w:rFonts w:cs="Arial"/>
          <w:b/>
          <w:bCs/>
          <w:sz w:val="24"/>
          <w:szCs w:val="24"/>
        </w:rPr>
        <w:t>Table 3.4:</w:t>
      </w:r>
      <w:r w:rsidRPr="001B1E45">
        <w:rPr>
          <w:rFonts w:cs="Arial"/>
          <w:sz w:val="24"/>
          <w:szCs w:val="24"/>
        </w:rPr>
        <w:t xml:space="preserve"> Inclusion and </w:t>
      </w:r>
      <w:r w:rsidR="006D0340" w:rsidRPr="001B1E45">
        <w:rPr>
          <w:rFonts w:cs="Arial"/>
          <w:sz w:val="24"/>
          <w:szCs w:val="24"/>
        </w:rPr>
        <w:t>Exclusion Criteria</w:t>
      </w:r>
    </w:p>
    <w:tbl>
      <w:tblPr>
        <w:tblStyle w:val="TableGrid"/>
        <w:tblW w:w="0" w:type="auto"/>
        <w:jc w:val="center"/>
        <w:tblLook w:val="04A0" w:firstRow="1" w:lastRow="0" w:firstColumn="1" w:lastColumn="0" w:noHBand="0" w:noVBand="1"/>
      </w:tblPr>
      <w:tblGrid>
        <w:gridCol w:w="1578"/>
        <w:gridCol w:w="3500"/>
        <w:gridCol w:w="3368"/>
      </w:tblGrid>
      <w:tr w:rsidR="000D4C48" w:rsidRPr="001B1E45" w14:paraId="6D5A1F14" w14:textId="77777777" w:rsidTr="00976787">
        <w:trPr>
          <w:jc w:val="center"/>
        </w:trPr>
        <w:tc>
          <w:tcPr>
            <w:tcW w:w="1620" w:type="dxa"/>
            <w:tcMar>
              <w:top w:w="70" w:type="dxa"/>
              <w:left w:w="70" w:type="dxa"/>
              <w:bottom w:w="70" w:type="dxa"/>
              <w:right w:w="70" w:type="dxa"/>
            </w:tcMar>
          </w:tcPr>
          <w:p w14:paraId="0748E0E8" w14:textId="77777777" w:rsidR="000D4C48" w:rsidRPr="00A934BF" w:rsidRDefault="000D4C48" w:rsidP="003B6BA5">
            <w:pPr>
              <w:jc w:val="center"/>
              <w:rPr>
                <w:rFonts w:cs="Arial"/>
                <w:b/>
                <w:bCs/>
                <w:sz w:val="20"/>
                <w:szCs w:val="20"/>
              </w:rPr>
            </w:pPr>
            <w:r w:rsidRPr="00A934BF">
              <w:rPr>
                <w:rFonts w:cs="Arial"/>
                <w:b/>
                <w:bCs/>
                <w:sz w:val="20"/>
                <w:szCs w:val="20"/>
              </w:rPr>
              <w:t>Criterion</w:t>
            </w:r>
          </w:p>
        </w:tc>
        <w:tc>
          <w:tcPr>
            <w:tcW w:w="4140" w:type="dxa"/>
            <w:tcMar>
              <w:top w:w="70" w:type="dxa"/>
              <w:left w:w="70" w:type="dxa"/>
              <w:bottom w:w="70" w:type="dxa"/>
              <w:right w:w="70" w:type="dxa"/>
            </w:tcMar>
          </w:tcPr>
          <w:p w14:paraId="11E8D30A" w14:textId="77777777" w:rsidR="000D4C48" w:rsidRPr="00A934BF" w:rsidRDefault="000D4C48" w:rsidP="003B6BA5">
            <w:pPr>
              <w:jc w:val="center"/>
              <w:rPr>
                <w:rFonts w:cs="Arial"/>
                <w:b/>
                <w:bCs/>
                <w:sz w:val="20"/>
                <w:szCs w:val="20"/>
              </w:rPr>
            </w:pPr>
            <w:r w:rsidRPr="00A934BF">
              <w:rPr>
                <w:rFonts w:cs="Arial"/>
                <w:b/>
                <w:bCs/>
                <w:sz w:val="20"/>
                <w:szCs w:val="20"/>
              </w:rPr>
              <w:t>Include</w:t>
            </w:r>
          </w:p>
        </w:tc>
        <w:tc>
          <w:tcPr>
            <w:tcW w:w="3888" w:type="dxa"/>
            <w:tcMar>
              <w:top w:w="70" w:type="dxa"/>
              <w:left w:w="70" w:type="dxa"/>
              <w:bottom w:w="70" w:type="dxa"/>
              <w:right w:w="70" w:type="dxa"/>
            </w:tcMar>
          </w:tcPr>
          <w:p w14:paraId="2BF4E74C" w14:textId="77777777" w:rsidR="000D4C48" w:rsidRPr="00A934BF" w:rsidRDefault="000D4C48" w:rsidP="003B6BA5">
            <w:pPr>
              <w:jc w:val="center"/>
              <w:rPr>
                <w:rFonts w:cs="Arial"/>
                <w:b/>
                <w:bCs/>
                <w:sz w:val="20"/>
                <w:szCs w:val="20"/>
              </w:rPr>
            </w:pPr>
            <w:r w:rsidRPr="00A934BF">
              <w:rPr>
                <w:rFonts w:cs="Arial"/>
                <w:b/>
                <w:bCs/>
                <w:sz w:val="20"/>
                <w:szCs w:val="20"/>
              </w:rPr>
              <w:t>Exclude</w:t>
            </w:r>
          </w:p>
        </w:tc>
      </w:tr>
      <w:tr w:rsidR="000D4C48" w:rsidRPr="001B1E45" w14:paraId="6ED2DA59" w14:textId="77777777" w:rsidTr="00976787">
        <w:trPr>
          <w:jc w:val="center"/>
        </w:trPr>
        <w:tc>
          <w:tcPr>
            <w:tcW w:w="1620" w:type="dxa"/>
            <w:tcMar>
              <w:top w:w="70" w:type="dxa"/>
              <w:left w:w="70" w:type="dxa"/>
              <w:bottom w:w="70" w:type="dxa"/>
              <w:right w:w="70" w:type="dxa"/>
            </w:tcMar>
          </w:tcPr>
          <w:p w14:paraId="3567459E" w14:textId="77777777" w:rsidR="000D4C48" w:rsidRPr="001B1E45" w:rsidRDefault="000D4C48" w:rsidP="00462CB9">
            <w:pPr>
              <w:rPr>
                <w:rFonts w:cs="Arial"/>
                <w:sz w:val="20"/>
                <w:szCs w:val="20"/>
              </w:rPr>
            </w:pPr>
            <w:r w:rsidRPr="001B1E45">
              <w:rPr>
                <w:rFonts w:cs="Arial"/>
                <w:sz w:val="20"/>
                <w:szCs w:val="20"/>
              </w:rPr>
              <w:t>Population</w:t>
            </w:r>
          </w:p>
        </w:tc>
        <w:tc>
          <w:tcPr>
            <w:tcW w:w="4140" w:type="dxa"/>
            <w:tcMar>
              <w:top w:w="70" w:type="dxa"/>
              <w:left w:w="70" w:type="dxa"/>
              <w:bottom w:w="70" w:type="dxa"/>
              <w:right w:w="70" w:type="dxa"/>
            </w:tcMar>
          </w:tcPr>
          <w:p w14:paraId="55E681E8" w14:textId="77777777" w:rsidR="000D4C48" w:rsidRPr="001B1E45" w:rsidRDefault="000D4C48" w:rsidP="00462CB9">
            <w:pPr>
              <w:rPr>
                <w:rFonts w:cs="Arial"/>
                <w:sz w:val="20"/>
                <w:szCs w:val="20"/>
              </w:rPr>
            </w:pPr>
            <w:r w:rsidRPr="001B1E45">
              <w:rPr>
                <w:rFonts w:cs="Arial"/>
                <w:sz w:val="20"/>
                <w:szCs w:val="20"/>
              </w:rPr>
              <w:t>Adults aged ≥18 years</w:t>
            </w:r>
          </w:p>
        </w:tc>
        <w:tc>
          <w:tcPr>
            <w:tcW w:w="3888" w:type="dxa"/>
            <w:tcMar>
              <w:top w:w="70" w:type="dxa"/>
              <w:left w:w="70" w:type="dxa"/>
              <w:bottom w:w="70" w:type="dxa"/>
              <w:right w:w="70" w:type="dxa"/>
            </w:tcMar>
          </w:tcPr>
          <w:p w14:paraId="07129460" w14:textId="77777777" w:rsidR="000D4C48" w:rsidRPr="001B1E45" w:rsidRDefault="000D4C48" w:rsidP="00462CB9">
            <w:pPr>
              <w:rPr>
                <w:rFonts w:cs="Arial"/>
                <w:sz w:val="20"/>
                <w:szCs w:val="20"/>
              </w:rPr>
            </w:pPr>
            <w:r w:rsidRPr="001B1E45">
              <w:rPr>
                <w:rFonts w:cs="Arial"/>
                <w:sz w:val="20"/>
                <w:szCs w:val="20"/>
              </w:rPr>
              <w:t>Child/adolescent-only samples</w:t>
            </w:r>
          </w:p>
        </w:tc>
      </w:tr>
      <w:tr w:rsidR="000D4C48" w:rsidRPr="001B1E45" w14:paraId="351F9BF5" w14:textId="77777777" w:rsidTr="00976787">
        <w:trPr>
          <w:jc w:val="center"/>
        </w:trPr>
        <w:tc>
          <w:tcPr>
            <w:tcW w:w="1620" w:type="dxa"/>
            <w:tcMar>
              <w:top w:w="70" w:type="dxa"/>
              <w:left w:w="70" w:type="dxa"/>
              <w:bottom w:w="70" w:type="dxa"/>
              <w:right w:w="70" w:type="dxa"/>
            </w:tcMar>
          </w:tcPr>
          <w:p w14:paraId="2A0F805E" w14:textId="77777777" w:rsidR="000D4C48" w:rsidRPr="001B1E45" w:rsidRDefault="000D4C48" w:rsidP="00462CB9">
            <w:pPr>
              <w:rPr>
                <w:rFonts w:cs="Arial"/>
                <w:sz w:val="20"/>
                <w:szCs w:val="20"/>
              </w:rPr>
            </w:pPr>
            <w:r w:rsidRPr="001B1E45">
              <w:rPr>
                <w:rFonts w:cs="Arial"/>
                <w:sz w:val="20"/>
                <w:szCs w:val="20"/>
              </w:rPr>
              <w:t>Geography</w:t>
            </w:r>
          </w:p>
        </w:tc>
        <w:tc>
          <w:tcPr>
            <w:tcW w:w="4140" w:type="dxa"/>
            <w:tcMar>
              <w:top w:w="70" w:type="dxa"/>
              <w:left w:w="70" w:type="dxa"/>
              <w:bottom w:w="70" w:type="dxa"/>
              <w:right w:w="70" w:type="dxa"/>
            </w:tcMar>
          </w:tcPr>
          <w:p w14:paraId="2FBC6FB0" w14:textId="77777777" w:rsidR="000D4C48" w:rsidRPr="001B1E45" w:rsidRDefault="000D4C48" w:rsidP="00462CB9">
            <w:pPr>
              <w:rPr>
                <w:rFonts w:cs="Arial"/>
                <w:sz w:val="20"/>
                <w:szCs w:val="20"/>
              </w:rPr>
            </w:pPr>
            <w:r w:rsidRPr="001B1E45">
              <w:rPr>
                <w:rFonts w:cs="Arial"/>
                <w:sz w:val="20"/>
                <w:szCs w:val="20"/>
              </w:rPr>
              <w:t>UK or constituent nations; separable UK data</w:t>
            </w:r>
          </w:p>
        </w:tc>
        <w:tc>
          <w:tcPr>
            <w:tcW w:w="3888" w:type="dxa"/>
            <w:tcMar>
              <w:top w:w="70" w:type="dxa"/>
              <w:left w:w="70" w:type="dxa"/>
              <w:bottom w:w="70" w:type="dxa"/>
              <w:right w:w="70" w:type="dxa"/>
            </w:tcMar>
          </w:tcPr>
          <w:p w14:paraId="6B158F19" w14:textId="77777777" w:rsidR="000D4C48" w:rsidRPr="001B1E45" w:rsidRDefault="000D4C48" w:rsidP="00462CB9">
            <w:pPr>
              <w:rPr>
                <w:rFonts w:cs="Arial"/>
                <w:sz w:val="20"/>
                <w:szCs w:val="20"/>
              </w:rPr>
            </w:pPr>
            <w:r w:rsidRPr="001B1E45">
              <w:rPr>
                <w:rFonts w:cs="Arial"/>
                <w:sz w:val="20"/>
                <w:szCs w:val="20"/>
              </w:rPr>
              <w:t>Non-UK evidence without separable UK results</w:t>
            </w:r>
          </w:p>
        </w:tc>
      </w:tr>
      <w:tr w:rsidR="000D4C48" w:rsidRPr="001B1E45" w14:paraId="51A1D789" w14:textId="77777777" w:rsidTr="00976787">
        <w:trPr>
          <w:jc w:val="center"/>
        </w:trPr>
        <w:tc>
          <w:tcPr>
            <w:tcW w:w="1620" w:type="dxa"/>
            <w:tcMar>
              <w:top w:w="70" w:type="dxa"/>
              <w:left w:w="70" w:type="dxa"/>
              <w:bottom w:w="70" w:type="dxa"/>
              <w:right w:w="70" w:type="dxa"/>
            </w:tcMar>
          </w:tcPr>
          <w:p w14:paraId="18AED2CF" w14:textId="77777777" w:rsidR="000D4C48" w:rsidRPr="001B1E45" w:rsidRDefault="000D4C48" w:rsidP="00462CB9">
            <w:pPr>
              <w:rPr>
                <w:rFonts w:cs="Arial"/>
                <w:sz w:val="20"/>
                <w:szCs w:val="20"/>
              </w:rPr>
            </w:pPr>
            <w:r w:rsidRPr="001B1E45">
              <w:rPr>
                <w:rFonts w:cs="Arial"/>
                <w:sz w:val="20"/>
                <w:szCs w:val="20"/>
              </w:rPr>
              <w:t>Condition</w:t>
            </w:r>
          </w:p>
        </w:tc>
        <w:tc>
          <w:tcPr>
            <w:tcW w:w="4140" w:type="dxa"/>
            <w:tcMar>
              <w:top w:w="70" w:type="dxa"/>
              <w:left w:w="70" w:type="dxa"/>
              <w:bottom w:w="70" w:type="dxa"/>
              <w:right w:w="70" w:type="dxa"/>
            </w:tcMar>
          </w:tcPr>
          <w:p w14:paraId="05DA09A6" w14:textId="77777777" w:rsidR="000D4C48" w:rsidRPr="001B1E45" w:rsidRDefault="000D4C48" w:rsidP="00462CB9">
            <w:pPr>
              <w:rPr>
                <w:rFonts w:cs="Arial"/>
                <w:sz w:val="20"/>
                <w:szCs w:val="20"/>
              </w:rPr>
            </w:pPr>
            <w:r w:rsidRPr="001B1E45">
              <w:rPr>
                <w:rFonts w:cs="Arial"/>
                <w:sz w:val="20"/>
                <w:szCs w:val="20"/>
              </w:rPr>
              <w:t>Defined CKD or CKD-risk population</w:t>
            </w:r>
          </w:p>
        </w:tc>
        <w:tc>
          <w:tcPr>
            <w:tcW w:w="3888" w:type="dxa"/>
            <w:tcMar>
              <w:top w:w="70" w:type="dxa"/>
              <w:left w:w="70" w:type="dxa"/>
              <w:bottom w:w="70" w:type="dxa"/>
              <w:right w:w="70" w:type="dxa"/>
            </w:tcMar>
          </w:tcPr>
          <w:p w14:paraId="18B0CC7F" w14:textId="77777777" w:rsidR="000D4C48" w:rsidRPr="001B1E45" w:rsidRDefault="000D4C48" w:rsidP="00462CB9">
            <w:pPr>
              <w:rPr>
                <w:rFonts w:cs="Arial"/>
                <w:sz w:val="20"/>
                <w:szCs w:val="20"/>
              </w:rPr>
            </w:pPr>
            <w:r w:rsidRPr="001B1E45">
              <w:rPr>
                <w:rFonts w:cs="Arial"/>
                <w:sz w:val="20"/>
                <w:szCs w:val="20"/>
              </w:rPr>
              <w:t>Acute kidney injury without a CKD outcome</w:t>
            </w:r>
          </w:p>
        </w:tc>
      </w:tr>
      <w:tr w:rsidR="000D4C48" w:rsidRPr="001B1E45" w14:paraId="56B4A994" w14:textId="77777777" w:rsidTr="00976787">
        <w:trPr>
          <w:jc w:val="center"/>
        </w:trPr>
        <w:tc>
          <w:tcPr>
            <w:tcW w:w="1620" w:type="dxa"/>
            <w:tcMar>
              <w:top w:w="70" w:type="dxa"/>
              <w:left w:w="70" w:type="dxa"/>
              <w:bottom w:w="70" w:type="dxa"/>
              <w:right w:w="70" w:type="dxa"/>
            </w:tcMar>
          </w:tcPr>
          <w:p w14:paraId="48D693D6" w14:textId="77777777" w:rsidR="000D4C48" w:rsidRPr="001B1E45" w:rsidRDefault="000D4C48" w:rsidP="00462CB9">
            <w:pPr>
              <w:rPr>
                <w:rFonts w:cs="Arial"/>
                <w:sz w:val="20"/>
                <w:szCs w:val="20"/>
              </w:rPr>
            </w:pPr>
            <w:r w:rsidRPr="001B1E45">
              <w:rPr>
                <w:rFonts w:cs="Arial"/>
                <w:sz w:val="20"/>
                <w:szCs w:val="20"/>
              </w:rPr>
              <w:t>Focus</w:t>
            </w:r>
          </w:p>
        </w:tc>
        <w:tc>
          <w:tcPr>
            <w:tcW w:w="4140" w:type="dxa"/>
            <w:tcMar>
              <w:top w:w="70" w:type="dxa"/>
              <w:left w:w="70" w:type="dxa"/>
              <w:bottom w:w="70" w:type="dxa"/>
              <w:right w:w="70" w:type="dxa"/>
            </w:tcMar>
          </w:tcPr>
          <w:p w14:paraId="6AF25640" w14:textId="77777777" w:rsidR="000D4C48" w:rsidRPr="001B1E45" w:rsidRDefault="000D4C48" w:rsidP="00462CB9">
            <w:pPr>
              <w:rPr>
                <w:rFonts w:cs="Arial"/>
                <w:sz w:val="20"/>
                <w:szCs w:val="20"/>
              </w:rPr>
            </w:pPr>
            <w:r w:rsidRPr="001B1E45">
              <w:rPr>
                <w:rFonts w:cs="Arial"/>
                <w:sz w:val="20"/>
                <w:szCs w:val="20"/>
              </w:rPr>
              <w:t>Prevalence, risk, progression or management</w:t>
            </w:r>
          </w:p>
        </w:tc>
        <w:tc>
          <w:tcPr>
            <w:tcW w:w="3888" w:type="dxa"/>
            <w:tcMar>
              <w:top w:w="70" w:type="dxa"/>
              <w:left w:w="70" w:type="dxa"/>
              <w:bottom w:w="70" w:type="dxa"/>
              <w:right w:w="70" w:type="dxa"/>
            </w:tcMar>
          </w:tcPr>
          <w:p w14:paraId="6DE3C976" w14:textId="77777777" w:rsidR="000D4C48" w:rsidRPr="001B1E45" w:rsidRDefault="000D4C48" w:rsidP="00462CB9">
            <w:pPr>
              <w:rPr>
                <w:rFonts w:cs="Arial"/>
                <w:sz w:val="20"/>
                <w:szCs w:val="20"/>
              </w:rPr>
            </w:pPr>
            <w:r w:rsidRPr="001B1E45">
              <w:rPr>
                <w:rFonts w:cs="Arial"/>
                <w:sz w:val="20"/>
                <w:szCs w:val="20"/>
              </w:rPr>
              <w:t>Unrelated to the research objectives</w:t>
            </w:r>
          </w:p>
        </w:tc>
      </w:tr>
      <w:tr w:rsidR="000D4C48" w:rsidRPr="001B1E45" w14:paraId="3CEAD7AE" w14:textId="77777777" w:rsidTr="00976787">
        <w:trPr>
          <w:jc w:val="center"/>
        </w:trPr>
        <w:tc>
          <w:tcPr>
            <w:tcW w:w="1620" w:type="dxa"/>
            <w:tcMar>
              <w:top w:w="70" w:type="dxa"/>
              <w:left w:w="70" w:type="dxa"/>
              <w:bottom w:w="70" w:type="dxa"/>
              <w:right w:w="70" w:type="dxa"/>
            </w:tcMar>
          </w:tcPr>
          <w:p w14:paraId="6BDA7A64" w14:textId="77777777" w:rsidR="000D4C48" w:rsidRPr="001B1E45" w:rsidRDefault="000D4C48" w:rsidP="00462CB9">
            <w:pPr>
              <w:rPr>
                <w:rFonts w:cs="Arial"/>
                <w:sz w:val="20"/>
                <w:szCs w:val="20"/>
              </w:rPr>
            </w:pPr>
            <w:r w:rsidRPr="001B1E45">
              <w:rPr>
                <w:rFonts w:cs="Arial"/>
                <w:sz w:val="20"/>
                <w:szCs w:val="20"/>
              </w:rPr>
              <w:t>Evidence</w:t>
            </w:r>
          </w:p>
        </w:tc>
        <w:tc>
          <w:tcPr>
            <w:tcW w:w="4140" w:type="dxa"/>
            <w:tcMar>
              <w:top w:w="70" w:type="dxa"/>
              <w:left w:w="70" w:type="dxa"/>
              <w:bottom w:w="70" w:type="dxa"/>
              <w:right w:w="70" w:type="dxa"/>
            </w:tcMar>
          </w:tcPr>
          <w:p w14:paraId="3796302F" w14:textId="77777777" w:rsidR="000D4C48" w:rsidRPr="001B1E45" w:rsidRDefault="000D4C48" w:rsidP="00462CB9">
            <w:pPr>
              <w:rPr>
                <w:rFonts w:cs="Arial"/>
                <w:sz w:val="20"/>
                <w:szCs w:val="20"/>
              </w:rPr>
            </w:pPr>
            <w:r w:rsidRPr="001B1E45">
              <w:rPr>
                <w:rFonts w:cs="Arial"/>
                <w:sz w:val="20"/>
                <w:szCs w:val="20"/>
              </w:rPr>
              <w:t>Peer-reviewed empirical human research</w:t>
            </w:r>
          </w:p>
        </w:tc>
        <w:tc>
          <w:tcPr>
            <w:tcW w:w="3888" w:type="dxa"/>
            <w:tcMar>
              <w:top w:w="70" w:type="dxa"/>
              <w:left w:w="70" w:type="dxa"/>
              <w:bottom w:w="70" w:type="dxa"/>
              <w:right w:w="70" w:type="dxa"/>
            </w:tcMar>
          </w:tcPr>
          <w:p w14:paraId="17C35D9C" w14:textId="77777777" w:rsidR="000D4C48" w:rsidRPr="001B1E45" w:rsidRDefault="000D4C48" w:rsidP="00462CB9">
            <w:pPr>
              <w:rPr>
                <w:rFonts w:cs="Arial"/>
                <w:sz w:val="20"/>
                <w:szCs w:val="20"/>
              </w:rPr>
            </w:pPr>
            <w:r w:rsidRPr="001B1E45">
              <w:rPr>
                <w:rFonts w:cs="Arial"/>
                <w:sz w:val="20"/>
                <w:szCs w:val="20"/>
              </w:rPr>
              <w:t>Editorials, letters, protocols, commentaries, animal/laboratory studies</w:t>
            </w:r>
          </w:p>
        </w:tc>
      </w:tr>
      <w:tr w:rsidR="000D4C48" w:rsidRPr="001B1E45" w14:paraId="3EEFBAC9" w14:textId="77777777" w:rsidTr="00976787">
        <w:trPr>
          <w:jc w:val="center"/>
        </w:trPr>
        <w:tc>
          <w:tcPr>
            <w:tcW w:w="1620" w:type="dxa"/>
            <w:tcMar>
              <w:top w:w="70" w:type="dxa"/>
              <w:left w:w="70" w:type="dxa"/>
              <w:bottom w:w="70" w:type="dxa"/>
              <w:right w:w="70" w:type="dxa"/>
            </w:tcMar>
          </w:tcPr>
          <w:p w14:paraId="1860F5EC" w14:textId="77777777" w:rsidR="000D4C48" w:rsidRPr="001B1E45" w:rsidRDefault="000D4C48" w:rsidP="00462CB9">
            <w:pPr>
              <w:rPr>
                <w:rFonts w:cs="Arial"/>
                <w:sz w:val="20"/>
                <w:szCs w:val="20"/>
              </w:rPr>
            </w:pPr>
            <w:r w:rsidRPr="001B1E45">
              <w:rPr>
                <w:rFonts w:cs="Arial"/>
                <w:sz w:val="20"/>
                <w:szCs w:val="20"/>
              </w:rPr>
              <w:t>Date/language</w:t>
            </w:r>
          </w:p>
        </w:tc>
        <w:tc>
          <w:tcPr>
            <w:tcW w:w="4140" w:type="dxa"/>
            <w:tcMar>
              <w:top w:w="70" w:type="dxa"/>
              <w:left w:w="70" w:type="dxa"/>
              <w:bottom w:w="70" w:type="dxa"/>
              <w:right w:w="70" w:type="dxa"/>
            </w:tcMar>
          </w:tcPr>
          <w:p w14:paraId="5AC70BB1" w14:textId="77777777" w:rsidR="000D4C48" w:rsidRPr="001B1E45" w:rsidRDefault="000D4C48" w:rsidP="00462CB9">
            <w:pPr>
              <w:rPr>
                <w:rFonts w:cs="Arial"/>
                <w:sz w:val="20"/>
                <w:szCs w:val="20"/>
              </w:rPr>
            </w:pPr>
            <w:r w:rsidRPr="001B1E45">
              <w:rPr>
                <w:rFonts w:cs="Arial"/>
                <w:sz w:val="20"/>
                <w:szCs w:val="20"/>
              </w:rPr>
              <w:t>2020–2026; English</w:t>
            </w:r>
          </w:p>
        </w:tc>
        <w:tc>
          <w:tcPr>
            <w:tcW w:w="3888" w:type="dxa"/>
            <w:tcMar>
              <w:top w:w="70" w:type="dxa"/>
              <w:left w:w="70" w:type="dxa"/>
              <w:bottom w:w="70" w:type="dxa"/>
              <w:right w:w="70" w:type="dxa"/>
            </w:tcMar>
          </w:tcPr>
          <w:p w14:paraId="21185E8B" w14:textId="77777777" w:rsidR="000D4C48" w:rsidRPr="001B1E45" w:rsidRDefault="000D4C48" w:rsidP="00462CB9">
            <w:pPr>
              <w:rPr>
                <w:rFonts w:cs="Arial"/>
                <w:sz w:val="20"/>
                <w:szCs w:val="20"/>
              </w:rPr>
            </w:pPr>
            <w:r w:rsidRPr="001B1E45">
              <w:rPr>
                <w:rFonts w:cs="Arial"/>
                <w:sz w:val="20"/>
                <w:szCs w:val="20"/>
              </w:rPr>
              <w:t>Pre-2020; non-English</w:t>
            </w:r>
          </w:p>
        </w:tc>
      </w:tr>
      <w:tr w:rsidR="000D4C48" w:rsidRPr="001B1E45" w14:paraId="72106214" w14:textId="77777777" w:rsidTr="00976787">
        <w:trPr>
          <w:jc w:val="center"/>
        </w:trPr>
        <w:tc>
          <w:tcPr>
            <w:tcW w:w="1620" w:type="dxa"/>
            <w:tcMar>
              <w:top w:w="70" w:type="dxa"/>
              <w:left w:w="70" w:type="dxa"/>
              <w:bottom w:w="70" w:type="dxa"/>
              <w:right w:w="70" w:type="dxa"/>
            </w:tcMar>
          </w:tcPr>
          <w:p w14:paraId="0DDD8504" w14:textId="77777777" w:rsidR="000D4C48" w:rsidRPr="001B1E45" w:rsidRDefault="000D4C48" w:rsidP="00462CB9">
            <w:pPr>
              <w:rPr>
                <w:rFonts w:cs="Arial"/>
                <w:sz w:val="20"/>
                <w:szCs w:val="20"/>
              </w:rPr>
            </w:pPr>
            <w:r w:rsidRPr="001B1E45">
              <w:rPr>
                <w:rFonts w:cs="Arial"/>
                <w:sz w:val="20"/>
                <w:szCs w:val="20"/>
              </w:rPr>
              <w:t>Availability</w:t>
            </w:r>
          </w:p>
        </w:tc>
        <w:tc>
          <w:tcPr>
            <w:tcW w:w="4140" w:type="dxa"/>
            <w:tcMar>
              <w:top w:w="70" w:type="dxa"/>
              <w:left w:w="70" w:type="dxa"/>
              <w:bottom w:w="70" w:type="dxa"/>
              <w:right w:w="70" w:type="dxa"/>
            </w:tcMar>
          </w:tcPr>
          <w:p w14:paraId="0644B5AF" w14:textId="77777777" w:rsidR="000D4C48" w:rsidRPr="001B1E45" w:rsidRDefault="000D4C48" w:rsidP="00462CB9">
            <w:pPr>
              <w:rPr>
                <w:rFonts w:cs="Arial"/>
                <w:sz w:val="20"/>
                <w:szCs w:val="20"/>
              </w:rPr>
            </w:pPr>
            <w:r w:rsidRPr="001B1E45">
              <w:rPr>
                <w:rFonts w:cs="Arial"/>
                <w:sz w:val="20"/>
                <w:szCs w:val="20"/>
              </w:rPr>
              <w:t>Accessible full text</w:t>
            </w:r>
          </w:p>
        </w:tc>
        <w:tc>
          <w:tcPr>
            <w:tcW w:w="3888" w:type="dxa"/>
            <w:tcMar>
              <w:top w:w="70" w:type="dxa"/>
              <w:left w:w="70" w:type="dxa"/>
              <w:bottom w:w="70" w:type="dxa"/>
              <w:right w:w="70" w:type="dxa"/>
            </w:tcMar>
          </w:tcPr>
          <w:p w14:paraId="14FABC24" w14:textId="77777777" w:rsidR="000D4C48" w:rsidRPr="001B1E45" w:rsidRDefault="000D4C48" w:rsidP="00462CB9">
            <w:pPr>
              <w:rPr>
                <w:rFonts w:cs="Arial"/>
                <w:sz w:val="20"/>
                <w:szCs w:val="20"/>
              </w:rPr>
            </w:pPr>
            <w:r w:rsidRPr="001B1E45">
              <w:rPr>
                <w:rFonts w:cs="Arial"/>
                <w:sz w:val="20"/>
                <w:szCs w:val="20"/>
              </w:rPr>
              <w:t>Abstract only / insufficient full-text information</w:t>
            </w:r>
          </w:p>
        </w:tc>
      </w:tr>
      <w:tr w:rsidR="000D4C48" w:rsidRPr="001B1E45" w14:paraId="14790F37" w14:textId="77777777" w:rsidTr="00976787">
        <w:trPr>
          <w:jc w:val="center"/>
        </w:trPr>
        <w:tc>
          <w:tcPr>
            <w:tcW w:w="1620" w:type="dxa"/>
            <w:tcMar>
              <w:top w:w="70" w:type="dxa"/>
              <w:left w:w="70" w:type="dxa"/>
              <w:bottom w:w="70" w:type="dxa"/>
              <w:right w:w="70" w:type="dxa"/>
            </w:tcMar>
          </w:tcPr>
          <w:p w14:paraId="798F9186" w14:textId="77777777" w:rsidR="000D4C48" w:rsidRPr="001B1E45" w:rsidRDefault="000D4C48" w:rsidP="00462CB9">
            <w:pPr>
              <w:rPr>
                <w:rFonts w:cs="Arial"/>
                <w:sz w:val="20"/>
                <w:szCs w:val="20"/>
              </w:rPr>
            </w:pPr>
            <w:r w:rsidRPr="001B1E45">
              <w:rPr>
                <w:rFonts w:cs="Arial"/>
                <w:sz w:val="20"/>
                <w:szCs w:val="20"/>
              </w:rPr>
              <w:t>Design</w:t>
            </w:r>
          </w:p>
        </w:tc>
        <w:tc>
          <w:tcPr>
            <w:tcW w:w="4140" w:type="dxa"/>
            <w:tcMar>
              <w:top w:w="70" w:type="dxa"/>
              <w:left w:w="70" w:type="dxa"/>
              <w:bottom w:w="70" w:type="dxa"/>
              <w:right w:w="70" w:type="dxa"/>
            </w:tcMar>
          </w:tcPr>
          <w:p w14:paraId="13CEB00D" w14:textId="77777777" w:rsidR="000D4C48" w:rsidRPr="001B1E45" w:rsidRDefault="000D4C48" w:rsidP="00462CB9">
            <w:pPr>
              <w:rPr>
                <w:rFonts w:cs="Arial"/>
                <w:sz w:val="20"/>
                <w:szCs w:val="20"/>
              </w:rPr>
            </w:pPr>
            <w:r w:rsidRPr="001B1E45">
              <w:rPr>
                <w:rFonts w:cs="Arial"/>
                <w:sz w:val="20"/>
                <w:szCs w:val="20"/>
              </w:rPr>
              <w:t>Observational, intervention, qualitative, mixed methods</w:t>
            </w:r>
          </w:p>
        </w:tc>
        <w:tc>
          <w:tcPr>
            <w:tcW w:w="3888" w:type="dxa"/>
            <w:tcMar>
              <w:top w:w="70" w:type="dxa"/>
              <w:left w:w="70" w:type="dxa"/>
              <w:bottom w:w="70" w:type="dxa"/>
              <w:right w:w="70" w:type="dxa"/>
            </w:tcMar>
          </w:tcPr>
          <w:p w14:paraId="7B44ABA0" w14:textId="77777777" w:rsidR="000D4C48" w:rsidRPr="001B1E45" w:rsidRDefault="000D4C48" w:rsidP="00462CB9">
            <w:pPr>
              <w:rPr>
                <w:rFonts w:cs="Arial"/>
                <w:sz w:val="20"/>
                <w:szCs w:val="20"/>
              </w:rPr>
            </w:pPr>
            <w:r w:rsidRPr="001B1E45">
              <w:rPr>
                <w:rFonts w:cs="Arial"/>
                <w:sz w:val="20"/>
                <w:szCs w:val="20"/>
              </w:rPr>
              <w:t>Non-empirical work</w:t>
            </w:r>
          </w:p>
        </w:tc>
      </w:tr>
    </w:tbl>
    <w:p w14:paraId="323EA09A" w14:textId="77777777" w:rsidR="000D4C48" w:rsidRPr="00C07BB7" w:rsidRDefault="000D4C48" w:rsidP="00462CB9">
      <w:pPr>
        <w:rPr>
          <w:rFonts w:cs="Arial"/>
        </w:rPr>
      </w:pPr>
    </w:p>
    <w:p w14:paraId="742E70CE" w14:textId="77777777" w:rsidR="009F139F" w:rsidRPr="00C07BB7" w:rsidRDefault="009F139F" w:rsidP="00462CB9">
      <w:pPr>
        <w:rPr>
          <w:rFonts w:cs="Arial"/>
          <w:vanish/>
        </w:rPr>
      </w:pPr>
      <w:r w:rsidRPr="00C07BB7">
        <w:rPr>
          <w:rFonts w:cs="Arial"/>
          <w:vanish/>
        </w:rPr>
        <w:t>Top of Form</w:t>
      </w:r>
    </w:p>
    <w:p w14:paraId="0C165D37" w14:textId="77777777" w:rsidR="009F139F" w:rsidRPr="00C07BB7" w:rsidRDefault="009F139F" w:rsidP="00462CB9">
      <w:pPr>
        <w:rPr>
          <w:rFonts w:cs="Arial"/>
          <w:vanish/>
        </w:rPr>
      </w:pPr>
      <w:r w:rsidRPr="00C07BB7">
        <w:rPr>
          <w:rFonts w:cs="Arial"/>
          <w:vanish/>
        </w:rPr>
        <w:t>Bottom of Form</w:t>
      </w:r>
    </w:p>
    <w:p w14:paraId="38DFCB64" w14:textId="09D8C36A" w:rsidR="0038603C" w:rsidRPr="00205FE3" w:rsidRDefault="0038603C" w:rsidP="00462CB9">
      <w:pPr>
        <w:pStyle w:val="Heading2"/>
        <w:rPr>
          <w:rFonts w:cs="Arial"/>
          <w:sz w:val="28"/>
          <w:szCs w:val="28"/>
        </w:rPr>
      </w:pPr>
      <w:bookmarkStart w:id="94" w:name="_Toc239294386"/>
      <w:bookmarkStart w:id="95" w:name="_Toc240666917"/>
      <w:bookmarkStart w:id="96" w:name="_Toc241090892"/>
      <w:r w:rsidRPr="00205FE3">
        <w:rPr>
          <w:rFonts w:cs="Arial"/>
          <w:sz w:val="28"/>
          <w:szCs w:val="28"/>
        </w:rPr>
        <w:t>3.</w:t>
      </w:r>
      <w:r w:rsidR="006977C3" w:rsidRPr="00205FE3">
        <w:rPr>
          <w:rFonts w:cs="Arial"/>
          <w:sz w:val="28"/>
          <w:szCs w:val="28"/>
        </w:rPr>
        <w:t>5</w:t>
      </w:r>
      <w:r w:rsidRPr="00205FE3">
        <w:rPr>
          <w:rFonts w:cs="Arial"/>
          <w:sz w:val="28"/>
          <w:szCs w:val="28"/>
        </w:rPr>
        <w:t xml:space="preserve"> PRISMA</w:t>
      </w:r>
      <w:bookmarkEnd w:id="94"/>
      <w:bookmarkEnd w:id="95"/>
      <w:bookmarkEnd w:id="96"/>
    </w:p>
    <w:p w14:paraId="7C8A9730" w14:textId="11E613EA" w:rsidR="0038603C" w:rsidRPr="00C07BB7" w:rsidRDefault="0038603C" w:rsidP="00462CB9">
      <w:pPr>
        <w:rPr>
          <w:rFonts w:cs="Arial"/>
        </w:rPr>
      </w:pPr>
      <w:r w:rsidRPr="00C07BB7">
        <w:rPr>
          <w:rFonts w:cs="Arial"/>
        </w:rPr>
        <w:t xml:space="preserve">Study identification and selection was documented following the Preferred Reporting Items for Systematic Reviews and Meta-Analyses (PRISMA) framework (2020) (Page et al., 2021a). </w:t>
      </w:r>
      <w:r w:rsidR="00C20A24" w:rsidRPr="00C07BB7">
        <w:rPr>
          <w:rFonts w:cs="Arial"/>
          <w:color w:val="000000" w:themeColor="text1"/>
        </w:rPr>
        <w:t>The studies included were quite heterogeneous with regard to the study design, population, exposures or interventions, and outcome measures and a meta-analysis was not conducted. Consequently, the findings were synthesised narratively and thematically.</w:t>
      </w:r>
    </w:p>
    <w:p w14:paraId="6BD700CC" w14:textId="784B9B95" w:rsidR="0038603C" w:rsidRPr="00C07BB7" w:rsidRDefault="0038603C" w:rsidP="00462CB9">
      <w:pPr>
        <w:rPr>
          <w:rFonts w:cs="Arial"/>
        </w:rPr>
      </w:pPr>
      <w:r w:rsidRPr="00C07BB7">
        <w:rPr>
          <w:rFonts w:cs="Arial"/>
        </w:rPr>
        <w:t xml:space="preserve">The identification, screening, eligibility and inclusion process was followed in the review. Identification captured records from four databases and additional searching. Duplicates were excluded prior to title and abstract screening. Any of these records that had the potential to be relevant were further processed to full-text evaluation with all eligibility criteria. Records for which it was possible to have some relevance were further processed for full-text evaluation with all of the eligibility criteria. The reasons for exclusion were either that the population was not eligible for the study, there was </w:t>
      </w:r>
      <w:r w:rsidR="008E3A72" w:rsidRPr="00C07BB7">
        <w:rPr>
          <w:rFonts w:cs="Arial"/>
        </w:rPr>
        <w:t>no</w:t>
      </w:r>
      <w:r w:rsidRPr="00C07BB7">
        <w:rPr>
          <w:rFonts w:cs="Arial"/>
        </w:rPr>
        <w:t xml:space="preserve"> UK data available, the outcome of the CKD was not relevant to the study, the publication was not empirical, or the </w:t>
      </w:r>
      <w:r w:rsidR="00CE7276" w:rsidRPr="00C07BB7">
        <w:rPr>
          <w:rFonts w:cs="Arial"/>
        </w:rPr>
        <w:t>full text</w:t>
      </w:r>
      <w:r w:rsidRPr="00C07BB7">
        <w:rPr>
          <w:rFonts w:cs="Arial"/>
        </w:rPr>
        <w:t xml:space="preserve"> was not available. </w:t>
      </w:r>
    </w:p>
    <w:p w14:paraId="324695C2" w14:textId="7553A884" w:rsidR="0038603C" w:rsidRPr="00CE7276" w:rsidRDefault="0038603C" w:rsidP="00462CB9">
      <w:pPr>
        <w:pStyle w:val="Heading2"/>
        <w:rPr>
          <w:rFonts w:cs="Arial"/>
          <w:sz w:val="28"/>
          <w:szCs w:val="28"/>
        </w:rPr>
      </w:pPr>
      <w:bookmarkStart w:id="97" w:name="_Toc239294387"/>
      <w:bookmarkStart w:id="98" w:name="_Toc240666918"/>
      <w:bookmarkStart w:id="99" w:name="_Toc241090893"/>
      <w:r w:rsidRPr="00CE7276">
        <w:rPr>
          <w:rFonts w:cs="Arial"/>
          <w:sz w:val="28"/>
          <w:szCs w:val="28"/>
        </w:rPr>
        <w:t>3.</w:t>
      </w:r>
      <w:r w:rsidR="006977C3" w:rsidRPr="00CE7276">
        <w:rPr>
          <w:rFonts w:cs="Arial"/>
          <w:sz w:val="28"/>
          <w:szCs w:val="28"/>
        </w:rPr>
        <w:t>6</w:t>
      </w:r>
      <w:r w:rsidRPr="00CE7276">
        <w:rPr>
          <w:rFonts w:cs="Arial"/>
          <w:sz w:val="28"/>
          <w:szCs w:val="28"/>
        </w:rPr>
        <w:t xml:space="preserve"> CASP Critical Appraisal</w:t>
      </w:r>
      <w:bookmarkEnd w:id="97"/>
      <w:bookmarkEnd w:id="98"/>
      <w:bookmarkEnd w:id="99"/>
    </w:p>
    <w:p w14:paraId="58EC12DC" w14:textId="77777777" w:rsidR="0038603C" w:rsidRPr="00C07BB7" w:rsidRDefault="0038603C" w:rsidP="00462CB9">
      <w:pPr>
        <w:rPr>
          <w:rFonts w:cs="Arial"/>
        </w:rPr>
      </w:pPr>
      <w:r w:rsidRPr="00C07BB7">
        <w:rPr>
          <w:rFonts w:cs="Arial"/>
        </w:rPr>
        <w:t>The Critical Appraisal Skills Programme tools were used to carry out the Critical appraisal, as a peer-reviewed publication does not equal methodological quality or applicability. CASP offers a framework of questions to consider, including if study aims are clear, if designs are appropriate, if recruitment or sampling is defensible, if data collection is suitable, if ethical issues are addressed, if analysis is rigorous and if conclusions are supported by the findings (CASP, 2024). This step helps to take methodological quality into account when deciding on the level of confidence with which each study can be included in the overall synthesis.</w:t>
      </w:r>
    </w:p>
    <w:p w14:paraId="739C6486" w14:textId="77777777" w:rsidR="0038603C" w:rsidRPr="00C07BB7" w:rsidRDefault="0038603C" w:rsidP="00462CB9">
      <w:pPr>
        <w:rPr>
          <w:rFonts w:cs="Arial"/>
        </w:rPr>
      </w:pPr>
      <w:r w:rsidRPr="00C07BB7">
        <w:rPr>
          <w:rFonts w:cs="Arial"/>
        </w:rPr>
        <w:t>Appraisal was done by design as opposed to using one checklist in a blanket fashion. The CASP RCT checklist was used to assess randomised controlled trials, the CASP cohort checklist to assess cohort studies, the CASP case-control checklist to assess case-control studies, the CASP qualitative checklist to assess qualitative studies, and the CASP economic checklist to assess economic evaluations. The evaluation of the cross-sectional studies and mixed methods studies was done on applicable domains in a transparent way. This acknowledges that threats to validity vary across design (Crombie, 2022).</w:t>
      </w:r>
    </w:p>
    <w:p w14:paraId="51C96A61" w14:textId="1EC2AA99" w:rsidR="0038603C" w:rsidRPr="00C07BB7" w:rsidRDefault="0038603C" w:rsidP="00462CB9">
      <w:pPr>
        <w:rPr>
          <w:rFonts w:cs="Arial"/>
        </w:rPr>
      </w:pPr>
      <w:r w:rsidRPr="00C07BB7">
        <w:rPr>
          <w:rFonts w:cs="Arial"/>
        </w:rPr>
        <w:t xml:space="preserve">Appraisal was not used for a numerical ranking, but rather to inform interpretation. A study might answer </w:t>
      </w:r>
      <w:r w:rsidR="008E3A72" w:rsidRPr="00C07BB7">
        <w:rPr>
          <w:rFonts w:cs="Arial"/>
        </w:rPr>
        <w:t>several of</w:t>
      </w:r>
      <w:r w:rsidRPr="00C07BB7">
        <w:rPr>
          <w:rFonts w:cs="Arial"/>
        </w:rPr>
        <w:t xml:space="preserve"> the checklist questions, but lack residual confounding, selection bias, or imprecise measurement of exposure, or lack generalisability. A relatively small qualitative study, on the other hand, could also yield evidence to support treatment burden or digital acceptability without supporting prevalence or causal statements. The findings of the CASP will therefore be included in a study-level appraisal table (Chapter Four or Appendix) and will be used to give weight to the conclusions based on type and strength of evidence.</w:t>
      </w:r>
    </w:p>
    <w:p w14:paraId="3702F543" w14:textId="0B2C2539" w:rsidR="0038603C" w:rsidRPr="00CE7276" w:rsidRDefault="0038603C" w:rsidP="00462CB9">
      <w:pPr>
        <w:pStyle w:val="Heading2"/>
        <w:rPr>
          <w:rFonts w:cs="Arial"/>
          <w:sz w:val="28"/>
          <w:szCs w:val="28"/>
        </w:rPr>
      </w:pPr>
      <w:bookmarkStart w:id="100" w:name="_Toc239294388"/>
      <w:bookmarkStart w:id="101" w:name="_Toc240666919"/>
      <w:bookmarkStart w:id="102" w:name="_Toc241090894"/>
      <w:r w:rsidRPr="00CE7276">
        <w:rPr>
          <w:rFonts w:cs="Arial"/>
          <w:sz w:val="28"/>
          <w:szCs w:val="28"/>
        </w:rPr>
        <w:t>3.</w:t>
      </w:r>
      <w:r w:rsidR="006977C3" w:rsidRPr="00CE7276">
        <w:rPr>
          <w:rFonts w:cs="Arial"/>
          <w:sz w:val="28"/>
          <w:szCs w:val="28"/>
        </w:rPr>
        <w:t>7</w:t>
      </w:r>
      <w:r w:rsidRPr="00CE7276">
        <w:rPr>
          <w:rFonts w:cs="Arial"/>
          <w:sz w:val="28"/>
          <w:szCs w:val="28"/>
        </w:rPr>
        <w:t xml:space="preserve"> Data Extraction</w:t>
      </w:r>
      <w:bookmarkEnd w:id="100"/>
      <w:bookmarkEnd w:id="101"/>
      <w:bookmarkEnd w:id="102"/>
    </w:p>
    <w:p w14:paraId="0787E602" w14:textId="77777777" w:rsidR="0038603C" w:rsidRPr="00C07BB7" w:rsidRDefault="0038603C" w:rsidP="00462CB9">
      <w:pPr>
        <w:rPr>
          <w:rFonts w:cs="Arial"/>
        </w:rPr>
      </w:pPr>
      <w:r w:rsidRPr="00C07BB7">
        <w:rPr>
          <w:rFonts w:cs="Arial"/>
        </w:rPr>
        <w:t>Eligibility assessment and quality appraisal were followed by transfer of information to a standardised form for data extraction. Prior to full extraction, the form used was applied to studies of varying designs for a piloting process. Piloting helped to clarify ambiguous fields in advance and to minimise the potential for selectively altering the framework for extraction once specific results are seen. Extraction was done manually, but it is possible to do semi-automated extraction, which was not represented in this review (Schmidt et al., 2020).</w:t>
      </w:r>
    </w:p>
    <w:p w14:paraId="038F85F7" w14:textId="77777777" w:rsidR="0038603C" w:rsidRPr="00C07BB7" w:rsidRDefault="0038603C" w:rsidP="00462CB9">
      <w:pPr>
        <w:rPr>
          <w:rFonts w:cs="Arial"/>
        </w:rPr>
      </w:pPr>
      <w:r w:rsidRPr="00C07BB7">
        <w:rPr>
          <w:rFonts w:cs="Arial"/>
        </w:rPr>
        <w:t>Basic information about the form was captured, including the author, year, UK country, study setting, specific objective of the study, study design, recruitment or data collection period, eligibility criteria, sample size and characteristics of the participants. For fields specific to CKD, these were disease definition or stage, exposure, intervention, comparator (if applicable), and outcome. The associations, adjusted associations, reference groups, follow-up and important confounders were noted. Intervention content, comparator, length of intervention, adherence, and clinical/patient-reported outcomes were extracted for management studies. Participant context, analytic approach and reported interpretations were provided by qualitative studies.</w:t>
      </w:r>
    </w:p>
    <w:p w14:paraId="341300CA" w14:textId="42330D74" w:rsidR="0038603C" w:rsidRPr="00C07BB7" w:rsidRDefault="0038603C" w:rsidP="00462CB9">
      <w:pPr>
        <w:rPr>
          <w:rFonts w:cs="Arial"/>
        </w:rPr>
      </w:pPr>
      <w:r w:rsidRPr="00C07BB7">
        <w:rPr>
          <w:rFonts w:cs="Arial"/>
        </w:rPr>
        <w:t xml:space="preserve">In addition, methodological limitations, ethical approval (if provided), </w:t>
      </w:r>
      <w:r w:rsidR="006E5C51" w:rsidRPr="00C07BB7">
        <w:rPr>
          <w:rFonts w:cs="Arial"/>
        </w:rPr>
        <w:t>CASP judgement and the synthesis category were noted</w:t>
      </w:r>
      <w:r w:rsidRPr="00C07BB7">
        <w:rPr>
          <w:rFonts w:cs="Arial"/>
        </w:rPr>
        <w:t xml:space="preserve"> in another section. Coherent cohorts were identified by comparing the </w:t>
      </w:r>
      <w:r w:rsidR="003A45A2" w:rsidRPr="00C07BB7">
        <w:rPr>
          <w:rFonts w:cs="Arial"/>
        </w:rPr>
        <w:t>cohort’s</w:t>
      </w:r>
      <w:r w:rsidRPr="00C07BB7">
        <w:rPr>
          <w:rFonts w:cs="Arial"/>
        </w:rPr>
        <w:t xml:space="preserve"> name, the recruitment period and the characteristics of the samples in the publications to minimise double counting. </w:t>
      </w:r>
      <w:r w:rsidR="002916F0">
        <w:rPr>
          <w:rFonts w:cs="Arial"/>
        </w:rPr>
        <w:t>No</w:t>
      </w:r>
      <w:r w:rsidRPr="00C07BB7">
        <w:rPr>
          <w:rFonts w:cs="Arial"/>
        </w:rPr>
        <w:t xml:space="preserve"> missing information </w:t>
      </w:r>
      <w:r w:rsidR="002916F0" w:rsidRPr="00C07BB7">
        <w:rPr>
          <w:rFonts w:cs="Arial"/>
        </w:rPr>
        <w:t>was</w:t>
      </w:r>
      <w:r w:rsidRPr="00C07BB7">
        <w:rPr>
          <w:rFonts w:cs="Arial"/>
        </w:rPr>
        <w:t xml:space="preserve"> implied but was recorded as not reported. This ensured the distinction between what the author </w:t>
      </w:r>
      <w:r w:rsidR="002916F0" w:rsidRPr="00C07BB7">
        <w:rPr>
          <w:rFonts w:cs="Arial"/>
        </w:rPr>
        <w:t>reported</w:t>
      </w:r>
      <w:r w:rsidRPr="00C07BB7">
        <w:rPr>
          <w:rFonts w:cs="Arial"/>
        </w:rPr>
        <w:t xml:space="preserve"> and what the reviewer interpreted.</w:t>
      </w:r>
    </w:p>
    <w:p w14:paraId="581217BA" w14:textId="2848D844" w:rsidR="0038603C" w:rsidRPr="006977C3" w:rsidRDefault="0038603C" w:rsidP="00462CB9">
      <w:pPr>
        <w:rPr>
          <w:rFonts w:cs="Arial"/>
          <w:sz w:val="24"/>
          <w:szCs w:val="24"/>
        </w:rPr>
      </w:pPr>
      <w:r w:rsidRPr="006D0340">
        <w:rPr>
          <w:rFonts w:cs="Arial"/>
          <w:b/>
          <w:bCs/>
          <w:sz w:val="24"/>
          <w:szCs w:val="24"/>
        </w:rPr>
        <w:t>Table 3.3.</w:t>
      </w:r>
      <w:r w:rsidRPr="006977C3">
        <w:rPr>
          <w:rFonts w:cs="Arial"/>
          <w:sz w:val="24"/>
          <w:szCs w:val="24"/>
        </w:rPr>
        <w:t xml:space="preserve"> Data-</w:t>
      </w:r>
      <w:r w:rsidR="006D0340" w:rsidRPr="006977C3">
        <w:rPr>
          <w:rFonts w:cs="Arial"/>
          <w:sz w:val="24"/>
          <w:szCs w:val="24"/>
        </w:rPr>
        <w:t>Extraction Framework</w:t>
      </w:r>
    </w:p>
    <w:tbl>
      <w:tblPr>
        <w:tblStyle w:val="TableGrid"/>
        <w:tblW w:w="0" w:type="auto"/>
        <w:jc w:val="center"/>
        <w:tblLook w:val="04A0" w:firstRow="1" w:lastRow="0" w:firstColumn="1" w:lastColumn="0" w:noHBand="0" w:noVBand="1"/>
      </w:tblPr>
      <w:tblGrid>
        <w:gridCol w:w="2634"/>
        <w:gridCol w:w="5812"/>
      </w:tblGrid>
      <w:tr w:rsidR="0038603C" w:rsidRPr="006977C3" w14:paraId="55180B70" w14:textId="77777777" w:rsidTr="000F7EE2">
        <w:trPr>
          <w:jc w:val="center"/>
        </w:trPr>
        <w:tc>
          <w:tcPr>
            <w:tcW w:w="2774" w:type="dxa"/>
            <w:tcMar>
              <w:top w:w="70" w:type="dxa"/>
              <w:left w:w="70" w:type="dxa"/>
              <w:bottom w:w="70" w:type="dxa"/>
              <w:right w:w="70" w:type="dxa"/>
            </w:tcMar>
          </w:tcPr>
          <w:p w14:paraId="49252C50" w14:textId="77777777" w:rsidR="0038603C" w:rsidRPr="004E5DFB" w:rsidRDefault="0038603C" w:rsidP="00462CB9">
            <w:pPr>
              <w:rPr>
                <w:rFonts w:cs="Arial"/>
                <w:b/>
                <w:bCs/>
                <w:sz w:val="20"/>
                <w:szCs w:val="20"/>
              </w:rPr>
            </w:pPr>
            <w:r w:rsidRPr="004E5DFB">
              <w:rPr>
                <w:rFonts w:cs="Arial"/>
                <w:b/>
                <w:bCs/>
                <w:sz w:val="20"/>
                <w:szCs w:val="20"/>
              </w:rPr>
              <w:t>Domain</w:t>
            </w:r>
          </w:p>
        </w:tc>
        <w:tc>
          <w:tcPr>
            <w:tcW w:w="6726" w:type="dxa"/>
            <w:tcMar>
              <w:top w:w="70" w:type="dxa"/>
              <w:left w:w="70" w:type="dxa"/>
              <w:bottom w:w="70" w:type="dxa"/>
              <w:right w:w="70" w:type="dxa"/>
            </w:tcMar>
          </w:tcPr>
          <w:p w14:paraId="3221C890" w14:textId="624EFA07" w:rsidR="0038603C" w:rsidRPr="004E5DFB" w:rsidRDefault="0038603C" w:rsidP="00462CB9">
            <w:pPr>
              <w:rPr>
                <w:rFonts w:cs="Arial"/>
                <w:b/>
                <w:bCs/>
                <w:sz w:val="20"/>
                <w:szCs w:val="20"/>
              </w:rPr>
            </w:pPr>
            <w:r w:rsidRPr="004E5DFB">
              <w:rPr>
                <w:rFonts w:cs="Arial"/>
                <w:b/>
                <w:bCs/>
                <w:sz w:val="20"/>
                <w:szCs w:val="20"/>
              </w:rPr>
              <w:t xml:space="preserve">Fields </w:t>
            </w:r>
            <w:r w:rsidR="004E5DFB" w:rsidRPr="004E5DFB">
              <w:rPr>
                <w:rFonts w:cs="Arial"/>
                <w:b/>
                <w:bCs/>
                <w:sz w:val="20"/>
                <w:szCs w:val="20"/>
              </w:rPr>
              <w:t>E</w:t>
            </w:r>
            <w:r w:rsidRPr="004E5DFB">
              <w:rPr>
                <w:rFonts w:cs="Arial"/>
                <w:b/>
                <w:bCs/>
                <w:sz w:val="20"/>
                <w:szCs w:val="20"/>
              </w:rPr>
              <w:t>xtracted</w:t>
            </w:r>
          </w:p>
        </w:tc>
      </w:tr>
      <w:tr w:rsidR="0038603C" w:rsidRPr="006977C3" w14:paraId="0F78555F" w14:textId="77777777" w:rsidTr="000F7EE2">
        <w:trPr>
          <w:jc w:val="center"/>
        </w:trPr>
        <w:tc>
          <w:tcPr>
            <w:tcW w:w="2774" w:type="dxa"/>
            <w:tcMar>
              <w:top w:w="70" w:type="dxa"/>
              <w:left w:w="70" w:type="dxa"/>
              <w:bottom w:w="70" w:type="dxa"/>
              <w:right w:w="70" w:type="dxa"/>
            </w:tcMar>
          </w:tcPr>
          <w:p w14:paraId="167B9A56" w14:textId="77777777" w:rsidR="0038603C" w:rsidRPr="006977C3" w:rsidRDefault="0038603C" w:rsidP="00462CB9">
            <w:pPr>
              <w:rPr>
                <w:rFonts w:cs="Arial"/>
                <w:sz w:val="20"/>
                <w:szCs w:val="20"/>
              </w:rPr>
            </w:pPr>
            <w:r w:rsidRPr="006977C3">
              <w:rPr>
                <w:rFonts w:cs="Arial"/>
                <w:sz w:val="20"/>
                <w:szCs w:val="20"/>
              </w:rPr>
              <w:t>Bibliographic/context</w:t>
            </w:r>
          </w:p>
        </w:tc>
        <w:tc>
          <w:tcPr>
            <w:tcW w:w="6726" w:type="dxa"/>
            <w:tcMar>
              <w:top w:w="70" w:type="dxa"/>
              <w:left w:w="70" w:type="dxa"/>
              <w:bottom w:w="70" w:type="dxa"/>
              <w:right w:w="70" w:type="dxa"/>
            </w:tcMar>
          </w:tcPr>
          <w:p w14:paraId="1EDC9622" w14:textId="77777777" w:rsidR="0038603C" w:rsidRPr="006977C3" w:rsidRDefault="0038603C" w:rsidP="00462CB9">
            <w:pPr>
              <w:rPr>
                <w:rFonts w:cs="Arial"/>
                <w:sz w:val="20"/>
                <w:szCs w:val="20"/>
              </w:rPr>
            </w:pPr>
            <w:r w:rsidRPr="006977C3">
              <w:rPr>
                <w:rFonts w:cs="Arial"/>
                <w:sz w:val="20"/>
                <w:szCs w:val="20"/>
              </w:rPr>
              <w:t>Author, year, UK nation, setting, aim, recruitment/data period</w:t>
            </w:r>
          </w:p>
        </w:tc>
      </w:tr>
      <w:tr w:rsidR="0038603C" w:rsidRPr="006977C3" w14:paraId="62D88BF7" w14:textId="77777777" w:rsidTr="000F7EE2">
        <w:trPr>
          <w:jc w:val="center"/>
        </w:trPr>
        <w:tc>
          <w:tcPr>
            <w:tcW w:w="2774" w:type="dxa"/>
            <w:tcMar>
              <w:top w:w="70" w:type="dxa"/>
              <w:left w:w="70" w:type="dxa"/>
              <w:bottom w:w="70" w:type="dxa"/>
              <w:right w:w="70" w:type="dxa"/>
            </w:tcMar>
          </w:tcPr>
          <w:p w14:paraId="166FC7C6" w14:textId="77777777" w:rsidR="0038603C" w:rsidRPr="006977C3" w:rsidRDefault="0038603C" w:rsidP="00462CB9">
            <w:pPr>
              <w:rPr>
                <w:rFonts w:cs="Arial"/>
                <w:sz w:val="20"/>
                <w:szCs w:val="20"/>
              </w:rPr>
            </w:pPr>
            <w:r w:rsidRPr="006977C3">
              <w:rPr>
                <w:rFonts w:cs="Arial"/>
                <w:sz w:val="20"/>
                <w:szCs w:val="20"/>
              </w:rPr>
              <w:t>Methods/sample</w:t>
            </w:r>
          </w:p>
        </w:tc>
        <w:tc>
          <w:tcPr>
            <w:tcW w:w="6726" w:type="dxa"/>
            <w:tcMar>
              <w:top w:w="70" w:type="dxa"/>
              <w:left w:w="70" w:type="dxa"/>
              <w:bottom w:w="70" w:type="dxa"/>
              <w:right w:w="70" w:type="dxa"/>
            </w:tcMar>
          </w:tcPr>
          <w:p w14:paraId="594FBB7D" w14:textId="77777777" w:rsidR="0038603C" w:rsidRPr="006977C3" w:rsidRDefault="0038603C" w:rsidP="00462CB9">
            <w:pPr>
              <w:rPr>
                <w:rFonts w:cs="Arial"/>
                <w:sz w:val="20"/>
                <w:szCs w:val="20"/>
              </w:rPr>
            </w:pPr>
            <w:r w:rsidRPr="006977C3">
              <w:rPr>
                <w:rFonts w:cs="Arial"/>
                <w:sz w:val="20"/>
                <w:szCs w:val="20"/>
              </w:rPr>
              <w:t>Design, eligibility, sampling, sample size, age, sex, ethnicity and socioeconomic characteristics where reported</w:t>
            </w:r>
          </w:p>
        </w:tc>
      </w:tr>
      <w:tr w:rsidR="0038603C" w:rsidRPr="006977C3" w14:paraId="402E15BC" w14:textId="77777777" w:rsidTr="000F7EE2">
        <w:trPr>
          <w:jc w:val="center"/>
        </w:trPr>
        <w:tc>
          <w:tcPr>
            <w:tcW w:w="2774" w:type="dxa"/>
            <w:tcMar>
              <w:top w:w="70" w:type="dxa"/>
              <w:left w:w="70" w:type="dxa"/>
              <w:bottom w:w="70" w:type="dxa"/>
              <w:right w:w="70" w:type="dxa"/>
            </w:tcMar>
          </w:tcPr>
          <w:p w14:paraId="287E6F9A" w14:textId="77777777" w:rsidR="0038603C" w:rsidRPr="006977C3" w:rsidRDefault="0038603C" w:rsidP="00462CB9">
            <w:pPr>
              <w:rPr>
                <w:rFonts w:cs="Arial"/>
                <w:sz w:val="20"/>
                <w:szCs w:val="20"/>
              </w:rPr>
            </w:pPr>
            <w:r w:rsidRPr="006977C3">
              <w:rPr>
                <w:rFonts w:cs="Arial"/>
                <w:sz w:val="20"/>
                <w:szCs w:val="20"/>
              </w:rPr>
              <w:t>CKD evidence</w:t>
            </w:r>
          </w:p>
        </w:tc>
        <w:tc>
          <w:tcPr>
            <w:tcW w:w="6726" w:type="dxa"/>
            <w:tcMar>
              <w:top w:w="70" w:type="dxa"/>
              <w:left w:w="70" w:type="dxa"/>
              <w:bottom w:w="70" w:type="dxa"/>
              <w:right w:w="70" w:type="dxa"/>
            </w:tcMar>
          </w:tcPr>
          <w:p w14:paraId="158C3DDD" w14:textId="77777777" w:rsidR="0038603C" w:rsidRPr="006977C3" w:rsidRDefault="0038603C" w:rsidP="00462CB9">
            <w:pPr>
              <w:rPr>
                <w:rFonts w:cs="Arial"/>
                <w:sz w:val="20"/>
                <w:szCs w:val="20"/>
              </w:rPr>
            </w:pPr>
            <w:r w:rsidRPr="006977C3">
              <w:rPr>
                <w:rFonts w:cs="Arial"/>
                <w:sz w:val="20"/>
                <w:szCs w:val="20"/>
              </w:rPr>
              <w:t>Definition/stage, exposure, intervention, comparator and outcomes</w:t>
            </w:r>
          </w:p>
        </w:tc>
      </w:tr>
      <w:tr w:rsidR="0038603C" w:rsidRPr="006977C3" w14:paraId="79054267" w14:textId="77777777" w:rsidTr="000F7EE2">
        <w:trPr>
          <w:jc w:val="center"/>
        </w:trPr>
        <w:tc>
          <w:tcPr>
            <w:tcW w:w="2774" w:type="dxa"/>
            <w:tcMar>
              <w:top w:w="70" w:type="dxa"/>
              <w:left w:w="70" w:type="dxa"/>
              <w:bottom w:w="70" w:type="dxa"/>
              <w:right w:w="70" w:type="dxa"/>
            </w:tcMar>
          </w:tcPr>
          <w:p w14:paraId="4304ADF4" w14:textId="77777777" w:rsidR="0038603C" w:rsidRPr="006977C3" w:rsidRDefault="0038603C" w:rsidP="00462CB9">
            <w:pPr>
              <w:rPr>
                <w:rFonts w:cs="Arial"/>
                <w:sz w:val="20"/>
                <w:szCs w:val="20"/>
              </w:rPr>
            </w:pPr>
            <w:r w:rsidRPr="006977C3">
              <w:rPr>
                <w:rFonts w:cs="Arial"/>
                <w:sz w:val="20"/>
                <w:szCs w:val="20"/>
              </w:rPr>
              <w:t>Analysis/findings</w:t>
            </w:r>
          </w:p>
        </w:tc>
        <w:tc>
          <w:tcPr>
            <w:tcW w:w="6726" w:type="dxa"/>
            <w:tcMar>
              <w:top w:w="70" w:type="dxa"/>
              <w:left w:w="70" w:type="dxa"/>
              <w:bottom w:w="70" w:type="dxa"/>
              <w:right w:w="70" w:type="dxa"/>
            </w:tcMar>
          </w:tcPr>
          <w:p w14:paraId="25924F9F" w14:textId="77777777" w:rsidR="0038603C" w:rsidRPr="006977C3" w:rsidRDefault="0038603C" w:rsidP="00462CB9">
            <w:pPr>
              <w:rPr>
                <w:rFonts w:cs="Arial"/>
                <w:sz w:val="20"/>
                <w:szCs w:val="20"/>
              </w:rPr>
            </w:pPr>
            <w:r w:rsidRPr="006977C3">
              <w:rPr>
                <w:rFonts w:cs="Arial"/>
                <w:sz w:val="20"/>
                <w:szCs w:val="20"/>
              </w:rPr>
              <w:t>Adjusted estimates or qualitative analysis, uncertainty and main findings</w:t>
            </w:r>
          </w:p>
        </w:tc>
      </w:tr>
      <w:tr w:rsidR="0038603C" w:rsidRPr="006977C3" w14:paraId="0C8F0CC4" w14:textId="77777777" w:rsidTr="000F7EE2">
        <w:trPr>
          <w:jc w:val="center"/>
        </w:trPr>
        <w:tc>
          <w:tcPr>
            <w:tcW w:w="2774" w:type="dxa"/>
            <w:tcMar>
              <w:top w:w="70" w:type="dxa"/>
              <w:left w:w="70" w:type="dxa"/>
              <w:bottom w:w="70" w:type="dxa"/>
              <w:right w:w="70" w:type="dxa"/>
            </w:tcMar>
          </w:tcPr>
          <w:p w14:paraId="59D159BC" w14:textId="77777777" w:rsidR="0038603C" w:rsidRPr="006977C3" w:rsidRDefault="0038603C" w:rsidP="00462CB9">
            <w:pPr>
              <w:rPr>
                <w:rFonts w:cs="Arial"/>
                <w:sz w:val="20"/>
                <w:szCs w:val="20"/>
              </w:rPr>
            </w:pPr>
            <w:r w:rsidRPr="006977C3">
              <w:rPr>
                <w:rFonts w:cs="Arial"/>
                <w:sz w:val="20"/>
                <w:szCs w:val="20"/>
              </w:rPr>
              <w:t>Review judgement</w:t>
            </w:r>
          </w:p>
        </w:tc>
        <w:tc>
          <w:tcPr>
            <w:tcW w:w="6726" w:type="dxa"/>
            <w:tcMar>
              <w:top w:w="70" w:type="dxa"/>
              <w:left w:w="70" w:type="dxa"/>
              <w:bottom w:w="70" w:type="dxa"/>
              <w:right w:w="70" w:type="dxa"/>
            </w:tcMar>
          </w:tcPr>
          <w:p w14:paraId="4F6C65ED" w14:textId="5A4E28A6" w:rsidR="0038603C" w:rsidRPr="006977C3" w:rsidRDefault="0038603C" w:rsidP="00462CB9">
            <w:pPr>
              <w:rPr>
                <w:rFonts w:cs="Arial"/>
                <w:sz w:val="20"/>
                <w:szCs w:val="20"/>
              </w:rPr>
            </w:pPr>
            <w:r w:rsidRPr="006977C3">
              <w:rPr>
                <w:rFonts w:cs="Arial"/>
                <w:sz w:val="20"/>
                <w:szCs w:val="20"/>
              </w:rPr>
              <w:t xml:space="preserve">Limitations, ethical approval where reported, </w:t>
            </w:r>
            <w:r w:rsidR="00B85EEC" w:rsidRPr="006977C3">
              <w:rPr>
                <w:rFonts w:cs="Arial"/>
                <w:sz w:val="20"/>
                <w:szCs w:val="20"/>
              </w:rPr>
              <w:t>CASP judgement, initial code and thematic category</w:t>
            </w:r>
          </w:p>
        </w:tc>
      </w:tr>
    </w:tbl>
    <w:p w14:paraId="41E777BC" w14:textId="65AEB771" w:rsidR="000F7EE2" w:rsidRPr="007F002D" w:rsidRDefault="000F7EE2" w:rsidP="00462CB9">
      <w:pPr>
        <w:pStyle w:val="Heading2"/>
        <w:rPr>
          <w:rFonts w:cs="Arial"/>
          <w:sz w:val="28"/>
          <w:szCs w:val="28"/>
        </w:rPr>
      </w:pPr>
      <w:bookmarkStart w:id="103" w:name="_Toc240666920"/>
      <w:bookmarkStart w:id="104" w:name="_Toc241090895"/>
      <w:r w:rsidRPr="007F002D">
        <w:rPr>
          <w:rFonts w:cs="Arial"/>
          <w:sz w:val="28"/>
          <w:szCs w:val="28"/>
        </w:rPr>
        <w:t>3.</w:t>
      </w:r>
      <w:r w:rsidR="003A45A2" w:rsidRPr="007F002D">
        <w:rPr>
          <w:rFonts w:cs="Arial"/>
          <w:sz w:val="28"/>
          <w:szCs w:val="28"/>
        </w:rPr>
        <w:t>8</w:t>
      </w:r>
      <w:r w:rsidRPr="007F002D">
        <w:rPr>
          <w:rFonts w:cs="Arial"/>
          <w:sz w:val="28"/>
          <w:szCs w:val="28"/>
        </w:rPr>
        <w:t xml:space="preserve"> Thematic Analysis</w:t>
      </w:r>
      <w:bookmarkEnd w:id="103"/>
      <w:bookmarkEnd w:id="104"/>
    </w:p>
    <w:p w14:paraId="275DBF2A" w14:textId="77777777" w:rsidR="000F7EE2" w:rsidRPr="00C07BB7" w:rsidRDefault="000F7EE2" w:rsidP="00462CB9">
      <w:pPr>
        <w:rPr>
          <w:rFonts w:cs="Arial"/>
        </w:rPr>
      </w:pPr>
      <w:r w:rsidRPr="00C07BB7">
        <w:rPr>
          <w:rFonts w:cs="Arial"/>
        </w:rPr>
        <w:t>The results were extracted from the included studies and analysed and integrated using thematic analysis. This was chosen as it included a review of diverse evidence, including cohort studies, intervention research, qualitative studies and service evaluations. Thematic analysis, in contrast to statistical combination of different populations, exposure, intervention and outcome, allowed for identification of recurrent patterns in the evidence base that could be compared to the research question. The analysis mainly concentrated on the results of each included study and not on re-analysis of the original data of the participants.</w:t>
      </w:r>
    </w:p>
    <w:p w14:paraId="527B6DA5" w14:textId="77777777" w:rsidR="000F7EE2" w:rsidRPr="00C07BB7" w:rsidRDefault="000F7EE2" w:rsidP="00462CB9">
      <w:pPr>
        <w:rPr>
          <w:rFonts w:cs="Arial"/>
        </w:rPr>
      </w:pPr>
      <w:r w:rsidRPr="00C07BB7">
        <w:rPr>
          <w:rFonts w:cs="Arial"/>
        </w:rPr>
        <w:t>The thematic analysis was structured in familiarisation, coding, development of themes, revision, definition and reporting. First, the information retrieved from each study was read many times to familiarise oneself with the information. Second, the results of this research were coded with initial codes, which were related to themes like CKD progression, obesity, diet, physical activity, environmental exposure, eligibility for treatment, risk stratification, self-management and integrated care. The research goals were used as a compass to guide the coding, but were flexible enough to accommodate patterns that emerged from the studies included.</w:t>
      </w:r>
    </w:p>
    <w:p w14:paraId="642A4667" w14:textId="77777777" w:rsidR="000F7EE2" w:rsidRPr="00C07BB7" w:rsidRDefault="000F7EE2" w:rsidP="00462CB9">
      <w:pPr>
        <w:rPr>
          <w:rFonts w:cs="Arial"/>
        </w:rPr>
      </w:pPr>
      <w:r w:rsidRPr="00C07BB7">
        <w:rPr>
          <w:rFonts w:cs="Arial"/>
        </w:rPr>
        <w:t>These were then compared and coded into wider themes of candidates. The themes were compared with the evidence extracted from the studies to ensure that they were the themes that existed in the studies and not a result of a single study. The themes that were discussed in the final presentation were epidemiology, prevalence and burden of CKD; clinical and metabolic risk factors; lifestyle, social and emerging risk factors; diagnosis, screening and risk stratification; pharmacological management strategies; lifestyle, digital and patient-centred management; and integrated care and health-system management. The findings from these themes in turn were presented in Chapter Four.</w:t>
      </w:r>
    </w:p>
    <w:p w14:paraId="704F74E7" w14:textId="68914085" w:rsidR="0038603C" w:rsidRPr="00C07BB7" w:rsidRDefault="000F7EE2" w:rsidP="00462CB9">
      <w:pPr>
        <w:rPr>
          <w:rFonts w:cs="Arial"/>
        </w:rPr>
      </w:pPr>
      <w:r w:rsidRPr="00C07BB7">
        <w:rPr>
          <w:rFonts w:cs="Arial"/>
        </w:rPr>
        <w:t xml:space="preserve">In each theme, the critical appraisal informed the interpretation. Randomised controlled trials were identified and distinguished from associations observed in the data, and limitations (including self-reported exposures, the selection of the UK Biobank, and residual confounding) were taken into account when interpreting the patterns. Qualitative data were utilised in particular to explore the self-management, acceptability and patient </w:t>
      </w:r>
      <w:r w:rsidRPr="00C07BB7">
        <w:rPr>
          <w:rFonts w:cs="Arial"/>
          <w:color w:val="000000" w:themeColor="text1"/>
        </w:rPr>
        <w:t xml:space="preserve">experience. </w:t>
      </w:r>
      <w:r w:rsidR="00C20A24" w:rsidRPr="00C07BB7">
        <w:rPr>
          <w:rFonts w:cs="Arial"/>
          <w:color w:val="000000" w:themeColor="text1"/>
        </w:rPr>
        <w:t>After induction of the themes, the Health Belief Model (HBM) presented in Chapter Two was used as a secondary interpretative framework. The HBM was not applied as a deductive coding structure, as this would have forced individual-behaviour constructs on evidence relating to the broader structural and health-system determinants. Rather, the model has been applied following the development of the themes to explain results for perceived susceptibility, perceived severity, perceived benefits, perceived barriers, cues to action, and self-efficacy.</w:t>
      </w:r>
    </w:p>
    <w:p w14:paraId="3330BBFD" w14:textId="77777777" w:rsidR="00FF77A2" w:rsidRPr="001E1253" w:rsidRDefault="00FF77A2" w:rsidP="00462CB9">
      <w:pPr>
        <w:rPr>
          <w:rFonts w:cs="Arial"/>
          <w:sz w:val="24"/>
          <w:szCs w:val="24"/>
        </w:rPr>
      </w:pPr>
      <w:r w:rsidRPr="009B73CF">
        <w:rPr>
          <w:rFonts w:cs="Arial"/>
          <w:b/>
          <w:bCs/>
          <w:sz w:val="24"/>
          <w:szCs w:val="24"/>
        </w:rPr>
        <w:t>Table 3.4.</w:t>
      </w:r>
      <w:r w:rsidRPr="001E1253">
        <w:rPr>
          <w:rFonts w:cs="Arial"/>
          <w:sz w:val="24"/>
          <w:szCs w:val="24"/>
        </w:rPr>
        <w:t xml:space="preserve"> Initial Coding and Theme Development Framework</w:t>
      </w:r>
    </w:p>
    <w:tbl>
      <w:tblPr>
        <w:tblStyle w:val="TableGrid"/>
        <w:tblW w:w="0" w:type="auto"/>
        <w:tblLook w:val="04A0" w:firstRow="1" w:lastRow="0" w:firstColumn="1" w:lastColumn="0" w:noHBand="0" w:noVBand="1"/>
      </w:tblPr>
      <w:tblGrid>
        <w:gridCol w:w="4586"/>
        <w:gridCol w:w="3936"/>
      </w:tblGrid>
      <w:tr w:rsidR="00FF77A2" w:rsidRPr="001E1253" w14:paraId="3AB0AF24" w14:textId="77777777" w:rsidTr="00FF77A2">
        <w:tc>
          <w:tcPr>
            <w:tcW w:w="0" w:type="auto"/>
            <w:hideMark/>
          </w:tcPr>
          <w:p w14:paraId="6FA8A15D" w14:textId="77777777" w:rsidR="00FF77A2" w:rsidRPr="001E1253" w:rsidRDefault="00FF77A2" w:rsidP="00462CB9">
            <w:pPr>
              <w:rPr>
                <w:rFonts w:cs="Arial"/>
                <w:b/>
                <w:bCs/>
                <w:sz w:val="20"/>
                <w:szCs w:val="20"/>
              </w:rPr>
            </w:pPr>
            <w:r w:rsidRPr="001E1253">
              <w:rPr>
                <w:rFonts w:cs="Arial"/>
                <w:b/>
                <w:bCs/>
                <w:sz w:val="20"/>
                <w:szCs w:val="20"/>
              </w:rPr>
              <w:t>Initial codes</w:t>
            </w:r>
          </w:p>
        </w:tc>
        <w:tc>
          <w:tcPr>
            <w:tcW w:w="0" w:type="auto"/>
            <w:hideMark/>
          </w:tcPr>
          <w:p w14:paraId="33435F6D" w14:textId="77777777" w:rsidR="00FF77A2" w:rsidRPr="001E1253" w:rsidRDefault="00FF77A2" w:rsidP="00462CB9">
            <w:pPr>
              <w:rPr>
                <w:rFonts w:cs="Arial"/>
                <w:b/>
                <w:bCs/>
                <w:sz w:val="20"/>
                <w:szCs w:val="20"/>
              </w:rPr>
            </w:pPr>
            <w:r w:rsidRPr="001E1253">
              <w:rPr>
                <w:rFonts w:cs="Arial"/>
                <w:b/>
                <w:bCs/>
                <w:sz w:val="20"/>
                <w:szCs w:val="20"/>
              </w:rPr>
              <w:t>Final theme</w:t>
            </w:r>
          </w:p>
        </w:tc>
      </w:tr>
      <w:tr w:rsidR="00FF77A2" w:rsidRPr="001E1253" w14:paraId="483A6EDE" w14:textId="77777777" w:rsidTr="00FF77A2">
        <w:tc>
          <w:tcPr>
            <w:tcW w:w="0" w:type="auto"/>
            <w:hideMark/>
          </w:tcPr>
          <w:p w14:paraId="273BCA0D" w14:textId="77777777" w:rsidR="00FF77A2" w:rsidRPr="001E1253" w:rsidRDefault="00FF77A2" w:rsidP="00462CB9">
            <w:pPr>
              <w:rPr>
                <w:rFonts w:cs="Arial"/>
                <w:sz w:val="20"/>
                <w:szCs w:val="20"/>
              </w:rPr>
            </w:pPr>
            <w:r w:rsidRPr="001E1253">
              <w:rPr>
                <w:rFonts w:cs="Arial"/>
                <w:sz w:val="20"/>
                <w:szCs w:val="20"/>
              </w:rPr>
              <w:t>CKD progression, eGFR, albuminuria, KFRE</w:t>
            </w:r>
          </w:p>
        </w:tc>
        <w:tc>
          <w:tcPr>
            <w:tcW w:w="0" w:type="auto"/>
            <w:hideMark/>
          </w:tcPr>
          <w:p w14:paraId="3BC3239F" w14:textId="77777777" w:rsidR="00FF77A2" w:rsidRPr="001E1253" w:rsidRDefault="00FF77A2" w:rsidP="00462CB9">
            <w:pPr>
              <w:rPr>
                <w:rFonts w:cs="Arial"/>
                <w:sz w:val="20"/>
                <w:szCs w:val="20"/>
              </w:rPr>
            </w:pPr>
            <w:r w:rsidRPr="001E1253">
              <w:rPr>
                <w:rFonts w:cs="Arial"/>
                <w:sz w:val="20"/>
                <w:szCs w:val="20"/>
              </w:rPr>
              <w:t>Epidemiology, prevalence and burden</w:t>
            </w:r>
          </w:p>
        </w:tc>
      </w:tr>
      <w:tr w:rsidR="00FF77A2" w:rsidRPr="001E1253" w14:paraId="44AE6E63" w14:textId="77777777" w:rsidTr="00FF77A2">
        <w:tc>
          <w:tcPr>
            <w:tcW w:w="0" w:type="auto"/>
            <w:hideMark/>
          </w:tcPr>
          <w:p w14:paraId="04BC07E7" w14:textId="77777777" w:rsidR="00FF77A2" w:rsidRPr="001E1253" w:rsidRDefault="00FF77A2" w:rsidP="00462CB9">
            <w:pPr>
              <w:rPr>
                <w:rFonts w:cs="Arial"/>
                <w:sz w:val="20"/>
                <w:szCs w:val="20"/>
              </w:rPr>
            </w:pPr>
            <w:r w:rsidRPr="001E1253">
              <w:rPr>
                <w:rFonts w:cs="Arial"/>
                <w:sz w:val="20"/>
                <w:szCs w:val="20"/>
              </w:rPr>
              <w:t>Obesity, metabolic control, multimorbidity</w:t>
            </w:r>
          </w:p>
        </w:tc>
        <w:tc>
          <w:tcPr>
            <w:tcW w:w="0" w:type="auto"/>
            <w:hideMark/>
          </w:tcPr>
          <w:p w14:paraId="3C87E6CF" w14:textId="77777777" w:rsidR="00FF77A2" w:rsidRPr="001E1253" w:rsidRDefault="00FF77A2" w:rsidP="00462CB9">
            <w:pPr>
              <w:rPr>
                <w:rFonts w:cs="Arial"/>
                <w:sz w:val="20"/>
                <w:szCs w:val="20"/>
              </w:rPr>
            </w:pPr>
            <w:r w:rsidRPr="001E1253">
              <w:rPr>
                <w:rFonts w:cs="Arial"/>
                <w:sz w:val="20"/>
                <w:szCs w:val="20"/>
              </w:rPr>
              <w:t>Clinical and metabolic risk</w:t>
            </w:r>
          </w:p>
        </w:tc>
      </w:tr>
      <w:tr w:rsidR="00FF77A2" w:rsidRPr="001E1253" w14:paraId="0560D086" w14:textId="77777777" w:rsidTr="00FF77A2">
        <w:tc>
          <w:tcPr>
            <w:tcW w:w="0" w:type="auto"/>
            <w:hideMark/>
          </w:tcPr>
          <w:p w14:paraId="72CDA7F9" w14:textId="77777777" w:rsidR="00FF77A2" w:rsidRPr="001E1253" w:rsidRDefault="00FF77A2" w:rsidP="00462CB9">
            <w:pPr>
              <w:rPr>
                <w:rFonts w:cs="Arial"/>
                <w:sz w:val="20"/>
                <w:szCs w:val="20"/>
              </w:rPr>
            </w:pPr>
            <w:r w:rsidRPr="001E1253">
              <w:rPr>
                <w:rFonts w:cs="Arial"/>
                <w:sz w:val="20"/>
                <w:szCs w:val="20"/>
              </w:rPr>
              <w:t>Diet, physical activity, smoking, psychiatric factors, pollution</w:t>
            </w:r>
          </w:p>
        </w:tc>
        <w:tc>
          <w:tcPr>
            <w:tcW w:w="0" w:type="auto"/>
            <w:hideMark/>
          </w:tcPr>
          <w:p w14:paraId="56B1FDC2" w14:textId="77777777" w:rsidR="00FF77A2" w:rsidRPr="001E1253" w:rsidRDefault="00FF77A2" w:rsidP="00462CB9">
            <w:pPr>
              <w:rPr>
                <w:rFonts w:cs="Arial"/>
                <w:sz w:val="20"/>
                <w:szCs w:val="20"/>
              </w:rPr>
            </w:pPr>
            <w:r w:rsidRPr="001E1253">
              <w:rPr>
                <w:rFonts w:cs="Arial"/>
                <w:sz w:val="20"/>
                <w:szCs w:val="20"/>
              </w:rPr>
              <w:t>Lifestyle, social and emerging risks</w:t>
            </w:r>
          </w:p>
        </w:tc>
      </w:tr>
      <w:tr w:rsidR="00FF77A2" w:rsidRPr="001E1253" w14:paraId="6267A147" w14:textId="77777777" w:rsidTr="00FF77A2">
        <w:tc>
          <w:tcPr>
            <w:tcW w:w="0" w:type="auto"/>
            <w:hideMark/>
          </w:tcPr>
          <w:p w14:paraId="6E2C5E5F" w14:textId="77777777" w:rsidR="00FF77A2" w:rsidRPr="001E1253" w:rsidRDefault="00FF77A2" w:rsidP="00462CB9">
            <w:pPr>
              <w:rPr>
                <w:rFonts w:cs="Arial"/>
                <w:sz w:val="20"/>
                <w:szCs w:val="20"/>
              </w:rPr>
            </w:pPr>
            <w:r w:rsidRPr="001E1253">
              <w:rPr>
                <w:rFonts w:cs="Arial"/>
                <w:sz w:val="20"/>
                <w:szCs w:val="20"/>
              </w:rPr>
              <w:t>Testing, recognition, referral, KFRE</w:t>
            </w:r>
          </w:p>
        </w:tc>
        <w:tc>
          <w:tcPr>
            <w:tcW w:w="0" w:type="auto"/>
            <w:hideMark/>
          </w:tcPr>
          <w:p w14:paraId="372D5D78" w14:textId="77777777" w:rsidR="00FF77A2" w:rsidRPr="001E1253" w:rsidRDefault="00FF77A2" w:rsidP="00462CB9">
            <w:pPr>
              <w:rPr>
                <w:rFonts w:cs="Arial"/>
                <w:sz w:val="20"/>
                <w:szCs w:val="20"/>
              </w:rPr>
            </w:pPr>
            <w:r w:rsidRPr="001E1253">
              <w:rPr>
                <w:rFonts w:cs="Arial"/>
                <w:sz w:val="20"/>
                <w:szCs w:val="20"/>
              </w:rPr>
              <w:t>Diagnosis, screening and risk stratification</w:t>
            </w:r>
          </w:p>
        </w:tc>
      </w:tr>
      <w:tr w:rsidR="00FF77A2" w:rsidRPr="001E1253" w14:paraId="7CCAF378" w14:textId="77777777" w:rsidTr="00FF77A2">
        <w:tc>
          <w:tcPr>
            <w:tcW w:w="0" w:type="auto"/>
            <w:hideMark/>
          </w:tcPr>
          <w:p w14:paraId="3CA31515" w14:textId="77777777" w:rsidR="00FF77A2" w:rsidRPr="001E1253" w:rsidRDefault="00FF77A2" w:rsidP="00462CB9">
            <w:pPr>
              <w:rPr>
                <w:rFonts w:cs="Arial"/>
                <w:sz w:val="20"/>
                <w:szCs w:val="20"/>
              </w:rPr>
            </w:pPr>
            <w:r w:rsidRPr="001E1253">
              <w:rPr>
                <w:rFonts w:cs="Arial"/>
                <w:sz w:val="20"/>
                <w:szCs w:val="20"/>
              </w:rPr>
              <w:t>SGLT2 inhibitors, medicines optimisation</w:t>
            </w:r>
          </w:p>
        </w:tc>
        <w:tc>
          <w:tcPr>
            <w:tcW w:w="0" w:type="auto"/>
            <w:hideMark/>
          </w:tcPr>
          <w:p w14:paraId="576C9CDF" w14:textId="77777777" w:rsidR="00FF77A2" w:rsidRPr="001E1253" w:rsidRDefault="00FF77A2" w:rsidP="00462CB9">
            <w:pPr>
              <w:rPr>
                <w:rFonts w:cs="Arial"/>
                <w:sz w:val="20"/>
                <w:szCs w:val="20"/>
              </w:rPr>
            </w:pPr>
            <w:r w:rsidRPr="001E1253">
              <w:rPr>
                <w:rFonts w:cs="Arial"/>
                <w:sz w:val="20"/>
                <w:szCs w:val="20"/>
              </w:rPr>
              <w:t>Pharmacological management</w:t>
            </w:r>
          </w:p>
        </w:tc>
      </w:tr>
      <w:tr w:rsidR="00FF77A2" w:rsidRPr="001E1253" w14:paraId="016E16D4" w14:textId="77777777" w:rsidTr="00FF77A2">
        <w:tc>
          <w:tcPr>
            <w:tcW w:w="0" w:type="auto"/>
            <w:hideMark/>
          </w:tcPr>
          <w:p w14:paraId="10EB4858" w14:textId="77777777" w:rsidR="00FF77A2" w:rsidRPr="001E1253" w:rsidRDefault="00FF77A2" w:rsidP="00462CB9">
            <w:pPr>
              <w:rPr>
                <w:rFonts w:cs="Arial"/>
                <w:sz w:val="20"/>
                <w:szCs w:val="20"/>
              </w:rPr>
            </w:pPr>
            <w:r w:rsidRPr="001E1253">
              <w:rPr>
                <w:rFonts w:cs="Arial"/>
                <w:sz w:val="20"/>
                <w:szCs w:val="20"/>
              </w:rPr>
              <w:t>Digital support, exercise, self-management</w:t>
            </w:r>
          </w:p>
        </w:tc>
        <w:tc>
          <w:tcPr>
            <w:tcW w:w="0" w:type="auto"/>
            <w:hideMark/>
          </w:tcPr>
          <w:p w14:paraId="2D43144A" w14:textId="77777777" w:rsidR="00FF77A2" w:rsidRPr="001E1253" w:rsidRDefault="00FF77A2" w:rsidP="00462CB9">
            <w:pPr>
              <w:rPr>
                <w:rFonts w:cs="Arial"/>
                <w:sz w:val="20"/>
                <w:szCs w:val="20"/>
              </w:rPr>
            </w:pPr>
            <w:r w:rsidRPr="001E1253">
              <w:rPr>
                <w:rFonts w:cs="Arial"/>
                <w:sz w:val="20"/>
                <w:szCs w:val="20"/>
              </w:rPr>
              <w:t>Lifestyle, digital and patient-centred management</w:t>
            </w:r>
          </w:p>
        </w:tc>
      </w:tr>
      <w:tr w:rsidR="00FF77A2" w:rsidRPr="001E1253" w14:paraId="730ED5D9" w14:textId="77777777" w:rsidTr="00FF77A2">
        <w:tc>
          <w:tcPr>
            <w:tcW w:w="0" w:type="auto"/>
            <w:hideMark/>
          </w:tcPr>
          <w:p w14:paraId="776E827A" w14:textId="77777777" w:rsidR="00FF77A2" w:rsidRPr="001E1253" w:rsidRDefault="00FF77A2" w:rsidP="00462CB9">
            <w:pPr>
              <w:rPr>
                <w:rFonts w:cs="Arial"/>
                <w:sz w:val="20"/>
                <w:szCs w:val="20"/>
              </w:rPr>
            </w:pPr>
            <w:r w:rsidRPr="001E1253">
              <w:rPr>
                <w:rFonts w:cs="Arial"/>
                <w:sz w:val="20"/>
                <w:szCs w:val="20"/>
              </w:rPr>
              <w:t>MDT, primary–secondary care, service integration</w:t>
            </w:r>
          </w:p>
        </w:tc>
        <w:tc>
          <w:tcPr>
            <w:tcW w:w="0" w:type="auto"/>
            <w:hideMark/>
          </w:tcPr>
          <w:p w14:paraId="65907CC1" w14:textId="77777777" w:rsidR="00FF77A2" w:rsidRPr="001E1253" w:rsidRDefault="00FF77A2" w:rsidP="00462CB9">
            <w:pPr>
              <w:rPr>
                <w:rFonts w:cs="Arial"/>
                <w:sz w:val="20"/>
                <w:szCs w:val="20"/>
              </w:rPr>
            </w:pPr>
            <w:r w:rsidRPr="001E1253">
              <w:rPr>
                <w:rFonts w:cs="Arial"/>
                <w:sz w:val="20"/>
                <w:szCs w:val="20"/>
              </w:rPr>
              <w:t>Integrated care and health-system management</w:t>
            </w:r>
          </w:p>
        </w:tc>
      </w:tr>
    </w:tbl>
    <w:p w14:paraId="591FEA0E" w14:textId="77777777" w:rsidR="00FF77A2" w:rsidRPr="00C07BB7" w:rsidRDefault="00FF77A2" w:rsidP="00462CB9">
      <w:pPr>
        <w:rPr>
          <w:rFonts w:cs="Arial"/>
        </w:rPr>
      </w:pPr>
    </w:p>
    <w:p w14:paraId="18921BDB" w14:textId="4A85003A" w:rsidR="0038603C" w:rsidRPr="00EF536E" w:rsidRDefault="0038603C" w:rsidP="00462CB9">
      <w:pPr>
        <w:pStyle w:val="Heading2"/>
        <w:rPr>
          <w:rFonts w:cs="Arial"/>
          <w:sz w:val="28"/>
          <w:szCs w:val="28"/>
        </w:rPr>
      </w:pPr>
      <w:bookmarkStart w:id="105" w:name="_Toc239294391"/>
      <w:bookmarkStart w:id="106" w:name="_Toc240666921"/>
      <w:bookmarkStart w:id="107" w:name="_Toc241090896"/>
      <w:r w:rsidRPr="00EF536E">
        <w:rPr>
          <w:rFonts w:cs="Arial"/>
          <w:sz w:val="28"/>
          <w:szCs w:val="28"/>
        </w:rPr>
        <w:t>3.</w:t>
      </w:r>
      <w:r w:rsidR="0001343C" w:rsidRPr="00EF536E">
        <w:rPr>
          <w:rFonts w:cs="Arial"/>
          <w:sz w:val="28"/>
          <w:szCs w:val="28"/>
        </w:rPr>
        <w:t>9</w:t>
      </w:r>
      <w:r w:rsidRPr="00EF536E">
        <w:rPr>
          <w:rFonts w:cs="Arial"/>
          <w:sz w:val="28"/>
          <w:szCs w:val="28"/>
        </w:rPr>
        <w:t xml:space="preserve"> Ethical Considerations</w:t>
      </w:r>
      <w:bookmarkEnd w:id="105"/>
      <w:bookmarkEnd w:id="106"/>
      <w:bookmarkEnd w:id="107"/>
    </w:p>
    <w:p w14:paraId="38435EFA" w14:textId="1F223233" w:rsidR="0038603C" w:rsidRPr="00C07BB7" w:rsidRDefault="0038603C" w:rsidP="00462CB9">
      <w:pPr>
        <w:rPr>
          <w:rFonts w:cs="Arial"/>
        </w:rPr>
      </w:pPr>
      <w:r w:rsidRPr="00C07BB7">
        <w:rPr>
          <w:rFonts w:cs="Arial"/>
        </w:rPr>
        <w:t>No participants were recruited, identifiable personal information was not collected, and no clinical intervention was attempted during the review. It thus had to make use of ethically reported secondary evidence. There were, however, ethical requirements such as proper referencing, honest reporting of findings, clear selection processes, safe storage of review files and the prevention of data fabrication. If an ethics approval was reported as having been obtained in the original study, this was noted when extracting. The Review files were stored in a controlled, password-protected facility in line with research data management (UK Data Service, 2024) practices. The importance of research integrity and accountable reporting was addressed as an ongoing duty throughout the review (UKRIO, 2025; UKRI, 2026).</w:t>
      </w:r>
    </w:p>
    <w:p w14:paraId="0B9F5C10" w14:textId="4F90F7D1" w:rsidR="0038603C" w:rsidRPr="00EF536E" w:rsidRDefault="0038603C" w:rsidP="00462CB9">
      <w:pPr>
        <w:pStyle w:val="Heading2"/>
        <w:rPr>
          <w:rFonts w:cs="Arial"/>
          <w:sz w:val="28"/>
          <w:szCs w:val="28"/>
        </w:rPr>
      </w:pPr>
      <w:bookmarkStart w:id="108" w:name="_Toc239294392"/>
      <w:bookmarkStart w:id="109" w:name="_Toc240666922"/>
      <w:bookmarkStart w:id="110" w:name="_Toc241090897"/>
      <w:r w:rsidRPr="00EF536E">
        <w:rPr>
          <w:rFonts w:cs="Arial"/>
          <w:sz w:val="28"/>
          <w:szCs w:val="28"/>
        </w:rPr>
        <w:t>3.</w:t>
      </w:r>
      <w:r w:rsidR="0001343C" w:rsidRPr="00EF536E">
        <w:rPr>
          <w:rFonts w:cs="Arial"/>
          <w:sz w:val="28"/>
          <w:szCs w:val="28"/>
        </w:rPr>
        <w:t>10</w:t>
      </w:r>
      <w:r w:rsidRPr="00EF536E">
        <w:rPr>
          <w:rFonts w:cs="Arial"/>
          <w:sz w:val="28"/>
          <w:szCs w:val="28"/>
        </w:rPr>
        <w:t xml:space="preserve"> Chapter Summary</w:t>
      </w:r>
      <w:bookmarkEnd w:id="108"/>
      <w:bookmarkEnd w:id="109"/>
      <w:bookmarkEnd w:id="110"/>
    </w:p>
    <w:p w14:paraId="7B9B90F9" w14:textId="0D4A35CD" w:rsidR="00773F15" w:rsidRPr="00C07BB7" w:rsidRDefault="0038603C" w:rsidP="00462CB9">
      <w:pPr>
        <w:rPr>
          <w:rFonts w:cs="Arial"/>
        </w:rPr>
      </w:pPr>
      <w:r w:rsidRPr="00C07BB7">
        <w:rPr>
          <w:rFonts w:cs="Arial"/>
        </w:rPr>
        <w:t xml:space="preserve">The aim of this chapter was to implement a systematic and topic-specific approach to reviewing the risk factors for and treatment of CKD in the adult population in the UK. After conducting the structured review process described above, it determined the research design, search process, PRISMA reporting, CASP appraisal, data extraction, eligibility criteria, ethics and </w:t>
      </w:r>
      <w:r w:rsidR="00D17E79" w:rsidRPr="00C07BB7">
        <w:rPr>
          <w:rFonts w:cs="Arial"/>
        </w:rPr>
        <w:t>thematic</w:t>
      </w:r>
      <w:r w:rsidRPr="00C07BB7">
        <w:rPr>
          <w:rFonts w:cs="Arial"/>
        </w:rPr>
        <w:t xml:space="preserve"> synthesis. These procedures are designed together to offer a clear structure for the selection of the studies and the findings, which are discussed in Chapter Four. This will help to ensure reproducibility throughout the process.</w:t>
      </w:r>
    </w:p>
    <w:p w14:paraId="72FEA647" w14:textId="77777777" w:rsidR="00773F15" w:rsidRPr="00C07BB7" w:rsidRDefault="00773F15" w:rsidP="00462CB9">
      <w:pPr>
        <w:spacing w:after="200"/>
        <w:jc w:val="left"/>
        <w:rPr>
          <w:rFonts w:cs="Arial"/>
        </w:rPr>
      </w:pPr>
      <w:r w:rsidRPr="00C07BB7">
        <w:rPr>
          <w:rFonts w:cs="Arial"/>
        </w:rPr>
        <w:br w:type="page"/>
      </w:r>
    </w:p>
    <w:p w14:paraId="2E3DE376" w14:textId="22FED0F4" w:rsidR="00773F15" w:rsidRPr="00C07BB7" w:rsidRDefault="00773F15" w:rsidP="00462CB9">
      <w:pPr>
        <w:pStyle w:val="Heading1"/>
        <w:rPr>
          <w:rFonts w:cs="Arial"/>
        </w:rPr>
      </w:pPr>
      <w:bookmarkStart w:id="111" w:name="_Toc239757492"/>
      <w:bookmarkStart w:id="112" w:name="_Toc240666923"/>
      <w:bookmarkStart w:id="113" w:name="_Toc241090898"/>
      <w:r w:rsidRPr="00C07BB7">
        <w:rPr>
          <w:rFonts w:cs="Arial"/>
        </w:rPr>
        <w:t xml:space="preserve">CHAPTER </w:t>
      </w:r>
      <w:r w:rsidR="008B7BF3">
        <w:rPr>
          <w:rFonts w:cs="Arial"/>
        </w:rPr>
        <w:t>Four</w:t>
      </w:r>
      <w:r w:rsidRPr="00C07BB7">
        <w:rPr>
          <w:rFonts w:cs="Arial"/>
        </w:rPr>
        <w:t>: RESULTS AND FINDINGS</w:t>
      </w:r>
      <w:bookmarkEnd w:id="111"/>
      <w:bookmarkEnd w:id="112"/>
      <w:bookmarkEnd w:id="113"/>
    </w:p>
    <w:p w14:paraId="174BEE7A" w14:textId="77777777" w:rsidR="00773F15" w:rsidRPr="008B7BF3" w:rsidRDefault="00773F15" w:rsidP="00462CB9">
      <w:pPr>
        <w:pStyle w:val="Heading2"/>
        <w:rPr>
          <w:rFonts w:cs="Arial"/>
          <w:sz w:val="28"/>
          <w:szCs w:val="28"/>
        </w:rPr>
      </w:pPr>
      <w:bookmarkStart w:id="114" w:name="_Toc239757493"/>
      <w:bookmarkStart w:id="115" w:name="_Toc240666924"/>
      <w:bookmarkStart w:id="116" w:name="_Toc241090899"/>
      <w:r w:rsidRPr="008B7BF3">
        <w:rPr>
          <w:rFonts w:cs="Arial"/>
          <w:sz w:val="28"/>
          <w:szCs w:val="28"/>
        </w:rPr>
        <w:t>4.1 Introduction</w:t>
      </w:r>
      <w:bookmarkEnd w:id="114"/>
      <w:bookmarkEnd w:id="115"/>
      <w:bookmarkEnd w:id="116"/>
    </w:p>
    <w:p w14:paraId="5708722B" w14:textId="77777777" w:rsidR="00773F15" w:rsidRPr="00C07BB7" w:rsidRDefault="00773F15" w:rsidP="00462CB9">
      <w:pPr>
        <w:rPr>
          <w:rFonts w:cs="Arial"/>
        </w:rPr>
      </w:pPr>
      <w:r w:rsidRPr="00C07BB7">
        <w:rPr>
          <w:rFonts w:cs="Arial"/>
        </w:rPr>
        <w:t>This chapter summarises the results of the systematic review, which explored the risk factors and management approaches relating to chronic kidney disease in adults in the UK. After selecting studies, critical appraisal and presentation of study characteristics, the findings extracted from the 15 studies included were analysed according to the themes using the method of thematic analysis. The findings were coded and categorised in light of similarities and categorised by patterns of difference that occurred in the observational, intervention, qualitative and service evaluation evidence in relation to the research aims, which were preserved in the interpretation. There were seven overarching themes identified with regard to the burden of CKD, clinical and metabolic risk, lifestyle and emerging risk, diagnosis and risk stratification, pharmacological management, patient-centred management and integrated care. To avoid the misinterpretation of observational (associational) evidence as being the same as intervention evidence, methodological quality has been taken into account when interpreting each theme.</w:t>
      </w:r>
    </w:p>
    <w:p w14:paraId="7A10D022" w14:textId="77777777" w:rsidR="00773F15" w:rsidRPr="005056F6" w:rsidRDefault="00773F15" w:rsidP="00462CB9">
      <w:pPr>
        <w:pStyle w:val="Heading2"/>
        <w:rPr>
          <w:rFonts w:cs="Arial"/>
          <w:sz w:val="28"/>
          <w:szCs w:val="28"/>
        </w:rPr>
      </w:pPr>
      <w:bookmarkStart w:id="117" w:name="_Toc239757494"/>
      <w:bookmarkStart w:id="118" w:name="_Toc240666925"/>
      <w:bookmarkStart w:id="119" w:name="_Toc241090900"/>
      <w:r w:rsidRPr="005056F6">
        <w:rPr>
          <w:rFonts w:cs="Arial"/>
          <w:sz w:val="28"/>
          <w:szCs w:val="28"/>
        </w:rPr>
        <w:t>4.2 PRISMA Study Selection</w:t>
      </w:r>
      <w:bookmarkEnd w:id="117"/>
      <w:bookmarkEnd w:id="118"/>
      <w:bookmarkEnd w:id="119"/>
    </w:p>
    <w:p w14:paraId="720D937F" w14:textId="77777777" w:rsidR="00773F15" w:rsidRPr="00C07BB7" w:rsidRDefault="00773F15" w:rsidP="00462CB9">
      <w:pPr>
        <w:rPr>
          <w:rFonts w:cs="Arial"/>
        </w:rPr>
      </w:pPr>
      <w:r w:rsidRPr="00C07BB7">
        <w:rPr>
          <w:rFonts w:cs="Arial"/>
        </w:rPr>
        <w:t>The PRISMA study-selection process started with a total of 380 records (365 from the database and 15 from hand searching). 300 records were left for title and abstract screening after 80 duplicate records were deleted. In this step, 240 records were rejected due to the set criteria for review, and 60 reports were retrieved for full-text review. Of the 60 reports, all were reviewed for eligibility. An additional 45 studies were excluded: 16 were set incorrectly or had an inappropriate population, 14 had an inappropriate focus or outcome, 9 had an inappropriate study design, and 6 were outside the time limits or were not available in full text. 15 studies met all inclusion criteria and were included overall in the final systematic review and narrative synthesis.</w:t>
      </w:r>
    </w:p>
    <w:p w14:paraId="0DE065C0" w14:textId="77777777" w:rsidR="00773F15" w:rsidRPr="00C07BB7" w:rsidRDefault="00773F15" w:rsidP="00462CB9">
      <w:pPr>
        <w:spacing w:after="200"/>
        <w:jc w:val="left"/>
        <w:rPr>
          <w:rFonts w:cs="Arial"/>
        </w:rPr>
      </w:pPr>
      <w:r w:rsidRPr="00C07BB7">
        <w:rPr>
          <w:rFonts w:cs="Arial"/>
        </w:rPr>
        <w:br w:type="page"/>
      </w:r>
    </w:p>
    <w:p w14:paraId="74AC3EE7" w14:textId="4ECD3DFB" w:rsidR="00773F15" w:rsidRPr="005056F6" w:rsidRDefault="00773F15" w:rsidP="00462CB9">
      <w:pPr>
        <w:rPr>
          <w:rFonts w:cs="Arial"/>
          <w:sz w:val="24"/>
          <w:szCs w:val="24"/>
        </w:rPr>
      </w:pPr>
      <w:r w:rsidRPr="005056F6">
        <w:rPr>
          <w:rFonts w:cs="Arial"/>
          <w:sz w:val="24"/>
          <w:szCs w:val="24"/>
        </w:rPr>
        <w:t>Figure 4.1. PRISMA-</w:t>
      </w:r>
      <w:r w:rsidR="009B73CF" w:rsidRPr="005056F6">
        <w:rPr>
          <w:rFonts w:cs="Arial"/>
          <w:sz w:val="24"/>
          <w:szCs w:val="24"/>
        </w:rPr>
        <w:t xml:space="preserve">Aligned Study-Selection Pathway </w:t>
      </w:r>
    </w:p>
    <w:tbl>
      <w:tblPr>
        <w:tblW w:w="8820" w:type="dxa"/>
        <w:tblInd w:w="30" w:type="dxa"/>
        <w:tblLayout w:type="fixed"/>
        <w:tblLook w:val="04A0" w:firstRow="1" w:lastRow="0" w:firstColumn="1" w:lastColumn="0" w:noHBand="0" w:noVBand="1"/>
      </w:tblPr>
      <w:tblGrid>
        <w:gridCol w:w="331"/>
        <w:gridCol w:w="172"/>
        <w:gridCol w:w="3997"/>
        <w:gridCol w:w="630"/>
        <w:gridCol w:w="3690"/>
      </w:tblGrid>
      <w:tr w:rsidR="00773F15" w:rsidRPr="005056F6" w14:paraId="5AB52147" w14:textId="77777777" w:rsidTr="005056F6">
        <w:trPr>
          <w:trHeight w:hRule="exact" w:val="2586"/>
        </w:trPr>
        <w:tc>
          <w:tcPr>
            <w:tcW w:w="331" w:type="dxa"/>
            <w:vMerge w:val="restart"/>
            <w:tcBorders>
              <w:top w:val="single" w:sz="12" w:space="0" w:color="1F1F1F"/>
              <w:left w:val="single" w:sz="12" w:space="0" w:color="1F1F1F"/>
              <w:bottom w:val="single" w:sz="12" w:space="0" w:color="1F1F1F"/>
              <w:right w:val="single" w:sz="12" w:space="0" w:color="1F1F1F"/>
            </w:tcBorders>
            <w:shd w:val="clear" w:color="auto" w:fill="5B9BD5"/>
            <w:tcMar>
              <w:top w:w="30" w:type="dxa"/>
              <w:left w:w="30" w:type="dxa"/>
              <w:bottom w:w="30" w:type="dxa"/>
              <w:right w:w="30" w:type="dxa"/>
            </w:tcMar>
            <w:textDirection w:val="btLr"/>
            <w:vAlign w:val="center"/>
          </w:tcPr>
          <w:p w14:paraId="0EF6210D" w14:textId="77777777" w:rsidR="00773F15" w:rsidRPr="005056F6" w:rsidRDefault="00773F15" w:rsidP="00462CB9">
            <w:pPr>
              <w:spacing w:after="0"/>
              <w:jc w:val="center"/>
              <w:rPr>
                <w:rFonts w:cs="Arial"/>
                <w:sz w:val="20"/>
                <w:szCs w:val="20"/>
              </w:rPr>
            </w:pPr>
            <w:r w:rsidRPr="005056F6">
              <w:rPr>
                <w:rFonts w:cs="Arial"/>
                <w:sz w:val="20"/>
                <w:szCs w:val="20"/>
              </w:rPr>
              <w:t>Identification</w:t>
            </w:r>
          </w:p>
        </w:tc>
        <w:tc>
          <w:tcPr>
            <w:tcW w:w="172" w:type="dxa"/>
            <w:tcBorders>
              <w:top w:val="nil"/>
              <w:left w:val="nil"/>
              <w:bottom w:val="nil"/>
              <w:right w:val="nil"/>
            </w:tcBorders>
            <w:tcMar>
              <w:top w:w="0" w:type="dxa"/>
              <w:left w:w="0" w:type="dxa"/>
              <w:bottom w:w="0" w:type="dxa"/>
              <w:right w:w="0" w:type="dxa"/>
            </w:tcMar>
            <w:vAlign w:val="center"/>
          </w:tcPr>
          <w:p w14:paraId="135EB064" w14:textId="77777777" w:rsidR="00773F15" w:rsidRPr="005056F6" w:rsidRDefault="00773F15" w:rsidP="00462CB9">
            <w:pPr>
              <w:rPr>
                <w:rFonts w:cs="Arial"/>
                <w:sz w:val="20"/>
                <w:szCs w:val="20"/>
              </w:rPr>
            </w:pPr>
          </w:p>
        </w:tc>
        <w:tc>
          <w:tcPr>
            <w:tcW w:w="3997" w:type="dxa"/>
            <w:tcBorders>
              <w:top w:val="single" w:sz="12" w:space="0" w:color="1F1F1F"/>
              <w:left w:val="single" w:sz="12" w:space="0" w:color="1F1F1F"/>
              <w:bottom w:val="single" w:sz="12" w:space="0" w:color="1F1F1F"/>
              <w:right w:val="single" w:sz="12" w:space="0" w:color="1F1F1F"/>
            </w:tcBorders>
            <w:shd w:val="clear" w:color="auto" w:fill="F2F2F2"/>
            <w:tcMar>
              <w:top w:w="90" w:type="dxa"/>
              <w:left w:w="130" w:type="dxa"/>
              <w:bottom w:w="90" w:type="dxa"/>
              <w:right w:w="130" w:type="dxa"/>
            </w:tcMar>
            <w:vAlign w:val="center"/>
          </w:tcPr>
          <w:p w14:paraId="154210C0" w14:textId="77777777" w:rsidR="006F32C5" w:rsidRPr="005056F6" w:rsidRDefault="00773F15" w:rsidP="005056F6">
            <w:pPr>
              <w:spacing w:after="0"/>
              <w:jc w:val="left"/>
              <w:rPr>
                <w:rFonts w:cs="Arial"/>
                <w:sz w:val="20"/>
                <w:szCs w:val="20"/>
              </w:rPr>
            </w:pPr>
            <w:r w:rsidRPr="005056F6">
              <w:rPr>
                <w:rFonts w:cs="Arial"/>
                <w:sz w:val="20"/>
                <w:szCs w:val="20"/>
              </w:rPr>
              <w:t>Records identified from</w:t>
            </w:r>
          </w:p>
          <w:p w14:paraId="228958E3" w14:textId="77777777" w:rsidR="006F32C5" w:rsidRPr="005056F6" w:rsidRDefault="006F32C5" w:rsidP="005056F6">
            <w:pPr>
              <w:spacing w:after="0"/>
              <w:jc w:val="left"/>
              <w:rPr>
                <w:rFonts w:cs="Arial"/>
                <w:sz w:val="20"/>
                <w:szCs w:val="20"/>
              </w:rPr>
            </w:pPr>
            <w:r w:rsidRPr="005056F6">
              <w:rPr>
                <w:rFonts w:cs="Arial"/>
                <w:sz w:val="20"/>
                <w:szCs w:val="20"/>
              </w:rPr>
              <w:t xml:space="preserve">MEDLINE via PubMed: </w:t>
            </w:r>
            <w:r w:rsidRPr="005056F6">
              <w:rPr>
                <w:rFonts w:cs="Arial"/>
                <w:b/>
                <w:bCs/>
                <w:sz w:val="20"/>
                <w:szCs w:val="20"/>
              </w:rPr>
              <w:t>n = 128</w:t>
            </w:r>
            <w:r w:rsidRPr="005056F6">
              <w:rPr>
                <w:rFonts w:cs="Arial"/>
                <w:sz w:val="20"/>
                <w:szCs w:val="20"/>
              </w:rPr>
              <w:t xml:space="preserve"> </w:t>
            </w:r>
          </w:p>
          <w:p w14:paraId="0A23CCB7" w14:textId="77777777" w:rsidR="006F32C5" w:rsidRPr="005056F6" w:rsidRDefault="006F32C5" w:rsidP="005056F6">
            <w:pPr>
              <w:spacing w:after="0"/>
              <w:jc w:val="left"/>
              <w:rPr>
                <w:rFonts w:cs="Arial"/>
                <w:sz w:val="20"/>
                <w:szCs w:val="20"/>
              </w:rPr>
            </w:pPr>
            <w:r w:rsidRPr="005056F6">
              <w:rPr>
                <w:rFonts w:cs="Arial"/>
                <w:sz w:val="20"/>
                <w:szCs w:val="20"/>
              </w:rPr>
              <w:t xml:space="preserve">CINAHL via EBSCOhost: </w:t>
            </w:r>
            <w:r w:rsidRPr="005056F6">
              <w:rPr>
                <w:rFonts w:cs="Arial"/>
                <w:b/>
                <w:bCs/>
                <w:sz w:val="20"/>
                <w:szCs w:val="20"/>
              </w:rPr>
              <w:t>n = 74</w:t>
            </w:r>
            <w:r w:rsidRPr="005056F6">
              <w:rPr>
                <w:rFonts w:cs="Arial"/>
                <w:sz w:val="20"/>
                <w:szCs w:val="20"/>
              </w:rPr>
              <w:t xml:space="preserve"> </w:t>
            </w:r>
          </w:p>
          <w:p w14:paraId="1A715090" w14:textId="77777777" w:rsidR="006F32C5" w:rsidRPr="005056F6" w:rsidRDefault="006F32C5" w:rsidP="005056F6">
            <w:pPr>
              <w:spacing w:after="0"/>
              <w:jc w:val="left"/>
              <w:rPr>
                <w:rFonts w:cs="Arial"/>
                <w:sz w:val="20"/>
                <w:szCs w:val="20"/>
              </w:rPr>
            </w:pPr>
            <w:r w:rsidRPr="005056F6">
              <w:rPr>
                <w:rFonts w:cs="Arial"/>
                <w:sz w:val="20"/>
                <w:szCs w:val="20"/>
              </w:rPr>
              <w:t xml:space="preserve">Academic Search Complete: </w:t>
            </w:r>
            <w:r w:rsidRPr="005056F6">
              <w:rPr>
                <w:rFonts w:cs="Arial"/>
                <w:b/>
                <w:bCs/>
                <w:sz w:val="20"/>
                <w:szCs w:val="20"/>
              </w:rPr>
              <w:t>n = 69</w:t>
            </w:r>
            <w:r w:rsidRPr="005056F6">
              <w:rPr>
                <w:rFonts w:cs="Arial"/>
                <w:sz w:val="20"/>
                <w:szCs w:val="20"/>
              </w:rPr>
              <w:t xml:space="preserve"> </w:t>
            </w:r>
          </w:p>
          <w:p w14:paraId="32A19670" w14:textId="082C741D" w:rsidR="00773F15" w:rsidRPr="005056F6" w:rsidRDefault="006F32C5" w:rsidP="005056F6">
            <w:pPr>
              <w:spacing w:after="0"/>
              <w:jc w:val="left"/>
              <w:rPr>
                <w:rFonts w:cs="Arial"/>
                <w:sz w:val="20"/>
                <w:szCs w:val="20"/>
              </w:rPr>
            </w:pPr>
            <w:r w:rsidRPr="005056F6">
              <w:rPr>
                <w:rFonts w:cs="Arial"/>
                <w:sz w:val="20"/>
                <w:szCs w:val="20"/>
              </w:rPr>
              <w:t xml:space="preserve">Web of Science Core Collection: </w:t>
            </w:r>
            <w:r w:rsidRPr="005056F6">
              <w:rPr>
                <w:rFonts w:cs="Arial"/>
                <w:b/>
                <w:bCs/>
                <w:sz w:val="20"/>
                <w:szCs w:val="20"/>
              </w:rPr>
              <w:t>n = 94</w:t>
            </w:r>
            <w:r w:rsidR="00773F15" w:rsidRPr="005056F6">
              <w:rPr>
                <w:rFonts w:cs="Arial"/>
                <w:sz w:val="20"/>
                <w:szCs w:val="20"/>
              </w:rPr>
              <w:br/>
              <w:t xml:space="preserve">Databases </w:t>
            </w:r>
            <w:r w:rsidR="00773F15" w:rsidRPr="005056F6">
              <w:rPr>
                <w:rFonts w:cs="Arial"/>
                <w:b/>
                <w:bCs/>
                <w:sz w:val="20"/>
                <w:szCs w:val="20"/>
              </w:rPr>
              <w:t>(n = 365)</w:t>
            </w:r>
            <w:r w:rsidR="00773F15" w:rsidRPr="005056F6">
              <w:rPr>
                <w:rFonts w:cs="Arial"/>
                <w:sz w:val="20"/>
                <w:szCs w:val="20"/>
              </w:rPr>
              <w:br/>
              <w:t xml:space="preserve">Hand searches </w:t>
            </w:r>
            <w:r w:rsidR="00773F15" w:rsidRPr="005056F6">
              <w:rPr>
                <w:rFonts w:cs="Arial"/>
                <w:b/>
                <w:bCs/>
                <w:sz w:val="20"/>
                <w:szCs w:val="20"/>
              </w:rPr>
              <w:t>(n = 15)</w:t>
            </w:r>
            <w:r w:rsidR="00773F15" w:rsidRPr="005056F6">
              <w:rPr>
                <w:rFonts w:cs="Arial"/>
                <w:sz w:val="20"/>
                <w:szCs w:val="20"/>
              </w:rPr>
              <w:br/>
              <w:t>Total records identified (n = 380)</w:t>
            </w:r>
          </w:p>
        </w:tc>
        <w:tc>
          <w:tcPr>
            <w:tcW w:w="630" w:type="dxa"/>
            <w:tcBorders>
              <w:top w:val="nil"/>
              <w:left w:val="nil"/>
              <w:bottom w:val="nil"/>
              <w:right w:val="nil"/>
            </w:tcBorders>
            <w:tcMar>
              <w:top w:w="0" w:type="dxa"/>
              <w:left w:w="0" w:type="dxa"/>
              <w:bottom w:w="0" w:type="dxa"/>
              <w:right w:w="0" w:type="dxa"/>
            </w:tcMar>
            <w:vAlign w:val="center"/>
          </w:tcPr>
          <w:p w14:paraId="7C1523AC" w14:textId="77777777" w:rsidR="00773F15" w:rsidRPr="005056F6" w:rsidRDefault="00773F15" w:rsidP="00462CB9">
            <w:pPr>
              <w:spacing w:after="0"/>
              <w:jc w:val="center"/>
              <w:rPr>
                <w:rFonts w:cs="Arial"/>
                <w:sz w:val="20"/>
                <w:szCs w:val="20"/>
              </w:rPr>
            </w:pPr>
            <w:r w:rsidRPr="005056F6">
              <w:rPr>
                <w:rFonts w:eastAsia="DejaVu Sans" w:cs="Arial"/>
                <w:b/>
                <w:sz w:val="20"/>
                <w:szCs w:val="20"/>
              </w:rPr>
              <w:t>→</w:t>
            </w:r>
          </w:p>
        </w:tc>
        <w:tc>
          <w:tcPr>
            <w:tcW w:w="3690" w:type="dxa"/>
            <w:tcBorders>
              <w:top w:val="single" w:sz="12" w:space="0" w:color="1F1F1F"/>
              <w:left w:val="single" w:sz="12" w:space="0" w:color="1F1F1F"/>
              <w:bottom w:val="single" w:sz="12" w:space="0" w:color="1F1F1F"/>
              <w:right w:val="single" w:sz="12" w:space="0" w:color="1F1F1F"/>
            </w:tcBorders>
            <w:shd w:val="clear" w:color="auto" w:fill="F2F2F2"/>
            <w:tcMar>
              <w:top w:w="90" w:type="dxa"/>
              <w:left w:w="130" w:type="dxa"/>
              <w:bottom w:w="90" w:type="dxa"/>
              <w:right w:w="130" w:type="dxa"/>
            </w:tcMar>
            <w:vAlign w:val="center"/>
          </w:tcPr>
          <w:p w14:paraId="52066748" w14:textId="77777777" w:rsidR="00773F15" w:rsidRPr="005056F6" w:rsidRDefault="00773F15" w:rsidP="00462CB9">
            <w:pPr>
              <w:spacing w:after="0"/>
              <w:jc w:val="center"/>
              <w:rPr>
                <w:rFonts w:cs="Arial"/>
                <w:sz w:val="20"/>
                <w:szCs w:val="20"/>
              </w:rPr>
            </w:pPr>
            <w:r w:rsidRPr="005056F6">
              <w:rPr>
                <w:rFonts w:cs="Arial"/>
                <w:sz w:val="20"/>
                <w:szCs w:val="20"/>
              </w:rPr>
              <w:t>Records removed before screening:</w:t>
            </w:r>
            <w:r w:rsidRPr="005056F6">
              <w:rPr>
                <w:rFonts w:cs="Arial"/>
                <w:sz w:val="20"/>
                <w:szCs w:val="20"/>
              </w:rPr>
              <w:br/>
              <w:t>Duplicate records removed (n = 80)</w:t>
            </w:r>
          </w:p>
        </w:tc>
      </w:tr>
      <w:tr w:rsidR="00773F15" w:rsidRPr="005056F6" w14:paraId="76F8332D" w14:textId="77777777" w:rsidTr="005056F6">
        <w:trPr>
          <w:trHeight w:hRule="exact" w:val="453"/>
        </w:trPr>
        <w:tc>
          <w:tcPr>
            <w:tcW w:w="331" w:type="dxa"/>
            <w:vMerge/>
            <w:tcBorders>
              <w:top w:val="nil"/>
              <w:left w:val="nil"/>
              <w:bottom w:val="nil"/>
              <w:right w:val="nil"/>
            </w:tcBorders>
            <w:tcMar>
              <w:top w:w="0" w:type="dxa"/>
              <w:left w:w="0" w:type="dxa"/>
              <w:bottom w:w="0" w:type="dxa"/>
              <w:right w:w="0" w:type="dxa"/>
            </w:tcMar>
            <w:vAlign w:val="center"/>
          </w:tcPr>
          <w:p w14:paraId="71CA7EC0" w14:textId="77777777" w:rsidR="00773F15" w:rsidRPr="005056F6" w:rsidRDefault="00773F15" w:rsidP="00462CB9">
            <w:pPr>
              <w:rPr>
                <w:rFonts w:cs="Arial"/>
                <w:sz w:val="20"/>
                <w:szCs w:val="20"/>
              </w:rPr>
            </w:pPr>
          </w:p>
        </w:tc>
        <w:tc>
          <w:tcPr>
            <w:tcW w:w="172" w:type="dxa"/>
            <w:tcBorders>
              <w:top w:val="nil"/>
              <w:left w:val="nil"/>
              <w:bottom w:val="nil"/>
              <w:right w:val="nil"/>
            </w:tcBorders>
            <w:tcMar>
              <w:top w:w="0" w:type="dxa"/>
              <w:left w:w="0" w:type="dxa"/>
              <w:bottom w:w="0" w:type="dxa"/>
              <w:right w:w="0" w:type="dxa"/>
            </w:tcMar>
            <w:vAlign w:val="center"/>
          </w:tcPr>
          <w:p w14:paraId="006D836A" w14:textId="77777777" w:rsidR="00773F15" w:rsidRPr="005056F6" w:rsidRDefault="00773F15" w:rsidP="00462CB9">
            <w:pPr>
              <w:rPr>
                <w:rFonts w:cs="Arial"/>
                <w:sz w:val="20"/>
                <w:szCs w:val="20"/>
              </w:rPr>
            </w:pPr>
          </w:p>
        </w:tc>
        <w:tc>
          <w:tcPr>
            <w:tcW w:w="3997" w:type="dxa"/>
            <w:tcBorders>
              <w:top w:val="nil"/>
              <w:left w:val="nil"/>
              <w:bottom w:val="nil"/>
              <w:right w:val="nil"/>
            </w:tcBorders>
            <w:tcMar>
              <w:top w:w="0" w:type="dxa"/>
              <w:left w:w="0" w:type="dxa"/>
              <w:bottom w:w="0" w:type="dxa"/>
              <w:right w:w="0" w:type="dxa"/>
            </w:tcMar>
            <w:vAlign w:val="center"/>
          </w:tcPr>
          <w:p w14:paraId="04573022" w14:textId="77777777" w:rsidR="00773F15" w:rsidRPr="005056F6" w:rsidRDefault="00773F15" w:rsidP="00462CB9">
            <w:pPr>
              <w:spacing w:after="0"/>
              <w:jc w:val="center"/>
              <w:rPr>
                <w:rFonts w:cs="Arial"/>
                <w:b/>
                <w:sz w:val="20"/>
                <w:szCs w:val="20"/>
              </w:rPr>
            </w:pPr>
            <w:r w:rsidRPr="005056F6">
              <w:rPr>
                <w:rFonts w:eastAsia="DejaVu Sans" w:cs="Arial"/>
                <w:b/>
                <w:sz w:val="20"/>
                <w:szCs w:val="20"/>
              </w:rPr>
              <w:t>↓</w:t>
            </w:r>
          </w:p>
        </w:tc>
        <w:tc>
          <w:tcPr>
            <w:tcW w:w="630" w:type="dxa"/>
            <w:tcBorders>
              <w:top w:val="nil"/>
              <w:left w:val="nil"/>
              <w:bottom w:val="nil"/>
              <w:right w:val="nil"/>
            </w:tcBorders>
            <w:tcMar>
              <w:top w:w="0" w:type="dxa"/>
              <w:left w:w="0" w:type="dxa"/>
              <w:bottom w:w="0" w:type="dxa"/>
              <w:right w:w="0" w:type="dxa"/>
            </w:tcMar>
            <w:vAlign w:val="center"/>
          </w:tcPr>
          <w:p w14:paraId="1FDE4BCA" w14:textId="77777777" w:rsidR="00773F15" w:rsidRPr="005056F6" w:rsidRDefault="00773F15" w:rsidP="00462CB9">
            <w:pPr>
              <w:rPr>
                <w:rFonts w:cs="Arial"/>
                <w:sz w:val="20"/>
                <w:szCs w:val="20"/>
              </w:rPr>
            </w:pPr>
          </w:p>
        </w:tc>
        <w:tc>
          <w:tcPr>
            <w:tcW w:w="3690" w:type="dxa"/>
            <w:tcBorders>
              <w:top w:val="nil"/>
              <w:left w:val="nil"/>
              <w:bottom w:val="nil"/>
              <w:right w:val="nil"/>
            </w:tcBorders>
            <w:tcMar>
              <w:top w:w="0" w:type="dxa"/>
              <w:left w:w="0" w:type="dxa"/>
              <w:bottom w:w="0" w:type="dxa"/>
              <w:right w:w="0" w:type="dxa"/>
            </w:tcMar>
            <w:vAlign w:val="center"/>
          </w:tcPr>
          <w:p w14:paraId="2E0E55A4" w14:textId="77777777" w:rsidR="00773F15" w:rsidRPr="005056F6" w:rsidRDefault="00773F15" w:rsidP="00462CB9">
            <w:pPr>
              <w:rPr>
                <w:rFonts w:cs="Arial"/>
                <w:sz w:val="20"/>
                <w:szCs w:val="20"/>
              </w:rPr>
            </w:pPr>
          </w:p>
        </w:tc>
      </w:tr>
      <w:tr w:rsidR="00773F15" w:rsidRPr="005056F6" w14:paraId="515B0B9A" w14:textId="77777777" w:rsidTr="005056F6">
        <w:trPr>
          <w:trHeight w:hRule="exact" w:val="1128"/>
        </w:trPr>
        <w:tc>
          <w:tcPr>
            <w:tcW w:w="331" w:type="dxa"/>
            <w:vMerge w:val="restart"/>
            <w:tcBorders>
              <w:top w:val="single" w:sz="12" w:space="0" w:color="1F1F1F"/>
              <w:left w:val="single" w:sz="12" w:space="0" w:color="1F1F1F"/>
              <w:bottom w:val="single" w:sz="12" w:space="0" w:color="1F1F1F"/>
              <w:right w:val="single" w:sz="12" w:space="0" w:color="1F1F1F"/>
            </w:tcBorders>
            <w:shd w:val="clear" w:color="auto" w:fill="5B9BD5"/>
            <w:tcMar>
              <w:top w:w="30" w:type="dxa"/>
              <w:left w:w="30" w:type="dxa"/>
              <w:bottom w:w="30" w:type="dxa"/>
              <w:right w:w="30" w:type="dxa"/>
            </w:tcMar>
            <w:textDirection w:val="btLr"/>
            <w:vAlign w:val="center"/>
          </w:tcPr>
          <w:p w14:paraId="2AD04F8E" w14:textId="77777777" w:rsidR="00773F15" w:rsidRPr="005056F6" w:rsidRDefault="00773F15" w:rsidP="00462CB9">
            <w:pPr>
              <w:spacing w:after="0"/>
              <w:jc w:val="center"/>
              <w:rPr>
                <w:rFonts w:cs="Arial"/>
                <w:sz w:val="20"/>
                <w:szCs w:val="20"/>
              </w:rPr>
            </w:pPr>
            <w:r w:rsidRPr="005056F6">
              <w:rPr>
                <w:rFonts w:cs="Arial"/>
                <w:sz w:val="20"/>
                <w:szCs w:val="20"/>
              </w:rPr>
              <w:t>Screening</w:t>
            </w:r>
          </w:p>
        </w:tc>
        <w:tc>
          <w:tcPr>
            <w:tcW w:w="172" w:type="dxa"/>
            <w:tcBorders>
              <w:top w:val="nil"/>
              <w:left w:val="nil"/>
              <w:bottom w:val="nil"/>
              <w:right w:val="nil"/>
            </w:tcBorders>
            <w:tcMar>
              <w:top w:w="0" w:type="dxa"/>
              <w:left w:w="0" w:type="dxa"/>
              <w:bottom w:w="0" w:type="dxa"/>
              <w:right w:w="0" w:type="dxa"/>
            </w:tcMar>
            <w:vAlign w:val="center"/>
          </w:tcPr>
          <w:p w14:paraId="1488C2BF" w14:textId="77777777" w:rsidR="00773F15" w:rsidRPr="005056F6" w:rsidRDefault="00773F15" w:rsidP="00462CB9">
            <w:pPr>
              <w:rPr>
                <w:rFonts w:cs="Arial"/>
                <w:sz w:val="20"/>
                <w:szCs w:val="20"/>
              </w:rPr>
            </w:pPr>
          </w:p>
        </w:tc>
        <w:tc>
          <w:tcPr>
            <w:tcW w:w="3997" w:type="dxa"/>
            <w:tcBorders>
              <w:top w:val="single" w:sz="12" w:space="0" w:color="1F1F1F"/>
              <w:left w:val="single" w:sz="12" w:space="0" w:color="1F1F1F"/>
              <w:bottom w:val="single" w:sz="12" w:space="0" w:color="1F1F1F"/>
              <w:right w:val="single" w:sz="12" w:space="0" w:color="1F1F1F"/>
            </w:tcBorders>
            <w:shd w:val="clear" w:color="auto" w:fill="F2F2F2"/>
            <w:tcMar>
              <w:top w:w="90" w:type="dxa"/>
              <w:left w:w="130" w:type="dxa"/>
              <w:bottom w:w="90" w:type="dxa"/>
              <w:right w:w="130" w:type="dxa"/>
            </w:tcMar>
            <w:vAlign w:val="center"/>
          </w:tcPr>
          <w:p w14:paraId="5DA3C9CA" w14:textId="77777777" w:rsidR="00773F15" w:rsidRPr="005056F6" w:rsidRDefault="00773F15" w:rsidP="00462CB9">
            <w:pPr>
              <w:spacing w:after="0"/>
              <w:jc w:val="center"/>
              <w:rPr>
                <w:rFonts w:cs="Arial"/>
                <w:sz w:val="20"/>
                <w:szCs w:val="20"/>
              </w:rPr>
            </w:pPr>
            <w:r w:rsidRPr="005056F6">
              <w:rPr>
                <w:rFonts w:cs="Arial"/>
                <w:sz w:val="20"/>
                <w:szCs w:val="20"/>
              </w:rPr>
              <w:t>Records screened</w:t>
            </w:r>
            <w:r w:rsidRPr="005056F6">
              <w:rPr>
                <w:rFonts w:cs="Arial"/>
                <w:sz w:val="20"/>
                <w:szCs w:val="20"/>
              </w:rPr>
              <w:br/>
              <w:t>(n = 300)</w:t>
            </w:r>
          </w:p>
        </w:tc>
        <w:tc>
          <w:tcPr>
            <w:tcW w:w="630" w:type="dxa"/>
            <w:tcBorders>
              <w:top w:val="nil"/>
              <w:left w:val="nil"/>
              <w:bottom w:val="nil"/>
              <w:right w:val="nil"/>
            </w:tcBorders>
            <w:tcMar>
              <w:top w:w="0" w:type="dxa"/>
              <w:left w:w="0" w:type="dxa"/>
              <w:bottom w:w="0" w:type="dxa"/>
              <w:right w:w="0" w:type="dxa"/>
            </w:tcMar>
            <w:vAlign w:val="center"/>
          </w:tcPr>
          <w:p w14:paraId="6F813142" w14:textId="77777777" w:rsidR="00773F15" w:rsidRPr="005056F6" w:rsidRDefault="00773F15" w:rsidP="00462CB9">
            <w:pPr>
              <w:spacing w:after="0"/>
              <w:jc w:val="center"/>
              <w:rPr>
                <w:rFonts w:cs="Arial"/>
                <w:sz w:val="20"/>
                <w:szCs w:val="20"/>
              </w:rPr>
            </w:pPr>
            <w:r w:rsidRPr="005056F6">
              <w:rPr>
                <w:rFonts w:eastAsia="DejaVu Sans" w:cs="Arial"/>
                <w:b/>
                <w:sz w:val="20"/>
                <w:szCs w:val="20"/>
              </w:rPr>
              <w:t>→</w:t>
            </w:r>
          </w:p>
        </w:tc>
        <w:tc>
          <w:tcPr>
            <w:tcW w:w="3690" w:type="dxa"/>
            <w:tcBorders>
              <w:top w:val="single" w:sz="12" w:space="0" w:color="1F1F1F"/>
              <w:left w:val="single" w:sz="12" w:space="0" w:color="1F1F1F"/>
              <w:bottom w:val="single" w:sz="12" w:space="0" w:color="1F1F1F"/>
              <w:right w:val="single" w:sz="12" w:space="0" w:color="1F1F1F"/>
            </w:tcBorders>
            <w:shd w:val="clear" w:color="auto" w:fill="F2F2F2"/>
            <w:tcMar>
              <w:top w:w="90" w:type="dxa"/>
              <w:left w:w="130" w:type="dxa"/>
              <w:bottom w:w="90" w:type="dxa"/>
              <w:right w:w="130" w:type="dxa"/>
            </w:tcMar>
            <w:vAlign w:val="center"/>
          </w:tcPr>
          <w:p w14:paraId="4A4B99E0" w14:textId="77777777" w:rsidR="00773F15" w:rsidRPr="005056F6" w:rsidRDefault="00773F15" w:rsidP="00462CB9">
            <w:pPr>
              <w:spacing w:after="0"/>
              <w:jc w:val="center"/>
              <w:rPr>
                <w:rFonts w:cs="Arial"/>
                <w:sz w:val="20"/>
                <w:szCs w:val="20"/>
              </w:rPr>
            </w:pPr>
            <w:r w:rsidRPr="005056F6">
              <w:rPr>
                <w:rFonts w:cs="Arial"/>
                <w:sz w:val="20"/>
                <w:szCs w:val="20"/>
              </w:rPr>
              <w:t>Records excluded based on title and abstract</w:t>
            </w:r>
            <w:r w:rsidRPr="005056F6">
              <w:rPr>
                <w:rFonts w:cs="Arial"/>
                <w:sz w:val="20"/>
                <w:szCs w:val="20"/>
              </w:rPr>
              <w:br/>
              <w:t>(n = 240)</w:t>
            </w:r>
          </w:p>
        </w:tc>
      </w:tr>
      <w:tr w:rsidR="00773F15" w:rsidRPr="005056F6" w14:paraId="12C7D519" w14:textId="77777777" w:rsidTr="005056F6">
        <w:trPr>
          <w:trHeight w:hRule="exact" w:val="399"/>
        </w:trPr>
        <w:tc>
          <w:tcPr>
            <w:tcW w:w="331" w:type="dxa"/>
            <w:vMerge/>
            <w:tcBorders>
              <w:top w:val="nil"/>
              <w:left w:val="nil"/>
              <w:bottom w:val="nil"/>
              <w:right w:val="nil"/>
            </w:tcBorders>
            <w:tcMar>
              <w:top w:w="0" w:type="dxa"/>
              <w:left w:w="0" w:type="dxa"/>
              <w:bottom w:w="0" w:type="dxa"/>
              <w:right w:w="0" w:type="dxa"/>
            </w:tcMar>
            <w:vAlign w:val="center"/>
          </w:tcPr>
          <w:p w14:paraId="2CD8FBFF" w14:textId="77777777" w:rsidR="00773F15" w:rsidRPr="005056F6" w:rsidRDefault="00773F15" w:rsidP="00462CB9">
            <w:pPr>
              <w:rPr>
                <w:rFonts w:cs="Arial"/>
                <w:sz w:val="20"/>
                <w:szCs w:val="20"/>
              </w:rPr>
            </w:pPr>
          </w:p>
        </w:tc>
        <w:tc>
          <w:tcPr>
            <w:tcW w:w="172" w:type="dxa"/>
            <w:tcBorders>
              <w:top w:val="nil"/>
              <w:left w:val="nil"/>
              <w:bottom w:val="nil"/>
              <w:right w:val="nil"/>
            </w:tcBorders>
            <w:tcMar>
              <w:top w:w="0" w:type="dxa"/>
              <w:left w:w="0" w:type="dxa"/>
              <w:bottom w:w="0" w:type="dxa"/>
              <w:right w:w="0" w:type="dxa"/>
            </w:tcMar>
            <w:vAlign w:val="center"/>
          </w:tcPr>
          <w:p w14:paraId="1B483271" w14:textId="77777777" w:rsidR="00773F15" w:rsidRPr="005056F6" w:rsidRDefault="00773F15" w:rsidP="00462CB9">
            <w:pPr>
              <w:rPr>
                <w:rFonts w:cs="Arial"/>
                <w:sz w:val="20"/>
                <w:szCs w:val="20"/>
              </w:rPr>
            </w:pPr>
          </w:p>
        </w:tc>
        <w:tc>
          <w:tcPr>
            <w:tcW w:w="3997" w:type="dxa"/>
            <w:tcBorders>
              <w:top w:val="nil"/>
              <w:left w:val="nil"/>
              <w:bottom w:val="nil"/>
              <w:right w:val="nil"/>
            </w:tcBorders>
            <w:tcMar>
              <w:top w:w="0" w:type="dxa"/>
              <w:left w:w="0" w:type="dxa"/>
              <w:bottom w:w="0" w:type="dxa"/>
              <w:right w:w="0" w:type="dxa"/>
            </w:tcMar>
            <w:vAlign w:val="center"/>
          </w:tcPr>
          <w:p w14:paraId="3BC3D37F" w14:textId="77777777" w:rsidR="00773F15" w:rsidRPr="005056F6" w:rsidRDefault="00773F15" w:rsidP="00462CB9">
            <w:pPr>
              <w:spacing w:after="0"/>
              <w:jc w:val="center"/>
              <w:rPr>
                <w:rFonts w:cs="Arial"/>
                <w:sz w:val="20"/>
                <w:szCs w:val="20"/>
              </w:rPr>
            </w:pPr>
            <w:r w:rsidRPr="005056F6">
              <w:rPr>
                <w:rFonts w:eastAsia="DejaVu Sans" w:cs="Arial"/>
                <w:b/>
                <w:sz w:val="20"/>
                <w:szCs w:val="20"/>
              </w:rPr>
              <w:t>↓</w:t>
            </w:r>
          </w:p>
        </w:tc>
        <w:tc>
          <w:tcPr>
            <w:tcW w:w="630" w:type="dxa"/>
            <w:tcBorders>
              <w:top w:val="nil"/>
              <w:left w:val="nil"/>
              <w:bottom w:val="nil"/>
              <w:right w:val="nil"/>
            </w:tcBorders>
            <w:tcMar>
              <w:top w:w="0" w:type="dxa"/>
              <w:left w:w="0" w:type="dxa"/>
              <w:bottom w:w="0" w:type="dxa"/>
              <w:right w:w="0" w:type="dxa"/>
            </w:tcMar>
            <w:vAlign w:val="center"/>
          </w:tcPr>
          <w:p w14:paraId="62957CB0" w14:textId="77777777" w:rsidR="00773F15" w:rsidRPr="005056F6" w:rsidRDefault="00773F15" w:rsidP="00462CB9">
            <w:pPr>
              <w:rPr>
                <w:rFonts w:cs="Arial"/>
                <w:sz w:val="20"/>
                <w:szCs w:val="20"/>
              </w:rPr>
            </w:pPr>
          </w:p>
        </w:tc>
        <w:tc>
          <w:tcPr>
            <w:tcW w:w="3690" w:type="dxa"/>
            <w:tcBorders>
              <w:top w:val="nil"/>
              <w:left w:val="nil"/>
              <w:bottom w:val="nil"/>
              <w:right w:val="nil"/>
            </w:tcBorders>
            <w:tcMar>
              <w:top w:w="0" w:type="dxa"/>
              <w:left w:w="0" w:type="dxa"/>
              <w:bottom w:w="0" w:type="dxa"/>
              <w:right w:w="0" w:type="dxa"/>
            </w:tcMar>
            <w:vAlign w:val="center"/>
          </w:tcPr>
          <w:p w14:paraId="1BDD45B4" w14:textId="77777777" w:rsidR="00773F15" w:rsidRPr="005056F6" w:rsidRDefault="00773F15" w:rsidP="00462CB9">
            <w:pPr>
              <w:rPr>
                <w:rFonts w:cs="Arial"/>
                <w:sz w:val="20"/>
                <w:szCs w:val="20"/>
              </w:rPr>
            </w:pPr>
          </w:p>
        </w:tc>
      </w:tr>
      <w:tr w:rsidR="00773F15" w:rsidRPr="005056F6" w14:paraId="630FA2CE" w14:textId="77777777" w:rsidTr="005056F6">
        <w:trPr>
          <w:trHeight w:hRule="exact" w:val="3639"/>
        </w:trPr>
        <w:tc>
          <w:tcPr>
            <w:tcW w:w="331" w:type="dxa"/>
            <w:vMerge/>
            <w:tcBorders>
              <w:top w:val="nil"/>
              <w:left w:val="nil"/>
              <w:bottom w:val="nil"/>
              <w:right w:val="nil"/>
            </w:tcBorders>
            <w:tcMar>
              <w:top w:w="0" w:type="dxa"/>
              <w:left w:w="0" w:type="dxa"/>
              <w:bottom w:w="0" w:type="dxa"/>
              <w:right w:w="0" w:type="dxa"/>
            </w:tcMar>
            <w:vAlign w:val="center"/>
          </w:tcPr>
          <w:p w14:paraId="1746D73B" w14:textId="77777777" w:rsidR="00773F15" w:rsidRPr="005056F6" w:rsidRDefault="00773F15" w:rsidP="00462CB9">
            <w:pPr>
              <w:rPr>
                <w:rFonts w:cs="Arial"/>
                <w:sz w:val="20"/>
                <w:szCs w:val="20"/>
              </w:rPr>
            </w:pPr>
          </w:p>
        </w:tc>
        <w:tc>
          <w:tcPr>
            <w:tcW w:w="172" w:type="dxa"/>
            <w:tcBorders>
              <w:top w:val="nil"/>
              <w:left w:val="nil"/>
              <w:bottom w:val="nil"/>
              <w:right w:val="nil"/>
            </w:tcBorders>
            <w:tcMar>
              <w:top w:w="0" w:type="dxa"/>
              <w:left w:w="0" w:type="dxa"/>
              <w:bottom w:w="0" w:type="dxa"/>
              <w:right w:w="0" w:type="dxa"/>
            </w:tcMar>
            <w:vAlign w:val="center"/>
          </w:tcPr>
          <w:p w14:paraId="13BBC04A" w14:textId="77777777" w:rsidR="00773F15" w:rsidRPr="005056F6" w:rsidRDefault="00773F15" w:rsidP="00462CB9">
            <w:pPr>
              <w:rPr>
                <w:rFonts w:cs="Arial"/>
                <w:sz w:val="20"/>
                <w:szCs w:val="20"/>
              </w:rPr>
            </w:pPr>
          </w:p>
        </w:tc>
        <w:tc>
          <w:tcPr>
            <w:tcW w:w="3997" w:type="dxa"/>
            <w:tcBorders>
              <w:top w:val="single" w:sz="12" w:space="0" w:color="1F1F1F"/>
              <w:left w:val="single" w:sz="12" w:space="0" w:color="1F1F1F"/>
              <w:bottom w:val="single" w:sz="12" w:space="0" w:color="1F1F1F"/>
              <w:right w:val="single" w:sz="12" w:space="0" w:color="1F1F1F"/>
            </w:tcBorders>
            <w:shd w:val="clear" w:color="auto" w:fill="F2F2F2"/>
            <w:tcMar>
              <w:top w:w="90" w:type="dxa"/>
              <w:left w:w="130" w:type="dxa"/>
              <w:bottom w:w="90" w:type="dxa"/>
              <w:right w:w="130" w:type="dxa"/>
            </w:tcMar>
            <w:vAlign w:val="center"/>
          </w:tcPr>
          <w:p w14:paraId="24CC7FCC" w14:textId="77777777" w:rsidR="00773F15" w:rsidRPr="005056F6" w:rsidRDefault="00773F15" w:rsidP="00462CB9">
            <w:pPr>
              <w:spacing w:after="0"/>
              <w:jc w:val="center"/>
              <w:rPr>
                <w:rFonts w:cs="Arial"/>
                <w:sz w:val="20"/>
                <w:szCs w:val="20"/>
              </w:rPr>
            </w:pPr>
            <w:r w:rsidRPr="005056F6">
              <w:rPr>
                <w:rFonts w:cs="Arial"/>
                <w:sz w:val="20"/>
                <w:szCs w:val="20"/>
              </w:rPr>
              <w:t>Full-text research articles assessed for eligibility</w:t>
            </w:r>
            <w:r w:rsidRPr="005056F6">
              <w:rPr>
                <w:rFonts w:cs="Arial"/>
                <w:sz w:val="20"/>
                <w:szCs w:val="20"/>
              </w:rPr>
              <w:br/>
              <w:t>(n = 60)</w:t>
            </w:r>
          </w:p>
        </w:tc>
        <w:tc>
          <w:tcPr>
            <w:tcW w:w="630" w:type="dxa"/>
            <w:tcBorders>
              <w:top w:val="nil"/>
              <w:left w:val="nil"/>
              <w:bottom w:val="nil"/>
              <w:right w:val="nil"/>
            </w:tcBorders>
            <w:tcMar>
              <w:top w:w="0" w:type="dxa"/>
              <w:left w:w="0" w:type="dxa"/>
              <w:bottom w:w="0" w:type="dxa"/>
              <w:right w:w="0" w:type="dxa"/>
            </w:tcMar>
            <w:vAlign w:val="center"/>
          </w:tcPr>
          <w:p w14:paraId="544F6F54" w14:textId="77777777" w:rsidR="00773F15" w:rsidRPr="005056F6" w:rsidRDefault="00773F15" w:rsidP="00462CB9">
            <w:pPr>
              <w:spacing w:after="0"/>
              <w:jc w:val="center"/>
              <w:rPr>
                <w:rFonts w:cs="Arial"/>
                <w:sz w:val="20"/>
                <w:szCs w:val="20"/>
              </w:rPr>
            </w:pPr>
            <w:r w:rsidRPr="005056F6">
              <w:rPr>
                <w:rFonts w:eastAsia="DejaVu Sans" w:cs="Arial"/>
                <w:b/>
                <w:sz w:val="20"/>
                <w:szCs w:val="20"/>
              </w:rPr>
              <w:t>→</w:t>
            </w:r>
          </w:p>
        </w:tc>
        <w:tc>
          <w:tcPr>
            <w:tcW w:w="3690" w:type="dxa"/>
            <w:tcBorders>
              <w:top w:val="single" w:sz="12" w:space="0" w:color="1F1F1F"/>
              <w:left w:val="single" w:sz="12" w:space="0" w:color="1F1F1F"/>
              <w:bottom w:val="single" w:sz="12" w:space="0" w:color="1F1F1F"/>
              <w:right w:val="single" w:sz="12" w:space="0" w:color="1F1F1F"/>
            </w:tcBorders>
            <w:shd w:val="clear" w:color="auto" w:fill="F2F2F2"/>
            <w:tcMar>
              <w:top w:w="90" w:type="dxa"/>
              <w:left w:w="130" w:type="dxa"/>
              <w:bottom w:w="90" w:type="dxa"/>
              <w:right w:w="130" w:type="dxa"/>
            </w:tcMar>
            <w:vAlign w:val="center"/>
          </w:tcPr>
          <w:p w14:paraId="066EC887" w14:textId="77777777" w:rsidR="00773F15" w:rsidRPr="005056F6" w:rsidRDefault="00773F15" w:rsidP="00462CB9">
            <w:pPr>
              <w:spacing w:after="0"/>
              <w:jc w:val="center"/>
              <w:rPr>
                <w:rFonts w:cs="Arial"/>
                <w:sz w:val="20"/>
                <w:szCs w:val="20"/>
              </w:rPr>
            </w:pPr>
            <w:r w:rsidRPr="005056F6">
              <w:rPr>
                <w:rFonts w:cs="Arial"/>
                <w:sz w:val="20"/>
                <w:szCs w:val="20"/>
              </w:rPr>
              <w:t>Full-text research articles excluded:</w:t>
            </w:r>
            <w:r w:rsidRPr="005056F6">
              <w:rPr>
                <w:rFonts w:cs="Arial"/>
                <w:sz w:val="20"/>
                <w:szCs w:val="20"/>
              </w:rPr>
              <w:br/>
              <w:t>Incorrect population or setting (n = 16)</w:t>
            </w:r>
            <w:r w:rsidRPr="005056F6">
              <w:rPr>
                <w:rFonts w:cs="Arial"/>
                <w:sz w:val="20"/>
                <w:szCs w:val="20"/>
              </w:rPr>
              <w:br/>
              <w:t>Incorrect focus or outcome (n = 14)</w:t>
            </w:r>
            <w:r w:rsidRPr="005056F6">
              <w:rPr>
                <w:rFonts w:cs="Arial"/>
                <w:sz w:val="20"/>
                <w:szCs w:val="20"/>
              </w:rPr>
              <w:br/>
              <w:t>Incorrect study design (n = 9)</w:t>
            </w:r>
            <w:r w:rsidRPr="005056F6">
              <w:rPr>
                <w:rFonts w:cs="Arial"/>
                <w:sz w:val="20"/>
                <w:szCs w:val="20"/>
              </w:rPr>
              <w:br/>
              <w:t>Outside date limits / full text unavailable (n = 6)</w:t>
            </w:r>
            <w:r w:rsidRPr="005056F6">
              <w:rPr>
                <w:rFonts w:cs="Arial"/>
                <w:sz w:val="20"/>
                <w:szCs w:val="20"/>
              </w:rPr>
              <w:br/>
              <w:t>Total excluded (n = 45)</w:t>
            </w:r>
          </w:p>
        </w:tc>
      </w:tr>
      <w:tr w:rsidR="00773F15" w:rsidRPr="005056F6" w14:paraId="0B08E492" w14:textId="77777777" w:rsidTr="00934448">
        <w:trPr>
          <w:trHeight w:hRule="exact" w:val="390"/>
        </w:trPr>
        <w:tc>
          <w:tcPr>
            <w:tcW w:w="331" w:type="dxa"/>
            <w:vMerge/>
            <w:tcBorders>
              <w:top w:val="nil"/>
              <w:left w:val="nil"/>
              <w:bottom w:val="nil"/>
              <w:right w:val="nil"/>
            </w:tcBorders>
            <w:tcMar>
              <w:top w:w="0" w:type="dxa"/>
              <w:left w:w="0" w:type="dxa"/>
              <w:bottom w:w="0" w:type="dxa"/>
              <w:right w:w="0" w:type="dxa"/>
            </w:tcMar>
            <w:vAlign w:val="center"/>
          </w:tcPr>
          <w:p w14:paraId="69E5A8C7" w14:textId="77777777" w:rsidR="00773F15" w:rsidRPr="005056F6" w:rsidRDefault="00773F15" w:rsidP="00462CB9">
            <w:pPr>
              <w:rPr>
                <w:rFonts w:cs="Arial"/>
                <w:sz w:val="20"/>
                <w:szCs w:val="20"/>
              </w:rPr>
            </w:pPr>
          </w:p>
        </w:tc>
        <w:tc>
          <w:tcPr>
            <w:tcW w:w="172" w:type="dxa"/>
            <w:tcBorders>
              <w:top w:val="nil"/>
              <w:left w:val="nil"/>
              <w:bottom w:val="nil"/>
              <w:right w:val="nil"/>
            </w:tcBorders>
            <w:tcMar>
              <w:top w:w="0" w:type="dxa"/>
              <w:left w:w="0" w:type="dxa"/>
              <w:bottom w:w="0" w:type="dxa"/>
              <w:right w:w="0" w:type="dxa"/>
            </w:tcMar>
            <w:vAlign w:val="center"/>
          </w:tcPr>
          <w:p w14:paraId="2A88C25F" w14:textId="77777777" w:rsidR="00773F15" w:rsidRPr="005056F6" w:rsidRDefault="00773F15" w:rsidP="00462CB9">
            <w:pPr>
              <w:rPr>
                <w:rFonts w:cs="Arial"/>
                <w:sz w:val="20"/>
                <w:szCs w:val="20"/>
              </w:rPr>
            </w:pPr>
          </w:p>
        </w:tc>
        <w:tc>
          <w:tcPr>
            <w:tcW w:w="3997" w:type="dxa"/>
            <w:tcBorders>
              <w:top w:val="nil"/>
              <w:left w:val="nil"/>
              <w:bottom w:val="nil"/>
              <w:right w:val="nil"/>
            </w:tcBorders>
            <w:tcMar>
              <w:top w:w="0" w:type="dxa"/>
              <w:left w:w="0" w:type="dxa"/>
              <w:bottom w:w="0" w:type="dxa"/>
              <w:right w:w="0" w:type="dxa"/>
            </w:tcMar>
            <w:vAlign w:val="center"/>
          </w:tcPr>
          <w:p w14:paraId="5B957573" w14:textId="77777777" w:rsidR="00773F15" w:rsidRPr="005056F6" w:rsidRDefault="00773F15" w:rsidP="00462CB9">
            <w:pPr>
              <w:spacing w:after="0"/>
              <w:jc w:val="center"/>
              <w:rPr>
                <w:rFonts w:cs="Arial"/>
                <w:sz w:val="20"/>
                <w:szCs w:val="20"/>
              </w:rPr>
            </w:pPr>
            <w:r w:rsidRPr="005056F6">
              <w:rPr>
                <w:rFonts w:eastAsia="DejaVu Sans" w:cs="Arial"/>
                <w:b/>
                <w:sz w:val="20"/>
                <w:szCs w:val="20"/>
              </w:rPr>
              <w:t>↓</w:t>
            </w:r>
          </w:p>
        </w:tc>
        <w:tc>
          <w:tcPr>
            <w:tcW w:w="630" w:type="dxa"/>
            <w:tcBorders>
              <w:top w:val="nil"/>
              <w:left w:val="nil"/>
              <w:bottom w:val="nil"/>
              <w:right w:val="nil"/>
            </w:tcBorders>
            <w:tcMar>
              <w:top w:w="0" w:type="dxa"/>
              <w:left w:w="0" w:type="dxa"/>
              <w:bottom w:w="0" w:type="dxa"/>
              <w:right w:w="0" w:type="dxa"/>
            </w:tcMar>
            <w:vAlign w:val="center"/>
          </w:tcPr>
          <w:p w14:paraId="0FC7ACCC" w14:textId="77777777" w:rsidR="00773F15" w:rsidRPr="005056F6" w:rsidRDefault="00773F15" w:rsidP="00462CB9">
            <w:pPr>
              <w:rPr>
                <w:rFonts w:cs="Arial"/>
                <w:sz w:val="20"/>
                <w:szCs w:val="20"/>
              </w:rPr>
            </w:pPr>
          </w:p>
        </w:tc>
        <w:tc>
          <w:tcPr>
            <w:tcW w:w="3690" w:type="dxa"/>
            <w:tcBorders>
              <w:top w:val="nil"/>
              <w:left w:val="nil"/>
              <w:bottom w:val="nil"/>
              <w:right w:val="nil"/>
            </w:tcBorders>
            <w:tcMar>
              <w:top w:w="0" w:type="dxa"/>
              <w:left w:w="0" w:type="dxa"/>
              <w:bottom w:w="0" w:type="dxa"/>
              <w:right w:w="0" w:type="dxa"/>
            </w:tcMar>
            <w:vAlign w:val="center"/>
          </w:tcPr>
          <w:p w14:paraId="7A3CD6C9" w14:textId="77777777" w:rsidR="00773F15" w:rsidRPr="005056F6" w:rsidRDefault="00773F15" w:rsidP="00462CB9">
            <w:pPr>
              <w:rPr>
                <w:rFonts w:cs="Arial"/>
                <w:sz w:val="20"/>
                <w:szCs w:val="20"/>
              </w:rPr>
            </w:pPr>
          </w:p>
        </w:tc>
      </w:tr>
      <w:tr w:rsidR="00773F15" w:rsidRPr="005056F6" w14:paraId="22AA2EBF" w14:textId="77777777" w:rsidTr="005056F6">
        <w:trPr>
          <w:trHeight w:hRule="exact" w:val="2388"/>
        </w:trPr>
        <w:tc>
          <w:tcPr>
            <w:tcW w:w="331" w:type="dxa"/>
            <w:tcBorders>
              <w:top w:val="single" w:sz="12" w:space="0" w:color="1F1F1F"/>
              <w:left w:val="single" w:sz="12" w:space="0" w:color="1F1F1F"/>
              <w:bottom w:val="single" w:sz="12" w:space="0" w:color="1F1F1F"/>
              <w:right w:val="single" w:sz="12" w:space="0" w:color="1F1F1F"/>
            </w:tcBorders>
            <w:shd w:val="clear" w:color="auto" w:fill="5B9BD5"/>
            <w:tcMar>
              <w:top w:w="30" w:type="dxa"/>
              <w:left w:w="30" w:type="dxa"/>
              <w:bottom w:w="30" w:type="dxa"/>
              <w:right w:w="30" w:type="dxa"/>
            </w:tcMar>
            <w:textDirection w:val="btLr"/>
            <w:vAlign w:val="center"/>
          </w:tcPr>
          <w:p w14:paraId="6F3558C7" w14:textId="77777777" w:rsidR="00773F15" w:rsidRPr="005056F6" w:rsidRDefault="00773F15" w:rsidP="00462CB9">
            <w:pPr>
              <w:spacing w:after="0"/>
              <w:jc w:val="center"/>
              <w:rPr>
                <w:rFonts w:cs="Arial"/>
                <w:sz w:val="20"/>
                <w:szCs w:val="20"/>
              </w:rPr>
            </w:pPr>
            <w:r w:rsidRPr="005056F6">
              <w:rPr>
                <w:rFonts w:cs="Arial"/>
                <w:sz w:val="20"/>
                <w:szCs w:val="20"/>
              </w:rPr>
              <w:t>Included</w:t>
            </w:r>
          </w:p>
        </w:tc>
        <w:tc>
          <w:tcPr>
            <w:tcW w:w="172" w:type="dxa"/>
            <w:tcBorders>
              <w:top w:val="nil"/>
              <w:left w:val="nil"/>
              <w:bottom w:val="nil"/>
              <w:right w:val="nil"/>
            </w:tcBorders>
            <w:tcMar>
              <w:top w:w="0" w:type="dxa"/>
              <w:left w:w="0" w:type="dxa"/>
              <w:bottom w:w="0" w:type="dxa"/>
              <w:right w:w="0" w:type="dxa"/>
            </w:tcMar>
            <w:vAlign w:val="center"/>
          </w:tcPr>
          <w:p w14:paraId="6C9BBCC8" w14:textId="77777777" w:rsidR="00773F15" w:rsidRPr="005056F6" w:rsidRDefault="00773F15" w:rsidP="00462CB9">
            <w:pPr>
              <w:rPr>
                <w:rFonts w:cs="Arial"/>
                <w:sz w:val="20"/>
                <w:szCs w:val="20"/>
              </w:rPr>
            </w:pPr>
          </w:p>
        </w:tc>
        <w:tc>
          <w:tcPr>
            <w:tcW w:w="3997" w:type="dxa"/>
            <w:tcBorders>
              <w:top w:val="single" w:sz="12" w:space="0" w:color="1F1F1F"/>
              <w:left w:val="single" w:sz="12" w:space="0" w:color="1F1F1F"/>
              <w:bottom w:val="single" w:sz="12" w:space="0" w:color="1F1F1F"/>
              <w:right w:val="single" w:sz="12" w:space="0" w:color="1F1F1F"/>
            </w:tcBorders>
            <w:shd w:val="clear" w:color="auto" w:fill="F2F2F2"/>
            <w:tcMar>
              <w:top w:w="90" w:type="dxa"/>
              <w:left w:w="130" w:type="dxa"/>
              <w:bottom w:w="90" w:type="dxa"/>
              <w:right w:w="130" w:type="dxa"/>
            </w:tcMar>
            <w:vAlign w:val="center"/>
          </w:tcPr>
          <w:p w14:paraId="2DA6337A" w14:textId="10EC0AE8" w:rsidR="00773F15" w:rsidRPr="005056F6" w:rsidRDefault="00773F15" w:rsidP="00462CB9">
            <w:pPr>
              <w:spacing w:after="0"/>
              <w:jc w:val="center"/>
              <w:rPr>
                <w:rFonts w:cs="Arial"/>
                <w:sz w:val="20"/>
                <w:szCs w:val="20"/>
              </w:rPr>
            </w:pPr>
            <w:r w:rsidRPr="005056F6">
              <w:rPr>
                <w:rFonts w:cs="Arial"/>
                <w:sz w:val="20"/>
                <w:szCs w:val="20"/>
              </w:rPr>
              <w:t>Included Articles (n = 15)</w:t>
            </w:r>
            <w:r w:rsidRPr="005056F6">
              <w:rPr>
                <w:rFonts w:cs="Arial"/>
                <w:sz w:val="20"/>
                <w:szCs w:val="20"/>
              </w:rPr>
              <w:br/>
              <w:t>Cohort studies (n = 10)</w:t>
            </w:r>
            <w:r w:rsidRPr="005056F6">
              <w:rPr>
                <w:rFonts w:cs="Arial"/>
                <w:sz w:val="20"/>
                <w:szCs w:val="20"/>
              </w:rPr>
              <w:br/>
              <w:t>Cross-sectional studies (n = 1)</w:t>
            </w:r>
            <w:r w:rsidRPr="005056F6">
              <w:rPr>
                <w:rFonts w:cs="Arial"/>
                <w:sz w:val="20"/>
                <w:szCs w:val="20"/>
              </w:rPr>
              <w:br/>
              <w:t>Randomised controlled trial (n = 1)</w:t>
            </w:r>
            <w:r w:rsidRPr="005056F6">
              <w:rPr>
                <w:rFonts w:cs="Arial"/>
                <w:sz w:val="20"/>
                <w:szCs w:val="20"/>
              </w:rPr>
              <w:br/>
              <w:t>Qualitative study (n = 1)</w:t>
            </w:r>
            <w:r w:rsidRPr="005056F6">
              <w:rPr>
                <w:rFonts w:cs="Arial"/>
                <w:sz w:val="20"/>
                <w:szCs w:val="20"/>
              </w:rPr>
              <w:br/>
              <w:t>Service/quality-improvement evaluations (n = 2)</w:t>
            </w:r>
          </w:p>
        </w:tc>
        <w:tc>
          <w:tcPr>
            <w:tcW w:w="630" w:type="dxa"/>
            <w:tcBorders>
              <w:top w:val="nil"/>
              <w:left w:val="nil"/>
              <w:bottom w:val="nil"/>
              <w:right w:val="nil"/>
            </w:tcBorders>
            <w:tcMar>
              <w:top w:w="0" w:type="dxa"/>
              <w:left w:w="0" w:type="dxa"/>
              <w:bottom w:w="0" w:type="dxa"/>
              <w:right w:w="0" w:type="dxa"/>
            </w:tcMar>
            <w:vAlign w:val="center"/>
          </w:tcPr>
          <w:p w14:paraId="5C119BAC" w14:textId="77777777" w:rsidR="00773F15" w:rsidRPr="005056F6" w:rsidRDefault="00773F15" w:rsidP="00462CB9">
            <w:pPr>
              <w:rPr>
                <w:rFonts w:cs="Arial"/>
                <w:sz w:val="20"/>
                <w:szCs w:val="20"/>
              </w:rPr>
            </w:pPr>
          </w:p>
        </w:tc>
        <w:tc>
          <w:tcPr>
            <w:tcW w:w="3690" w:type="dxa"/>
            <w:tcBorders>
              <w:top w:val="nil"/>
              <w:left w:val="nil"/>
              <w:bottom w:val="nil"/>
              <w:right w:val="nil"/>
            </w:tcBorders>
            <w:tcMar>
              <w:top w:w="0" w:type="dxa"/>
              <w:left w:w="0" w:type="dxa"/>
              <w:bottom w:w="0" w:type="dxa"/>
              <w:right w:w="0" w:type="dxa"/>
            </w:tcMar>
            <w:vAlign w:val="center"/>
          </w:tcPr>
          <w:p w14:paraId="2A8DF2D9" w14:textId="77777777" w:rsidR="00773F15" w:rsidRPr="005056F6" w:rsidRDefault="00773F15" w:rsidP="00462CB9">
            <w:pPr>
              <w:rPr>
                <w:rFonts w:cs="Arial"/>
                <w:sz w:val="20"/>
                <w:szCs w:val="20"/>
              </w:rPr>
            </w:pPr>
          </w:p>
        </w:tc>
      </w:tr>
    </w:tbl>
    <w:p w14:paraId="06A94572" w14:textId="77777777" w:rsidR="00934448" w:rsidRPr="00C07BB7" w:rsidRDefault="00934448" w:rsidP="00462CB9">
      <w:pPr>
        <w:rPr>
          <w:rFonts w:cs="Arial"/>
        </w:rPr>
      </w:pPr>
    </w:p>
    <w:p w14:paraId="4E5779C0" w14:textId="77777777" w:rsidR="00773F15" w:rsidRPr="00C07BB7" w:rsidRDefault="00773F15" w:rsidP="00462CB9">
      <w:pPr>
        <w:rPr>
          <w:rFonts w:cs="Arial"/>
        </w:rPr>
      </w:pPr>
    </w:p>
    <w:p w14:paraId="0CE6A0E1" w14:textId="77777777" w:rsidR="00773F15" w:rsidRPr="00934448" w:rsidRDefault="00773F15" w:rsidP="00462CB9">
      <w:pPr>
        <w:pStyle w:val="Heading2"/>
        <w:rPr>
          <w:rFonts w:cs="Arial"/>
          <w:sz w:val="28"/>
          <w:szCs w:val="28"/>
        </w:rPr>
      </w:pPr>
      <w:bookmarkStart w:id="120" w:name="_Toc239757495"/>
      <w:bookmarkStart w:id="121" w:name="_Toc240666926"/>
      <w:bookmarkStart w:id="122" w:name="_Toc241090901"/>
      <w:r w:rsidRPr="00934448">
        <w:rPr>
          <w:rFonts w:cs="Arial"/>
          <w:sz w:val="28"/>
          <w:szCs w:val="28"/>
        </w:rPr>
        <w:t>4.3 Quality Appraisal of Included Studies</w:t>
      </w:r>
      <w:bookmarkEnd w:id="120"/>
      <w:bookmarkEnd w:id="121"/>
      <w:bookmarkEnd w:id="122"/>
    </w:p>
    <w:p w14:paraId="06B6A152" w14:textId="6CE6FF6D" w:rsidR="00773F15" w:rsidRDefault="00773F15" w:rsidP="00462CB9">
      <w:pPr>
        <w:rPr>
          <w:rFonts w:cs="Arial"/>
        </w:rPr>
      </w:pPr>
      <w:r w:rsidRPr="00C07BB7">
        <w:rPr>
          <w:rFonts w:cs="Arial"/>
        </w:rPr>
        <w:t>Evidence is not uniformly ranked; instead, there is a heterogeneous evidence base as suggested by critical appraisal. The best evidential basis for assessing the effectiveness of interventions is Greenwood et al. (2024</w:t>
      </w:r>
      <w:r w:rsidR="00CC24AA" w:rsidRPr="00C07BB7">
        <w:rPr>
          <w:rFonts w:cs="Arial"/>
        </w:rPr>
        <w:t>b</w:t>
      </w:r>
      <w:r w:rsidRPr="00C07BB7">
        <w:rPr>
          <w:rFonts w:cs="Arial"/>
        </w:rPr>
        <w:t>), which was conducted with multi-centre recruitment and randomisation, which minimises several sources of bias. The potential cohorts are more appropriate for establishing associations over time. Large populations in the UK (Heo et al. 2023; Lan et al 2023; Li et al 2025; Maroto-Rodriguez et al. 2025; Tang et al 2024</w:t>
      </w:r>
      <w:r w:rsidR="001C790E" w:rsidRPr="00C07BB7">
        <w:rPr>
          <w:rFonts w:cs="Arial"/>
        </w:rPr>
        <w:t>b</w:t>
      </w:r>
      <w:r w:rsidRPr="00C07BB7">
        <w:rPr>
          <w:rFonts w:cs="Arial"/>
        </w:rPr>
        <w:t>; Wang et al 2022; Zhang et al 2023) are strengths, but are limited by residual confounding, self-reported exposures and selection within the UK Biobank. Routine-care and service studies are for different questions. These papers by Stewart et al. (2026), Forbes et al. (2024), Neuen et al. (2021), and Sullivan et al. (2023) have important clinical implications, as they focus on risk, monitoring, or eligibility for referral or treatment in the real world. Major et al. (2025) and Rizvi et al. (2024) shed light on implementation, and Lightfoot et al. (2025) bring qualitative insights about self-management. In order to weight claims rather than exclude contextual evidence, quality was used.</w:t>
      </w:r>
    </w:p>
    <w:p w14:paraId="15A56A7D" w14:textId="77777777" w:rsidR="00B61699" w:rsidRPr="00C07BB7" w:rsidRDefault="00B61699" w:rsidP="00462CB9">
      <w:pPr>
        <w:rPr>
          <w:rFonts w:cs="Arial"/>
        </w:rPr>
      </w:pPr>
    </w:p>
    <w:p w14:paraId="2D23A88B" w14:textId="5A3402D9" w:rsidR="00ED5ADF" w:rsidRDefault="00ED5ADF">
      <w:pPr>
        <w:spacing w:after="200" w:line="276" w:lineRule="auto"/>
        <w:jc w:val="left"/>
        <w:rPr>
          <w:rFonts w:cs="Arial"/>
        </w:rPr>
      </w:pPr>
      <w:r>
        <w:rPr>
          <w:rFonts w:cs="Arial"/>
        </w:rPr>
        <w:br w:type="page"/>
      </w:r>
    </w:p>
    <w:p w14:paraId="185E32F9" w14:textId="77777777" w:rsidR="00B61699" w:rsidRDefault="00B61699" w:rsidP="00462CB9">
      <w:pPr>
        <w:rPr>
          <w:rFonts w:cs="Arial"/>
        </w:rPr>
        <w:sectPr w:rsidR="00B61699" w:rsidSect="00FF5396">
          <w:footerReference w:type="default" r:id="rId15"/>
          <w:type w:val="continuous"/>
          <w:pgSz w:w="11906" w:h="16838" w:code="9"/>
          <w:pgMar w:top="1440" w:right="1800" w:bottom="1440" w:left="1800" w:header="720" w:footer="720" w:gutter="0"/>
          <w:pgNumType w:start="1"/>
          <w:cols w:space="720"/>
          <w:titlePg/>
          <w:docGrid w:linePitch="360"/>
        </w:sectPr>
      </w:pPr>
    </w:p>
    <w:p w14:paraId="33C6577E" w14:textId="2B4CCA54" w:rsidR="00773F15" w:rsidRPr="006768BE" w:rsidRDefault="00773F15" w:rsidP="00462CB9">
      <w:pPr>
        <w:rPr>
          <w:rFonts w:cs="Arial"/>
          <w:sz w:val="24"/>
          <w:szCs w:val="24"/>
        </w:rPr>
      </w:pPr>
      <w:r w:rsidRPr="00455358">
        <w:rPr>
          <w:rFonts w:cs="Arial"/>
          <w:b/>
          <w:bCs/>
          <w:sz w:val="24"/>
          <w:szCs w:val="24"/>
        </w:rPr>
        <w:t>Table 4.1.</w:t>
      </w:r>
      <w:r w:rsidRPr="006768BE">
        <w:rPr>
          <w:rFonts w:cs="Arial"/>
          <w:sz w:val="24"/>
          <w:szCs w:val="24"/>
        </w:rPr>
        <w:t xml:space="preserve"> CASP-</w:t>
      </w:r>
      <w:r w:rsidR="00A962FE" w:rsidRPr="006768BE">
        <w:rPr>
          <w:rFonts w:cs="Arial"/>
          <w:sz w:val="24"/>
          <w:szCs w:val="24"/>
        </w:rPr>
        <w:t>Informed Quality Appraisal Summary of the 15 Included Studies</w:t>
      </w:r>
    </w:p>
    <w:tbl>
      <w:tblPr>
        <w:tblStyle w:val="TableGrid"/>
        <w:tblW w:w="0" w:type="auto"/>
        <w:tblLook w:val="04A0" w:firstRow="1" w:lastRow="0" w:firstColumn="1" w:lastColumn="0" w:noHBand="0" w:noVBand="1"/>
      </w:tblPr>
      <w:tblGrid>
        <w:gridCol w:w="540"/>
        <w:gridCol w:w="1400"/>
        <w:gridCol w:w="1720"/>
        <w:gridCol w:w="1774"/>
        <w:gridCol w:w="2499"/>
        <w:gridCol w:w="2816"/>
        <w:gridCol w:w="2705"/>
      </w:tblGrid>
      <w:tr w:rsidR="00773F15" w:rsidRPr="00C07BB7" w14:paraId="550F0BE5" w14:textId="77777777" w:rsidTr="00334B0F">
        <w:tc>
          <w:tcPr>
            <w:tcW w:w="0" w:type="auto"/>
            <w:hideMark/>
          </w:tcPr>
          <w:p w14:paraId="5B174574" w14:textId="77777777" w:rsidR="00773F15" w:rsidRPr="00C07BB7" w:rsidRDefault="00773F15" w:rsidP="00462CB9">
            <w:pPr>
              <w:rPr>
                <w:rFonts w:cs="Arial"/>
                <w:b/>
                <w:bCs/>
                <w:sz w:val="20"/>
                <w:szCs w:val="20"/>
              </w:rPr>
            </w:pPr>
            <w:r w:rsidRPr="00C07BB7">
              <w:rPr>
                <w:rFonts w:cs="Arial"/>
                <w:b/>
                <w:bCs/>
                <w:sz w:val="20"/>
                <w:szCs w:val="20"/>
              </w:rPr>
              <w:t>No.</w:t>
            </w:r>
          </w:p>
        </w:tc>
        <w:tc>
          <w:tcPr>
            <w:tcW w:w="0" w:type="auto"/>
            <w:hideMark/>
          </w:tcPr>
          <w:p w14:paraId="26D05453" w14:textId="77777777" w:rsidR="00773F15" w:rsidRPr="00C07BB7" w:rsidRDefault="00773F15" w:rsidP="00462CB9">
            <w:pPr>
              <w:rPr>
                <w:rFonts w:cs="Arial"/>
                <w:b/>
                <w:bCs/>
                <w:sz w:val="20"/>
                <w:szCs w:val="20"/>
              </w:rPr>
            </w:pPr>
            <w:r w:rsidRPr="00C07BB7">
              <w:rPr>
                <w:rFonts w:cs="Arial"/>
                <w:b/>
                <w:bCs/>
                <w:sz w:val="20"/>
                <w:szCs w:val="20"/>
              </w:rPr>
              <w:t>Study</w:t>
            </w:r>
          </w:p>
        </w:tc>
        <w:tc>
          <w:tcPr>
            <w:tcW w:w="0" w:type="auto"/>
            <w:hideMark/>
          </w:tcPr>
          <w:p w14:paraId="213FBE2F" w14:textId="77777777" w:rsidR="00773F15" w:rsidRPr="00C07BB7" w:rsidRDefault="00773F15" w:rsidP="00462CB9">
            <w:pPr>
              <w:rPr>
                <w:rFonts w:cs="Arial"/>
                <w:b/>
                <w:bCs/>
                <w:sz w:val="20"/>
                <w:szCs w:val="20"/>
              </w:rPr>
            </w:pPr>
            <w:r w:rsidRPr="00C07BB7">
              <w:rPr>
                <w:rFonts w:cs="Arial"/>
                <w:b/>
                <w:bCs/>
                <w:sz w:val="20"/>
                <w:szCs w:val="20"/>
              </w:rPr>
              <w:t>UK setting</w:t>
            </w:r>
          </w:p>
        </w:tc>
        <w:tc>
          <w:tcPr>
            <w:tcW w:w="0" w:type="auto"/>
            <w:hideMark/>
          </w:tcPr>
          <w:p w14:paraId="256FD63C" w14:textId="77777777" w:rsidR="00773F15" w:rsidRPr="00C07BB7" w:rsidRDefault="00773F15" w:rsidP="00462CB9">
            <w:pPr>
              <w:rPr>
                <w:rFonts w:cs="Arial"/>
                <w:b/>
                <w:bCs/>
                <w:sz w:val="20"/>
                <w:szCs w:val="20"/>
              </w:rPr>
            </w:pPr>
            <w:r w:rsidRPr="00C07BB7">
              <w:rPr>
                <w:rFonts w:cs="Arial"/>
                <w:b/>
                <w:bCs/>
                <w:sz w:val="20"/>
                <w:szCs w:val="20"/>
              </w:rPr>
              <w:t>Design</w:t>
            </w:r>
          </w:p>
        </w:tc>
        <w:tc>
          <w:tcPr>
            <w:tcW w:w="0" w:type="auto"/>
            <w:hideMark/>
          </w:tcPr>
          <w:p w14:paraId="4E7A885F" w14:textId="77777777" w:rsidR="00773F15" w:rsidRPr="00C07BB7" w:rsidRDefault="00773F15" w:rsidP="00462CB9">
            <w:pPr>
              <w:rPr>
                <w:rFonts w:cs="Arial"/>
                <w:b/>
                <w:bCs/>
                <w:sz w:val="20"/>
                <w:szCs w:val="20"/>
              </w:rPr>
            </w:pPr>
            <w:r w:rsidRPr="00C07BB7">
              <w:rPr>
                <w:rFonts w:cs="Arial"/>
                <w:b/>
                <w:bCs/>
                <w:sz w:val="20"/>
                <w:szCs w:val="20"/>
              </w:rPr>
              <w:t>Sample and selection method</w:t>
            </w:r>
          </w:p>
        </w:tc>
        <w:tc>
          <w:tcPr>
            <w:tcW w:w="0" w:type="auto"/>
            <w:hideMark/>
          </w:tcPr>
          <w:p w14:paraId="4DCE96C7" w14:textId="77777777" w:rsidR="00773F15" w:rsidRPr="00C07BB7" w:rsidRDefault="00773F15" w:rsidP="00462CB9">
            <w:pPr>
              <w:rPr>
                <w:rFonts w:cs="Arial"/>
                <w:b/>
                <w:bCs/>
                <w:sz w:val="20"/>
                <w:szCs w:val="20"/>
              </w:rPr>
            </w:pPr>
            <w:r w:rsidRPr="00C07BB7">
              <w:rPr>
                <w:rFonts w:cs="Arial"/>
                <w:b/>
                <w:bCs/>
                <w:sz w:val="20"/>
                <w:szCs w:val="20"/>
              </w:rPr>
              <w:t>Result of Findings</w:t>
            </w:r>
          </w:p>
        </w:tc>
        <w:tc>
          <w:tcPr>
            <w:tcW w:w="0" w:type="auto"/>
            <w:hideMark/>
          </w:tcPr>
          <w:p w14:paraId="097B2A36" w14:textId="77777777" w:rsidR="00773F15" w:rsidRPr="00C07BB7" w:rsidRDefault="00773F15" w:rsidP="00462CB9">
            <w:pPr>
              <w:rPr>
                <w:rFonts w:cs="Arial"/>
                <w:b/>
                <w:bCs/>
                <w:sz w:val="20"/>
                <w:szCs w:val="20"/>
              </w:rPr>
            </w:pPr>
            <w:r w:rsidRPr="00C07BB7">
              <w:rPr>
                <w:rFonts w:cs="Arial"/>
                <w:b/>
                <w:bCs/>
                <w:sz w:val="20"/>
                <w:szCs w:val="20"/>
              </w:rPr>
              <w:t>Aim and Contribution</w:t>
            </w:r>
          </w:p>
        </w:tc>
      </w:tr>
      <w:tr w:rsidR="00773F15" w:rsidRPr="00C07BB7" w14:paraId="12643409" w14:textId="77777777" w:rsidTr="00334B0F">
        <w:tc>
          <w:tcPr>
            <w:tcW w:w="0" w:type="auto"/>
            <w:hideMark/>
          </w:tcPr>
          <w:p w14:paraId="3D482576" w14:textId="77777777" w:rsidR="00773F15" w:rsidRPr="00C07BB7" w:rsidRDefault="00773F15" w:rsidP="00462CB9">
            <w:pPr>
              <w:rPr>
                <w:rFonts w:cs="Arial"/>
                <w:sz w:val="20"/>
                <w:szCs w:val="20"/>
              </w:rPr>
            </w:pPr>
            <w:r w:rsidRPr="00C07BB7">
              <w:rPr>
                <w:rFonts w:cs="Arial"/>
                <w:sz w:val="20"/>
                <w:szCs w:val="20"/>
              </w:rPr>
              <w:t>1</w:t>
            </w:r>
          </w:p>
        </w:tc>
        <w:tc>
          <w:tcPr>
            <w:tcW w:w="0" w:type="auto"/>
            <w:hideMark/>
          </w:tcPr>
          <w:p w14:paraId="13D1EE78" w14:textId="77777777" w:rsidR="00773F15" w:rsidRPr="00C07BB7" w:rsidRDefault="00773F15" w:rsidP="00462CB9">
            <w:pPr>
              <w:rPr>
                <w:rFonts w:cs="Arial"/>
                <w:sz w:val="20"/>
                <w:szCs w:val="20"/>
              </w:rPr>
            </w:pPr>
            <w:r w:rsidRPr="00C07BB7">
              <w:rPr>
                <w:rFonts w:cs="Arial"/>
                <w:sz w:val="20"/>
                <w:szCs w:val="20"/>
              </w:rPr>
              <w:t>Stewart et al. (2026)</w:t>
            </w:r>
          </w:p>
        </w:tc>
        <w:tc>
          <w:tcPr>
            <w:tcW w:w="0" w:type="auto"/>
            <w:hideMark/>
          </w:tcPr>
          <w:p w14:paraId="77B639D2" w14:textId="77777777" w:rsidR="00773F15" w:rsidRPr="00C07BB7" w:rsidRDefault="00773F15" w:rsidP="00462CB9">
            <w:pPr>
              <w:rPr>
                <w:rFonts w:cs="Arial"/>
                <w:sz w:val="20"/>
                <w:szCs w:val="20"/>
              </w:rPr>
            </w:pPr>
            <w:r w:rsidRPr="00C07BB7">
              <w:rPr>
                <w:rFonts w:cs="Arial"/>
                <w:sz w:val="20"/>
                <w:szCs w:val="20"/>
              </w:rPr>
              <w:t>Greater Manchester, England; primary care</w:t>
            </w:r>
          </w:p>
        </w:tc>
        <w:tc>
          <w:tcPr>
            <w:tcW w:w="0" w:type="auto"/>
            <w:hideMark/>
          </w:tcPr>
          <w:p w14:paraId="24D53164" w14:textId="77777777" w:rsidR="00773F15" w:rsidRPr="00C07BB7" w:rsidRDefault="00773F15" w:rsidP="00462CB9">
            <w:pPr>
              <w:rPr>
                <w:rFonts w:cs="Arial"/>
                <w:sz w:val="20"/>
                <w:szCs w:val="20"/>
              </w:rPr>
            </w:pPr>
            <w:r w:rsidRPr="00C07BB7">
              <w:rPr>
                <w:rFonts w:cs="Arial"/>
                <w:sz w:val="20"/>
                <w:szCs w:val="20"/>
              </w:rPr>
              <w:t>Retrospective cohort</w:t>
            </w:r>
          </w:p>
        </w:tc>
        <w:tc>
          <w:tcPr>
            <w:tcW w:w="0" w:type="auto"/>
            <w:hideMark/>
          </w:tcPr>
          <w:p w14:paraId="21D485CC" w14:textId="77777777" w:rsidR="00773F15" w:rsidRPr="00C07BB7" w:rsidRDefault="00773F15" w:rsidP="00462CB9">
            <w:pPr>
              <w:rPr>
                <w:rFonts w:cs="Arial"/>
                <w:sz w:val="20"/>
                <w:szCs w:val="20"/>
              </w:rPr>
            </w:pPr>
            <w:r w:rsidRPr="00C07BB7">
              <w:rPr>
                <w:rFonts w:cs="Arial"/>
                <w:sz w:val="20"/>
                <w:szCs w:val="20"/>
              </w:rPr>
              <w:t>Adults with stage 3–5 CKD identified from the Greater Manchester Care Record with sufficient eGFR/uACR data for KFRE calculation.</w:t>
            </w:r>
          </w:p>
        </w:tc>
        <w:tc>
          <w:tcPr>
            <w:tcW w:w="0" w:type="auto"/>
            <w:hideMark/>
          </w:tcPr>
          <w:p w14:paraId="711DACFC" w14:textId="77777777" w:rsidR="00773F15" w:rsidRPr="00C07BB7" w:rsidRDefault="00773F15" w:rsidP="00462CB9">
            <w:pPr>
              <w:rPr>
                <w:rFonts w:cs="Arial"/>
                <w:sz w:val="20"/>
                <w:szCs w:val="20"/>
              </w:rPr>
            </w:pPr>
            <w:r w:rsidRPr="00C07BB7">
              <w:rPr>
                <w:rFonts w:cs="Arial"/>
                <w:sz w:val="20"/>
                <w:szCs w:val="20"/>
              </w:rPr>
              <w:t>Higher KFRE risk categories identified patients more likely to progress towards kidney failure and potentially require specialist referral.</w:t>
            </w:r>
          </w:p>
        </w:tc>
        <w:tc>
          <w:tcPr>
            <w:tcW w:w="0" w:type="auto"/>
            <w:hideMark/>
          </w:tcPr>
          <w:p w14:paraId="1A824380"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examine KFRE performance in primary care. </w:t>
            </w:r>
            <w:r w:rsidRPr="00C07BB7">
              <w:rPr>
                <w:rFonts w:cs="Arial"/>
                <w:b/>
                <w:bCs/>
                <w:sz w:val="20"/>
                <w:szCs w:val="20"/>
              </w:rPr>
              <w:t>Contribution:</w:t>
            </w:r>
            <w:r w:rsidRPr="00C07BB7">
              <w:rPr>
                <w:rFonts w:cs="Arial"/>
                <w:sz w:val="20"/>
                <w:szCs w:val="20"/>
              </w:rPr>
              <w:t xml:space="preserve"> Shows KFRE can improve identification and prioritisation of higher-risk CKD patients.</w:t>
            </w:r>
          </w:p>
        </w:tc>
      </w:tr>
      <w:tr w:rsidR="00773F15" w:rsidRPr="00C07BB7" w14:paraId="5C1C4B25" w14:textId="77777777" w:rsidTr="00334B0F">
        <w:tc>
          <w:tcPr>
            <w:tcW w:w="0" w:type="auto"/>
            <w:hideMark/>
          </w:tcPr>
          <w:p w14:paraId="292CE908" w14:textId="77777777" w:rsidR="00773F15" w:rsidRPr="00C07BB7" w:rsidRDefault="00773F15" w:rsidP="00462CB9">
            <w:pPr>
              <w:rPr>
                <w:rFonts w:cs="Arial"/>
                <w:sz w:val="20"/>
                <w:szCs w:val="20"/>
              </w:rPr>
            </w:pPr>
            <w:r w:rsidRPr="00C07BB7">
              <w:rPr>
                <w:rFonts w:cs="Arial"/>
                <w:sz w:val="20"/>
                <w:szCs w:val="20"/>
              </w:rPr>
              <w:t>2</w:t>
            </w:r>
          </w:p>
        </w:tc>
        <w:tc>
          <w:tcPr>
            <w:tcW w:w="0" w:type="auto"/>
            <w:hideMark/>
          </w:tcPr>
          <w:p w14:paraId="3AF48E61" w14:textId="77777777" w:rsidR="00773F15" w:rsidRPr="00C07BB7" w:rsidRDefault="00773F15" w:rsidP="00462CB9">
            <w:pPr>
              <w:rPr>
                <w:rFonts w:cs="Arial"/>
                <w:sz w:val="20"/>
                <w:szCs w:val="20"/>
              </w:rPr>
            </w:pPr>
            <w:r w:rsidRPr="00C07BB7">
              <w:rPr>
                <w:rFonts w:cs="Arial"/>
                <w:sz w:val="20"/>
                <w:szCs w:val="20"/>
              </w:rPr>
              <w:t>Forbes et al. (2024)</w:t>
            </w:r>
          </w:p>
        </w:tc>
        <w:tc>
          <w:tcPr>
            <w:tcW w:w="0" w:type="auto"/>
            <w:hideMark/>
          </w:tcPr>
          <w:p w14:paraId="5306FB19" w14:textId="77777777" w:rsidR="00773F15" w:rsidRPr="00C07BB7" w:rsidRDefault="00773F15" w:rsidP="00462CB9">
            <w:pPr>
              <w:rPr>
                <w:rFonts w:cs="Arial"/>
                <w:sz w:val="20"/>
                <w:szCs w:val="20"/>
              </w:rPr>
            </w:pPr>
            <w:r w:rsidRPr="00C07BB7">
              <w:rPr>
                <w:rFonts w:cs="Arial"/>
                <w:sz w:val="20"/>
                <w:szCs w:val="20"/>
              </w:rPr>
              <w:t>England; primary care</w:t>
            </w:r>
          </w:p>
        </w:tc>
        <w:tc>
          <w:tcPr>
            <w:tcW w:w="0" w:type="auto"/>
            <w:hideMark/>
          </w:tcPr>
          <w:p w14:paraId="4DDBE272" w14:textId="77777777" w:rsidR="00773F15" w:rsidRPr="00C07BB7" w:rsidRDefault="00773F15" w:rsidP="00462CB9">
            <w:pPr>
              <w:rPr>
                <w:rFonts w:cs="Arial"/>
                <w:sz w:val="20"/>
                <w:szCs w:val="20"/>
              </w:rPr>
            </w:pPr>
            <w:r w:rsidRPr="00C07BB7">
              <w:rPr>
                <w:rFonts w:cs="Arial"/>
                <w:sz w:val="20"/>
                <w:szCs w:val="20"/>
              </w:rPr>
              <w:t>Cross-sectional EHR study</w:t>
            </w:r>
          </w:p>
        </w:tc>
        <w:tc>
          <w:tcPr>
            <w:tcW w:w="0" w:type="auto"/>
            <w:hideMark/>
          </w:tcPr>
          <w:p w14:paraId="078B0CA1" w14:textId="77777777" w:rsidR="00773F15" w:rsidRPr="00C07BB7" w:rsidRDefault="00773F15" w:rsidP="00462CB9">
            <w:pPr>
              <w:rPr>
                <w:rFonts w:cs="Arial"/>
                <w:sz w:val="20"/>
                <w:szCs w:val="20"/>
              </w:rPr>
            </w:pPr>
            <w:r w:rsidRPr="00C07BB7">
              <w:rPr>
                <w:rFonts w:cs="Arial"/>
                <w:sz w:val="20"/>
                <w:szCs w:val="20"/>
              </w:rPr>
              <w:t>Adults with CKD identified through coded diagnoses, repeated eGFR and/or proteinuria across 738 primary-care practices.</w:t>
            </w:r>
          </w:p>
        </w:tc>
        <w:tc>
          <w:tcPr>
            <w:tcW w:w="0" w:type="auto"/>
            <w:hideMark/>
          </w:tcPr>
          <w:p w14:paraId="7C702E76" w14:textId="77777777" w:rsidR="00773F15" w:rsidRPr="00C07BB7" w:rsidRDefault="00773F15" w:rsidP="00462CB9">
            <w:pPr>
              <w:rPr>
                <w:rFonts w:cs="Arial"/>
                <w:sz w:val="20"/>
                <w:szCs w:val="20"/>
              </w:rPr>
            </w:pPr>
            <w:r w:rsidRPr="00C07BB7">
              <w:rPr>
                <w:rFonts w:cs="Arial"/>
                <w:sz w:val="20"/>
                <w:szCs w:val="20"/>
              </w:rPr>
              <w:t>A substantial gap was identified between patients eligible for SGLT2 inhibitors under guidelines and those receiving treatment in routine practice.</w:t>
            </w:r>
          </w:p>
        </w:tc>
        <w:tc>
          <w:tcPr>
            <w:tcW w:w="0" w:type="auto"/>
            <w:hideMark/>
          </w:tcPr>
          <w:p w14:paraId="76B36AFC"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assess implementation of SGLT2 guidance. </w:t>
            </w:r>
            <w:r w:rsidRPr="00C07BB7">
              <w:rPr>
                <w:rFonts w:cs="Arial"/>
                <w:b/>
                <w:bCs/>
                <w:sz w:val="20"/>
                <w:szCs w:val="20"/>
              </w:rPr>
              <w:t>Contribution:</w:t>
            </w:r>
            <w:r w:rsidRPr="00C07BB7">
              <w:rPr>
                <w:rFonts w:cs="Arial"/>
                <w:sz w:val="20"/>
                <w:szCs w:val="20"/>
              </w:rPr>
              <w:t xml:space="preserve"> Shows an implementation gap between SGLT2 eligibility and routine prescribing.</w:t>
            </w:r>
          </w:p>
        </w:tc>
      </w:tr>
      <w:tr w:rsidR="00773F15" w:rsidRPr="00C07BB7" w14:paraId="5BA2B048" w14:textId="77777777" w:rsidTr="00334B0F">
        <w:tc>
          <w:tcPr>
            <w:tcW w:w="0" w:type="auto"/>
            <w:hideMark/>
          </w:tcPr>
          <w:p w14:paraId="447B9F2F" w14:textId="77777777" w:rsidR="00773F15" w:rsidRPr="00C07BB7" w:rsidRDefault="00773F15" w:rsidP="00462CB9">
            <w:pPr>
              <w:rPr>
                <w:rFonts w:cs="Arial"/>
                <w:sz w:val="20"/>
                <w:szCs w:val="20"/>
              </w:rPr>
            </w:pPr>
            <w:r w:rsidRPr="00C07BB7">
              <w:rPr>
                <w:rFonts w:cs="Arial"/>
                <w:sz w:val="20"/>
                <w:szCs w:val="20"/>
              </w:rPr>
              <w:t>3</w:t>
            </w:r>
          </w:p>
        </w:tc>
        <w:tc>
          <w:tcPr>
            <w:tcW w:w="0" w:type="auto"/>
            <w:hideMark/>
          </w:tcPr>
          <w:p w14:paraId="5596B89F" w14:textId="77777777" w:rsidR="00773F15" w:rsidRPr="00C07BB7" w:rsidRDefault="00773F15" w:rsidP="00462CB9">
            <w:pPr>
              <w:rPr>
                <w:rFonts w:cs="Arial"/>
                <w:sz w:val="20"/>
                <w:szCs w:val="20"/>
              </w:rPr>
            </w:pPr>
            <w:r w:rsidRPr="00C07BB7">
              <w:rPr>
                <w:rFonts w:cs="Arial"/>
                <w:sz w:val="20"/>
                <w:szCs w:val="20"/>
              </w:rPr>
              <w:t>Major et al. (2025)</w:t>
            </w:r>
          </w:p>
        </w:tc>
        <w:tc>
          <w:tcPr>
            <w:tcW w:w="0" w:type="auto"/>
            <w:hideMark/>
          </w:tcPr>
          <w:p w14:paraId="123590D8" w14:textId="77777777" w:rsidR="00773F15" w:rsidRPr="00C07BB7" w:rsidRDefault="00773F15" w:rsidP="00462CB9">
            <w:pPr>
              <w:rPr>
                <w:rFonts w:cs="Arial"/>
                <w:sz w:val="20"/>
                <w:szCs w:val="20"/>
              </w:rPr>
            </w:pPr>
            <w:r w:rsidRPr="00C07BB7">
              <w:rPr>
                <w:rFonts w:cs="Arial"/>
                <w:sz w:val="20"/>
                <w:szCs w:val="20"/>
              </w:rPr>
              <w:t>Leicester, Leicestershire and Rutland, England</w:t>
            </w:r>
          </w:p>
        </w:tc>
        <w:tc>
          <w:tcPr>
            <w:tcW w:w="0" w:type="auto"/>
            <w:hideMark/>
          </w:tcPr>
          <w:p w14:paraId="2C026338" w14:textId="20C39A77" w:rsidR="00773F15" w:rsidRPr="00C07BB7" w:rsidRDefault="00A962FE" w:rsidP="00462CB9">
            <w:pPr>
              <w:rPr>
                <w:rFonts w:cs="Arial"/>
                <w:sz w:val="20"/>
                <w:szCs w:val="20"/>
              </w:rPr>
            </w:pPr>
            <w:r w:rsidRPr="00C07BB7">
              <w:rPr>
                <w:rFonts w:cs="Arial"/>
                <w:sz w:val="20"/>
                <w:szCs w:val="20"/>
              </w:rPr>
              <w:t>Integrated care</w:t>
            </w:r>
            <w:r w:rsidR="00773F15" w:rsidRPr="00C07BB7">
              <w:rPr>
                <w:rFonts w:cs="Arial"/>
                <w:sz w:val="20"/>
                <w:szCs w:val="20"/>
              </w:rPr>
              <w:t xml:space="preserve"> service evaluation</w:t>
            </w:r>
          </w:p>
        </w:tc>
        <w:tc>
          <w:tcPr>
            <w:tcW w:w="0" w:type="auto"/>
            <w:hideMark/>
          </w:tcPr>
          <w:p w14:paraId="72A53062" w14:textId="77777777" w:rsidR="00773F15" w:rsidRPr="00C07BB7" w:rsidRDefault="00773F15" w:rsidP="00462CB9">
            <w:pPr>
              <w:rPr>
                <w:rFonts w:cs="Arial"/>
                <w:sz w:val="20"/>
                <w:szCs w:val="20"/>
              </w:rPr>
            </w:pPr>
            <w:r w:rsidRPr="00C07BB7">
              <w:rPr>
                <w:rFonts w:cs="Arial"/>
                <w:sz w:val="20"/>
                <w:szCs w:val="20"/>
              </w:rPr>
              <w:t>Patients identified through electronic case finding, risk stratification and primary-care participation within the LUCID programme.</w:t>
            </w:r>
          </w:p>
        </w:tc>
        <w:tc>
          <w:tcPr>
            <w:tcW w:w="0" w:type="auto"/>
            <w:hideMark/>
          </w:tcPr>
          <w:p w14:paraId="463E2606" w14:textId="77777777" w:rsidR="00773F15" w:rsidRPr="00C07BB7" w:rsidRDefault="00773F15" w:rsidP="00462CB9">
            <w:pPr>
              <w:rPr>
                <w:rFonts w:cs="Arial"/>
                <w:sz w:val="20"/>
                <w:szCs w:val="20"/>
              </w:rPr>
            </w:pPr>
            <w:r w:rsidRPr="00C07BB7">
              <w:rPr>
                <w:rFonts w:cs="Arial"/>
                <w:sz w:val="20"/>
                <w:szCs w:val="20"/>
              </w:rPr>
              <w:t>Integrated case finding, KFRE-supported triage and multidisciplinary review enabled structured medicines optimisation and referral across primary and secondary care.</w:t>
            </w:r>
          </w:p>
        </w:tc>
        <w:tc>
          <w:tcPr>
            <w:tcW w:w="0" w:type="auto"/>
            <w:hideMark/>
          </w:tcPr>
          <w:p w14:paraId="594588EC"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evaluate an integrated CKD pathway. </w:t>
            </w:r>
            <w:r w:rsidRPr="00C07BB7">
              <w:rPr>
                <w:rFonts w:cs="Arial"/>
                <w:b/>
                <w:bCs/>
                <w:sz w:val="20"/>
                <w:szCs w:val="20"/>
              </w:rPr>
              <w:t>Contribution:</w:t>
            </w:r>
            <w:r w:rsidRPr="00C07BB7">
              <w:rPr>
                <w:rFonts w:cs="Arial"/>
                <w:sz w:val="20"/>
                <w:szCs w:val="20"/>
              </w:rPr>
              <w:t xml:space="preserve"> Shows integrated care can improve referral, surveillance and medicines optimisation.</w:t>
            </w:r>
          </w:p>
        </w:tc>
      </w:tr>
      <w:tr w:rsidR="00773F15" w:rsidRPr="00C07BB7" w14:paraId="4C9AB4F0" w14:textId="77777777" w:rsidTr="00334B0F">
        <w:tc>
          <w:tcPr>
            <w:tcW w:w="0" w:type="auto"/>
            <w:hideMark/>
          </w:tcPr>
          <w:p w14:paraId="0B519F3D" w14:textId="77777777" w:rsidR="00773F15" w:rsidRPr="00C07BB7" w:rsidRDefault="00773F15" w:rsidP="00462CB9">
            <w:pPr>
              <w:rPr>
                <w:rFonts w:cs="Arial"/>
                <w:sz w:val="20"/>
                <w:szCs w:val="20"/>
              </w:rPr>
            </w:pPr>
            <w:r w:rsidRPr="00C07BB7">
              <w:rPr>
                <w:rFonts w:cs="Arial"/>
                <w:sz w:val="20"/>
                <w:szCs w:val="20"/>
              </w:rPr>
              <w:t>4</w:t>
            </w:r>
          </w:p>
        </w:tc>
        <w:tc>
          <w:tcPr>
            <w:tcW w:w="0" w:type="auto"/>
            <w:hideMark/>
          </w:tcPr>
          <w:p w14:paraId="55569BE9" w14:textId="77777777" w:rsidR="00773F15" w:rsidRPr="00C07BB7" w:rsidRDefault="00773F15" w:rsidP="00462CB9">
            <w:pPr>
              <w:rPr>
                <w:rFonts w:cs="Arial"/>
                <w:sz w:val="20"/>
                <w:szCs w:val="20"/>
              </w:rPr>
            </w:pPr>
            <w:r w:rsidRPr="00C07BB7">
              <w:rPr>
                <w:rFonts w:cs="Arial"/>
                <w:sz w:val="20"/>
                <w:szCs w:val="20"/>
              </w:rPr>
              <w:t>Neuen et al. (2021)</w:t>
            </w:r>
          </w:p>
        </w:tc>
        <w:tc>
          <w:tcPr>
            <w:tcW w:w="0" w:type="auto"/>
            <w:hideMark/>
          </w:tcPr>
          <w:p w14:paraId="76A80EAF" w14:textId="77777777" w:rsidR="00773F15" w:rsidRPr="00C07BB7" w:rsidRDefault="00773F15" w:rsidP="00462CB9">
            <w:pPr>
              <w:rPr>
                <w:rFonts w:cs="Arial"/>
                <w:sz w:val="20"/>
                <w:szCs w:val="20"/>
              </w:rPr>
            </w:pPr>
            <w:r w:rsidRPr="00C07BB7">
              <w:rPr>
                <w:rFonts w:cs="Arial"/>
                <w:sz w:val="20"/>
                <w:szCs w:val="20"/>
              </w:rPr>
              <w:t>United Kingdom; CPRD primary care</w:t>
            </w:r>
          </w:p>
        </w:tc>
        <w:tc>
          <w:tcPr>
            <w:tcW w:w="0" w:type="auto"/>
            <w:hideMark/>
          </w:tcPr>
          <w:p w14:paraId="284855FF" w14:textId="77777777" w:rsidR="00773F15" w:rsidRPr="00C07BB7" w:rsidRDefault="00773F15" w:rsidP="00462CB9">
            <w:pPr>
              <w:rPr>
                <w:rFonts w:cs="Arial"/>
                <w:sz w:val="20"/>
                <w:szCs w:val="20"/>
              </w:rPr>
            </w:pPr>
            <w:r w:rsidRPr="00C07BB7">
              <w:rPr>
                <w:rFonts w:cs="Arial"/>
                <w:sz w:val="20"/>
                <w:szCs w:val="20"/>
              </w:rPr>
              <w:t>Observational cohort</w:t>
            </w:r>
          </w:p>
        </w:tc>
        <w:tc>
          <w:tcPr>
            <w:tcW w:w="0" w:type="auto"/>
            <w:hideMark/>
          </w:tcPr>
          <w:p w14:paraId="7A17EC61" w14:textId="77777777" w:rsidR="00773F15" w:rsidRPr="00C07BB7" w:rsidRDefault="00773F15" w:rsidP="00462CB9">
            <w:pPr>
              <w:rPr>
                <w:rFonts w:cs="Arial"/>
                <w:sz w:val="20"/>
                <w:szCs w:val="20"/>
              </w:rPr>
            </w:pPr>
            <w:r w:rsidRPr="00C07BB7">
              <w:rPr>
                <w:rFonts w:cs="Arial"/>
                <w:sz w:val="20"/>
                <w:szCs w:val="20"/>
              </w:rPr>
              <w:t>Primary-care patients with repeated eGFR and albuminuria measurements sufficient for longitudinal assessment.</w:t>
            </w:r>
          </w:p>
        </w:tc>
        <w:tc>
          <w:tcPr>
            <w:tcW w:w="0" w:type="auto"/>
            <w:hideMark/>
          </w:tcPr>
          <w:p w14:paraId="02D42FCA" w14:textId="77777777" w:rsidR="00773F15" w:rsidRPr="00C07BB7" w:rsidRDefault="00773F15" w:rsidP="00462CB9">
            <w:pPr>
              <w:rPr>
                <w:rFonts w:cs="Arial"/>
                <w:sz w:val="20"/>
                <w:szCs w:val="20"/>
              </w:rPr>
            </w:pPr>
            <w:r w:rsidRPr="00C07BB7">
              <w:rPr>
                <w:rFonts w:cs="Arial"/>
                <w:sz w:val="20"/>
                <w:szCs w:val="20"/>
              </w:rPr>
              <w:t>Combined changes in eGFR and albuminuria predicted CKD progression more effectively than considering either marker independently.</w:t>
            </w:r>
          </w:p>
        </w:tc>
        <w:tc>
          <w:tcPr>
            <w:tcW w:w="0" w:type="auto"/>
            <w:hideMark/>
          </w:tcPr>
          <w:p w14:paraId="213A1740"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evaluate kidney-function and albuminuria changes. </w:t>
            </w:r>
            <w:r w:rsidRPr="00C07BB7">
              <w:rPr>
                <w:rFonts w:cs="Arial"/>
                <w:b/>
                <w:bCs/>
                <w:sz w:val="20"/>
                <w:szCs w:val="20"/>
              </w:rPr>
              <w:t>Contribution:</w:t>
            </w:r>
            <w:r w:rsidRPr="00C07BB7">
              <w:rPr>
                <w:rFonts w:cs="Arial"/>
                <w:sz w:val="20"/>
                <w:szCs w:val="20"/>
              </w:rPr>
              <w:t xml:space="preserve"> Supports combined eGFR and uACR monitoring for better progression assessment.</w:t>
            </w:r>
          </w:p>
        </w:tc>
      </w:tr>
      <w:tr w:rsidR="00773F15" w:rsidRPr="00C07BB7" w14:paraId="104286C2" w14:textId="77777777" w:rsidTr="00334B0F">
        <w:tc>
          <w:tcPr>
            <w:tcW w:w="0" w:type="auto"/>
            <w:hideMark/>
          </w:tcPr>
          <w:p w14:paraId="661C3EFD" w14:textId="77777777" w:rsidR="00773F15" w:rsidRPr="00C07BB7" w:rsidRDefault="00773F15" w:rsidP="00462CB9">
            <w:pPr>
              <w:rPr>
                <w:rFonts w:cs="Arial"/>
                <w:sz w:val="20"/>
                <w:szCs w:val="20"/>
              </w:rPr>
            </w:pPr>
            <w:r w:rsidRPr="00C07BB7">
              <w:rPr>
                <w:rFonts w:cs="Arial"/>
                <w:sz w:val="20"/>
                <w:szCs w:val="20"/>
              </w:rPr>
              <w:t>5</w:t>
            </w:r>
          </w:p>
        </w:tc>
        <w:tc>
          <w:tcPr>
            <w:tcW w:w="0" w:type="auto"/>
            <w:hideMark/>
          </w:tcPr>
          <w:p w14:paraId="64A96E03" w14:textId="43469457" w:rsidR="00773F15" w:rsidRPr="00C07BB7" w:rsidRDefault="00773F15" w:rsidP="00462CB9">
            <w:pPr>
              <w:rPr>
                <w:rFonts w:cs="Arial"/>
                <w:sz w:val="20"/>
                <w:szCs w:val="20"/>
              </w:rPr>
            </w:pPr>
            <w:r w:rsidRPr="00C07BB7">
              <w:rPr>
                <w:rFonts w:cs="Arial"/>
                <w:sz w:val="20"/>
                <w:szCs w:val="20"/>
              </w:rPr>
              <w:t>Greenwood et al. (2024</w:t>
            </w:r>
            <w:r w:rsidR="00E849E9" w:rsidRPr="00C07BB7">
              <w:rPr>
                <w:rFonts w:cs="Arial"/>
                <w:sz w:val="20"/>
                <w:szCs w:val="20"/>
              </w:rPr>
              <w:t>b</w:t>
            </w:r>
            <w:r w:rsidRPr="00C07BB7">
              <w:rPr>
                <w:rFonts w:cs="Arial"/>
                <w:sz w:val="20"/>
                <w:szCs w:val="20"/>
              </w:rPr>
              <w:t>)</w:t>
            </w:r>
          </w:p>
        </w:tc>
        <w:tc>
          <w:tcPr>
            <w:tcW w:w="0" w:type="auto"/>
            <w:hideMark/>
          </w:tcPr>
          <w:p w14:paraId="52EE5DD4" w14:textId="77777777" w:rsidR="00773F15" w:rsidRPr="00C07BB7" w:rsidRDefault="00773F15" w:rsidP="00462CB9">
            <w:pPr>
              <w:rPr>
                <w:rFonts w:cs="Arial"/>
                <w:sz w:val="20"/>
                <w:szCs w:val="20"/>
              </w:rPr>
            </w:pPr>
            <w:r w:rsidRPr="00C07BB7">
              <w:rPr>
                <w:rFonts w:cs="Arial"/>
                <w:sz w:val="20"/>
                <w:szCs w:val="20"/>
              </w:rPr>
              <w:t>11 UK renal centres</w:t>
            </w:r>
          </w:p>
        </w:tc>
        <w:tc>
          <w:tcPr>
            <w:tcW w:w="0" w:type="auto"/>
            <w:hideMark/>
          </w:tcPr>
          <w:p w14:paraId="1D9267B5" w14:textId="77777777" w:rsidR="00773F15" w:rsidRPr="00C07BB7" w:rsidRDefault="00773F15" w:rsidP="00462CB9">
            <w:pPr>
              <w:rPr>
                <w:rFonts w:cs="Arial"/>
                <w:sz w:val="20"/>
                <w:szCs w:val="20"/>
              </w:rPr>
            </w:pPr>
            <w:r w:rsidRPr="00C07BB7">
              <w:rPr>
                <w:rFonts w:cs="Arial"/>
                <w:sz w:val="20"/>
                <w:szCs w:val="20"/>
              </w:rPr>
              <w:t>Multicentre randomised controlled trial</w:t>
            </w:r>
          </w:p>
        </w:tc>
        <w:tc>
          <w:tcPr>
            <w:tcW w:w="0" w:type="auto"/>
            <w:hideMark/>
          </w:tcPr>
          <w:p w14:paraId="14A14E7E" w14:textId="77777777" w:rsidR="00773F15" w:rsidRPr="00C07BB7" w:rsidRDefault="00773F15" w:rsidP="00462CB9">
            <w:pPr>
              <w:rPr>
                <w:rFonts w:cs="Arial"/>
                <w:sz w:val="20"/>
                <w:szCs w:val="20"/>
              </w:rPr>
            </w:pPr>
            <w:r w:rsidRPr="00C07BB7">
              <w:rPr>
                <w:rFonts w:cs="Arial"/>
                <w:sz w:val="20"/>
                <w:szCs w:val="20"/>
              </w:rPr>
              <w:t>Adults with CKD randomised to Kidney BEAM or waiting-list control following renal-centre recruitment.</w:t>
            </w:r>
          </w:p>
        </w:tc>
        <w:tc>
          <w:tcPr>
            <w:tcW w:w="0" w:type="auto"/>
            <w:hideMark/>
          </w:tcPr>
          <w:p w14:paraId="0B4CF30C" w14:textId="77777777" w:rsidR="00773F15" w:rsidRPr="00C07BB7" w:rsidRDefault="00773F15" w:rsidP="00462CB9">
            <w:pPr>
              <w:rPr>
                <w:rFonts w:cs="Arial"/>
                <w:sz w:val="20"/>
                <w:szCs w:val="20"/>
              </w:rPr>
            </w:pPr>
            <w:r w:rsidRPr="00C07BB7">
              <w:rPr>
                <w:rFonts w:cs="Arial"/>
                <w:sz w:val="20"/>
                <w:szCs w:val="20"/>
              </w:rPr>
              <w:t>Kidney BEAM produced improvements in patient-centred outcomes and supported greater physical activity compared with waiting-list care.</w:t>
            </w:r>
          </w:p>
        </w:tc>
        <w:tc>
          <w:tcPr>
            <w:tcW w:w="0" w:type="auto"/>
            <w:hideMark/>
          </w:tcPr>
          <w:p w14:paraId="2214BA79"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evaluate a digital physical-activity intervention. </w:t>
            </w:r>
            <w:r w:rsidRPr="00C07BB7">
              <w:rPr>
                <w:rFonts w:cs="Arial"/>
                <w:b/>
                <w:bCs/>
                <w:sz w:val="20"/>
                <w:szCs w:val="20"/>
              </w:rPr>
              <w:t>Contribution:</w:t>
            </w:r>
            <w:r w:rsidRPr="00C07BB7">
              <w:rPr>
                <w:rFonts w:cs="Arial"/>
                <w:sz w:val="20"/>
                <w:szCs w:val="20"/>
              </w:rPr>
              <w:t xml:space="preserve"> Provides strong evidence that digital exercise support can improve CKD outcomes.</w:t>
            </w:r>
          </w:p>
        </w:tc>
      </w:tr>
      <w:tr w:rsidR="00773F15" w:rsidRPr="00C07BB7" w14:paraId="5D59B0B9" w14:textId="77777777" w:rsidTr="00334B0F">
        <w:tc>
          <w:tcPr>
            <w:tcW w:w="0" w:type="auto"/>
            <w:hideMark/>
          </w:tcPr>
          <w:p w14:paraId="633868F0" w14:textId="77777777" w:rsidR="00773F15" w:rsidRPr="00C07BB7" w:rsidRDefault="00773F15" w:rsidP="00462CB9">
            <w:pPr>
              <w:rPr>
                <w:rFonts w:cs="Arial"/>
                <w:sz w:val="20"/>
                <w:szCs w:val="20"/>
              </w:rPr>
            </w:pPr>
            <w:r w:rsidRPr="00C07BB7">
              <w:rPr>
                <w:rFonts w:cs="Arial"/>
                <w:sz w:val="20"/>
                <w:szCs w:val="20"/>
              </w:rPr>
              <w:t>6</w:t>
            </w:r>
          </w:p>
        </w:tc>
        <w:tc>
          <w:tcPr>
            <w:tcW w:w="0" w:type="auto"/>
            <w:hideMark/>
          </w:tcPr>
          <w:p w14:paraId="061E9C54" w14:textId="77777777" w:rsidR="00773F15" w:rsidRPr="00C07BB7" w:rsidRDefault="00773F15" w:rsidP="00462CB9">
            <w:pPr>
              <w:rPr>
                <w:rFonts w:cs="Arial"/>
                <w:sz w:val="20"/>
                <w:szCs w:val="20"/>
              </w:rPr>
            </w:pPr>
            <w:r w:rsidRPr="00C07BB7">
              <w:rPr>
                <w:rFonts w:cs="Arial"/>
                <w:sz w:val="20"/>
                <w:szCs w:val="20"/>
              </w:rPr>
              <w:t>Heo et al. (2023)</w:t>
            </w:r>
          </w:p>
        </w:tc>
        <w:tc>
          <w:tcPr>
            <w:tcW w:w="0" w:type="auto"/>
            <w:hideMark/>
          </w:tcPr>
          <w:p w14:paraId="5F5FED86" w14:textId="77777777" w:rsidR="00773F15" w:rsidRPr="00C07BB7" w:rsidRDefault="00773F15" w:rsidP="00462CB9">
            <w:pPr>
              <w:rPr>
                <w:rFonts w:cs="Arial"/>
                <w:sz w:val="20"/>
                <w:szCs w:val="20"/>
              </w:rPr>
            </w:pPr>
            <w:r w:rsidRPr="00C07BB7">
              <w:rPr>
                <w:rFonts w:cs="Arial"/>
                <w:sz w:val="20"/>
                <w:szCs w:val="20"/>
              </w:rPr>
              <w:t>UK Biobank; England, Scotland and Wales</w:t>
            </w:r>
          </w:p>
        </w:tc>
        <w:tc>
          <w:tcPr>
            <w:tcW w:w="0" w:type="auto"/>
            <w:hideMark/>
          </w:tcPr>
          <w:p w14:paraId="7E28118E" w14:textId="77777777" w:rsidR="00773F15" w:rsidRPr="00C07BB7" w:rsidRDefault="00773F15" w:rsidP="00462CB9">
            <w:pPr>
              <w:rPr>
                <w:rFonts w:cs="Arial"/>
                <w:sz w:val="20"/>
                <w:szCs w:val="20"/>
              </w:rPr>
            </w:pPr>
            <w:r w:rsidRPr="00C07BB7">
              <w:rPr>
                <w:rFonts w:cs="Arial"/>
                <w:sz w:val="20"/>
                <w:szCs w:val="20"/>
              </w:rPr>
              <w:t>Prospective cohort</w:t>
            </w:r>
          </w:p>
        </w:tc>
        <w:tc>
          <w:tcPr>
            <w:tcW w:w="0" w:type="auto"/>
            <w:hideMark/>
          </w:tcPr>
          <w:p w14:paraId="623679A8" w14:textId="77777777" w:rsidR="00773F15" w:rsidRPr="00C07BB7" w:rsidRDefault="00773F15" w:rsidP="00462CB9">
            <w:pPr>
              <w:rPr>
                <w:rFonts w:cs="Arial"/>
                <w:sz w:val="20"/>
                <w:szCs w:val="20"/>
              </w:rPr>
            </w:pPr>
            <w:r w:rsidRPr="00C07BB7">
              <w:rPr>
                <w:rFonts w:cs="Arial"/>
                <w:sz w:val="20"/>
                <w:szCs w:val="20"/>
              </w:rPr>
              <w:t>CKD-free adults with dietary assessment and eligible kidney-function information at baseline.</w:t>
            </w:r>
          </w:p>
        </w:tc>
        <w:tc>
          <w:tcPr>
            <w:tcW w:w="0" w:type="auto"/>
            <w:hideMark/>
          </w:tcPr>
          <w:p w14:paraId="5EE612A6" w14:textId="77777777" w:rsidR="00773F15" w:rsidRPr="00C07BB7" w:rsidRDefault="00773F15" w:rsidP="00462CB9">
            <w:pPr>
              <w:rPr>
                <w:rFonts w:cs="Arial"/>
                <w:sz w:val="20"/>
                <w:szCs w:val="20"/>
              </w:rPr>
            </w:pPr>
            <w:r w:rsidRPr="00C07BB7">
              <w:rPr>
                <w:rFonts w:cs="Arial"/>
                <w:sz w:val="20"/>
                <w:szCs w:val="20"/>
              </w:rPr>
              <w:t>Higher dietary fibre intake was associated with a lower subsequent risk of incident CKD.</w:t>
            </w:r>
          </w:p>
        </w:tc>
        <w:tc>
          <w:tcPr>
            <w:tcW w:w="0" w:type="auto"/>
            <w:hideMark/>
          </w:tcPr>
          <w:p w14:paraId="3B66445E"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examine fibre intake and CKD incidence. </w:t>
            </w:r>
            <w:r w:rsidRPr="00C07BB7">
              <w:rPr>
                <w:rFonts w:cs="Arial"/>
                <w:b/>
                <w:bCs/>
                <w:sz w:val="20"/>
                <w:szCs w:val="20"/>
              </w:rPr>
              <w:t>Contribution:</w:t>
            </w:r>
            <w:r w:rsidRPr="00C07BB7">
              <w:rPr>
                <w:rFonts w:cs="Arial"/>
                <w:sz w:val="20"/>
                <w:szCs w:val="20"/>
              </w:rPr>
              <w:t xml:space="preserve"> Supports a possible protective role of higher dietary fibre intake.</w:t>
            </w:r>
          </w:p>
        </w:tc>
      </w:tr>
      <w:tr w:rsidR="00773F15" w:rsidRPr="00C07BB7" w14:paraId="196DF82C" w14:textId="77777777" w:rsidTr="00334B0F">
        <w:tc>
          <w:tcPr>
            <w:tcW w:w="0" w:type="auto"/>
            <w:hideMark/>
          </w:tcPr>
          <w:p w14:paraId="54DD9C98" w14:textId="77777777" w:rsidR="00773F15" w:rsidRPr="00C07BB7" w:rsidRDefault="00773F15" w:rsidP="00462CB9">
            <w:pPr>
              <w:rPr>
                <w:rFonts w:cs="Arial"/>
                <w:sz w:val="20"/>
                <w:szCs w:val="20"/>
              </w:rPr>
            </w:pPr>
            <w:r w:rsidRPr="00C07BB7">
              <w:rPr>
                <w:rFonts w:cs="Arial"/>
                <w:sz w:val="20"/>
                <w:szCs w:val="20"/>
              </w:rPr>
              <w:t>7</w:t>
            </w:r>
          </w:p>
        </w:tc>
        <w:tc>
          <w:tcPr>
            <w:tcW w:w="0" w:type="auto"/>
            <w:hideMark/>
          </w:tcPr>
          <w:p w14:paraId="54CD68EE" w14:textId="77777777" w:rsidR="00773F15" w:rsidRPr="00C07BB7" w:rsidRDefault="00773F15" w:rsidP="00462CB9">
            <w:pPr>
              <w:rPr>
                <w:rFonts w:cs="Arial"/>
                <w:sz w:val="20"/>
                <w:szCs w:val="20"/>
              </w:rPr>
            </w:pPr>
            <w:r w:rsidRPr="00C07BB7">
              <w:rPr>
                <w:rFonts w:cs="Arial"/>
                <w:sz w:val="20"/>
                <w:szCs w:val="20"/>
              </w:rPr>
              <w:t>Lan et al. (2023)</w:t>
            </w:r>
          </w:p>
        </w:tc>
        <w:tc>
          <w:tcPr>
            <w:tcW w:w="0" w:type="auto"/>
            <w:hideMark/>
          </w:tcPr>
          <w:p w14:paraId="673F5A03" w14:textId="77777777" w:rsidR="00773F15" w:rsidRPr="00C07BB7" w:rsidRDefault="00773F15" w:rsidP="00462CB9">
            <w:pPr>
              <w:rPr>
                <w:rFonts w:cs="Arial"/>
                <w:sz w:val="20"/>
                <w:szCs w:val="20"/>
              </w:rPr>
            </w:pPr>
            <w:r w:rsidRPr="00C07BB7">
              <w:rPr>
                <w:rFonts w:cs="Arial"/>
                <w:sz w:val="20"/>
                <w:szCs w:val="20"/>
              </w:rPr>
              <w:t>UK Biobank</w:t>
            </w:r>
          </w:p>
        </w:tc>
        <w:tc>
          <w:tcPr>
            <w:tcW w:w="0" w:type="auto"/>
            <w:hideMark/>
          </w:tcPr>
          <w:p w14:paraId="046CFFFB" w14:textId="77777777" w:rsidR="00773F15" w:rsidRPr="00C07BB7" w:rsidRDefault="00773F15" w:rsidP="00462CB9">
            <w:pPr>
              <w:rPr>
                <w:rFonts w:cs="Arial"/>
                <w:sz w:val="20"/>
                <w:szCs w:val="20"/>
              </w:rPr>
            </w:pPr>
            <w:r w:rsidRPr="00C07BB7">
              <w:rPr>
                <w:rFonts w:cs="Arial"/>
                <w:sz w:val="20"/>
                <w:szCs w:val="20"/>
              </w:rPr>
              <w:t>Prospective cohort</w:t>
            </w:r>
          </w:p>
        </w:tc>
        <w:tc>
          <w:tcPr>
            <w:tcW w:w="0" w:type="auto"/>
            <w:hideMark/>
          </w:tcPr>
          <w:p w14:paraId="64A50052" w14:textId="77777777" w:rsidR="00773F15" w:rsidRPr="00C07BB7" w:rsidRDefault="00773F15" w:rsidP="00462CB9">
            <w:pPr>
              <w:rPr>
                <w:rFonts w:cs="Arial"/>
                <w:sz w:val="20"/>
                <w:szCs w:val="20"/>
              </w:rPr>
            </w:pPr>
            <w:r w:rsidRPr="00C07BB7">
              <w:rPr>
                <w:rFonts w:cs="Arial"/>
                <w:sz w:val="20"/>
                <w:szCs w:val="20"/>
              </w:rPr>
              <w:t>Never-smokers without CKD at baseline, with secondhand-smoke and genetic information available.</w:t>
            </w:r>
          </w:p>
        </w:tc>
        <w:tc>
          <w:tcPr>
            <w:tcW w:w="0" w:type="auto"/>
            <w:hideMark/>
          </w:tcPr>
          <w:p w14:paraId="290A3636" w14:textId="77777777" w:rsidR="00773F15" w:rsidRPr="00C07BB7" w:rsidRDefault="00773F15" w:rsidP="00462CB9">
            <w:pPr>
              <w:rPr>
                <w:rFonts w:cs="Arial"/>
                <w:sz w:val="20"/>
                <w:szCs w:val="20"/>
              </w:rPr>
            </w:pPr>
            <w:r w:rsidRPr="00C07BB7">
              <w:rPr>
                <w:rFonts w:cs="Arial"/>
                <w:sz w:val="20"/>
                <w:szCs w:val="20"/>
              </w:rPr>
              <w:t>Greater secondhand-smoke exposure was associated with increased incident CKD risk, with susceptibility differing according to genetic risk.</w:t>
            </w:r>
          </w:p>
        </w:tc>
        <w:tc>
          <w:tcPr>
            <w:tcW w:w="0" w:type="auto"/>
            <w:hideMark/>
          </w:tcPr>
          <w:p w14:paraId="07CE8917"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investigate passive smoking and CKD. </w:t>
            </w:r>
            <w:r w:rsidRPr="00C07BB7">
              <w:rPr>
                <w:rFonts w:cs="Arial"/>
                <w:b/>
                <w:bCs/>
                <w:sz w:val="20"/>
                <w:szCs w:val="20"/>
              </w:rPr>
              <w:t>Contribution:</w:t>
            </w:r>
            <w:r w:rsidRPr="00C07BB7">
              <w:rPr>
                <w:rFonts w:cs="Arial"/>
                <w:sz w:val="20"/>
                <w:szCs w:val="20"/>
              </w:rPr>
              <w:t xml:space="preserve"> Shows passive smoke exposure may increase CKD risk in never-smokers.</w:t>
            </w:r>
          </w:p>
        </w:tc>
      </w:tr>
      <w:tr w:rsidR="00773F15" w:rsidRPr="00C07BB7" w14:paraId="73C276E9" w14:textId="77777777" w:rsidTr="00334B0F">
        <w:tc>
          <w:tcPr>
            <w:tcW w:w="0" w:type="auto"/>
            <w:hideMark/>
          </w:tcPr>
          <w:p w14:paraId="2AD66808" w14:textId="77777777" w:rsidR="00773F15" w:rsidRPr="00C07BB7" w:rsidRDefault="00773F15" w:rsidP="00462CB9">
            <w:pPr>
              <w:rPr>
                <w:rFonts w:cs="Arial"/>
                <w:sz w:val="20"/>
                <w:szCs w:val="20"/>
              </w:rPr>
            </w:pPr>
            <w:r w:rsidRPr="00C07BB7">
              <w:rPr>
                <w:rFonts w:cs="Arial"/>
                <w:sz w:val="20"/>
                <w:szCs w:val="20"/>
              </w:rPr>
              <w:t>8</w:t>
            </w:r>
          </w:p>
        </w:tc>
        <w:tc>
          <w:tcPr>
            <w:tcW w:w="0" w:type="auto"/>
            <w:hideMark/>
          </w:tcPr>
          <w:p w14:paraId="7E61CFA6" w14:textId="77777777" w:rsidR="00773F15" w:rsidRPr="00C07BB7" w:rsidRDefault="00773F15" w:rsidP="00462CB9">
            <w:pPr>
              <w:rPr>
                <w:rFonts w:cs="Arial"/>
                <w:sz w:val="20"/>
                <w:szCs w:val="20"/>
              </w:rPr>
            </w:pPr>
            <w:r w:rsidRPr="00C07BB7">
              <w:rPr>
                <w:rFonts w:cs="Arial"/>
                <w:sz w:val="20"/>
                <w:szCs w:val="20"/>
              </w:rPr>
              <w:t>Li et al. (2025)</w:t>
            </w:r>
          </w:p>
        </w:tc>
        <w:tc>
          <w:tcPr>
            <w:tcW w:w="0" w:type="auto"/>
            <w:hideMark/>
          </w:tcPr>
          <w:p w14:paraId="0967FDDB" w14:textId="77777777" w:rsidR="00773F15" w:rsidRPr="00C07BB7" w:rsidRDefault="00773F15" w:rsidP="00462CB9">
            <w:pPr>
              <w:rPr>
                <w:rFonts w:cs="Arial"/>
                <w:sz w:val="20"/>
                <w:szCs w:val="20"/>
              </w:rPr>
            </w:pPr>
            <w:r w:rsidRPr="00C07BB7">
              <w:rPr>
                <w:rFonts w:cs="Arial"/>
                <w:sz w:val="20"/>
                <w:szCs w:val="20"/>
              </w:rPr>
              <w:t>UK Biobank; England, Scotland and Wales</w:t>
            </w:r>
          </w:p>
        </w:tc>
        <w:tc>
          <w:tcPr>
            <w:tcW w:w="0" w:type="auto"/>
            <w:hideMark/>
          </w:tcPr>
          <w:p w14:paraId="7582796C" w14:textId="77777777" w:rsidR="00773F15" w:rsidRPr="00C07BB7" w:rsidRDefault="00773F15" w:rsidP="00462CB9">
            <w:pPr>
              <w:rPr>
                <w:rFonts w:cs="Arial"/>
                <w:sz w:val="20"/>
                <w:szCs w:val="20"/>
              </w:rPr>
            </w:pPr>
            <w:r w:rsidRPr="00C07BB7">
              <w:rPr>
                <w:rFonts w:cs="Arial"/>
                <w:sz w:val="20"/>
                <w:szCs w:val="20"/>
              </w:rPr>
              <w:t>Prospective cohort</w:t>
            </w:r>
          </w:p>
        </w:tc>
        <w:tc>
          <w:tcPr>
            <w:tcW w:w="0" w:type="auto"/>
            <w:hideMark/>
          </w:tcPr>
          <w:p w14:paraId="29790D49" w14:textId="77777777" w:rsidR="00773F15" w:rsidRPr="00C07BB7" w:rsidRDefault="00773F15" w:rsidP="00462CB9">
            <w:pPr>
              <w:rPr>
                <w:rFonts w:cs="Arial"/>
                <w:sz w:val="20"/>
                <w:szCs w:val="20"/>
              </w:rPr>
            </w:pPr>
            <w:r w:rsidRPr="00C07BB7">
              <w:rPr>
                <w:rFonts w:cs="Arial"/>
                <w:sz w:val="20"/>
                <w:szCs w:val="20"/>
              </w:rPr>
              <w:t>Participants without CKD at baseline with linked psychiatric, clinical, socioeconomic and kidney-outcome information.</w:t>
            </w:r>
          </w:p>
        </w:tc>
        <w:tc>
          <w:tcPr>
            <w:tcW w:w="0" w:type="auto"/>
            <w:hideMark/>
          </w:tcPr>
          <w:p w14:paraId="23FF7679" w14:textId="77777777" w:rsidR="00773F15" w:rsidRPr="00C07BB7" w:rsidRDefault="00773F15" w:rsidP="00462CB9">
            <w:pPr>
              <w:rPr>
                <w:rFonts w:cs="Arial"/>
                <w:sz w:val="20"/>
                <w:szCs w:val="20"/>
              </w:rPr>
            </w:pPr>
            <w:r w:rsidRPr="00C07BB7">
              <w:rPr>
                <w:rFonts w:cs="Arial"/>
                <w:sz w:val="20"/>
                <w:szCs w:val="20"/>
              </w:rPr>
              <w:t>Psychiatric disorders were associated with an increased subsequent risk of developing CKD.</w:t>
            </w:r>
          </w:p>
        </w:tc>
        <w:tc>
          <w:tcPr>
            <w:tcW w:w="0" w:type="auto"/>
            <w:hideMark/>
          </w:tcPr>
          <w:p w14:paraId="1A70C857"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investigate psychiatric disorders and future CKD. </w:t>
            </w:r>
            <w:r w:rsidRPr="00C07BB7">
              <w:rPr>
                <w:rFonts w:cs="Arial"/>
                <w:b/>
                <w:bCs/>
                <w:sz w:val="20"/>
                <w:szCs w:val="20"/>
              </w:rPr>
              <w:t>Contribution:</w:t>
            </w:r>
            <w:r w:rsidRPr="00C07BB7">
              <w:rPr>
                <w:rFonts w:cs="Arial"/>
                <w:sz w:val="20"/>
                <w:szCs w:val="20"/>
              </w:rPr>
              <w:t xml:space="preserve"> Broadens CKD risk evidence by identifying psychiatric disorders as relevant.</w:t>
            </w:r>
          </w:p>
        </w:tc>
      </w:tr>
      <w:tr w:rsidR="00773F15" w:rsidRPr="00C07BB7" w14:paraId="1640B284" w14:textId="77777777" w:rsidTr="00334B0F">
        <w:tc>
          <w:tcPr>
            <w:tcW w:w="0" w:type="auto"/>
            <w:hideMark/>
          </w:tcPr>
          <w:p w14:paraId="0658C986" w14:textId="77777777" w:rsidR="00773F15" w:rsidRPr="00C07BB7" w:rsidRDefault="00773F15" w:rsidP="00462CB9">
            <w:pPr>
              <w:rPr>
                <w:rFonts w:cs="Arial"/>
                <w:sz w:val="20"/>
                <w:szCs w:val="20"/>
              </w:rPr>
            </w:pPr>
            <w:r w:rsidRPr="00C07BB7">
              <w:rPr>
                <w:rFonts w:cs="Arial"/>
                <w:sz w:val="20"/>
                <w:szCs w:val="20"/>
              </w:rPr>
              <w:t>9</w:t>
            </w:r>
          </w:p>
        </w:tc>
        <w:tc>
          <w:tcPr>
            <w:tcW w:w="0" w:type="auto"/>
            <w:hideMark/>
          </w:tcPr>
          <w:p w14:paraId="1737DD58" w14:textId="77777777" w:rsidR="00773F15" w:rsidRPr="00C07BB7" w:rsidRDefault="00773F15" w:rsidP="00462CB9">
            <w:pPr>
              <w:rPr>
                <w:rFonts w:cs="Arial"/>
                <w:sz w:val="20"/>
                <w:szCs w:val="20"/>
              </w:rPr>
            </w:pPr>
            <w:r w:rsidRPr="00C07BB7">
              <w:rPr>
                <w:rFonts w:cs="Arial"/>
                <w:sz w:val="20"/>
                <w:szCs w:val="20"/>
              </w:rPr>
              <w:t>Lightfoot et al. (2025)</w:t>
            </w:r>
          </w:p>
        </w:tc>
        <w:tc>
          <w:tcPr>
            <w:tcW w:w="0" w:type="auto"/>
            <w:hideMark/>
          </w:tcPr>
          <w:p w14:paraId="55332D45" w14:textId="77777777" w:rsidR="00773F15" w:rsidRPr="00C07BB7" w:rsidRDefault="00773F15" w:rsidP="00462CB9">
            <w:pPr>
              <w:rPr>
                <w:rFonts w:cs="Arial"/>
                <w:sz w:val="20"/>
                <w:szCs w:val="20"/>
              </w:rPr>
            </w:pPr>
            <w:r w:rsidRPr="00C07BB7">
              <w:rPr>
                <w:rFonts w:cs="Arial"/>
                <w:sz w:val="20"/>
                <w:szCs w:val="20"/>
              </w:rPr>
              <w:t>Leicester, England; primary and renal care</w:t>
            </w:r>
          </w:p>
        </w:tc>
        <w:tc>
          <w:tcPr>
            <w:tcW w:w="0" w:type="auto"/>
            <w:hideMark/>
          </w:tcPr>
          <w:p w14:paraId="275C81AA" w14:textId="77777777" w:rsidR="00773F15" w:rsidRPr="00C07BB7" w:rsidRDefault="00773F15" w:rsidP="00462CB9">
            <w:pPr>
              <w:rPr>
                <w:rFonts w:cs="Arial"/>
                <w:sz w:val="20"/>
                <w:szCs w:val="20"/>
              </w:rPr>
            </w:pPr>
            <w:r w:rsidRPr="00C07BB7">
              <w:rPr>
                <w:rFonts w:cs="Arial"/>
                <w:sz w:val="20"/>
                <w:szCs w:val="20"/>
              </w:rPr>
              <w:t>Qualitative interview study</w:t>
            </w:r>
          </w:p>
        </w:tc>
        <w:tc>
          <w:tcPr>
            <w:tcW w:w="0" w:type="auto"/>
            <w:hideMark/>
          </w:tcPr>
          <w:p w14:paraId="22E7292E" w14:textId="77777777" w:rsidR="00773F15" w:rsidRPr="00C07BB7" w:rsidRDefault="00773F15" w:rsidP="00462CB9">
            <w:pPr>
              <w:rPr>
                <w:rFonts w:cs="Arial"/>
                <w:sz w:val="20"/>
                <w:szCs w:val="20"/>
              </w:rPr>
            </w:pPr>
            <w:r w:rsidRPr="00C07BB7">
              <w:rPr>
                <w:rFonts w:cs="Arial"/>
                <w:sz w:val="20"/>
                <w:szCs w:val="20"/>
              </w:rPr>
              <w:t>Adults with non-dialysis CKD recruited from primary-care and hospital settings and interviewed about self-management.</w:t>
            </w:r>
          </w:p>
        </w:tc>
        <w:tc>
          <w:tcPr>
            <w:tcW w:w="0" w:type="auto"/>
            <w:hideMark/>
          </w:tcPr>
          <w:p w14:paraId="19239C0F" w14:textId="77777777" w:rsidR="00773F15" w:rsidRPr="00C07BB7" w:rsidRDefault="00773F15" w:rsidP="00462CB9">
            <w:pPr>
              <w:rPr>
                <w:rFonts w:cs="Arial"/>
                <w:sz w:val="20"/>
                <w:szCs w:val="20"/>
              </w:rPr>
            </w:pPr>
            <w:r w:rsidRPr="00C07BB7">
              <w:rPr>
                <w:rFonts w:cs="Arial"/>
                <w:sz w:val="20"/>
                <w:szCs w:val="20"/>
              </w:rPr>
              <w:t>Successful self-management was influenced by knowledge, confidence, symptoms, competing priorities and access to professional support.</w:t>
            </w:r>
          </w:p>
        </w:tc>
        <w:tc>
          <w:tcPr>
            <w:tcW w:w="0" w:type="auto"/>
            <w:hideMark/>
          </w:tcPr>
          <w:p w14:paraId="0626B6D5"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understand CKD self-management experiences. </w:t>
            </w:r>
            <w:r w:rsidRPr="00C07BB7">
              <w:rPr>
                <w:rFonts w:cs="Arial"/>
                <w:b/>
                <w:bCs/>
                <w:sz w:val="20"/>
                <w:szCs w:val="20"/>
              </w:rPr>
              <w:t>Contribution:</w:t>
            </w:r>
            <w:r w:rsidRPr="00C07BB7">
              <w:rPr>
                <w:rFonts w:cs="Arial"/>
                <w:sz w:val="20"/>
                <w:szCs w:val="20"/>
              </w:rPr>
              <w:t xml:space="preserve"> Identifies key barriers and facilitators influencing effective CKD self-management.</w:t>
            </w:r>
          </w:p>
        </w:tc>
      </w:tr>
      <w:tr w:rsidR="00773F15" w:rsidRPr="00C07BB7" w14:paraId="1A75C243" w14:textId="77777777" w:rsidTr="00334B0F">
        <w:tc>
          <w:tcPr>
            <w:tcW w:w="0" w:type="auto"/>
            <w:hideMark/>
          </w:tcPr>
          <w:p w14:paraId="4B0D4114" w14:textId="77777777" w:rsidR="00773F15" w:rsidRPr="00C07BB7" w:rsidRDefault="00773F15" w:rsidP="00462CB9">
            <w:pPr>
              <w:rPr>
                <w:rFonts w:cs="Arial"/>
                <w:sz w:val="20"/>
                <w:szCs w:val="20"/>
              </w:rPr>
            </w:pPr>
            <w:r w:rsidRPr="00C07BB7">
              <w:rPr>
                <w:rFonts w:cs="Arial"/>
                <w:sz w:val="20"/>
                <w:szCs w:val="20"/>
              </w:rPr>
              <w:t>10</w:t>
            </w:r>
          </w:p>
        </w:tc>
        <w:tc>
          <w:tcPr>
            <w:tcW w:w="0" w:type="auto"/>
            <w:hideMark/>
          </w:tcPr>
          <w:p w14:paraId="56866EE9" w14:textId="77777777" w:rsidR="00773F15" w:rsidRPr="00C07BB7" w:rsidRDefault="00773F15" w:rsidP="00462CB9">
            <w:pPr>
              <w:rPr>
                <w:rFonts w:cs="Arial"/>
                <w:sz w:val="20"/>
                <w:szCs w:val="20"/>
              </w:rPr>
            </w:pPr>
            <w:r w:rsidRPr="00C07BB7">
              <w:rPr>
                <w:rFonts w:cs="Arial"/>
                <w:sz w:val="20"/>
                <w:szCs w:val="20"/>
              </w:rPr>
              <w:t>Maroto-Rodriguez et al. (2025)</w:t>
            </w:r>
          </w:p>
        </w:tc>
        <w:tc>
          <w:tcPr>
            <w:tcW w:w="0" w:type="auto"/>
            <w:hideMark/>
          </w:tcPr>
          <w:p w14:paraId="7E59C7E4" w14:textId="77777777" w:rsidR="00773F15" w:rsidRPr="00C07BB7" w:rsidRDefault="00773F15" w:rsidP="00462CB9">
            <w:pPr>
              <w:rPr>
                <w:rFonts w:cs="Arial"/>
                <w:sz w:val="20"/>
                <w:szCs w:val="20"/>
              </w:rPr>
            </w:pPr>
            <w:r w:rsidRPr="00C07BB7">
              <w:rPr>
                <w:rFonts w:cs="Arial"/>
                <w:sz w:val="20"/>
                <w:szCs w:val="20"/>
              </w:rPr>
              <w:t>UK Biobank; British adults</w:t>
            </w:r>
          </w:p>
        </w:tc>
        <w:tc>
          <w:tcPr>
            <w:tcW w:w="0" w:type="auto"/>
            <w:hideMark/>
          </w:tcPr>
          <w:p w14:paraId="55568192" w14:textId="77777777" w:rsidR="00773F15" w:rsidRPr="00C07BB7" w:rsidRDefault="00773F15" w:rsidP="00462CB9">
            <w:pPr>
              <w:rPr>
                <w:rFonts w:cs="Arial"/>
                <w:sz w:val="20"/>
                <w:szCs w:val="20"/>
              </w:rPr>
            </w:pPr>
            <w:r w:rsidRPr="00C07BB7">
              <w:rPr>
                <w:rFonts w:cs="Arial"/>
                <w:sz w:val="20"/>
                <w:szCs w:val="20"/>
              </w:rPr>
              <w:t>Prospective cohort</w:t>
            </w:r>
          </w:p>
        </w:tc>
        <w:tc>
          <w:tcPr>
            <w:tcW w:w="0" w:type="auto"/>
            <w:hideMark/>
          </w:tcPr>
          <w:p w14:paraId="72B58EBC" w14:textId="77777777" w:rsidR="00773F15" w:rsidRPr="00C07BB7" w:rsidRDefault="00773F15" w:rsidP="00462CB9">
            <w:pPr>
              <w:rPr>
                <w:rFonts w:cs="Arial"/>
                <w:sz w:val="20"/>
                <w:szCs w:val="20"/>
              </w:rPr>
            </w:pPr>
            <w:r w:rsidRPr="00C07BB7">
              <w:rPr>
                <w:rFonts w:cs="Arial"/>
                <w:sz w:val="20"/>
                <w:szCs w:val="20"/>
              </w:rPr>
              <w:t>CKD-free adults with repeated dietary assessments used to calculate multiple diet-quality indices.</w:t>
            </w:r>
          </w:p>
        </w:tc>
        <w:tc>
          <w:tcPr>
            <w:tcW w:w="0" w:type="auto"/>
            <w:hideMark/>
          </w:tcPr>
          <w:p w14:paraId="3A31B430" w14:textId="77777777" w:rsidR="00773F15" w:rsidRPr="00C07BB7" w:rsidRDefault="00773F15" w:rsidP="00462CB9">
            <w:pPr>
              <w:rPr>
                <w:rFonts w:cs="Arial"/>
                <w:sz w:val="20"/>
                <w:szCs w:val="20"/>
              </w:rPr>
            </w:pPr>
            <w:r w:rsidRPr="00C07BB7">
              <w:rPr>
                <w:rFonts w:cs="Arial"/>
                <w:sz w:val="20"/>
                <w:szCs w:val="20"/>
              </w:rPr>
              <w:t>Greater adherence to healthier dietary patterns was associated with a lower incidence of CKD during follow-up.</w:t>
            </w:r>
          </w:p>
        </w:tc>
        <w:tc>
          <w:tcPr>
            <w:tcW w:w="0" w:type="auto"/>
            <w:hideMark/>
          </w:tcPr>
          <w:p w14:paraId="1FDA72E0"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evaluate diet quality and incident CKD. </w:t>
            </w:r>
            <w:r w:rsidRPr="00C07BB7">
              <w:rPr>
                <w:rFonts w:cs="Arial"/>
                <w:b/>
                <w:bCs/>
                <w:sz w:val="20"/>
                <w:szCs w:val="20"/>
              </w:rPr>
              <w:t>Contribution:</w:t>
            </w:r>
            <w:r w:rsidRPr="00C07BB7">
              <w:rPr>
                <w:rFonts w:cs="Arial"/>
                <w:sz w:val="20"/>
                <w:szCs w:val="20"/>
              </w:rPr>
              <w:t xml:space="preserve"> Strengthens evidence linking healthier dietary patterns with lower CKD risk.</w:t>
            </w:r>
          </w:p>
        </w:tc>
      </w:tr>
      <w:tr w:rsidR="00773F15" w:rsidRPr="00C07BB7" w14:paraId="3BAC95EF" w14:textId="77777777" w:rsidTr="00334B0F">
        <w:tc>
          <w:tcPr>
            <w:tcW w:w="0" w:type="auto"/>
            <w:hideMark/>
          </w:tcPr>
          <w:p w14:paraId="32AA315F" w14:textId="77777777" w:rsidR="00773F15" w:rsidRPr="00C07BB7" w:rsidRDefault="00773F15" w:rsidP="00462CB9">
            <w:pPr>
              <w:rPr>
                <w:rFonts w:cs="Arial"/>
                <w:sz w:val="20"/>
                <w:szCs w:val="20"/>
              </w:rPr>
            </w:pPr>
            <w:r w:rsidRPr="00C07BB7">
              <w:rPr>
                <w:rFonts w:cs="Arial"/>
                <w:sz w:val="20"/>
                <w:szCs w:val="20"/>
              </w:rPr>
              <w:t>11</w:t>
            </w:r>
          </w:p>
        </w:tc>
        <w:tc>
          <w:tcPr>
            <w:tcW w:w="0" w:type="auto"/>
            <w:hideMark/>
          </w:tcPr>
          <w:p w14:paraId="4634E9B8" w14:textId="77777777" w:rsidR="00773F15" w:rsidRPr="00C07BB7" w:rsidRDefault="00773F15" w:rsidP="00462CB9">
            <w:pPr>
              <w:rPr>
                <w:rFonts w:cs="Arial"/>
                <w:sz w:val="20"/>
                <w:szCs w:val="20"/>
              </w:rPr>
            </w:pPr>
            <w:r w:rsidRPr="00C07BB7">
              <w:rPr>
                <w:rFonts w:cs="Arial"/>
                <w:sz w:val="20"/>
                <w:szCs w:val="20"/>
              </w:rPr>
              <w:t>Rizvi et al. (2024)</w:t>
            </w:r>
          </w:p>
        </w:tc>
        <w:tc>
          <w:tcPr>
            <w:tcW w:w="0" w:type="auto"/>
            <w:hideMark/>
          </w:tcPr>
          <w:p w14:paraId="76F71A5F" w14:textId="77777777" w:rsidR="00773F15" w:rsidRPr="00C07BB7" w:rsidRDefault="00773F15" w:rsidP="00462CB9">
            <w:pPr>
              <w:rPr>
                <w:rFonts w:cs="Arial"/>
                <w:sz w:val="20"/>
                <w:szCs w:val="20"/>
              </w:rPr>
            </w:pPr>
            <w:r w:rsidRPr="00C07BB7">
              <w:rPr>
                <w:rFonts w:cs="Arial"/>
                <w:sz w:val="20"/>
                <w:szCs w:val="20"/>
              </w:rPr>
              <w:t>Leicester, England; primary care</w:t>
            </w:r>
          </w:p>
        </w:tc>
        <w:tc>
          <w:tcPr>
            <w:tcW w:w="0" w:type="auto"/>
            <w:hideMark/>
          </w:tcPr>
          <w:p w14:paraId="00BBA940" w14:textId="77777777" w:rsidR="00773F15" w:rsidRPr="00C07BB7" w:rsidRDefault="00773F15" w:rsidP="00462CB9">
            <w:pPr>
              <w:rPr>
                <w:rFonts w:cs="Arial"/>
                <w:sz w:val="20"/>
                <w:szCs w:val="20"/>
              </w:rPr>
            </w:pPr>
            <w:r w:rsidRPr="00C07BB7">
              <w:rPr>
                <w:rFonts w:cs="Arial"/>
                <w:sz w:val="20"/>
                <w:szCs w:val="20"/>
              </w:rPr>
              <w:t>Quality-improvement clinical evaluation</w:t>
            </w:r>
          </w:p>
        </w:tc>
        <w:tc>
          <w:tcPr>
            <w:tcW w:w="0" w:type="auto"/>
            <w:hideMark/>
          </w:tcPr>
          <w:p w14:paraId="3A589DBE" w14:textId="77777777" w:rsidR="00773F15" w:rsidRPr="00C07BB7" w:rsidRDefault="00773F15" w:rsidP="00462CB9">
            <w:pPr>
              <w:rPr>
                <w:rFonts w:cs="Arial"/>
                <w:sz w:val="20"/>
                <w:szCs w:val="20"/>
              </w:rPr>
            </w:pPr>
            <w:r w:rsidRPr="00C07BB7">
              <w:rPr>
                <w:rFonts w:cs="Arial"/>
                <w:sz w:val="20"/>
                <w:szCs w:val="20"/>
              </w:rPr>
              <w:t>Patients with CKD, diabetes and/or heart failure reviewed through an integrated primary-care improvement programme.</w:t>
            </w:r>
          </w:p>
        </w:tc>
        <w:tc>
          <w:tcPr>
            <w:tcW w:w="0" w:type="auto"/>
            <w:hideMark/>
          </w:tcPr>
          <w:p w14:paraId="74A86347" w14:textId="77777777" w:rsidR="00773F15" w:rsidRPr="00C07BB7" w:rsidRDefault="00773F15" w:rsidP="00462CB9">
            <w:pPr>
              <w:rPr>
                <w:rFonts w:cs="Arial"/>
                <w:sz w:val="20"/>
                <w:szCs w:val="20"/>
              </w:rPr>
            </w:pPr>
            <w:r w:rsidRPr="00C07BB7">
              <w:rPr>
                <w:rFonts w:cs="Arial"/>
                <w:sz w:val="20"/>
                <w:szCs w:val="20"/>
              </w:rPr>
              <w:t>Specialist and pharmacist-supported review facilitated guideline-based medicines optimisation and appropriate referral within primary care.</w:t>
            </w:r>
          </w:p>
        </w:tc>
        <w:tc>
          <w:tcPr>
            <w:tcW w:w="0" w:type="auto"/>
            <w:hideMark/>
          </w:tcPr>
          <w:p w14:paraId="7AF59D9D"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evaluate an integrated CKD improvement model. </w:t>
            </w:r>
            <w:r w:rsidRPr="00C07BB7">
              <w:rPr>
                <w:rFonts w:cs="Arial"/>
                <w:b/>
                <w:bCs/>
                <w:sz w:val="20"/>
                <w:szCs w:val="20"/>
              </w:rPr>
              <w:t>Contribution:</w:t>
            </w:r>
            <w:r w:rsidRPr="00C07BB7">
              <w:rPr>
                <w:rFonts w:cs="Arial"/>
                <w:sz w:val="20"/>
                <w:szCs w:val="20"/>
              </w:rPr>
              <w:t xml:space="preserve"> Shows specialist-supported primary care can improve CKD treatment optimisation.</w:t>
            </w:r>
          </w:p>
        </w:tc>
      </w:tr>
      <w:tr w:rsidR="00773F15" w:rsidRPr="00C07BB7" w14:paraId="1E1DD859" w14:textId="77777777" w:rsidTr="00334B0F">
        <w:tc>
          <w:tcPr>
            <w:tcW w:w="0" w:type="auto"/>
            <w:hideMark/>
          </w:tcPr>
          <w:p w14:paraId="6700BC13" w14:textId="77777777" w:rsidR="00773F15" w:rsidRPr="00C07BB7" w:rsidRDefault="00773F15" w:rsidP="00462CB9">
            <w:pPr>
              <w:rPr>
                <w:rFonts w:cs="Arial"/>
                <w:sz w:val="20"/>
                <w:szCs w:val="20"/>
              </w:rPr>
            </w:pPr>
            <w:r w:rsidRPr="00C07BB7">
              <w:rPr>
                <w:rFonts w:cs="Arial"/>
                <w:sz w:val="20"/>
                <w:szCs w:val="20"/>
              </w:rPr>
              <w:t>12</w:t>
            </w:r>
          </w:p>
        </w:tc>
        <w:tc>
          <w:tcPr>
            <w:tcW w:w="0" w:type="auto"/>
            <w:hideMark/>
          </w:tcPr>
          <w:p w14:paraId="223C2555" w14:textId="77777777" w:rsidR="00773F15" w:rsidRPr="00C07BB7" w:rsidRDefault="00773F15" w:rsidP="00462CB9">
            <w:pPr>
              <w:rPr>
                <w:rFonts w:cs="Arial"/>
                <w:sz w:val="20"/>
                <w:szCs w:val="20"/>
              </w:rPr>
            </w:pPr>
            <w:r w:rsidRPr="00C07BB7">
              <w:rPr>
                <w:rFonts w:cs="Arial"/>
                <w:sz w:val="20"/>
                <w:szCs w:val="20"/>
              </w:rPr>
              <w:t>Sullivan et al. (2023)</w:t>
            </w:r>
          </w:p>
        </w:tc>
        <w:tc>
          <w:tcPr>
            <w:tcW w:w="0" w:type="auto"/>
            <w:hideMark/>
          </w:tcPr>
          <w:p w14:paraId="7870EE17" w14:textId="77777777" w:rsidR="00773F15" w:rsidRPr="00C07BB7" w:rsidRDefault="00773F15" w:rsidP="00462CB9">
            <w:pPr>
              <w:rPr>
                <w:rFonts w:cs="Arial"/>
                <w:sz w:val="20"/>
                <w:szCs w:val="20"/>
              </w:rPr>
            </w:pPr>
            <w:r w:rsidRPr="00C07BB7">
              <w:rPr>
                <w:rFonts w:cs="Arial"/>
                <w:sz w:val="20"/>
                <w:szCs w:val="20"/>
              </w:rPr>
              <w:t>Wales SAIL database and UK Biobank</w:t>
            </w:r>
          </w:p>
        </w:tc>
        <w:tc>
          <w:tcPr>
            <w:tcW w:w="0" w:type="auto"/>
            <w:hideMark/>
          </w:tcPr>
          <w:p w14:paraId="1F6ADBBF" w14:textId="77777777" w:rsidR="00773F15" w:rsidRPr="00C07BB7" w:rsidRDefault="00773F15" w:rsidP="00462CB9">
            <w:pPr>
              <w:rPr>
                <w:rFonts w:cs="Arial"/>
                <w:sz w:val="20"/>
                <w:szCs w:val="20"/>
              </w:rPr>
            </w:pPr>
            <w:r w:rsidRPr="00C07BB7">
              <w:rPr>
                <w:rFonts w:cs="Arial"/>
                <w:sz w:val="20"/>
                <w:szCs w:val="20"/>
              </w:rPr>
              <w:t>Primary-care database and prospective cohort analysis</w:t>
            </w:r>
          </w:p>
        </w:tc>
        <w:tc>
          <w:tcPr>
            <w:tcW w:w="0" w:type="auto"/>
            <w:hideMark/>
          </w:tcPr>
          <w:p w14:paraId="617CFDBC" w14:textId="77777777" w:rsidR="00773F15" w:rsidRPr="00C07BB7" w:rsidRDefault="00773F15" w:rsidP="00462CB9">
            <w:pPr>
              <w:rPr>
                <w:rFonts w:cs="Arial"/>
                <w:sz w:val="20"/>
                <w:szCs w:val="20"/>
              </w:rPr>
            </w:pPr>
            <w:r w:rsidRPr="00C07BB7">
              <w:rPr>
                <w:rFonts w:cs="Arial"/>
                <w:sz w:val="20"/>
                <w:szCs w:val="20"/>
              </w:rPr>
              <w:t>Adults with reduced eGFR identified from SAIL, supplemented by UK Biobank analyses of ethnicity and kidney-risk measures.</w:t>
            </w:r>
          </w:p>
        </w:tc>
        <w:tc>
          <w:tcPr>
            <w:tcW w:w="0" w:type="auto"/>
            <w:hideMark/>
          </w:tcPr>
          <w:p w14:paraId="131EFCDA" w14:textId="77777777" w:rsidR="00773F15" w:rsidRPr="00C07BB7" w:rsidRDefault="00773F15" w:rsidP="00462CB9">
            <w:pPr>
              <w:rPr>
                <w:rFonts w:cs="Arial"/>
                <w:sz w:val="20"/>
                <w:szCs w:val="20"/>
              </w:rPr>
            </w:pPr>
            <w:r w:rsidRPr="00C07BB7">
              <w:rPr>
                <w:rFonts w:cs="Arial"/>
                <w:sz w:val="20"/>
                <w:szCs w:val="20"/>
              </w:rPr>
              <w:t>Applying updated NICE KFRE and eGFR criteria changed the population potentially eligible for nephrology referral.</w:t>
            </w:r>
          </w:p>
        </w:tc>
        <w:tc>
          <w:tcPr>
            <w:tcW w:w="0" w:type="auto"/>
            <w:hideMark/>
          </w:tcPr>
          <w:p w14:paraId="26D6EBB9"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assess the impact of revised NICE referral guidance. </w:t>
            </w:r>
            <w:r w:rsidRPr="00C07BB7">
              <w:rPr>
                <w:rFonts w:cs="Arial"/>
                <w:b/>
                <w:bCs/>
                <w:sz w:val="20"/>
                <w:szCs w:val="20"/>
              </w:rPr>
              <w:t>Contribution:</w:t>
            </w:r>
            <w:r w:rsidRPr="00C07BB7">
              <w:rPr>
                <w:rFonts w:cs="Arial"/>
                <w:sz w:val="20"/>
                <w:szCs w:val="20"/>
              </w:rPr>
              <w:t xml:space="preserve"> Shows referral decisions change with KFRE, eGFR and albuminuria criteria.</w:t>
            </w:r>
          </w:p>
        </w:tc>
      </w:tr>
      <w:tr w:rsidR="00773F15" w:rsidRPr="00C07BB7" w14:paraId="30335F89" w14:textId="77777777" w:rsidTr="00334B0F">
        <w:tc>
          <w:tcPr>
            <w:tcW w:w="0" w:type="auto"/>
            <w:hideMark/>
          </w:tcPr>
          <w:p w14:paraId="7A019463" w14:textId="77777777" w:rsidR="00773F15" w:rsidRPr="00C07BB7" w:rsidRDefault="00773F15" w:rsidP="00462CB9">
            <w:pPr>
              <w:rPr>
                <w:rFonts w:cs="Arial"/>
                <w:sz w:val="20"/>
                <w:szCs w:val="20"/>
              </w:rPr>
            </w:pPr>
            <w:r w:rsidRPr="00C07BB7">
              <w:rPr>
                <w:rFonts w:cs="Arial"/>
                <w:sz w:val="20"/>
                <w:szCs w:val="20"/>
              </w:rPr>
              <w:t>13</w:t>
            </w:r>
          </w:p>
        </w:tc>
        <w:tc>
          <w:tcPr>
            <w:tcW w:w="0" w:type="auto"/>
            <w:hideMark/>
          </w:tcPr>
          <w:p w14:paraId="29A693CD" w14:textId="275A3DD9" w:rsidR="00773F15" w:rsidRPr="00C07BB7" w:rsidRDefault="00773F15" w:rsidP="00462CB9">
            <w:pPr>
              <w:rPr>
                <w:rFonts w:cs="Arial"/>
                <w:sz w:val="20"/>
                <w:szCs w:val="20"/>
              </w:rPr>
            </w:pPr>
            <w:r w:rsidRPr="00C07BB7">
              <w:rPr>
                <w:rFonts w:cs="Arial"/>
                <w:sz w:val="20"/>
                <w:szCs w:val="20"/>
              </w:rPr>
              <w:t>Tang et al. (2024</w:t>
            </w:r>
            <w:r w:rsidR="009259BE" w:rsidRPr="00C07BB7">
              <w:rPr>
                <w:rFonts w:cs="Arial"/>
                <w:sz w:val="20"/>
                <w:szCs w:val="20"/>
              </w:rPr>
              <w:t>a</w:t>
            </w:r>
            <w:r w:rsidRPr="00C07BB7">
              <w:rPr>
                <w:rFonts w:cs="Arial"/>
                <w:sz w:val="20"/>
                <w:szCs w:val="20"/>
              </w:rPr>
              <w:t>)</w:t>
            </w:r>
          </w:p>
        </w:tc>
        <w:tc>
          <w:tcPr>
            <w:tcW w:w="0" w:type="auto"/>
            <w:hideMark/>
          </w:tcPr>
          <w:p w14:paraId="7680E06F" w14:textId="77777777" w:rsidR="00773F15" w:rsidRPr="00C07BB7" w:rsidRDefault="00773F15" w:rsidP="00462CB9">
            <w:pPr>
              <w:rPr>
                <w:rFonts w:cs="Arial"/>
                <w:sz w:val="20"/>
                <w:szCs w:val="20"/>
              </w:rPr>
            </w:pPr>
            <w:r w:rsidRPr="00C07BB7">
              <w:rPr>
                <w:rFonts w:cs="Arial"/>
                <w:sz w:val="20"/>
                <w:szCs w:val="20"/>
              </w:rPr>
              <w:t>UK Biobank</w:t>
            </w:r>
          </w:p>
        </w:tc>
        <w:tc>
          <w:tcPr>
            <w:tcW w:w="0" w:type="auto"/>
            <w:hideMark/>
          </w:tcPr>
          <w:p w14:paraId="492EEEAC" w14:textId="77777777" w:rsidR="00773F15" w:rsidRPr="00C07BB7" w:rsidRDefault="00773F15" w:rsidP="00462CB9">
            <w:pPr>
              <w:rPr>
                <w:rFonts w:cs="Arial"/>
                <w:sz w:val="20"/>
                <w:szCs w:val="20"/>
              </w:rPr>
            </w:pPr>
            <w:r w:rsidRPr="00C07BB7">
              <w:rPr>
                <w:rFonts w:cs="Arial"/>
                <w:sz w:val="20"/>
                <w:szCs w:val="20"/>
              </w:rPr>
              <w:t>Prospective matched cohort</w:t>
            </w:r>
          </w:p>
        </w:tc>
        <w:tc>
          <w:tcPr>
            <w:tcW w:w="0" w:type="auto"/>
            <w:hideMark/>
          </w:tcPr>
          <w:p w14:paraId="28870923" w14:textId="77777777" w:rsidR="00773F15" w:rsidRPr="00C07BB7" w:rsidRDefault="00773F15" w:rsidP="00462CB9">
            <w:pPr>
              <w:rPr>
                <w:rFonts w:cs="Arial"/>
                <w:sz w:val="20"/>
                <w:szCs w:val="20"/>
              </w:rPr>
            </w:pPr>
            <w:r w:rsidRPr="00C07BB7">
              <w:rPr>
                <w:rFonts w:cs="Arial"/>
                <w:sz w:val="20"/>
                <w:szCs w:val="20"/>
              </w:rPr>
              <w:t>Adults with obesity matched with normal-weight controls, with several modifiable clinical and behavioural risk factors assessed.</w:t>
            </w:r>
          </w:p>
        </w:tc>
        <w:tc>
          <w:tcPr>
            <w:tcW w:w="0" w:type="auto"/>
            <w:hideMark/>
          </w:tcPr>
          <w:p w14:paraId="5F765695" w14:textId="77777777" w:rsidR="00773F15" w:rsidRPr="00C07BB7" w:rsidRDefault="00773F15" w:rsidP="00462CB9">
            <w:pPr>
              <w:rPr>
                <w:rFonts w:cs="Arial"/>
                <w:sz w:val="20"/>
                <w:szCs w:val="20"/>
              </w:rPr>
            </w:pPr>
            <w:r w:rsidRPr="00C07BB7">
              <w:rPr>
                <w:rFonts w:cs="Arial"/>
                <w:sz w:val="20"/>
                <w:szCs w:val="20"/>
              </w:rPr>
              <w:t>Better joint control of cardiometabolic and behavioural risk factors was associated with attenuation of excess CKD risk among adults with obesity.</w:t>
            </w:r>
          </w:p>
        </w:tc>
        <w:tc>
          <w:tcPr>
            <w:tcW w:w="0" w:type="auto"/>
            <w:hideMark/>
          </w:tcPr>
          <w:p w14:paraId="59E48E49"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assess combined risk-factor control. </w:t>
            </w:r>
            <w:r w:rsidRPr="00C07BB7">
              <w:rPr>
                <w:rFonts w:cs="Arial"/>
                <w:b/>
                <w:bCs/>
                <w:sz w:val="20"/>
                <w:szCs w:val="20"/>
              </w:rPr>
              <w:t>Contribution:</w:t>
            </w:r>
            <w:r w:rsidRPr="00C07BB7">
              <w:rPr>
                <w:rFonts w:cs="Arial"/>
                <w:sz w:val="20"/>
                <w:szCs w:val="20"/>
              </w:rPr>
              <w:t xml:space="preserve"> Supports combined risk-factor control for reducing obesity-related CKD risk.</w:t>
            </w:r>
          </w:p>
        </w:tc>
      </w:tr>
      <w:tr w:rsidR="00773F15" w:rsidRPr="00C07BB7" w14:paraId="6E19FACF" w14:textId="77777777" w:rsidTr="00334B0F">
        <w:tc>
          <w:tcPr>
            <w:tcW w:w="0" w:type="auto"/>
            <w:hideMark/>
          </w:tcPr>
          <w:p w14:paraId="3DE4DC84" w14:textId="77777777" w:rsidR="00773F15" w:rsidRPr="00C07BB7" w:rsidRDefault="00773F15" w:rsidP="00462CB9">
            <w:pPr>
              <w:rPr>
                <w:rFonts w:cs="Arial"/>
                <w:sz w:val="20"/>
                <w:szCs w:val="20"/>
              </w:rPr>
            </w:pPr>
            <w:r w:rsidRPr="00C07BB7">
              <w:rPr>
                <w:rFonts w:cs="Arial"/>
                <w:sz w:val="20"/>
                <w:szCs w:val="20"/>
              </w:rPr>
              <w:t>14</w:t>
            </w:r>
          </w:p>
        </w:tc>
        <w:tc>
          <w:tcPr>
            <w:tcW w:w="0" w:type="auto"/>
            <w:hideMark/>
          </w:tcPr>
          <w:p w14:paraId="0FEC9450" w14:textId="77777777" w:rsidR="00773F15" w:rsidRPr="00C07BB7" w:rsidRDefault="00773F15" w:rsidP="00462CB9">
            <w:pPr>
              <w:rPr>
                <w:rFonts w:cs="Arial"/>
                <w:sz w:val="20"/>
                <w:szCs w:val="20"/>
              </w:rPr>
            </w:pPr>
            <w:r w:rsidRPr="00C07BB7">
              <w:rPr>
                <w:rFonts w:cs="Arial"/>
                <w:sz w:val="20"/>
                <w:szCs w:val="20"/>
              </w:rPr>
              <w:t>Wang et al. (2022)</w:t>
            </w:r>
          </w:p>
        </w:tc>
        <w:tc>
          <w:tcPr>
            <w:tcW w:w="0" w:type="auto"/>
            <w:hideMark/>
          </w:tcPr>
          <w:p w14:paraId="02028B2C" w14:textId="77777777" w:rsidR="00773F15" w:rsidRPr="00C07BB7" w:rsidRDefault="00773F15" w:rsidP="00462CB9">
            <w:pPr>
              <w:rPr>
                <w:rFonts w:cs="Arial"/>
                <w:sz w:val="20"/>
                <w:szCs w:val="20"/>
              </w:rPr>
            </w:pPr>
            <w:r w:rsidRPr="00C07BB7">
              <w:rPr>
                <w:rFonts w:cs="Arial"/>
                <w:sz w:val="20"/>
                <w:szCs w:val="20"/>
              </w:rPr>
              <w:t>UK Biobank</w:t>
            </w:r>
          </w:p>
        </w:tc>
        <w:tc>
          <w:tcPr>
            <w:tcW w:w="0" w:type="auto"/>
            <w:hideMark/>
          </w:tcPr>
          <w:p w14:paraId="36A1BCC0" w14:textId="77777777" w:rsidR="00773F15" w:rsidRPr="00C07BB7" w:rsidRDefault="00773F15" w:rsidP="00462CB9">
            <w:pPr>
              <w:rPr>
                <w:rFonts w:cs="Arial"/>
                <w:sz w:val="20"/>
                <w:szCs w:val="20"/>
              </w:rPr>
            </w:pPr>
            <w:r w:rsidRPr="00C07BB7">
              <w:rPr>
                <w:rFonts w:cs="Arial"/>
                <w:sz w:val="20"/>
                <w:szCs w:val="20"/>
              </w:rPr>
              <w:t>Prospective cohort</w:t>
            </w:r>
          </w:p>
        </w:tc>
        <w:tc>
          <w:tcPr>
            <w:tcW w:w="0" w:type="auto"/>
            <w:hideMark/>
          </w:tcPr>
          <w:p w14:paraId="75D2DA34" w14:textId="77777777" w:rsidR="00773F15" w:rsidRPr="00C07BB7" w:rsidRDefault="00773F15" w:rsidP="00462CB9">
            <w:pPr>
              <w:rPr>
                <w:rFonts w:cs="Arial"/>
                <w:sz w:val="20"/>
                <w:szCs w:val="20"/>
              </w:rPr>
            </w:pPr>
            <w:r w:rsidRPr="00C07BB7">
              <w:rPr>
                <w:rFonts w:cs="Arial"/>
                <w:sz w:val="20"/>
                <w:szCs w:val="20"/>
              </w:rPr>
              <w:t>Adults with environmental exposure, genetic susceptibility and linked CKD-outcome information.</w:t>
            </w:r>
          </w:p>
        </w:tc>
        <w:tc>
          <w:tcPr>
            <w:tcW w:w="0" w:type="auto"/>
            <w:hideMark/>
          </w:tcPr>
          <w:p w14:paraId="350A0689" w14:textId="77777777" w:rsidR="00773F15" w:rsidRPr="00C07BB7" w:rsidRDefault="00773F15" w:rsidP="00462CB9">
            <w:pPr>
              <w:rPr>
                <w:rFonts w:cs="Arial"/>
                <w:sz w:val="20"/>
                <w:szCs w:val="20"/>
              </w:rPr>
            </w:pPr>
            <w:r w:rsidRPr="00C07BB7">
              <w:rPr>
                <w:rFonts w:cs="Arial"/>
                <w:sz w:val="20"/>
                <w:szCs w:val="20"/>
              </w:rPr>
              <w:t>Higher long-term exposure to air pollutants was associated with increased incident CKD risk, with genetic susceptibility influencing risk.</w:t>
            </w:r>
          </w:p>
        </w:tc>
        <w:tc>
          <w:tcPr>
            <w:tcW w:w="0" w:type="auto"/>
            <w:hideMark/>
          </w:tcPr>
          <w:p w14:paraId="5CA9832B"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investigate air pollution, genetic factors and CKD. </w:t>
            </w:r>
            <w:r w:rsidRPr="00C07BB7">
              <w:rPr>
                <w:rFonts w:cs="Arial"/>
                <w:b/>
                <w:bCs/>
                <w:sz w:val="20"/>
                <w:szCs w:val="20"/>
              </w:rPr>
              <w:t>Contribution:</w:t>
            </w:r>
            <w:r w:rsidRPr="00C07BB7">
              <w:rPr>
                <w:rFonts w:cs="Arial"/>
                <w:sz w:val="20"/>
                <w:szCs w:val="20"/>
              </w:rPr>
              <w:t xml:space="preserve"> Adds evidence linking air pollution and genetic susceptibility with CKD risk.</w:t>
            </w:r>
          </w:p>
        </w:tc>
      </w:tr>
      <w:tr w:rsidR="00773F15" w:rsidRPr="00C07BB7" w14:paraId="39D68011" w14:textId="77777777" w:rsidTr="00334B0F">
        <w:tc>
          <w:tcPr>
            <w:tcW w:w="0" w:type="auto"/>
            <w:hideMark/>
          </w:tcPr>
          <w:p w14:paraId="75B7D081" w14:textId="77777777" w:rsidR="00773F15" w:rsidRPr="00C07BB7" w:rsidRDefault="00773F15" w:rsidP="00462CB9">
            <w:pPr>
              <w:rPr>
                <w:rFonts w:cs="Arial"/>
                <w:sz w:val="20"/>
                <w:szCs w:val="20"/>
              </w:rPr>
            </w:pPr>
            <w:r w:rsidRPr="00C07BB7">
              <w:rPr>
                <w:rFonts w:cs="Arial"/>
                <w:sz w:val="20"/>
                <w:szCs w:val="20"/>
              </w:rPr>
              <w:t>15</w:t>
            </w:r>
          </w:p>
        </w:tc>
        <w:tc>
          <w:tcPr>
            <w:tcW w:w="0" w:type="auto"/>
            <w:hideMark/>
          </w:tcPr>
          <w:p w14:paraId="27C6E811" w14:textId="77777777" w:rsidR="00773F15" w:rsidRPr="00C07BB7" w:rsidRDefault="00773F15" w:rsidP="00462CB9">
            <w:pPr>
              <w:rPr>
                <w:rFonts w:cs="Arial"/>
                <w:sz w:val="20"/>
                <w:szCs w:val="20"/>
              </w:rPr>
            </w:pPr>
            <w:r w:rsidRPr="00C07BB7">
              <w:rPr>
                <w:rFonts w:cs="Arial"/>
                <w:sz w:val="20"/>
                <w:szCs w:val="20"/>
              </w:rPr>
              <w:t>Zhang et al. (2023)</w:t>
            </w:r>
          </w:p>
        </w:tc>
        <w:tc>
          <w:tcPr>
            <w:tcW w:w="0" w:type="auto"/>
            <w:hideMark/>
          </w:tcPr>
          <w:p w14:paraId="14C189C1" w14:textId="77777777" w:rsidR="00773F15" w:rsidRPr="00C07BB7" w:rsidRDefault="00773F15" w:rsidP="00462CB9">
            <w:pPr>
              <w:rPr>
                <w:rFonts w:cs="Arial"/>
                <w:sz w:val="20"/>
                <w:szCs w:val="20"/>
              </w:rPr>
            </w:pPr>
            <w:r w:rsidRPr="00C07BB7">
              <w:rPr>
                <w:rFonts w:cs="Arial"/>
                <w:sz w:val="20"/>
                <w:szCs w:val="20"/>
              </w:rPr>
              <w:t>UK Biobank</w:t>
            </w:r>
          </w:p>
        </w:tc>
        <w:tc>
          <w:tcPr>
            <w:tcW w:w="0" w:type="auto"/>
            <w:hideMark/>
          </w:tcPr>
          <w:p w14:paraId="5FCE5FB8" w14:textId="77777777" w:rsidR="00773F15" w:rsidRPr="00C07BB7" w:rsidRDefault="00773F15" w:rsidP="00462CB9">
            <w:pPr>
              <w:rPr>
                <w:rFonts w:cs="Arial"/>
                <w:sz w:val="20"/>
                <w:szCs w:val="20"/>
              </w:rPr>
            </w:pPr>
            <w:r w:rsidRPr="00C07BB7">
              <w:rPr>
                <w:rFonts w:cs="Arial"/>
                <w:sz w:val="20"/>
                <w:szCs w:val="20"/>
              </w:rPr>
              <w:t>Prospective cohort</w:t>
            </w:r>
          </w:p>
        </w:tc>
        <w:tc>
          <w:tcPr>
            <w:tcW w:w="0" w:type="auto"/>
            <w:hideMark/>
          </w:tcPr>
          <w:p w14:paraId="0B3AEEF0" w14:textId="77777777" w:rsidR="00773F15" w:rsidRPr="00C07BB7" w:rsidRDefault="00773F15" w:rsidP="00462CB9">
            <w:pPr>
              <w:rPr>
                <w:rFonts w:cs="Arial"/>
                <w:sz w:val="20"/>
                <w:szCs w:val="20"/>
              </w:rPr>
            </w:pPr>
            <w:r w:rsidRPr="00C07BB7">
              <w:rPr>
                <w:rFonts w:cs="Arial"/>
                <w:sz w:val="20"/>
                <w:szCs w:val="20"/>
              </w:rPr>
              <w:t>CKD-free participants with questionnaire physical-activity data and an accelerometer subcohort providing objective activity measurement.</w:t>
            </w:r>
          </w:p>
        </w:tc>
        <w:tc>
          <w:tcPr>
            <w:tcW w:w="0" w:type="auto"/>
            <w:hideMark/>
          </w:tcPr>
          <w:p w14:paraId="6EED1F89" w14:textId="77777777" w:rsidR="00773F15" w:rsidRPr="00C07BB7" w:rsidRDefault="00773F15" w:rsidP="00462CB9">
            <w:pPr>
              <w:rPr>
                <w:rFonts w:cs="Arial"/>
                <w:sz w:val="20"/>
                <w:szCs w:val="20"/>
              </w:rPr>
            </w:pPr>
            <w:r w:rsidRPr="00C07BB7">
              <w:rPr>
                <w:rFonts w:cs="Arial"/>
                <w:sz w:val="20"/>
                <w:szCs w:val="20"/>
              </w:rPr>
              <w:t>Higher physical activity was associated with lower incident CKD risk across reported and objectively measured activity assessments.</w:t>
            </w:r>
          </w:p>
        </w:tc>
        <w:tc>
          <w:tcPr>
            <w:tcW w:w="0" w:type="auto"/>
            <w:hideMark/>
          </w:tcPr>
          <w:p w14:paraId="19DFCD5F"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examine physical activity and CKD incidence. </w:t>
            </w:r>
            <w:r w:rsidRPr="00C07BB7">
              <w:rPr>
                <w:rFonts w:cs="Arial"/>
                <w:b/>
                <w:bCs/>
                <w:sz w:val="20"/>
                <w:szCs w:val="20"/>
              </w:rPr>
              <w:t>Contribution:</w:t>
            </w:r>
            <w:r w:rsidRPr="00C07BB7">
              <w:rPr>
                <w:rFonts w:cs="Arial"/>
                <w:sz w:val="20"/>
                <w:szCs w:val="20"/>
              </w:rPr>
              <w:t xml:space="preserve"> Strengthens evidence linking higher physical activity with lower CKD incidence.</w:t>
            </w:r>
          </w:p>
        </w:tc>
      </w:tr>
    </w:tbl>
    <w:p w14:paraId="74FBDBBF" w14:textId="77777777" w:rsidR="00773F15" w:rsidRPr="00C07BB7" w:rsidRDefault="00773F15" w:rsidP="00462CB9">
      <w:pPr>
        <w:rPr>
          <w:rFonts w:cs="Arial"/>
          <w:sz w:val="18"/>
          <w:szCs w:val="18"/>
        </w:rPr>
        <w:sectPr w:rsidR="00773F15" w:rsidRPr="00C07BB7" w:rsidSect="00991CD5">
          <w:pgSz w:w="16838" w:h="11906" w:orient="landscape" w:code="9"/>
          <w:pgMar w:top="1440" w:right="1800" w:bottom="1440" w:left="1800" w:header="720" w:footer="720" w:gutter="0"/>
          <w:cols w:space="720"/>
          <w:docGrid w:linePitch="360"/>
        </w:sectPr>
      </w:pPr>
    </w:p>
    <w:p w14:paraId="6483F52E" w14:textId="77777777" w:rsidR="00455358" w:rsidRPr="00455358" w:rsidRDefault="00455358" w:rsidP="00455358">
      <w:bookmarkStart w:id="123" w:name="_Toc239757496"/>
      <w:bookmarkStart w:id="124" w:name="_Toc240666927"/>
    </w:p>
    <w:p w14:paraId="7D2A2AD7" w14:textId="400A419D" w:rsidR="00773F15" w:rsidRPr="00C07BB7" w:rsidRDefault="00773F15" w:rsidP="00462CB9">
      <w:pPr>
        <w:pStyle w:val="Heading2"/>
        <w:rPr>
          <w:rFonts w:cs="Arial"/>
        </w:rPr>
      </w:pPr>
      <w:bookmarkStart w:id="125" w:name="_Toc241090902"/>
      <w:r w:rsidRPr="00C07BB7">
        <w:rPr>
          <w:rFonts w:cs="Arial"/>
        </w:rPr>
        <w:t>4.4 Characteristics of Included Studies</w:t>
      </w:r>
      <w:bookmarkEnd w:id="123"/>
      <w:bookmarkEnd w:id="124"/>
      <w:bookmarkEnd w:id="125"/>
    </w:p>
    <w:p w14:paraId="55BA6F11" w14:textId="5E586B2B" w:rsidR="00773F15" w:rsidRPr="00C07BB7" w:rsidRDefault="006218E6" w:rsidP="00041A40">
      <w:pPr>
        <w:spacing w:after="0"/>
        <w:rPr>
          <w:rFonts w:cs="Arial"/>
        </w:rPr>
      </w:pPr>
      <w:r w:rsidRPr="00C07BB7">
        <w:rPr>
          <w:rFonts w:cs="Arial"/>
        </w:rPr>
        <w:t>Table 4.2 summarises the characteristics of the 15 studies included.</w:t>
      </w:r>
      <w:r w:rsidR="00773F15" w:rsidRPr="00C07BB7">
        <w:rPr>
          <w:rFonts w:cs="Arial"/>
        </w:rPr>
        <w:t xml:space="preserve"> Data </w:t>
      </w:r>
      <w:r w:rsidR="00A962FE" w:rsidRPr="00C07BB7">
        <w:rPr>
          <w:rFonts w:cs="Arial"/>
        </w:rPr>
        <w:t>covers</w:t>
      </w:r>
      <w:r w:rsidR="00773F15" w:rsidRPr="00C07BB7">
        <w:rPr>
          <w:rFonts w:cs="Arial"/>
        </w:rPr>
        <w:t xml:space="preserve"> primary care, renal services, integrated-care programmes and the UK Biobank cohort and enable the study of CKD from clinical, behavioural, environmental and organisational perspectives. These include both randomised intervention and qualitative research designs, as well as prospective cohorts, routine record analyses and service evaluations. This brings a sense of diversity that reinforces the goals of the research; however, comparability is not made easy. There is also an imbalance seen in the table. There is a greater body of evidence on risk factors than on management, with observational cohorts predominating and implementation studies/risk-stratification analyses/one digital randomised trial for management. The review may broadly describe recurring risk patterns, while causal inference may be made only for certain interventions. On the other hand, the study's purpose to answer the question it was designed to answer is what it calls for when it comes to interpreting it. This is what is known as thematic synthesis.</w:t>
      </w:r>
    </w:p>
    <w:p w14:paraId="3AB6442F" w14:textId="77777777" w:rsidR="00773F15" w:rsidRDefault="00773F15" w:rsidP="00462CB9">
      <w:pPr>
        <w:rPr>
          <w:rFonts w:cs="Arial"/>
        </w:rPr>
      </w:pPr>
    </w:p>
    <w:p w14:paraId="70872CB3" w14:textId="77777777" w:rsidR="002151EE" w:rsidRDefault="002151EE" w:rsidP="00462CB9">
      <w:pPr>
        <w:rPr>
          <w:rFonts w:cs="Arial"/>
        </w:rPr>
      </w:pPr>
    </w:p>
    <w:p w14:paraId="22669AF5" w14:textId="77777777" w:rsidR="002872FB" w:rsidRDefault="002872FB" w:rsidP="00462CB9">
      <w:pPr>
        <w:rPr>
          <w:rFonts w:cs="Arial"/>
        </w:rPr>
      </w:pPr>
    </w:p>
    <w:p w14:paraId="6A13A249" w14:textId="77777777" w:rsidR="002872FB" w:rsidRDefault="002872FB" w:rsidP="00462CB9">
      <w:pPr>
        <w:rPr>
          <w:rFonts w:cs="Arial"/>
        </w:rPr>
      </w:pPr>
    </w:p>
    <w:p w14:paraId="121DA0E9" w14:textId="77777777" w:rsidR="00ED5ADF" w:rsidRDefault="00ED5ADF" w:rsidP="00462CB9">
      <w:pPr>
        <w:rPr>
          <w:rFonts w:cs="Arial"/>
        </w:rPr>
      </w:pPr>
    </w:p>
    <w:p w14:paraId="6C43CDD8" w14:textId="77777777" w:rsidR="00ED5ADF" w:rsidRPr="00C07BB7" w:rsidRDefault="00ED5ADF" w:rsidP="00462CB9">
      <w:pPr>
        <w:rPr>
          <w:rFonts w:cs="Arial"/>
        </w:rPr>
        <w:sectPr w:rsidR="00ED5ADF" w:rsidRPr="00C07BB7" w:rsidSect="00991CD5">
          <w:type w:val="continuous"/>
          <w:pgSz w:w="16838" w:h="11906" w:orient="landscape" w:code="9"/>
          <w:pgMar w:top="1440" w:right="1800" w:bottom="1440" w:left="1800" w:header="720" w:footer="720" w:gutter="0"/>
          <w:cols w:space="720"/>
          <w:docGrid w:linePitch="360"/>
        </w:sectPr>
      </w:pPr>
    </w:p>
    <w:p w14:paraId="003CBC2D" w14:textId="5178896A" w:rsidR="00773F15" w:rsidRPr="002151EE" w:rsidRDefault="00773F15" w:rsidP="002151EE">
      <w:pPr>
        <w:pStyle w:val="TOC1"/>
      </w:pPr>
      <w:r w:rsidRPr="002151EE">
        <w:rPr>
          <w:b/>
          <w:bCs/>
        </w:rPr>
        <w:t>Table 4.2.</w:t>
      </w:r>
      <w:r w:rsidRPr="002151EE">
        <w:t xml:space="preserve"> Detailed </w:t>
      </w:r>
      <w:r w:rsidR="00A962FE" w:rsidRPr="002151EE">
        <w:t>Characteristics</w:t>
      </w:r>
      <w:r w:rsidRPr="002151EE">
        <w:t xml:space="preserve"> and </w:t>
      </w:r>
      <w:r w:rsidR="00A962FE" w:rsidRPr="002151EE">
        <w:t xml:space="preserve">Data Extraction </w:t>
      </w:r>
      <w:r w:rsidRPr="002151EE">
        <w:t xml:space="preserve">of the 15 </w:t>
      </w:r>
      <w:r w:rsidR="00A962FE" w:rsidRPr="002151EE">
        <w:t>Included Studies</w:t>
      </w:r>
    </w:p>
    <w:tbl>
      <w:tblPr>
        <w:tblStyle w:val="TableGrid"/>
        <w:tblW w:w="15866" w:type="dxa"/>
        <w:jc w:val="center"/>
        <w:tblLayout w:type="fixed"/>
        <w:tblLook w:val="04A0" w:firstRow="1" w:lastRow="0" w:firstColumn="1" w:lastColumn="0" w:noHBand="0" w:noVBand="1"/>
      </w:tblPr>
      <w:tblGrid>
        <w:gridCol w:w="504"/>
        <w:gridCol w:w="1656"/>
        <w:gridCol w:w="1800"/>
        <w:gridCol w:w="1440"/>
        <w:gridCol w:w="3384"/>
        <w:gridCol w:w="3240"/>
        <w:gridCol w:w="3842"/>
      </w:tblGrid>
      <w:tr w:rsidR="00773F15" w:rsidRPr="0080550A" w14:paraId="189E0593" w14:textId="77777777" w:rsidTr="008E3A72">
        <w:trPr>
          <w:tblHeader/>
          <w:jc w:val="center"/>
        </w:trPr>
        <w:tc>
          <w:tcPr>
            <w:tcW w:w="504" w:type="dxa"/>
            <w:shd w:val="clear" w:color="auto" w:fill="FFFFFF" w:themeFill="background1"/>
          </w:tcPr>
          <w:p w14:paraId="350BC29F" w14:textId="77777777" w:rsidR="00773F15" w:rsidRPr="0080550A" w:rsidRDefault="00773F15" w:rsidP="00462CB9">
            <w:pPr>
              <w:spacing w:after="0"/>
              <w:rPr>
                <w:rFonts w:cs="Arial"/>
                <w:color w:val="000000" w:themeColor="text1"/>
                <w:sz w:val="20"/>
                <w:szCs w:val="20"/>
              </w:rPr>
            </w:pPr>
            <w:r w:rsidRPr="0080550A">
              <w:rPr>
                <w:rFonts w:cs="Arial"/>
                <w:b/>
                <w:color w:val="000000" w:themeColor="text1"/>
                <w:sz w:val="20"/>
                <w:szCs w:val="20"/>
              </w:rPr>
              <w:t>No.</w:t>
            </w:r>
          </w:p>
        </w:tc>
        <w:tc>
          <w:tcPr>
            <w:tcW w:w="1656" w:type="dxa"/>
            <w:shd w:val="clear" w:color="auto" w:fill="FFFFFF" w:themeFill="background1"/>
          </w:tcPr>
          <w:p w14:paraId="1F36110D" w14:textId="77777777" w:rsidR="00773F15" w:rsidRPr="0080550A" w:rsidRDefault="00773F15" w:rsidP="00462CB9">
            <w:pPr>
              <w:spacing w:after="0"/>
              <w:rPr>
                <w:rFonts w:cs="Arial"/>
                <w:color w:val="000000" w:themeColor="text1"/>
                <w:sz w:val="20"/>
                <w:szCs w:val="20"/>
              </w:rPr>
            </w:pPr>
            <w:r w:rsidRPr="0080550A">
              <w:rPr>
                <w:rFonts w:cs="Arial"/>
                <w:b/>
                <w:color w:val="000000" w:themeColor="text1"/>
                <w:sz w:val="20"/>
                <w:szCs w:val="20"/>
              </w:rPr>
              <w:t>Study</w:t>
            </w:r>
          </w:p>
        </w:tc>
        <w:tc>
          <w:tcPr>
            <w:tcW w:w="1800" w:type="dxa"/>
            <w:shd w:val="clear" w:color="auto" w:fill="FFFFFF" w:themeFill="background1"/>
          </w:tcPr>
          <w:p w14:paraId="7838E5ED" w14:textId="77777777" w:rsidR="00773F15" w:rsidRPr="0080550A" w:rsidRDefault="00773F15" w:rsidP="00462CB9">
            <w:pPr>
              <w:spacing w:after="0"/>
              <w:rPr>
                <w:rFonts w:cs="Arial"/>
                <w:color w:val="000000" w:themeColor="text1"/>
                <w:sz w:val="20"/>
                <w:szCs w:val="20"/>
              </w:rPr>
            </w:pPr>
            <w:r w:rsidRPr="0080550A">
              <w:rPr>
                <w:rFonts w:cs="Arial"/>
                <w:b/>
                <w:color w:val="000000" w:themeColor="text1"/>
                <w:sz w:val="20"/>
                <w:szCs w:val="20"/>
              </w:rPr>
              <w:t>UK setting</w:t>
            </w:r>
          </w:p>
        </w:tc>
        <w:tc>
          <w:tcPr>
            <w:tcW w:w="1440" w:type="dxa"/>
            <w:shd w:val="clear" w:color="auto" w:fill="FFFFFF" w:themeFill="background1"/>
          </w:tcPr>
          <w:p w14:paraId="39D9BCDE" w14:textId="77777777" w:rsidR="00773F15" w:rsidRPr="0080550A" w:rsidRDefault="00773F15" w:rsidP="00462CB9">
            <w:pPr>
              <w:spacing w:after="0"/>
              <w:rPr>
                <w:rFonts w:cs="Arial"/>
                <w:color w:val="000000" w:themeColor="text1"/>
                <w:sz w:val="20"/>
                <w:szCs w:val="20"/>
              </w:rPr>
            </w:pPr>
            <w:r w:rsidRPr="0080550A">
              <w:rPr>
                <w:rFonts w:cs="Arial"/>
                <w:b/>
                <w:color w:val="000000" w:themeColor="text1"/>
                <w:sz w:val="20"/>
                <w:szCs w:val="20"/>
              </w:rPr>
              <w:t>Design</w:t>
            </w:r>
          </w:p>
        </w:tc>
        <w:tc>
          <w:tcPr>
            <w:tcW w:w="3384" w:type="dxa"/>
            <w:shd w:val="clear" w:color="auto" w:fill="FFFFFF" w:themeFill="background1"/>
          </w:tcPr>
          <w:p w14:paraId="712F6F94" w14:textId="77777777" w:rsidR="00773F15" w:rsidRPr="0080550A" w:rsidRDefault="00773F15" w:rsidP="00462CB9">
            <w:pPr>
              <w:spacing w:after="0"/>
              <w:rPr>
                <w:rFonts w:cs="Arial"/>
                <w:color w:val="000000" w:themeColor="text1"/>
                <w:sz w:val="20"/>
                <w:szCs w:val="20"/>
              </w:rPr>
            </w:pPr>
            <w:r w:rsidRPr="0080550A">
              <w:rPr>
                <w:rFonts w:cs="Arial"/>
                <w:b/>
                <w:color w:val="000000" w:themeColor="text1"/>
                <w:sz w:val="20"/>
                <w:szCs w:val="20"/>
              </w:rPr>
              <w:t>Sample and selection method</w:t>
            </w:r>
          </w:p>
        </w:tc>
        <w:tc>
          <w:tcPr>
            <w:tcW w:w="3240" w:type="dxa"/>
            <w:shd w:val="clear" w:color="auto" w:fill="FFFFFF" w:themeFill="background1"/>
          </w:tcPr>
          <w:p w14:paraId="43D8864A" w14:textId="77777777" w:rsidR="00773F15" w:rsidRPr="0080550A" w:rsidRDefault="00773F15" w:rsidP="00462CB9">
            <w:pPr>
              <w:spacing w:after="0"/>
              <w:rPr>
                <w:rFonts w:cs="Arial"/>
                <w:color w:val="000000" w:themeColor="text1"/>
                <w:sz w:val="20"/>
                <w:szCs w:val="20"/>
              </w:rPr>
            </w:pPr>
            <w:r w:rsidRPr="0080550A">
              <w:rPr>
                <w:rFonts w:cs="Arial"/>
                <w:b/>
                <w:color w:val="000000" w:themeColor="text1"/>
                <w:sz w:val="20"/>
                <w:szCs w:val="20"/>
              </w:rPr>
              <w:t>Data collection / analysis</w:t>
            </w:r>
          </w:p>
        </w:tc>
        <w:tc>
          <w:tcPr>
            <w:tcW w:w="3842" w:type="dxa"/>
            <w:shd w:val="clear" w:color="auto" w:fill="FFFFFF" w:themeFill="background1"/>
          </w:tcPr>
          <w:p w14:paraId="64A492BB" w14:textId="77777777" w:rsidR="00773F15" w:rsidRPr="0080550A" w:rsidRDefault="00773F15" w:rsidP="00462CB9">
            <w:pPr>
              <w:spacing w:after="0"/>
              <w:rPr>
                <w:rFonts w:cs="Arial"/>
                <w:color w:val="000000" w:themeColor="text1"/>
                <w:sz w:val="20"/>
                <w:szCs w:val="20"/>
              </w:rPr>
            </w:pPr>
            <w:r w:rsidRPr="0080550A">
              <w:rPr>
                <w:rFonts w:cs="Arial"/>
                <w:b/>
                <w:color w:val="000000" w:themeColor="text1"/>
                <w:sz w:val="20"/>
                <w:szCs w:val="20"/>
              </w:rPr>
              <w:t>Aim and thematic contribution</w:t>
            </w:r>
          </w:p>
        </w:tc>
      </w:tr>
      <w:tr w:rsidR="00773F15" w:rsidRPr="0080550A" w14:paraId="2E7DE89A" w14:textId="77777777" w:rsidTr="008E3A72">
        <w:trPr>
          <w:jc w:val="center"/>
        </w:trPr>
        <w:tc>
          <w:tcPr>
            <w:tcW w:w="504" w:type="dxa"/>
          </w:tcPr>
          <w:p w14:paraId="014892A0" w14:textId="77777777" w:rsidR="00773F15" w:rsidRPr="0080550A" w:rsidRDefault="00773F15" w:rsidP="00462CB9">
            <w:pPr>
              <w:spacing w:after="0"/>
              <w:rPr>
                <w:rFonts w:cs="Arial"/>
                <w:sz w:val="20"/>
                <w:szCs w:val="20"/>
              </w:rPr>
            </w:pPr>
            <w:r w:rsidRPr="0080550A">
              <w:rPr>
                <w:rFonts w:cs="Arial"/>
                <w:b/>
                <w:color w:val="000000"/>
                <w:sz w:val="20"/>
                <w:szCs w:val="20"/>
              </w:rPr>
              <w:t>1</w:t>
            </w:r>
          </w:p>
        </w:tc>
        <w:tc>
          <w:tcPr>
            <w:tcW w:w="1656" w:type="dxa"/>
          </w:tcPr>
          <w:p w14:paraId="582DBCC5" w14:textId="77777777" w:rsidR="00773F15" w:rsidRPr="0080550A" w:rsidRDefault="00773F15" w:rsidP="00462CB9">
            <w:pPr>
              <w:spacing w:after="0"/>
              <w:rPr>
                <w:rFonts w:cs="Arial"/>
                <w:sz w:val="20"/>
                <w:szCs w:val="20"/>
              </w:rPr>
            </w:pPr>
            <w:r w:rsidRPr="0080550A">
              <w:rPr>
                <w:rFonts w:cs="Arial"/>
                <w:b/>
                <w:color w:val="000000"/>
                <w:sz w:val="20"/>
                <w:szCs w:val="20"/>
              </w:rPr>
              <w:t>Stewart et al. (2026)</w:t>
            </w:r>
          </w:p>
        </w:tc>
        <w:tc>
          <w:tcPr>
            <w:tcW w:w="1800" w:type="dxa"/>
          </w:tcPr>
          <w:p w14:paraId="6DAFB7B1" w14:textId="77777777" w:rsidR="00773F15" w:rsidRPr="0080550A" w:rsidRDefault="00773F15" w:rsidP="00462CB9">
            <w:pPr>
              <w:spacing w:after="0"/>
              <w:rPr>
                <w:rFonts w:cs="Arial"/>
                <w:sz w:val="20"/>
                <w:szCs w:val="20"/>
              </w:rPr>
            </w:pPr>
            <w:r w:rsidRPr="0080550A">
              <w:rPr>
                <w:rFonts w:cs="Arial"/>
                <w:color w:val="000000"/>
                <w:sz w:val="20"/>
                <w:szCs w:val="20"/>
              </w:rPr>
              <w:t>Greater Manchester, England; primary care</w:t>
            </w:r>
          </w:p>
        </w:tc>
        <w:tc>
          <w:tcPr>
            <w:tcW w:w="1440" w:type="dxa"/>
          </w:tcPr>
          <w:p w14:paraId="0926FCB6" w14:textId="77777777" w:rsidR="00773F15" w:rsidRPr="0080550A" w:rsidRDefault="00773F15" w:rsidP="00462CB9">
            <w:pPr>
              <w:spacing w:after="0"/>
              <w:rPr>
                <w:rFonts w:cs="Arial"/>
                <w:sz w:val="20"/>
                <w:szCs w:val="20"/>
              </w:rPr>
            </w:pPr>
            <w:r w:rsidRPr="0080550A">
              <w:rPr>
                <w:rFonts w:cs="Arial"/>
                <w:color w:val="000000"/>
                <w:sz w:val="20"/>
                <w:szCs w:val="20"/>
              </w:rPr>
              <w:t>Retrospective cohort</w:t>
            </w:r>
          </w:p>
        </w:tc>
        <w:tc>
          <w:tcPr>
            <w:tcW w:w="3384" w:type="dxa"/>
          </w:tcPr>
          <w:p w14:paraId="37B98BE3" w14:textId="77777777" w:rsidR="00773F15" w:rsidRPr="0080550A" w:rsidRDefault="00773F15" w:rsidP="00462CB9">
            <w:pPr>
              <w:spacing w:after="0"/>
              <w:rPr>
                <w:rFonts w:cs="Arial"/>
                <w:sz w:val="20"/>
                <w:szCs w:val="20"/>
              </w:rPr>
            </w:pPr>
            <w:r w:rsidRPr="0080550A">
              <w:rPr>
                <w:rFonts w:cs="Arial"/>
                <w:color w:val="000000"/>
                <w:sz w:val="20"/>
                <w:szCs w:val="20"/>
              </w:rPr>
              <w:t>Main analysis used 71,383 complete CKD stage 3–5 cases with long follow-up from the Greater Manchester Care Record. Adults were selected through primary-care CKD criteria and available eGFR/uACR data for KFRE calculation.</w:t>
            </w:r>
          </w:p>
        </w:tc>
        <w:tc>
          <w:tcPr>
            <w:tcW w:w="3240" w:type="dxa"/>
          </w:tcPr>
          <w:p w14:paraId="64385F06" w14:textId="77777777" w:rsidR="00773F15" w:rsidRPr="0080550A" w:rsidRDefault="00773F15" w:rsidP="00462CB9">
            <w:pPr>
              <w:spacing w:after="0"/>
              <w:rPr>
                <w:rFonts w:cs="Arial"/>
                <w:sz w:val="20"/>
                <w:szCs w:val="20"/>
              </w:rPr>
            </w:pPr>
            <w:r w:rsidRPr="0080550A">
              <w:rPr>
                <w:rFonts w:cs="Arial"/>
                <w:color w:val="000000"/>
                <w:sz w:val="20"/>
                <w:szCs w:val="20"/>
              </w:rPr>
              <w:t>Routine EHR extraction of kidney function, albuminuria, comorbidity, mortality and renal replacement outcomes; descriptive and multinomial regression analyses.</w:t>
            </w:r>
          </w:p>
        </w:tc>
        <w:tc>
          <w:tcPr>
            <w:tcW w:w="3842" w:type="dxa"/>
          </w:tcPr>
          <w:p w14:paraId="61A26808" w14:textId="77777777" w:rsidR="00773F15" w:rsidRPr="0080550A" w:rsidRDefault="00773F15" w:rsidP="00462CB9">
            <w:pPr>
              <w:spacing w:after="0"/>
              <w:rPr>
                <w:rFonts w:cs="Arial"/>
                <w:sz w:val="20"/>
                <w:szCs w:val="20"/>
              </w:rPr>
            </w:pPr>
            <w:r w:rsidRPr="0080550A">
              <w:rPr>
                <w:rFonts w:cs="Arial"/>
                <w:color w:val="000000"/>
                <w:sz w:val="20"/>
                <w:szCs w:val="20"/>
              </w:rPr>
              <w:t>To examine how KFRE categories relate to kidney failure versus death and to estimate the population potentially requiring nephrology referral. Theme: progression and risk stratification.</w:t>
            </w:r>
          </w:p>
        </w:tc>
      </w:tr>
      <w:tr w:rsidR="00773F15" w:rsidRPr="0080550A" w14:paraId="148602DD" w14:textId="77777777" w:rsidTr="008E3A72">
        <w:trPr>
          <w:jc w:val="center"/>
        </w:trPr>
        <w:tc>
          <w:tcPr>
            <w:tcW w:w="504" w:type="dxa"/>
          </w:tcPr>
          <w:p w14:paraId="2F5132CA" w14:textId="77777777" w:rsidR="00773F15" w:rsidRPr="0080550A" w:rsidRDefault="00773F15" w:rsidP="00462CB9">
            <w:pPr>
              <w:spacing w:after="0"/>
              <w:rPr>
                <w:rFonts w:cs="Arial"/>
                <w:sz w:val="20"/>
                <w:szCs w:val="20"/>
              </w:rPr>
            </w:pPr>
            <w:r w:rsidRPr="0080550A">
              <w:rPr>
                <w:rFonts w:cs="Arial"/>
                <w:b/>
                <w:color w:val="000000"/>
                <w:sz w:val="20"/>
                <w:szCs w:val="20"/>
              </w:rPr>
              <w:t>2</w:t>
            </w:r>
          </w:p>
        </w:tc>
        <w:tc>
          <w:tcPr>
            <w:tcW w:w="1656" w:type="dxa"/>
          </w:tcPr>
          <w:p w14:paraId="591636DD" w14:textId="77777777" w:rsidR="00773F15" w:rsidRPr="0080550A" w:rsidRDefault="00773F15" w:rsidP="00462CB9">
            <w:pPr>
              <w:spacing w:after="0"/>
              <w:rPr>
                <w:rFonts w:cs="Arial"/>
                <w:sz w:val="20"/>
                <w:szCs w:val="20"/>
              </w:rPr>
            </w:pPr>
            <w:r w:rsidRPr="0080550A">
              <w:rPr>
                <w:rFonts w:cs="Arial"/>
                <w:b/>
                <w:color w:val="000000"/>
                <w:sz w:val="20"/>
                <w:szCs w:val="20"/>
              </w:rPr>
              <w:t>Forbes et al. (2024)</w:t>
            </w:r>
          </w:p>
        </w:tc>
        <w:tc>
          <w:tcPr>
            <w:tcW w:w="1800" w:type="dxa"/>
          </w:tcPr>
          <w:p w14:paraId="4443A110" w14:textId="77777777" w:rsidR="00773F15" w:rsidRPr="0080550A" w:rsidRDefault="00773F15" w:rsidP="00462CB9">
            <w:pPr>
              <w:spacing w:after="0"/>
              <w:rPr>
                <w:rFonts w:cs="Arial"/>
                <w:sz w:val="20"/>
                <w:szCs w:val="20"/>
              </w:rPr>
            </w:pPr>
            <w:r w:rsidRPr="0080550A">
              <w:rPr>
                <w:rFonts w:cs="Arial"/>
                <w:color w:val="000000"/>
                <w:sz w:val="20"/>
                <w:szCs w:val="20"/>
              </w:rPr>
              <w:t>England; 738 primary-care practices</w:t>
            </w:r>
          </w:p>
        </w:tc>
        <w:tc>
          <w:tcPr>
            <w:tcW w:w="1440" w:type="dxa"/>
          </w:tcPr>
          <w:p w14:paraId="7186C86A" w14:textId="77777777" w:rsidR="00773F15" w:rsidRPr="0080550A" w:rsidRDefault="00773F15" w:rsidP="00462CB9">
            <w:pPr>
              <w:spacing w:after="0"/>
              <w:rPr>
                <w:rFonts w:cs="Arial"/>
                <w:sz w:val="20"/>
                <w:szCs w:val="20"/>
              </w:rPr>
            </w:pPr>
            <w:r w:rsidRPr="0080550A">
              <w:rPr>
                <w:rFonts w:cs="Arial"/>
                <w:color w:val="000000"/>
                <w:sz w:val="20"/>
                <w:szCs w:val="20"/>
              </w:rPr>
              <w:t>Cross-sectional EHR study</w:t>
            </w:r>
          </w:p>
        </w:tc>
        <w:tc>
          <w:tcPr>
            <w:tcW w:w="3384" w:type="dxa"/>
          </w:tcPr>
          <w:p w14:paraId="5AC37009" w14:textId="77777777" w:rsidR="00773F15" w:rsidRPr="0080550A" w:rsidRDefault="00773F15" w:rsidP="00462CB9">
            <w:pPr>
              <w:spacing w:after="0"/>
              <w:rPr>
                <w:rFonts w:cs="Arial"/>
                <w:sz w:val="20"/>
                <w:szCs w:val="20"/>
              </w:rPr>
            </w:pPr>
            <w:r w:rsidRPr="0080550A">
              <w:rPr>
                <w:rFonts w:cs="Arial"/>
                <w:color w:val="000000"/>
                <w:sz w:val="20"/>
                <w:szCs w:val="20"/>
              </w:rPr>
              <w:t>516,491 adults with CKD were identified from a source population of 6.67 million adults. CKD was defined using codes, repeated eGFR and/or proteinuria; eligibility was mapped to four SGLT2 guidelines.</w:t>
            </w:r>
          </w:p>
        </w:tc>
        <w:tc>
          <w:tcPr>
            <w:tcW w:w="3240" w:type="dxa"/>
          </w:tcPr>
          <w:p w14:paraId="16ADE7E8" w14:textId="77777777" w:rsidR="00773F15" w:rsidRPr="0080550A" w:rsidRDefault="00773F15" w:rsidP="00462CB9">
            <w:pPr>
              <w:spacing w:after="0"/>
              <w:rPr>
                <w:rFonts w:cs="Arial"/>
                <w:sz w:val="20"/>
                <w:szCs w:val="20"/>
              </w:rPr>
            </w:pPr>
            <w:r w:rsidRPr="0080550A">
              <w:rPr>
                <w:rFonts w:cs="Arial"/>
                <w:color w:val="000000"/>
                <w:sz w:val="20"/>
                <w:szCs w:val="20"/>
              </w:rPr>
              <w:t>Pseudonymised primary-care EHR data including diagnoses, laboratory measures, comorbidity and prescribing; guideline-eligibility classification and logistic regression.</w:t>
            </w:r>
          </w:p>
        </w:tc>
        <w:tc>
          <w:tcPr>
            <w:tcW w:w="3842" w:type="dxa"/>
          </w:tcPr>
          <w:p w14:paraId="28A67292" w14:textId="77777777" w:rsidR="00773F15" w:rsidRPr="0080550A" w:rsidRDefault="00773F15" w:rsidP="00462CB9">
            <w:pPr>
              <w:spacing w:after="0"/>
              <w:rPr>
                <w:rFonts w:cs="Arial"/>
                <w:sz w:val="20"/>
                <w:szCs w:val="20"/>
              </w:rPr>
            </w:pPr>
            <w:r w:rsidRPr="0080550A">
              <w:rPr>
                <w:rFonts w:cs="Arial"/>
                <w:color w:val="000000"/>
                <w:sz w:val="20"/>
                <w:szCs w:val="20"/>
              </w:rPr>
              <w:t>To assess how contemporary SGLT2 guidance applies to real-world CKD and whether eligible patients receive treatment. Theme: pharmacological implementation.</w:t>
            </w:r>
          </w:p>
        </w:tc>
      </w:tr>
      <w:tr w:rsidR="00773F15" w:rsidRPr="0080550A" w14:paraId="2A65889F" w14:textId="77777777" w:rsidTr="008E3A72">
        <w:trPr>
          <w:jc w:val="center"/>
        </w:trPr>
        <w:tc>
          <w:tcPr>
            <w:tcW w:w="504" w:type="dxa"/>
          </w:tcPr>
          <w:p w14:paraId="7428981F" w14:textId="77777777" w:rsidR="00773F15" w:rsidRPr="0080550A" w:rsidRDefault="00773F15" w:rsidP="00462CB9">
            <w:pPr>
              <w:spacing w:after="0"/>
              <w:rPr>
                <w:rFonts w:cs="Arial"/>
                <w:sz w:val="20"/>
                <w:szCs w:val="20"/>
              </w:rPr>
            </w:pPr>
            <w:r w:rsidRPr="0080550A">
              <w:rPr>
                <w:rFonts w:cs="Arial"/>
                <w:b/>
                <w:color w:val="000000"/>
                <w:sz w:val="20"/>
                <w:szCs w:val="20"/>
              </w:rPr>
              <w:t>3</w:t>
            </w:r>
          </w:p>
        </w:tc>
        <w:tc>
          <w:tcPr>
            <w:tcW w:w="1656" w:type="dxa"/>
          </w:tcPr>
          <w:p w14:paraId="5460D42C" w14:textId="77777777" w:rsidR="00773F15" w:rsidRPr="0080550A" w:rsidRDefault="00773F15" w:rsidP="00462CB9">
            <w:pPr>
              <w:spacing w:after="0"/>
              <w:rPr>
                <w:rFonts w:cs="Arial"/>
                <w:sz w:val="20"/>
                <w:szCs w:val="20"/>
              </w:rPr>
            </w:pPr>
            <w:r w:rsidRPr="0080550A">
              <w:rPr>
                <w:rFonts w:cs="Arial"/>
                <w:b/>
                <w:color w:val="000000"/>
                <w:sz w:val="20"/>
                <w:szCs w:val="20"/>
              </w:rPr>
              <w:t>Major et al. (2025)</w:t>
            </w:r>
          </w:p>
        </w:tc>
        <w:tc>
          <w:tcPr>
            <w:tcW w:w="1800" w:type="dxa"/>
          </w:tcPr>
          <w:p w14:paraId="21B88004" w14:textId="77777777" w:rsidR="00773F15" w:rsidRPr="0080550A" w:rsidRDefault="00773F15" w:rsidP="00462CB9">
            <w:pPr>
              <w:spacing w:after="0"/>
              <w:rPr>
                <w:rFonts w:cs="Arial"/>
                <w:sz w:val="20"/>
                <w:szCs w:val="20"/>
              </w:rPr>
            </w:pPr>
            <w:r w:rsidRPr="0080550A">
              <w:rPr>
                <w:rFonts w:cs="Arial"/>
                <w:color w:val="000000"/>
                <w:sz w:val="20"/>
                <w:szCs w:val="20"/>
              </w:rPr>
              <w:t>Leicester, Leicestershire and Rutland, England</w:t>
            </w:r>
          </w:p>
        </w:tc>
        <w:tc>
          <w:tcPr>
            <w:tcW w:w="1440" w:type="dxa"/>
          </w:tcPr>
          <w:p w14:paraId="3E13DFBC" w14:textId="6762C0A9" w:rsidR="00773F15" w:rsidRPr="0080550A" w:rsidRDefault="00A962FE" w:rsidP="00462CB9">
            <w:pPr>
              <w:spacing w:after="0"/>
              <w:rPr>
                <w:rFonts w:cs="Arial"/>
                <w:sz w:val="20"/>
                <w:szCs w:val="20"/>
              </w:rPr>
            </w:pPr>
            <w:r w:rsidRPr="0080550A">
              <w:rPr>
                <w:rFonts w:cs="Arial"/>
                <w:color w:val="000000"/>
                <w:sz w:val="20"/>
                <w:szCs w:val="20"/>
              </w:rPr>
              <w:t>Integrated care</w:t>
            </w:r>
            <w:r w:rsidR="00773F15" w:rsidRPr="0080550A">
              <w:rPr>
                <w:rFonts w:cs="Arial"/>
                <w:color w:val="000000"/>
                <w:sz w:val="20"/>
                <w:szCs w:val="20"/>
              </w:rPr>
              <w:t xml:space="preserve"> service evaluation</w:t>
            </w:r>
          </w:p>
        </w:tc>
        <w:tc>
          <w:tcPr>
            <w:tcW w:w="3384" w:type="dxa"/>
          </w:tcPr>
          <w:p w14:paraId="1B7B17AD" w14:textId="77777777" w:rsidR="00773F15" w:rsidRPr="0080550A" w:rsidRDefault="00773F15" w:rsidP="00462CB9">
            <w:pPr>
              <w:spacing w:after="0"/>
              <w:rPr>
                <w:rFonts w:cs="Arial"/>
                <w:sz w:val="20"/>
                <w:szCs w:val="20"/>
              </w:rPr>
            </w:pPr>
            <w:r w:rsidRPr="0080550A">
              <w:rPr>
                <w:rFonts w:cs="Arial"/>
                <w:color w:val="000000"/>
                <w:sz w:val="20"/>
                <w:szCs w:val="20"/>
              </w:rPr>
              <w:t>The LUCID programme operated across an ICS population; 821 patients had received virtual MDT review by the reported evaluation point. Patients were identified through EHR searches, risk stratification and primary-care participation.</w:t>
            </w:r>
          </w:p>
        </w:tc>
        <w:tc>
          <w:tcPr>
            <w:tcW w:w="3240" w:type="dxa"/>
          </w:tcPr>
          <w:p w14:paraId="5C47FC4C" w14:textId="37F11E0C" w:rsidR="00773F15" w:rsidRPr="0080550A" w:rsidRDefault="00773F15" w:rsidP="00462CB9">
            <w:pPr>
              <w:spacing w:after="0"/>
              <w:rPr>
                <w:rFonts w:cs="Arial"/>
                <w:sz w:val="20"/>
                <w:szCs w:val="20"/>
              </w:rPr>
            </w:pPr>
            <w:r w:rsidRPr="0080550A">
              <w:rPr>
                <w:rFonts w:cs="Arial"/>
                <w:color w:val="000000"/>
                <w:sz w:val="20"/>
                <w:szCs w:val="20"/>
              </w:rPr>
              <w:t xml:space="preserve">Electronic case </w:t>
            </w:r>
            <w:r w:rsidR="00A962FE" w:rsidRPr="0080550A">
              <w:rPr>
                <w:rFonts w:cs="Arial"/>
                <w:color w:val="000000"/>
                <w:sz w:val="20"/>
                <w:szCs w:val="20"/>
              </w:rPr>
              <w:t>findings</w:t>
            </w:r>
            <w:r w:rsidRPr="0080550A">
              <w:rPr>
                <w:rFonts w:cs="Arial"/>
                <w:color w:val="000000"/>
                <w:sz w:val="20"/>
                <w:szCs w:val="20"/>
              </w:rPr>
              <w:t>, KFRE-supported triage, virtual multidisciplinary review and service-level recording of medicines optimisation, referral and education activity.</w:t>
            </w:r>
          </w:p>
        </w:tc>
        <w:tc>
          <w:tcPr>
            <w:tcW w:w="3842" w:type="dxa"/>
          </w:tcPr>
          <w:p w14:paraId="50A6CF24" w14:textId="77777777" w:rsidR="00773F15" w:rsidRPr="0080550A" w:rsidRDefault="00773F15" w:rsidP="00462CB9">
            <w:pPr>
              <w:spacing w:after="0"/>
              <w:rPr>
                <w:rFonts w:cs="Arial"/>
                <w:sz w:val="20"/>
                <w:szCs w:val="20"/>
              </w:rPr>
            </w:pPr>
            <w:r w:rsidRPr="0080550A">
              <w:rPr>
                <w:rFonts w:cs="Arial"/>
                <w:color w:val="000000"/>
                <w:sz w:val="20"/>
                <w:szCs w:val="20"/>
              </w:rPr>
              <w:t>To design, pilot and scale an integrated CKD pathway combining education, early identification, medicines optimisation and surveillance. Theme: integrated care.</w:t>
            </w:r>
          </w:p>
        </w:tc>
      </w:tr>
      <w:tr w:rsidR="00773F15" w:rsidRPr="0080550A" w14:paraId="159CADF6" w14:textId="77777777" w:rsidTr="008E3A72">
        <w:trPr>
          <w:jc w:val="center"/>
        </w:trPr>
        <w:tc>
          <w:tcPr>
            <w:tcW w:w="504" w:type="dxa"/>
          </w:tcPr>
          <w:p w14:paraId="14370EDC" w14:textId="77777777" w:rsidR="00773F15" w:rsidRPr="0080550A" w:rsidRDefault="00773F15" w:rsidP="00462CB9">
            <w:pPr>
              <w:spacing w:after="0"/>
              <w:rPr>
                <w:rFonts w:cs="Arial"/>
                <w:sz w:val="20"/>
                <w:szCs w:val="20"/>
              </w:rPr>
            </w:pPr>
            <w:r w:rsidRPr="0080550A">
              <w:rPr>
                <w:rFonts w:cs="Arial"/>
                <w:b/>
                <w:color w:val="000000"/>
                <w:sz w:val="20"/>
                <w:szCs w:val="20"/>
              </w:rPr>
              <w:t>4</w:t>
            </w:r>
          </w:p>
        </w:tc>
        <w:tc>
          <w:tcPr>
            <w:tcW w:w="1656" w:type="dxa"/>
          </w:tcPr>
          <w:p w14:paraId="1F41D242" w14:textId="77777777" w:rsidR="00773F15" w:rsidRPr="0080550A" w:rsidRDefault="00773F15" w:rsidP="00462CB9">
            <w:pPr>
              <w:spacing w:after="0"/>
              <w:rPr>
                <w:rFonts w:cs="Arial"/>
                <w:sz w:val="20"/>
                <w:szCs w:val="20"/>
              </w:rPr>
            </w:pPr>
            <w:r w:rsidRPr="0080550A">
              <w:rPr>
                <w:rFonts w:cs="Arial"/>
                <w:b/>
                <w:color w:val="000000"/>
                <w:sz w:val="20"/>
                <w:szCs w:val="20"/>
              </w:rPr>
              <w:t>Neuen et al. (2021)</w:t>
            </w:r>
          </w:p>
        </w:tc>
        <w:tc>
          <w:tcPr>
            <w:tcW w:w="1800" w:type="dxa"/>
          </w:tcPr>
          <w:p w14:paraId="3B2BFAA1" w14:textId="77777777" w:rsidR="00773F15" w:rsidRPr="0080550A" w:rsidRDefault="00773F15" w:rsidP="00462CB9">
            <w:pPr>
              <w:spacing w:after="0"/>
              <w:rPr>
                <w:rFonts w:cs="Arial"/>
                <w:sz w:val="20"/>
                <w:szCs w:val="20"/>
              </w:rPr>
            </w:pPr>
            <w:r w:rsidRPr="0080550A">
              <w:rPr>
                <w:rFonts w:cs="Arial"/>
                <w:color w:val="000000"/>
                <w:sz w:val="20"/>
                <w:szCs w:val="20"/>
              </w:rPr>
              <w:t>United Kingdom; CPRD primary care</w:t>
            </w:r>
          </w:p>
        </w:tc>
        <w:tc>
          <w:tcPr>
            <w:tcW w:w="1440" w:type="dxa"/>
          </w:tcPr>
          <w:p w14:paraId="213AC55C" w14:textId="77777777" w:rsidR="00773F15" w:rsidRPr="0080550A" w:rsidRDefault="00773F15" w:rsidP="00462CB9">
            <w:pPr>
              <w:spacing w:after="0"/>
              <w:rPr>
                <w:rFonts w:cs="Arial"/>
                <w:sz w:val="20"/>
                <w:szCs w:val="20"/>
              </w:rPr>
            </w:pPr>
            <w:r w:rsidRPr="0080550A">
              <w:rPr>
                <w:rFonts w:cs="Arial"/>
                <w:color w:val="000000"/>
                <w:sz w:val="20"/>
                <w:szCs w:val="20"/>
              </w:rPr>
              <w:t>Observational cohort</w:t>
            </w:r>
          </w:p>
        </w:tc>
        <w:tc>
          <w:tcPr>
            <w:tcW w:w="3384" w:type="dxa"/>
          </w:tcPr>
          <w:p w14:paraId="66B23036" w14:textId="77777777" w:rsidR="00773F15" w:rsidRPr="0080550A" w:rsidRDefault="00773F15" w:rsidP="00462CB9">
            <w:pPr>
              <w:spacing w:after="0"/>
              <w:rPr>
                <w:rFonts w:cs="Arial"/>
                <w:sz w:val="20"/>
                <w:szCs w:val="20"/>
              </w:rPr>
            </w:pPr>
            <w:r w:rsidRPr="0080550A">
              <w:rPr>
                <w:rFonts w:cs="Arial"/>
                <w:color w:val="000000"/>
                <w:sz w:val="20"/>
                <w:szCs w:val="20"/>
              </w:rPr>
              <w:t>91,319 primary-care patients with repeated kidney measures were assembled from the Clinical Practice Research Datalink. Selection required sufficient eGFR and albuminuria information for longitudinal change assessment.</w:t>
            </w:r>
          </w:p>
        </w:tc>
        <w:tc>
          <w:tcPr>
            <w:tcW w:w="3240" w:type="dxa"/>
          </w:tcPr>
          <w:p w14:paraId="5CF086FE" w14:textId="77777777" w:rsidR="00773F15" w:rsidRPr="0080550A" w:rsidRDefault="00773F15" w:rsidP="00462CB9">
            <w:pPr>
              <w:spacing w:after="0"/>
              <w:rPr>
                <w:rFonts w:cs="Arial"/>
                <w:sz w:val="20"/>
                <w:szCs w:val="20"/>
              </w:rPr>
            </w:pPr>
            <w:r w:rsidRPr="0080550A">
              <w:rPr>
                <w:rFonts w:cs="Arial"/>
                <w:color w:val="000000"/>
                <w:sz w:val="20"/>
                <w:szCs w:val="20"/>
              </w:rPr>
              <w:t>Routine clinical eGFR and uACR measurements over time linked to advanced kidney-disease outcomes; combined and separate change categories were compared.</w:t>
            </w:r>
          </w:p>
        </w:tc>
        <w:tc>
          <w:tcPr>
            <w:tcW w:w="3842" w:type="dxa"/>
          </w:tcPr>
          <w:p w14:paraId="1277B663" w14:textId="77777777" w:rsidR="00773F15" w:rsidRPr="0080550A" w:rsidRDefault="00773F15" w:rsidP="00462CB9">
            <w:pPr>
              <w:spacing w:after="0"/>
              <w:rPr>
                <w:rFonts w:cs="Arial"/>
                <w:sz w:val="20"/>
                <w:szCs w:val="20"/>
              </w:rPr>
            </w:pPr>
            <w:r w:rsidRPr="0080550A">
              <w:rPr>
                <w:rFonts w:cs="Arial"/>
                <w:color w:val="000000"/>
                <w:sz w:val="20"/>
                <w:szCs w:val="20"/>
              </w:rPr>
              <w:t>To determine whether combined changes in eGFR and albuminuria predict kidney-disease progression better than either marker alone. Theme: progression and monitoring.</w:t>
            </w:r>
          </w:p>
        </w:tc>
      </w:tr>
      <w:tr w:rsidR="00773F15" w:rsidRPr="0080550A" w14:paraId="5FB282FA" w14:textId="77777777" w:rsidTr="008E3A72">
        <w:trPr>
          <w:jc w:val="center"/>
        </w:trPr>
        <w:tc>
          <w:tcPr>
            <w:tcW w:w="504" w:type="dxa"/>
          </w:tcPr>
          <w:p w14:paraId="36CA8079" w14:textId="77777777" w:rsidR="00773F15" w:rsidRPr="0080550A" w:rsidRDefault="00773F15" w:rsidP="00462CB9">
            <w:pPr>
              <w:spacing w:after="0"/>
              <w:rPr>
                <w:rFonts w:cs="Arial"/>
                <w:sz w:val="20"/>
                <w:szCs w:val="20"/>
              </w:rPr>
            </w:pPr>
            <w:r w:rsidRPr="0080550A">
              <w:rPr>
                <w:rFonts w:cs="Arial"/>
                <w:b/>
                <w:color w:val="000000"/>
                <w:sz w:val="20"/>
                <w:szCs w:val="20"/>
              </w:rPr>
              <w:t>5</w:t>
            </w:r>
          </w:p>
        </w:tc>
        <w:tc>
          <w:tcPr>
            <w:tcW w:w="1656" w:type="dxa"/>
          </w:tcPr>
          <w:p w14:paraId="11AF6E16" w14:textId="26893F35" w:rsidR="00773F15" w:rsidRPr="0080550A" w:rsidRDefault="00773F15" w:rsidP="00462CB9">
            <w:pPr>
              <w:spacing w:after="0"/>
              <w:rPr>
                <w:rFonts w:cs="Arial"/>
                <w:sz w:val="20"/>
                <w:szCs w:val="20"/>
              </w:rPr>
            </w:pPr>
            <w:r w:rsidRPr="0080550A">
              <w:rPr>
                <w:rFonts w:cs="Arial"/>
                <w:b/>
                <w:color w:val="000000"/>
                <w:sz w:val="20"/>
                <w:szCs w:val="20"/>
              </w:rPr>
              <w:t>Greenwood et al. (2024</w:t>
            </w:r>
            <w:r w:rsidR="00E849E9" w:rsidRPr="0080550A">
              <w:rPr>
                <w:rFonts w:cs="Arial"/>
                <w:b/>
                <w:color w:val="000000"/>
                <w:sz w:val="20"/>
                <w:szCs w:val="20"/>
              </w:rPr>
              <w:t>b</w:t>
            </w:r>
            <w:r w:rsidRPr="0080550A">
              <w:rPr>
                <w:rFonts w:cs="Arial"/>
                <w:b/>
                <w:color w:val="000000"/>
                <w:sz w:val="20"/>
                <w:szCs w:val="20"/>
              </w:rPr>
              <w:t>)</w:t>
            </w:r>
          </w:p>
        </w:tc>
        <w:tc>
          <w:tcPr>
            <w:tcW w:w="1800" w:type="dxa"/>
          </w:tcPr>
          <w:p w14:paraId="121F0A73" w14:textId="77777777" w:rsidR="00773F15" w:rsidRPr="0080550A" w:rsidRDefault="00773F15" w:rsidP="00462CB9">
            <w:pPr>
              <w:spacing w:after="0"/>
              <w:rPr>
                <w:rFonts w:cs="Arial"/>
                <w:sz w:val="20"/>
                <w:szCs w:val="20"/>
              </w:rPr>
            </w:pPr>
            <w:r w:rsidRPr="0080550A">
              <w:rPr>
                <w:rFonts w:cs="Arial"/>
                <w:color w:val="000000"/>
                <w:sz w:val="20"/>
                <w:szCs w:val="20"/>
              </w:rPr>
              <w:t>11 centres across the UK</w:t>
            </w:r>
          </w:p>
        </w:tc>
        <w:tc>
          <w:tcPr>
            <w:tcW w:w="1440" w:type="dxa"/>
          </w:tcPr>
          <w:p w14:paraId="4BE0AA0E" w14:textId="77777777" w:rsidR="00773F15" w:rsidRPr="0080550A" w:rsidRDefault="00773F15" w:rsidP="00462CB9">
            <w:pPr>
              <w:spacing w:after="0"/>
              <w:rPr>
                <w:rFonts w:cs="Arial"/>
                <w:sz w:val="20"/>
                <w:szCs w:val="20"/>
              </w:rPr>
            </w:pPr>
            <w:r w:rsidRPr="0080550A">
              <w:rPr>
                <w:rFonts w:cs="Arial"/>
                <w:color w:val="000000"/>
                <w:sz w:val="20"/>
                <w:szCs w:val="20"/>
              </w:rPr>
              <w:t>Single-blind multicentre RCT</w:t>
            </w:r>
          </w:p>
        </w:tc>
        <w:tc>
          <w:tcPr>
            <w:tcW w:w="3384" w:type="dxa"/>
          </w:tcPr>
          <w:p w14:paraId="04E8B17B" w14:textId="67D26660" w:rsidR="00773F15" w:rsidRPr="0080550A" w:rsidRDefault="00773F15" w:rsidP="00462CB9">
            <w:pPr>
              <w:spacing w:after="0"/>
              <w:rPr>
                <w:rFonts w:cs="Arial"/>
                <w:sz w:val="20"/>
                <w:szCs w:val="20"/>
              </w:rPr>
            </w:pPr>
            <w:r w:rsidRPr="0080550A">
              <w:rPr>
                <w:rFonts w:cs="Arial"/>
                <w:color w:val="000000"/>
                <w:sz w:val="20"/>
                <w:szCs w:val="20"/>
              </w:rPr>
              <w:t>340 adults with CKD were randomised to Kidney BEAM or a waiting-list control. Participants were recruited from</w:t>
            </w:r>
            <w:r w:rsidR="00F64A0E">
              <w:rPr>
                <w:rFonts w:cs="Arial"/>
                <w:color w:val="000000"/>
                <w:sz w:val="20"/>
                <w:szCs w:val="20"/>
              </w:rPr>
              <w:t xml:space="preserve"> the</w:t>
            </w:r>
            <w:r w:rsidRPr="0080550A">
              <w:rPr>
                <w:rFonts w:cs="Arial"/>
                <w:color w:val="000000"/>
                <w:sz w:val="20"/>
                <w:szCs w:val="20"/>
              </w:rPr>
              <w:t xml:space="preserve"> UK renal centres and assigned through a web-based randomisation system.</w:t>
            </w:r>
          </w:p>
        </w:tc>
        <w:tc>
          <w:tcPr>
            <w:tcW w:w="3240" w:type="dxa"/>
          </w:tcPr>
          <w:p w14:paraId="6DED7FB7" w14:textId="77777777" w:rsidR="00773F15" w:rsidRPr="0080550A" w:rsidRDefault="00773F15" w:rsidP="00462CB9">
            <w:pPr>
              <w:spacing w:after="0"/>
              <w:rPr>
                <w:rFonts w:cs="Arial"/>
                <w:sz w:val="20"/>
                <w:szCs w:val="20"/>
              </w:rPr>
            </w:pPr>
            <w:r w:rsidRPr="0080550A">
              <w:rPr>
                <w:rFonts w:cs="Arial"/>
                <w:color w:val="000000"/>
                <w:sz w:val="20"/>
                <w:szCs w:val="20"/>
              </w:rPr>
              <w:t>Twelve-week digital physical-activity intervention; patient-reported kidney quality-of-life outcomes and activity-related measures; masked outcome assessment and intention-to-treat analysis.</w:t>
            </w:r>
          </w:p>
        </w:tc>
        <w:tc>
          <w:tcPr>
            <w:tcW w:w="3842" w:type="dxa"/>
          </w:tcPr>
          <w:p w14:paraId="4B498CFC" w14:textId="77777777" w:rsidR="00773F15" w:rsidRPr="0080550A" w:rsidRDefault="00773F15" w:rsidP="00462CB9">
            <w:pPr>
              <w:spacing w:after="0"/>
              <w:rPr>
                <w:rFonts w:cs="Arial"/>
                <w:sz w:val="20"/>
                <w:szCs w:val="20"/>
              </w:rPr>
            </w:pPr>
            <w:r w:rsidRPr="0080550A">
              <w:rPr>
                <w:rFonts w:cs="Arial"/>
                <w:color w:val="000000"/>
                <w:sz w:val="20"/>
                <w:szCs w:val="20"/>
              </w:rPr>
              <w:t>To evaluate the clinical effect of Kidney BEAM on health-related quality of life and physical activity. Theme: digital and lifestyle management.</w:t>
            </w:r>
          </w:p>
        </w:tc>
      </w:tr>
      <w:tr w:rsidR="00773F15" w:rsidRPr="0080550A" w14:paraId="15DEDA04" w14:textId="77777777" w:rsidTr="008E3A72">
        <w:trPr>
          <w:jc w:val="center"/>
        </w:trPr>
        <w:tc>
          <w:tcPr>
            <w:tcW w:w="504" w:type="dxa"/>
          </w:tcPr>
          <w:p w14:paraId="5E578C15" w14:textId="77777777" w:rsidR="00773F15" w:rsidRPr="0080550A" w:rsidRDefault="00773F15" w:rsidP="00462CB9">
            <w:pPr>
              <w:spacing w:after="0"/>
              <w:rPr>
                <w:rFonts w:cs="Arial"/>
                <w:sz w:val="20"/>
                <w:szCs w:val="20"/>
              </w:rPr>
            </w:pPr>
            <w:r w:rsidRPr="0080550A">
              <w:rPr>
                <w:rFonts w:cs="Arial"/>
                <w:b/>
                <w:color w:val="000000"/>
                <w:sz w:val="20"/>
                <w:szCs w:val="20"/>
              </w:rPr>
              <w:t>6</w:t>
            </w:r>
          </w:p>
        </w:tc>
        <w:tc>
          <w:tcPr>
            <w:tcW w:w="1656" w:type="dxa"/>
          </w:tcPr>
          <w:p w14:paraId="5FA5E49C" w14:textId="77777777" w:rsidR="00773F15" w:rsidRPr="0080550A" w:rsidRDefault="00773F15" w:rsidP="00462CB9">
            <w:pPr>
              <w:spacing w:after="0"/>
              <w:rPr>
                <w:rFonts w:cs="Arial"/>
                <w:sz w:val="20"/>
                <w:szCs w:val="20"/>
              </w:rPr>
            </w:pPr>
            <w:r w:rsidRPr="0080550A">
              <w:rPr>
                <w:rFonts w:cs="Arial"/>
                <w:b/>
                <w:color w:val="000000"/>
                <w:sz w:val="20"/>
                <w:szCs w:val="20"/>
              </w:rPr>
              <w:t>Heo et al. (2023)</w:t>
            </w:r>
          </w:p>
        </w:tc>
        <w:tc>
          <w:tcPr>
            <w:tcW w:w="1800" w:type="dxa"/>
          </w:tcPr>
          <w:p w14:paraId="7A400C7C" w14:textId="77777777" w:rsidR="00773F15" w:rsidRPr="0080550A" w:rsidRDefault="00773F15" w:rsidP="00462CB9">
            <w:pPr>
              <w:spacing w:after="0"/>
              <w:rPr>
                <w:rFonts w:cs="Arial"/>
                <w:sz w:val="20"/>
                <w:szCs w:val="20"/>
              </w:rPr>
            </w:pPr>
            <w:r w:rsidRPr="0080550A">
              <w:rPr>
                <w:rFonts w:cs="Arial"/>
                <w:color w:val="000000"/>
                <w:sz w:val="20"/>
                <w:szCs w:val="20"/>
              </w:rPr>
              <w:t>UK Biobank; England, Scotland and Wales</w:t>
            </w:r>
          </w:p>
        </w:tc>
        <w:tc>
          <w:tcPr>
            <w:tcW w:w="1440" w:type="dxa"/>
          </w:tcPr>
          <w:p w14:paraId="062BECC2" w14:textId="77777777" w:rsidR="00773F15" w:rsidRPr="0080550A" w:rsidRDefault="00773F15" w:rsidP="00462CB9">
            <w:pPr>
              <w:spacing w:after="0"/>
              <w:rPr>
                <w:rFonts w:cs="Arial"/>
                <w:sz w:val="20"/>
                <w:szCs w:val="20"/>
              </w:rPr>
            </w:pPr>
            <w:r w:rsidRPr="0080550A">
              <w:rPr>
                <w:rFonts w:cs="Arial"/>
                <w:color w:val="000000"/>
                <w:sz w:val="20"/>
                <w:szCs w:val="20"/>
              </w:rPr>
              <w:t>Prospective cohort</w:t>
            </w:r>
          </w:p>
        </w:tc>
        <w:tc>
          <w:tcPr>
            <w:tcW w:w="3384" w:type="dxa"/>
          </w:tcPr>
          <w:p w14:paraId="5E267DC1" w14:textId="77777777" w:rsidR="00773F15" w:rsidRPr="0080550A" w:rsidRDefault="00773F15" w:rsidP="00462CB9">
            <w:pPr>
              <w:spacing w:after="0"/>
              <w:rPr>
                <w:rFonts w:cs="Arial"/>
                <w:sz w:val="20"/>
                <w:szCs w:val="20"/>
              </w:rPr>
            </w:pPr>
            <w:r w:rsidRPr="0080550A">
              <w:rPr>
                <w:rFonts w:cs="Arial"/>
                <w:color w:val="000000"/>
                <w:sz w:val="20"/>
                <w:szCs w:val="20"/>
              </w:rPr>
              <w:t>110,412 participants without CKD at baseline who completed dietary assessment and met kidney-function criteria were included.</w:t>
            </w:r>
          </w:p>
        </w:tc>
        <w:tc>
          <w:tcPr>
            <w:tcW w:w="3240" w:type="dxa"/>
          </w:tcPr>
          <w:p w14:paraId="05B3468F" w14:textId="77777777" w:rsidR="00773F15" w:rsidRPr="0080550A" w:rsidRDefault="00773F15" w:rsidP="00462CB9">
            <w:pPr>
              <w:spacing w:after="0"/>
              <w:rPr>
                <w:rFonts w:cs="Arial"/>
                <w:sz w:val="20"/>
                <w:szCs w:val="20"/>
              </w:rPr>
            </w:pPr>
            <w:r w:rsidRPr="0080550A">
              <w:rPr>
                <w:rFonts w:cs="Arial"/>
                <w:color w:val="000000"/>
                <w:sz w:val="20"/>
                <w:szCs w:val="20"/>
              </w:rPr>
              <w:t>Dietary questionnaire data on fibre intake linked prospectively to incident CKD and relevant demographic, clinical and lifestyle covariates.</w:t>
            </w:r>
          </w:p>
        </w:tc>
        <w:tc>
          <w:tcPr>
            <w:tcW w:w="3842" w:type="dxa"/>
          </w:tcPr>
          <w:p w14:paraId="49A68F93" w14:textId="77777777" w:rsidR="00773F15" w:rsidRPr="0080550A" w:rsidRDefault="00773F15" w:rsidP="00462CB9">
            <w:pPr>
              <w:spacing w:after="0"/>
              <w:rPr>
                <w:rFonts w:cs="Arial"/>
                <w:sz w:val="20"/>
                <w:szCs w:val="20"/>
              </w:rPr>
            </w:pPr>
            <w:r w:rsidRPr="0080550A">
              <w:rPr>
                <w:rFonts w:cs="Arial"/>
                <w:color w:val="000000"/>
                <w:sz w:val="20"/>
                <w:szCs w:val="20"/>
              </w:rPr>
              <w:t>To examine whether higher dietary fibre intake is associated with lower risk of incident CKD. Theme: dietary risk.</w:t>
            </w:r>
          </w:p>
        </w:tc>
      </w:tr>
      <w:tr w:rsidR="00773F15" w:rsidRPr="0080550A" w14:paraId="51C1ADD9" w14:textId="77777777" w:rsidTr="008E3A72">
        <w:trPr>
          <w:jc w:val="center"/>
        </w:trPr>
        <w:tc>
          <w:tcPr>
            <w:tcW w:w="504" w:type="dxa"/>
          </w:tcPr>
          <w:p w14:paraId="215E763D" w14:textId="77777777" w:rsidR="00773F15" w:rsidRPr="0080550A" w:rsidRDefault="00773F15" w:rsidP="00462CB9">
            <w:pPr>
              <w:spacing w:after="0"/>
              <w:rPr>
                <w:rFonts w:cs="Arial"/>
                <w:sz w:val="20"/>
                <w:szCs w:val="20"/>
              </w:rPr>
            </w:pPr>
            <w:r w:rsidRPr="0080550A">
              <w:rPr>
                <w:rFonts w:cs="Arial"/>
                <w:b/>
                <w:color w:val="000000"/>
                <w:sz w:val="20"/>
                <w:szCs w:val="20"/>
              </w:rPr>
              <w:t>7</w:t>
            </w:r>
          </w:p>
        </w:tc>
        <w:tc>
          <w:tcPr>
            <w:tcW w:w="1656" w:type="dxa"/>
          </w:tcPr>
          <w:p w14:paraId="3FEAD123" w14:textId="77777777" w:rsidR="00773F15" w:rsidRPr="0080550A" w:rsidRDefault="00773F15" w:rsidP="00462CB9">
            <w:pPr>
              <w:spacing w:after="0"/>
              <w:rPr>
                <w:rFonts w:cs="Arial"/>
                <w:sz w:val="20"/>
                <w:szCs w:val="20"/>
              </w:rPr>
            </w:pPr>
            <w:r w:rsidRPr="0080550A">
              <w:rPr>
                <w:rFonts w:cs="Arial"/>
                <w:b/>
                <w:color w:val="000000"/>
                <w:sz w:val="20"/>
                <w:szCs w:val="20"/>
              </w:rPr>
              <w:t>Lan et al. (2023)</w:t>
            </w:r>
          </w:p>
        </w:tc>
        <w:tc>
          <w:tcPr>
            <w:tcW w:w="1800" w:type="dxa"/>
          </w:tcPr>
          <w:p w14:paraId="2E65F06D" w14:textId="77777777" w:rsidR="00773F15" w:rsidRPr="0080550A" w:rsidRDefault="00773F15" w:rsidP="00462CB9">
            <w:pPr>
              <w:spacing w:after="0"/>
              <w:rPr>
                <w:rFonts w:cs="Arial"/>
                <w:sz w:val="20"/>
                <w:szCs w:val="20"/>
              </w:rPr>
            </w:pPr>
            <w:r w:rsidRPr="0080550A">
              <w:rPr>
                <w:rFonts w:cs="Arial"/>
                <w:color w:val="000000"/>
                <w:sz w:val="20"/>
                <w:szCs w:val="20"/>
              </w:rPr>
              <w:t>UK Biobank</w:t>
            </w:r>
          </w:p>
        </w:tc>
        <w:tc>
          <w:tcPr>
            <w:tcW w:w="1440" w:type="dxa"/>
          </w:tcPr>
          <w:p w14:paraId="17C54EBB" w14:textId="77777777" w:rsidR="00773F15" w:rsidRPr="0080550A" w:rsidRDefault="00773F15" w:rsidP="00462CB9">
            <w:pPr>
              <w:spacing w:after="0"/>
              <w:rPr>
                <w:rFonts w:cs="Arial"/>
                <w:sz w:val="20"/>
                <w:szCs w:val="20"/>
              </w:rPr>
            </w:pPr>
            <w:r w:rsidRPr="0080550A">
              <w:rPr>
                <w:rFonts w:cs="Arial"/>
                <w:color w:val="000000"/>
                <w:sz w:val="20"/>
                <w:szCs w:val="20"/>
              </w:rPr>
              <w:t>Prospective cohort</w:t>
            </w:r>
          </w:p>
        </w:tc>
        <w:tc>
          <w:tcPr>
            <w:tcW w:w="3384" w:type="dxa"/>
          </w:tcPr>
          <w:p w14:paraId="076A1A34" w14:textId="77777777" w:rsidR="00773F15" w:rsidRPr="0080550A" w:rsidRDefault="00773F15" w:rsidP="00462CB9">
            <w:pPr>
              <w:spacing w:after="0"/>
              <w:rPr>
                <w:rFonts w:cs="Arial"/>
                <w:sz w:val="20"/>
                <w:szCs w:val="20"/>
              </w:rPr>
            </w:pPr>
            <w:r w:rsidRPr="0080550A">
              <w:rPr>
                <w:rFonts w:cs="Arial"/>
                <w:color w:val="000000"/>
                <w:sz w:val="20"/>
                <w:szCs w:val="20"/>
              </w:rPr>
              <w:t>214,244 never-smokers who were initially CKD-free were included after excluding current/former smokers and participants with missing clinical or genetic information.</w:t>
            </w:r>
          </w:p>
        </w:tc>
        <w:tc>
          <w:tcPr>
            <w:tcW w:w="3240" w:type="dxa"/>
          </w:tcPr>
          <w:p w14:paraId="0C7BEE32" w14:textId="77777777" w:rsidR="00773F15" w:rsidRPr="0080550A" w:rsidRDefault="00773F15" w:rsidP="00462CB9">
            <w:pPr>
              <w:spacing w:after="0"/>
              <w:rPr>
                <w:rFonts w:cs="Arial"/>
                <w:sz w:val="20"/>
                <w:szCs w:val="20"/>
              </w:rPr>
            </w:pPr>
            <w:r w:rsidRPr="0080550A">
              <w:rPr>
                <w:rFonts w:cs="Arial"/>
                <w:color w:val="000000"/>
                <w:sz w:val="20"/>
                <w:szCs w:val="20"/>
              </w:rPr>
              <w:t>Self-reported secondhand-smoke exposure and exposure duration, weighted genetic risk score and linked incident CKD outcomes analysed longitudinally.</w:t>
            </w:r>
          </w:p>
        </w:tc>
        <w:tc>
          <w:tcPr>
            <w:tcW w:w="3842" w:type="dxa"/>
          </w:tcPr>
          <w:p w14:paraId="096DBB93" w14:textId="77777777" w:rsidR="00773F15" w:rsidRPr="0080550A" w:rsidRDefault="00773F15" w:rsidP="00462CB9">
            <w:pPr>
              <w:spacing w:after="0"/>
              <w:rPr>
                <w:rFonts w:cs="Arial"/>
                <w:sz w:val="20"/>
                <w:szCs w:val="20"/>
              </w:rPr>
            </w:pPr>
            <w:r w:rsidRPr="0080550A">
              <w:rPr>
                <w:rFonts w:cs="Arial"/>
                <w:color w:val="000000"/>
                <w:sz w:val="20"/>
                <w:szCs w:val="20"/>
              </w:rPr>
              <w:t>To examine secondhand-smoke exposure and CKD incidence and whether genetic susceptibility modifies the association. Theme: smoke and environmental risk.</w:t>
            </w:r>
          </w:p>
        </w:tc>
      </w:tr>
      <w:tr w:rsidR="00773F15" w:rsidRPr="0080550A" w14:paraId="11D497AE" w14:textId="77777777" w:rsidTr="008E3A72">
        <w:trPr>
          <w:jc w:val="center"/>
        </w:trPr>
        <w:tc>
          <w:tcPr>
            <w:tcW w:w="504" w:type="dxa"/>
          </w:tcPr>
          <w:p w14:paraId="0E37478F" w14:textId="77777777" w:rsidR="00773F15" w:rsidRPr="0080550A" w:rsidRDefault="00773F15" w:rsidP="00462CB9">
            <w:pPr>
              <w:spacing w:after="0"/>
              <w:rPr>
                <w:rFonts w:cs="Arial"/>
                <w:sz w:val="20"/>
                <w:szCs w:val="20"/>
              </w:rPr>
            </w:pPr>
            <w:r w:rsidRPr="0080550A">
              <w:rPr>
                <w:rFonts w:cs="Arial"/>
                <w:b/>
                <w:color w:val="000000"/>
                <w:sz w:val="20"/>
                <w:szCs w:val="20"/>
              </w:rPr>
              <w:t>8</w:t>
            </w:r>
          </w:p>
        </w:tc>
        <w:tc>
          <w:tcPr>
            <w:tcW w:w="1656" w:type="dxa"/>
          </w:tcPr>
          <w:p w14:paraId="79C0F7BC" w14:textId="77777777" w:rsidR="00773F15" w:rsidRPr="0080550A" w:rsidRDefault="00773F15" w:rsidP="00462CB9">
            <w:pPr>
              <w:spacing w:after="0"/>
              <w:rPr>
                <w:rFonts w:cs="Arial"/>
                <w:sz w:val="20"/>
                <w:szCs w:val="20"/>
              </w:rPr>
            </w:pPr>
            <w:r w:rsidRPr="0080550A">
              <w:rPr>
                <w:rFonts w:cs="Arial"/>
                <w:b/>
                <w:color w:val="000000"/>
                <w:sz w:val="20"/>
                <w:szCs w:val="20"/>
              </w:rPr>
              <w:t>Li et al. (2025)</w:t>
            </w:r>
          </w:p>
        </w:tc>
        <w:tc>
          <w:tcPr>
            <w:tcW w:w="1800" w:type="dxa"/>
          </w:tcPr>
          <w:p w14:paraId="7AECEFBD" w14:textId="77777777" w:rsidR="00773F15" w:rsidRPr="0080550A" w:rsidRDefault="00773F15" w:rsidP="00462CB9">
            <w:pPr>
              <w:spacing w:after="0"/>
              <w:rPr>
                <w:rFonts w:cs="Arial"/>
                <w:sz w:val="20"/>
                <w:szCs w:val="20"/>
              </w:rPr>
            </w:pPr>
            <w:r w:rsidRPr="0080550A">
              <w:rPr>
                <w:rFonts w:cs="Arial"/>
                <w:color w:val="000000"/>
                <w:sz w:val="20"/>
                <w:szCs w:val="20"/>
              </w:rPr>
              <w:t>UK Biobank; England, Scotland and Wales</w:t>
            </w:r>
          </w:p>
        </w:tc>
        <w:tc>
          <w:tcPr>
            <w:tcW w:w="1440" w:type="dxa"/>
          </w:tcPr>
          <w:p w14:paraId="6EB61D05" w14:textId="77777777" w:rsidR="00773F15" w:rsidRPr="0080550A" w:rsidRDefault="00773F15" w:rsidP="00462CB9">
            <w:pPr>
              <w:spacing w:after="0"/>
              <w:rPr>
                <w:rFonts w:cs="Arial"/>
                <w:sz w:val="20"/>
                <w:szCs w:val="20"/>
              </w:rPr>
            </w:pPr>
            <w:r w:rsidRPr="0080550A">
              <w:rPr>
                <w:rFonts w:cs="Arial"/>
                <w:color w:val="000000"/>
                <w:sz w:val="20"/>
                <w:szCs w:val="20"/>
              </w:rPr>
              <w:t>Prospective cohort</w:t>
            </w:r>
          </w:p>
        </w:tc>
        <w:tc>
          <w:tcPr>
            <w:tcW w:w="3384" w:type="dxa"/>
          </w:tcPr>
          <w:p w14:paraId="5B84304B" w14:textId="77777777" w:rsidR="00773F15" w:rsidRPr="0080550A" w:rsidRDefault="00773F15" w:rsidP="00462CB9">
            <w:pPr>
              <w:spacing w:after="0"/>
              <w:rPr>
                <w:rFonts w:cs="Arial"/>
                <w:sz w:val="20"/>
                <w:szCs w:val="20"/>
              </w:rPr>
            </w:pPr>
            <w:r w:rsidRPr="0080550A">
              <w:rPr>
                <w:rFonts w:cs="Arial"/>
                <w:color w:val="000000"/>
                <w:sz w:val="20"/>
                <w:szCs w:val="20"/>
              </w:rPr>
              <w:t>441,893 participants free of CKD at baseline formed the primary analytic cohort; a genetic subcohort was also derived for susceptibility analyses.</w:t>
            </w:r>
          </w:p>
        </w:tc>
        <w:tc>
          <w:tcPr>
            <w:tcW w:w="3240" w:type="dxa"/>
          </w:tcPr>
          <w:p w14:paraId="793D813D" w14:textId="77777777" w:rsidR="00773F15" w:rsidRPr="0080550A" w:rsidRDefault="00773F15" w:rsidP="00462CB9">
            <w:pPr>
              <w:spacing w:after="0"/>
              <w:rPr>
                <w:rFonts w:cs="Arial"/>
                <w:sz w:val="20"/>
                <w:szCs w:val="20"/>
              </w:rPr>
            </w:pPr>
            <w:r w:rsidRPr="0080550A">
              <w:rPr>
                <w:rFonts w:cs="Arial"/>
                <w:color w:val="000000"/>
                <w:sz w:val="20"/>
                <w:szCs w:val="20"/>
              </w:rPr>
              <w:t>Linked inpatient psychiatric diagnoses, kidney laboratory/diagnostic outcomes, socioeconomic and lifestyle covariates; Cox regression with subgroup analyses.</w:t>
            </w:r>
          </w:p>
        </w:tc>
        <w:tc>
          <w:tcPr>
            <w:tcW w:w="3842" w:type="dxa"/>
          </w:tcPr>
          <w:p w14:paraId="4793F2C0" w14:textId="77777777" w:rsidR="00773F15" w:rsidRPr="0080550A" w:rsidRDefault="00773F15" w:rsidP="00462CB9">
            <w:pPr>
              <w:spacing w:after="0"/>
              <w:rPr>
                <w:rFonts w:cs="Arial"/>
                <w:sz w:val="20"/>
                <w:szCs w:val="20"/>
              </w:rPr>
            </w:pPr>
            <w:r w:rsidRPr="0080550A">
              <w:rPr>
                <w:rFonts w:cs="Arial"/>
                <w:color w:val="000000"/>
                <w:sz w:val="20"/>
                <w:szCs w:val="20"/>
              </w:rPr>
              <w:t>To examine whether psychiatric disorders are associated with subsequent CKD and explore potential modifying pathways. Theme: psychosocial risk.</w:t>
            </w:r>
          </w:p>
        </w:tc>
      </w:tr>
      <w:tr w:rsidR="00773F15" w:rsidRPr="0080550A" w14:paraId="7B875640" w14:textId="77777777" w:rsidTr="008E3A72">
        <w:trPr>
          <w:jc w:val="center"/>
        </w:trPr>
        <w:tc>
          <w:tcPr>
            <w:tcW w:w="504" w:type="dxa"/>
          </w:tcPr>
          <w:p w14:paraId="23CB9F37" w14:textId="77777777" w:rsidR="00773F15" w:rsidRPr="0080550A" w:rsidRDefault="00773F15" w:rsidP="00462CB9">
            <w:pPr>
              <w:spacing w:after="0"/>
              <w:rPr>
                <w:rFonts w:cs="Arial"/>
                <w:sz w:val="20"/>
                <w:szCs w:val="20"/>
              </w:rPr>
            </w:pPr>
            <w:r w:rsidRPr="0080550A">
              <w:rPr>
                <w:rFonts w:cs="Arial"/>
                <w:b/>
                <w:color w:val="000000"/>
                <w:sz w:val="20"/>
                <w:szCs w:val="20"/>
              </w:rPr>
              <w:t>9</w:t>
            </w:r>
          </w:p>
        </w:tc>
        <w:tc>
          <w:tcPr>
            <w:tcW w:w="1656" w:type="dxa"/>
          </w:tcPr>
          <w:p w14:paraId="55A7D2E0" w14:textId="77777777" w:rsidR="00773F15" w:rsidRPr="0080550A" w:rsidRDefault="00773F15" w:rsidP="00462CB9">
            <w:pPr>
              <w:spacing w:after="0"/>
              <w:rPr>
                <w:rFonts w:cs="Arial"/>
                <w:sz w:val="20"/>
                <w:szCs w:val="20"/>
              </w:rPr>
            </w:pPr>
            <w:r w:rsidRPr="0080550A">
              <w:rPr>
                <w:rFonts w:cs="Arial"/>
                <w:b/>
                <w:color w:val="000000"/>
                <w:sz w:val="20"/>
                <w:szCs w:val="20"/>
              </w:rPr>
              <w:t>Lightfoot et al. (2025)</w:t>
            </w:r>
          </w:p>
        </w:tc>
        <w:tc>
          <w:tcPr>
            <w:tcW w:w="1800" w:type="dxa"/>
          </w:tcPr>
          <w:p w14:paraId="2251C9AC" w14:textId="77777777" w:rsidR="00773F15" w:rsidRPr="0080550A" w:rsidRDefault="00773F15" w:rsidP="00462CB9">
            <w:pPr>
              <w:spacing w:after="0"/>
              <w:rPr>
                <w:rFonts w:cs="Arial"/>
                <w:sz w:val="20"/>
                <w:szCs w:val="20"/>
              </w:rPr>
            </w:pPr>
            <w:r w:rsidRPr="0080550A">
              <w:rPr>
                <w:rFonts w:cs="Arial"/>
                <w:color w:val="000000"/>
                <w:sz w:val="20"/>
                <w:szCs w:val="20"/>
              </w:rPr>
              <w:t>Leicester, England; primary and renal care</w:t>
            </w:r>
          </w:p>
        </w:tc>
        <w:tc>
          <w:tcPr>
            <w:tcW w:w="1440" w:type="dxa"/>
          </w:tcPr>
          <w:p w14:paraId="36B28D59" w14:textId="77777777" w:rsidR="00773F15" w:rsidRPr="0080550A" w:rsidRDefault="00773F15" w:rsidP="00462CB9">
            <w:pPr>
              <w:spacing w:after="0"/>
              <w:rPr>
                <w:rFonts w:cs="Arial"/>
                <w:sz w:val="20"/>
                <w:szCs w:val="20"/>
              </w:rPr>
            </w:pPr>
            <w:r w:rsidRPr="0080550A">
              <w:rPr>
                <w:rFonts w:cs="Arial"/>
                <w:color w:val="000000"/>
                <w:sz w:val="20"/>
                <w:szCs w:val="20"/>
              </w:rPr>
              <w:t>Qualitative study</w:t>
            </w:r>
          </w:p>
        </w:tc>
        <w:tc>
          <w:tcPr>
            <w:tcW w:w="3384" w:type="dxa"/>
          </w:tcPr>
          <w:p w14:paraId="7AE55C35" w14:textId="77777777" w:rsidR="00773F15" w:rsidRPr="0080550A" w:rsidRDefault="00773F15" w:rsidP="00462CB9">
            <w:pPr>
              <w:spacing w:after="0"/>
              <w:rPr>
                <w:rFonts w:cs="Arial"/>
                <w:sz w:val="20"/>
                <w:szCs w:val="20"/>
              </w:rPr>
            </w:pPr>
            <w:r w:rsidRPr="0080550A">
              <w:rPr>
                <w:rFonts w:cs="Arial"/>
                <w:color w:val="000000"/>
                <w:sz w:val="20"/>
                <w:szCs w:val="20"/>
              </w:rPr>
              <w:t>22 adults aged 48–88 years living with non-dialysis CKD were recruited from primary-care and hospital settings using CKD eligibility criteria.</w:t>
            </w:r>
          </w:p>
        </w:tc>
        <w:tc>
          <w:tcPr>
            <w:tcW w:w="3240" w:type="dxa"/>
          </w:tcPr>
          <w:p w14:paraId="4C0F4507" w14:textId="77777777" w:rsidR="00773F15" w:rsidRPr="0080550A" w:rsidRDefault="00773F15" w:rsidP="00462CB9">
            <w:pPr>
              <w:spacing w:after="0"/>
              <w:rPr>
                <w:rFonts w:cs="Arial"/>
                <w:sz w:val="20"/>
                <w:szCs w:val="20"/>
              </w:rPr>
            </w:pPr>
            <w:r w:rsidRPr="0080550A">
              <w:rPr>
                <w:rFonts w:cs="Arial"/>
                <w:color w:val="000000"/>
                <w:sz w:val="20"/>
                <w:szCs w:val="20"/>
              </w:rPr>
              <w:t>Individual semi-structured interviews, audio recording, verbatim transcription and thematic analysis of self-management experiences, barriers and facilitators.</w:t>
            </w:r>
          </w:p>
        </w:tc>
        <w:tc>
          <w:tcPr>
            <w:tcW w:w="3842" w:type="dxa"/>
          </w:tcPr>
          <w:p w14:paraId="00D80D6A" w14:textId="77777777" w:rsidR="00773F15" w:rsidRPr="0080550A" w:rsidRDefault="00773F15" w:rsidP="00462CB9">
            <w:pPr>
              <w:spacing w:after="0"/>
              <w:rPr>
                <w:rFonts w:cs="Arial"/>
                <w:sz w:val="20"/>
                <w:szCs w:val="20"/>
              </w:rPr>
            </w:pPr>
            <w:r w:rsidRPr="0080550A">
              <w:rPr>
                <w:rFonts w:cs="Arial"/>
                <w:color w:val="000000"/>
                <w:sz w:val="20"/>
                <w:szCs w:val="20"/>
              </w:rPr>
              <w:t>To understand awareness, attitudes, needs and factors influencing CKD self-management. Theme: patient-centred management.</w:t>
            </w:r>
          </w:p>
        </w:tc>
      </w:tr>
      <w:tr w:rsidR="00773F15" w:rsidRPr="0080550A" w14:paraId="03277B3E" w14:textId="77777777" w:rsidTr="008E3A72">
        <w:trPr>
          <w:jc w:val="center"/>
        </w:trPr>
        <w:tc>
          <w:tcPr>
            <w:tcW w:w="504" w:type="dxa"/>
          </w:tcPr>
          <w:p w14:paraId="1204BEAE" w14:textId="77777777" w:rsidR="00773F15" w:rsidRPr="0080550A" w:rsidRDefault="00773F15" w:rsidP="00462CB9">
            <w:pPr>
              <w:spacing w:after="0"/>
              <w:rPr>
                <w:rFonts w:cs="Arial"/>
                <w:sz w:val="20"/>
                <w:szCs w:val="20"/>
              </w:rPr>
            </w:pPr>
            <w:r w:rsidRPr="0080550A">
              <w:rPr>
                <w:rFonts w:cs="Arial"/>
                <w:b/>
                <w:color w:val="000000"/>
                <w:sz w:val="20"/>
                <w:szCs w:val="20"/>
              </w:rPr>
              <w:t>10</w:t>
            </w:r>
          </w:p>
        </w:tc>
        <w:tc>
          <w:tcPr>
            <w:tcW w:w="1656" w:type="dxa"/>
          </w:tcPr>
          <w:p w14:paraId="5B13C7BD" w14:textId="77777777" w:rsidR="00773F15" w:rsidRPr="0080550A" w:rsidRDefault="00773F15" w:rsidP="00462CB9">
            <w:pPr>
              <w:spacing w:after="0"/>
              <w:rPr>
                <w:rFonts w:cs="Arial"/>
                <w:sz w:val="20"/>
                <w:szCs w:val="20"/>
              </w:rPr>
            </w:pPr>
            <w:r w:rsidRPr="0080550A">
              <w:rPr>
                <w:rFonts w:cs="Arial"/>
                <w:b/>
                <w:color w:val="000000"/>
                <w:sz w:val="20"/>
                <w:szCs w:val="20"/>
              </w:rPr>
              <w:t>Maroto-Rodriguez et al. (2025)</w:t>
            </w:r>
          </w:p>
        </w:tc>
        <w:tc>
          <w:tcPr>
            <w:tcW w:w="1800" w:type="dxa"/>
          </w:tcPr>
          <w:p w14:paraId="20E29626" w14:textId="77777777" w:rsidR="00773F15" w:rsidRPr="0080550A" w:rsidRDefault="00773F15" w:rsidP="00462CB9">
            <w:pPr>
              <w:spacing w:after="0"/>
              <w:rPr>
                <w:rFonts w:cs="Arial"/>
                <w:sz w:val="20"/>
                <w:szCs w:val="20"/>
              </w:rPr>
            </w:pPr>
            <w:r w:rsidRPr="0080550A">
              <w:rPr>
                <w:rFonts w:cs="Arial"/>
                <w:color w:val="000000"/>
                <w:sz w:val="20"/>
                <w:szCs w:val="20"/>
              </w:rPr>
              <w:t>UK Biobank; British adults</w:t>
            </w:r>
          </w:p>
        </w:tc>
        <w:tc>
          <w:tcPr>
            <w:tcW w:w="1440" w:type="dxa"/>
          </w:tcPr>
          <w:p w14:paraId="2FA6E647" w14:textId="77777777" w:rsidR="00773F15" w:rsidRPr="0080550A" w:rsidRDefault="00773F15" w:rsidP="00462CB9">
            <w:pPr>
              <w:spacing w:after="0"/>
              <w:rPr>
                <w:rFonts w:cs="Arial"/>
                <w:sz w:val="20"/>
                <w:szCs w:val="20"/>
              </w:rPr>
            </w:pPr>
            <w:r w:rsidRPr="0080550A">
              <w:rPr>
                <w:rFonts w:cs="Arial"/>
                <w:color w:val="000000"/>
                <w:sz w:val="20"/>
                <w:szCs w:val="20"/>
              </w:rPr>
              <w:t>Prospective cohort</w:t>
            </w:r>
          </w:p>
        </w:tc>
        <w:tc>
          <w:tcPr>
            <w:tcW w:w="3384" w:type="dxa"/>
          </w:tcPr>
          <w:p w14:paraId="30DD0DA8" w14:textId="77777777" w:rsidR="00773F15" w:rsidRPr="0080550A" w:rsidRDefault="00773F15" w:rsidP="00462CB9">
            <w:pPr>
              <w:spacing w:after="0"/>
              <w:rPr>
                <w:rFonts w:cs="Arial"/>
                <w:sz w:val="20"/>
                <w:szCs w:val="20"/>
              </w:rPr>
            </w:pPr>
            <w:r w:rsidRPr="0080550A">
              <w:rPr>
                <w:rFonts w:cs="Arial"/>
                <w:color w:val="000000"/>
                <w:sz w:val="20"/>
                <w:szCs w:val="20"/>
              </w:rPr>
              <w:t>106,870 CKD-free participants with repeated dietary information were included; food consumption was captured through at least two 24-hour dietary assessments.</w:t>
            </w:r>
          </w:p>
        </w:tc>
        <w:tc>
          <w:tcPr>
            <w:tcW w:w="3240" w:type="dxa"/>
          </w:tcPr>
          <w:p w14:paraId="2B61B408" w14:textId="77777777" w:rsidR="00773F15" w:rsidRPr="0080550A" w:rsidRDefault="00773F15" w:rsidP="00462CB9">
            <w:pPr>
              <w:spacing w:after="0"/>
              <w:rPr>
                <w:rFonts w:cs="Arial"/>
                <w:sz w:val="20"/>
                <w:szCs w:val="20"/>
              </w:rPr>
            </w:pPr>
            <w:r w:rsidRPr="0080550A">
              <w:rPr>
                <w:rFonts w:cs="Arial"/>
                <w:color w:val="000000"/>
                <w:sz w:val="20"/>
                <w:szCs w:val="20"/>
              </w:rPr>
              <w:t>Six diet-quality indices derived from dietary assessments and linked prospectively to incident CKD outcomes and covariates.</w:t>
            </w:r>
          </w:p>
        </w:tc>
        <w:tc>
          <w:tcPr>
            <w:tcW w:w="3842" w:type="dxa"/>
          </w:tcPr>
          <w:p w14:paraId="5E44741E" w14:textId="77777777" w:rsidR="00773F15" w:rsidRPr="0080550A" w:rsidRDefault="00773F15" w:rsidP="00462CB9">
            <w:pPr>
              <w:spacing w:after="0"/>
              <w:rPr>
                <w:rFonts w:cs="Arial"/>
                <w:sz w:val="20"/>
                <w:szCs w:val="20"/>
              </w:rPr>
            </w:pPr>
            <w:r w:rsidRPr="0080550A">
              <w:rPr>
                <w:rFonts w:cs="Arial"/>
                <w:color w:val="000000"/>
                <w:sz w:val="20"/>
                <w:szCs w:val="20"/>
              </w:rPr>
              <w:t>To evaluate associations between several diet-quality patterns and incident CKD. Theme: dietary and lifestyle risk.</w:t>
            </w:r>
          </w:p>
        </w:tc>
      </w:tr>
      <w:tr w:rsidR="00773F15" w:rsidRPr="0080550A" w14:paraId="6734F79B" w14:textId="77777777" w:rsidTr="008E3A72">
        <w:trPr>
          <w:jc w:val="center"/>
        </w:trPr>
        <w:tc>
          <w:tcPr>
            <w:tcW w:w="504" w:type="dxa"/>
          </w:tcPr>
          <w:p w14:paraId="1CAFB2EC" w14:textId="77777777" w:rsidR="00773F15" w:rsidRPr="0080550A" w:rsidRDefault="00773F15" w:rsidP="00462CB9">
            <w:pPr>
              <w:spacing w:after="0"/>
              <w:rPr>
                <w:rFonts w:cs="Arial"/>
                <w:sz w:val="20"/>
                <w:szCs w:val="20"/>
              </w:rPr>
            </w:pPr>
            <w:r w:rsidRPr="0080550A">
              <w:rPr>
                <w:rFonts w:cs="Arial"/>
                <w:b/>
                <w:color w:val="000000"/>
                <w:sz w:val="20"/>
                <w:szCs w:val="20"/>
              </w:rPr>
              <w:t>11</w:t>
            </w:r>
          </w:p>
        </w:tc>
        <w:tc>
          <w:tcPr>
            <w:tcW w:w="1656" w:type="dxa"/>
          </w:tcPr>
          <w:p w14:paraId="1B6FC076" w14:textId="77777777" w:rsidR="00773F15" w:rsidRPr="0080550A" w:rsidRDefault="00773F15" w:rsidP="00462CB9">
            <w:pPr>
              <w:spacing w:after="0"/>
              <w:rPr>
                <w:rFonts w:cs="Arial"/>
                <w:sz w:val="20"/>
                <w:szCs w:val="20"/>
              </w:rPr>
            </w:pPr>
            <w:r w:rsidRPr="0080550A">
              <w:rPr>
                <w:rFonts w:cs="Arial"/>
                <w:b/>
                <w:color w:val="000000"/>
                <w:sz w:val="20"/>
                <w:szCs w:val="20"/>
              </w:rPr>
              <w:t>Rizvi et al. (2024)</w:t>
            </w:r>
          </w:p>
        </w:tc>
        <w:tc>
          <w:tcPr>
            <w:tcW w:w="1800" w:type="dxa"/>
          </w:tcPr>
          <w:p w14:paraId="2937263E" w14:textId="77777777" w:rsidR="00773F15" w:rsidRPr="0080550A" w:rsidRDefault="00773F15" w:rsidP="00462CB9">
            <w:pPr>
              <w:spacing w:after="0"/>
              <w:rPr>
                <w:rFonts w:cs="Arial"/>
                <w:sz w:val="20"/>
                <w:szCs w:val="20"/>
              </w:rPr>
            </w:pPr>
            <w:r w:rsidRPr="0080550A">
              <w:rPr>
                <w:rFonts w:cs="Arial"/>
                <w:color w:val="000000"/>
                <w:sz w:val="20"/>
                <w:szCs w:val="20"/>
              </w:rPr>
              <w:t>Willows Primary Care Network, Leicester, England</w:t>
            </w:r>
          </w:p>
        </w:tc>
        <w:tc>
          <w:tcPr>
            <w:tcW w:w="1440" w:type="dxa"/>
          </w:tcPr>
          <w:p w14:paraId="43C2D4EA" w14:textId="77777777" w:rsidR="00773F15" w:rsidRPr="0080550A" w:rsidRDefault="00773F15" w:rsidP="00462CB9">
            <w:pPr>
              <w:spacing w:after="0"/>
              <w:rPr>
                <w:rFonts w:cs="Arial"/>
                <w:sz w:val="20"/>
                <w:szCs w:val="20"/>
              </w:rPr>
            </w:pPr>
            <w:r w:rsidRPr="0080550A">
              <w:rPr>
                <w:rFonts w:cs="Arial"/>
                <w:color w:val="000000"/>
                <w:sz w:val="20"/>
                <w:szCs w:val="20"/>
              </w:rPr>
              <w:t>Quality-improvement clinical evaluation</w:t>
            </w:r>
          </w:p>
        </w:tc>
        <w:tc>
          <w:tcPr>
            <w:tcW w:w="3384" w:type="dxa"/>
          </w:tcPr>
          <w:p w14:paraId="246EFE49" w14:textId="77777777" w:rsidR="00773F15" w:rsidRPr="0080550A" w:rsidRDefault="00773F15" w:rsidP="00462CB9">
            <w:pPr>
              <w:spacing w:after="0"/>
              <w:rPr>
                <w:rFonts w:cs="Arial"/>
                <w:sz w:val="20"/>
                <w:szCs w:val="20"/>
              </w:rPr>
            </w:pPr>
            <w:r w:rsidRPr="0080550A">
              <w:rPr>
                <w:rFonts w:cs="Arial"/>
                <w:color w:val="000000"/>
                <w:sz w:val="20"/>
                <w:szCs w:val="20"/>
              </w:rPr>
              <w:t>526 patients with CKD, diabetes and/or heart failure were reviewed within the primary-care CKD improvement programme; patients suitable for guideline optimisation proceeded to intervention.</w:t>
            </w:r>
          </w:p>
        </w:tc>
        <w:tc>
          <w:tcPr>
            <w:tcW w:w="3240" w:type="dxa"/>
          </w:tcPr>
          <w:p w14:paraId="511DF1DD" w14:textId="77777777" w:rsidR="00773F15" w:rsidRPr="0080550A" w:rsidRDefault="00773F15" w:rsidP="00462CB9">
            <w:pPr>
              <w:spacing w:after="0"/>
              <w:rPr>
                <w:rFonts w:cs="Arial"/>
                <w:sz w:val="20"/>
                <w:szCs w:val="20"/>
              </w:rPr>
            </w:pPr>
            <w:r w:rsidRPr="0080550A">
              <w:rPr>
                <w:rFonts w:cs="Arial"/>
                <w:color w:val="000000"/>
                <w:sz w:val="20"/>
                <w:szCs w:val="20"/>
              </w:rPr>
              <w:t>Primary-care review supported by nephrology consultants and pharmacists, MDT discussion, guideline-based medicine optimisation and referral/service records.</w:t>
            </w:r>
          </w:p>
        </w:tc>
        <w:tc>
          <w:tcPr>
            <w:tcW w:w="3842" w:type="dxa"/>
          </w:tcPr>
          <w:p w14:paraId="04D47FBC" w14:textId="77777777" w:rsidR="00773F15" w:rsidRPr="0080550A" w:rsidRDefault="00773F15" w:rsidP="00462CB9">
            <w:pPr>
              <w:spacing w:after="0"/>
              <w:rPr>
                <w:rFonts w:cs="Arial"/>
                <w:sz w:val="20"/>
                <w:szCs w:val="20"/>
              </w:rPr>
            </w:pPr>
            <w:r w:rsidRPr="0080550A">
              <w:rPr>
                <w:rFonts w:cs="Arial"/>
                <w:color w:val="000000"/>
                <w:sz w:val="20"/>
                <w:szCs w:val="20"/>
              </w:rPr>
              <w:t>To evaluate implementation of an integrated CKD optimisation model within a primary-care network. Theme: integrated care and medicines optimisation.</w:t>
            </w:r>
          </w:p>
        </w:tc>
      </w:tr>
      <w:tr w:rsidR="00773F15" w:rsidRPr="0080550A" w14:paraId="537CD312" w14:textId="77777777" w:rsidTr="008E3A72">
        <w:trPr>
          <w:jc w:val="center"/>
        </w:trPr>
        <w:tc>
          <w:tcPr>
            <w:tcW w:w="504" w:type="dxa"/>
          </w:tcPr>
          <w:p w14:paraId="760BEADE" w14:textId="77777777" w:rsidR="00773F15" w:rsidRPr="0080550A" w:rsidRDefault="00773F15" w:rsidP="00462CB9">
            <w:pPr>
              <w:spacing w:after="0"/>
              <w:rPr>
                <w:rFonts w:cs="Arial"/>
                <w:sz w:val="20"/>
                <w:szCs w:val="20"/>
              </w:rPr>
            </w:pPr>
            <w:r w:rsidRPr="0080550A">
              <w:rPr>
                <w:rFonts w:cs="Arial"/>
                <w:b/>
                <w:color w:val="000000"/>
                <w:sz w:val="20"/>
                <w:szCs w:val="20"/>
              </w:rPr>
              <w:t>12</w:t>
            </w:r>
          </w:p>
        </w:tc>
        <w:tc>
          <w:tcPr>
            <w:tcW w:w="1656" w:type="dxa"/>
          </w:tcPr>
          <w:p w14:paraId="423E46A0" w14:textId="77777777" w:rsidR="00773F15" w:rsidRPr="0080550A" w:rsidRDefault="00773F15" w:rsidP="00462CB9">
            <w:pPr>
              <w:spacing w:after="0"/>
              <w:rPr>
                <w:rFonts w:cs="Arial"/>
                <w:sz w:val="20"/>
                <w:szCs w:val="20"/>
              </w:rPr>
            </w:pPr>
            <w:r w:rsidRPr="0080550A">
              <w:rPr>
                <w:rFonts w:cs="Arial"/>
                <w:b/>
                <w:color w:val="000000"/>
                <w:sz w:val="20"/>
                <w:szCs w:val="20"/>
              </w:rPr>
              <w:t>Sullivan et al. (2023)</w:t>
            </w:r>
          </w:p>
        </w:tc>
        <w:tc>
          <w:tcPr>
            <w:tcW w:w="1800" w:type="dxa"/>
          </w:tcPr>
          <w:p w14:paraId="6A284B41" w14:textId="77777777" w:rsidR="00773F15" w:rsidRPr="0080550A" w:rsidRDefault="00773F15" w:rsidP="00462CB9">
            <w:pPr>
              <w:spacing w:after="0"/>
              <w:rPr>
                <w:rFonts w:cs="Arial"/>
                <w:sz w:val="20"/>
                <w:szCs w:val="20"/>
              </w:rPr>
            </w:pPr>
            <w:r w:rsidRPr="0080550A">
              <w:rPr>
                <w:rFonts w:cs="Arial"/>
                <w:color w:val="000000"/>
                <w:sz w:val="20"/>
                <w:szCs w:val="20"/>
              </w:rPr>
              <w:t>Wales SAIL database plus UK Biobank</w:t>
            </w:r>
          </w:p>
        </w:tc>
        <w:tc>
          <w:tcPr>
            <w:tcW w:w="1440" w:type="dxa"/>
          </w:tcPr>
          <w:p w14:paraId="26DBE25E" w14:textId="77777777" w:rsidR="00773F15" w:rsidRPr="0080550A" w:rsidRDefault="00773F15" w:rsidP="00462CB9">
            <w:pPr>
              <w:spacing w:after="0"/>
              <w:rPr>
                <w:rFonts w:cs="Arial"/>
                <w:sz w:val="20"/>
                <w:szCs w:val="20"/>
              </w:rPr>
            </w:pPr>
            <w:r w:rsidRPr="0080550A">
              <w:rPr>
                <w:rFonts w:cs="Arial"/>
                <w:color w:val="000000"/>
                <w:sz w:val="20"/>
                <w:szCs w:val="20"/>
              </w:rPr>
              <w:t>Primary-care database and prospective cohort analysis</w:t>
            </w:r>
          </w:p>
        </w:tc>
        <w:tc>
          <w:tcPr>
            <w:tcW w:w="3384" w:type="dxa"/>
          </w:tcPr>
          <w:p w14:paraId="5C87FD40" w14:textId="106A927E" w:rsidR="00773F15" w:rsidRPr="0080550A" w:rsidRDefault="00773F15" w:rsidP="00462CB9">
            <w:pPr>
              <w:spacing w:after="0"/>
              <w:rPr>
                <w:rFonts w:cs="Arial"/>
                <w:sz w:val="20"/>
                <w:szCs w:val="20"/>
              </w:rPr>
            </w:pPr>
            <w:r w:rsidRPr="0080550A">
              <w:rPr>
                <w:rFonts w:cs="Arial"/>
                <w:color w:val="000000"/>
                <w:sz w:val="20"/>
                <w:szCs w:val="20"/>
              </w:rPr>
              <w:t>The referral analysis included 61,721 people with eGFR 30–59 mL/min/1.73m² in the 2019 SAIL population, with</w:t>
            </w:r>
            <w:r w:rsidR="002D4B06">
              <w:rPr>
                <w:rFonts w:cs="Arial"/>
                <w:color w:val="000000"/>
                <w:sz w:val="20"/>
                <w:szCs w:val="20"/>
              </w:rPr>
              <w:t xml:space="preserve"> the</w:t>
            </w:r>
            <w:r w:rsidRPr="0080550A">
              <w:rPr>
                <w:rFonts w:cs="Arial"/>
                <w:color w:val="000000"/>
                <w:sz w:val="20"/>
                <w:szCs w:val="20"/>
              </w:rPr>
              <w:t xml:space="preserve"> UK Biobank used for complementary ethnicity analyses.</w:t>
            </w:r>
          </w:p>
        </w:tc>
        <w:tc>
          <w:tcPr>
            <w:tcW w:w="3240" w:type="dxa"/>
          </w:tcPr>
          <w:p w14:paraId="680B5691" w14:textId="77777777" w:rsidR="00773F15" w:rsidRPr="0080550A" w:rsidRDefault="00773F15" w:rsidP="00462CB9">
            <w:pPr>
              <w:spacing w:after="0"/>
              <w:rPr>
                <w:rFonts w:cs="Arial"/>
                <w:sz w:val="20"/>
                <w:szCs w:val="20"/>
              </w:rPr>
            </w:pPr>
            <w:r w:rsidRPr="0080550A">
              <w:rPr>
                <w:rFonts w:cs="Arial"/>
                <w:color w:val="000000"/>
                <w:sz w:val="20"/>
                <w:szCs w:val="20"/>
              </w:rPr>
              <w:t>Routine eGFR and albuminuria records, KFRE calculation, updated eGFR equation and ethnicity-stratified analyses of potential nephrology referral.</w:t>
            </w:r>
          </w:p>
        </w:tc>
        <w:tc>
          <w:tcPr>
            <w:tcW w:w="3842" w:type="dxa"/>
          </w:tcPr>
          <w:p w14:paraId="1604DC1C" w14:textId="77777777" w:rsidR="00773F15" w:rsidRPr="0080550A" w:rsidRDefault="00773F15" w:rsidP="00462CB9">
            <w:pPr>
              <w:spacing w:after="0"/>
              <w:rPr>
                <w:rFonts w:cs="Arial"/>
                <w:sz w:val="20"/>
                <w:szCs w:val="20"/>
              </w:rPr>
            </w:pPr>
            <w:r w:rsidRPr="0080550A">
              <w:rPr>
                <w:rFonts w:cs="Arial"/>
                <w:color w:val="000000"/>
                <w:sz w:val="20"/>
                <w:szCs w:val="20"/>
              </w:rPr>
              <w:t>To assess how NICE 2021 KFRE and eGFR changes could alter CKD diagnosis and referral from primary care. Theme: diagnosis and risk stratification.</w:t>
            </w:r>
          </w:p>
        </w:tc>
      </w:tr>
      <w:tr w:rsidR="00773F15" w:rsidRPr="0080550A" w14:paraId="0C09BBFC" w14:textId="77777777" w:rsidTr="008E3A72">
        <w:trPr>
          <w:jc w:val="center"/>
        </w:trPr>
        <w:tc>
          <w:tcPr>
            <w:tcW w:w="504" w:type="dxa"/>
          </w:tcPr>
          <w:p w14:paraId="76BA3C84" w14:textId="77777777" w:rsidR="00773F15" w:rsidRPr="0080550A" w:rsidRDefault="00773F15" w:rsidP="00462CB9">
            <w:pPr>
              <w:spacing w:after="0"/>
              <w:rPr>
                <w:rFonts w:cs="Arial"/>
                <w:sz w:val="20"/>
                <w:szCs w:val="20"/>
              </w:rPr>
            </w:pPr>
            <w:r w:rsidRPr="0080550A">
              <w:rPr>
                <w:rFonts w:cs="Arial"/>
                <w:b/>
                <w:color w:val="000000"/>
                <w:sz w:val="20"/>
                <w:szCs w:val="20"/>
              </w:rPr>
              <w:t>13</w:t>
            </w:r>
          </w:p>
        </w:tc>
        <w:tc>
          <w:tcPr>
            <w:tcW w:w="1656" w:type="dxa"/>
          </w:tcPr>
          <w:p w14:paraId="61B09221" w14:textId="4C036714" w:rsidR="00773F15" w:rsidRPr="0080550A" w:rsidRDefault="00773F15" w:rsidP="00462CB9">
            <w:pPr>
              <w:spacing w:after="0"/>
              <w:rPr>
                <w:rFonts w:cs="Arial"/>
                <w:sz w:val="20"/>
                <w:szCs w:val="20"/>
              </w:rPr>
            </w:pPr>
            <w:r w:rsidRPr="0080550A">
              <w:rPr>
                <w:rFonts w:cs="Arial"/>
                <w:b/>
                <w:color w:val="000000"/>
                <w:sz w:val="20"/>
                <w:szCs w:val="20"/>
              </w:rPr>
              <w:t>Tang et al. (2024</w:t>
            </w:r>
            <w:r w:rsidR="009259BE" w:rsidRPr="0080550A">
              <w:rPr>
                <w:rFonts w:cs="Arial"/>
                <w:b/>
                <w:color w:val="000000"/>
                <w:sz w:val="20"/>
                <w:szCs w:val="20"/>
              </w:rPr>
              <w:t>a</w:t>
            </w:r>
            <w:r w:rsidRPr="0080550A">
              <w:rPr>
                <w:rFonts w:cs="Arial"/>
                <w:b/>
                <w:color w:val="000000"/>
                <w:sz w:val="20"/>
                <w:szCs w:val="20"/>
              </w:rPr>
              <w:t>)</w:t>
            </w:r>
          </w:p>
        </w:tc>
        <w:tc>
          <w:tcPr>
            <w:tcW w:w="1800" w:type="dxa"/>
          </w:tcPr>
          <w:p w14:paraId="4DE2F7B2" w14:textId="77777777" w:rsidR="00773F15" w:rsidRPr="0080550A" w:rsidRDefault="00773F15" w:rsidP="00462CB9">
            <w:pPr>
              <w:spacing w:after="0"/>
              <w:rPr>
                <w:rFonts w:cs="Arial"/>
                <w:sz w:val="20"/>
                <w:szCs w:val="20"/>
              </w:rPr>
            </w:pPr>
            <w:r w:rsidRPr="0080550A">
              <w:rPr>
                <w:rFonts w:cs="Arial"/>
                <w:color w:val="000000"/>
                <w:sz w:val="20"/>
                <w:szCs w:val="20"/>
              </w:rPr>
              <w:t>UK Biobank</w:t>
            </w:r>
          </w:p>
        </w:tc>
        <w:tc>
          <w:tcPr>
            <w:tcW w:w="1440" w:type="dxa"/>
          </w:tcPr>
          <w:p w14:paraId="17453D3C" w14:textId="77777777" w:rsidR="00773F15" w:rsidRPr="0080550A" w:rsidRDefault="00773F15" w:rsidP="00462CB9">
            <w:pPr>
              <w:spacing w:after="0"/>
              <w:rPr>
                <w:rFonts w:cs="Arial"/>
                <w:sz w:val="20"/>
                <w:szCs w:val="20"/>
              </w:rPr>
            </w:pPr>
            <w:r w:rsidRPr="0080550A">
              <w:rPr>
                <w:rFonts w:cs="Arial"/>
                <w:color w:val="000000"/>
                <w:sz w:val="20"/>
                <w:szCs w:val="20"/>
              </w:rPr>
              <w:t>Prospective matched cohort</w:t>
            </w:r>
          </w:p>
        </w:tc>
        <w:tc>
          <w:tcPr>
            <w:tcW w:w="3384" w:type="dxa"/>
          </w:tcPr>
          <w:p w14:paraId="564AEAE8" w14:textId="77777777" w:rsidR="00773F15" w:rsidRPr="0080550A" w:rsidRDefault="00773F15" w:rsidP="00462CB9">
            <w:pPr>
              <w:spacing w:after="0"/>
              <w:rPr>
                <w:rFonts w:cs="Arial"/>
                <w:sz w:val="20"/>
                <w:szCs w:val="20"/>
              </w:rPr>
            </w:pPr>
            <w:r w:rsidRPr="0080550A">
              <w:rPr>
                <w:rFonts w:cs="Arial"/>
                <w:color w:val="000000"/>
                <w:sz w:val="20"/>
                <w:szCs w:val="20"/>
              </w:rPr>
              <w:t>97,538 participants with obesity were matched with 97,538 normal-weight controls. Risk-factor control was assessed among the obesity cohort.</w:t>
            </w:r>
          </w:p>
        </w:tc>
        <w:tc>
          <w:tcPr>
            <w:tcW w:w="3240" w:type="dxa"/>
          </w:tcPr>
          <w:p w14:paraId="1322A465" w14:textId="77777777" w:rsidR="00773F15" w:rsidRPr="0080550A" w:rsidRDefault="00773F15" w:rsidP="00462CB9">
            <w:pPr>
              <w:spacing w:after="0"/>
              <w:rPr>
                <w:rFonts w:cs="Arial"/>
                <w:sz w:val="20"/>
                <w:szCs w:val="20"/>
              </w:rPr>
            </w:pPr>
            <w:r w:rsidRPr="0080550A">
              <w:rPr>
                <w:rFonts w:cs="Arial"/>
                <w:color w:val="000000"/>
                <w:sz w:val="20"/>
                <w:szCs w:val="20"/>
              </w:rPr>
              <w:t>Baseline measures of blood pressure, glycaemia, LDL cholesterol, albuminuria, smoking and physical activity linked to incident CKD during follow-up.</w:t>
            </w:r>
          </w:p>
        </w:tc>
        <w:tc>
          <w:tcPr>
            <w:tcW w:w="3842" w:type="dxa"/>
          </w:tcPr>
          <w:p w14:paraId="33096F90" w14:textId="77777777" w:rsidR="00773F15" w:rsidRPr="0080550A" w:rsidRDefault="00773F15" w:rsidP="00462CB9">
            <w:pPr>
              <w:spacing w:after="0"/>
              <w:rPr>
                <w:rFonts w:cs="Arial"/>
                <w:sz w:val="20"/>
                <w:szCs w:val="20"/>
              </w:rPr>
            </w:pPr>
            <w:r w:rsidRPr="0080550A">
              <w:rPr>
                <w:rFonts w:cs="Arial"/>
                <w:color w:val="000000"/>
                <w:sz w:val="20"/>
                <w:szCs w:val="20"/>
              </w:rPr>
              <w:t>To examine whether joint control of major CKD risk factors attenuates excess CKD risk associated with obesity. Theme: clinical and metabolic risk.</w:t>
            </w:r>
          </w:p>
        </w:tc>
      </w:tr>
      <w:tr w:rsidR="00773F15" w:rsidRPr="0080550A" w14:paraId="77F19FCA" w14:textId="77777777" w:rsidTr="008E3A72">
        <w:trPr>
          <w:jc w:val="center"/>
        </w:trPr>
        <w:tc>
          <w:tcPr>
            <w:tcW w:w="504" w:type="dxa"/>
          </w:tcPr>
          <w:p w14:paraId="6C7D6FC3" w14:textId="77777777" w:rsidR="00773F15" w:rsidRPr="0080550A" w:rsidRDefault="00773F15" w:rsidP="00462CB9">
            <w:pPr>
              <w:spacing w:after="0"/>
              <w:rPr>
                <w:rFonts w:cs="Arial"/>
                <w:sz w:val="20"/>
                <w:szCs w:val="20"/>
              </w:rPr>
            </w:pPr>
            <w:r w:rsidRPr="0080550A">
              <w:rPr>
                <w:rFonts w:cs="Arial"/>
                <w:b/>
                <w:color w:val="000000"/>
                <w:sz w:val="20"/>
                <w:szCs w:val="20"/>
              </w:rPr>
              <w:t>14</w:t>
            </w:r>
          </w:p>
        </w:tc>
        <w:tc>
          <w:tcPr>
            <w:tcW w:w="1656" w:type="dxa"/>
          </w:tcPr>
          <w:p w14:paraId="2335750B" w14:textId="77777777" w:rsidR="00773F15" w:rsidRPr="0080550A" w:rsidRDefault="00773F15" w:rsidP="00462CB9">
            <w:pPr>
              <w:spacing w:after="0"/>
              <w:rPr>
                <w:rFonts w:cs="Arial"/>
                <w:sz w:val="20"/>
                <w:szCs w:val="20"/>
              </w:rPr>
            </w:pPr>
            <w:r w:rsidRPr="0080550A">
              <w:rPr>
                <w:rFonts w:cs="Arial"/>
                <w:b/>
                <w:color w:val="000000"/>
                <w:sz w:val="20"/>
                <w:szCs w:val="20"/>
              </w:rPr>
              <w:t>Wang et al. (2022)</w:t>
            </w:r>
          </w:p>
        </w:tc>
        <w:tc>
          <w:tcPr>
            <w:tcW w:w="1800" w:type="dxa"/>
          </w:tcPr>
          <w:p w14:paraId="54D7DB5F" w14:textId="77777777" w:rsidR="00773F15" w:rsidRPr="0080550A" w:rsidRDefault="00773F15" w:rsidP="00462CB9">
            <w:pPr>
              <w:spacing w:after="0"/>
              <w:rPr>
                <w:rFonts w:cs="Arial"/>
                <w:sz w:val="20"/>
                <w:szCs w:val="20"/>
              </w:rPr>
            </w:pPr>
            <w:r w:rsidRPr="0080550A">
              <w:rPr>
                <w:rFonts w:cs="Arial"/>
                <w:color w:val="000000"/>
                <w:sz w:val="20"/>
                <w:szCs w:val="20"/>
              </w:rPr>
              <w:t>UK Biobank</w:t>
            </w:r>
          </w:p>
        </w:tc>
        <w:tc>
          <w:tcPr>
            <w:tcW w:w="1440" w:type="dxa"/>
          </w:tcPr>
          <w:p w14:paraId="7807A413" w14:textId="77777777" w:rsidR="00773F15" w:rsidRPr="0080550A" w:rsidRDefault="00773F15" w:rsidP="00462CB9">
            <w:pPr>
              <w:spacing w:after="0"/>
              <w:rPr>
                <w:rFonts w:cs="Arial"/>
                <w:sz w:val="20"/>
                <w:szCs w:val="20"/>
              </w:rPr>
            </w:pPr>
            <w:r w:rsidRPr="0080550A">
              <w:rPr>
                <w:rFonts w:cs="Arial"/>
                <w:color w:val="000000"/>
                <w:sz w:val="20"/>
                <w:szCs w:val="20"/>
              </w:rPr>
              <w:t>Prospective cohort</w:t>
            </w:r>
          </w:p>
        </w:tc>
        <w:tc>
          <w:tcPr>
            <w:tcW w:w="3384" w:type="dxa"/>
          </w:tcPr>
          <w:p w14:paraId="582E6191" w14:textId="77777777" w:rsidR="00773F15" w:rsidRPr="0080550A" w:rsidRDefault="00773F15" w:rsidP="00462CB9">
            <w:pPr>
              <w:spacing w:after="0"/>
              <w:rPr>
                <w:rFonts w:cs="Arial"/>
                <w:sz w:val="20"/>
                <w:szCs w:val="20"/>
              </w:rPr>
            </w:pPr>
            <w:r w:rsidRPr="0080550A">
              <w:rPr>
                <w:rFonts w:cs="Arial"/>
                <w:color w:val="000000"/>
                <w:sz w:val="20"/>
                <w:szCs w:val="20"/>
              </w:rPr>
              <w:t>458,968 participants with relevant environmental and health information were included in the air-pollution analysis.</w:t>
            </w:r>
          </w:p>
        </w:tc>
        <w:tc>
          <w:tcPr>
            <w:tcW w:w="3240" w:type="dxa"/>
          </w:tcPr>
          <w:p w14:paraId="0661CA7A" w14:textId="77777777" w:rsidR="00773F15" w:rsidRPr="0080550A" w:rsidRDefault="00773F15" w:rsidP="00462CB9">
            <w:pPr>
              <w:spacing w:after="0"/>
              <w:rPr>
                <w:rFonts w:cs="Arial"/>
                <w:sz w:val="20"/>
                <w:szCs w:val="20"/>
              </w:rPr>
            </w:pPr>
            <w:r w:rsidRPr="0080550A">
              <w:rPr>
                <w:rFonts w:cs="Arial"/>
                <w:color w:val="000000"/>
                <w:sz w:val="20"/>
                <w:szCs w:val="20"/>
              </w:rPr>
              <w:t>Modelled long-term exposure to PM2.5, PM10, NO2 and NOx, genetic susceptibility measures and linked incident CKD outcomes.</w:t>
            </w:r>
          </w:p>
        </w:tc>
        <w:tc>
          <w:tcPr>
            <w:tcW w:w="3842" w:type="dxa"/>
          </w:tcPr>
          <w:p w14:paraId="70A152C7" w14:textId="77777777" w:rsidR="00773F15" w:rsidRPr="0080550A" w:rsidRDefault="00773F15" w:rsidP="00462CB9">
            <w:pPr>
              <w:spacing w:after="0"/>
              <w:rPr>
                <w:rFonts w:cs="Arial"/>
                <w:sz w:val="20"/>
                <w:szCs w:val="20"/>
              </w:rPr>
            </w:pPr>
            <w:r w:rsidRPr="0080550A">
              <w:rPr>
                <w:rFonts w:cs="Arial"/>
                <w:color w:val="000000"/>
                <w:sz w:val="20"/>
                <w:szCs w:val="20"/>
              </w:rPr>
              <w:t>To investigate air-pollution exposure and incident CKD and whether genetic risk modifies the association. Theme: environmental risk.</w:t>
            </w:r>
          </w:p>
        </w:tc>
      </w:tr>
      <w:tr w:rsidR="00773F15" w:rsidRPr="0080550A" w14:paraId="784F2458" w14:textId="77777777" w:rsidTr="008E3A72">
        <w:trPr>
          <w:jc w:val="center"/>
        </w:trPr>
        <w:tc>
          <w:tcPr>
            <w:tcW w:w="504" w:type="dxa"/>
          </w:tcPr>
          <w:p w14:paraId="0B8C0032" w14:textId="77777777" w:rsidR="00773F15" w:rsidRPr="0080550A" w:rsidRDefault="00773F15" w:rsidP="00462CB9">
            <w:pPr>
              <w:spacing w:after="0"/>
              <w:rPr>
                <w:rFonts w:cs="Arial"/>
                <w:sz w:val="20"/>
                <w:szCs w:val="20"/>
              </w:rPr>
            </w:pPr>
            <w:r w:rsidRPr="0080550A">
              <w:rPr>
                <w:rFonts w:cs="Arial"/>
                <w:b/>
                <w:color w:val="000000"/>
                <w:sz w:val="20"/>
                <w:szCs w:val="20"/>
              </w:rPr>
              <w:t>15</w:t>
            </w:r>
          </w:p>
        </w:tc>
        <w:tc>
          <w:tcPr>
            <w:tcW w:w="1656" w:type="dxa"/>
          </w:tcPr>
          <w:p w14:paraId="14F042BA" w14:textId="77777777" w:rsidR="00773F15" w:rsidRPr="0080550A" w:rsidRDefault="00773F15" w:rsidP="00462CB9">
            <w:pPr>
              <w:spacing w:after="0"/>
              <w:rPr>
                <w:rFonts w:cs="Arial"/>
                <w:sz w:val="20"/>
                <w:szCs w:val="20"/>
              </w:rPr>
            </w:pPr>
            <w:r w:rsidRPr="0080550A">
              <w:rPr>
                <w:rFonts w:cs="Arial"/>
                <w:b/>
                <w:color w:val="000000"/>
                <w:sz w:val="20"/>
                <w:szCs w:val="20"/>
              </w:rPr>
              <w:t>Zhang et al. (2023)</w:t>
            </w:r>
          </w:p>
        </w:tc>
        <w:tc>
          <w:tcPr>
            <w:tcW w:w="1800" w:type="dxa"/>
          </w:tcPr>
          <w:p w14:paraId="603C94C3" w14:textId="77777777" w:rsidR="00773F15" w:rsidRPr="0080550A" w:rsidRDefault="00773F15" w:rsidP="00462CB9">
            <w:pPr>
              <w:spacing w:after="0"/>
              <w:rPr>
                <w:rFonts w:cs="Arial"/>
                <w:sz w:val="20"/>
                <w:szCs w:val="20"/>
              </w:rPr>
            </w:pPr>
            <w:r w:rsidRPr="0080550A">
              <w:rPr>
                <w:rFonts w:cs="Arial"/>
                <w:color w:val="000000"/>
                <w:sz w:val="20"/>
                <w:szCs w:val="20"/>
              </w:rPr>
              <w:t>UK Biobank</w:t>
            </w:r>
          </w:p>
        </w:tc>
        <w:tc>
          <w:tcPr>
            <w:tcW w:w="1440" w:type="dxa"/>
          </w:tcPr>
          <w:p w14:paraId="0F23E9B7" w14:textId="77777777" w:rsidR="00773F15" w:rsidRPr="0080550A" w:rsidRDefault="00773F15" w:rsidP="00462CB9">
            <w:pPr>
              <w:spacing w:after="0"/>
              <w:rPr>
                <w:rFonts w:cs="Arial"/>
                <w:sz w:val="20"/>
                <w:szCs w:val="20"/>
              </w:rPr>
            </w:pPr>
            <w:r w:rsidRPr="0080550A">
              <w:rPr>
                <w:rFonts w:cs="Arial"/>
                <w:color w:val="000000"/>
                <w:sz w:val="20"/>
                <w:szCs w:val="20"/>
              </w:rPr>
              <w:t>Prospective cohort</w:t>
            </w:r>
          </w:p>
        </w:tc>
        <w:tc>
          <w:tcPr>
            <w:tcW w:w="3384" w:type="dxa"/>
          </w:tcPr>
          <w:p w14:paraId="6FC9C208" w14:textId="77777777" w:rsidR="00773F15" w:rsidRPr="0080550A" w:rsidRDefault="00773F15" w:rsidP="00462CB9">
            <w:pPr>
              <w:spacing w:after="0"/>
              <w:rPr>
                <w:rFonts w:cs="Arial"/>
                <w:sz w:val="20"/>
                <w:szCs w:val="20"/>
              </w:rPr>
            </w:pPr>
            <w:r w:rsidRPr="0080550A">
              <w:rPr>
                <w:rFonts w:cs="Arial"/>
                <w:color w:val="000000"/>
                <w:sz w:val="20"/>
                <w:szCs w:val="20"/>
              </w:rPr>
              <w:t>The questionnaire-based cohort included 448,444 CKD-free participants with genetic data; an accelerometer subcohort provided objective activity measurement.</w:t>
            </w:r>
          </w:p>
        </w:tc>
        <w:tc>
          <w:tcPr>
            <w:tcW w:w="3240" w:type="dxa"/>
          </w:tcPr>
          <w:p w14:paraId="2A25A1B9" w14:textId="77777777" w:rsidR="00773F15" w:rsidRPr="0080550A" w:rsidRDefault="00773F15" w:rsidP="00462CB9">
            <w:pPr>
              <w:spacing w:after="0"/>
              <w:rPr>
                <w:rFonts w:cs="Arial"/>
                <w:sz w:val="20"/>
                <w:szCs w:val="20"/>
              </w:rPr>
            </w:pPr>
            <w:r w:rsidRPr="0080550A">
              <w:rPr>
                <w:rFonts w:cs="Arial"/>
                <w:color w:val="000000"/>
                <w:sz w:val="20"/>
                <w:szCs w:val="20"/>
              </w:rPr>
              <w:t>International Physical Activity Questionnaire data, wrist accelerometry, genetic risk information and linked incident CKD outcomes.</w:t>
            </w:r>
          </w:p>
        </w:tc>
        <w:tc>
          <w:tcPr>
            <w:tcW w:w="3842" w:type="dxa"/>
          </w:tcPr>
          <w:p w14:paraId="00B9F095" w14:textId="1BC25F62" w:rsidR="00773F15" w:rsidRPr="0080550A" w:rsidRDefault="00773F15" w:rsidP="00462CB9">
            <w:pPr>
              <w:spacing w:after="0"/>
              <w:rPr>
                <w:rFonts w:cs="Arial"/>
                <w:sz w:val="20"/>
                <w:szCs w:val="20"/>
              </w:rPr>
            </w:pPr>
            <w:r w:rsidRPr="0080550A">
              <w:rPr>
                <w:rFonts w:cs="Arial"/>
                <w:color w:val="000000"/>
                <w:sz w:val="20"/>
                <w:szCs w:val="20"/>
              </w:rPr>
              <w:t>To</w:t>
            </w:r>
            <w:r w:rsidR="00041A40" w:rsidRPr="0080550A">
              <w:rPr>
                <w:rFonts w:cs="Arial"/>
                <w:color w:val="000000"/>
                <w:sz w:val="20"/>
                <w:szCs w:val="20"/>
              </w:rPr>
              <w:t xml:space="preserve"> </w:t>
            </w:r>
            <w:r w:rsidRPr="0080550A">
              <w:rPr>
                <w:rFonts w:cs="Arial"/>
                <w:color w:val="000000"/>
                <w:sz w:val="20"/>
                <w:szCs w:val="20"/>
              </w:rPr>
              <w:t>compare questionnaire- and accelerometer-based physical activity in relation to incident CKD. Theme: lifestyle and physical-activity risk.</w:t>
            </w:r>
          </w:p>
        </w:tc>
      </w:tr>
    </w:tbl>
    <w:p w14:paraId="0F324839" w14:textId="77777777" w:rsidR="00773F15" w:rsidRPr="00C07BB7" w:rsidRDefault="00773F15" w:rsidP="00462CB9">
      <w:pPr>
        <w:rPr>
          <w:rFonts w:cs="Arial"/>
        </w:rPr>
        <w:sectPr w:rsidR="00773F15" w:rsidRPr="00C07BB7" w:rsidSect="00991CD5">
          <w:type w:val="continuous"/>
          <w:pgSz w:w="16838" w:h="11906" w:orient="landscape" w:code="9"/>
          <w:pgMar w:top="1440" w:right="1800" w:bottom="1440" w:left="1800" w:header="720" w:footer="720" w:gutter="0"/>
          <w:cols w:space="720"/>
          <w:docGrid w:linePitch="360"/>
        </w:sectPr>
      </w:pPr>
    </w:p>
    <w:p w14:paraId="626DA7F9" w14:textId="7C6271F3" w:rsidR="00773F15" w:rsidRPr="002151EE" w:rsidRDefault="00773F15" w:rsidP="00462CB9">
      <w:pPr>
        <w:pStyle w:val="Heading2"/>
        <w:rPr>
          <w:rFonts w:cs="Arial"/>
          <w:sz w:val="28"/>
          <w:szCs w:val="28"/>
        </w:rPr>
      </w:pPr>
      <w:bookmarkStart w:id="126" w:name="_Toc240666929"/>
      <w:bookmarkStart w:id="127" w:name="_Toc241090903"/>
      <w:r w:rsidRPr="002151EE">
        <w:rPr>
          <w:rFonts w:cs="Arial"/>
          <w:sz w:val="28"/>
          <w:szCs w:val="28"/>
        </w:rPr>
        <w:t>4.5 Thematic Analysis of Findings</w:t>
      </w:r>
      <w:bookmarkEnd w:id="126"/>
      <w:bookmarkEnd w:id="127"/>
    </w:p>
    <w:p w14:paraId="23D1E4E2" w14:textId="77777777" w:rsidR="00773F15" w:rsidRPr="00C07BB7" w:rsidRDefault="00773F15" w:rsidP="00462CB9">
      <w:pPr>
        <w:rPr>
          <w:rFonts w:cs="Arial"/>
        </w:rPr>
      </w:pPr>
      <w:r w:rsidRPr="00C07BB7">
        <w:rPr>
          <w:rFonts w:cs="Arial"/>
        </w:rPr>
        <w:t>Findings from the 15 studies were analysed for patterns using thematic analysis. The process entailed familiarisation, initial coding, comparing related concepts, building themes, checking the coherence of themes and final definition. Coding was based on the research aims but flexible enough to allow for the opportunity to capture patterns across different designs. In terms of the burden, metabolic risk, lifestyle and emerging risk, diagnosis and risk stratification, pharmacological management, patient-centred management, and integrated care, seven themes were identified. CASP findings guided interpretation, and methodological quality was still apparent.</w:t>
      </w:r>
    </w:p>
    <w:p w14:paraId="46467B62" w14:textId="2F4FA698" w:rsidR="00773F15" w:rsidRPr="002151EE" w:rsidRDefault="00773F15" w:rsidP="00462CB9">
      <w:pPr>
        <w:pStyle w:val="Heading3"/>
        <w:rPr>
          <w:rFonts w:cs="Arial"/>
          <w:color w:val="auto"/>
        </w:rPr>
      </w:pPr>
      <w:bookmarkStart w:id="128" w:name="_Toc240666930"/>
      <w:bookmarkStart w:id="129" w:name="_Toc241090904"/>
      <w:r w:rsidRPr="002151EE">
        <w:rPr>
          <w:rFonts w:cs="Arial"/>
          <w:color w:val="auto"/>
        </w:rPr>
        <w:t>4.5.1 Theme 1: Epidemiology, Prevalence and Burden of CKD in</w:t>
      </w:r>
      <w:r w:rsidR="002D4B06">
        <w:rPr>
          <w:rFonts w:cs="Arial"/>
          <w:color w:val="auto"/>
        </w:rPr>
        <w:t xml:space="preserve"> </w:t>
      </w:r>
      <w:r w:rsidR="00A962FE">
        <w:rPr>
          <w:rFonts w:cs="Arial"/>
          <w:color w:val="auto"/>
        </w:rPr>
        <w:t>UK</w:t>
      </w:r>
      <w:r w:rsidRPr="002151EE">
        <w:rPr>
          <w:rFonts w:cs="Arial"/>
          <w:color w:val="auto"/>
        </w:rPr>
        <w:t xml:space="preserve"> Adults</w:t>
      </w:r>
      <w:bookmarkEnd w:id="128"/>
      <w:bookmarkEnd w:id="129"/>
    </w:p>
    <w:p w14:paraId="18F82ACE" w14:textId="54861019" w:rsidR="00773F15" w:rsidRPr="00C07BB7" w:rsidRDefault="00773F15" w:rsidP="00462CB9">
      <w:pPr>
        <w:rPr>
          <w:rFonts w:cs="Arial"/>
        </w:rPr>
      </w:pPr>
      <w:r w:rsidRPr="00C07BB7">
        <w:rPr>
          <w:rFonts w:cs="Arial"/>
        </w:rPr>
        <w:t xml:space="preserve">The first theme related to recognition and monitoring the burden of CKD, not prevalence. Neuen et al. (2021) noted that eGFR and albuminuria add to each other in predicting progression, and Stewart et al. (2026) found that KFRE was a useful tool for risk stratifying patients who are at greater risk of kidney failure. Sullivan et al. (2023) also suggested that risk-based referral criteria can change who is deemed to be appropriate for nephrology </w:t>
      </w:r>
      <w:r w:rsidR="00A962FE" w:rsidRPr="00C07BB7">
        <w:rPr>
          <w:rFonts w:cs="Arial"/>
        </w:rPr>
        <w:t>reviews</w:t>
      </w:r>
      <w:r w:rsidRPr="00C07BB7">
        <w:rPr>
          <w:rFonts w:cs="Arial"/>
        </w:rPr>
        <w:t xml:space="preserve">. </w:t>
      </w:r>
      <w:r w:rsidR="00E616DA" w:rsidRPr="00C07BB7">
        <w:rPr>
          <w:rFonts w:cs="Arial"/>
        </w:rPr>
        <w:t>Collectively, these findings indicate that CKD burden is partly shaped by surveillance and risk stratification within clinical care.</w:t>
      </w:r>
    </w:p>
    <w:p w14:paraId="038EF044" w14:textId="77777777" w:rsidR="00773F15" w:rsidRPr="002151EE" w:rsidRDefault="00773F15" w:rsidP="00462CB9">
      <w:pPr>
        <w:pStyle w:val="Heading3"/>
        <w:rPr>
          <w:rFonts w:cs="Arial"/>
          <w:color w:val="auto"/>
        </w:rPr>
      </w:pPr>
      <w:bookmarkStart w:id="130" w:name="_Toc240666931"/>
      <w:bookmarkStart w:id="131" w:name="_Toc241090905"/>
      <w:r w:rsidRPr="002151EE">
        <w:rPr>
          <w:rFonts w:cs="Arial"/>
          <w:color w:val="auto"/>
        </w:rPr>
        <w:t>4.5.2 Theme 2: Clinical and Metabolic Risk Factors</w:t>
      </w:r>
      <w:bookmarkEnd w:id="130"/>
      <w:bookmarkEnd w:id="131"/>
    </w:p>
    <w:p w14:paraId="1DA40280" w14:textId="5372207B" w:rsidR="00773F15" w:rsidRPr="00C07BB7" w:rsidRDefault="00773F15" w:rsidP="00462CB9">
      <w:pPr>
        <w:rPr>
          <w:rFonts w:cs="Arial"/>
        </w:rPr>
      </w:pPr>
      <w:r w:rsidRPr="00C07BB7">
        <w:rPr>
          <w:rFonts w:cs="Arial"/>
        </w:rPr>
        <w:t>The second theme revealed that the risk of CKD was perceived to be cumulative and interconnected. Tang et al. (2024</w:t>
      </w:r>
      <w:r w:rsidR="009259BE" w:rsidRPr="00C07BB7">
        <w:rPr>
          <w:rFonts w:cs="Arial"/>
        </w:rPr>
        <w:t>a</w:t>
      </w:r>
      <w:r w:rsidRPr="00C07BB7">
        <w:rPr>
          <w:rFonts w:cs="Arial"/>
        </w:rPr>
        <w:t>) demonstrated that clustered control of cardiometabolic factors, not single factors, was associated with obesity-related CKD. Neuen et al. (2021) also showed that the trajectory of kidney function must be viewed in conjunction with the trajectory of albuminuria. Forbes et al. (2024) introduced a management component, with the result that recognition of CKD will decide whether kidney-protective therapy is available. The pattern of the theme then corresponds to metabolic vulnerability, opportunity for monitoring and treatment. However, the relationship between these factors is observed, and the associations do not imply that changing any one of them alone should lead to the prevention of CKD.</w:t>
      </w:r>
    </w:p>
    <w:p w14:paraId="380098E8" w14:textId="77777777" w:rsidR="00773F15" w:rsidRPr="002151EE" w:rsidRDefault="00773F15" w:rsidP="00462CB9">
      <w:pPr>
        <w:pStyle w:val="Heading3"/>
        <w:rPr>
          <w:rFonts w:cs="Arial"/>
          <w:color w:val="auto"/>
        </w:rPr>
      </w:pPr>
      <w:bookmarkStart w:id="132" w:name="_Toc240666932"/>
      <w:bookmarkStart w:id="133" w:name="_Toc241090906"/>
      <w:r w:rsidRPr="002151EE">
        <w:rPr>
          <w:rFonts w:cs="Arial"/>
          <w:color w:val="auto"/>
        </w:rPr>
        <w:t>4.5.3 Theme 3: Lifestyle, Social and Emerging Risk Factors</w:t>
      </w:r>
      <w:bookmarkEnd w:id="132"/>
      <w:bookmarkEnd w:id="133"/>
    </w:p>
    <w:p w14:paraId="09F6BCCC" w14:textId="035E5C6E" w:rsidR="00773F15" w:rsidRPr="00C07BB7" w:rsidRDefault="00773F15" w:rsidP="00462CB9">
      <w:pPr>
        <w:rPr>
          <w:rFonts w:cs="Arial"/>
        </w:rPr>
      </w:pPr>
      <w:r w:rsidRPr="00C07BB7">
        <w:rPr>
          <w:rFonts w:cs="Arial"/>
        </w:rPr>
        <w:t>The third theme went beyond metabolic causes and extended to the risks of CKD. Heo et al. (2023) and Maroto-Rodriguez et al. (2025) found dietary patterns to be associated with incident CKD, whereas Zhang et al. (2023) found questionnaire and accelerometer measures of physical activity to be associated with reduced risks of incident CKD. Secondhand smoke was identified as a behavioural exposure by Lan et al (2023); air pollution was studied by Wang et al (2022); and psychiatric disorders as a psychosocial exposure by Li et al (2025). This convergence suggests that the risk of CKD is contained in the behaviour, social and environmental setting. Causal findings, however, are limited by the potential for residual confounding and limitations in exposure measurement, as well as by repeated use of</w:t>
      </w:r>
      <w:r w:rsidR="002D4B06">
        <w:rPr>
          <w:rFonts w:cs="Arial"/>
        </w:rPr>
        <w:t xml:space="preserve"> the</w:t>
      </w:r>
      <w:r w:rsidRPr="00C07BB7">
        <w:rPr>
          <w:rFonts w:cs="Arial"/>
        </w:rPr>
        <w:t xml:space="preserve"> UK Biobank data.</w:t>
      </w:r>
    </w:p>
    <w:p w14:paraId="59B5A0A5" w14:textId="77777777" w:rsidR="00773F15" w:rsidRPr="002151EE" w:rsidRDefault="00773F15" w:rsidP="00462CB9">
      <w:pPr>
        <w:pStyle w:val="Heading3"/>
        <w:rPr>
          <w:rFonts w:cs="Arial"/>
          <w:color w:val="auto"/>
        </w:rPr>
      </w:pPr>
      <w:bookmarkStart w:id="134" w:name="_Toc240666933"/>
      <w:bookmarkStart w:id="135" w:name="_Toc241090907"/>
      <w:r w:rsidRPr="002151EE">
        <w:rPr>
          <w:rFonts w:cs="Arial"/>
          <w:color w:val="auto"/>
        </w:rPr>
        <w:t>4.5.4 Theme 4: Diagnosis, Screening and Risk Stratification</w:t>
      </w:r>
      <w:bookmarkEnd w:id="134"/>
      <w:bookmarkEnd w:id="135"/>
    </w:p>
    <w:p w14:paraId="27E0BF2C" w14:textId="0E206293" w:rsidR="00773F15" w:rsidRPr="00C07BB7" w:rsidRDefault="00773F15" w:rsidP="00462CB9">
      <w:pPr>
        <w:rPr>
          <w:rFonts w:cs="Arial"/>
        </w:rPr>
      </w:pPr>
      <w:r w:rsidRPr="00C07BB7">
        <w:rPr>
          <w:rFonts w:cs="Arial"/>
        </w:rPr>
        <w:t xml:space="preserve">The fourth theme was diagnosis and risk stratification. Stewart et al. (2026) and Sullivan et al. (2023) demonstrated that KFRE, kidney-function estimates and albuminuria can be useful in prioritising and referring patients. Forbes et al. (2024) found that accurate recognition also influences treatment eligibility. Major et al. (2025) and Rizvi et al. (2024) demonstrated the action of clinical information on clinical decisions and how case finding and specialist input and multidisciplinary review can translate </w:t>
      </w:r>
      <w:r w:rsidR="00A962FE" w:rsidRPr="00C07BB7">
        <w:rPr>
          <w:rFonts w:cs="Arial"/>
        </w:rPr>
        <w:t>clinical</w:t>
      </w:r>
      <w:r w:rsidRPr="00C07BB7">
        <w:rPr>
          <w:rFonts w:cs="Arial"/>
        </w:rPr>
        <w:t xml:space="preserve"> information into clinical decisions. It is therefore suggested that the theme simply cannot be about risk tools alone, but rather about the capacity for testing, recording, interpretation and service as tools of risk.</w:t>
      </w:r>
    </w:p>
    <w:p w14:paraId="7412BDAB" w14:textId="77777777" w:rsidR="00773F15" w:rsidRPr="002151EE" w:rsidRDefault="00773F15" w:rsidP="00462CB9">
      <w:pPr>
        <w:pStyle w:val="Heading3"/>
        <w:rPr>
          <w:rFonts w:cs="Arial"/>
          <w:color w:val="auto"/>
        </w:rPr>
      </w:pPr>
      <w:bookmarkStart w:id="136" w:name="_Toc240666934"/>
      <w:bookmarkStart w:id="137" w:name="_Toc241090908"/>
      <w:r w:rsidRPr="002151EE">
        <w:rPr>
          <w:rFonts w:cs="Arial"/>
          <w:color w:val="auto"/>
        </w:rPr>
        <w:t>4.5.5 Theme 5: Pharmacological Management Strategies</w:t>
      </w:r>
      <w:bookmarkEnd w:id="136"/>
      <w:bookmarkEnd w:id="137"/>
    </w:p>
    <w:p w14:paraId="0E033C4A" w14:textId="77777777" w:rsidR="00773F15" w:rsidRPr="00C07BB7" w:rsidRDefault="00773F15" w:rsidP="00462CB9">
      <w:pPr>
        <w:rPr>
          <w:rFonts w:cs="Arial"/>
        </w:rPr>
      </w:pPr>
      <w:r w:rsidRPr="00C07BB7">
        <w:rPr>
          <w:rFonts w:cs="Arial"/>
        </w:rPr>
        <w:t>Use of the fifth theme primarily in terms of implementation, rather than comparative drug efficacy. Forbes et al. (2024) found that there is a disconnect between the eligibility criteria for SGLT2 guidelines and their routine use. Medication optimisation was included in integrated models, with case finding and specialist review and follow-up, by Major et al. (2025) and Rizvi et al. (2024). Pharmacological management will thus rely on evidence-based recommendations as well as systems that can identify and support eligible patients. Long-term comparative renal effectiveness tends to underperform in terms of elucidating barriers to implementation.</w:t>
      </w:r>
    </w:p>
    <w:p w14:paraId="2D2C9D67" w14:textId="77777777" w:rsidR="00773F15" w:rsidRPr="002151EE" w:rsidRDefault="00773F15" w:rsidP="00462CB9">
      <w:pPr>
        <w:pStyle w:val="Heading3"/>
        <w:rPr>
          <w:rFonts w:cs="Arial"/>
          <w:color w:val="auto"/>
        </w:rPr>
      </w:pPr>
      <w:bookmarkStart w:id="138" w:name="_Toc240666935"/>
      <w:bookmarkStart w:id="139" w:name="_Toc241090909"/>
      <w:r w:rsidRPr="002151EE">
        <w:rPr>
          <w:rFonts w:cs="Arial"/>
          <w:color w:val="auto"/>
        </w:rPr>
        <w:t>4.5.6 Theme 6: Lifestyle, Digital and Patient-Centred Management</w:t>
      </w:r>
      <w:bookmarkEnd w:id="138"/>
      <w:bookmarkEnd w:id="139"/>
    </w:p>
    <w:p w14:paraId="239F4CF0" w14:textId="30F385B7" w:rsidR="00773F15" w:rsidRPr="00C07BB7" w:rsidRDefault="00773F15" w:rsidP="00462CB9">
      <w:pPr>
        <w:rPr>
          <w:rFonts w:cs="Arial"/>
        </w:rPr>
      </w:pPr>
      <w:r w:rsidRPr="00C07BB7">
        <w:rPr>
          <w:rFonts w:cs="Arial"/>
        </w:rPr>
        <w:t>The sixth theme combined intervention evidence with patient experience. The study by Greenwood et al. (2024</w:t>
      </w:r>
      <w:r w:rsidR="00E849E9" w:rsidRPr="00C07BB7">
        <w:rPr>
          <w:rFonts w:cs="Arial"/>
        </w:rPr>
        <w:t>b</w:t>
      </w:r>
      <w:r w:rsidRPr="00C07BB7">
        <w:rPr>
          <w:rFonts w:cs="Arial"/>
        </w:rPr>
        <w:t xml:space="preserve">) was the best study to suggest </w:t>
      </w:r>
      <w:r w:rsidR="00A962FE" w:rsidRPr="00C07BB7">
        <w:rPr>
          <w:rFonts w:cs="Arial"/>
        </w:rPr>
        <w:t>the benefit</w:t>
      </w:r>
      <w:r w:rsidRPr="00C07BB7">
        <w:rPr>
          <w:rFonts w:cs="Arial"/>
        </w:rPr>
        <w:t xml:space="preserve"> of a structured digital physical-activity intervention to improve patient-centred outcomes for patients with CKD. Lightfoot et al. (2025) identified knowledge, confidence, symptoms, competing priorities and professional support as factors that </w:t>
      </w:r>
      <w:r w:rsidR="00A962FE" w:rsidRPr="00C07BB7">
        <w:rPr>
          <w:rFonts w:cs="Arial"/>
        </w:rPr>
        <w:t>underline</w:t>
      </w:r>
      <w:r w:rsidRPr="00C07BB7">
        <w:rPr>
          <w:rFonts w:cs="Arial"/>
        </w:rPr>
        <w:t xml:space="preserve"> self-management. Observational evidence was provided by Zhang et al. (2023) to support the connection between physical activity and reduced risk of CKD, but without this, the effect of treatment cannot be found. In combination, lifestyle management seems most convincing when patient capability is combined with behaviour support and is embedded in easy-to-reach care, rather than seen only in terms of individual responsibility.</w:t>
      </w:r>
    </w:p>
    <w:p w14:paraId="315768D5" w14:textId="77777777" w:rsidR="00773F15" w:rsidRPr="002151EE" w:rsidRDefault="00773F15" w:rsidP="00462CB9">
      <w:pPr>
        <w:pStyle w:val="Heading3"/>
        <w:rPr>
          <w:rFonts w:cs="Arial"/>
          <w:color w:val="auto"/>
        </w:rPr>
      </w:pPr>
      <w:bookmarkStart w:id="140" w:name="_Toc240666936"/>
      <w:bookmarkStart w:id="141" w:name="_Toc241090910"/>
      <w:r w:rsidRPr="002151EE">
        <w:rPr>
          <w:rFonts w:cs="Arial"/>
          <w:color w:val="auto"/>
        </w:rPr>
        <w:t>4.5.7 Theme 7: Integrated Care and Health-System Management</w:t>
      </w:r>
      <w:bookmarkEnd w:id="140"/>
      <w:bookmarkEnd w:id="141"/>
    </w:p>
    <w:p w14:paraId="015D7E76" w14:textId="77777777" w:rsidR="00773F15" w:rsidRPr="00C07BB7" w:rsidRDefault="00773F15" w:rsidP="00462CB9">
      <w:pPr>
        <w:rPr>
          <w:rFonts w:cs="Arial"/>
        </w:rPr>
      </w:pPr>
      <w:r w:rsidRPr="00C07BB7">
        <w:rPr>
          <w:rFonts w:cs="Arial"/>
        </w:rPr>
        <w:t>The final theme was integrated care. Major et al. (2025) outlined a pathway where the stages of case finding, risk stratification, education, multidisciplinary review and medicines optimisation are linked between primary and secondary care. A similar primary-care-based model with nephrology and pharmacist support was demonstrated by Rizvi et al. (2024). Forbes et al. (2024) and Sullivan et al. (2023) demonstrated that this is essential, as treatment and referral require accurate identification and interpretation of clinical information. These service evaluations were not nationally representative or randomised, however, and so cannot be assumed to be transferable to the NHS. The theme highlights the potential of integrated care as an organisational response, and context, implementation capacity and equity.</w:t>
      </w:r>
    </w:p>
    <w:p w14:paraId="7AC9287D" w14:textId="77777777" w:rsidR="00773F15" w:rsidRPr="002151EE" w:rsidRDefault="00773F15" w:rsidP="00462CB9">
      <w:pPr>
        <w:pStyle w:val="Heading2"/>
        <w:rPr>
          <w:rFonts w:cs="Arial"/>
          <w:sz w:val="28"/>
          <w:szCs w:val="28"/>
        </w:rPr>
      </w:pPr>
      <w:bookmarkStart w:id="142" w:name="_Toc240666937"/>
      <w:bookmarkStart w:id="143" w:name="_Toc241090911"/>
      <w:r w:rsidRPr="002151EE">
        <w:rPr>
          <w:rFonts w:cs="Arial"/>
          <w:sz w:val="28"/>
          <w:szCs w:val="28"/>
        </w:rPr>
        <w:t>4.6 Summary of Findings Against the Research Objectives</w:t>
      </w:r>
      <w:bookmarkEnd w:id="142"/>
      <w:bookmarkEnd w:id="143"/>
    </w:p>
    <w:p w14:paraId="12234963" w14:textId="66AC0F54" w:rsidR="00773F15" w:rsidRPr="00C07BB7" w:rsidRDefault="00A55CDB" w:rsidP="00462CB9">
      <w:pPr>
        <w:rPr>
          <w:rFonts w:cs="Arial"/>
        </w:rPr>
      </w:pPr>
      <w:r w:rsidRPr="00C07BB7">
        <w:rPr>
          <w:rFonts w:cs="Arial"/>
          <w:color w:val="000000" w:themeColor="text1"/>
        </w:rPr>
        <w:t>The thematic analysis tackled the first objective by identifying that the burden of CKD among</w:t>
      </w:r>
      <w:r w:rsidR="002D4B06">
        <w:rPr>
          <w:rFonts w:cs="Arial"/>
          <w:color w:val="000000" w:themeColor="text1"/>
        </w:rPr>
        <w:t xml:space="preserve"> the</w:t>
      </w:r>
      <w:r w:rsidRPr="00C07BB7">
        <w:rPr>
          <w:rFonts w:cs="Arial"/>
          <w:color w:val="000000" w:themeColor="text1"/>
        </w:rPr>
        <w:t xml:space="preserve"> UK adults is not only in terms of prevalence, but also in terms of disease progression, kidney-function assessment, monitoring of albuminuria and risk stratification. </w:t>
      </w:r>
      <w:r w:rsidR="00773F15" w:rsidRPr="00C07BB7">
        <w:rPr>
          <w:rFonts w:cs="Arial"/>
          <w:color w:val="000000" w:themeColor="text1"/>
        </w:rPr>
        <w:t xml:space="preserve">Neuen </w:t>
      </w:r>
      <w:r w:rsidR="00773F15" w:rsidRPr="00C07BB7">
        <w:rPr>
          <w:rFonts w:cs="Arial"/>
        </w:rPr>
        <w:t xml:space="preserve">et al. (2021), Stewart et al. (2026) and Sullivan et al. (2023) demonstrate that progression, kidney-function assessment, measurement of albuminuria and risk stratification are all key elements to identifying higher-risk patients. </w:t>
      </w:r>
      <w:r w:rsidR="00A84AF7" w:rsidRPr="00C07BB7">
        <w:rPr>
          <w:rFonts w:cs="Arial"/>
        </w:rPr>
        <w:t>No nationally representative prevalence study was included in the final evidence set</w:t>
      </w:r>
      <w:r w:rsidR="00773F15" w:rsidRPr="00C07BB7">
        <w:rPr>
          <w:rFonts w:cs="Arial"/>
        </w:rPr>
        <w:t>, which makes conclusions based on the population difficult.</w:t>
      </w:r>
    </w:p>
    <w:p w14:paraId="6EC31149" w14:textId="0259E982" w:rsidR="00773F15" w:rsidRPr="00C07BB7" w:rsidRDefault="00A55CDB" w:rsidP="00462CB9">
      <w:pPr>
        <w:rPr>
          <w:rFonts w:cs="Arial"/>
        </w:rPr>
      </w:pPr>
      <w:r w:rsidRPr="00C07BB7">
        <w:rPr>
          <w:rFonts w:cs="Arial"/>
          <w:color w:val="000000" w:themeColor="text1"/>
        </w:rPr>
        <w:t xml:space="preserve">The second research objective was fulfilled as thematic analysis highlighted the multidimensional nature of CKD risk, which aimed to identify cardiometabolic, dietary, behavioural, psychosocial and environmental determinants. </w:t>
      </w:r>
      <w:r w:rsidR="00773F15" w:rsidRPr="00C07BB7">
        <w:rPr>
          <w:rFonts w:cs="Arial"/>
          <w:color w:val="000000" w:themeColor="text1"/>
        </w:rPr>
        <w:t>However</w:t>
      </w:r>
      <w:r w:rsidR="00773F15" w:rsidRPr="00C07BB7">
        <w:rPr>
          <w:rFonts w:cs="Arial"/>
        </w:rPr>
        <w:t>, the associations are based on the majority of observational UK Biobank data and cannot prove causality.</w:t>
      </w:r>
    </w:p>
    <w:p w14:paraId="4C7B11CF" w14:textId="5B72B1CD" w:rsidR="00773F15" w:rsidRPr="00C07BB7" w:rsidRDefault="00773F15" w:rsidP="00462CB9">
      <w:pPr>
        <w:rPr>
          <w:rFonts w:cs="Arial"/>
        </w:rPr>
      </w:pPr>
      <w:r w:rsidRPr="00C07BB7">
        <w:rPr>
          <w:rFonts w:cs="Arial"/>
        </w:rPr>
        <w:t>Linking the identification of risk, treatment, self-management and service integration are key to effective CKD management for Objective 3. The recommendations for digital intervention, patient-centred support, medicines optimisation and integrated care are supported by the following: Greenwood et al. (2024</w:t>
      </w:r>
      <w:r w:rsidR="00096A82" w:rsidRPr="00C07BB7">
        <w:rPr>
          <w:rFonts w:cs="Arial"/>
        </w:rPr>
        <w:t>b</w:t>
      </w:r>
      <w:r w:rsidRPr="00C07BB7">
        <w:rPr>
          <w:rFonts w:cs="Arial"/>
        </w:rPr>
        <w:t>); Lightfoot et al. (2025); Forbes et al. (2024); Major et al. (2025); Rizvi et al. (2024). There are few trials in the UK that evaluate long-term effectiveness.</w:t>
      </w:r>
    </w:p>
    <w:p w14:paraId="28670872" w14:textId="77777777" w:rsidR="00773F15" w:rsidRPr="00E832C8" w:rsidRDefault="00773F15" w:rsidP="00462CB9">
      <w:pPr>
        <w:rPr>
          <w:rFonts w:cs="Arial"/>
          <w:sz w:val="24"/>
          <w:szCs w:val="24"/>
        </w:rPr>
      </w:pPr>
      <w:r w:rsidRPr="00E832C8">
        <w:rPr>
          <w:rFonts w:cs="Arial"/>
          <w:b/>
          <w:bCs/>
          <w:sz w:val="24"/>
          <w:szCs w:val="24"/>
        </w:rPr>
        <w:t>Table 4.3.</w:t>
      </w:r>
      <w:r w:rsidRPr="00E832C8">
        <w:rPr>
          <w:rFonts w:cs="Arial"/>
          <w:sz w:val="24"/>
          <w:szCs w:val="24"/>
        </w:rPr>
        <w:t xml:space="preserve"> Summary of Thematic Findings Against the Research Objectives</w:t>
      </w:r>
    </w:p>
    <w:tbl>
      <w:tblPr>
        <w:tblStyle w:val="TableGrid"/>
        <w:tblW w:w="0" w:type="auto"/>
        <w:tblLook w:val="04A0" w:firstRow="1" w:lastRow="0" w:firstColumn="1" w:lastColumn="0" w:noHBand="0" w:noVBand="1"/>
      </w:tblPr>
      <w:tblGrid>
        <w:gridCol w:w="1655"/>
        <w:gridCol w:w="1909"/>
        <w:gridCol w:w="2217"/>
        <w:gridCol w:w="1149"/>
        <w:gridCol w:w="1592"/>
      </w:tblGrid>
      <w:tr w:rsidR="00773F15" w:rsidRPr="00212C0F" w14:paraId="7CF94DCE" w14:textId="77777777" w:rsidTr="00334B0F">
        <w:tc>
          <w:tcPr>
            <w:tcW w:w="0" w:type="auto"/>
            <w:hideMark/>
          </w:tcPr>
          <w:p w14:paraId="13BBB384" w14:textId="77777777" w:rsidR="00773F15" w:rsidRPr="00212C0F" w:rsidRDefault="00773F15" w:rsidP="00462CB9">
            <w:pPr>
              <w:rPr>
                <w:rFonts w:cs="Arial"/>
                <w:b/>
                <w:bCs/>
                <w:sz w:val="20"/>
                <w:szCs w:val="20"/>
              </w:rPr>
            </w:pPr>
            <w:r w:rsidRPr="00212C0F">
              <w:rPr>
                <w:rFonts w:cs="Arial"/>
                <w:b/>
                <w:bCs/>
                <w:sz w:val="20"/>
                <w:szCs w:val="20"/>
              </w:rPr>
              <w:t>Research objective</w:t>
            </w:r>
          </w:p>
        </w:tc>
        <w:tc>
          <w:tcPr>
            <w:tcW w:w="0" w:type="auto"/>
            <w:hideMark/>
          </w:tcPr>
          <w:p w14:paraId="22E287FA" w14:textId="77777777" w:rsidR="00773F15" w:rsidRPr="00212C0F" w:rsidRDefault="00773F15" w:rsidP="00462CB9">
            <w:pPr>
              <w:rPr>
                <w:rFonts w:cs="Arial"/>
                <w:b/>
                <w:bCs/>
                <w:sz w:val="20"/>
                <w:szCs w:val="20"/>
              </w:rPr>
            </w:pPr>
            <w:r w:rsidRPr="00212C0F">
              <w:rPr>
                <w:rFonts w:cs="Arial"/>
                <w:b/>
                <w:bCs/>
                <w:sz w:val="20"/>
                <w:szCs w:val="20"/>
              </w:rPr>
              <w:t>Principal studies</w:t>
            </w:r>
          </w:p>
        </w:tc>
        <w:tc>
          <w:tcPr>
            <w:tcW w:w="0" w:type="auto"/>
            <w:hideMark/>
          </w:tcPr>
          <w:p w14:paraId="67873E10" w14:textId="77777777" w:rsidR="00773F15" w:rsidRPr="00212C0F" w:rsidRDefault="00773F15" w:rsidP="00462CB9">
            <w:pPr>
              <w:rPr>
                <w:rFonts w:cs="Arial"/>
                <w:b/>
                <w:bCs/>
                <w:sz w:val="20"/>
                <w:szCs w:val="20"/>
              </w:rPr>
            </w:pPr>
            <w:r w:rsidRPr="00212C0F">
              <w:rPr>
                <w:rFonts w:cs="Arial"/>
                <w:b/>
                <w:bCs/>
                <w:sz w:val="20"/>
                <w:szCs w:val="20"/>
              </w:rPr>
              <w:t>Key thematic finding</w:t>
            </w:r>
          </w:p>
        </w:tc>
        <w:tc>
          <w:tcPr>
            <w:tcW w:w="0" w:type="auto"/>
            <w:hideMark/>
          </w:tcPr>
          <w:p w14:paraId="4A64C726" w14:textId="77777777" w:rsidR="00773F15" w:rsidRPr="00212C0F" w:rsidRDefault="00773F15" w:rsidP="00462CB9">
            <w:pPr>
              <w:rPr>
                <w:rFonts w:cs="Arial"/>
                <w:b/>
                <w:bCs/>
                <w:sz w:val="20"/>
                <w:szCs w:val="20"/>
              </w:rPr>
            </w:pPr>
            <w:r w:rsidRPr="00212C0F">
              <w:rPr>
                <w:rFonts w:cs="Arial"/>
                <w:b/>
                <w:bCs/>
                <w:sz w:val="20"/>
                <w:szCs w:val="20"/>
              </w:rPr>
              <w:t>Strength</w:t>
            </w:r>
          </w:p>
        </w:tc>
        <w:tc>
          <w:tcPr>
            <w:tcW w:w="0" w:type="auto"/>
            <w:hideMark/>
          </w:tcPr>
          <w:p w14:paraId="1738E6C2" w14:textId="77777777" w:rsidR="00773F15" w:rsidRPr="00212C0F" w:rsidRDefault="00773F15" w:rsidP="00462CB9">
            <w:pPr>
              <w:rPr>
                <w:rFonts w:cs="Arial"/>
                <w:b/>
                <w:bCs/>
                <w:sz w:val="20"/>
                <w:szCs w:val="20"/>
              </w:rPr>
            </w:pPr>
            <w:r w:rsidRPr="00212C0F">
              <w:rPr>
                <w:rFonts w:cs="Arial"/>
                <w:b/>
                <w:bCs/>
                <w:sz w:val="20"/>
                <w:szCs w:val="20"/>
              </w:rPr>
              <w:t>Main limitation</w:t>
            </w:r>
          </w:p>
        </w:tc>
      </w:tr>
      <w:tr w:rsidR="00773F15" w:rsidRPr="00212C0F" w14:paraId="53F1EAD7" w14:textId="77777777" w:rsidTr="00334B0F">
        <w:tc>
          <w:tcPr>
            <w:tcW w:w="0" w:type="auto"/>
            <w:hideMark/>
          </w:tcPr>
          <w:p w14:paraId="032AD3EC" w14:textId="45AD7230" w:rsidR="00773F15" w:rsidRPr="00212C0F" w:rsidRDefault="00773F15" w:rsidP="00462CB9">
            <w:pPr>
              <w:rPr>
                <w:rFonts w:cs="Arial"/>
                <w:sz w:val="20"/>
                <w:szCs w:val="20"/>
              </w:rPr>
            </w:pPr>
            <w:r w:rsidRPr="00212C0F">
              <w:rPr>
                <w:rFonts w:cs="Arial"/>
                <w:sz w:val="20"/>
                <w:szCs w:val="20"/>
              </w:rPr>
              <w:t>Objective</w:t>
            </w:r>
            <w:r w:rsidR="00DE232F">
              <w:rPr>
                <w:rFonts w:cs="Arial"/>
                <w:sz w:val="20"/>
                <w:szCs w:val="20"/>
              </w:rPr>
              <w:t xml:space="preserve"> </w:t>
            </w:r>
            <w:r w:rsidRPr="00212C0F">
              <w:rPr>
                <w:rFonts w:cs="Arial"/>
                <w:sz w:val="20"/>
                <w:szCs w:val="20"/>
              </w:rPr>
              <w:t>1: Epidemiology, distribution and burden</w:t>
            </w:r>
          </w:p>
        </w:tc>
        <w:tc>
          <w:tcPr>
            <w:tcW w:w="0" w:type="auto"/>
            <w:hideMark/>
          </w:tcPr>
          <w:p w14:paraId="1D10B06C" w14:textId="77777777" w:rsidR="00773F15" w:rsidRPr="00212C0F" w:rsidRDefault="00773F15" w:rsidP="00462CB9">
            <w:pPr>
              <w:jc w:val="center"/>
              <w:rPr>
                <w:rFonts w:cs="Arial"/>
                <w:sz w:val="20"/>
                <w:szCs w:val="20"/>
              </w:rPr>
            </w:pPr>
            <w:r w:rsidRPr="00212C0F">
              <w:rPr>
                <w:rFonts w:cs="Arial"/>
                <w:sz w:val="20"/>
                <w:szCs w:val="20"/>
              </w:rPr>
              <w:t>Neuen et al. (2021); Stewart et al. (2026); Sullivan et al. (2023)</w:t>
            </w:r>
          </w:p>
        </w:tc>
        <w:tc>
          <w:tcPr>
            <w:tcW w:w="0" w:type="auto"/>
            <w:hideMark/>
          </w:tcPr>
          <w:p w14:paraId="244CCEBE" w14:textId="77777777" w:rsidR="00773F15" w:rsidRPr="00212C0F" w:rsidRDefault="00773F15" w:rsidP="00462CB9">
            <w:pPr>
              <w:jc w:val="center"/>
              <w:rPr>
                <w:rFonts w:cs="Arial"/>
                <w:sz w:val="20"/>
                <w:szCs w:val="20"/>
              </w:rPr>
            </w:pPr>
            <w:r w:rsidRPr="00212C0F">
              <w:rPr>
                <w:rFonts w:cs="Arial"/>
                <w:sz w:val="20"/>
                <w:szCs w:val="20"/>
              </w:rPr>
              <w:t>Progression, monitoring and risk stratification define burden.</w:t>
            </w:r>
          </w:p>
        </w:tc>
        <w:tc>
          <w:tcPr>
            <w:tcW w:w="0" w:type="auto"/>
            <w:hideMark/>
          </w:tcPr>
          <w:p w14:paraId="31A41FA6" w14:textId="77777777" w:rsidR="00773F15" w:rsidRPr="00212C0F" w:rsidRDefault="00773F15" w:rsidP="00462CB9">
            <w:pPr>
              <w:jc w:val="center"/>
              <w:rPr>
                <w:rFonts w:cs="Arial"/>
                <w:sz w:val="20"/>
                <w:szCs w:val="20"/>
              </w:rPr>
            </w:pPr>
            <w:r w:rsidRPr="00212C0F">
              <w:rPr>
                <w:rFonts w:cs="Arial"/>
                <w:sz w:val="20"/>
                <w:szCs w:val="20"/>
              </w:rPr>
              <w:t>Moderate-high</w:t>
            </w:r>
          </w:p>
        </w:tc>
        <w:tc>
          <w:tcPr>
            <w:tcW w:w="0" w:type="auto"/>
            <w:hideMark/>
          </w:tcPr>
          <w:p w14:paraId="005EE7DE" w14:textId="77777777" w:rsidR="00773F15" w:rsidRPr="00212C0F" w:rsidRDefault="00773F15" w:rsidP="00462CB9">
            <w:pPr>
              <w:jc w:val="center"/>
              <w:rPr>
                <w:rFonts w:cs="Arial"/>
                <w:sz w:val="20"/>
                <w:szCs w:val="20"/>
              </w:rPr>
            </w:pPr>
            <w:r w:rsidRPr="00212C0F">
              <w:rPr>
                <w:rFonts w:cs="Arial"/>
                <w:sz w:val="20"/>
                <w:szCs w:val="20"/>
              </w:rPr>
              <w:t>No national prevalence study.</w:t>
            </w:r>
          </w:p>
        </w:tc>
      </w:tr>
      <w:tr w:rsidR="00773F15" w:rsidRPr="00212C0F" w14:paraId="230AE96F" w14:textId="77777777" w:rsidTr="00334B0F">
        <w:tc>
          <w:tcPr>
            <w:tcW w:w="0" w:type="auto"/>
            <w:hideMark/>
          </w:tcPr>
          <w:p w14:paraId="02CB26FB" w14:textId="77777777" w:rsidR="00773F15" w:rsidRPr="00212C0F" w:rsidRDefault="00773F15" w:rsidP="00462CB9">
            <w:pPr>
              <w:rPr>
                <w:rFonts w:cs="Arial"/>
                <w:sz w:val="20"/>
                <w:szCs w:val="20"/>
              </w:rPr>
            </w:pPr>
            <w:r w:rsidRPr="00212C0F">
              <w:rPr>
                <w:rFonts w:cs="Arial"/>
                <w:sz w:val="20"/>
                <w:szCs w:val="20"/>
              </w:rPr>
              <w:t>Objective 2: Risk factors</w:t>
            </w:r>
          </w:p>
        </w:tc>
        <w:tc>
          <w:tcPr>
            <w:tcW w:w="0" w:type="auto"/>
            <w:hideMark/>
          </w:tcPr>
          <w:p w14:paraId="46A32A20" w14:textId="5C54F9C1" w:rsidR="00773F15" w:rsidRPr="00212C0F" w:rsidRDefault="00773F15" w:rsidP="00462CB9">
            <w:pPr>
              <w:jc w:val="center"/>
              <w:rPr>
                <w:rFonts w:cs="Arial"/>
                <w:sz w:val="20"/>
                <w:szCs w:val="20"/>
              </w:rPr>
            </w:pPr>
            <w:r w:rsidRPr="00212C0F">
              <w:rPr>
                <w:rFonts w:cs="Arial"/>
                <w:sz w:val="20"/>
                <w:szCs w:val="20"/>
              </w:rPr>
              <w:t>Tang et al. (2024</w:t>
            </w:r>
            <w:r w:rsidR="009259BE" w:rsidRPr="00212C0F">
              <w:rPr>
                <w:rFonts w:cs="Arial"/>
                <w:sz w:val="20"/>
                <w:szCs w:val="20"/>
              </w:rPr>
              <w:t>a</w:t>
            </w:r>
            <w:r w:rsidRPr="00212C0F">
              <w:rPr>
                <w:rFonts w:cs="Arial"/>
                <w:sz w:val="20"/>
                <w:szCs w:val="20"/>
              </w:rPr>
              <w:t>); Heo et al. (2023); Maroto-Rodriguez et al. (2025); Lan et al. (2023); Li et al. (2025); Wang et al. (2022); Zhang et al. (2023)</w:t>
            </w:r>
          </w:p>
        </w:tc>
        <w:tc>
          <w:tcPr>
            <w:tcW w:w="0" w:type="auto"/>
            <w:hideMark/>
          </w:tcPr>
          <w:p w14:paraId="7C93D747" w14:textId="77777777" w:rsidR="00773F15" w:rsidRPr="00212C0F" w:rsidRDefault="00773F15" w:rsidP="00462CB9">
            <w:pPr>
              <w:jc w:val="center"/>
              <w:rPr>
                <w:rFonts w:cs="Arial"/>
                <w:sz w:val="20"/>
                <w:szCs w:val="20"/>
              </w:rPr>
            </w:pPr>
            <w:r w:rsidRPr="00212C0F">
              <w:rPr>
                <w:rFonts w:cs="Arial"/>
                <w:sz w:val="20"/>
                <w:szCs w:val="20"/>
              </w:rPr>
              <w:t>Risk is multidimensional.</w:t>
            </w:r>
          </w:p>
        </w:tc>
        <w:tc>
          <w:tcPr>
            <w:tcW w:w="0" w:type="auto"/>
            <w:hideMark/>
          </w:tcPr>
          <w:p w14:paraId="4EB6C4D7" w14:textId="77777777" w:rsidR="00773F15" w:rsidRPr="00212C0F" w:rsidRDefault="00773F15" w:rsidP="00462CB9">
            <w:pPr>
              <w:jc w:val="center"/>
              <w:rPr>
                <w:rFonts w:cs="Arial"/>
                <w:sz w:val="20"/>
                <w:szCs w:val="20"/>
              </w:rPr>
            </w:pPr>
            <w:r w:rsidRPr="00212C0F">
              <w:rPr>
                <w:rFonts w:cs="Arial"/>
                <w:sz w:val="20"/>
                <w:szCs w:val="20"/>
              </w:rPr>
              <w:t>Moderate</w:t>
            </w:r>
          </w:p>
        </w:tc>
        <w:tc>
          <w:tcPr>
            <w:tcW w:w="0" w:type="auto"/>
            <w:hideMark/>
          </w:tcPr>
          <w:p w14:paraId="54AA444C" w14:textId="77777777" w:rsidR="00773F15" w:rsidRPr="00212C0F" w:rsidRDefault="00773F15" w:rsidP="00462CB9">
            <w:pPr>
              <w:jc w:val="center"/>
              <w:rPr>
                <w:rFonts w:cs="Arial"/>
                <w:sz w:val="20"/>
                <w:szCs w:val="20"/>
              </w:rPr>
            </w:pPr>
            <w:r w:rsidRPr="00212C0F">
              <w:rPr>
                <w:rFonts w:cs="Arial"/>
                <w:sz w:val="20"/>
                <w:szCs w:val="20"/>
              </w:rPr>
              <w:t>Observational evidence restricts causality.</w:t>
            </w:r>
          </w:p>
        </w:tc>
      </w:tr>
      <w:tr w:rsidR="00773F15" w:rsidRPr="00212C0F" w14:paraId="25BD5C5B" w14:textId="77777777" w:rsidTr="00334B0F">
        <w:tc>
          <w:tcPr>
            <w:tcW w:w="0" w:type="auto"/>
            <w:hideMark/>
          </w:tcPr>
          <w:p w14:paraId="74AA0849" w14:textId="77777777" w:rsidR="00773F15" w:rsidRPr="00212C0F" w:rsidRDefault="00773F15" w:rsidP="00462CB9">
            <w:pPr>
              <w:rPr>
                <w:rFonts w:cs="Arial"/>
                <w:sz w:val="20"/>
                <w:szCs w:val="20"/>
              </w:rPr>
            </w:pPr>
            <w:r w:rsidRPr="00212C0F">
              <w:rPr>
                <w:rFonts w:cs="Arial"/>
                <w:sz w:val="20"/>
                <w:szCs w:val="20"/>
              </w:rPr>
              <w:t>Objective 3: Management strategies</w:t>
            </w:r>
          </w:p>
        </w:tc>
        <w:tc>
          <w:tcPr>
            <w:tcW w:w="0" w:type="auto"/>
            <w:hideMark/>
          </w:tcPr>
          <w:p w14:paraId="3A0CC4DE" w14:textId="267F7191" w:rsidR="00773F15" w:rsidRPr="00212C0F" w:rsidRDefault="00773F15" w:rsidP="00462CB9">
            <w:pPr>
              <w:jc w:val="center"/>
              <w:rPr>
                <w:rFonts w:cs="Arial"/>
                <w:sz w:val="20"/>
                <w:szCs w:val="20"/>
              </w:rPr>
            </w:pPr>
            <w:r w:rsidRPr="00212C0F">
              <w:rPr>
                <w:rFonts w:cs="Arial"/>
                <w:sz w:val="20"/>
                <w:szCs w:val="20"/>
              </w:rPr>
              <w:t>Forbes et al. (2024); Greenwood et al. (2024</w:t>
            </w:r>
            <w:r w:rsidR="007E3213" w:rsidRPr="00212C0F">
              <w:rPr>
                <w:rFonts w:cs="Arial"/>
                <w:sz w:val="20"/>
                <w:szCs w:val="20"/>
              </w:rPr>
              <w:t>b</w:t>
            </w:r>
            <w:r w:rsidRPr="00212C0F">
              <w:rPr>
                <w:rFonts w:cs="Arial"/>
                <w:sz w:val="20"/>
                <w:szCs w:val="20"/>
              </w:rPr>
              <w:t>); Lightfoot et al. (2025); Major et al. (2025); Rizvi et al. (2024)</w:t>
            </w:r>
          </w:p>
        </w:tc>
        <w:tc>
          <w:tcPr>
            <w:tcW w:w="0" w:type="auto"/>
            <w:hideMark/>
          </w:tcPr>
          <w:p w14:paraId="16E9454E" w14:textId="77777777" w:rsidR="00773F15" w:rsidRPr="00212C0F" w:rsidRDefault="00773F15" w:rsidP="00462CB9">
            <w:pPr>
              <w:jc w:val="center"/>
              <w:rPr>
                <w:rFonts w:cs="Arial"/>
                <w:sz w:val="20"/>
                <w:szCs w:val="20"/>
              </w:rPr>
            </w:pPr>
            <w:r w:rsidRPr="00212C0F">
              <w:rPr>
                <w:rFonts w:cs="Arial"/>
                <w:sz w:val="20"/>
                <w:szCs w:val="20"/>
              </w:rPr>
              <w:t>Management combines identification, education, digital support, medicines optimisation and integrated care.</w:t>
            </w:r>
          </w:p>
        </w:tc>
        <w:tc>
          <w:tcPr>
            <w:tcW w:w="0" w:type="auto"/>
            <w:hideMark/>
          </w:tcPr>
          <w:p w14:paraId="0E146DD9" w14:textId="77777777" w:rsidR="00773F15" w:rsidRPr="00212C0F" w:rsidRDefault="00773F15" w:rsidP="00462CB9">
            <w:pPr>
              <w:jc w:val="center"/>
              <w:rPr>
                <w:rFonts w:cs="Arial"/>
                <w:sz w:val="20"/>
                <w:szCs w:val="20"/>
              </w:rPr>
            </w:pPr>
            <w:r w:rsidRPr="00212C0F">
              <w:rPr>
                <w:rFonts w:cs="Arial"/>
                <w:sz w:val="20"/>
                <w:szCs w:val="20"/>
              </w:rPr>
              <w:t>Mixed</w:t>
            </w:r>
          </w:p>
        </w:tc>
        <w:tc>
          <w:tcPr>
            <w:tcW w:w="0" w:type="auto"/>
            <w:hideMark/>
          </w:tcPr>
          <w:p w14:paraId="40C6CD43" w14:textId="77777777" w:rsidR="00773F15" w:rsidRPr="00212C0F" w:rsidRDefault="00773F15" w:rsidP="00462CB9">
            <w:pPr>
              <w:jc w:val="center"/>
              <w:rPr>
                <w:rFonts w:cs="Arial"/>
                <w:sz w:val="20"/>
                <w:szCs w:val="20"/>
              </w:rPr>
            </w:pPr>
            <w:r w:rsidRPr="00212C0F">
              <w:rPr>
                <w:rFonts w:cs="Arial"/>
                <w:sz w:val="20"/>
                <w:szCs w:val="20"/>
              </w:rPr>
              <w:t>Limited comparative trials.</w:t>
            </w:r>
          </w:p>
        </w:tc>
      </w:tr>
    </w:tbl>
    <w:p w14:paraId="0FB5263F" w14:textId="77777777" w:rsidR="00E832C8" w:rsidRPr="00E832C8" w:rsidRDefault="00E832C8" w:rsidP="00E832C8"/>
    <w:p w14:paraId="6C8CE0CE" w14:textId="71B03383" w:rsidR="00773F15" w:rsidRPr="00C07BB7" w:rsidRDefault="00773F15" w:rsidP="00C875E5">
      <w:pPr>
        <w:pStyle w:val="Heading2"/>
        <w:spacing w:before="0"/>
        <w:rPr>
          <w:rFonts w:cs="Arial"/>
        </w:rPr>
      </w:pPr>
      <w:bookmarkStart w:id="144" w:name="_Toc241090912"/>
      <w:r w:rsidRPr="00C07BB7">
        <w:rPr>
          <w:rFonts w:cs="Arial"/>
        </w:rPr>
        <w:t xml:space="preserve">4.7 Chapter </w:t>
      </w:r>
      <w:r w:rsidRPr="002A6DBB">
        <w:rPr>
          <w:rFonts w:cs="Arial"/>
          <w:sz w:val="28"/>
          <w:szCs w:val="28"/>
        </w:rPr>
        <w:t>Summary</w:t>
      </w:r>
      <w:bookmarkEnd w:id="144"/>
    </w:p>
    <w:p w14:paraId="41610C79" w14:textId="462C070B" w:rsidR="00E40F61" w:rsidRDefault="00773F15" w:rsidP="00462CB9">
      <w:pPr>
        <w:rPr>
          <w:rFonts w:cs="Arial"/>
        </w:rPr>
      </w:pPr>
      <w:r w:rsidRPr="00C07BB7">
        <w:rPr>
          <w:rFonts w:cs="Arial"/>
        </w:rPr>
        <w:t>Chapter Four shows that there are interdependent clinical, behavioural, psychosocial, environmental and organisational factors that influence the risk of CKD and how it is managed in adults in the UK. Themes were identified through patterns in the data that recognition, monitoring and management are dependent upon each other. There is still a lack of intervention evidence on lifestyle and environmental findings apart, where they used a randomised design. Without being able to identify the accurate treatment, patient support, and coordinated services, treatment recommendations do not constitute a treatment. The results are used to interpret the themes within existing literature, the Health Belief Model and implications for UK public health and NHS practice, as presented in Chapter Five.</w:t>
      </w:r>
      <w:r w:rsidR="002A6DBB">
        <w:rPr>
          <w:rFonts w:cs="Arial"/>
        </w:rPr>
        <w:t xml:space="preserve"> </w:t>
      </w:r>
    </w:p>
    <w:p w14:paraId="66868240" w14:textId="2C7CC00D" w:rsidR="002A6DBB" w:rsidRDefault="002A6DBB">
      <w:pPr>
        <w:spacing w:after="200" w:line="276" w:lineRule="auto"/>
        <w:jc w:val="left"/>
        <w:rPr>
          <w:rFonts w:cs="Arial"/>
        </w:rPr>
      </w:pPr>
      <w:r>
        <w:rPr>
          <w:rFonts w:cs="Arial"/>
        </w:rPr>
        <w:br w:type="page"/>
      </w:r>
    </w:p>
    <w:p w14:paraId="13AD395E" w14:textId="1EFFE655" w:rsidR="00E40F61" w:rsidRPr="00C07BB7" w:rsidRDefault="00E40F61" w:rsidP="002A6DBB">
      <w:pPr>
        <w:pStyle w:val="Heading1"/>
        <w:rPr>
          <w:rFonts w:cs="Arial"/>
        </w:rPr>
      </w:pPr>
      <w:bookmarkStart w:id="145" w:name="_Toc240666938"/>
      <w:bookmarkStart w:id="146" w:name="_Toc241090913"/>
      <w:r w:rsidRPr="00C07BB7">
        <w:rPr>
          <w:rFonts w:cs="Arial"/>
        </w:rPr>
        <w:t xml:space="preserve">Chapter </w:t>
      </w:r>
      <w:r w:rsidR="00ED5ADF">
        <w:rPr>
          <w:rFonts w:cs="Arial"/>
        </w:rPr>
        <w:t>Five</w:t>
      </w:r>
      <w:r w:rsidRPr="00C07BB7">
        <w:rPr>
          <w:rFonts w:cs="Arial"/>
        </w:rPr>
        <w:t>: Discussion</w:t>
      </w:r>
      <w:bookmarkEnd w:id="145"/>
      <w:bookmarkEnd w:id="146"/>
    </w:p>
    <w:p w14:paraId="777E8A4F" w14:textId="77777777" w:rsidR="00E40F61" w:rsidRPr="00574EFA" w:rsidRDefault="00E40F61" w:rsidP="00462CB9">
      <w:pPr>
        <w:pStyle w:val="Heading2"/>
        <w:rPr>
          <w:rFonts w:cs="Arial"/>
          <w:sz w:val="28"/>
          <w:szCs w:val="28"/>
        </w:rPr>
      </w:pPr>
      <w:bookmarkStart w:id="147" w:name="_Toc240666939"/>
      <w:bookmarkStart w:id="148" w:name="_Toc241090914"/>
      <w:r w:rsidRPr="00574EFA">
        <w:rPr>
          <w:rFonts w:cs="Arial"/>
          <w:sz w:val="28"/>
          <w:szCs w:val="28"/>
        </w:rPr>
        <w:t>5.1 Interpretation of CKD Burden and Risk</w:t>
      </w:r>
      <w:bookmarkEnd w:id="147"/>
      <w:bookmarkEnd w:id="148"/>
    </w:p>
    <w:p w14:paraId="4C8CFD9F" w14:textId="06D2C41E" w:rsidR="00E40F61" w:rsidRPr="00C07BB7" w:rsidRDefault="00E40F61" w:rsidP="00462CB9">
      <w:pPr>
        <w:rPr>
          <w:rFonts w:cs="Arial"/>
        </w:rPr>
      </w:pPr>
      <w:r w:rsidRPr="00C07BB7">
        <w:rPr>
          <w:rFonts w:cs="Arial"/>
        </w:rPr>
        <w:t xml:space="preserve">The results suggest chronic kidney disease in adults in the UK is a </w:t>
      </w:r>
      <w:r w:rsidR="00574EFA" w:rsidRPr="00C07BB7">
        <w:rPr>
          <w:rFonts w:cs="Arial"/>
        </w:rPr>
        <w:t>dynamic public-health</w:t>
      </w:r>
      <w:r w:rsidRPr="00C07BB7">
        <w:rPr>
          <w:rFonts w:cs="Arial"/>
        </w:rPr>
        <w:t xml:space="preserve"> issue, rather than a prevalence issue. Progression, lack of recognition and albuminuria testing/risk stratification were common themes in the review. Neuen et al. (2021) demonstrated that the combination of eGFR and albuminuria is more informative for assessing progression, whereas Stewart et al. (2026) demonstrated that KFRE is a clinical tool that could be used to identify higher-risk individuals for kidney failure progression. Similarly, Sullivan et al. (2023) demonstrated that risk-based referral criteria modifications can impact the pathway that patients go down. These results corroborate previous literature that suggests that coding and recognition do not necessarily capture clinically important CKD and limit access to monitoring and intervention (Sisk et al., 2024; Dolan et al., 2025). There was no dedicated national prevalence study within the final evidence set; however, the review was able to discuss how the burden is recognised and managed with a greater degree of confidence than estimating the UK prevalence in contemporary times. This distinction is significant as it can affect the apparent burden of disease due to the quality of </w:t>
      </w:r>
      <w:r w:rsidR="002872FB" w:rsidRPr="00C07BB7">
        <w:rPr>
          <w:rFonts w:cs="Arial"/>
        </w:rPr>
        <w:t>surveillance</w:t>
      </w:r>
      <w:r w:rsidRPr="00C07BB7">
        <w:rPr>
          <w:rFonts w:cs="Arial"/>
        </w:rPr>
        <w:t>.</w:t>
      </w:r>
    </w:p>
    <w:p w14:paraId="57EA9F97" w14:textId="77777777" w:rsidR="00E40F61" w:rsidRPr="00574EFA" w:rsidRDefault="00E40F61" w:rsidP="00462CB9">
      <w:pPr>
        <w:pStyle w:val="Heading2"/>
        <w:rPr>
          <w:rFonts w:cs="Arial"/>
          <w:sz w:val="28"/>
          <w:szCs w:val="28"/>
        </w:rPr>
      </w:pPr>
      <w:bookmarkStart w:id="149" w:name="_Toc240666940"/>
      <w:bookmarkStart w:id="150" w:name="_Toc241090915"/>
      <w:r w:rsidRPr="00574EFA">
        <w:rPr>
          <w:rFonts w:cs="Arial"/>
          <w:sz w:val="28"/>
          <w:szCs w:val="28"/>
        </w:rPr>
        <w:t>5.2 Risk Factors, Behaviour and Inequality</w:t>
      </w:r>
      <w:bookmarkEnd w:id="149"/>
      <w:bookmarkEnd w:id="150"/>
    </w:p>
    <w:p w14:paraId="5EF95419" w14:textId="34255D56" w:rsidR="00E40F61" w:rsidRPr="00C07BB7" w:rsidRDefault="00E40F61" w:rsidP="00462CB9">
      <w:pPr>
        <w:rPr>
          <w:rFonts w:cs="Arial"/>
        </w:rPr>
      </w:pPr>
      <w:r w:rsidRPr="00C07BB7">
        <w:rPr>
          <w:rFonts w:cs="Arial"/>
        </w:rPr>
        <w:t xml:space="preserve">The findings from the themes help to </w:t>
      </w:r>
      <w:r w:rsidR="00574EFA" w:rsidRPr="00C07BB7">
        <w:rPr>
          <w:rFonts w:cs="Arial"/>
        </w:rPr>
        <w:t>provide</w:t>
      </w:r>
      <w:r w:rsidRPr="00C07BB7">
        <w:rPr>
          <w:rFonts w:cs="Arial"/>
        </w:rPr>
        <w:t xml:space="preserve"> a multi-dimensional understanding of the risk for CKD. However, Tang et al. (2024</w:t>
      </w:r>
      <w:r w:rsidR="009259BE" w:rsidRPr="00C07BB7">
        <w:rPr>
          <w:rFonts w:cs="Arial"/>
        </w:rPr>
        <w:t>b</w:t>
      </w:r>
      <w:r w:rsidRPr="00C07BB7">
        <w:rPr>
          <w:rFonts w:cs="Arial"/>
        </w:rPr>
        <w:t>) found that joint control of the cardiometabolic factors was associated with reduced excess risk of CKD among adult patients with obesity, indicating that preventing CKD should be done through multiple risk factors rather than individual risk factors. There are potentially modifiable behavioural pathways suggested by the dietary evidence from Heo et al. (2023) and Maroto-Rodriguez et al. (2025) and physical-activity evidence from Zhang et al. (2023). However, most of these relationships are only descriptive in nature and are thus subject to the limitations of unobserved confounding, measurement error and selection bias. This restriction is especially significant as several studies in this publication used data from</w:t>
      </w:r>
      <w:r w:rsidR="002D4B06">
        <w:rPr>
          <w:rFonts w:cs="Arial"/>
        </w:rPr>
        <w:t xml:space="preserve"> the</w:t>
      </w:r>
      <w:r w:rsidRPr="00C07BB7">
        <w:rPr>
          <w:rFonts w:cs="Arial"/>
        </w:rPr>
        <w:t xml:space="preserve"> UK Biobank, which may have a healthier volunteer population, limiting representativeness.</w:t>
      </w:r>
    </w:p>
    <w:p w14:paraId="1E1C20AB" w14:textId="2D104AC4" w:rsidR="00E40F61" w:rsidRPr="00C07BB7" w:rsidRDefault="00E40F61" w:rsidP="00462CB9">
      <w:pPr>
        <w:rPr>
          <w:rFonts w:cs="Arial"/>
        </w:rPr>
      </w:pPr>
      <w:r w:rsidRPr="00C07BB7">
        <w:rPr>
          <w:rFonts w:cs="Arial"/>
        </w:rPr>
        <w:t xml:space="preserve">In addition, the evidence </w:t>
      </w:r>
      <w:r w:rsidR="002872FB" w:rsidRPr="00C07BB7">
        <w:rPr>
          <w:rFonts w:cs="Arial"/>
        </w:rPr>
        <w:t>extends to</w:t>
      </w:r>
      <w:r w:rsidRPr="00C07BB7">
        <w:rPr>
          <w:rFonts w:cs="Arial"/>
        </w:rPr>
        <w:t xml:space="preserve"> the conventional clinical model. Lan et al. (2023) linked secondhand smoke with CKD, while psychiatric disorders and air pollution were linked with CKD by Li et al (2025) and Wang et al (2022), respectively. These are consistent with findings in Chapter Two, which found deprivation and neighbourhood conditions to be relevant to kidney health (Sawhney et al., 2024). The suggestion is not that each of the exposures observed is a causal risk individually, but that the risk of CKD is socially patterned, and is socially located within the behavioural and environmental context. Food affordability, health literacy, the lack of digital access, and lack of service availability may, therefore, limit the choices that can be made for prevention, making public-health approaches that focus on individual responsibility less effective.</w:t>
      </w:r>
    </w:p>
    <w:p w14:paraId="381E14F1" w14:textId="77777777" w:rsidR="00E40F61" w:rsidRPr="00574EFA" w:rsidRDefault="00E40F61" w:rsidP="00462CB9">
      <w:pPr>
        <w:pStyle w:val="Heading2"/>
        <w:rPr>
          <w:rFonts w:cs="Arial"/>
          <w:sz w:val="28"/>
          <w:szCs w:val="28"/>
        </w:rPr>
      </w:pPr>
      <w:bookmarkStart w:id="151" w:name="_Toc240666941"/>
      <w:bookmarkStart w:id="152" w:name="_Toc241090916"/>
      <w:r w:rsidRPr="00574EFA">
        <w:rPr>
          <w:rFonts w:cs="Arial"/>
          <w:sz w:val="28"/>
          <w:szCs w:val="28"/>
        </w:rPr>
        <w:t>5.3 Management Strategies and the Health Belief Model</w:t>
      </w:r>
      <w:bookmarkEnd w:id="151"/>
      <w:bookmarkEnd w:id="152"/>
    </w:p>
    <w:p w14:paraId="75162CB3" w14:textId="72E77202" w:rsidR="00E40F61" w:rsidRPr="00C07BB7" w:rsidRDefault="00E40F61" w:rsidP="00462CB9">
      <w:pPr>
        <w:rPr>
          <w:rFonts w:cs="Arial"/>
        </w:rPr>
      </w:pPr>
      <w:r w:rsidRPr="00C07BB7">
        <w:rPr>
          <w:rFonts w:cs="Arial"/>
        </w:rPr>
        <w:t xml:space="preserve">Management evidence indicates that the successful management of CKD requires connecting </w:t>
      </w:r>
      <w:r w:rsidR="00C35449" w:rsidRPr="00C07BB7">
        <w:rPr>
          <w:rFonts w:cs="Arial"/>
        </w:rPr>
        <w:t>diagnosis</w:t>
      </w:r>
      <w:r w:rsidRPr="00C07BB7">
        <w:rPr>
          <w:rFonts w:cs="Arial"/>
        </w:rPr>
        <w:t>, treatment, self-management and service organisation. Few studies have been designed to understand the relationship between SGLT2 eligibility and prescribing, but Forbes et al. (2024) have done just this, and found that the evidence-based guidance does not necessarily lead to practice. The use of integrated pathways, specialist input, and medicines optimisation to improve the organisation of care was demonstrated by Major et al. (2025) and Rizvi et al. (2024), but with the use of local service-evaluation designs in these studies, they made assumptions about the transferability at a national level that were limited. Greenwood et al. (2024</w:t>
      </w:r>
      <w:r w:rsidR="00096A82" w:rsidRPr="00C07BB7">
        <w:rPr>
          <w:rFonts w:cs="Arial"/>
        </w:rPr>
        <w:t>b</w:t>
      </w:r>
      <w:r w:rsidRPr="00C07BB7">
        <w:rPr>
          <w:rFonts w:cs="Arial"/>
        </w:rPr>
        <w:t>) offer more convincing evidence for interventions, given that the Kidney BEAM trial was a randomised trial which showed that structured digital physical-activity support is beneficial. Lightfoot et al. (2025) demonstrated, however, that there are factors that could influence self-management such as knowledge, confidence, symptoms, competing priorities, and professional supports. These results support a joint approach to treatment, over separate pharmacologic and behavioural therapies.</w:t>
      </w:r>
    </w:p>
    <w:p w14:paraId="6EBDD658" w14:textId="77777777" w:rsidR="00E40F61" w:rsidRPr="00C07BB7" w:rsidRDefault="00E40F61" w:rsidP="00462CB9">
      <w:pPr>
        <w:rPr>
          <w:rFonts w:cs="Arial"/>
        </w:rPr>
      </w:pPr>
      <w:r w:rsidRPr="00C07BB7">
        <w:rPr>
          <w:rFonts w:cs="Arial"/>
        </w:rPr>
        <w:t>The Health Belief Model can shed light on why clinical management that is appropriate may not lead to action. Risk prediction, abnormal eGFR or albuminuria results and medical advice can serve as cues to action, and an improved understanding of the severity of kidney failure and cardiovascular complications can help to raise perceived severity. Access to kidney-protective medications, physical activity and monitoring, and barriers of limited awareness, treatment burden and digital exclusion are indicative of perceived benefits. The results of Lightfoot et al. (2025) are of particular interest in the context of self-efficacy, as patients need to have confidence in and practical support for putting the advice into practice. However, HBM can't be the entirety of the explanation. Deprivation and NHS workload are structural factors that are beyond the scope of individual beliefs, as they were highlighted in Chapter Two, as is unequal access. The results thus support the use of HBM on top of a broader public health perspective of inequality and capacity of services.</w:t>
      </w:r>
    </w:p>
    <w:p w14:paraId="03D4EFF9" w14:textId="77777777" w:rsidR="00E40F61" w:rsidRPr="00C07BB7" w:rsidRDefault="00E40F61" w:rsidP="00462CB9">
      <w:pPr>
        <w:rPr>
          <w:rFonts w:cs="Arial"/>
        </w:rPr>
      </w:pPr>
      <w:r w:rsidRPr="00C07BB7">
        <w:rPr>
          <w:rFonts w:cs="Arial"/>
        </w:rPr>
        <w:t>Important to focus on is the fact that prevention and management are not mutually exclusive phases of a thematic pattern. The first step in risk identification is eligibility for monitoring and treatment; the next is the success of treatment, which relies on patient understanding, adherence and continuity of treatment. This interdependence further supports the pathway approach to the management of CKD. It also makes clear how key enhancements can be provided to one aspect of care (e.g. the prescription of guidance) with little overall effect if there is a lack of consistency for access or follow-up or diagnosis between services.</w:t>
      </w:r>
    </w:p>
    <w:p w14:paraId="1B06DCA1" w14:textId="08E4B5DD" w:rsidR="00E40F61" w:rsidRPr="00574EFA" w:rsidRDefault="00E40F61" w:rsidP="00462CB9">
      <w:pPr>
        <w:pStyle w:val="Heading2"/>
        <w:rPr>
          <w:rFonts w:cs="Arial"/>
          <w:sz w:val="28"/>
          <w:szCs w:val="28"/>
        </w:rPr>
      </w:pPr>
      <w:bookmarkStart w:id="153" w:name="_Toc240666942"/>
      <w:bookmarkStart w:id="154" w:name="_Toc241090917"/>
      <w:r w:rsidRPr="00574EFA">
        <w:rPr>
          <w:rFonts w:cs="Arial"/>
          <w:sz w:val="28"/>
          <w:szCs w:val="28"/>
        </w:rPr>
        <w:t xml:space="preserve">5.4 Implications for </w:t>
      </w:r>
      <w:r w:rsidR="00DE232F">
        <w:rPr>
          <w:rFonts w:cs="Arial"/>
          <w:sz w:val="28"/>
          <w:szCs w:val="28"/>
        </w:rPr>
        <w:t xml:space="preserve">the </w:t>
      </w:r>
      <w:r w:rsidRPr="00574EFA">
        <w:rPr>
          <w:rFonts w:cs="Arial"/>
          <w:sz w:val="28"/>
          <w:szCs w:val="28"/>
        </w:rPr>
        <w:t>UK Public Health and Evidence Limitations</w:t>
      </w:r>
      <w:bookmarkEnd w:id="153"/>
      <w:bookmarkEnd w:id="154"/>
    </w:p>
    <w:p w14:paraId="714AD6AA" w14:textId="36CDA4DA" w:rsidR="00E40F61" w:rsidRPr="00C07BB7" w:rsidRDefault="00E40F61" w:rsidP="00462CB9">
      <w:pPr>
        <w:rPr>
          <w:rFonts w:cs="Arial"/>
        </w:rPr>
      </w:pPr>
      <w:r w:rsidRPr="00C07BB7">
        <w:rPr>
          <w:rFonts w:cs="Arial"/>
        </w:rPr>
        <w:t xml:space="preserve">There are </w:t>
      </w:r>
      <w:r w:rsidR="002872FB" w:rsidRPr="00C07BB7">
        <w:rPr>
          <w:rFonts w:cs="Arial"/>
        </w:rPr>
        <w:t>several</w:t>
      </w:r>
      <w:r w:rsidRPr="00C07BB7">
        <w:rPr>
          <w:rFonts w:cs="Arial"/>
        </w:rPr>
        <w:t xml:space="preserve"> implications for</w:t>
      </w:r>
      <w:r w:rsidR="002D4B06">
        <w:rPr>
          <w:rFonts w:cs="Arial"/>
        </w:rPr>
        <w:t xml:space="preserve"> the</w:t>
      </w:r>
      <w:r w:rsidRPr="00C07BB7">
        <w:rPr>
          <w:rFonts w:cs="Arial"/>
        </w:rPr>
        <w:t xml:space="preserve"> UK practice that can be gleaned from the review. Case </w:t>
      </w:r>
      <w:r w:rsidR="002872FB" w:rsidRPr="00C07BB7">
        <w:rPr>
          <w:rFonts w:cs="Arial"/>
        </w:rPr>
        <w:t>findings</w:t>
      </w:r>
      <w:r w:rsidRPr="00C07BB7">
        <w:rPr>
          <w:rFonts w:cs="Arial"/>
        </w:rPr>
        <w:t xml:space="preserve"> should focus on adults with known cardiometabolic risk, while at the same time ensuring appropriate eGFR and uACR testing to ensure treatment and referral are done correctly. Second, the use of risk stratification supported by the KFRE could be used to guide the allocation of specialists to patients who are at a higher risk, but only if there is complete laboratory data and there is follow-up capacity. Third, medicines optimisation must be delivered together with education/behavioural support services and not be a separate service. Digital programmes like Kidney BEAM have potential but need to consider the following when implementing: Age, digital literacy, socioeconomic </w:t>
      </w:r>
      <w:r w:rsidR="002872FB" w:rsidRPr="00C07BB7">
        <w:rPr>
          <w:rFonts w:cs="Arial"/>
        </w:rPr>
        <w:t>disadvantages</w:t>
      </w:r>
      <w:r w:rsidRPr="00C07BB7">
        <w:rPr>
          <w:rFonts w:cs="Arial"/>
        </w:rPr>
        <w:t xml:space="preserve"> and access to technology. Lastly, there is potential for integrated pathways for primary-secondary care to enhance continuity between identification, referral, treatment and surveillance.</w:t>
      </w:r>
    </w:p>
    <w:p w14:paraId="5F1A3137" w14:textId="64948CB4" w:rsidR="00E40F61" w:rsidRPr="00C07BB7" w:rsidRDefault="00E40F61" w:rsidP="00462CB9">
      <w:pPr>
        <w:rPr>
          <w:rFonts w:cs="Arial"/>
        </w:rPr>
      </w:pPr>
      <w:r w:rsidRPr="00C07BB7">
        <w:rPr>
          <w:rFonts w:cs="Arial"/>
        </w:rPr>
        <w:t xml:space="preserve">The conclusions should be taken within the evidence base. The breadth of the review is wide, with one good UK RCT, several large prospective cohorts and routine-care studies, as well as qualitative evidence and service evaluations, to provide a review covering the areas of risk and management. But repeated use of the same research population in </w:t>
      </w:r>
      <w:r w:rsidR="002872FB">
        <w:rPr>
          <w:rFonts w:cs="Arial"/>
        </w:rPr>
        <w:t xml:space="preserve">the </w:t>
      </w:r>
      <w:r w:rsidRPr="00C07BB7">
        <w:rPr>
          <w:rFonts w:cs="Arial"/>
        </w:rPr>
        <w:t xml:space="preserve">UK Biobank leads to dependency, and observational designs provide the majority of the risk factor evidence. With regard to effectiveness, local service evaluations are helpful for giving insight into </w:t>
      </w:r>
      <w:r w:rsidR="00A962FE" w:rsidRPr="00C07BB7">
        <w:rPr>
          <w:rFonts w:cs="Arial"/>
        </w:rPr>
        <w:t>implementation but</w:t>
      </w:r>
      <w:r w:rsidRPr="00C07BB7">
        <w:rPr>
          <w:rFonts w:cs="Arial"/>
        </w:rPr>
        <w:t xml:space="preserve"> are not able to draw conclusions about effectiveness in other NHS systems. It is particularly significant that there are a limited number of comparative </w:t>
      </w:r>
      <w:r w:rsidR="002D4B06">
        <w:rPr>
          <w:rFonts w:cs="Arial"/>
        </w:rPr>
        <w:t>UK</w:t>
      </w:r>
      <w:r w:rsidRPr="00C07BB7">
        <w:rPr>
          <w:rFonts w:cs="Arial"/>
        </w:rPr>
        <w:t xml:space="preserve"> management trials, as success in implementation does not necessarily equate to better long-term renal outcome. The best overall conclusion is thus that the coordinated identification, risk reduction, patient support and integrated management of CKD should be a priority for prevention and management, and that causal claims for new risk factors and general statements of the effectiveness of national service should be taken with a pinch of salt.</w:t>
      </w:r>
    </w:p>
    <w:p w14:paraId="6E8A31D0" w14:textId="77777777" w:rsidR="00E40F61" w:rsidRPr="00C07BB7" w:rsidRDefault="00E40F61" w:rsidP="00462CB9">
      <w:pPr>
        <w:spacing w:after="200"/>
        <w:jc w:val="left"/>
        <w:rPr>
          <w:rFonts w:cs="Arial"/>
        </w:rPr>
      </w:pPr>
      <w:r w:rsidRPr="00C07BB7">
        <w:rPr>
          <w:rFonts w:cs="Arial"/>
        </w:rPr>
        <w:br w:type="page"/>
      </w:r>
    </w:p>
    <w:p w14:paraId="0ADEF5C2" w14:textId="02BC169D" w:rsidR="00E40F61" w:rsidRPr="00C07BB7" w:rsidRDefault="00E40F61" w:rsidP="00462CB9">
      <w:pPr>
        <w:pStyle w:val="Heading1"/>
        <w:rPr>
          <w:rFonts w:cs="Arial"/>
        </w:rPr>
      </w:pPr>
      <w:bookmarkStart w:id="155" w:name="_Toc240666943"/>
      <w:bookmarkStart w:id="156" w:name="_Toc241090918"/>
      <w:r w:rsidRPr="00C07BB7">
        <w:rPr>
          <w:rFonts w:cs="Arial"/>
        </w:rPr>
        <w:t xml:space="preserve">Chapter </w:t>
      </w:r>
      <w:r w:rsidR="00574EFA">
        <w:rPr>
          <w:rFonts w:cs="Arial"/>
        </w:rPr>
        <w:t>Six</w:t>
      </w:r>
      <w:r w:rsidRPr="00C07BB7">
        <w:rPr>
          <w:rFonts w:cs="Arial"/>
        </w:rPr>
        <w:t>: Conclusion and Recommendations</w:t>
      </w:r>
      <w:bookmarkEnd w:id="155"/>
      <w:bookmarkEnd w:id="156"/>
    </w:p>
    <w:p w14:paraId="2686C0BC" w14:textId="77777777" w:rsidR="00E40F61" w:rsidRPr="00574EFA" w:rsidRDefault="00E40F61" w:rsidP="00462CB9">
      <w:pPr>
        <w:pStyle w:val="Heading2"/>
        <w:rPr>
          <w:rFonts w:cs="Arial"/>
          <w:sz w:val="28"/>
          <w:szCs w:val="28"/>
        </w:rPr>
      </w:pPr>
      <w:bookmarkStart w:id="157" w:name="_Toc240666944"/>
      <w:bookmarkStart w:id="158" w:name="_Toc241090919"/>
      <w:r w:rsidRPr="00574EFA">
        <w:rPr>
          <w:rFonts w:cs="Arial"/>
          <w:sz w:val="28"/>
          <w:szCs w:val="28"/>
        </w:rPr>
        <w:t>6.1 Conclusion</w:t>
      </w:r>
      <w:bookmarkEnd w:id="157"/>
      <w:bookmarkEnd w:id="158"/>
    </w:p>
    <w:p w14:paraId="1A9CBB0D" w14:textId="79275F49" w:rsidR="00E40F61" w:rsidRPr="00C07BB7" w:rsidRDefault="00E40F61" w:rsidP="00462CB9">
      <w:pPr>
        <w:rPr>
          <w:rFonts w:cs="Arial"/>
        </w:rPr>
      </w:pPr>
      <w:r w:rsidRPr="00C07BB7">
        <w:rPr>
          <w:rFonts w:cs="Arial"/>
        </w:rPr>
        <w:t xml:space="preserve">This systematic review aimed to identify the main risk factors and successful management of chronic kidney disease (CKD) in adults (18 years and older) in the UK. The results have shown that clinical, behavioural, psychosocial, environmental and organisational factors play a complex role in shaping CKD. </w:t>
      </w:r>
      <w:r w:rsidR="00C61FFD" w:rsidRPr="00C07BB7">
        <w:rPr>
          <w:rFonts w:cs="Arial"/>
        </w:rPr>
        <w:t>C</w:t>
      </w:r>
      <w:r w:rsidRPr="00C07BB7">
        <w:rPr>
          <w:rFonts w:cs="Arial"/>
        </w:rPr>
        <w:t xml:space="preserve">ardiometabolic factors continue to be important, diet, physical activity, secondhand smoke, psychiatric disorders and air pollution are also </w:t>
      </w:r>
      <w:r w:rsidR="002A55E6" w:rsidRPr="00C07BB7">
        <w:rPr>
          <w:rFonts w:cs="Arial"/>
        </w:rPr>
        <w:t>components of the contemporary CKD risk profile</w:t>
      </w:r>
      <w:r w:rsidRPr="00C07BB7">
        <w:rPr>
          <w:rFonts w:cs="Arial"/>
        </w:rPr>
        <w:t xml:space="preserve">. Much of this evidence is descriptive, however, so “correlation is not necessarily causation.” The best management occurs when effective identification, risk stratification, medicines optimisation, patient education, self-management support and integrated care are all linked. The review thus addresses its research question through the demonstration that CKD prevention and management needs to be a team effort, </w:t>
      </w:r>
      <w:r w:rsidR="000D1428" w:rsidRPr="00C07BB7">
        <w:rPr>
          <w:rFonts w:cs="Arial"/>
        </w:rPr>
        <w:t>rather than focusing solely on individual risk factors</w:t>
      </w:r>
      <w:r w:rsidRPr="00C07BB7">
        <w:rPr>
          <w:rFonts w:cs="Arial"/>
        </w:rPr>
        <w:t>.</w:t>
      </w:r>
    </w:p>
    <w:p w14:paraId="09C09188" w14:textId="7F73DB2C" w:rsidR="00E40F61" w:rsidRPr="00574EFA" w:rsidRDefault="00E40F61" w:rsidP="00462CB9">
      <w:pPr>
        <w:pStyle w:val="Heading2"/>
        <w:rPr>
          <w:rFonts w:cs="Arial"/>
          <w:sz w:val="28"/>
          <w:szCs w:val="28"/>
        </w:rPr>
      </w:pPr>
      <w:bookmarkStart w:id="159" w:name="_Toc240666945"/>
      <w:bookmarkStart w:id="160" w:name="_Toc241090920"/>
      <w:r w:rsidRPr="00574EFA">
        <w:rPr>
          <w:rFonts w:cs="Arial"/>
          <w:sz w:val="28"/>
          <w:szCs w:val="28"/>
        </w:rPr>
        <w:t>6.2 Recommendations for</w:t>
      </w:r>
      <w:r w:rsidR="002D4B06">
        <w:rPr>
          <w:rFonts w:cs="Arial"/>
          <w:sz w:val="28"/>
          <w:szCs w:val="28"/>
        </w:rPr>
        <w:t xml:space="preserve"> </w:t>
      </w:r>
      <w:r w:rsidR="008E3A72">
        <w:rPr>
          <w:rFonts w:cs="Arial"/>
          <w:sz w:val="28"/>
          <w:szCs w:val="28"/>
        </w:rPr>
        <w:t>UK</w:t>
      </w:r>
      <w:r w:rsidR="00A17325">
        <w:rPr>
          <w:rFonts w:cs="Arial"/>
          <w:sz w:val="28"/>
          <w:szCs w:val="28"/>
        </w:rPr>
        <w:t xml:space="preserve"> </w:t>
      </w:r>
      <w:r w:rsidRPr="00574EFA">
        <w:rPr>
          <w:rFonts w:cs="Arial"/>
          <w:sz w:val="28"/>
          <w:szCs w:val="28"/>
        </w:rPr>
        <w:t>Practice and Policy</w:t>
      </w:r>
      <w:bookmarkEnd w:id="159"/>
      <w:bookmarkEnd w:id="160"/>
    </w:p>
    <w:p w14:paraId="3B9BBD89" w14:textId="77777777" w:rsidR="00E40F61" w:rsidRPr="00C07BB7" w:rsidRDefault="00E40F61" w:rsidP="00462CB9">
      <w:pPr>
        <w:rPr>
          <w:rFonts w:cs="Arial"/>
        </w:rPr>
      </w:pPr>
      <w:r w:rsidRPr="00C07BB7">
        <w:rPr>
          <w:rFonts w:cs="Arial"/>
        </w:rPr>
        <w:t>Targeted case finding within services for adults with diabetes, hypertension, obesity and other cardiometabolic risks should be enhanced, with the help of suitable eGFR and uACR testing. Where clinically appropriate, KFRE should be used to prioritise follow-up and referral, but the use of KFRE must include complete laboratory data and adequate service capacity. Primary care needs to be better at identifying people who could benefit from kidney-protective treatment and to decrease the disparity between the recommendations in guidelines and treatment. Medication optimisation should be incorporated within education, lifestyle support and shared decision making. Digital interventions can be used to help people be physically active and to help manage their physical activity, but alternatives should be provided for those for whom digital exclusion is an issue. Primary-secondary pathways should be integrated as well and evaluated locally to ensure that successful models are adopted, not assumed to be transferable between NHS systems.</w:t>
      </w:r>
    </w:p>
    <w:p w14:paraId="60C31446" w14:textId="77777777" w:rsidR="00E40F61" w:rsidRPr="00574EFA" w:rsidRDefault="00E40F61" w:rsidP="00462CB9">
      <w:pPr>
        <w:pStyle w:val="Heading2"/>
        <w:rPr>
          <w:rFonts w:cs="Arial"/>
          <w:sz w:val="28"/>
          <w:szCs w:val="28"/>
        </w:rPr>
      </w:pPr>
      <w:bookmarkStart w:id="161" w:name="_Toc240666946"/>
      <w:bookmarkStart w:id="162" w:name="_Toc241090921"/>
      <w:r w:rsidRPr="00574EFA">
        <w:rPr>
          <w:rFonts w:cs="Arial"/>
          <w:sz w:val="28"/>
          <w:szCs w:val="28"/>
        </w:rPr>
        <w:t>6.3 Limitations and Future Research</w:t>
      </w:r>
      <w:bookmarkEnd w:id="161"/>
      <w:bookmarkEnd w:id="162"/>
    </w:p>
    <w:p w14:paraId="36EDA3A9" w14:textId="23742CBC" w:rsidR="00E40F61" w:rsidRPr="00C07BB7" w:rsidRDefault="00E40F61" w:rsidP="00462CB9">
      <w:pPr>
        <w:rPr>
          <w:rFonts w:cs="Arial"/>
        </w:rPr>
      </w:pPr>
      <w:r w:rsidRPr="00C07BB7">
        <w:rPr>
          <w:rFonts w:cs="Arial"/>
        </w:rPr>
        <w:t xml:space="preserve">The conclusions are constrained by the characteristics of the evidence base. A number of studies on risk factors employed the UK Biobank and that has caused concern over the selection of healthy volunteers and residual confounding and repeated dependence of one population. The evidence of management was relatively </w:t>
      </w:r>
      <w:r w:rsidR="002D4B06" w:rsidRPr="00C07BB7">
        <w:rPr>
          <w:rFonts w:cs="Arial"/>
        </w:rPr>
        <w:t>scarce and</w:t>
      </w:r>
      <w:r w:rsidRPr="00C07BB7">
        <w:rPr>
          <w:rFonts w:cs="Arial"/>
        </w:rPr>
        <w:t xml:space="preserve"> included a single well-known</w:t>
      </w:r>
      <w:r w:rsidR="002D4B06">
        <w:rPr>
          <w:rFonts w:cs="Arial"/>
        </w:rPr>
        <w:t xml:space="preserve"> in the</w:t>
      </w:r>
      <w:r w:rsidRPr="00C07BB7">
        <w:rPr>
          <w:rFonts w:cs="Arial"/>
        </w:rPr>
        <w:t xml:space="preserve"> UK randomised digital intervention and a number of local, non-randomised service evaluations. The review was also limited in that there </w:t>
      </w:r>
      <w:r w:rsidR="002D4B06" w:rsidRPr="00C07BB7">
        <w:rPr>
          <w:rFonts w:cs="Arial"/>
        </w:rPr>
        <w:t>was</w:t>
      </w:r>
      <w:r w:rsidRPr="00C07BB7">
        <w:rPr>
          <w:rFonts w:cs="Arial"/>
        </w:rPr>
        <w:t xml:space="preserve"> no specific national prevalence studies in the final evidence set. Therefore, future studies should focus on nationally representative longitudinal studies, comparative trials of integrated management of CKD, and long-term renal outcomes, in addition to indicators of implementation. Further research is also needed to explore whether digital, pharmacological and integrated-care interventions are equally accessible to deprived, ethnically diverse and digitally excluded groups. Increased focus on patient experience, health literacy and structural barriers would further the understanding of why evidence-based care is not always implemented. Further research should also evaluate the effectiveness of risk prediction and the pathways to treatment in various service contexts and across different nations within the UK.</w:t>
      </w:r>
    </w:p>
    <w:p w14:paraId="55AC6941" w14:textId="77777777" w:rsidR="00E40F61" w:rsidRPr="00C07BB7" w:rsidRDefault="00E40F61" w:rsidP="00462CB9">
      <w:pPr>
        <w:rPr>
          <w:rFonts w:cs="Arial"/>
        </w:rPr>
      </w:pPr>
      <w:r w:rsidRPr="00C07BB7">
        <w:rPr>
          <w:rFonts w:cs="Arial"/>
        </w:rPr>
        <w:t>Overall, future work should link epidemiological risk, implementation, and patient-centred outcomes within the framework. This would enable researchers and decision-makers to identify effective interventions, as well as whom they benefit, when and how, and with what equity implications.</w:t>
      </w:r>
    </w:p>
    <w:p w14:paraId="4B0569E6" w14:textId="77777777" w:rsidR="00773F15" w:rsidRPr="00C07BB7" w:rsidRDefault="00773F15" w:rsidP="00462CB9">
      <w:pPr>
        <w:rPr>
          <w:rFonts w:cs="Arial"/>
        </w:rPr>
      </w:pPr>
    </w:p>
    <w:p w14:paraId="49A65651" w14:textId="77777777" w:rsidR="0038603C" w:rsidRPr="00C07BB7" w:rsidRDefault="0038603C" w:rsidP="00462CB9">
      <w:pPr>
        <w:rPr>
          <w:rFonts w:cs="Arial"/>
        </w:rPr>
      </w:pPr>
    </w:p>
    <w:p w14:paraId="001A3976" w14:textId="77777777" w:rsidR="00613093" w:rsidRPr="00C07BB7" w:rsidRDefault="00613093" w:rsidP="00462CB9">
      <w:pPr>
        <w:rPr>
          <w:rFonts w:cs="Arial"/>
          <w:color w:val="000000" w:themeColor="text1"/>
        </w:rPr>
      </w:pPr>
    </w:p>
    <w:p w14:paraId="34FAD121" w14:textId="77777777" w:rsidR="00613093" w:rsidRPr="00C07BB7" w:rsidRDefault="00613093" w:rsidP="00462CB9">
      <w:pPr>
        <w:rPr>
          <w:rFonts w:eastAsiaTheme="majorEastAsia" w:cs="Arial"/>
          <w:color w:val="000000" w:themeColor="text1"/>
          <w:sz w:val="28"/>
        </w:rPr>
      </w:pPr>
      <w:r w:rsidRPr="00C07BB7">
        <w:rPr>
          <w:rFonts w:cs="Arial"/>
          <w:color w:val="000000" w:themeColor="text1"/>
        </w:rPr>
        <w:br w:type="page"/>
      </w:r>
    </w:p>
    <w:p w14:paraId="237A7FA3" w14:textId="31481282" w:rsidR="007748AF" w:rsidRPr="00C07BB7" w:rsidRDefault="00061744" w:rsidP="00462CB9">
      <w:pPr>
        <w:pStyle w:val="Heading1"/>
        <w:rPr>
          <w:rFonts w:cs="Arial"/>
        </w:rPr>
      </w:pPr>
      <w:bookmarkStart w:id="163" w:name="_Toc240666947"/>
      <w:bookmarkStart w:id="164" w:name="_Toc241090922"/>
      <w:r w:rsidRPr="00C07BB7">
        <w:rPr>
          <w:rFonts w:cs="Arial"/>
        </w:rPr>
        <w:t>References</w:t>
      </w:r>
      <w:bookmarkEnd w:id="163"/>
      <w:bookmarkEnd w:id="164"/>
    </w:p>
    <w:p w14:paraId="5140275A" w14:textId="77777777" w:rsidR="000E117B" w:rsidRPr="00C07BB7" w:rsidRDefault="000E117B" w:rsidP="00574EFA">
      <w:pPr>
        <w:pStyle w:val="TOC2"/>
        <w:numPr>
          <w:ilvl w:val="0"/>
          <w:numId w:val="14"/>
        </w:numPr>
        <w:rPr>
          <w:rFonts w:cs="Arial"/>
        </w:rPr>
      </w:pPr>
      <w:r w:rsidRPr="00C07BB7">
        <w:rPr>
          <w:rFonts w:cs="Arial"/>
        </w:rPr>
        <w:t xml:space="preserve">Agathangelou, G., Graham-Brown, M., McMahon, A.C., Xydopoulos, G., Gofman, L. and Jaffe, J. (2025) ‘Economic evaluation of population-level chronic kidney disease interventions in the UK National Health Service’, </w:t>
      </w:r>
      <w:r w:rsidRPr="00C07BB7">
        <w:rPr>
          <w:rFonts w:cs="Arial"/>
          <w:i/>
        </w:rPr>
        <w:t>Journal of Health Economics and Outcomes Research</w:t>
      </w:r>
      <w:r w:rsidRPr="00C07BB7">
        <w:rPr>
          <w:rFonts w:cs="Arial"/>
        </w:rPr>
        <w:t>, 12(1). doi: https://doi.org/10.36469/001c.134075.</w:t>
      </w:r>
    </w:p>
    <w:p w14:paraId="2532911F" w14:textId="77777777" w:rsidR="000E117B" w:rsidRPr="00C07BB7" w:rsidRDefault="000E117B" w:rsidP="00574EFA">
      <w:pPr>
        <w:pStyle w:val="TOC2"/>
        <w:numPr>
          <w:ilvl w:val="0"/>
          <w:numId w:val="14"/>
        </w:numPr>
        <w:rPr>
          <w:rFonts w:cs="Arial"/>
        </w:rPr>
      </w:pPr>
      <w:r w:rsidRPr="00C07BB7">
        <w:rPr>
          <w:rFonts w:cs="Arial"/>
        </w:rPr>
        <w:t xml:space="preserve">Bhandari, S., Spencer, S., Oliveira, B., Mikhail, A., Brooks, O., Bryant, G., Willicombe, M., Baines, R., Alldridge, L. and Haslam-England, S. (2025) ‘UK kidney association clinical practice guideline: update of anaemia of chronic kidney disease’, </w:t>
      </w:r>
      <w:r w:rsidRPr="00C07BB7">
        <w:rPr>
          <w:rFonts w:cs="Arial"/>
          <w:i/>
        </w:rPr>
        <w:t>BMC Nephrology</w:t>
      </w:r>
      <w:r w:rsidRPr="00C07BB7">
        <w:rPr>
          <w:rFonts w:cs="Arial"/>
        </w:rPr>
        <w:t>, 26, 193. doi: https://doi.org/10.1186/s12882-025-04115-1.</w:t>
      </w:r>
    </w:p>
    <w:p w14:paraId="1FF61B8B" w14:textId="77777777" w:rsidR="000E117B" w:rsidRPr="00574EFA" w:rsidRDefault="000E117B" w:rsidP="00574EFA">
      <w:pPr>
        <w:pStyle w:val="ListParagraph"/>
        <w:numPr>
          <w:ilvl w:val="0"/>
          <w:numId w:val="14"/>
        </w:numPr>
        <w:rPr>
          <w:rFonts w:cs="Arial"/>
        </w:rPr>
      </w:pPr>
      <w:r w:rsidRPr="00574EFA">
        <w:rPr>
          <w:rFonts w:cs="Arial"/>
        </w:rPr>
        <w:t xml:space="preserve">Boateng, I., Phillips, T., Harris, S., Aiyegbusi, O.L., Cockwell, P., Kalra, P.A., McDonnell, T., Lucas, B., Roderick, P.J., Wheeler, D.C., Taal, M.W. and Fraser, S.D.S. (2026) ‘The impact of multiple long-term conditions on mortality, progression to kidney failure and health-related quality of life among people with chronic kidney disease: a multicentre cohort study (NURTuRE-CKD)’, </w:t>
      </w:r>
      <w:r w:rsidRPr="00574EFA">
        <w:rPr>
          <w:rFonts w:cs="Arial"/>
          <w:i/>
          <w:iCs/>
        </w:rPr>
        <w:t>Annals of Medicine</w:t>
      </w:r>
      <w:r w:rsidRPr="00574EFA">
        <w:rPr>
          <w:rFonts w:cs="Arial"/>
        </w:rPr>
        <w:t xml:space="preserve">, 58(1), 2692812. doi:10.1080/07853890.2026.2692812. </w:t>
      </w:r>
    </w:p>
    <w:p w14:paraId="3F8B6FB3" w14:textId="77777777" w:rsidR="000E117B" w:rsidRPr="00C07BB7" w:rsidRDefault="000E117B" w:rsidP="00574EFA">
      <w:pPr>
        <w:pStyle w:val="TOC2"/>
        <w:numPr>
          <w:ilvl w:val="0"/>
          <w:numId w:val="14"/>
        </w:numPr>
        <w:rPr>
          <w:rFonts w:cs="Arial"/>
        </w:rPr>
      </w:pPr>
      <w:r w:rsidRPr="00C07BB7">
        <w:rPr>
          <w:rFonts w:cs="Arial"/>
        </w:rPr>
        <w:t xml:space="preserve">Campbell, M. et al. (2020) ‘Synthesis without meta-analysis (SWiM) in systematic reviews: Reporting guideline’, </w:t>
      </w:r>
      <w:r w:rsidRPr="00C07BB7">
        <w:rPr>
          <w:rFonts w:cs="Arial"/>
          <w:i/>
        </w:rPr>
        <w:t>BMJ</w:t>
      </w:r>
      <w:r w:rsidRPr="00C07BB7">
        <w:rPr>
          <w:rFonts w:cs="Arial"/>
        </w:rPr>
        <w:t>, 368, l6890. doi:10.1136/bmj.l6890.</w:t>
      </w:r>
    </w:p>
    <w:p w14:paraId="6348F573" w14:textId="77777777" w:rsidR="000E117B" w:rsidRPr="00C07BB7" w:rsidRDefault="000E117B" w:rsidP="00574EFA">
      <w:pPr>
        <w:pStyle w:val="TOC2"/>
        <w:numPr>
          <w:ilvl w:val="0"/>
          <w:numId w:val="14"/>
        </w:numPr>
        <w:rPr>
          <w:rFonts w:cs="Arial"/>
        </w:rPr>
      </w:pPr>
      <w:r w:rsidRPr="00C07BB7">
        <w:rPr>
          <w:rFonts w:cs="Arial"/>
        </w:rPr>
        <w:t xml:space="preserve">Cao, Z., Xu, C., Zhang, P. and Wang, Y. (2022) 'Associations of sedentary time and physical activity with adverse health conditions: outcome-wide analyses using isotemporal substitution model', </w:t>
      </w:r>
      <w:r w:rsidRPr="00C07BB7">
        <w:rPr>
          <w:rFonts w:cs="Arial"/>
          <w:i/>
        </w:rPr>
        <w:t>EClinicalMedicine</w:t>
      </w:r>
      <w:r w:rsidRPr="00C07BB7">
        <w:rPr>
          <w:rFonts w:cs="Arial"/>
        </w:rPr>
        <w:t>, 48, 101424. doi: https://doi.org/10.1016/j.eclinm.2022.101424.</w:t>
      </w:r>
    </w:p>
    <w:p w14:paraId="00FD2B4D" w14:textId="77777777" w:rsidR="000E117B" w:rsidRPr="00C07BB7" w:rsidRDefault="000E117B" w:rsidP="00574EFA">
      <w:pPr>
        <w:pStyle w:val="TOC2"/>
        <w:numPr>
          <w:ilvl w:val="0"/>
          <w:numId w:val="14"/>
        </w:numPr>
        <w:rPr>
          <w:rFonts w:cs="Arial"/>
        </w:rPr>
      </w:pPr>
      <w:r w:rsidRPr="00C07BB7">
        <w:rPr>
          <w:rFonts w:cs="Arial"/>
        </w:rPr>
        <w:t>CASP (2024) Critical appraisal checklists. Available at: https://casp-uk.net/casp-tools-checklists/ (Accessed: 16 July 2026).</w:t>
      </w:r>
    </w:p>
    <w:p w14:paraId="0B72D961" w14:textId="77777777" w:rsidR="000E117B" w:rsidRPr="00C07BB7" w:rsidRDefault="000E117B" w:rsidP="00574EFA">
      <w:pPr>
        <w:pStyle w:val="TOC2"/>
        <w:numPr>
          <w:ilvl w:val="0"/>
          <w:numId w:val="14"/>
        </w:numPr>
        <w:rPr>
          <w:rFonts w:cs="Arial"/>
        </w:rPr>
      </w:pPr>
      <w:r w:rsidRPr="00C07BB7">
        <w:rPr>
          <w:rFonts w:cs="Arial"/>
        </w:rPr>
        <w:t xml:space="preserve">Castle, E.M., Billany, R.E., Young, H.M.L., Walklin, C., Briggs, J., Asgari, E., Bhandari, S., Burton, J.O., Bramham, K., Deelchand, V., Hamilton, A., Jesky, M., Kalra, P.A., McCafferty, K., Nixon, A.C., Taal, M.W., Tollit, J., Wheeler, D.C., Macdonald, J. and Greenwood, S.A. (2024) ‘Exploring how the Kidney BEAM physical activity digital health intervention improved mental health-related quality of life for people living with kidney disease’, </w:t>
      </w:r>
      <w:r w:rsidRPr="00C07BB7">
        <w:rPr>
          <w:rFonts w:cs="Arial"/>
          <w:i/>
        </w:rPr>
        <w:t>Kidney International Reports</w:t>
      </w:r>
      <w:r w:rsidRPr="00C07BB7">
        <w:rPr>
          <w:rFonts w:cs="Arial"/>
        </w:rPr>
        <w:t>, 9(12), pp.3517–3531. doi:10.1016/j.ekir.2024.09.029.</w:t>
      </w:r>
    </w:p>
    <w:p w14:paraId="500A1EC1" w14:textId="77777777" w:rsidR="000E117B" w:rsidRPr="00C07BB7" w:rsidRDefault="000E117B" w:rsidP="00574EFA">
      <w:pPr>
        <w:pStyle w:val="TOC2"/>
        <w:numPr>
          <w:ilvl w:val="0"/>
          <w:numId w:val="14"/>
        </w:numPr>
        <w:rPr>
          <w:rFonts w:cs="Arial"/>
        </w:rPr>
      </w:pPr>
      <w:r w:rsidRPr="00C07BB7">
        <w:rPr>
          <w:rFonts w:cs="Arial"/>
        </w:rPr>
        <w:t>Champion, V.L. and Skinner, C.S. (2008) ‘The Health Belief Model’, in Glanz, K., Rimer, B.K. and Viswanath, K. (eds.) Health Behavior and Health Education: Theory, Research, and Practice. 4th edn. San Francisco: Jossey-Bass, pp.45–65.</w:t>
      </w:r>
    </w:p>
    <w:p w14:paraId="2F4AA027" w14:textId="77777777" w:rsidR="000E117B" w:rsidRPr="00C07BB7" w:rsidRDefault="000E117B" w:rsidP="00574EFA">
      <w:pPr>
        <w:pStyle w:val="TOC2"/>
        <w:numPr>
          <w:ilvl w:val="0"/>
          <w:numId w:val="14"/>
        </w:numPr>
        <w:rPr>
          <w:rFonts w:cs="Arial"/>
        </w:rPr>
      </w:pPr>
      <w:r w:rsidRPr="00C07BB7">
        <w:rPr>
          <w:rFonts w:cs="Arial"/>
        </w:rPr>
        <w:t xml:space="preserve">Cherney, D., Drzewiecka, A., Folkerts, K., Levy, P., Millier, A., Morris, S., Pochopień, M., Roy-Chaudhury, P., Sullivan, S.D. and Mernagh, P. (2025) ‘Cost-effectiveness of finerenone therapy for patients with chronic kidney disease and type 2 diabetes in England and Wales: results of the FINE-CKD model’, </w:t>
      </w:r>
      <w:r w:rsidRPr="00C07BB7">
        <w:rPr>
          <w:rFonts w:cs="Arial"/>
          <w:i/>
        </w:rPr>
        <w:t>Journal of Medical Economics</w:t>
      </w:r>
      <w:r w:rsidRPr="00C07BB7">
        <w:rPr>
          <w:rFonts w:cs="Arial"/>
        </w:rPr>
        <w:t>, 28(1), pp.196–206. doi:10.1080/13696998.2025.2451526.</w:t>
      </w:r>
    </w:p>
    <w:p w14:paraId="5CEEC5A4" w14:textId="77777777" w:rsidR="000E117B" w:rsidRPr="00C07BB7" w:rsidRDefault="000E117B" w:rsidP="00574EFA">
      <w:pPr>
        <w:pStyle w:val="TOC2"/>
        <w:numPr>
          <w:ilvl w:val="0"/>
          <w:numId w:val="14"/>
        </w:numPr>
        <w:rPr>
          <w:rFonts w:cs="Arial"/>
        </w:rPr>
      </w:pPr>
      <w:r w:rsidRPr="00C07BB7">
        <w:rPr>
          <w:rFonts w:cs="Arial"/>
        </w:rPr>
        <w:t>Cherry, G., Boland, A. and Dickson, R. (2023) Doing a Systematic Review. London: SAGE.</w:t>
      </w:r>
    </w:p>
    <w:p w14:paraId="4F211DBD" w14:textId="77777777" w:rsidR="000E117B" w:rsidRPr="00C07BB7" w:rsidRDefault="000E117B" w:rsidP="00574EFA">
      <w:pPr>
        <w:pStyle w:val="TOC2"/>
        <w:numPr>
          <w:ilvl w:val="0"/>
          <w:numId w:val="14"/>
        </w:numPr>
        <w:rPr>
          <w:rFonts w:cs="Arial"/>
        </w:rPr>
      </w:pPr>
      <w:r w:rsidRPr="00C07BB7">
        <w:rPr>
          <w:rFonts w:cs="Arial"/>
        </w:rPr>
        <w:t>Crombie, I.K. (2022) Pocket Guide to Critical Appraisal. 2nd edn. Chichester: Wiley-Blackwell.</w:t>
      </w:r>
    </w:p>
    <w:p w14:paraId="447EAA7C" w14:textId="77777777" w:rsidR="000E117B" w:rsidRPr="00574EFA" w:rsidRDefault="000E117B" w:rsidP="00574EFA">
      <w:pPr>
        <w:pStyle w:val="ListParagraph"/>
        <w:numPr>
          <w:ilvl w:val="0"/>
          <w:numId w:val="14"/>
        </w:numPr>
        <w:rPr>
          <w:rFonts w:cs="Arial"/>
        </w:rPr>
      </w:pPr>
      <w:r w:rsidRPr="00574EFA">
        <w:rPr>
          <w:rFonts w:cs="Arial"/>
        </w:rPr>
        <w:t xml:space="preserve">Croucher, C., Bramham, K., Clark, S.G., Dreyer, G., Nitsch, D., O’Keeffe, H. and Sinha, S. (2026) ‘Health inequalities and kidney disease: assessing equity across the renal care pathway using routinely collected data’, </w:t>
      </w:r>
      <w:r w:rsidRPr="00574EFA">
        <w:rPr>
          <w:rFonts w:cs="Arial"/>
          <w:i/>
          <w:iCs/>
        </w:rPr>
        <w:t>Journal of Nephrology</w:t>
      </w:r>
      <w:r w:rsidRPr="00574EFA">
        <w:rPr>
          <w:rFonts w:cs="Arial"/>
        </w:rPr>
        <w:t xml:space="preserve">, 39(3), pp. 505–511. doi:10.1093/joneph/aajaf063. </w:t>
      </w:r>
    </w:p>
    <w:p w14:paraId="4A5F342F" w14:textId="77777777" w:rsidR="000E117B" w:rsidRPr="00C07BB7" w:rsidRDefault="000E117B" w:rsidP="00574EFA">
      <w:pPr>
        <w:pStyle w:val="TOC2"/>
        <w:numPr>
          <w:ilvl w:val="0"/>
          <w:numId w:val="14"/>
        </w:numPr>
        <w:rPr>
          <w:rFonts w:cs="Arial"/>
        </w:rPr>
      </w:pPr>
      <w:r w:rsidRPr="00C07BB7">
        <w:rPr>
          <w:rFonts w:cs="Arial"/>
        </w:rPr>
        <w:t xml:space="preserve">Dasgupta, I., Zac-Varghese, S., Chaudhry, K., McCafferty, K., Winocour, P. and others (2024) ‘Current management of chronic kidney disease in type-2 diabetes: a tiered approach’, </w:t>
      </w:r>
      <w:r w:rsidRPr="00C07BB7">
        <w:rPr>
          <w:rFonts w:cs="Arial"/>
          <w:i/>
        </w:rPr>
        <w:t>Diabetic Medicine</w:t>
      </w:r>
      <w:r w:rsidRPr="00C07BB7">
        <w:rPr>
          <w:rFonts w:cs="Arial"/>
        </w:rPr>
        <w:t>. doi: https://doi.org/10.1111/dme.15450.</w:t>
      </w:r>
    </w:p>
    <w:p w14:paraId="4161C072" w14:textId="77777777" w:rsidR="000E117B" w:rsidRPr="00C07BB7" w:rsidRDefault="000E117B" w:rsidP="00574EFA">
      <w:pPr>
        <w:pStyle w:val="TOC2"/>
        <w:numPr>
          <w:ilvl w:val="0"/>
          <w:numId w:val="14"/>
        </w:numPr>
        <w:rPr>
          <w:rFonts w:cs="Arial"/>
        </w:rPr>
      </w:pPr>
      <w:r w:rsidRPr="00C07BB7">
        <w:rPr>
          <w:rFonts w:cs="Arial"/>
        </w:rPr>
        <w:t xml:space="preserve">Dolan, S., Anand, A., Kalra, P.A. and Stewart, S. (2025) ‘Uncoded chronic kidney disease prevalence in secondary care: a retrospective audit with population health implications’, </w:t>
      </w:r>
      <w:r w:rsidRPr="00C07BB7">
        <w:rPr>
          <w:rFonts w:cs="Arial"/>
          <w:i/>
        </w:rPr>
        <w:t>BMC Nephrology</w:t>
      </w:r>
      <w:r w:rsidRPr="00C07BB7">
        <w:rPr>
          <w:rFonts w:cs="Arial"/>
        </w:rPr>
        <w:t>, 26(1), p.39. doi:10.1186/s12882-025-03967-x.</w:t>
      </w:r>
    </w:p>
    <w:p w14:paraId="5E20B94B" w14:textId="77777777" w:rsidR="000E117B" w:rsidRPr="00C07BB7" w:rsidRDefault="000E117B" w:rsidP="00574EFA">
      <w:pPr>
        <w:pStyle w:val="TOC2"/>
        <w:numPr>
          <w:ilvl w:val="0"/>
          <w:numId w:val="14"/>
        </w:numPr>
        <w:rPr>
          <w:rFonts w:cs="Arial"/>
        </w:rPr>
      </w:pPr>
      <w:r w:rsidRPr="00C07BB7">
        <w:rPr>
          <w:rFonts w:cs="Arial"/>
        </w:rPr>
        <w:t xml:space="preserve">Forbes, A.K., Hinton, W., Feher, M.D., Elson, W., Joy, M., Ordóñez-Mena, J.M., Fan, X., Cole, N.I., Banerjee, D., Suckling, R.J. and Swift, P.A. (2024) ‘Implementation of chronic kidney disease guidelines for sodium-glucose co-transporter-2 inhibitor use in primary care in the UK’, </w:t>
      </w:r>
      <w:r w:rsidRPr="00C07BB7">
        <w:rPr>
          <w:rFonts w:cs="Arial"/>
          <w:i/>
        </w:rPr>
        <w:t>EClinicalMedicine</w:t>
      </w:r>
      <w:r w:rsidRPr="00C07BB7">
        <w:rPr>
          <w:rFonts w:cs="Arial"/>
        </w:rPr>
        <w:t>, 68, 102426. doi: https://doi.org/10.1016/j.eclinm.2024.102426.</w:t>
      </w:r>
    </w:p>
    <w:p w14:paraId="287150F5" w14:textId="77777777" w:rsidR="000E117B" w:rsidRPr="00C07BB7" w:rsidRDefault="000E117B" w:rsidP="00574EFA">
      <w:pPr>
        <w:pStyle w:val="TOC2"/>
        <w:numPr>
          <w:ilvl w:val="0"/>
          <w:numId w:val="14"/>
        </w:numPr>
        <w:rPr>
          <w:rFonts w:cs="Arial"/>
        </w:rPr>
      </w:pPr>
      <w:r w:rsidRPr="00C07BB7">
        <w:rPr>
          <w:rFonts w:cs="Arial"/>
        </w:rPr>
        <w:t xml:space="preserve">Gama, R.M., Griffiths, K., Beencke, N., Dalrymple, K., Mitchell, S., Ravi, P., Mayhew, J., Greenwood, S. and Bramham, K. (2025) ‘A pilot point-of-care kidney disease clinic in primary care to pharmacologically optimise people with chronic kidney disease (PROTECT KIDNEY)’, </w:t>
      </w:r>
      <w:r w:rsidRPr="00C07BB7">
        <w:rPr>
          <w:rFonts w:cs="Arial"/>
          <w:i/>
        </w:rPr>
        <w:t>Family Practice</w:t>
      </w:r>
      <w:r w:rsidRPr="00C07BB7">
        <w:rPr>
          <w:rFonts w:cs="Arial"/>
        </w:rPr>
        <w:t>, 42(6), p.cmaf083. doi:10.1093/fampra/cmaf083.</w:t>
      </w:r>
    </w:p>
    <w:p w14:paraId="1E3B9143" w14:textId="77777777" w:rsidR="000E117B" w:rsidRPr="00C07BB7" w:rsidRDefault="000E117B" w:rsidP="00574EFA">
      <w:pPr>
        <w:pStyle w:val="TOC2"/>
        <w:numPr>
          <w:ilvl w:val="0"/>
          <w:numId w:val="14"/>
        </w:numPr>
        <w:rPr>
          <w:rFonts w:cs="Arial"/>
        </w:rPr>
      </w:pPr>
      <w:r w:rsidRPr="00C07BB7">
        <w:rPr>
          <w:rFonts w:cs="Arial"/>
        </w:rPr>
        <w:t xml:space="preserve">Gao, S., Liu, Y., Liu, H., Lin, Y., Bai, P., Hou, F., Lu, S., Zhou, S., Sun, H., Ma, G., Liu, H., Zhang, M., Cui, Z. and Yu, P. (2025) ‘Association between obesity indexes and chronic kidney disease risk: a double-cohort prospective study in the Binhai and UK Biobank’, </w:t>
      </w:r>
      <w:r w:rsidRPr="00C07BB7">
        <w:rPr>
          <w:rFonts w:cs="Arial"/>
          <w:i/>
        </w:rPr>
        <w:t>Frontiers in Endocrinology</w:t>
      </w:r>
      <w:r w:rsidRPr="00C07BB7">
        <w:rPr>
          <w:rFonts w:cs="Arial"/>
        </w:rPr>
        <w:t>, 16. doi: https://doi.org/10.3389/fendo.2025.1566011.</w:t>
      </w:r>
    </w:p>
    <w:p w14:paraId="6E406B0A" w14:textId="77777777" w:rsidR="000E117B" w:rsidRPr="00574EFA" w:rsidRDefault="000E117B" w:rsidP="00574EFA">
      <w:pPr>
        <w:pStyle w:val="ListParagraph"/>
        <w:numPr>
          <w:ilvl w:val="0"/>
          <w:numId w:val="14"/>
        </w:numPr>
        <w:rPr>
          <w:rFonts w:cs="Arial"/>
        </w:rPr>
      </w:pPr>
      <w:r w:rsidRPr="00574EFA">
        <w:rPr>
          <w:rFonts w:cs="Arial"/>
        </w:rPr>
        <w:t xml:space="preserve">Goubar, A., Mangelis, A., Thomas, S., Fountoulakis, N., Collins, J., Ayis, S. and Karalliedde, J. (2024) ‘Investigation of end-stage kidney disease risk prediction in an ethnically diverse cohort of people with type 2 diabetes: use of kidney failure risk equation’, </w:t>
      </w:r>
      <w:r w:rsidRPr="00574EFA">
        <w:rPr>
          <w:rFonts w:cs="Arial"/>
          <w:i/>
          <w:iCs/>
        </w:rPr>
        <w:t>BMJ Open Diabetes Research &amp; Care</w:t>
      </w:r>
      <w:r w:rsidRPr="00574EFA">
        <w:rPr>
          <w:rFonts w:cs="Arial"/>
        </w:rPr>
        <w:t xml:space="preserve">, 12(4), e004282. doi:10.1136/bmjdrc-2024-004282. </w:t>
      </w:r>
    </w:p>
    <w:p w14:paraId="38574536" w14:textId="77777777" w:rsidR="000E117B" w:rsidRPr="00C07BB7" w:rsidRDefault="000E117B" w:rsidP="00574EFA">
      <w:pPr>
        <w:pStyle w:val="TOC2"/>
        <w:numPr>
          <w:ilvl w:val="0"/>
          <w:numId w:val="14"/>
        </w:numPr>
        <w:rPr>
          <w:rFonts w:cs="Arial"/>
        </w:rPr>
      </w:pPr>
      <w:r w:rsidRPr="00C07BB7">
        <w:rPr>
          <w:rFonts w:cs="Arial"/>
        </w:rPr>
        <w:t xml:space="preserve">Greenwood, S.A., Briggs, J., Walklin, C., Mangahis, E., Young, H.M.L., Castle, E.M., Billany, R.E., Asgari, E., Bhandari, S., Bishop, N., Bramham, K., Burton, J.O., Campbell, J., Chilcot, J., Cooper, N., Deelchand, V., Graham-Brown, M.P.M., Haggis, L., Hamilton, A., Jesky, M., Kalra, P.A., Koufaki, P., McCafferty, K., Nixon, A.C., Noble, H., Saynor, Z.L., Taal, M.W., Tollitt, J., Wheeler, D.C., Wilkinson, T.J., Worboys, H. and Macdonald, J. (2024a) ‘Kidney BEAM: a cost-effective digital intervention to improve mental health’, </w:t>
      </w:r>
      <w:r w:rsidRPr="00C07BB7">
        <w:rPr>
          <w:rFonts w:cs="Arial"/>
          <w:i/>
        </w:rPr>
        <w:t>Kidney International Reports</w:t>
      </w:r>
      <w:r w:rsidRPr="00C07BB7">
        <w:rPr>
          <w:rFonts w:cs="Arial"/>
        </w:rPr>
        <w:t>, 9(11), pp.3204–3217. doi:10.1016/j.ekir.2024.08.030.</w:t>
      </w:r>
    </w:p>
    <w:p w14:paraId="0706F5B9" w14:textId="77777777" w:rsidR="000E117B" w:rsidRPr="00C07BB7" w:rsidRDefault="000E117B" w:rsidP="00574EFA">
      <w:pPr>
        <w:pStyle w:val="TOC2"/>
        <w:numPr>
          <w:ilvl w:val="0"/>
          <w:numId w:val="14"/>
        </w:numPr>
        <w:rPr>
          <w:rFonts w:cs="Arial"/>
        </w:rPr>
      </w:pPr>
      <w:r w:rsidRPr="00C07BB7">
        <w:rPr>
          <w:rFonts w:cs="Arial"/>
        </w:rPr>
        <w:t xml:space="preserve">Greenwood, S.A., Young, H.M.L., Briggs, J., Castle, E.M., Walklin, C., Haggis, L., Balkin, C., Asgari, E., Bhandari, S., Burton, J.O., Billany, R.E., Bishop, N.C., Bramham, K., Campbell, J., Chilcot, J., Cooper, N.J., Deelchand, V., Graham-Brown, M.P.M., Hamilton, A., Jesky, M., Kalra, P.A., Koufaki, P., McCafferty, K., Nixon, A.C., Noble, H., Saynor, Z., Taal, M.W., Tollit, J., Wheeler, D.C., Wilkinson, T.J., Worboys, H. and Macdonald, J.H. (2024b) ‘Evaluating the effect of a digital health intervention to enhance physical activity in people with chronic kidney disease (Kidney BEAM): a multicentre, randomised controlled trial in the UK’, </w:t>
      </w:r>
      <w:r w:rsidRPr="00C07BB7">
        <w:rPr>
          <w:rFonts w:cs="Arial"/>
          <w:i/>
        </w:rPr>
        <w:t>The Lancet Digital Health</w:t>
      </w:r>
      <w:r w:rsidRPr="00C07BB7">
        <w:rPr>
          <w:rFonts w:cs="Arial"/>
        </w:rPr>
        <w:t>, 6(1), pp.e23–e32. doi:10.1016/S2589-7500(23)00204-2.</w:t>
      </w:r>
    </w:p>
    <w:p w14:paraId="310D6A2A" w14:textId="77777777" w:rsidR="000E117B" w:rsidRPr="00574EFA" w:rsidRDefault="000E117B" w:rsidP="00574EFA">
      <w:pPr>
        <w:pStyle w:val="ListParagraph"/>
        <w:numPr>
          <w:ilvl w:val="0"/>
          <w:numId w:val="14"/>
        </w:numPr>
        <w:rPr>
          <w:rFonts w:cs="Arial"/>
        </w:rPr>
      </w:pPr>
      <w:r w:rsidRPr="00574EFA">
        <w:rPr>
          <w:rFonts w:cs="Arial"/>
        </w:rPr>
        <w:t xml:space="preserve">Griffiths, K., Taylor, S., Bramham, K. and Molokhia, M. (2024) ‘Can remote testing for chronic kidney disease improve outcomes without widening existing health inequalities? A collaborative quality improvement project in primary care’, </w:t>
      </w:r>
      <w:r w:rsidRPr="00574EFA">
        <w:rPr>
          <w:rFonts w:cs="Arial"/>
          <w:i/>
          <w:iCs/>
        </w:rPr>
        <w:t>British Journal of General Practice</w:t>
      </w:r>
      <w:r w:rsidRPr="00574EFA">
        <w:rPr>
          <w:rFonts w:cs="Arial"/>
        </w:rPr>
        <w:t xml:space="preserve">, 74(Suppl 1), bjgp24X737997. doi:10.3399/bjgp24X737997. </w:t>
      </w:r>
    </w:p>
    <w:p w14:paraId="6AAE8A52" w14:textId="77777777" w:rsidR="000E117B" w:rsidRPr="00C07BB7" w:rsidRDefault="000E117B" w:rsidP="00574EFA">
      <w:pPr>
        <w:pStyle w:val="TOC2"/>
        <w:numPr>
          <w:ilvl w:val="0"/>
          <w:numId w:val="14"/>
        </w:numPr>
        <w:rPr>
          <w:rFonts w:cs="Arial"/>
        </w:rPr>
      </w:pPr>
      <w:r w:rsidRPr="00C07BB7">
        <w:rPr>
          <w:rFonts w:cs="Arial"/>
        </w:rPr>
        <w:t xml:space="preserve">Gu, Y., Li, H., Ma, H., Zhang, S., Meng, G., Zhang, Q., Liu, L., Wu, H., Zhang, T., Wang, X., Zhang, J., Sun, S., Wang, X., Zhou, M., Jia, Q., Song, K., Liu, Q., Huang, T., Borne, Y., Wang, Y., Qi, L. and Niu, K. (2023) 'Consumption of ultraprocessed food and development of chronic kidney disease: the Tianjin Chronic Low-Grade Systemic Inflammation and Health and UK Biobank cohort studies', </w:t>
      </w:r>
      <w:r w:rsidRPr="00C07BB7">
        <w:rPr>
          <w:rFonts w:cs="Arial"/>
          <w:i/>
        </w:rPr>
        <w:t>The American Journal of Clinical Nutrition</w:t>
      </w:r>
      <w:r w:rsidRPr="00C07BB7">
        <w:rPr>
          <w:rFonts w:cs="Arial"/>
        </w:rPr>
        <w:t>, 117(2), pp. 373-382. doi: https://doi.org/10.1016/j.ajcnut.2022.11.005.</w:t>
      </w:r>
    </w:p>
    <w:p w14:paraId="44FD6D6A" w14:textId="77777777" w:rsidR="000E117B" w:rsidRPr="00574EFA" w:rsidRDefault="000E117B" w:rsidP="00574EFA">
      <w:pPr>
        <w:pStyle w:val="ListParagraph"/>
        <w:numPr>
          <w:ilvl w:val="0"/>
          <w:numId w:val="14"/>
        </w:numPr>
        <w:rPr>
          <w:rFonts w:cs="Arial"/>
        </w:rPr>
      </w:pPr>
      <w:r w:rsidRPr="00574EFA">
        <w:rPr>
          <w:rFonts w:cs="Arial"/>
        </w:rPr>
        <w:t xml:space="preserve">Gunnarsson, S., Karlsson, C., Prasad, R.B. and Hansson, S.F. (2026) ‘Adiposity-based obesity classification and cardiometabolic and kidney outcomes: a longitudinal UK Biobank analysis’, </w:t>
      </w:r>
      <w:r w:rsidRPr="00574EFA">
        <w:rPr>
          <w:rFonts w:cs="Arial"/>
          <w:i/>
          <w:iCs/>
        </w:rPr>
        <w:t>EBioMedicine</w:t>
      </w:r>
      <w:r w:rsidRPr="00574EFA">
        <w:rPr>
          <w:rFonts w:cs="Arial"/>
        </w:rPr>
        <w:t xml:space="preserve">, 128, 106272. doi:10.1016/j.ebiom.2026.106272. </w:t>
      </w:r>
    </w:p>
    <w:p w14:paraId="495B5E7D" w14:textId="77777777" w:rsidR="000E117B" w:rsidRPr="00C07BB7" w:rsidRDefault="000E117B" w:rsidP="00574EFA">
      <w:pPr>
        <w:pStyle w:val="TOC2"/>
        <w:numPr>
          <w:ilvl w:val="0"/>
          <w:numId w:val="14"/>
        </w:numPr>
        <w:rPr>
          <w:rFonts w:cs="Arial"/>
        </w:rPr>
      </w:pPr>
      <w:r w:rsidRPr="00C07BB7">
        <w:rPr>
          <w:rFonts w:cs="Arial"/>
        </w:rPr>
        <w:t xml:space="preserve">Hawthorne, G., Lightfoot, C.J., Smith, A.C., Khunti, K. and Wilkinson, T.J. (2023) ‘Multimorbidity prevalence and patterns in chronic kidney disease: findings from an observational multicentre UK cohort study’, </w:t>
      </w:r>
      <w:r w:rsidRPr="00C07BB7">
        <w:rPr>
          <w:rFonts w:cs="Arial"/>
          <w:i/>
        </w:rPr>
        <w:t>International Urology and Nephrology</w:t>
      </w:r>
      <w:r w:rsidRPr="00C07BB7">
        <w:rPr>
          <w:rFonts w:cs="Arial"/>
        </w:rPr>
        <w:t>, 55(8), pp.2047–2057. doi:10.1007/s11255-023-03516-1.</w:t>
      </w:r>
    </w:p>
    <w:p w14:paraId="5144B93A" w14:textId="77777777" w:rsidR="000E117B" w:rsidRPr="00C07BB7" w:rsidRDefault="000E117B" w:rsidP="00574EFA">
      <w:pPr>
        <w:pStyle w:val="TOC2"/>
        <w:numPr>
          <w:ilvl w:val="0"/>
          <w:numId w:val="14"/>
        </w:numPr>
        <w:rPr>
          <w:rFonts w:cs="Arial"/>
        </w:rPr>
      </w:pPr>
      <w:r w:rsidRPr="00C07BB7">
        <w:rPr>
          <w:rFonts w:cs="Arial"/>
        </w:rPr>
        <w:t xml:space="preserve">He, P., Ye, Z., Liu, M., Li, H., Zhang, Y., Zhou, C., Wu, Q., Zhang, Y., Yang, S., Liu, C. and Qin, X. (2023) 'Association of handgrip strength and/or walking pace with incident chronic kidney disease: a UK Biobank observational study', </w:t>
      </w:r>
      <w:r w:rsidRPr="00C07BB7">
        <w:rPr>
          <w:rFonts w:cs="Arial"/>
          <w:i/>
        </w:rPr>
        <w:t>Journal of Cachexia, Sarcopenia and Muscle</w:t>
      </w:r>
      <w:r w:rsidRPr="00C07BB7">
        <w:rPr>
          <w:rFonts w:cs="Arial"/>
        </w:rPr>
        <w:t>, 14(2), pp. 805-814. doi: https://doi.org/10.1002/jcsm.13180.</w:t>
      </w:r>
    </w:p>
    <w:p w14:paraId="5482BB6A" w14:textId="77777777" w:rsidR="000E117B" w:rsidRPr="00C07BB7" w:rsidRDefault="000E117B" w:rsidP="00574EFA">
      <w:pPr>
        <w:pStyle w:val="TOC2"/>
        <w:numPr>
          <w:ilvl w:val="0"/>
          <w:numId w:val="14"/>
        </w:numPr>
        <w:rPr>
          <w:rFonts w:cs="Arial"/>
        </w:rPr>
      </w:pPr>
      <w:r w:rsidRPr="00C07BB7">
        <w:rPr>
          <w:rFonts w:cs="Arial"/>
        </w:rPr>
        <w:t>Health Technology Wales (2024) Digital rehabilitation and self-management interventions for chronic kidney disease. Available at: https://healthtechnology.wales/wp-content/uploads/TER555-Digital-rehabilitation-and-self-management-interventions-for-CKD.pdf.</w:t>
      </w:r>
    </w:p>
    <w:p w14:paraId="365CA714" w14:textId="77777777" w:rsidR="000E117B" w:rsidRPr="00C07BB7" w:rsidRDefault="000E117B" w:rsidP="00574EFA">
      <w:pPr>
        <w:pStyle w:val="TOC2"/>
        <w:numPr>
          <w:ilvl w:val="0"/>
          <w:numId w:val="14"/>
        </w:numPr>
        <w:rPr>
          <w:rFonts w:cs="Arial"/>
        </w:rPr>
      </w:pPr>
      <w:r w:rsidRPr="00C07BB7">
        <w:rPr>
          <w:rFonts w:cs="Arial"/>
        </w:rPr>
        <w:t>Healthdata (2023). Global, regional, and national burden of chronic kidney disease in adults, 1990–2023, and its attributable risk factors: A systematic analysis for the global burden of Disease study 2023. [online] Institute for Health Metrics and Evaluation. Available at: https://www.healthdata.org/research-analysis/library/global-regional-and-national-burden-chronic-kidney-disease-adults-1990 [Accessed 20 July 2026].</w:t>
      </w:r>
    </w:p>
    <w:p w14:paraId="1B826E61" w14:textId="77777777" w:rsidR="000E117B" w:rsidRPr="00C07BB7" w:rsidRDefault="000E117B" w:rsidP="00574EFA">
      <w:pPr>
        <w:pStyle w:val="TOC2"/>
        <w:numPr>
          <w:ilvl w:val="0"/>
          <w:numId w:val="14"/>
        </w:numPr>
        <w:rPr>
          <w:rFonts w:cs="Arial"/>
        </w:rPr>
      </w:pPr>
      <w:r w:rsidRPr="00C07BB7">
        <w:rPr>
          <w:rFonts w:cs="Arial"/>
        </w:rPr>
        <w:t xml:space="preserve">Heo, G.Y. et al. (2023) ‘Association between fiber intake and risk of incident chronic kidney disease: The UK Biobank Study’, </w:t>
      </w:r>
      <w:r w:rsidRPr="00C07BB7">
        <w:rPr>
          <w:rFonts w:cs="Arial"/>
          <w:i/>
        </w:rPr>
        <w:t>The Journal of Nutrition, Health and Aging</w:t>
      </w:r>
      <w:r w:rsidRPr="00C07BB7">
        <w:rPr>
          <w:rFonts w:cs="Arial"/>
        </w:rPr>
        <w:t>, 27(11), pp. 1018–1027. doi:10.1007/s12603-023-1998-6.</w:t>
      </w:r>
    </w:p>
    <w:p w14:paraId="75D136FB" w14:textId="77777777" w:rsidR="000E117B" w:rsidRPr="00C07BB7" w:rsidRDefault="000E117B" w:rsidP="00574EFA">
      <w:pPr>
        <w:pStyle w:val="TOC2"/>
        <w:numPr>
          <w:ilvl w:val="0"/>
          <w:numId w:val="14"/>
        </w:numPr>
        <w:rPr>
          <w:rFonts w:cs="Arial"/>
        </w:rPr>
      </w:pPr>
      <w:r w:rsidRPr="00C07BB7">
        <w:rPr>
          <w:rFonts w:cs="Arial"/>
        </w:rPr>
        <w:t xml:space="preserve">Heo, G.Y., Koh, H.B., Kim, H.J., Kim, K.W., Jung, C.Y., Kim, H.W., Chang, T.I., Park, J.T., Yoo, T.H., Kang, S.W. and Han, S.H. (2023) 'Association of plant protein intake with risk of incident CKD: a UK Biobank study', </w:t>
      </w:r>
      <w:r w:rsidRPr="00C07BB7">
        <w:rPr>
          <w:rFonts w:cs="Arial"/>
          <w:i/>
        </w:rPr>
        <w:t>American Journal of Kidney Diseases</w:t>
      </w:r>
      <w:r w:rsidRPr="00C07BB7">
        <w:rPr>
          <w:rFonts w:cs="Arial"/>
        </w:rPr>
        <w:t>, 82(6), pp. 687-697.e1. doi: https://doi.org/10.1053/j.ajkd.2023.05.007.</w:t>
      </w:r>
    </w:p>
    <w:p w14:paraId="763740C7" w14:textId="77777777" w:rsidR="000E117B" w:rsidRPr="00C07BB7" w:rsidRDefault="000E117B" w:rsidP="00574EFA">
      <w:pPr>
        <w:pStyle w:val="TOC2"/>
        <w:numPr>
          <w:ilvl w:val="0"/>
          <w:numId w:val="14"/>
        </w:numPr>
        <w:rPr>
          <w:rFonts w:cs="Arial"/>
        </w:rPr>
      </w:pPr>
      <w:r w:rsidRPr="00C07BB7">
        <w:rPr>
          <w:rFonts w:cs="Arial"/>
        </w:rPr>
        <w:t xml:space="preserve">Heo, G.Y., Koh, H.B., Park, J.T., Han, S.H., Kang, S.-W. and Kim, H.W. (2024) ‘Sweetened beverage intake and incident chronic kidney disease in the UK Biobank Study’, </w:t>
      </w:r>
      <w:r w:rsidRPr="00C07BB7">
        <w:rPr>
          <w:rFonts w:cs="Arial"/>
          <w:i/>
        </w:rPr>
        <w:t>JAMA Network Open</w:t>
      </w:r>
      <w:r w:rsidRPr="00C07BB7">
        <w:rPr>
          <w:rFonts w:cs="Arial"/>
        </w:rPr>
        <w:t>, 7(2), e2356885. doi: https://doi.org/10.1001/jamanetworkopen.2023.56885.</w:t>
      </w:r>
    </w:p>
    <w:p w14:paraId="40BD0D67" w14:textId="77777777" w:rsidR="000E117B" w:rsidRPr="00C07BB7" w:rsidRDefault="000E117B" w:rsidP="00574EFA">
      <w:pPr>
        <w:pStyle w:val="TOC2"/>
        <w:numPr>
          <w:ilvl w:val="0"/>
          <w:numId w:val="14"/>
        </w:numPr>
        <w:rPr>
          <w:rFonts w:cs="Arial"/>
        </w:rPr>
      </w:pPr>
      <w:r w:rsidRPr="00C07BB7">
        <w:rPr>
          <w:rFonts w:cs="Arial"/>
        </w:rPr>
        <w:t xml:space="preserve">Hirst, J.A., Hill, N., O'Callaghan, C.A., Lasserson, D., McManus, R.J., Ogburn, E., Ordonez-Mena, J.M., Shine, B., Taylor, C.J., Vazquez-Montes, M.D., Yang, Y. and Hobbs, F.D.R. (2020) 'Prevalence of chronic kidney disease in the community using data from OxRen: a UK population-based cohort study', </w:t>
      </w:r>
      <w:r w:rsidRPr="00C07BB7">
        <w:rPr>
          <w:rFonts w:cs="Arial"/>
          <w:i/>
        </w:rPr>
        <w:t>British Journal of General Practice</w:t>
      </w:r>
      <w:r w:rsidRPr="00C07BB7">
        <w:rPr>
          <w:rFonts w:cs="Arial"/>
        </w:rPr>
        <w:t>, 70(693), pp. e285-e293. doi: https://doi.org/10.3399/bjgp20X708245.</w:t>
      </w:r>
    </w:p>
    <w:p w14:paraId="2FB7ECAE" w14:textId="77777777" w:rsidR="000E117B" w:rsidRPr="00C07BB7" w:rsidRDefault="000E117B" w:rsidP="00574EFA">
      <w:pPr>
        <w:pStyle w:val="TOC2"/>
        <w:numPr>
          <w:ilvl w:val="0"/>
          <w:numId w:val="14"/>
        </w:numPr>
        <w:rPr>
          <w:rFonts w:cs="Arial"/>
        </w:rPr>
      </w:pPr>
      <w:r w:rsidRPr="00C07BB7">
        <w:rPr>
          <w:rFonts w:cs="Arial"/>
        </w:rPr>
        <w:t xml:space="preserve">Honigberg, M.C., Zekavat, S.M., Pirruccello, J.P., Natarajan, P. and Vaduganathan, M. (2021) 'Cardiovascular and kidney outcomes across the glycemic spectrum: insights from the UK Biobank', </w:t>
      </w:r>
      <w:r w:rsidRPr="00C07BB7">
        <w:rPr>
          <w:rFonts w:cs="Arial"/>
          <w:i/>
        </w:rPr>
        <w:t>Journal of the American College of Cardiology</w:t>
      </w:r>
      <w:r w:rsidRPr="00C07BB7">
        <w:rPr>
          <w:rFonts w:cs="Arial"/>
        </w:rPr>
        <w:t>, 78(5), pp. 453-464. doi: https://doi.org/10.1016/j.jacc.2021.05.004.</w:t>
      </w:r>
    </w:p>
    <w:p w14:paraId="3DFF94E5" w14:textId="77777777" w:rsidR="000E117B" w:rsidRPr="00C07BB7" w:rsidRDefault="000E117B" w:rsidP="00574EFA">
      <w:pPr>
        <w:pStyle w:val="TOC2"/>
        <w:numPr>
          <w:ilvl w:val="0"/>
          <w:numId w:val="14"/>
        </w:numPr>
        <w:rPr>
          <w:rFonts w:cs="Arial"/>
        </w:rPr>
      </w:pPr>
      <w:r w:rsidRPr="00C07BB7">
        <w:rPr>
          <w:rFonts w:cs="Arial"/>
        </w:rPr>
        <w:t xml:space="preserve">Hull, K.L., Reast, J., Clair, C., Kent, J., Moore, M., Pittaway, S., Revell, P. and Burton, J.O. (2024) ‘UK survey of patient and caregiver perspectives on the impact of chronic kidney disease-associated anaemia’, </w:t>
      </w:r>
      <w:r w:rsidRPr="00C07BB7">
        <w:rPr>
          <w:rFonts w:cs="Arial"/>
          <w:i/>
        </w:rPr>
        <w:t>BMJ Open</w:t>
      </w:r>
      <w:r w:rsidRPr="00C07BB7">
        <w:rPr>
          <w:rFonts w:cs="Arial"/>
        </w:rPr>
        <w:t>, 14(8), e087802. doi: https://doi.org/10.1136/bmjopen-2024-087802.</w:t>
      </w:r>
    </w:p>
    <w:p w14:paraId="10FFEC30" w14:textId="77777777" w:rsidR="000E117B" w:rsidRPr="00C07BB7" w:rsidRDefault="000E117B" w:rsidP="00574EFA">
      <w:pPr>
        <w:pStyle w:val="TOC2"/>
        <w:numPr>
          <w:ilvl w:val="0"/>
          <w:numId w:val="14"/>
        </w:numPr>
        <w:rPr>
          <w:rFonts w:cs="Arial"/>
        </w:rPr>
      </w:pPr>
      <w:r w:rsidRPr="00C07BB7">
        <w:rPr>
          <w:rFonts w:cs="Arial"/>
        </w:rPr>
        <w:t xml:space="preserve">Jani, B.D., Hanlon, P., Nicholl, B.I., McQueenie, R., Gallacher, K.I., Lee, D. and Mair, F.S. (2019) 'Relationship between multimorbidity, demographic factors and mortality: findings from the UK Biobank cohort', </w:t>
      </w:r>
      <w:r w:rsidRPr="00C07BB7">
        <w:rPr>
          <w:rFonts w:cs="Arial"/>
          <w:i/>
        </w:rPr>
        <w:t>BMC Medicine</w:t>
      </w:r>
      <w:r w:rsidRPr="00C07BB7">
        <w:rPr>
          <w:rFonts w:cs="Arial"/>
        </w:rPr>
        <w:t>, 17(1), 74. doi: https://doi.org/10.1186/s12916-019-1305-x.</w:t>
      </w:r>
    </w:p>
    <w:p w14:paraId="45149C7E" w14:textId="77777777" w:rsidR="000E117B" w:rsidRPr="00C07BB7" w:rsidRDefault="000E117B" w:rsidP="00574EFA">
      <w:pPr>
        <w:pStyle w:val="TOC2"/>
        <w:numPr>
          <w:ilvl w:val="0"/>
          <w:numId w:val="14"/>
        </w:numPr>
        <w:rPr>
          <w:rFonts w:cs="Arial"/>
        </w:rPr>
      </w:pPr>
      <w:r w:rsidRPr="00C07BB7">
        <w:rPr>
          <w:rFonts w:cs="Arial"/>
        </w:rPr>
        <w:t xml:space="preserve">Jansz, T.T., Young, K.G., Hopkins, R., McGovern, A.P., Shields, B.M., Hattersley, A.T., Jones, A.G., Pearson, E.R., Bingham, C., Oram, R.A., Dennis, J.M. and MASTERMIND Consortium (2026) ‘Precision medicine in type 2 diabetes: targeting SGLT2 inhibitor treatment for kidney protection’, </w:t>
      </w:r>
      <w:r w:rsidRPr="00C07BB7">
        <w:rPr>
          <w:rFonts w:cs="Arial"/>
          <w:i/>
        </w:rPr>
        <w:t>Diabetologia</w:t>
      </w:r>
      <w:r w:rsidRPr="00C07BB7">
        <w:rPr>
          <w:rFonts w:cs="Arial"/>
        </w:rPr>
        <w:t>, 69(2), pp.374–385. doi:10.1007/s00125-025-06577-2.</w:t>
      </w:r>
    </w:p>
    <w:p w14:paraId="42C46A4F" w14:textId="77777777" w:rsidR="000E117B" w:rsidRPr="00574EFA" w:rsidRDefault="000E117B" w:rsidP="00574EFA">
      <w:pPr>
        <w:pStyle w:val="ListParagraph"/>
        <w:numPr>
          <w:ilvl w:val="0"/>
          <w:numId w:val="14"/>
        </w:numPr>
        <w:rPr>
          <w:rFonts w:cs="Arial"/>
        </w:rPr>
      </w:pPr>
      <w:r w:rsidRPr="00574EFA">
        <w:rPr>
          <w:rFonts w:cs="Arial"/>
        </w:rPr>
        <w:t xml:space="preserve">Jin, T., Wu, Y., Zhang, S., Peng, Y., Lin, Y., Zhou, S., Liu, H. and Yu, P. (2025) ‘The association between metabolomic profiles of lifestyle and the latent phase of incident chronic kidney disease in the UK population’, </w:t>
      </w:r>
      <w:r w:rsidRPr="00574EFA">
        <w:rPr>
          <w:rFonts w:cs="Arial"/>
          <w:i/>
          <w:iCs/>
        </w:rPr>
        <w:t>Scientific Reports</w:t>
      </w:r>
      <w:r w:rsidRPr="00574EFA">
        <w:rPr>
          <w:rFonts w:cs="Arial"/>
        </w:rPr>
        <w:t xml:space="preserve">, 15(1), 2299. doi:10.1038/s41598-025-86030-x. </w:t>
      </w:r>
    </w:p>
    <w:p w14:paraId="042F3F0E" w14:textId="77777777" w:rsidR="000E117B" w:rsidRPr="00C07BB7" w:rsidRDefault="000E117B" w:rsidP="00574EFA">
      <w:pPr>
        <w:pStyle w:val="TOC2"/>
        <w:numPr>
          <w:ilvl w:val="0"/>
          <w:numId w:val="14"/>
        </w:numPr>
        <w:rPr>
          <w:rFonts w:cs="Arial"/>
        </w:rPr>
      </w:pPr>
      <w:r w:rsidRPr="00C07BB7">
        <w:rPr>
          <w:rFonts w:cs="Arial"/>
        </w:rPr>
        <w:t xml:space="preserve">Jones, P., O’Keeffe, H., Major, R.W., Ritchie, J., Sanganee, N., Sinha, S. and Burton, J.O. (2025) ‘Implementing a model of integrated CKD management between primary and secondary care’, </w:t>
      </w:r>
      <w:r w:rsidRPr="00C07BB7">
        <w:rPr>
          <w:rFonts w:cs="Arial"/>
          <w:i/>
        </w:rPr>
        <w:t>Clinical Kidney Journal</w:t>
      </w:r>
      <w:r w:rsidRPr="00C07BB7">
        <w:rPr>
          <w:rFonts w:cs="Arial"/>
        </w:rPr>
        <w:t>, 19(1), p.sfaf335. doi:10.1093/ckj/sfaf335.</w:t>
      </w:r>
    </w:p>
    <w:p w14:paraId="2392B436" w14:textId="77777777" w:rsidR="000E117B" w:rsidRPr="00C07BB7" w:rsidRDefault="000E117B" w:rsidP="00574EFA">
      <w:pPr>
        <w:pStyle w:val="TOC2"/>
        <w:numPr>
          <w:ilvl w:val="0"/>
          <w:numId w:val="14"/>
        </w:numPr>
        <w:rPr>
          <w:rFonts w:cs="Arial"/>
        </w:rPr>
      </w:pPr>
      <w:r w:rsidRPr="00C07BB7">
        <w:rPr>
          <w:rFonts w:cs="Arial"/>
        </w:rPr>
        <w:t xml:space="preserve">Kaklamanou, D., Nguyen, L., Al-Abbadey, M., Sangala, N. and Lewis, R. (2024) ‘Attitudes towards digital health technology for the care of people with chronic kidney disease: a technology acceptance model exploration’, </w:t>
      </w:r>
      <w:r w:rsidRPr="00C07BB7">
        <w:rPr>
          <w:rFonts w:cs="Arial"/>
          <w:i/>
        </w:rPr>
        <w:t>PLOS Digital Health</w:t>
      </w:r>
      <w:r w:rsidRPr="00C07BB7">
        <w:rPr>
          <w:rFonts w:cs="Arial"/>
        </w:rPr>
        <w:t>, 3(10), e0000614. doi: https://doi.org/10.1371/journal.pdig.0000614.</w:t>
      </w:r>
    </w:p>
    <w:p w14:paraId="4E1830F7" w14:textId="77777777" w:rsidR="000E117B" w:rsidRPr="00C07BB7" w:rsidRDefault="000E117B" w:rsidP="00574EFA">
      <w:pPr>
        <w:pStyle w:val="TOC2"/>
        <w:numPr>
          <w:ilvl w:val="0"/>
          <w:numId w:val="14"/>
        </w:numPr>
        <w:rPr>
          <w:rFonts w:cs="Arial"/>
        </w:rPr>
      </w:pPr>
      <w:r w:rsidRPr="00C07BB7">
        <w:rPr>
          <w:rFonts w:cs="Arial"/>
        </w:rPr>
        <w:t>Kidney Research UK (2023) Kidney disease: a UK public health emergency. Available at: https://www.kidneyresearchuk.org/wp-content/uploads/2023/06/Economics-of-Kidney-Disease-full-report_accessible.pdf.</w:t>
      </w:r>
    </w:p>
    <w:p w14:paraId="111B5A29" w14:textId="77777777" w:rsidR="000E117B" w:rsidRPr="00C07BB7" w:rsidRDefault="000E117B" w:rsidP="00574EFA">
      <w:pPr>
        <w:pStyle w:val="TOC2"/>
        <w:numPr>
          <w:ilvl w:val="0"/>
          <w:numId w:val="14"/>
        </w:numPr>
        <w:rPr>
          <w:rFonts w:cs="Arial"/>
        </w:rPr>
      </w:pPr>
      <w:r w:rsidRPr="00C07BB7">
        <w:rPr>
          <w:rFonts w:cs="Arial"/>
        </w:rPr>
        <w:t xml:space="preserve">Kim, H.J., Koh, H.B., Jung, C.-Y., Kim, H.W., Park, J.T., Chang, T.I., Yoo, T.-H., Kang, S.-W. and Han, S.H. (2026) ‘Association between Mediterranean lifestyle and lower risk of chronic kidney disease: a population-based prospective study’, </w:t>
      </w:r>
      <w:r w:rsidRPr="00C07BB7">
        <w:rPr>
          <w:rFonts w:cs="Arial"/>
          <w:i/>
        </w:rPr>
        <w:t>Mayo Clinic Proceedings</w:t>
      </w:r>
      <w:r w:rsidRPr="00C07BB7">
        <w:rPr>
          <w:rFonts w:cs="Arial"/>
        </w:rPr>
        <w:t>, 101(1), pp.49–62. doi:10.1016/j.mayocp.2025.05.031.</w:t>
      </w:r>
    </w:p>
    <w:p w14:paraId="615E95FC" w14:textId="77777777" w:rsidR="000E117B" w:rsidRPr="00C07BB7" w:rsidRDefault="000E117B" w:rsidP="00574EFA">
      <w:pPr>
        <w:pStyle w:val="TOC2"/>
        <w:numPr>
          <w:ilvl w:val="0"/>
          <w:numId w:val="14"/>
        </w:numPr>
        <w:rPr>
          <w:rFonts w:cs="Arial"/>
        </w:rPr>
      </w:pPr>
      <w:r w:rsidRPr="00C07BB7">
        <w:rPr>
          <w:rFonts w:cs="Arial"/>
        </w:rPr>
        <w:t xml:space="preserve">Kim, K., Cho, W.-H., Hwang, S.D., Lee, S.W. and Song, J.H. (2024) ‘Association between constipation and incident chronic kidney disease in the UK Biobank study’, </w:t>
      </w:r>
      <w:r w:rsidRPr="00C07BB7">
        <w:rPr>
          <w:rFonts w:cs="Arial"/>
          <w:i/>
        </w:rPr>
        <w:t>Scientific Reports</w:t>
      </w:r>
      <w:r w:rsidRPr="00C07BB7">
        <w:rPr>
          <w:rFonts w:cs="Arial"/>
        </w:rPr>
        <w:t>, 14. doi: https://doi.org/10.1038/s41598-024-83855-w.</w:t>
      </w:r>
    </w:p>
    <w:p w14:paraId="04ACBC24" w14:textId="77777777" w:rsidR="000E117B" w:rsidRPr="00C07BB7" w:rsidRDefault="000E117B" w:rsidP="00574EFA">
      <w:pPr>
        <w:pStyle w:val="TOC2"/>
        <w:numPr>
          <w:ilvl w:val="0"/>
          <w:numId w:val="14"/>
        </w:numPr>
        <w:rPr>
          <w:rFonts w:cs="Arial"/>
        </w:rPr>
      </w:pPr>
      <w:r w:rsidRPr="00C07BB7">
        <w:rPr>
          <w:rFonts w:cs="Arial"/>
        </w:rPr>
        <w:t xml:space="preserve">Kim, L.G., Cleary, F., Wheeler, D.C., Caplin, B., Nitsch, D., Hull, S.A. and UK National Chronic Kidney Disease Audit (2018) 'How do primary care doctors in England and Wales code and manage people with chronic kidney disease? Results from the National Chronic Kidney Disease Audit', </w:t>
      </w:r>
      <w:r w:rsidRPr="00C07BB7">
        <w:rPr>
          <w:rFonts w:cs="Arial"/>
          <w:i/>
        </w:rPr>
        <w:t>Nephrology Dialysis Transplantation</w:t>
      </w:r>
      <w:r w:rsidRPr="00C07BB7">
        <w:rPr>
          <w:rFonts w:cs="Arial"/>
        </w:rPr>
        <w:t>, 33(8), pp. 1373-1379. doi: https://doi.org/10.1093/ndt/gfx280.</w:t>
      </w:r>
    </w:p>
    <w:p w14:paraId="71BA7184" w14:textId="77777777" w:rsidR="000E117B" w:rsidRPr="00C07BB7" w:rsidRDefault="000E117B" w:rsidP="00574EFA">
      <w:pPr>
        <w:pStyle w:val="TOC2"/>
        <w:numPr>
          <w:ilvl w:val="0"/>
          <w:numId w:val="14"/>
        </w:numPr>
        <w:rPr>
          <w:rFonts w:cs="Arial"/>
        </w:rPr>
      </w:pPr>
      <w:r w:rsidRPr="00C07BB7">
        <w:rPr>
          <w:rFonts w:cs="Arial"/>
        </w:rPr>
        <w:t xml:space="preserve">Koh, H.B., Kim, H.J., Heo, G.Y., Kim, H.W., Jung, C.-Y., Han, S.H., Yoo, T.-H., Kang, S.-W. and Park, J.T. (2024) ‘Association between dietary magnesium intake and incident chronic kidney disease: a prospective observational cohort study’, </w:t>
      </w:r>
      <w:r w:rsidRPr="00C07BB7">
        <w:rPr>
          <w:rFonts w:cs="Arial"/>
          <w:i/>
        </w:rPr>
        <w:t>The American Journal of Clinical Nutrition</w:t>
      </w:r>
      <w:r w:rsidRPr="00C07BB7">
        <w:rPr>
          <w:rFonts w:cs="Arial"/>
        </w:rPr>
        <w:t>, 120(4), pp.964–972. doi:10.1016/j.ajcnut.2024.08.009.</w:t>
      </w:r>
    </w:p>
    <w:p w14:paraId="18A1B6E3" w14:textId="77777777" w:rsidR="000E117B" w:rsidRPr="00C07BB7" w:rsidRDefault="000E117B" w:rsidP="00574EFA">
      <w:pPr>
        <w:pStyle w:val="TOC2"/>
        <w:numPr>
          <w:ilvl w:val="0"/>
          <w:numId w:val="14"/>
        </w:numPr>
        <w:rPr>
          <w:rFonts w:cs="Arial"/>
        </w:rPr>
      </w:pPr>
      <w:r w:rsidRPr="00C07BB7">
        <w:rPr>
          <w:rFonts w:cs="Arial"/>
        </w:rPr>
        <w:t xml:space="preserve">Korsa, A., Tesfaye, W., Sud, K., Krass, I. and Castelino, R. (2025) ‘Risk factor-based screening for early detection of chronic kidney disease in primary care settings: a systematic review’, </w:t>
      </w:r>
      <w:r w:rsidRPr="00C07BB7">
        <w:rPr>
          <w:rFonts w:cs="Arial"/>
          <w:i/>
        </w:rPr>
        <w:t>Kidney Medicine</w:t>
      </w:r>
      <w:r w:rsidRPr="00C07BB7">
        <w:rPr>
          <w:rFonts w:cs="Arial"/>
        </w:rPr>
        <w:t>, 7(4), 100979. doi: https://doi.org/10.1016/j.xkme.2025.100979.</w:t>
      </w:r>
    </w:p>
    <w:p w14:paraId="0EF1E587" w14:textId="77777777" w:rsidR="000E117B" w:rsidRPr="00C07BB7" w:rsidRDefault="000E117B" w:rsidP="00574EFA">
      <w:pPr>
        <w:pStyle w:val="TOC2"/>
        <w:numPr>
          <w:ilvl w:val="0"/>
          <w:numId w:val="14"/>
        </w:numPr>
        <w:rPr>
          <w:rFonts w:cs="Arial"/>
        </w:rPr>
      </w:pPr>
      <w:r w:rsidRPr="00C07BB7">
        <w:rPr>
          <w:rFonts w:cs="Arial"/>
        </w:rPr>
        <w:t xml:space="preserve">Lan, R. et al. (2023) ‘Secondhand smoke, genetic susceptibility, and incident chronic kidney disease in never smokers: a prospective study of a selected population from the UK Biobank’, </w:t>
      </w:r>
      <w:r w:rsidRPr="00C07BB7">
        <w:rPr>
          <w:rFonts w:cs="Arial"/>
          <w:i/>
        </w:rPr>
        <w:t>Tobacco Induced Diseases</w:t>
      </w:r>
      <w:r w:rsidRPr="00C07BB7">
        <w:rPr>
          <w:rFonts w:cs="Arial"/>
        </w:rPr>
        <w:t>, 21, 58. doi:10.18332/tid/162607.</w:t>
      </w:r>
    </w:p>
    <w:p w14:paraId="70FF3552" w14:textId="77777777" w:rsidR="000E117B" w:rsidRPr="00C07BB7" w:rsidRDefault="000E117B" w:rsidP="00574EFA">
      <w:pPr>
        <w:pStyle w:val="TOC2"/>
        <w:numPr>
          <w:ilvl w:val="0"/>
          <w:numId w:val="14"/>
        </w:numPr>
        <w:rPr>
          <w:rFonts w:cs="Arial"/>
        </w:rPr>
      </w:pPr>
      <w:r w:rsidRPr="00C07BB7">
        <w:rPr>
          <w:rFonts w:cs="Arial"/>
        </w:rPr>
        <w:t xml:space="preserve">Lees, J.S., Rutherford, E., Stevens, K.I., Chen, D.C., Scherzer, R., Estrella, M.M., Sullivan, M.K., Ebert, N., Mark, P.B. and Shlipak, M.G. (2022) 'Assessment of cystatin C level for risk stratification in adults with chronic kidney disease', </w:t>
      </w:r>
      <w:r w:rsidRPr="00C07BB7">
        <w:rPr>
          <w:rFonts w:cs="Arial"/>
          <w:i/>
        </w:rPr>
        <w:t>JAMA Network Open</w:t>
      </w:r>
      <w:r w:rsidRPr="00C07BB7">
        <w:rPr>
          <w:rFonts w:cs="Arial"/>
        </w:rPr>
        <w:t>, 5(10), e2238300. doi: https://doi.org/10.1001/jamanetworkopen.2022.38300.</w:t>
      </w:r>
    </w:p>
    <w:p w14:paraId="09AD7D5C" w14:textId="77777777" w:rsidR="000E117B" w:rsidRPr="00C07BB7" w:rsidRDefault="000E117B" w:rsidP="00574EFA">
      <w:pPr>
        <w:pStyle w:val="TOC2"/>
        <w:numPr>
          <w:ilvl w:val="0"/>
          <w:numId w:val="14"/>
        </w:numPr>
        <w:rPr>
          <w:rFonts w:cs="Arial"/>
        </w:rPr>
      </w:pPr>
      <w:r w:rsidRPr="00C07BB7">
        <w:rPr>
          <w:rFonts w:cs="Arial"/>
        </w:rPr>
        <w:t xml:space="preserve">Lees, J.S., Welsh, C.E., Celis-Morales, C.A., Mackay, D., Lewsey, J., Gray, S.R., Lyall, D.M., Cleland, J.G., Gill, J.M.R., Jhund, P.S., Pell, J., Sattar, N., Welsh, P. and Mark, P.B. (2019) 'Glomerular filtration rate by differing measures, albuminuria and prediction of cardiovascular disease, mortality and end-stage kidney disease', </w:t>
      </w:r>
      <w:r w:rsidRPr="00C07BB7">
        <w:rPr>
          <w:rFonts w:cs="Arial"/>
          <w:i/>
        </w:rPr>
        <w:t>Nature Medicine</w:t>
      </w:r>
      <w:r w:rsidRPr="00C07BB7">
        <w:rPr>
          <w:rFonts w:cs="Arial"/>
        </w:rPr>
        <w:t>, 25(11), pp. 1753-1760. doi: https://doi.org/10.1038/s41591-019-0627-8.</w:t>
      </w:r>
    </w:p>
    <w:p w14:paraId="5FAEDB8E" w14:textId="77777777" w:rsidR="000E117B" w:rsidRPr="00C07BB7" w:rsidRDefault="000E117B" w:rsidP="00574EFA">
      <w:pPr>
        <w:pStyle w:val="TOC2"/>
        <w:numPr>
          <w:ilvl w:val="0"/>
          <w:numId w:val="14"/>
        </w:numPr>
        <w:rPr>
          <w:rFonts w:cs="Arial"/>
        </w:rPr>
      </w:pPr>
      <w:r w:rsidRPr="00C07BB7">
        <w:rPr>
          <w:rFonts w:cs="Arial"/>
        </w:rPr>
        <w:t xml:space="preserve">Levin, A., Ahmed, S.B., Carrero, J.J., Foster, B., Francis, A., Hall, R.K., Herrington, W.G., Hill, G., Inker, L.A., Kazancıoğlu, R. and others (2024) ‘Executive summary of the KDIGO 2024 clinical practice guideline for the evaluation and management of chronic kidney disease’, </w:t>
      </w:r>
      <w:r w:rsidRPr="00C07BB7">
        <w:rPr>
          <w:rFonts w:cs="Arial"/>
          <w:i/>
        </w:rPr>
        <w:t>Kidney International</w:t>
      </w:r>
      <w:r w:rsidRPr="00C07BB7">
        <w:rPr>
          <w:rFonts w:cs="Arial"/>
        </w:rPr>
        <w:t>, 105(4), pp. 684–701. doi: https://doi.org/10.1016/j.kint.2023.10.016.</w:t>
      </w:r>
    </w:p>
    <w:p w14:paraId="5229CC13" w14:textId="77777777" w:rsidR="000E117B" w:rsidRPr="00C07BB7" w:rsidRDefault="000E117B" w:rsidP="00574EFA">
      <w:pPr>
        <w:pStyle w:val="TOC2"/>
        <w:numPr>
          <w:ilvl w:val="0"/>
          <w:numId w:val="14"/>
        </w:numPr>
        <w:rPr>
          <w:rFonts w:cs="Arial"/>
        </w:rPr>
      </w:pPr>
      <w:r w:rsidRPr="00C07BB7">
        <w:rPr>
          <w:rFonts w:cs="Arial"/>
        </w:rPr>
        <w:t xml:space="preserve">Li, H., Li, C., Zhang, C., Ying, Z., Wu, C., Zeng, X. and Bao, J. (2025) ‘Psychiatric disorders and following risk of chronic kidney disease: a prospective cohort study from UK Biobank’, </w:t>
      </w:r>
      <w:r w:rsidRPr="00C07BB7">
        <w:rPr>
          <w:rFonts w:cs="Arial"/>
          <w:i/>
        </w:rPr>
        <w:t>BMC Psychiatry</w:t>
      </w:r>
      <w:r w:rsidRPr="00C07BB7">
        <w:rPr>
          <w:rFonts w:cs="Arial"/>
        </w:rPr>
        <w:t>, 25(1). doi: https://doi.org/10.1186/s12888-024-06461-0.</w:t>
      </w:r>
    </w:p>
    <w:p w14:paraId="2886C78D" w14:textId="77777777" w:rsidR="000E117B" w:rsidRPr="00C07BB7" w:rsidRDefault="000E117B" w:rsidP="00574EFA">
      <w:pPr>
        <w:pStyle w:val="TOC2"/>
        <w:numPr>
          <w:ilvl w:val="0"/>
          <w:numId w:val="14"/>
        </w:numPr>
        <w:rPr>
          <w:rFonts w:cs="Arial"/>
        </w:rPr>
      </w:pPr>
      <w:r w:rsidRPr="00C07BB7">
        <w:rPr>
          <w:rFonts w:cs="Arial"/>
        </w:rPr>
        <w:t xml:space="preserve">Li, H., Li, C., Zhang, C., Ying, Z., Wu, C., Zeng, X. and Bao, J. (2025) ‘Psychiatric disorders and following risk of chronic kidney disease: a prospective cohort study from UK Biobank’, </w:t>
      </w:r>
      <w:r w:rsidRPr="00C07BB7">
        <w:rPr>
          <w:rFonts w:cs="Arial"/>
          <w:i/>
        </w:rPr>
        <w:t>BMC Psychiatry</w:t>
      </w:r>
      <w:r w:rsidRPr="00C07BB7">
        <w:rPr>
          <w:rFonts w:cs="Arial"/>
        </w:rPr>
        <w:t>, 25, 109. doi:10.1186/s12888-024-06461-0.</w:t>
      </w:r>
    </w:p>
    <w:p w14:paraId="55A22D1C" w14:textId="77777777" w:rsidR="000E117B" w:rsidRPr="00C07BB7" w:rsidRDefault="000E117B" w:rsidP="00574EFA">
      <w:pPr>
        <w:pStyle w:val="TOC2"/>
        <w:numPr>
          <w:ilvl w:val="0"/>
          <w:numId w:val="14"/>
        </w:numPr>
        <w:rPr>
          <w:rFonts w:cs="Arial"/>
        </w:rPr>
      </w:pPr>
      <w:r w:rsidRPr="00C07BB7">
        <w:rPr>
          <w:rFonts w:cs="Arial"/>
        </w:rPr>
        <w:t xml:space="preserve">Lightfoot, C.J., Wilkinson, T.J., Graham-Brown, M.P.M. and Smith, A.C. (2025) ‘Supporting people with chronic kidney disease to self-manage their condition: understanding the lived experiences, needs and requirements, and barriers and facilitators’, </w:t>
      </w:r>
      <w:r w:rsidRPr="00C07BB7">
        <w:rPr>
          <w:rFonts w:cs="Arial"/>
          <w:i/>
        </w:rPr>
        <w:t>Journal of Nephrology</w:t>
      </w:r>
      <w:r w:rsidRPr="00C07BB7">
        <w:rPr>
          <w:rFonts w:cs="Arial"/>
        </w:rPr>
        <w:t>, 38(7), pp. 1969–1984. doi:10.1007/s40620-025-02349-8.</w:t>
      </w:r>
    </w:p>
    <w:p w14:paraId="49A9708D" w14:textId="77777777" w:rsidR="000E117B" w:rsidRPr="00574EFA" w:rsidRDefault="000E117B" w:rsidP="00574EFA">
      <w:pPr>
        <w:pStyle w:val="ListParagraph"/>
        <w:numPr>
          <w:ilvl w:val="0"/>
          <w:numId w:val="14"/>
        </w:numPr>
        <w:rPr>
          <w:rFonts w:cs="Arial"/>
        </w:rPr>
      </w:pPr>
      <w:r w:rsidRPr="00574EFA">
        <w:rPr>
          <w:rFonts w:cs="Arial"/>
        </w:rPr>
        <w:t xml:space="preserve">Lin, X., Lv, J., Zhang, S., Ma, X., Zhang, X., Wang, C. and Zhang, T. (2024) ‘Healthy lifestyle behaviors attenuate the effect of poor sleep patterns on chronic kidney disease risk: a prospective study from the UK Biobank’, </w:t>
      </w:r>
      <w:r w:rsidRPr="00574EFA">
        <w:rPr>
          <w:rFonts w:cs="Arial"/>
          <w:i/>
          <w:iCs/>
        </w:rPr>
        <w:t>Nutrients</w:t>
      </w:r>
      <w:r w:rsidRPr="00574EFA">
        <w:rPr>
          <w:rFonts w:cs="Arial"/>
        </w:rPr>
        <w:t xml:space="preserve">, 16(23), 4238. doi:10.3390/nu16234238. </w:t>
      </w:r>
    </w:p>
    <w:p w14:paraId="044FA1D9" w14:textId="77777777" w:rsidR="000E117B" w:rsidRPr="00C07BB7" w:rsidRDefault="000E117B" w:rsidP="00574EFA">
      <w:pPr>
        <w:pStyle w:val="TOC2"/>
        <w:numPr>
          <w:ilvl w:val="0"/>
          <w:numId w:val="14"/>
        </w:numPr>
        <w:rPr>
          <w:rFonts w:cs="Arial"/>
        </w:rPr>
      </w:pPr>
      <w:r w:rsidRPr="00C07BB7">
        <w:rPr>
          <w:rFonts w:cs="Arial"/>
        </w:rPr>
        <w:t xml:space="preserve">Lindemann, C.H., Medcalf, J., Hollinshead, J. and Nitsch, D. (2025) ‘The association between coding for chronic kidney disease and kidney replacement therapy incidence at CCG-level in England: an ecological study’, </w:t>
      </w:r>
      <w:r w:rsidRPr="00C07BB7">
        <w:rPr>
          <w:rFonts w:cs="Arial"/>
          <w:i/>
        </w:rPr>
        <w:t>BJGP Open</w:t>
      </w:r>
      <w:r w:rsidRPr="00C07BB7">
        <w:rPr>
          <w:rFonts w:cs="Arial"/>
        </w:rPr>
        <w:t>, 9(3), p.BJGPO.2024.0171. doi:10.3399/BJGPO.2024.0171.</w:t>
      </w:r>
    </w:p>
    <w:p w14:paraId="7E00C663" w14:textId="77777777" w:rsidR="000E117B" w:rsidRPr="00C07BB7" w:rsidRDefault="000E117B" w:rsidP="00574EFA">
      <w:pPr>
        <w:pStyle w:val="TOC2"/>
        <w:numPr>
          <w:ilvl w:val="0"/>
          <w:numId w:val="14"/>
        </w:numPr>
        <w:rPr>
          <w:rFonts w:cs="Arial"/>
        </w:rPr>
      </w:pPr>
      <w:r w:rsidRPr="00C07BB7">
        <w:rPr>
          <w:rFonts w:cs="Arial"/>
        </w:rPr>
        <w:t xml:space="preserve">Liu, H., Wang, Z., Zhou, S., Lin, Y., Ma, G., Zhang, R. and Yu, P. (2026) ‘Association of physical activity with incident chronic kidney disease in patients with cardiovascular metabolic disease: a UK Biobank observational study’, </w:t>
      </w:r>
      <w:r w:rsidRPr="00C07BB7">
        <w:rPr>
          <w:rFonts w:cs="Arial"/>
          <w:i/>
        </w:rPr>
        <w:t>Journal of Science and Medicine in Sport</w:t>
      </w:r>
      <w:r w:rsidRPr="00C07BB7">
        <w:rPr>
          <w:rFonts w:cs="Arial"/>
        </w:rPr>
        <w:t>, 29(1), pp.69–78. doi:10.1016/j.jsams.2025.08.020.</w:t>
      </w:r>
    </w:p>
    <w:p w14:paraId="7EC7CBE2" w14:textId="77777777" w:rsidR="000E117B" w:rsidRPr="00C07BB7" w:rsidRDefault="000E117B" w:rsidP="00574EFA">
      <w:pPr>
        <w:pStyle w:val="TOC2"/>
        <w:numPr>
          <w:ilvl w:val="0"/>
          <w:numId w:val="14"/>
        </w:numPr>
        <w:rPr>
          <w:rFonts w:cs="Arial"/>
        </w:rPr>
      </w:pPr>
      <w:r w:rsidRPr="00C07BB7">
        <w:rPr>
          <w:rFonts w:cs="Arial"/>
        </w:rPr>
        <w:t xml:space="preserve">Liu, M., Ye, Z., He, P., Yang, S., Zhang, Y., Zhou, C., Zhang, Y., Gan, X. and Qin, X. (2023) 'Relations of residential green and blue spaces with new-onset chronic kidney disease', </w:t>
      </w:r>
      <w:r w:rsidRPr="00C07BB7">
        <w:rPr>
          <w:rFonts w:cs="Arial"/>
          <w:i/>
        </w:rPr>
        <w:t>Science of the Total Environment</w:t>
      </w:r>
      <w:r w:rsidRPr="00C07BB7">
        <w:rPr>
          <w:rFonts w:cs="Arial"/>
        </w:rPr>
        <w:t>, 869, 161788. doi: https://doi.org/10.1016/j.scitotenv.2023.161788.</w:t>
      </w:r>
    </w:p>
    <w:p w14:paraId="51E58A1F" w14:textId="77777777" w:rsidR="000E117B" w:rsidRPr="00574EFA" w:rsidRDefault="000E117B" w:rsidP="00574EFA">
      <w:pPr>
        <w:pStyle w:val="ListParagraph"/>
        <w:numPr>
          <w:ilvl w:val="0"/>
          <w:numId w:val="14"/>
        </w:numPr>
        <w:rPr>
          <w:rFonts w:cs="Arial"/>
        </w:rPr>
      </w:pPr>
      <w:r w:rsidRPr="00574EFA">
        <w:rPr>
          <w:rFonts w:cs="Arial"/>
        </w:rPr>
        <w:t xml:space="preserve">Liu, Q., Celis-Morales, C., Lees, J.S., Sattar, N., Ho, F.K., Pell, J.P., Mark, P.B. and Welsh, P. (2024) ‘Change in physical activity and its association with decline in kidney function: a UK Biobank-based cohort study’, </w:t>
      </w:r>
      <w:r w:rsidRPr="00574EFA">
        <w:rPr>
          <w:rFonts w:cs="Arial"/>
          <w:i/>
          <w:iCs/>
        </w:rPr>
        <w:t>Journal of Cachexia, Sarcopenia and Muscle</w:t>
      </w:r>
      <w:r w:rsidRPr="00574EFA">
        <w:rPr>
          <w:rFonts w:cs="Arial"/>
        </w:rPr>
        <w:t xml:space="preserve">, 15(5), pp. 2046–2055. doi:10.1002/jcsm.13551. </w:t>
      </w:r>
    </w:p>
    <w:p w14:paraId="6DF0AC30" w14:textId="77777777" w:rsidR="000E117B" w:rsidRPr="00C07BB7" w:rsidRDefault="000E117B" w:rsidP="00574EFA">
      <w:pPr>
        <w:pStyle w:val="TOC2"/>
        <w:numPr>
          <w:ilvl w:val="0"/>
          <w:numId w:val="14"/>
        </w:numPr>
        <w:rPr>
          <w:rFonts w:cs="Arial"/>
        </w:rPr>
      </w:pPr>
      <w:r w:rsidRPr="00C07BB7">
        <w:rPr>
          <w:rFonts w:cs="Arial"/>
        </w:rPr>
        <w:t xml:space="preserve">Lv, D., Wang, T., Fan, J., Hong, D., Chen, Z., Xu, Q., Zhou, D. and Xie, X. (2026) ‘Planetary health diet index, genetic susceptibility and incident chronic kidney disease: a cohort study from the UK Biobank’, </w:t>
      </w:r>
      <w:r w:rsidRPr="00C07BB7">
        <w:rPr>
          <w:rFonts w:cs="Arial"/>
          <w:i/>
        </w:rPr>
        <w:t>The Journal of Nutrition, Health and Aging</w:t>
      </w:r>
      <w:r w:rsidRPr="00C07BB7">
        <w:rPr>
          <w:rFonts w:cs="Arial"/>
        </w:rPr>
        <w:t>, 30(3), p.100777. doi:10.1016/j.jnha.2026.100777.</w:t>
      </w:r>
    </w:p>
    <w:p w14:paraId="450AA0FA" w14:textId="77777777" w:rsidR="000E117B" w:rsidRPr="00C07BB7" w:rsidRDefault="000E117B" w:rsidP="00574EFA">
      <w:pPr>
        <w:pStyle w:val="TOC2"/>
        <w:numPr>
          <w:ilvl w:val="0"/>
          <w:numId w:val="14"/>
        </w:numPr>
        <w:rPr>
          <w:rFonts w:cs="Arial"/>
        </w:rPr>
      </w:pPr>
      <w:r w:rsidRPr="00C07BB7">
        <w:rPr>
          <w:rFonts w:cs="Arial"/>
        </w:rPr>
        <w:t xml:space="preserve">MacRae, C., Mercer, S.W., Guthrie, B. and Henderson, D. (2021) 'Comorbidity in chronic kidney disease: a large cross-sectional study of prevalence in Scottish primary care', </w:t>
      </w:r>
      <w:r w:rsidRPr="00C07BB7">
        <w:rPr>
          <w:rFonts w:cs="Arial"/>
          <w:i/>
        </w:rPr>
        <w:t>British Journal of General Practice</w:t>
      </w:r>
      <w:r w:rsidRPr="00C07BB7">
        <w:rPr>
          <w:rFonts w:cs="Arial"/>
        </w:rPr>
        <w:t>, 71(704), pp. e243-e249. doi: https://doi.org/10.3399/bjgp20X714125.</w:t>
      </w:r>
    </w:p>
    <w:p w14:paraId="43CE7442" w14:textId="77777777" w:rsidR="000E117B" w:rsidRPr="00C07BB7" w:rsidRDefault="000E117B" w:rsidP="00574EFA">
      <w:pPr>
        <w:pStyle w:val="TOC2"/>
        <w:numPr>
          <w:ilvl w:val="0"/>
          <w:numId w:val="14"/>
        </w:numPr>
        <w:rPr>
          <w:rFonts w:cs="Arial"/>
        </w:rPr>
      </w:pPr>
      <w:r w:rsidRPr="00C07BB7">
        <w:rPr>
          <w:rFonts w:cs="Arial"/>
        </w:rPr>
        <w:t xml:space="preserve">Major, R.W. et al. (2025) ‘Integrated primary and secondary care optimizes the management of people with CKD—the LUCID project’, </w:t>
      </w:r>
      <w:r w:rsidRPr="00C07BB7">
        <w:rPr>
          <w:rFonts w:cs="Arial"/>
          <w:i/>
        </w:rPr>
        <w:t>Clinical Kidney Journal</w:t>
      </w:r>
      <w:r w:rsidRPr="00C07BB7">
        <w:rPr>
          <w:rFonts w:cs="Arial"/>
        </w:rPr>
        <w:t>, 18(4), sfaf049. doi:10.1093/ckj/sfaf049.</w:t>
      </w:r>
    </w:p>
    <w:p w14:paraId="624ECEDB" w14:textId="77777777" w:rsidR="000E117B" w:rsidRPr="00C07BB7" w:rsidRDefault="000E117B" w:rsidP="00574EFA">
      <w:pPr>
        <w:pStyle w:val="TOC2"/>
        <w:numPr>
          <w:ilvl w:val="0"/>
          <w:numId w:val="14"/>
        </w:numPr>
        <w:rPr>
          <w:rFonts w:cs="Arial"/>
        </w:rPr>
      </w:pPr>
      <w:r w:rsidRPr="00C07BB7">
        <w:rPr>
          <w:rFonts w:cs="Arial"/>
        </w:rPr>
        <w:t xml:space="preserve">Major, R.W., Shepherd, D., Medcalf, J.F., Xu, G., Gray, L.J. and Brunskill, N.J. (2019) 'The Kidney Failure Risk Equation for prediction of end stage renal disease in UK primary care: an external validation and clinical impact projection cohort study', </w:t>
      </w:r>
      <w:r w:rsidRPr="00C07BB7">
        <w:rPr>
          <w:rFonts w:cs="Arial"/>
          <w:i/>
        </w:rPr>
        <w:t>PLOS Medicine</w:t>
      </w:r>
      <w:r w:rsidRPr="00C07BB7">
        <w:rPr>
          <w:rFonts w:cs="Arial"/>
        </w:rPr>
        <w:t>, 16(11), e1002955. doi: https://doi.org/10.1371/journal.pmed.1002955.</w:t>
      </w:r>
    </w:p>
    <w:p w14:paraId="0462A152" w14:textId="77777777" w:rsidR="000E117B" w:rsidRPr="00C07BB7" w:rsidRDefault="000E117B" w:rsidP="00574EFA">
      <w:pPr>
        <w:pStyle w:val="TOC2"/>
        <w:numPr>
          <w:ilvl w:val="0"/>
          <w:numId w:val="14"/>
        </w:numPr>
        <w:rPr>
          <w:rFonts w:cs="Arial"/>
        </w:rPr>
      </w:pPr>
      <w:r w:rsidRPr="00C07BB7">
        <w:rPr>
          <w:rFonts w:cs="Arial"/>
        </w:rPr>
        <w:t xml:space="preserve">Mallamaci, F. and Tripepi, G. (2024) ‘Risk factors of chronic kidney disease progression: between old and new concepts’, </w:t>
      </w:r>
      <w:r w:rsidRPr="00C07BB7">
        <w:rPr>
          <w:rFonts w:cs="Arial"/>
          <w:i/>
        </w:rPr>
        <w:t>Journal of Clinical Medicine</w:t>
      </w:r>
      <w:r w:rsidRPr="00C07BB7">
        <w:rPr>
          <w:rFonts w:cs="Arial"/>
        </w:rPr>
        <w:t>, 13(3), 678. doi: https://doi.org/10.3390/jcm13030678.</w:t>
      </w:r>
    </w:p>
    <w:p w14:paraId="56D380A2" w14:textId="77777777" w:rsidR="000E117B" w:rsidRPr="00C07BB7" w:rsidRDefault="000E117B" w:rsidP="00574EFA">
      <w:pPr>
        <w:pStyle w:val="TOC2"/>
        <w:numPr>
          <w:ilvl w:val="0"/>
          <w:numId w:val="14"/>
        </w:numPr>
        <w:rPr>
          <w:rFonts w:cs="Arial"/>
        </w:rPr>
      </w:pPr>
      <w:r w:rsidRPr="00C07BB7">
        <w:rPr>
          <w:rFonts w:cs="Arial"/>
        </w:rPr>
        <w:t xml:space="preserve">Maroto-Rodriguez, J., Ortolá, R., Cabanas-Sanchez, V., Martinez-Gomez, D., Rodriguez-Artalejo, F. and Sotos-Prieto, M. (2025) ‘Diet quality patterns and chronic kidney disease incidence: a UK Biobank cohort study’, </w:t>
      </w:r>
      <w:r w:rsidRPr="00C07BB7">
        <w:rPr>
          <w:rFonts w:cs="Arial"/>
          <w:i/>
        </w:rPr>
        <w:t>The American Journal of Clinical Nutrition</w:t>
      </w:r>
      <w:r w:rsidRPr="00C07BB7">
        <w:rPr>
          <w:rFonts w:cs="Arial"/>
        </w:rPr>
        <w:t>, 121(2), pp. 445–453. doi: https://doi.org/10.1016/j.ajcnut.2024.12.005.</w:t>
      </w:r>
    </w:p>
    <w:p w14:paraId="0AFAA963" w14:textId="77777777" w:rsidR="000E117B" w:rsidRPr="00C07BB7" w:rsidRDefault="000E117B" w:rsidP="00574EFA">
      <w:pPr>
        <w:pStyle w:val="TOC2"/>
        <w:numPr>
          <w:ilvl w:val="0"/>
          <w:numId w:val="14"/>
        </w:numPr>
        <w:rPr>
          <w:rFonts w:cs="Arial"/>
        </w:rPr>
      </w:pPr>
      <w:r w:rsidRPr="00C07BB7">
        <w:rPr>
          <w:rFonts w:cs="Arial"/>
        </w:rPr>
        <w:t xml:space="preserve">Mathur, R., Dreyer, G., Yaqoob, M.M. and Hull, S.A. (2018) 'Ethnic differences in the progression of chronic kidney disease and risk of death in a UK diabetic population: an observational cohort study', </w:t>
      </w:r>
      <w:r w:rsidRPr="00C07BB7">
        <w:rPr>
          <w:rFonts w:cs="Arial"/>
          <w:i/>
        </w:rPr>
        <w:t>BMJ Open</w:t>
      </w:r>
      <w:r w:rsidRPr="00C07BB7">
        <w:rPr>
          <w:rFonts w:cs="Arial"/>
        </w:rPr>
        <w:t>, 8(3), e020145. doi: https://doi.org/10.1136/bmjopen-2017-020145.</w:t>
      </w:r>
    </w:p>
    <w:p w14:paraId="4D40E8F8" w14:textId="77777777" w:rsidR="000E117B" w:rsidRPr="00C07BB7" w:rsidRDefault="000E117B" w:rsidP="00574EFA">
      <w:pPr>
        <w:pStyle w:val="TOC2"/>
        <w:numPr>
          <w:ilvl w:val="0"/>
          <w:numId w:val="14"/>
        </w:numPr>
        <w:rPr>
          <w:rFonts w:cs="Arial"/>
        </w:rPr>
      </w:pPr>
      <w:r w:rsidRPr="00C07BB7">
        <w:rPr>
          <w:rFonts w:cs="Arial"/>
        </w:rPr>
        <w:t xml:space="preserve">Mayne, K.J., Sullivan, M.K. and Lees, J.S. (2023) ‘Sex and gender differences in the management of chronic kidney disease and hypertension’, </w:t>
      </w:r>
      <w:r w:rsidRPr="00C07BB7">
        <w:rPr>
          <w:rFonts w:cs="Arial"/>
          <w:i/>
        </w:rPr>
        <w:t>Journal of Human Hypertension</w:t>
      </w:r>
      <w:r w:rsidRPr="00C07BB7">
        <w:rPr>
          <w:rFonts w:cs="Arial"/>
        </w:rPr>
        <w:t>, 37(8), pp.649–653. doi:10.1038/s41371-023-00843-9.</w:t>
      </w:r>
    </w:p>
    <w:p w14:paraId="4E36602A" w14:textId="77777777" w:rsidR="000E117B" w:rsidRPr="00C07BB7" w:rsidRDefault="000E117B" w:rsidP="00574EFA">
      <w:pPr>
        <w:pStyle w:val="TOC2"/>
        <w:numPr>
          <w:ilvl w:val="0"/>
          <w:numId w:val="14"/>
        </w:numPr>
        <w:rPr>
          <w:rFonts w:cs="Arial"/>
        </w:rPr>
      </w:pPr>
      <w:r w:rsidRPr="00C07BB7">
        <w:rPr>
          <w:rFonts w:cs="Arial"/>
        </w:rPr>
        <w:t xml:space="preserve">Neuen, B.L., Weldegiorgis, M., Herrington, W.G., Ohkuma, T., Smith, M. and Woodward, M. (2021) ‘Changes in GFR and albuminuria in routine clinical practice and the risk of kidney disease progression’, </w:t>
      </w:r>
      <w:r w:rsidRPr="00C07BB7">
        <w:rPr>
          <w:rFonts w:cs="Arial"/>
          <w:i/>
        </w:rPr>
        <w:t>American Journal of Kidney Diseases</w:t>
      </w:r>
      <w:r w:rsidRPr="00C07BB7">
        <w:rPr>
          <w:rFonts w:cs="Arial"/>
        </w:rPr>
        <w:t>, 78(3), pp. 350–360.e1. doi:10.1053/j.ajkd.2021.02.335.</w:t>
      </w:r>
    </w:p>
    <w:p w14:paraId="1713FE95" w14:textId="77777777" w:rsidR="000E117B" w:rsidRPr="00C07BB7" w:rsidRDefault="000E117B" w:rsidP="00574EFA">
      <w:pPr>
        <w:pStyle w:val="TOC2"/>
        <w:numPr>
          <w:ilvl w:val="0"/>
          <w:numId w:val="14"/>
        </w:numPr>
        <w:rPr>
          <w:rFonts w:cs="Arial"/>
        </w:rPr>
      </w:pPr>
      <w:r w:rsidRPr="00C07BB7">
        <w:rPr>
          <w:rFonts w:cs="Arial"/>
        </w:rPr>
        <w:t>NHS Digital (2024) Health Survey for England 2022, Part 2: Kidney disease. Available at: https://digital.nhs.uk/data-and-information/publications/statistical/health-survey-for-england/2022-part-2/kidney-disease.</w:t>
      </w:r>
    </w:p>
    <w:p w14:paraId="751A4D01" w14:textId="77777777" w:rsidR="000E117B" w:rsidRPr="00C07BB7" w:rsidRDefault="000E117B" w:rsidP="00574EFA">
      <w:pPr>
        <w:pStyle w:val="TOC2"/>
        <w:numPr>
          <w:ilvl w:val="0"/>
          <w:numId w:val="14"/>
        </w:numPr>
        <w:rPr>
          <w:rFonts w:cs="Arial"/>
        </w:rPr>
      </w:pPr>
      <w:r w:rsidRPr="00C07BB7">
        <w:rPr>
          <w:rFonts w:cs="Arial"/>
        </w:rPr>
        <w:t xml:space="preserve">Page, M.J. et al. (2021a) ‘The PRISMA 2020 statement: An updated guideline for reporting systematic reviews’, </w:t>
      </w:r>
      <w:r w:rsidRPr="00C07BB7">
        <w:rPr>
          <w:rFonts w:cs="Arial"/>
          <w:i/>
        </w:rPr>
        <w:t>BMJ</w:t>
      </w:r>
      <w:r w:rsidRPr="00C07BB7">
        <w:rPr>
          <w:rFonts w:cs="Arial"/>
        </w:rPr>
        <w:t>, 372, n71. doi:10.1136/bmj.n71.</w:t>
      </w:r>
    </w:p>
    <w:p w14:paraId="0D090605" w14:textId="77777777" w:rsidR="000E117B" w:rsidRPr="00C07BB7" w:rsidRDefault="000E117B" w:rsidP="00574EFA">
      <w:pPr>
        <w:pStyle w:val="TOC2"/>
        <w:numPr>
          <w:ilvl w:val="0"/>
          <w:numId w:val="14"/>
        </w:numPr>
        <w:rPr>
          <w:rFonts w:cs="Arial"/>
        </w:rPr>
      </w:pPr>
      <w:r w:rsidRPr="00C07BB7">
        <w:rPr>
          <w:rFonts w:cs="Arial"/>
        </w:rPr>
        <w:t xml:space="preserve">Park, S., Lee, S., Kim, Y., Lee, Y., Kang, M.W., Kim, K., Kim, Y.C., Han, S.S., Lee, H., Lee, J.P., Joo, K.W., Lim, C.S., Kim, Y.S. and Kim, D.K. (2022) 'Causal effects of physical activity or sedentary behaviours on kidney function: an integrated population-scale observational analysis and Mendelian randomisation study', </w:t>
      </w:r>
      <w:r w:rsidRPr="00C07BB7">
        <w:rPr>
          <w:rFonts w:cs="Arial"/>
          <w:i/>
        </w:rPr>
        <w:t>Nephrology Dialysis Transplantation</w:t>
      </w:r>
      <w:r w:rsidRPr="00C07BB7">
        <w:rPr>
          <w:rFonts w:cs="Arial"/>
        </w:rPr>
        <w:t>, 37(6), pp. 1059-1068. doi: https://doi.org/10.1093/ndt/gfab153.</w:t>
      </w:r>
    </w:p>
    <w:p w14:paraId="2E389B99" w14:textId="77777777" w:rsidR="000E117B" w:rsidRPr="00C07BB7" w:rsidRDefault="000E117B" w:rsidP="00574EFA">
      <w:pPr>
        <w:pStyle w:val="TOC2"/>
        <w:numPr>
          <w:ilvl w:val="0"/>
          <w:numId w:val="14"/>
        </w:numPr>
        <w:rPr>
          <w:rFonts w:cs="Arial"/>
        </w:rPr>
      </w:pPr>
      <w:r w:rsidRPr="00C07BB7">
        <w:rPr>
          <w:rFonts w:cs="Arial"/>
        </w:rPr>
        <w:t xml:space="preserve">Pasea, L., Mohamed, M., Dashtban, A., Bhuva, A., Mizani, M.A., Ali, S., Oates, T., Mamas, M.A., Morris, T., Gao, H., Mamza, J.B. and Banerjee, A. (2025) ‘Missed opportunities to manage complex comorbidity of heart failure, type 2 diabetes mellitus and chronic kidney disease: a retrospective cohort study’, </w:t>
      </w:r>
      <w:r w:rsidRPr="00C07BB7">
        <w:rPr>
          <w:rFonts w:cs="Arial"/>
          <w:i/>
        </w:rPr>
        <w:t>Heart</w:t>
      </w:r>
      <w:r w:rsidRPr="00C07BB7">
        <w:rPr>
          <w:rFonts w:cs="Arial"/>
        </w:rPr>
        <w:t>, 111(16), pp.776–785. doi:10.1136/heartjnl-2024-325046.</w:t>
      </w:r>
    </w:p>
    <w:p w14:paraId="4CB615BF" w14:textId="77777777" w:rsidR="000E117B" w:rsidRPr="00574EFA" w:rsidRDefault="000E117B" w:rsidP="00574EFA">
      <w:pPr>
        <w:pStyle w:val="ListParagraph"/>
        <w:numPr>
          <w:ilvl w:val="0"/>
          <w:numId w:val="14"/>
        </w:numPr>
        <w:rPr>
          <w:rFonts w:cs="Arial"/>
        </w:rPr>
      </w:pPr>
      <w:r w:rsidRPr="00574EFA">
        <w:rPr>
          <w:rFonts w:cs="Arial"/>
        </w:rPr>
        <w:t xml:space="preserve">Phillips, T., Harris, S., Aiyegbusi, O.L., Lucas, B., Benavente, M., Roderick, P.J., Cockwell, P., Kalra, P.A., Wheeler, D.C., Taal, M.W. and Fraser, S.D.S. (2024) ‘Potentially modifiable factors associated with health-related quality of life among people with chronic kidney disease: baseline findings from the National Unified Renal Translational Research Enterprise CKD (NURTuRE-CKD) cohort’, </w:t>
      </w:r>
      <w:r w:rsidRPr="00574EFA">
        <w:rPr>
          <w:rFonts w:cs="Arial"/>
          <w:i/>
          <w:iCs/>
        </w:rPr>
        <w:t>Clinical Kidney Journal</w:t>
      </w:r>
      <w:r w:rsidRPr="00574EFA">
        <w:rPr>
          <w:rFonts w:cs="Arial"/>
        </w:rPr>
        <w:t xml:space="preserve">, 17(2), sfae010. doi:10.1093/ckj/sfae010. </w:t>
      </w:r>
    </w:p>
    <w:p w14:paraId="006D2013" w14:textId="77777777" w:rsidR="000E117B" w:rsidRPr="00C07BB7" w:rsidRDefault="000E117B" w:rsidP="00574EFA">
      <w:pPr>
        <w:pStyle w:val="TOC2"/>
        <w:numPr>
          <w:ilvl w:val="0"/>
          <w:numId w:val="14"/>
        </w:numPr>
        <w:rPr>
          <w:rFonts w:cs="Arial"/>
        </w:rPr>
      </w:pPr>
      <w:r w:rsidRPr="00C07BB7">
        <w:rPr>
          <w:rFonts w:cs="Arial"/>
        </w:rPr>
        <w:t>Public Health Scotland (2025) Scottish Renal Registry annual report 2025. Available at: https://publichealthscotland.scot/publications/scottish-renal-registry/scottish-renal-registry-annual-report-2025/.</w:t>
      </w:r>
    </w:p>
    <w:p w14:paraId="75742AA7" w14:textId="77777777" w:rsidR="000E117B" w:rsidRPr="00C07BB7" w:rsidRDefault="000E117B" w:rsidP="00574EFA">
      <w:pPr>
        <w:pStyle w:val="TOC2"/>
        <w:numPr>
          <w:ilvl w:val="0"/>
          <w:numId w:val="14"/>
        </w:numPr>
        <w:rPr>
          <w:rFonts w:cs="Arial"/>
        </w:rPr>
      </w:pPr>
      <w:r w:rsidRPr="00C07BB7">
        <w:rPr>
          <w:rFonts w:cs="Arial"/>
        </w:rPr>
        <w:t>Purssell, E. and McCrae, N. (2024) How to Perform a Systematic Literature Review. 2nd edn. Cham: Springer Nature.</w:t>
      </w:r>
    </w:p>
    <w:p w14:paraId="049539E4" w14:textId="77777777" w:rsidR="000E117B" w:rsidRPr="00C07BB7" w:rsidRDefault="000E117B" w:rsidP="00574EFA">
      <w:pPr>
        <w:pStyle w:val="TOC2"/>
        <w:numPr>
          <w:ilvl w:val="0"/>
          <w:numId w:val="14"/>
        </w:numPr>
        <w:rPr>
          <w:rFonts w:cs="Arial"/>
        </w:rPr>
      </w:pPr>
      <w:r w:rsidRPr="00C07BB7">
        <w:rPr>
          <w:rFonts w:cs="Arial"/>
        </w:rPr>
        <w:t xml:space="preserve">Qu, C., Zhao, J., Lai, J., Wu, X., Huang, P., Zhu, T., Li, Y., Liu, T., Yuan, J., Wang, N., Peppelenbosch, M.P., Chen, H., Xia, B. and Qin, J. (2024) ‘Adherence to a Mediterranean diet is associated with a lower risk of diabetic kidney disease among individuals with hyperglycemia: a prospective cohort study’, </w:t>
      </w:r>
      <w:r w:rsidRPr="00C07BB7">
        <w:rPr>
          <w:rFonts w:cs="Arial"/>
          <w:i/>
        </w:rPr>
        <w:t>BMC Medicine</w:t>
      </w:r>
      <w:r w:rsidRPr="00C07BB7">
        <w:rPr>
          <w:rFonts w:cs="Arial"/>
        </w:rPr>
        <w:t>, 22(1), p.224. doi:10.1186/s12916-024-03455-3.</w:t>
      </w:r>
    </w:p>
    <w:p w14:paraId="6BDA8A29" w14:textId="77777777" w:rsidR="000E117B" w:rsidRPr="00C07BB7" w:rsidRDefault="000E117B" w:rsidP="00574EFA">
      <w:pPr>
        <w:pStyle w:val="TOC2"/>
        <w:numPr>
          <w:ilvl w:val="0"/>
          <w:numId w:val="14"/>
        </w:numPr>
        <w:rPr>
          <w:rFonts w:cs="Arial"/>
        </w:rPr>
      </w:pPr>
      <w:r w:rsidRPr="00C07BB7">
        <w:rPr>
          <w:rFonts w:cs="Arial"/>
        </w:rPr>
        <w:t xml:space="preserve">Ramos, M., Gerlier, L., Uster, A., Muttram, L., Frankel, A.H. and Lamotte, M. (2024) ‘Cost-effectiveness of empagliflozin as add-on to standard of care for chronic kidney disease management in the United Kingdom’, </w:t>
      </w:r>
      <w:r w:rsidRPr="00C07BB7">
        <w:rPr>
          <w:rFonts w:cs="Arial"/>
          <w:i/>
        </w:rPr>
        <w:t>Journal of Medical Economics</w:t>
      </w:r>
      <w:r w:rsidRPr="00C07BB7">
        <w:rPr>
          <w:rFonts w:cs="Arial"/>
        </w:rPr>
        <w:t>, 27(1), pp.777–785. doi:10.1080/13696998.2024.2357041.</w:t>
      </w:r>
    </w:p>
    <w:p w14:paraId="39F338C9" w14:textId="77777777" w:rsidR="000E117B" w:rsidRPr="00C07BB7" w:rsidRDefault="000E117B" w:rsidP="00574EFA">
      <w:pPr>
        <w:pStyle w:val="TOC2"/>
        <w:numPr>
          <w:ilvl w:val="0"/>
          <w:numId w:val="14"/>
        </w:numPr>
        <w:rPr>
          <w:rFonts w:cs="Arial"/>
        </w:rPr>
      </w:pPr>
      <w:r w:rsidRPr="00C07BB7">
        <w:rPr>
          <w:rFonts w:cs="Arial"/>
        </w:rPr>
        <w:t xml:space="preserve">Rethlefsen, M.L. et al. (2021) ‘PRISMA-S: An extension to the PRISMA statement for reporting literature searches in systematic reviews’, </w:t>
      </w:r>
      <w:r w:rsidRPr="00C07BB7">
        <w:rPr>
          <w:rFonts w:cs="Arial"/>
          <w:i/>
        </w:rPr>
        <w:t>Systematic Reviews</w:t>
      </w:r>
      <w:r w:rsidRPr="00C07BB7">
        <w:rPr>
          <w:rFonts w:cs="Arial"/>
        </w:rPr>
        <w:t>, 10(1). doi:10.1186/s13643-020-01542-z.</w:t>
      </w:r>
    </w:p>
    <w:p w14:paraId="42D65475" w14:textId="77777777" w:rsidR="000E117B" w:rsidRPr="00C07BB7" w:rsidRDefault="000E117B" w:rsidP="00574EFA">
      <w:pPr>
        <w:pStyle w:val="TOC2"/>
        <w:numPr>
          <w:ilvl w:val="0"/>
          <w:numId w:val="14"/>
        </w:numPr>
        <w:rPr>
          <w:rFonts w:cs="Arial"/>
        </w:rPr>
      </w:pPr>
      <w:r w:rsidRPr="00C07BB7">
        <w:rPr>
          <w:rFonts w:cs="Arial"/>
        </w:rPr>
        <w:t xml:space="preserve">Rizvi, F. et al. (2024) ‘The Leicester, Leicestershire and Rutland quality improvement project and integrated chronic kidney disease system: implementation within a primary care network’, </w:t>
      </w:r>
      <w:r w:rsidRPr="00C07BB7">
        <w:rPr>
          <w:rFonts w:cs="Arial"/>
          <w:i/>
        </w:rPr>
        <w:t>BMC Nephrology</w:t>
      </w:r>
      <w:r w:rsidRPr="00C07BB7">
        <w:rPr>
          <w:rFonts w:cs="Arial"/>
        </w:rPr>
        <w:t>, 25, 255. doi:10.1186/s12882-024-03668-x.</w:t>
      </w:r>
    </w:p>
    <w:p w14:paraId="3372D363" w14:textId="77777777" w:rsidR="000E117B" w:rsidRPr="00C07BB7" w:rsidRDefault="000E117B" w:rsidP="00574EFA">
      <w:pPr>
        <w:pStyle w:val="TOC2"/>
        <w:numPr>
          <w:ilvl w:val="0"/>
          <w:numId w:val="14"/>
        </w:numPr>
        <w:rPr>
          <w:rFonts w:cs="Arial"/>
        </w:rPr>
      </w:pPr>
      <w:r w:rsidRPr="00C07BB7">
        <w:rPr>
          <w:rFonts w:cs="Arial"/>
        </w:rPr>
        <w:t xml:space="preserve">Rosenstock, I.M. (1974) ‘Historical origins of the Health Belief Model’, </w:t>
      </w:r>
      <w:r w:rsidRPr="00C07BB7">
        <w:rPr>
          <w:rFonts w:cs="Arial"/>
          <w:i/>
        </w:rPr>
        <w:t>Health Education Monographs</w:t>
      </w:r>
      <w:r w:rsidRPr="00C07BB7">
        <w:rPr>
          <w:rFonts w:cs="Arial"/>
        </w:rPr>
        <w:t>, 2(4), pp.328–335.</w:t>
      </w:r>
    </w:p>
    <w:p w14:paraId="5724505C" w14:textId="77777777" w:rsidR="000E117B" w:rsidRPr="00C07BB7" w:rsidRDefault="000E117B" w:rsidP="00574EFA">
      <w:pPr>
        <w:pStyle w:val="TOC2"/>
        <w:numPr>
          <w:ilvl w:val="0"/>
          <w:numId w:val="14"/>
        </w:numPr>
        <w:rPr>
          <w:rFonts w:cs="Arial"/>
        </w:rPr>
      </w:pPr>
      <w:r w:rsidRPr="00C07BB7">
        <w:rPr>
          <w:rFonts w:cs="Arial"/>
        </w:rPr>
        <w:t xml:space="preserve">Sawhney, S., Atherton, I., Blakeman, T., Black, C., Cowan, E., Croucher, C., Fraser, S.D.S., Hughes, A., Nath, M., Nitsch, D., Scholes-Robertson, N. and Diaz, M.R. (2024) ‘Individual and neighborhood-level social and deprivation factors impact kidney health in the GLOMMS-CORE study’, </w:t>
      </w:r>
      <w:r w:rsidRPr="00C07BB7">
        <w:rPr>
          <w:rFonts w:cs="Arial"/>
          <w:i/>
        </w:rPr>
        <w:t>Kidney International</w:t>
      </w:r>
      <w:r w:rsidRPr="00C07BB7">
        <w:rPr>
          <w:rFonts w:cs="Arial"/>
        </w:rPr>
        <w:t>, 106(5), pp.928–942. doi:10.1016/j.kint.2024.07.021.</w:t>
      </w:r>
    </w:p>
    <w:p w14:paraId="272BB9A2" w14:textId="77777777" w:rsidR="000E117B" w:rsidRPr="00C07BB7" w:rsidRDefault="000E117B" w:rsidP="00574EFA">
      <w:pPr>
        <w:pStyle w:val="TOC2"/>
        <w:numPr>
          <w:ilvl w:val="0"/>
          <w:numId w:val="14"/>
        </w:numPr>
        <w:rPr>
          <w:rFonts w:cs="Arial"/>
        </w:rPr>
      </w:pPr>
      <w:r w:rsidRPr="00C07BB7">
        <w:rPr>
          <w:rFonts w:cs="Arial"/>
        </w:rPr>
        <w:t xml:space="preserve">Schmidt, L., Olorisade, B.K., McGuinness, L.A. and Higgins, J.P.T. (2020) ‘Data extraction methods for systematic review (semi)automation: A living review protocol’, </w:t>
      </w:r>
      <w:r w:rsidRPr="00C07BB7">
        <w:rPr>
          <w:rFonts w:cs="Arial"/>
          <w:i/>
        </w:rPr>
        <w:t>F1000Research</w:t>
      </w:r>
      <w:r w:rsidRPr="00C07BB7">
        <w:rPr>
          <w:rFonts w:cs="Arial"/>
        </w:rPr>
        <w:t>, 9, 210. doi:10.12688/f1000research.22781.1.</w:t>
      </w:r>
    </w:p>
    <w:p w14:paraId="537D3805" w14:textId="77777777" w:rsidR="000E117B" w:rsidRPr="00C07BB7" w:rsidRDefault="000E117B" w:rsidP="00574EFA">
      <w:pPr>
        <w:pStyle w:val="TOC2"/>
        <w:numPr>
          <w:ilvl w:val="0"/>
          <w:numId w:val="14"/>
        </w:numPr>
        <w:rPr>
          <w:rFonts w:cs="Arial"/>
        </w:rPr>
      </w:pPr>
      <w:r w:rsidRPr="00C07BB7">
        <w:rPr>
          <w:rFonts w:cs="Arial"/>
        </w:rPr>
        <w:t xml:space="preserve">Sisk, R., Cameron, R., Tahir, W. and Sammut-Powell, C. (2024) ‘Diagnosis codes underestimate chronic kidney disease incidence compared with eGFR-based evidence: a retrospective observational study of patients with type 2 diabetes in UK primary care’, </w:t>
      </w:r>
      <w:r w:rsidRPr="00C07BB7">
        <w:rPr>
          <w:rFonts w:cs="Arial"/>
          <w:i/>
        </w:rPr>
        <w:t>BJGP Open</w:t>
      </w:r>
      <w:r w:rsidRPr="00C07BB7">
        <w:rPr>
          <w:rFonts w:cs="Arial"/>
        </w:rPr>
        <w:t>, 8(1), p.BJGPO.2023.0079. doi:10.3399/BJGPO.2023.0079.</w:t>
      </w:r>
    </w:p>
    <w:p w14:paraId="05DAEC31" w14:textId="77777777" w:rsidR="000E117B" w:rsidRPr="00C07BB7" w:rsidRDefault="000E117B" w:rsidP="00574EFA">
      <w:pPr>
        <w:pStyle w:val="TOC2"/>
        <w:numPr>
          <w:ilvl w:val="0"/>
          <w:numId w:val="14"/>
        </w:numPr>
        <w:rPr>
          <w:rFonts w:cs="Arial"/>
        </w:rPr>
      </w:pPr>
      <w:r w:rsidRPr="00C07BB7">
        <w:rPr>
          <w:rFonts w:cs="Arial"/>
        </w:rPr>
        <w:t xml:space="preserve">Staplin, N., Herrington, W.G., Murgia, F., Ibrahim, M., Bull, K.R., Judge, P.K., Ng, S.Y.A., Turner, M., Zhu, D., Emberson, J., Landray, M.J., Baigent, C., Haynes, R. and Hopewell, J.C. (2022) 'Determining the relationship between blood pressure, kidney function, and chronic kidney disease: insights from genetic epidemiology', </w:t>
      </w:r>
      <w:r w:rsidRPr="00C07BB7">
        <w:rPr>
          <w:rFonts w:cs="Arial"/>
          <w:i/>
        </w:rPr>
        <w:t>Hypertension</w:t>
      </w:r>
      <w:r w:rsidRPr="00C07BB7">
        <w:rPr>
          <w:rFonts w:cs="Arial"/>
        </w:rPr>
        <w:t>, 79(12), pp. 2671-2681. doi: https://doi.org/10.1161/HYPERTENSIONAHA.122.19354.</w:t>
      </w:r>
    </w:p>
    <w:p w14:paraId="3AA3B525" w14:textId="77777777" w:rsidR="000E117B" w:rsidRPr="00C07BB7" w:rsidRDefault="000E117B" w:rsidP="00574EFA">
      <w:pPr>
        <w:pStyle w:val="TOC2"/>
        <w:numPr>
          <w:ilvl w:val="0"/>
          <w:numId w:val="14"/>
        </w:numPr>
        <w:rPr>
          <w:rFonts w:cs="Arial"/>
        </w:rPr>
      </w:pPr>
      <w:r w:rsidRPr="00C07BB7">
        <w:rPr>
          <w:rFonts w:cs="Arial"/>
        </w:rPr>
        <w:t xml:space="preserve">Stevens, P.E., Ahmed, S.B., Carrero, J.J., Foster, B., Francis, A., Hall, R.K., Herrington, W.G., Hill, G., Inker, L.A., Kazancıoğlu, R. and others (2024) ‘KDIGO 2024 clinical practice guideline for the evaluation and management of chronic kidney disease’, </w:t>
      </w:r>
      <w:r w:rsidRPr="00C07BB7">
        <w:rPr>
          <w:rFonts w:cs="Arial"/>
          <w:i/>
        </w:rPr>
        <w:t>Kidney International</w:t>
      </w:r>
      <w:r w:rsidRPr="00C07BB7">
        <w:rPr>
          <w:rFonts w:cs="Arial"/>
        </w:rPr>
        <w:t>, 105(4S), pp. S117–S314. doi: https://doi.org/10.1016/j.kint.2023.10.018.</w:t>
      </w:r>
    </w:p>
    <w:p w14:paraId="35691FC3" w14:textId="77777777" w:rsidR="000E117B" w:rsidRPr="00C07BB7" w:rsidRDefault="000E117B" w:rsidP="00574EFA">
      <w:pPr>
        <w:pStyle w:val="TOC2"/>
        <w:numPr>
          <w:ilvl w:val="0"/>
          <w:numId w:val="14"/>
        </w:numPr>
        <w:rPr>
          <w:rFonts w:cs="Arial"/>
        </w:rPr>
      </w:pPr>
      <w:r w:rsidRPr="00C07BB7">
        <w:rPr>
          <w:rFonts w:cs="Arial"/>
        </w:rPr>
        <w:t xml:space="preserve">Stewart, S., Kalra, P.A., Blakeman, T., Kontopantelis, E., Cranmer-Gordon, H. and Sinha, S. (2024) ‘Chronic kidney disease: detect, diagnose, disclose—a UK primary care perspective of barriers and enablers to effective kidney care’, </w:t>
      </w:r>
      <w:r w:rsidRPr="00C07BB7">
        <w:rPr>
          <w:rFonts w:cs="Arial"/>
          <w:i/>
        </w:rPr>
        <w:t>BMC Medicine</w:t>
      </w:r>
      <w:r w:rsidRPr="00C07BB7">
        <w:rPr>
          <w:rFonts w:cs="Arial"/>
        </w:rPr>
        <w:t>, 22(1). doi: https://doi.org/10.1186/s12916-024-03555-0.</w:t>
      </w:r>
    </w:p>
    <w:p w14:paraId="1CF45515" w14:textId="77777777" w:rsidR="000E117B" w:rsidRPr="00C07BB7" w:rsidRDefault="000E117B" w:rsidP="00574EFA">
      <w:pPr>
        <w:pStyle w:val="TOC2"/>
        <w:numPr>
          <w:ilvl w:val="0"/>
          <w:numId w:val="14"/>
        </w:numPr>
        <w:rPr>
          <w:rFonts w:cs="Arial"/>
        </w:rPr>
      </w:pPr>
      <w:r w:rsidRPr="00C07BB7">
        <w:rPr>
          <w:rFonts w:cs="Arial"/>
        </w:rPr>
        <w:t xml:space="preserve">Stewart, S., Kalra, P.A., Kontopantelis, E., Blakeman, T. and Sinha, S. (2025) ‘Coded and uncoded chronic kidney disease: an explainer’, </w:t>
      </w:r>
      <w:r w:rsidRPr="00C07BB7">
        <w:rPr>
          <w:rFonts w:cs="Arial"/>
          <w:i/>
        </w:rPr>
        <w:t>British Journal of General Practice</w:t>
      </w:r>
      <w:r w:rsidRPr="00C07BB7">
        <w:rPr>
          <w:rFonts w:cs="Arial"/>
        </w:rPr>
        <w:t>, 75(758), pp.425–428. doi:10.3399/BJGP.2025.0228.</w:t>
      </w:r>
    </w:p>
    <w:p w14:paraId="6470C6EA" w14:textId="77777777" w:rsidR="000E117B" w:rsidRPr="00C07BB7" w:rsidRDefault="000E117B" w:rsidP="00574EFA">
      <w:pPr>
        <w:pStyle w:val="TOC2"/>
        <w:numPr>
          <w:ilvl w:val="0"/>
          <w:numId w:val="14"/>
        </w:numPr>
        <w:rPr>
          <w:rFonts w:cs="Arial"/>
        </w:rPr>
      </w:pPr>
      <w:r w:rsidRPr="00C07BB7">
        <w:rPr>
          <w:rFonts w:cs="Arial"/>
        </w:rPr>
        <w:t xml:space="preserve">Stewart, S., Kalra, P.A., Kontopantelis, E., Blakeman, T., Tilston, G. and Sinha, S. (2026) ‘Use of the kidney failure risk equation: a regional retrospective primary care cohort study in England’, </w:t>
      </w:r>
      <w:r w:rsidRPr="00C07BB7">
        <w:rPr>
          <w:rFonts w:cs="Arial"/>
          <w:i/>
        </w:rPr>
        <w:t>British Journal of General Practice</w:t>
      </w:r>
      <w:r w:rsidRPr="00C07BB7">
        <w:rPr>
          <w:rFonts w:cs="Arial"/>
        </w:rPr>
        <w:t>, 76(766), pp. e356–e365. doi:10.3399/BJGP.2025.0490.</w:t>
      </w:r>
    </w:p>
    <w:p w14:paraId="558BF95D" w14:textId="77777777" w:rsidR="000E117B" w:rsidRPr="00C07BB7" w:rsidRDefault="000E117B" w:rsidP="00574EFA">
      <w:pPr>
        <w:pStyle w:val="TOC2"/>
        <w:numPr>
          <w:ilvl w:val="0"/>
          <w:numId w:val="14"/>
        </w:numPr>
        <w:rPr>
          <w:rFonts w:cs="Arial"/>
        </w:rPr>
      </w:pPr>
      <w:r w:rsidRPr="00C07BB7">
        <w:rPr>
          <w:rFonts w:cs="Arial"/>
        </w:rPr>
        <w:t xml:space="preserve">Sullivan, M.K., Jani, B.D., Rutherford, E., Welsh, P., McConnachie, A., Major, R.W., McAllister, D., Nitsch, D., Mair, F.S., Mark, P.B. and Lees, J.S. (2023) ‘Potential impact of NICE guidelines on referrals from primary care to nephrology: a primary care database and prospective research study’, </w:t>
      </w:r>
      <w:r w:rsidRPr="00C07BB7">
        <w:rPr>
          <w:rFonts w:cs="Arial"/>
          <w:i/>
        </w:rPr>
        <w:t>British Journal of General Practice</w:t>
      </w:r>
      <w:r w:rsidRPr="00C07BB7">
        <w:rPr>
          <w:rFonts w:cs="Arial"/>
        </w:rPr>
        <w:t>, 73(727), pp.e141–e147. doi:10.3399/BJGP.2022.0145.</w:t>
      </w:r>
    </w:p>
    <w:p w14:paraId="75EA5660" w14:textId="77777777" w:rsidR="000E117B" w:rsidRPr="00574EFA" w:rsidRDefault="000E117B" w:rsidP="00574EFA">
      <w:pPr>
        <w:pStyle w:val="ListParagraph"/>
        <w:numPr>
          <w:ilvl w:val="0"/>
          <w:numId w:val="14"/>
        </w:numPr>
        <w:rPr>
          <w:rFonts w:cs="Arial"/>
        </w:rPr>
      </w:pPr>
      <w:r w:rsidRPr="00574EFA">
        <w:rPr>
          <w:rFonts w:cs="Arial"/>
        </w:rPr>
        <w:t xml:space="preserve">Sullivan, M.K., Lees, J.S., Rosales, B.M., Cutting, R., Wyld, M.L., Woodward, M., Webster, A.C., Mark, P.B. and De La Mata, N. (2024) ‘Sex and the relationship between cardiometabolic risk factors and estimated GFR decline: a population-based cohort study’, </w:t>
      </w:r>
      <w:r w:rsidRPr="00574EFA">
        <w:rPr>
          <w:rFonts w:cs="Arial"/>
          <w:i/>
          <w:iCs/>
        </w:rPr>
        <w:t>American Journal of Kidney Diseases</w:t>
      </w:r>
      <w:r w:rsidRPr="00574EFA">
        <w:rPr>
          <w:rFonts w:cs="Arial"/>
        </w:rPr>
        <w:t xml:space="preserve">, 84(6), pp. 731–741.e1. doi:10.1053/j.ajkd.2024.05.007. </w:t>
      </w:r>
    </w:p>
    <w:p w14:paraId="3A0088CD" w14:textId="77777777" w:rsidR="000E117B" w:rsidRPr="00C07BB7" w:rsidRDefault="000E117B" w:rsidP="00574EFA">
      <w:pPr>
        <w:pStyle w:val="TOC2"/>
        <w:numPr>
          <w:ilvl w:val="0"/>
          <w:numId w:val="14"/>
        </w:numPr>
        <w:rPr>
          <w:rFonts w:cs="Arial"/>
        </w:rPr>
      </w:pPr>
      <w:r w:rsidRPr="00C07BB7">
        <w:rPr>
          <w:rFonts w:cs="Arial"/>
        </w:rPr>
        <w:t xml:space="preserve">Tang, R., Kou, M., Li, X., Wang, X., Ma, H., Heianza, Y. and Qi, L. (2024a) ‘Degree of joint risk factor control and incident chronic kidney disease among individuals with obesity’, </w:t>
      </w:r>
      <w:r w:rsidRPr="00C07BB7">
        <w:rPr>
          <w:rFonts w:cs="Arial"/>
          <w:i/>
        </w:rPr>
        <w:t>Diabetes, Obesity and Metabolism</w:t>
      </w:r>
      <w:r w:rsidRPr="00C07BB7">
        <w:rPr>
          <w:rFonts w:cs="Arial"/>
        </w:rPr>
        <w:t>, 26(11), pp.4864–4874. doi:10.1111/dom.15874.</w:t>
      </w:r>
    </w:p>
    <w:p w14:paraId="418CF7EA" w14:textId="77777777" w:rsidR="000E117B" w:rsidRPr="00C07BB7" w:rsidRDefault="000E117B" w:rsidP="00574EFA">
      <w:pPr>
        <w:pStyle w:val="TOC2"/>
        <w:numPr>
          <w:ilvl w:val="0"/>
          <w:numId w:val="14"/>
        </w:numPr>
        <w:rPr>
          <w:rFonts w:cs="Arial"/>
        </w:rPr>
      </w:pPr>
      <w:r w:rsidRPr="00C07BB7">
        <w:rPr>
          <w:rFonts w:cs="Arial"/>
        </w:rPr>
        <w:t xml:space="preserve">Tang, R., Kou, M., Wang, X., Ma, H., Li, X., Heianza, Y. and Qi, L. (2023) 'Self-reported frequency of adding salt to food and risk of incident chronic kidney disease', </w:t>
      </w:r>
      <w:r w:rsidRPr="00C07BB7">
        <w:rPr>
          <w:rFonts w:cs="Arial"/>
          <w:i/>
        </w:rPr>
        <w:t>JAMA Network Open</w:t>
      </w:r>
      <w:r w:rsidRPr="00C07BB7">
        <w:rPr>
          <w:rFonts w:cs="Arial"/>
        </w:rPr>
        <w:t>, 6(12), e2349930. doi: https://doi.org/10.1001/jamanetworkopen.2023.49930.</w:t>
      </w:r>
    </w:p>
    <w:p w14:paraId="580FA4DF" w14:textId="77777777" w:rsidR="000E117B" w:rsidRPr="00C07BB7" w:rsidRDefault="000E117B" w:rsidP="00574EFA">
      <w:pPr>
        <w:pStyle w:val="TOC2"/>
        <w:numPr>
          <w:ilvl w:val="0"/>
          <w:numId w:val="14"/>
        </w:numPr>
        <w:rPr>
          <w:rFonts w:cs="Arial"/>
        </w:rPr>
      </w:pPr>
      <w:r w:rsidRPr="00C07BB7">
        <w:rPr>
          <w:rFonts w:cs="Arial"/>
        </w:rPr>
        <w:t xml:space="preserve">Tang, R., Zhou, J., Wang, X., Ma, H., Li, X., Heianza, Y. and Qi, L. (2024b) ‘Loneliness, social isolation and incident chronic kidney disease among patients with diabetes’, </w:t>
      </w:r>
      <w:r w:rsidRPr="00C07BB7">
        <w:rPr>
          <w:rFonts w:cs="Arial"/>
          <w:i/>
        </w:rPr>
        <w:t>General Psychiatry</w:t>
      </w:r>
      <w:r w:rsidRPr="00C07BB7">
        <w:rPr>
          <w:rFonts w:cs="Arial"/>
        </w:rPr>
        <w:t>, 37(3), p.e101298. doi:10.1136/gpsych-2023-101298.</w:t>
      </w:r>
    </w:p>
    <w:p w14:paraId="6B34E92F" w14:textId="77777777" w:rsidR="000E117B" w:rsidRPr="00C07BB7" w:rsidRDefault="000E117B" w:rsidP="00574EFA">
      <w:pPr>
        <w:pStyle w:val="TOC2"/>
        <w:numPr>
          <w:ilvl w:val="0"/>
          <w:numId w:val="14"/>
        </w:numPr>
        <w:rPr>
          <w:rFonts w:cs="Arial"/>
        </w:rPr>
      </w:pPr>
      <w:r w:rsidRPr="00C07BB7">
        <w:rPr>
          <w:rFonts w:cs="Arial"/>
        </w:rPr>
        <w:t>UK Data Service (2024) Research data management. Available at: https://ukdataservice.ac.uk/learning-hub/research-data-management/ (Accessed: 16 July 2026).</w:t>
      </w:r>
    </w:p>
    <w:p w14:paraId="67E298AC" w14:textId="77777777" w:rsidR="000E117B" w:rsidRPr="00C07BB7" w:rsidRDefault="000E117B" w:rsidP="00574EFA">
      <w:pPr>
        <w:pStyle w:val="TOC2"/>
        <w:numPr>
          <w:ilvl w:val="0"/>
          <w:numId w:val="14"/>
        </w:numPr>
        <w:rPr>
          <w:rFonts w:cs="Arial"/>
        </w:rPr>
      </w:pPr>
      <w:r w:rsidRPr="00C07BB7">
        <w:rPr>
          <w:rFonts w:cs="Arial"/>
        </w:rPr>
        <w:t>UKRI (2026) Integrity of research. Available at: https://www.ukri.org/what-we-do/supporting-healthy-research-and-innovation-culture/research-integrity/ (Accessed: 16 July 2026).</w:t>
      </w:r>
    </w:p>
    <w:p w14:paraId="7B07EE33" w14:textId="77777777" w:rsidR="000E117B" w:rsidRPr="00C07BB7" w:rsidRDefault="000E117B" w:rsidP="00574EFA">
      <w:pPr>
        <w:pStyle w:val="TOC2"/>
        <w:numPr>
          <w:ilvl w:val="0"/>
          <w:numId w:val="14"/>
        </w:numPr>
        <w:rPr>
          <w:rFonts w:cs="Arial"/>
        </w:rPr>
      </w:pPr>
      <w:r w:rsidRPr="00C07BB7">
        <w:rPr>
          <w:rFonts w:cs="Arial"/>
        </w:rPr>
        <w:t>UKRIO (2025) Code of Practice for Research. Available at: https://ukrio.org/ukrio-resources/publications/code-of-practice-for-research/ (Accessed: 16 July 2026).</w:t>
      </w:r>
    </w:p>
    <w:p w14:paraId="7A4A140F" w14:textId="77777777" w:rsidR="000E117B" w:rsidRPr="00C07BB7" w:rsidRDefault="000E117B" w:rsidP="00574EFA">
      <w:pPr>
        <w:pStyle w:val="TOC2"/>
        <w:numPr>
          <w:ilvl w:val="0"/>
          <w:numId w:val="14"/>
        </w:numPr>
        <w:rPr>
          <w:rFonts w:cs="Arial"/>
        </w:rPr>
      </w:pPr>
      <w:r w:rsidRPr="00C07BB7">
        <w:rPr>
          <w:rFonts w:cs="Arial"/>
        </w:rPr>
        <w:t>Ulster University (2024) Research breakthrough in early diagnosis of chronic kidney disease and COVID-19. Available at: https://www.ulster.ac.uk/news/2024/november/ulster-university-research-breakthrough-in-early-diagnosis-of-chronic-kidney-disease-and-covid-19.</w:t>
      </w:r>
    </w:p>
    <w:p w14:paraId="06F07545" w14:textId="77777777" w:rsidR="000E117B" w:rsidRPr="00C07BB7" w:rsidRDefault="000E117B" w:rsidP="00574EFA">
      <w:pPr>
        <w:pStyle w:val="TOC2"/>
        <w:numPr>
          <w:ilvl w:val="0"/>
          <w:numId w:val="14"/>
        </w:numPr>
        <w:rPr>
          <w:rFonts w:cs="Arial"/>
        </w:rPr>
      </w:pPr>
      <w:r w:rsidRPr="00C07BB7">
        <w:rPr>
          <w:rFonts w:cs="Arial"/>
        </w:rPr>
        <w:t xml:space="preserve">Walker, H., Khan, S., Padmanabhan, S., Pell, J.P., Lewsey, J., Mackay, D., Dundas, R., Friday, J.M., Tran, T.Q.B., Brown, D., Ho, F., Hastie, C.E., Fleming, M., Geue, C., Stevenson, A., Du Toit, C., Jani, B.D., Gallacher, K., Mark, P.B. and Sullivan, M.K. (2025) ‘Analysis of the kidney failure risk equation implementation in routine clinical practice and health inequalities in chronic kidney disease care: a retrospective cohort study’, </w:t>
      </w:r>
      <w:r w:rsidRPr="00C07BB7">
        <w:rPr>
          <w:rFonts w:cs="Arial"/>
          <w:i/>
        </w:rPr>
        <w:t>BMC Nephrology</w:t>
      </w:r>
      <w:r w:rsidRPr="00C07BB7">
        <w:rPr>
          <w:rFonts w:cs="Arial"/>
        </w:rPr>
        <w:t>, 26(1), p.113. doi:10.1186/s12882-025-04043-0.</w:t>
      </w:r>
    </w:p>
    <w:p w14:paraId="51CF883F" w14:textId="77777777" w:rsidR="000E117B" w:rsidRPr="00C07BB7" w:rsidRDefault="000E117B" w:rsidP="00574EFA">
      <w:pPr>
        <w:pStyle w:val="TOC2"/>
        <w:numPr>
          <w:ilvl w:val="0"/>
          <w:numId w:val="14"/>
        </w:numPr>
        <w:rPr>
          <w:rFonts w:cs="Arial"/>
        </w:rPr>
      </w:pPr>
      <w:r w:rsidRPr="00C07BB7">
        <w:rPr>
          <w:rFonts w:cs="Arial"/>
        </w:rPr>
        <w:t xml:space="preserve">Wang, J., Li, D., Sun, Y. and Tian, Y. (2022) ‘Air pollutants, genetic factors, and risk of chronic kidney disease: findings from the UK Biobank’, </w:t>
      </w:r>
      <w:r w:rsidRPr="00C07BB7">
        <w:rPr>
          <w:rFonts w:cs="Arial"/>
          <w:i/>
        </w:rPr>
        <w:t>Ecotoxicology and Environmental Safety</w:t>
      </w:r>
      <w:r w:rsidRPr="00C07BB7">
        <w:rPr>
          <w:rFonts w:cs="Arial"/>
        </w:rPr>
        <w:t>, 247, 114219. doi:10.1016/j.ecoenv.2022.114219.</w:t>
      </w:r>
    </w:p>
    <w:p w14:paraId="21AAAADC" w14:textId="77777777" w:rsidR="000E117B" w:rsidRPr="00C07BB7" w:rsidRDefault="000E117B" w:rsidP="00574EFA">
      <w:pPr>
        <w:pStyle w:val="TOC2"/>
        <w:numPr>
          <w:ilvl w:val="0"/>
          <w:numId w:val="14"/>
        </w:numPr>
        <w:rPr>
          <w:rFonts w:cs="Arial"/>
        </w:rPr>
      </w:pPr>
      <w:r w:rsidRPr="00C07BB7">
        <w:rPr>
          <w:rFonts w:cs="Arial"/>
        </w:rPr>
        <w:t xml:space="preserve">Wang, J., Nirantharakumar, K., Gokhale, K., Tahrani, A.A., Taverner, T., Thomas, G.N. and Dasgupta, I. (2022) 'Obesity without metabolic abnormality and incident CKD: a population-based British cohort study', </w:t>
      </w:r>
      <w:r w:rsidRPr="00C07BB7">
        <w:rPr>
          <w:rFonts w:cs="Arial"/>
          <w:i/>
        </w:rPr>
        <w:t>American Journal of Kidney Diseases</w:t>
      </w:r>
      <w:r w:rsidRPr="00C07BB7">
        <w:rPr>
          <w:rFonts w:cs="Arial"/>
        </w:rPr>
        <w:t>, 79(1), pp. 24-35.e1. doi: https://doi.org/10.1053/j.ajkd.2021.05.008.</w:t>
      </w:r>
    </w:p>
    <w:p w14:paraId="2B6988D3" w14:textId="77777777" w:rsidR="000E117B" w:rsidRPr="00C07BB7" w:rsidRDefault="000E117B" w:rsidP="00574EFA">
      <w:pPr>
        <w:pStyle w:val="TOC2"/>
        <w:numPr>
          <w:ilvl w:val="0"/>
          <w:numId w:val="14"/>
        </w:numPr>
        <w:rPr>
          <w:rFonts w:cs="Arial"/>
        </w:rPr>
      </w:pPr>
      <w:r w:rsidRPr="00C07BB7">
        <w:rPr>
          <w:rFonts w:cs="Arial"/>
        </w:rPr>
        <w:t xml:space="preserve">Weon, B., Jang, Y., Jo, J., Jin, W., Ha, S., Ko, A., Oh, Y.K., Lim, C.S., Lee, J.P., Won, S. and Lee, J. (2024) ‘Association between dyslipidemia and the risk of incident chronic kidney disease affected by genetic susceptibility: polygenic risk score analysis’, </w:t>
      </w:r>
      <w:r w:rsidRPr="00C07BB7">
        <w:rPr>
          <w:rFonts w:cs="Arial"/>
          <w:i/>
        </w:rPr>
        <w:t>PLOS ONE</w:t>
      </w:r>
      <w:r w:rsidRPr="00C07BB7">
        <w:rPr>
          <w:rFonts w:cs="Arial"/>
        </w:rPr>
        <w:t>, 19(4), p.e0299605. doi:10.1371/journal.pone.0299605.</w:t>
      </w:r>
    </w:p>
    <w:p w14:paraId="0AB2C466" w14:textId="77777777" w:rsidR="000E117B" w:rsidRPr="00C07BB7" w:rsidRDefault="000E117B" w:rsidP="00574EFA">
      <w:pPr>
        <w:pStyle w:val="TOC2"/>
        <w:numPr>
          <w:ilvl w:val="0"/>
          <w:numId w:val="14"/>
        </w:numPr>
        <w:rPr>
          <w:rFonts w:cs="Arial"/>
        </w:rPr>
      </w:pPr>
      <w:r w:rsidRPr="00C07BB7">
        <w:rPr>
          <w:rFonts w:cs="Arial"/>
        </w:rPr>
        <w:t>World Health Organization (WHO) (2026) Kidney disease. Available at: https://www.who.int/news-room/fact-sheets/detail/kidney-disease.</w:t>
      </w:r>
    </w:p>
    <w:p w14:paraId="072523F2" w14:textId="77777777" w:rsidR="000E117B" w:rsidRPr="00C07BB7" w:rsidRDefault="000E117B" w:rsidP="00574EFA">
      <w:pPr>
        <w:pStyle w:val="TOC2"/>
        <w:numPr>
          <w:ilvl w:val="0"/>
          <w:numId w:val="14"/>
        </w:numPr>
        <w:rPr>
          <w:rFonts w:cs="Arial"/>
        </w:rPr>
      </w:pPr>
      <w:r w:rsidRPr="00C07BB7">
        <w:rPr>
          <w:rFonts w:cs="Arial"/>
        </w:rPr>
        <w:t xml:space="preserve">Wu, G., Cai, M., Wang, C., Zou, H., Wang, X., Hua, J. and Lin, H. (2023) 'Ambient air pollution and incidence, progression to multimorbidity and death of hypertension, diabetes, and chronic kidney disease: a national prospective cohort', </w:t>
      </w:r>
      <w:r w:rsidRPr="00C07BB7">
        <w:rPr>
          <w:rFonts w:cs="Arial"/>
          <w:i/>
        </w:rPr>
        <w:t>Science of the Total Environment</w:t>
      </w:r>
      <w:r w:rsidRPr="00C07BB7">
        <w:rPr>
          <w:rFonts w:cs="Arial"/>
        </w:rPr>
        <w:t>, 881, 163406. doi: https://doi.org/10.1016/j.scitotenv.2023.163406.</w:t>
      </w:r>
    </w:p>
    <w:p w14:paraId="36E0B8CE" w14:textId="77777777" w:rsidR="000E117B" w:rsidRPr="00C07BB7" w:rsidRDefault="000E117B" w:rsidP="00574EFA">
      <w:pPr>
        <w:pStyle w:val="TOC2"/>
        <w:numPr>
          <w:ilvl w:val="0"/>
          <w:numId w:val="14"/>
        </w:numPr>
        <w:rPr>
          <w:rFonts w:cs="Arial"/>
        </w:rPr>
      </w:pPr>
      <w:r w:rsidRPr="00C07BB7">
        <w:rPr>
          <w:rFonts w:cs="Arial"/>
        </w:rPr>
        <w:t xml:space="preserve">Zac-Varghese, S., Mark, P., Bain, S., Banerjee, D., Chowdhury, T.A., Dasgupta, I., De, P., Fogarty, D., Frankel, A., Goldet, G., Karalliedde, J., Mallik, R., Montero, R., Sharif, A., Wahba, M., McCafferty, K., Lioudaki, E. and Winocour, P. (2024) ‘Clinical practice guideline for the management of lipids in adults with diabetic kidney disease: abbreviated summary of the Joint Association of British Clinical Diabetologists and UK Kidney Association guideline 2024’, </w:t>
      </w:r>
      <w:r w:rsidRPr="00C07BB7">
        <w:rPr>
          <w:rFonts w:cs="Arial"/>
          <w:i/>
        </w:rPr>
        <w:t>BMC Nephrology</w:t>
      </w:r>
      <w:r w:rsidRPr="00C07BB7">
        <w:rPr>
          <w:rFonts w:cs="Arial"/>
        </w:rPr>
        <w:t>, 25(1). doi: https://doi.org/10.1186/s12882-024-03664-1.</w:t>
      </w:r>
    </w:p>
    <w:p w14:paraId="661E9206" w14:textId="77777777" w:rsidR="000E117B" w:rsidRPr="00C07BB7" w:rsidRDefault="000E117B" w:rsidP="00574EFA">
      <w:pPr>
        <w:pStyle w:val="TOC2"/>
        <w:numPr>
          <w:ilvl w:val="0"/>
          <w:numId w:val="14"/>
        </w:numPr>
        <w:rPr>
          <w:rFonts w:cs="Arial"/>
        </w:rPr>
      </w:pPr>
      <w:r w:rsidRPr="00C07BB7">
        <w:rPr>
          <w:rFonts w:cs="Arial"/>
        </w:rPr>
        <w:t xml:space="preserve">Zemedikun, D.T., Gray, L.J., Khunti, K., Davies, M.J. and Dhalwani, N.N. (2018) 'Patterns of multimorbidity in middle-aged and older adults: an analysis of the UK Biobank data', </w:t>
      </w:r>
      <w:r w:rsidRPr="00C07BB7">
        <w:rPr>
          <w:rFonts w:cs="Arial"/>
          <w:i/>
        </w:rPr>
        <w:t>Mayo Clinic Proceedings</w:t>
      </w:r>
      <w:r w:rsidRPr="00C07BB7">
        <w:rPr>
          <w:rFonts w:cs="Arial"/>
        </w:rPr>
        <w:t>, 93(7), pp. 857-866. doi: https://doi.org/10.1016/j.mayocp.2018.02.012.</w:t>
      </w:r>
    </w:p>
    <w:p w14:paraId="3DD4CC31" w14:textId="77777777" w:rsidR="000E117B" w:rsidRPr="00C07BB7" w:rsidRDefault="000E117B" w:rsidP="00574EFA">
      <w:pPr>
        <w:pStyle w:val="TOC2"/>
        <w:numPr>
          <w:ilvl w:val="0"/>
          <w:numId w:val="14"/>
        </w:numPr>
        <w:rPr>
          <w:rFonts w:cs="Arial"/>
        </w:rPr>
      </w:pPr>
      <w:r w:rsidRPr="00C07BB7">
        <w:rPr>
          <w:rFonts w:cs="Arial"/>
        </w:rPr>
        <w:t xml:space="preserve">Zhang, F., Yang, C., Wang, F., Liu, Y., Guo, C.-G., Li, P. and Zhang, L. (2024) ‘Air pollution and the risk of incident chronic kidney disease in patients with diabetes: an exposure-response analysis’, </w:t>
      </w:r>
      <w:r w:rsidRPr="00C07BB7">
        <w:rPr>
          <w:rFonts w:cs="Arial"/>
          <w:i/>
        </w:rPr>
        <w:t>Ecotoxicology and Environmental Safety</w:t>
      </w:r>
      <w:r w:rsidRPr="00C07BB7">
        <w:rPr>
          <w:rFonts w:cs="Arial"/>
        </w:rPr>
        <w:t>, 270, p.115829. doi:10.1016/j.ecoenv.2023.115829.</w:t>
      </w:r>
    </w:p>
    <w:p w14:paraId="049E64DC" w14:textId="77777777" w:rsidR="00DE232F" w:rsidRDefault="000E117B" w:rsidP="00DE232F">
      <w:pPr>
        <w:pStyle w:val="TOC2"/>
        <w:numPr>
          <w:ilvl w:val="0"/>
          <w:numId w:val="14"/>
        </w:numPr>
        <w:rPr>
          <w:rFonts w:cs="Arial"/>
        </w:rPr>
      </w:pPr>
      <w:r w:rsidRPr="00C07BB7">
        <w:rPr>
          <w:rFonts w:cs="Arial"/>
        </w:rPr>
        <w:t xml:space="preserve">Zhang, X. et al. (2023) ‘Association between questionnaire-based and accelerometer-based physical activity and the incidence of chronic kidney disease using data from UK Biobank: a prospective cohort study’, </w:t>
      </w:r>
      <w:r w:rsidRPr="00C07BB7">
        <w:rPr>
          <w:rFonts w:cs="Arial"/>
          <w:i/>
        </w:rPr>
        <w:t>EClinicalMedicine</w:t>
      </w:r>
      <w:r w:rsidRPr="00C07BB7">
        <w:rPr>
          <w:rFonts w:cs="Arial"/>
        </w:rPr>
        <w:t>, 66, 102323. doi:10.1016/j.eclinm.2023.102323.</w:t>
      </w:r>
    </w:p>
    <w:p w14:paraId="619A9951" w14:textId="0DB8CF02" w:rsidR="00DE232F" w:rsidRPr="00DE232F" w:rsidRDefault="00DE232F" w:rsidP="00DE232F">
      <w:pPr>
        <w:sectPr w:rsidR="00DE232F" w:rsidRPr="00DE232F" w:rsidSect="00041A40">
          <w:pgSz w:w="11906" w:h="16838" w:code="9"/>
          <w:pgMar w:top="1440" w:right="1800" w:bottom="1440" w:left="1800" w:header="720" w:footer="720" w:gutter="0"/>
          <w:cols w:space="720"/>
          <w:docGrid w:linePitch="360"/>
        </w:sectPr>
      </w:pPr>
    </w:p>
    <w:p w14:paraId="457890B9" w14:textId="77777777" w:rsidR="00041A40" w:rsidRPr="00041A40" w:rsidRDefault="00041A40" w:rsidP="0076203E">
      <w:pPr>
        <w:keepNext/>
        <w:keepLines/>
        <w:spacing w:before="480" w:after="0"/>
        <w:jc w:val="center"/>
        <w:outlineLvl w:val="0"/>
        <w:rPr>
          <w:rFonts w:eastAsiaTheme="majorEastAsia" w:cs="Arial"/>
          <w:b/>
          <w:bCs/>
          <w:color w:val="000000" w:themeColor="text1"/>
          <w:sz w:val="32"/>
          <w:szCs w:val="32"/>
        </w:rPr>
      </w:pPr>
      <w:bookmarkStart w:id="165" w:name="_Toc241090923"/>
      <w:r w:rsidRPr="00041A40">
        <w:rPr>
          <w:rFonts w:eastAsiaTheme="majorEastAsia" w:cs="Arial"/>
          <w:b/>
          <w:bCs/>
          <w:color w:val="000000" w:themeColor="text1"/>
          <w:sz w:val="32"/>
          <w:szCs w:val="32"/>
        </w:rPr>
        <w:t>Appendices</w:t>
      </w:r>
      <w:bookmarkEnd w:id="165"/>
    </w:p>
    <w:p w14:paraId="3D54F03C" w14:textId="77777777" w:rsidR="00041A40" w:rsidRPr="00041A40" w:rsidRDefault="00041A40" w:rsidP="00041A40">
      <w:pPr>
        <w:keepNext/>
        <w:keepLines/>
        <w:spacing w:before="200" w:after="0"/>
        <w:outlineLvl w:val="1"/>
        <w:rPr>
          <w:rFonts w:eastAsiaTheme="majorEastAsia" w:cs="Arial"/>
          <w:b/>
          <w:bCs/>
          <w:color w:val="000000" w:themeColor="text1"/>
          <w:sz w:val="28"/>
          <w:szCs w:val="28"/>
        </w:rPr>
      </w:pPr>
      <w:bookmarkStart w:id="166" w:name="_Toc241090924"/>
      <w:r w:rsidRPr="00041A40">
        <w:rPr>
          <w:rFonts w:eastAsiaTheme="majorEastAsia" w:cs="Arial"/>
          <w:b/>
          <w:bCs/>
          <w:color w:val="000000" w:themeColor="text1"/>
          <w:sz w:val="28"/>
          <w:szCs w:val="28"/>
        </w:rPr>
        <w:t>Appendix 1 – Search Strategy and Eligibility Criteria</w:t>
      </w:r>
      <w:bookmarkEnd w:id="166"/>
    </w:p>
    <w:p w14:paraId="7E90FE44" w14:textId="77777777" w:rsidR="00041A40" w:rsidRPr="00041A40" w:rsidRDefault="00041A40" w:rsidP="00DE232F">
      <w:pPr>
        <w:keepNext/>
        <w:spacing w:before="60" w:after="60"/>
        <w:jc w:val="left"/>
        <w:rPr>
          <w:rFonts w:cs="Arial"/>
          <w:sz w:val="32"/>
          <w:szCs w:val="32"/>
        </w:rPr>
      </w:pPr>
      <w:r w:rsidRPr="00041A40">
        <w:rPr>
          <w:rFonts w:cs="Arial"/>
          <w:b/>
          <w:sz w:val="24"/>
          <w:szCs w:val="32"/>
        </w:rPr>
        <w:t>Table A1. Database search record</w:t>
      </w:r>
    </w:p>
    <w:tbl>
      <w:tblPr>
        <w:tblStyle w:val="TableGrid"/>
        <w:tblW w:w="0" w:type="auto"/>
        <w:tblLayout w:type="fixed"/>
        <w:tblLook w:val="04A0" w:firstRow="1" w:lastRow="0" w:firstColumn="1" w:lastColumn="0" w:noHBand="0" w:noVBand="1"/>
      </w:tblPr>
      <w:tblGrid>
        <w:gridCol w:w="4248"/>
        <w:gridCol w:w="2610"/>
        <w:gridCol w:w="4140"/>
        <w:gridCol w:w="2250"/>
      </w:tblGrid>
      <w:tr w:rsidR="00041A40" w:rsidRPr="0076203E" w14:paraId="48635FE1" w14:textId="77777777" w:rsidTr="00C70E5B">
        <w:tc>
          <w:tcPr>
            <w:tcW w:w="4248" w:type="dxa"/>
          </w:tcPr>
          <w:p w14:paraId="1B777A0E" w14:textId="77777777" w:rsidR="00041A40" w:rsidRPr="0076203E" w:rsidRDefault="00041A40" w:rsidP="00910E39">
            <w:pPr>
              <w:jc w:val="center"/>
              <w:rPr>
                <w:rFonts w:cs="Arial"/>
                <w:sz w:val="20"/>
                <w:szCs w:val="28"/>
              </w:rPr>
            </w:pPr>
            <w:r w:rsidRPr="0076203E">
              <w:rPr>
                <w:rFonts w:cs="Arial"/>
                <w:b/>
                <w:sz w:val="20"/>
                <w:szCs w:val="28"/>
              </w:rPr>
              <w:t>Database / platform</w:t>
            </w:r>
          </w:p>
        </w:tc>
        <w:tc>
          <w:tcPr>
            <w:tcW w:w="2610" w:type="dxa"/>
          </w:tcPr>
          <w:p w14:paraId="51922E98" w14:textId="77777777" w:rsidR="00041A40" w:rsidRPr="0076203E" w:rsidRDefault="00041A40" w:rsidP="00910E39">
            <w:pPr>
              <w:jc w:val="center"/>
              <w:rPr>
                <w:rFonts w:cs="Arial"/>
                <w:sz w:val="20"/>
                <w:szCs w:val="28"/>
              </w:rPr>
            </w:pPr>
            <w:r w:rsidRPr="0076203E">
              <w:rPr>
                <w:rFonts w:cs="Arial"/>
                <w:b/>
                <w:sz w:val="20"/>
                <w:szCs w:val="28"/>
              </w:rPr>
              <w:t>Search date</w:t>
            </w:r>
          </w:p>
        </w:tc>
        <w:tc>
          <w:tcPr>
            <w:tcW w:w="4140" w:type="dxa"/>
          </w:tcPr>
          <w:p w14:paraId="7012704E" w14:textId="77777777" w:rsidR="00041A40" w:rsidRPr="0076203E" w:rsidRDefault="00041A40" w:rsidP="00910E39">
            <w:pPr>
              <w:jc w:val="center"/>
              <w:rPr>
                <w:rFonts w:cs="Arial"/>
                <w:sz w:val="20"/>
                <w:szCs w:val="28"/>
              </w:rPr>
            </w:pPr>
            <w:r w:rsidRPr="0076203E">
              <w:rPr>
                <w:rFonts w:cs="Arial"/>
                <w:b/>
                <w:sz w:val="20"/>
                <w:szCs w:val="28"/>
              </w:rPr>
              <w:t>Limits</w:t>
            </w:r>
          </w:p>
        </w:tc>
        <w:tc>
          <w:tcPr>
            <w:tcW w:w="2250" w:type="dxa"/>
          </w:tcPr>
          <w:p w14:paraId="0E6B608B" w14:textId="77777777" w:rsidR="00041A40" w:rsidRPr="0076203E" w:rsidRDefault="00041A40" w:rsidP="00910E39">
            <w:pPr>
              <w:jc w:val="center"/>
              <w:rPr>
                <w:rFonts w:cs="Arial"/>
                <w:sz w:val="20"/>
                <w:szCs w:val="28"/>
              </w:rPr>
            </w:pPr>
            <w:r w:rsidRPr="0076203E">
              <w:rPr>
                <w:rFonts w:cs="Arial"/>
                <w:b/>
                <w:sz w:val="20"/>
                <w:szCs w:val="28"/>
              </w:rPr>
              <w:t>Records identified</w:t>
            </w:r>
          </w:p>
        </w:tc>
      </w:tr>
      <w:tr w:rsidR="00041A40" w:rsidRPr="0076203E" w14:paraId="3AD7D8A1" w14:textId="77777777" w:rsidTr="00C70E5B">
        <w:tc>
          <w:tcPr>
            <w:tcW w:w="4248" w:type="dxa"/>
          </w:tcPr>
          <w:p w14:paraId="27621B19" w14:textId="77777777" w:rsidR="00041A40" w:rsidRPr="0076203E" w:rsidRDefault="00041A40" w:rsidP="00910E39">
            <w:pPr>
              <w:rPr>
                <w:rFonts w:cs="Arial"/>
                <w:sz w:val="20"/>
                <w:szCs w:val="28"/>
              </w:rPr>
            </w:pPr>
            <w:r w:rsidRPr="0076203E">
              <w:rPr>
                <w:rFonts w:cs="Arial"/>
                <w:sz w:val="20"/>
                <w:szCs w:val="28"/>
              </w:rPr>
              <w:t>MEDLINE via PubMed</w:t>
            </w:r>
          </w:p>
        </w:tc>
        <w:tc>
          <w:tcPr>
            <w:tcW w:w="2610" w:type="dxa"/>
          </w:tcPr>
          <w:p w14:paraId="79B6582F" w14:textId="77777777" w:rsidR="00041A40" w:rsidRPr="0076203E" w:rsidRDefault="00041A40" w:rsidP="00910E39">
            <w:pPr>
              <w:rPr>
                <w:rFonts w:cs="Arial"/>
                <w:sz w:val="20"/>
                <w:szCs w:val="28"/>
              </w:rPr>
            </w:pPr>
            <w:r w:rsidRPr="0076203E">
              <w:rPr>
                <w:rFonts w:cs="Arial"/>
                <w:sz w:val="20"/>
                <w:szCs w:val="28"/>
              </w:rPr>
              <w:t>16 July 2026</w:t>
            </w:r>
          </w:p>
        </w:tc>
        <w:tc>
          <w:tcPr>
            <w:tcW w:w="4140" w:type="dxa"/>
          </w:tcPr>
          <w:p w14:paraId="6361F590" w14:textId="77777777" w:rsidR="00041A40" w:rsidRPr="0076203E" w:rsidRDefault="00041A40" w:rsidP="00910E39">
            <w:pPr>
              <w:rPr>
                <w:rFonts w:cs="Arial"/>
                <w:sz w:val="20"/>
                <w:szCs w:val="28"/>
              </w:rPr>
            </w:pPr>
            <w:r w:rsidRPr="0076203E">
              <w:rPr>
                <w:rFonts w:cs="Arial"/>
                <w:sz w:val="20"/>
                <w:szCs w:val="28"/>
              </w:rPr>
              <w:t>2020–2026; English; humans; adults</w:t>
            </w:r>
          </w:p>
        </w:tc>
        <w:tc>
          <w:tcPr>
            <w:tcW w:w="2250" w:type="dxa"/>
          </w:tcPr>
          <w:p w14:paraId="40168422" w14:textId="77777777" w:rsidR="00041A40" w:rsidRPr="0076203E" w:rsidRDefault="00041A40" w:rsidP="00910E39">
            <w:pPr>
              <w:jc w:val="center"/>
              <w:rPr>
                <w:rFonts w:cs="Arial"/>
                <w:sz w:val="20"/>
                <w:szCs w:val="28"/>
              </w:rPr>
            </w:pPr>
            <w:r w:rsidRPr="0076203E">
              <w:rPr>
                <w:rFonts w:cs="Arial"/>
                <w:sz w:val="20"/>
                <w:szCs w:val="28"/>
              </w:rPr>
              <w:t>128</w:t>
            </w:r>
          </w:p>
        </w:tc>
      </w:tr>
      <w:tr w:rsidR="00041A40" w:rsidRPr="0076203E" w14:paraId="1A48BE4E" w14:textId="77777777" w:rsidTr="00C70E5B">
        <w:tc>
          <w:tcPr>
            <w:tcW w:w="4248" w:type="dxa"/>
          </w:tcPr>
          <w:p w14:paraId="059E6EE2" w14:textId="77777777" w:rsidR="00041A40" w:rsidRPr="0076203E" w:rsidRDefault="00041A40" w:rsidP="00910E39">
            <w:pPr>
              <w:rPr>
                <w:rFonts w:cs="Arial"/>
                <w:sz w:val="20"/>
                <w:szCs w:val="28"/>
              </w:rPr>
            </w:pPr>
            <w:r w:rsidRPr="0076203E">
              <w:rPr>
                <w:rFonts w:cs="Arial"/>
                <w:sz w:val="20"/>
                <w:szCs w:val="28"/>
              </w:rPr>
              <w:t>CINAHL via EBSCOhost</w:t>
            </w:r>
          </w:p>
        </w:tc>
        <w:tc>
          <w:tcPr>
            <w:tcW w:w="2610" w:type="dxa"/>
          </w:tcPr>
          <w:p w14:paraId="2A109823" w14:textId="77777777" w:rsidR="00041A40" w:rsidRPr="0076203E" w:rsidRDefault="00041A40" w:rsidP="00910E39">
            <w:pPr>
              <w:rPr>
                <w:rFonts w:cs="Arial"/>
                <w:sz w:val="20"/>
                <w:szCs w:val="28"/>
              </w:rPr>
            </w:pPr>
            <w:r w:rsidRPr="0076203E">
              <w:rPr>
                <w:rFonts w:cs="Arial"/>
                <w:sz w:val="20"/>
                <w:szCs w:val="28"/>
              </w:rPr>
              <w:t>20 July 2026</w:t>
            </w:r>
          </w:p>
        </w:tc>
        <w:tc>
          <w:tcPr>
            <w:tcW w:w="4140" w:type="dxa"/>
          </w:tcPr>
          <w:p w14:paraId="59A94DDB" w14:textId="77777777" w:rsidR="00041A40" w:rsidRPr="0076203E" w:rsidRDefault="00041A40" w:rsidP="00910E39">
            <w:pPr>
              <w:rPr>
                <w:rFonts w:cs="Arial"/>
                <w:sz w:val="20"/>
                <w:szCs w:val="28"/>
              </w:rPr>
            </w:pPr>
            <w:r w:rsidRPr="0076203E">
              <w:rPr>
                <w:rFonts w:cs="Arial"/>
                <w:sz w:val="20"/>
                <w:szCs w:val="28"/>
              </w:rPr>
              <w:t>2020–2026; English; adults; peer reviewed</w:t>
            </w:r>
          </w:p>
        </w:tc>
        <w:tc>
          <w:tcPr>
            <w:tcW w:w="2250" w:type="dxa"/>
          </w:tcPr>
          <w:p w14:paraId="4F1CADEA" w14:textId="77777777" w:rsidR="00041A40" w:rsidRPr="0076203E" w:rsidRDefault="00041A40" w:rsidP="00910E39">
            <w:pPr>
              <w:jc w:val="center"/>
              <w:rPr>
                <w:rFonts w:cs="Arial"/>
                <w:sz w:val="20"/>
                <w:szCs w:val="28"/>
              </w:rPr>
            </w:pPr>
            <w:r w:rsidRPr="0076203E">
              <w:rPr>
                <w:rFonts w:cs="Arial"/>
                <w:sz w:val="20"/>
                <w:szCs w:val="28"/>
              </w:rPr>
              <w:t>74</w:t>
            </w:r>
          </w:p>
        </w:tc>
      </w:tr>
      <w:tr w:rsidR="00041A40" w:rsidRPr="0076203E" w14:paraId="59C1B3B6" w14:textId="77777777" w:rsidTr="00C70E5B">
        <w:tc>
          <w:tcPr>
            <w:tcW w:w="4248" w:type="dxa"/>
          </w:tcPr>
          <w:p w14:paraId="73B97712" w14:textId="77777777" w:rsidR="00041A40" w:rsidRPr="0076203E" w:rsidRDefault="00041A40" w:rsidP="00910E39">
            <w:pPr>
              <w:rPr>
                <w:rFonts w:cs="Arial"/>
                <w:sz w:val="20"/>
                <w:szCs w:val="28"/>
              </w:rPr>
            </w:pPr>
            <w:r w:rsidRPr="0076203E">
              <w:rPr>
                <w:rFonts w:cs="Arial"/>
                <w:sz w:val="20"/>
                <w:szCs w:val="28"/>
              </w:rPr>
              <w:t>Academic Search Complete via EBSCOhost</w:t>
            </w:r>
          </w:p>
        </w:tc>
        <w:tc>
          <w:tcPr>
            <w:tcW w:w="2610" w:type="dxa"/>
          </w:tcPr>
          <w:p w14:paraId="2D19EB58" w14:textId="77777777" w:rsidR="00041A40" w:rsidRPr="0076203E" w:rsidRDefault="00041A40" w:rsidP="00910E39">
            <w:pPr>
              <w:rPr>
                <w:rFonts w:cs="Arial"/>
                <w:sz w:val="20"/>
                <w:szCs w:val="28"/>
              </w:rPr>
            </w:pPr>
            <w:r w:rsidRPr="0076203E">
              <w:rPr>
                <w:rFonts w:cs="Arial"/>
                <w:sz w:val="20"/>
                <w:szCs w:val="28"/>
              </w:rPr>
              <w:t>29 July 2026</w:t>
            </w:r>
          </w:p>
        </w:tc>
        <w:tc>
          <w:tcPr>
            <w:tcW w:w="4140" w:type="dxa"/>
          </w:tcPr>
          <w:p w14:paraId="566667E8" w14:textId="77777777" w:rsidR="00041A40" w:rsidRPr="0076203E" w:rsidRDefault="00041A40" w:rsidP="00910E39">
            <w:pPr>
              <w:rPr>
                <w:rFonts w:cs="Arial"/>
                <w:sz w:val="20"/>
                <w:szCs w:val="28"/>
              </w:rPr>
            </w:pPr>
            <w:r w:rsidRPr="0076203E">
              <w:rPr>
                <w:rFonts w:cs="Arial"/>
                <w:sz w:val="20"/>
                <w:szCs w:val="28"/>
              </w:rPr>
              <w:t>2020–2026; English; peer reviewed</w:t>
            </w:r>
          </w:p>
        </w:tc>
        <w:tc>
          <w:tcPr>
            <w:tcW w:w="2250" w:type="dxa"/>
          </w:tcPr>
          <w:p w14:paraId="31AD206D" w14:textId="77777777" w:rsidR="00041A40" w:rsidRPr="0076203E" w:rsidRDefault="00041A40" w:rsidP="00910E39">
            <w:pPr>
              <w:jc w:val="center"/>
              <w:rPr>
                <w:rFonts w:cs="Arial"/>
                <w:sz w:val="20"/>
                <w:szCs w:val="28"/>
              </w:rPr>
            </w:pPr>
            <w:r w:rsidRPr="0076203E">
              <w:rPr>
                <w:rFonts w:cs="Arial"/>
                <w:sz w:val="20"/>
                <w:szCs w:val="28"/>
              </w:rPr>
              <w:t>69</w:t>
            </w:r>
          </w:p>
        </w:tc>
      </w:tr>
      <w:tr w:rsidR="00041A40" w:rsidRPr="0076203E" w14:paraId="02BBD626" w14:textId="77777777" w:rsidTr="00C70E5B">
        <w:tc>
          <w:tcPr>
            <w:tcW w:w="4248" w:type="dxa"/>
          </w:tcPr>
          <w:p w14:paraId="77183D35" w14:textId="77777777" w:rsidR="00041A40" w:rsidRPr="0076203E" w:rsidRDefault="00041A40" w:rsidP="00910E39">
            <w:pPr>
              <w:rPr>
                <w:rFonts w:cs="Arial"/>
                <w:sz w:val="20"/>
                <w:szCs w:val="28"/>
              </w:rPr>
            </w:pPr>
            <w:r w:rsidRPr="0076203E">
              <w:rPr>
                <w:rFonts w:cs="Arial"/>
                <w:sz w:val="20"/>
                <w:szCs w:val="28"/>
              </w:rPr>
              <w:t>Web of Science Core Collection</w:t>
            </w:r>
          </w:p>
        </w:tc>
        <w:tc>
          <w:tcPr>
            <w:tcW w:w="2610" w:type="dxa"/>
          </w:tcPr>
          <w:p w14:paraId="77F11043" w14:textId="77777777" w:rsidR="00041A40" w:rsidRPr="0076203E" w:rsidRDefault="00041A40" w:rsidP="00910E39">
            <w:pPr>
              <w:rPr>
                <w:rFonts w:cs="Arial"/>
                <w:sz w:val="20"/>
                <w:szCs w:val="28"/>
              </w:rPr>
            </w:pPr>
            <w:r w:rsidRPr="0076203E">
              <w:rPr>
                <w:rFonts w:cs="Arial"/>
                <w:sz w:val="20"/>
                <w:szCs w:val="28"/>
              </w:rPr>
              <w:t>5 August 2026</w:t>
            </w:r>
          </w:p>
        </w:tc>
        <w:tc>
          <w:tcPr>
            <w:tcW w:w="4140" w:type="dxa"/>
          </w:tcPr>
          <w:p w14:paraId="7609DDD6" w14:textId="77777777" w:rsidR="00041A40" w:rsidRPr="0076203E" w:rsidRDefault="00041A40" w:rsidP="00910E39">
            <w:pPr>
              <w:rPr>
                <w:rFonts w:cs="Arial"/>
                <w:sz w:val="20"/>
                <w:szCs w:val="28"/>
              </w:rPr>
            </w:pPr>
            <w:r w:rsidRPr="0076203E">
              <w:rPr>
                <w:rFonts w:cs="Arial"/>
                <w:sz w:val="20"/>
                <w:szCs w:val="28"/>
              </w:rPr>
              <w:t>2020–2026; English; article</w:t>
            </w:r>
          </w:p>
        </w:tc>
        <w:tc>
          <w:tcPr>
            <w:tcW w:w="2250" w:type="dxa"/>
          </w:tcPr>
          <w:p w14:paraId="7390528D" w14:textId="77777777" w:rsidR="00041A40" w:rsidRPr="0076203E" w:rsidRDefault="00041A40" w:rsidP="00910E39">
            <w:pPr>
              <w:jc w:val="center"/>
              <w:rPr>
                <w:rFonts w:cs="Arial"/>
                <w:sz w:val="20"/>
                <w:szCs w:val="28"/>
              </w:rPr>
            </w:pPr>
            <w:r w:rsidRPr="0076203E">
              <w:rPr>
                <w:rFonts w:cs="Arial"/>
                <w:sz w:val="20"/>
                <w:szCs w:val="28"/>
              </w:rPr>
              <w:t>94</w:t>
            </w:r>
          </w:p>
        </w:tc>
      </w:tr>
      <w:tr w:rsidR="00041A40" w:rsidRPr="0076203E" w14:paraId="7934F92D" w14:textId="77777777" w:rsidTr="00C70E5B">
        <w:tc>
          <w:tcPr>
            <w:tcW w:w="4248" w:type="dxa"/>
          </w:tcPr>
          <w:p w14:paraId="7B132B12" w14:textId="77777777" w:rsidR="00041A40" w:rsidRPr="0076203E" w:rsidRDefault="00041A40" w:rsidP="00910E39">
            <w:pPr>
              <w:rPr>
                <w:rFonts w:cs="Arial"/>
                <w:sz w:val="20"/>
                <w:szCs w:val="28"/>
              </w:rPr>
            </w:pPr>
            <w:r w:rsidRPr="0076203E">
              <w:rPr>
                <w:rFonts w:cs="Arial"/>
                <w:sz w:val="20"/>
                <w:szCs w:val="28"/>
              </w:rPr>
              <w:t>Reference-list and forward-citation searching</w:t>
            </w:r>
          </w:p>
        </w:tc>
        <w:tc>
          <w:tcPr>
            <w:tcW w:w="2610" w:type="dxa"/>
          </w:tcPr>
          <w:p w14:paraId="29684562" w14:textId="77777777" w:rsidR="00041A40" w:rsidRPr="0076203E" w:rsidRDefault="00041A40" w:rsidP="00910E39">
            <w:pPr>
              <w:rPr>
                <w:rFonts w:cs="Arial"/>
                <w:sz w:val="20"/>
                <w:szCs w:val="28"/>
              </w:rPr>
            </w:pPr>
            <w:r w:rsidRPr="0076203E">
              <w:rPr>
                <w:rFonts w:cs="Arial"/>
                <w:sz w:val="20"/>
                <w:szCs w:val="28"/>
              </w:rPr>
              <w:t>Completed by 5 August 2026</w:t>
            </w:r>
          </w:p>
        </w:tc>
        <w:tc>
          <w:tcPr>
            <w:tcW w:w="4140" w:type="dxa"/>
          </w:tcPr>
          <w:p w14:paraId="203A841D" w14:textId="454DD790" w:rsidR="00041A40" w:rsidRPr="0076203E" w:rsidRDefault="00041A40" w:rsidP="00910E39">
            <w:pPr>
              <w:rPr>
                <w:rFonts w:cs="Arial"/>
                <w:sz w:val="20"/>
                <w:szCs w:val="28"/>
              </w:rPr>
            </w:pPr>
            <w:r w:rsidRPr="0076203E">
              <w:rPr>
                <w:rFonts w:cs="Arial"/>
                <w:sz w:val="20"/>
                <w:szCs w:val="28"/>
              </w:rPr>
              <w:t>Relevant</w:t>
            </w:r>
            <w:r w:rsidR="002D4B06">
              <w:rPr>
                <w:rFonts w:cs="Arial"/>
                <w:sz w:val="20"/>
                <w:szCs w:val="28"/>
              </w:rPr>
              <w:t xml:space="preserve"> in the</w:t>
            </w:r>
            <w:r w:rsidRPr="0076203E">
              <w:rPr>
                <w:rFonts w:cs="Arial"/>
                <w:sz w:val="20"/>
                <w:szCs w:val="28"/>
              </w:rPr>
              <w:t xml:space="preserve"> UK empirical evidence</w:t>
            </w:r>
          </w:p>
        </w:tc>
        <w:tc>
          <w:tcPr>
            <w:tcW w:w="2250" w:type="dxa"/>
          </w:tcPr>
          <w:p w14:paraId="7FEB1942" w14:textId="77777777" w:rsidR="00041A40" w:rsidRPr="0076203E" w:rsidRDefault="00041A40" w:rsidP="00910E39">
            <w:pPr>
              <w:jc w:val="center"/>
              <w:rPr>
                <w:rFonts w:cs="Arial"/>
                <w:sz w:val="20"/>
                <w:szCs w:val="28"/>
              </w:rPr>
            </w:pPr>
            <w:r w:rsidRPr="0076203E">
              <w:rPr>
                <w:rFonts w:cs="Arial"/>
                <w:sz w:val="20"/>
                <w:szCs w:val="28"/>
              </w:rPr>
              <w:t>15</w:t>
            </w:r>
          </w:p>
        </w:tc>
      </w:tr>
      <w:tr w:rsidR="00041A40" w:rsidRPr="0076203E" w14:paraId="11BD7B56" w14:textId="77777777" w:rsidTr="00C70E5B">
        <w:tc>
          <w:tcPr>
            <w:tcW w:w="4248" w:type="dxa"/>
          </w:tcPr>
          <w:p w14:paraId="00482B76" w14:textId="77777777" w:rsidR="00041A40" w:rsidRPr="0076203E" w:rsidRDefault="00041A40" w:rsidP="00910E39">
            <w:pPr>
              <w:rPr>
                <w:rFonts w:cs="Arial"/>
                <w:sz w:val="20"/>
                <w:szCs w:val="28"/>
              </w:rPr>
            </w:pPr>
            <w:r w:rsidRPr="0076203E">
              <w:rPr>
                <w:rFonts w:cs="Arial"/>
                <w:sz w:val="20"/>
                <w:szCs w:val="28"/>
              </w:rPr>
              <w:t>Total before deduplication</w:t>
            </w:r>
          </w:p>
        </w:tc>
        <w:tc>
          <w:tcPr>
            <w:tcW w:w="2610" w:type="dxa"/>
          </w:tcPr>
          <w:p w14:paraId="6BB807EF" w14:textId="77777777" w:rsidR="00041A40" w:rsidRPr="0076203E" w:rsidRDefault="00041A40" w:rsidP="00910E39">
            <w:pPr>
              <w:rPr>
                <w:rFonts w:cs="Arial"/>
                <w:sz w:val="20"/>
                <w:szCs w:val="28"/>
              </w:rPr>
            </w:pPr>
            <w:r w:rsidRPr="0076203E">
              <w:rPr>
                <w:rFonts w:cs="Arial"/>
                <w:sz w:val="20"/>
                <w:szCs w:val="28"/>
              </w:rPr>
              <w:t>—</w:t>
            </w:r>
          </w:p>
        </w:tc>
        <w:tc>
          <w:tcPr>
            <w:tcW w:w="4140" w:type="dxa"/>
          </w:tcPr>
          <w:p w14:paraId="0E155344" w14:textId="77777777" w:rsidR="00041A40" w:rsidRPr="0076203E" w:rsidRDefault="00041A40" w:rsidP="00910E39">
            <w:pPr>
              <w:rPr>
                <w:rFonts w:cs="Arial"/>
                <w:sz w:val="20"/>
                <w:szCs w:val="28"/>
              </w:rPr>
            </w:pPr>
            <w:r w:rsidRPr="0076203E">
              <w:rPr>
                <w:rFonts w:cs="Arial"/>
                <w:sz w:val="20"/>
                <w:szCs w:val="28"/>
              </w:rPr>
              <w:t>—</w:t>
            </w:r>
          </w:p>
        </w:tc>
        <w:tc>
          <w:tcPr>
            <w:tcW w:w="2250" w:type="dxa"/>
          </w:tcPr>
          <w:p w14:paraId="632807BB" w14:textId="77777777" w:rsidR="00041A40" w:rsidRPr="0076203E" w:rsidRDefault="00041A40" w:rsidP="00910E39">
            <w:pPr>
              <w:jc w:val="center"/>
              <w:rPr>
                <w:rFonts w:cs="Arial"/>
                <w:sz w:val="20"/>
                <w:szCs w:val="28"/>
              </w:rPr>
            </w:pPr>
            <w:r w:rsidRPr="0076203E">
              <w:rPr>
                <w:rFonts w:cs="Arial"/>
                <w:sz w:val="20"/>
                <w:szCs w:val="28"/>
              </w:rPr>
              <w:t>380</w:t>
            </w:r>
          </w:p>
        </w:tc>
      </w:tr>
    </w:tbl>
    <w:p w14:paraId="4C4F7217" w14:textId="77777777" w:rsidR="00C70E5B" w:rsidRDefault="00C70E5B" w:rsidP="00041A40">
      <w:pPr>
        <w:keepNext/>
        <w:spacing w:before="60" w:after="60"/>
        <w:rPr>
          <w:rFonts w:cs="Arial"/>
          <w:b/>
          <w:sz w:val="24"/>
          <w:szCs w:val="32"/>
        </w:rPr>
      </w:pPr>
    </w:p>
    <w:p w14:paraId="2D314306" w14:textId="46B68C6C" w:rsidR="00041A40" w:rsidRPr="00041A40" w:rsidRDefault="00041A40" w:rsidP="00041A40">
      <w:pPr>
        <w:keepNext/>
        <w:spacing w:before="60" w:after="60"/>
        <w:rPr>
          <w:rFonts w:cs="Arial"/>
          <w:sz w:val="32"/>
          <w:szCs w:val="32"/>
        </w:rPr>
      </w:pPr>
      <w:r w:rsidRPr="00041A40">
        <w:rPr>
          <w:rFonts w:cs="Arial"/>
          <w:b/>
          <w:sz w:val="24"/>
          <w:szCs w:val="32"/>
        </w:rPr>
        <w:t>Table A2. Database-specific search strings</w:t>
      </w:r>
    </w:p>
    <w:tbl>
      <w:tblPr>
        <w:tblStyle w:val="TableGrid"/>
        <w:tblW w:w="0" w:type="auto"/>
        <w:tblLayout w:type="fixed"/>
        <w:tblLook w:val="04A0" w:firstRow="1" w:lastRow="0" w:firstColumn="1" w:lastColumn="0" w:noHBand="0" w:noVBand="1"/>
      </w:tblPr>
      <w:tblGrid>
        <w:gridCol w:w="1458"/>
        <w:gridCol w:w="11790"/>
      </w:tblGrid>
      <w:tr w:rsidR="00041A40" w:rsidRPr="00182FE1" w14:paraId="568810E5" w14:textId="77777777" w:rsidTr="00184C42">
        <w:tc>
          <w:tcPr>
            <w:tcW w:w="1458" w:type="dxa"/>
          </w:tcPr>
          <w:p w14:paraId="55E4FA2C" w14:textId="77777777" w:rsidR="00041A40" w:rsidRPr="00182FE1" w:rsidRDefault="00041A40" w:rsidP="00041A40">
            <w:pPr>
              <w:spacing w:after="0"/>
              <w:jc w:val="center"/>
              <w:rPr>
                <w:rFonts w:cs="Arial"/>
                <w:sz w:val="20"/>
                <w:szCs w:val="32"/>
              </w:rPr>
            </w:pPr>
            <w:r w:rsidRPr="00182FE1">
              <w:rPr>
                <w:rFonts w:cs="Arial"/>
                <w:b/>
                <w:sz w:val="20"/>
                <w:szCs w:val="32"/>
              </w:rPr>
              <w:t>Database</w:t>
            </w:r>
          </w:p>
        </w:tc>
        <w:tc>
          <w:tcPr>
            <w:tcW w:w="11790" w:type="dxa"/>
          </w:tcPr>
          <w:p w14:paraId="4C5E3E47" w14:textId="77777777" w:rsidR="00041A40" w:rsidRPr="00182FE1" w:rsidRDefault="00041A40" w:rsidP="00041A40">
            <w:pPr>
              <w:spacing w:after="0"/>
              <w:jc w:val="center"/>
              <w:rPr>
                <w:rFonts w:cs="Arial"/>
                <w:sz w:val="20"/>
                <w:szCs w:val="32"/>
              </w:rPr>
            </w:pPr>
            <w:r w:rsidRPr="00182FE1">
              <w:rPr>
                <w:rFonts w:cs="Arial"/>
                <w:b/>
                <w:sz w:val="20"/>
                <w:szCs w:val="32"/>
              </w:rPr>
              <w:t>Search string</w:t>
            </w:r>
          </w:p>
        </w:tc>
      </w:tr>
      <w:tr w:rsidR="00041A40" w:rsidRPr="00182FE1" w14:paraId="27F551A8" w14:textId="77777777" w:rsidTr="00184C42">
        <w:tc>
          <w:tcPr>
            <w:tcW w:w="1458" w:type="dxa"/>
          </w:tcPr>
          <w:p w14:paraId="3CFCF8A2" w14:textId="77777777" w:rsidR="00041A40" w:rsidRPr="00182FE1" w:rsidRDefault="00041A40" w:rsidP="00041A40">
            <w:pPr>
              <w:spacing w:after="0"/>
              <w:rPr>
                <w:rFonts w:cs="Arial"/>
                <w:sz w:val="20"/>
                <w:szCs w:val="32"/>
              </w:rPr>
            </w:pPr>
            <w:r w:rsidRPr="00182FE1">
              <w:rPr>
                <w:rFonts w:cs="Arial"/>
                <w:sz w:val="20"/>
                <w:szCs w:val="32"/>
              </w:rPr>
              <w:t>MEDLINE via PubMed</w:t>
            </w:r>
          </w:p>
        </w:tc>
        <w:tc>
          <w:tcPr>
            <w:tcW w:w="11790" w:type="dxa"/>
          </w:tcPr>
          <w:p w14:paraId="4FDB37B7" w14:textId="77777777" w:rsidR="00041A40" w:rsidRPr="00182FE1" w:rsidRDefault="00041A40" w:rsidP="00041A40">
            <w:pPr>
              <w:spacing w:after="0"/>
              <w:rPr>
                <w:rFonts w:cs="Arial"/>
                <w:sz w:val="20"/>
                <w:szCs w:val="32"/>
              </w:rPr>
            </w:pPr>
            <w:r w:rsidRPr="00182FE1">
              <w:rPr>
                <w:rFonts w:cs="Arial"/>
                <w:sz w:val="20"/>
                <w:szCs w:val="32"/>
              </w:rPr>
              <w:t>((“chronic kidney disease”[Title/Abstract] OR CKD[Title/Abstract] OR “chronic renal disease”[Title/Abstract] OR “kidney function decline”[Title/Abstract] OR “renal insufficiency”[Title/Abstract]) AND (adult*[Title/Abstract]) AND (“United Kingdom”[Title/Abstract] OR UK[Title/Abstract] OR England[Title/Abstract] OR Scotland[Title/Abstract] OR Wales[Title/Abstract] OR “Northern Ireland”[Title/Abstract] OR British[Title/Abstract]) AND (“risk factor*”[Title/Abstract] OR prevalence[Title/Abstract] OR incidence[Title/Abstract] OR progression[Title/Abstract] OR diabetes[Title/Abstract] OR hypertension[Title/Abstract] OR obes*[Title/Abstract] OR smoking[Title/Abstract] OR ethnicity[Title/Abstract] OR deprivation[Title/Abstract] OR diet[Title/Abstract] OR “physical activity”[Title/Abstract] OR management[Title/Abstract] OR treatment[Title/Abstract] OR intervention*[Title/Abstract] OR screening[Title/Abstract] OR “SGLT2 inhibitor*”[Title/Abstract] OR lifestyle[Title/Abstract] OR “digital health”[Title/Abstract] OR “self-management”[Title/Abstract] OR “integrated care”[Title/Abstract]))</w:t>
            </w:r>
          </w:p>
        </w:tc>
      </w:tr>
      <w:tr w:rsidR="00041A40" w:rsidRPr="00182FE1" w14:paraId="3691DE68" w14:textId="77777777" w:rsidTr="00184C42">
        <w:tc>
          <w:tcPr>
            <w:tcW w:w="1458" w:type="dxa"/>
          </w:tcPr>
          <w:p w14:paraId="094A5C46" w14:textId="77777777" w:rsidR="00041A40" w:rsidRPr="00182FE1" w:rsidRDefault="00041A40" w:rsidP="00041A40">
            <w:pPr>
              <w:spacing w:after="0"/>
              <w:rPr>
                <w:rFonts w:cs="Arial"/>
                <w:sz w:val="20"/>
                <w:szCs w:val="32"/>
              </w:rPr>
            </w:pPr>
            <w:r w:rsidRPr="00182FE1">
              <w:rPr>
                <w:rFonts w:cs="Arial"/>
                <w:sz w:val="20"/>
                <w:szCs w:val="32"/>
              </w:rPr>
              <w:t>CINAHL via EBSCOhost</w:t>
            </w:r>
          </w:p>
        </w:tc>
        <w:tc>
          <w:tcPr>
            <w:tcW w:w="11790" w:type="dxa"/>
          </w:tcPr>
          <w:p w14:paraId="04C28C6D" w14:textId="77777777" w:rsidR="00041A40" w:rsidRPr="00182FE1" w:rsidRDefault="00041A40" w:rsidP="00041A40">
            <w:pPr>
              <w:spacing w:after="0"/>
              <w:rPr>
                <w:rFonts w:cs="Arial"/>
                <w:sz w:val="20"/>
                <w:szCs w:val="32"/>
              </w:rPr>
            </w:pPr>
            <w:r w:rsidRPr="00182FE1">
              <w:rPr>
                <w:rFonts w:cs="Arial"/>
                <w:sz w:val="20"/>
                <w:szCs w:val="32"/>
              </w:rPr>
              <w:t>(TX (“chronic kidney disease” OR CKD OR “chronic renal disease” OR “kidney function decline” OR “renal insufficiency”)) AND (TX adult*) AND (TX (“United Kingdom” OR UK OR England OR Scotland OR Wales OR “Northern Ireland” OR British)) AND (TX (“risk factor*” OR prevalence OR incidence OR progression OR diabetes OR hypertension OR obes* OR smoking OR ethnicity OR deprivation OR diet OR “physical activity” OR management OR treatment OR intervention* OR screening OR “SGLT2 inhibitor*” OR lifestyle OR “digital health” OR “self-management” OR “integrated care”))</w:t>
            </w:r>
          </w:p>
        </w:tc>
      </w:tr>
      <w:tr w:rsidR="00041A40" w:rsidRPr="00182FE1" w14:paraId="6F1EAAEC" w14:textId="77777777" w:rsidTr="00184C42">
        <w:tc>
          <w:tcPr>
            <w:tcW w:w="1458" w:type="dxa"/>
          </w:tcPr>
          <w:p w14:paraId="150E0716" w14:textId="77777777" w:rsidR="00041A40" w:rsidRPr="00182FE1" w:rsidRDefault="00041A40" w:rsidP="00041A40">
            <w:pPr>
              <w:spacing w:after="0"/>
              <w:rPr>
                <w:rFonts w:cs="Arial"/>
                <w:sz w:val="20"/>
                <w:szCs w:val="32"/>
              </w:rPr>
            </w:pPr>
            <w:r w:rsidRPr="00182FE1">
              <w:rPr>
                <w:rFonts w:cs="Arial"/>
                <w:sz w:val="20"/>
                <w:szCs w:val="32"/>
              </w:rPr>
              <w:t>Academic Search Complete via EBSCOhost</w:t>
            </w:r>
          </w:p>
        </w:tc>
        <w:tc>
          <w:tcPr>
            <w:tcW w:w="11790" w:type="dxa"/>
          </w:tcPr>
          <w:p w14:paraId="56329F86" w14:textId="77777777" w:rsidR="00041A40" w:rsidRPr="00182FE1" w:rsidRDefault="00041A40" w:rsidP="00041A40">
            <w:pPr>
              <w:spacing w:after="0"/>
              <w:rPr>
                <w:rFonts w:cs="Arial"/>
                <w:sz w:val="20"/>
                <w:szCs w:val="32"/>
              </w:rPr>
            </w:pPr>
            <w:r w:rsidRPr="00182FE1">
              <w:rPr>
                <w:rFonts w:cs="Arial"/>
                <w:sz w:val="20"/>
                <w:szCs w:val="32"/>
              </w:rPr>
              <w:t>(TX (“chronic kidney disease” OR CKD OR “chronic renal disease” OR “kidney function decline” OR “renal insufficiency”)) AND (TX adult*) AND (TX (“United Kingdom” OR UK OR England OR Scotland OR Wales OR “Northern Ireland” OR British)) AND (TX (“risk factor*” OR prevalence OR incidence OR progression OR diabetes OR hypertension OR obes* OR smoking OR ethnicity OR deprivation OR diet OR “physical activity” OR management OR treatment OR intervention* OR screening OR “SGLT2 inhibitor*” OR lifestyle OR “digital health” OR “self-management” OR “integrated care”))</w:t>
            </w:r>
          </w:p>
        </w:tc>
      </w:tr>
      <w:tr w:rsidR="00041A40" w:rsidRPr="00182FE1" w14:paraId="66DFC918" w14:textId="77777777" w:rsidTr="00184C42">
        <w:tc>
          <w:tcPr>
            <w:tcW w:w="1458" w:type="dxa"/>
          </w:tcPr>
          <w:p w14:paraId="0690185F" w14:textId="77777777" w:rsidR="00041A40" w:rsidRPr="00182FE1" w:rsidRDefault="00041A40" w:rsidP="00041A40">
            <w:pPr>
              <w:spacing w:after="0"/>
              <w:rPr>
                <w:rFonts w:cs="Arial"/>
                <w:sz w:val="20"/>
                <w:szCs w:val="32"/>
              </w:rPr>
            </w:pPr>
            <w:r w:rsidRPr="00182FE1">
              <w:rPr>
                <w:rFonts w:cs="Arial"/>
                <w:sz w:val="20"/>
                <w:szCs w:val="32"/>
              </w:rPr>
              <w:t>Web of Science Core Collection</w:t>
            </w:r>
          </w:p>
        </w:tc>
        <w:tc>
          <w:tcPr>
            <w:tcW w:w="11790" w:type="dxa"/>
          </w:tcPr>
          <w:p w14:paraId="6103B912" w14:textId="77777777" w:rsidR="00041A40" w:rsidRPr="00182FE1" w:rsidRDefault="00041A40" w:rsidP="00041A40">
            <w:pPr>
              <w:spacing w:after="0"/>
              <w:rPr>
                <w:rFonts w:cs="Arial"/>
                <w:sz w:val="20"/>
                <w:szCs w:val="32"/>
              </w:rPr>
            </w:pPr>
            <w:r w:rsidRPr="00182FE1">
              <w:rPr>
                <w:rFonts w:cs="Arial"/>
                <w:sz w:val="20"/>
                <w:szCs w:val="32"/>
              </w:rPr>
              <w:t>TS=((“chronic kidney disease” OR CKD OR “chronic renal disease” OR “kidney function decline” OR “renal insufficiency”) AND adult* AND (“United Kingdom” OR UK OR England OR Scotland OR Wales OR “Northern Ireland” OR British) AND (“risk factor*” OR prevalence OR incidence OR progression OR diabetes OR hypertension OR obes* OR smoking OR ethnicity OR deprivation OR diet OR “physical activity” OR management OR treatment OR intervention* OR screening OR “SGLT2 inhibitor*” OR lifestyle OR “digital health” OR “self-management” OR “integrated care”))</w:t>
            </w:r>
          </w:p>
        </w:tc>
      </w:tr>
    </w:tbl>
    <w:p w14:paraId="7DAEBA90" w14:textId="77777777" w:rsidR="00184C42" w:rsidRDefault="00184C42" w:rsidP="00041A40">
      <w:pPr>
        <w:keepNext/>
        <w:spacing w:before="60" w:after="60"/>
        <w:rPr>
          <w:rFonts w:cs="Arial"/>
          <w:b/>
          <w:sz w:val="24"/>
          <w:szCs w:val="32"/>
        </w:rPr>
      </w:pPr>
    </w:p>
    <w:p w14:paraId="32328A97" w14:textId="7126EF14" w:rsidR="00041A40" w:rsidRPr="00041A40" w:rsidRDefault="00041A40" w:rsidP="00041A40">
      <w:pPr>
        <w:keepNext/>
        <w:spacing w:before="60" w:after="60"/>
        <w:rPr>
          <w:rFonts w:cs="Arial"/>
          <w:sz w:val="32"/>
          <w:szCs w:val="32"/>
        </w:rPr>
      </w:pPr>
      <w:r w:rsidRPr="00041A40">
        <w:rPr>
          <w:rFonts w:cs="Arial"/>
          <w:b/>
          <w:sz w:val="24"/>
          <w:szCs w:val="32"/>
        </w:rPr>
        <w:t>Table A3. Inclusion and exclusion criteria</w:t>
      </w:r>
    </w:p>
    <w:tbl>
      <w:tblPr>
        <w:tblStyle w:val="TableGrid"/>
        <w:tblW w:w="0" w:type="auto"/>
        <w:tblLayout w:type="fixed"/>
        <w:tblLook w:val="04A0" w:firstRow="1" w:lastRow="0" w:firstColumn="1" w:lastColumn="0" w:noHBand="0" w:noVBand="1"/>
      </w:tblPr>
      <w:tblGrid>
        <w:gridCol w:w="1928"/>
        <w:gridCol w:w="5020"/>
        <w:gridCol w:w="6300"/>
      </w:tblGrid>
      <w:tr w:rsidR="00041A40" w:rsidRPr="00CD4B2C" w14:paraId="1E98232C" w14:textId="77777777" w:rsidTr="00184C42">
        <w:tc>
          <w:tcPr>
            <w:tcW w:w="1928" w:type="dxa"/>
          </w:tcPr>
          <w:p w14:paraId="57FB99C5" w14:textId="77777777" w:rsidR="00041A40" w:rsidRPr="00CD4B2C" w:rsidRDefault="00041A40" w:rsidP="00041A40">
            <w:pPr>
              <w:spacing w:after="0"/>
              <w:jc w:val="center"/>
              <w:rPr>
                <w:rFonts w:cs="Arial"/>
                <w:sz w:val="20"/>
                <w:szCs w:val="28"/>
              </w:rPr>
            </w:pPr>
            <w:r w:rsidRPr="00CD4B2C">
              <w:rPr>
                <w:rFonts w:cs="Arial"/>
                <w:b/>
                <w:sz w:val="20"/>
                <w:szCs w:val="28"/>
              </w:rPr>
              <w:t>Criterion</w:t>
            </w:r>
          </w:p>
        </w:tc>
        <w:tc>
          <w:tcPr>
            <w:tcW w:w="5020" w:type="dxa"/>
          </w:tcPr>
          <w:p w14:paraId="6A470F61" w14:textId="77777777" w:rsidR="00041A40" w:rsidRPr="00CD4B2C" w:rsidRDefault="00041A40" w:rsidP="00041A40">
            <w:pPr>
              <w:spacing w:after="0"/>
              <w:jc w:val="center"/>
              <w:rPr>
                <w:rFonts w:cs="Arial"/>
                <w:sz w:val="20"/>
                <w:szCs w:val="28"/>
              </w:rPr>
            </w:pPr>
            <w:r w:rsidRPr="00CD4B2C">
              <w:rPr>
                <w:rFonts w:cs="Arial"/>
                <w:b/>
                <w:sz w:val="20"/>
                <w:szCs w:val="28"/>
              </w:rPr>
              <w:t>Include</w:t>
            </w:r>
          </w:p>
        </w:tc>
        <w:tc>
          <w:tcPr>
            <w:tcW w:w="6300" w:type="dxa"/>
          </w:tcPr>
          <w:p w14:paraId="4325DCE5" w14:textId="77777777" w:rsidR="00041A40" w:rsidRPr="00CD4B2C" w:rsidRDefault="00041A40" w:rsidP="00041A40">
            <w:pPr>
              <w:spacing w:after="0"/>
              <w:jc w:val="center"/>
              <w:rPr>
                <w:rFonts w:cs="Arial"/>
                <w:sz w:val="20"/>
                <w:szCs w:val="28"/>
              </w:rPr>
            </w:pPr>
            <w:r w:rsidRPr="00CD4B2C">
              <w:rPr>
                <w:rFonts w:cs="Arial"/>
                <w:b/>
                <w:sz w:val="20"/>
                <w:szCs w:val="28"/>
              </w:rPr>
              <w:t>Exclude</w:t>
            </w:r>
          </w:p>
        </w:tc>
      </w:tr>
      <w:tr w:rsidR="00041A40" w:rsidRPr="00CD4B2C" w14:paraId="228B9E02" w14:textId="77777777" w:rsidTr="00184C42">
        <w:tc>
          <w:tcPr>
            <w:tcW w:w="1928" w:type="dxa"/>
          </w:tcPr>
          <w:p w14:paraId="4D8A0AA0" w14:textId="77777777" w:rsidR="00041A40" w:rsidRPr="00CD4B2C" w:rsidRDefault="00041A40" w:rsidP="00041A40">
            <w:pPr>
              <w:spacing w:after="0"/>
              <w:rPr>
                <w:rFonts w:cs="Arial"/>
                <w:sz w:val="20"/>
                <w:szCs w:val="28"/>
              </w:rPr>
            </w:pPr>
            <w:r w:rsidRPr="00CD4B2C">
              <w:rPr>
                <w:rFonts w:cs="Arial"/>
                <w:sz w:val="20"/>
                <w:szCs w:val="28"/>
              </w:rPr>
              <w:t>Population</w:t>
            </w:r>
          </w:p>
        </w:tc>
        <w:tc>
          <w:tcPr>
            <w:tcW w:w="5020" w:type="dxa"/>
          </w:tcPr>
          <w:p w14:paraId="43C68C71" w14:textId="77777777" w:rsidR="00041A40" w:rsidRPr="00CD4B2C" w:rsidRDefault="00041A40" w:rsidP="00041A40">
            <w:pPr>
              <w:spacing w:after="0"/>
              <w:rPr>
                <w:rFonts w:cs="Arial"/>
                <w:sz w:val="20"/>
                <w:szCs w:val="28"/>
              </w:rPr>
            </w:pPr>
            <w:r w:rsidRPr="00CD4B2C">
              <w:rPr>
                <w:rFonts w:cs="Arial"/>
                <w:sz w:val="20"/>
                <w:szCs w:val="28"/>
              </w:rPr>
              <w:t>Adults aged ≥18 years</w:t>
            </w:r>
          </w:p>
        </w:tc>
        <w:tc>
          <w:tcPr>
            <w:tcW w:w="6300" w:type="dxa"/>
          </w:tcPr>
          <w:p w14:paraId="3306AF9B" w14:textId="77777777" w:rsidR="00041A40" w:rsidRPr="00CD4B2C" w:rsidRDefault="00041A40" w:rsidP="00041A40">
            <w:pPr>
              <w:spacing w:after="0"/>
              <w:rPr>
                <w:rFonts w:cs="Arial"/>
                <w:sz w:val="20"/>
                <w:szCs w:val="28"/>
              </w:rPr>
            </w:pPr>
            <w:r w:rsidRPr="00CD4B2C">
              <w:rPr>
                <w:rFonts w:cs="Arial"/>
                <w:sz w:val="20"/>
                <w:szCs w:val="28"/>
              </w:rPr>
              <w:t>Child/adolescent-only samples</w:t>
            </w:r>
          </w:p>
        </w:tc>
      </w:tr>
      <w:tr w:rsidR="00041A40" w:rsidRPr="00CD4B2C" w14:paraId="63B16BDA" w14:textId="77777777" w:rsidTr="00184C42">
        <w:tc>
          <w:tcPr>
            <w:tcW w:w="1928" w:type="dxa"/>
          </w:tcPr>
          <w:p w14:paraId="61397E41" w14:textId="77777777" w:rsidR="00041A40" w:rsidRPr="00CD4B2C" w:rsidRDefault="00041A40" w:rsidP="00041A40">
            <w:pPr>
              <w:spacing w:after="0"/>
              <w:rPr>
                <w:rFonts w:cs="Arial"/>
                <w:sz w:val="20"/>
                <w:szCs w:val="28"/>
              </w:rPr>
            </w:pPr>
            <w:r w:rsidRPr="00CD4B2C">
              <w:rPr>
                <w:rFonts w:cs="Arial"/>
                <w:sz w:val="20"/>
                <w:szCs w:val="28"/>
              </w:rPr>
              <w:t>Geography</w:t>
            </w:r>
          </w:p>
        </w:tc>
        <w:tc>
          <w:tcPr>
            <w:tcW w:w="5020" w:type="dxa"/>
          </w:tcPr>
          <w:p w14:paraId="75AD610C" w14:textId="77777777" w:rsidR="00041A40" w:rsidRPr="00CD4B2C" w:rsidRDefault="00041A40" w:rsidP="00041A40">
            <w:pPr>
              <w:spacing w:after="0"/>
              <w:rPr>
                <w:rFonts w:cs="Arial"/>
                <w:sz w:val="20"/>
                <w:szCs w:val="28"/>
              </w:rPr>
            </w:pPr>
            <w:r w:rsidRPr="00CD4B2C">
              <w:rPr>
                <w:rFonts w:cs="Arial"/>
                <w:sz w:val="20"/>
                <w:szCs w:val="28"/>
              </w:rPr>
              <w:t>UK or constituent nations; separable UK data</w:t>
            </w:r>
          </w:p>
        </w:tc>
        <w:tc>
          <w:tcPr>
            <w:tcW w:w="6300" w:type="dxa"/>
          </w:tcPr>
          <w:p w14:paraId="1770F69C" w14:textId="77777777" w:rsidR="00041A40" w:rsidRPr="00CD4B2C" w:rsidRDefault="00041A40" w:rsidP="00041A40">
            <w:pPr>
              <w:spacing w:after="0"/>
              <w:rPr>
                <w:rFonts w:cs="Arial"/>
                <w:sz w:val="20"/>
                <w:szCs w:val="28"/>
              </w:rPr>
            </w:pPr>
            <w:r w:rsidRPr="00CD4B2C">
              <w:rPr>
                <w:rFonts w:cs="Arial"/>
                <w:sz w:val="20"/>
                <w:szCs w:val="28"/>
              </w:rPr>
              <w:t>Non-UK evidence without separable UK results</w:t>
            </w:r>
          </w:p>
        </w:tc>
      </w:tr>
      <w:tr w:rsidR="00041A40" w:rsidRPr="00CD4B2C" w14:paraId="24191EBA" w14:textId="77777777" w:rsidTr="00184C42">
        <w:tc>
          <w:tcPr>
            <w:tcW w:w="1928" w:type="dxa"/>
          </w:tcPr>
          <w:p w14:paraId="28837857" w14:textId="77777777" w:rsidR="00041A40" w:rsidRPr="00CD4B2C" w:rsidRDefault="00041A40" w:rsidP="00041A40">
            <w:pPr>
              <w:spacing w:after="0"/>
              <w:rPr>
                <w:rFonts w:cs="Arial"/>
                <w:sz w:val="20"/>
                <w:szCs w:val="28"/>
              </w:rPr>
            </w:pPr>
            <w:r w:rsidRPr="00CD4B2C">
              <w:rPr>
                <w:rFonts w:cs="Arial"/>
                <w:sz w:val="20"/>
                <w:szCs w:val="28"/>
              </w:rPr>
              <w:t>Condition</w:t>
            </w:r>
          </w:p>
        </w:tc>
        <w:tc>
          <w:tcPr>
            <w:tcW w:w="5020" w:type="dxa"/>
          </w:tcPr>
          <w:p w14:paraId="56AC7BE5" w14:textId="77777777" w:rsidR="00041A40" w:rsidRPr="00CD4B2C" w:rsidRDefault="00041A40" w:rsidP="00041A40">
            <w:pPr>
              <w:spacing w:after="0"/>
              <w:rPr>
                <w:rFonts w:cs="Arial"/>
                <w:sz w:val="20"/>
                <w:szCs w:val="28"/>
              </w:rPr>
            </w:pPr>
            <w:r w:rsidRPr="00CD4B2C">
              <w:rPr>
                <w:rFonts w:cs="Arial"/>
                <w:sz w:val="20"/>
                <w:szCs w:val="28"/>
              </w:rPr>
              <w:t>Defined CKD or CKD-risk population</w:t>
            </w:r>
          </w:p>
        </w:tc>
        <w:tc>
          <w:tcPr>
            <w:tcW w:w="6300" w:type="dxa"/>
          </w:tcPr>
          <w:p w14:paraId="3219D550" w14:textId="77777777" w:rsidR="00041A40" w:rsidRPr="00CD4B2C" w:rsidRDefault="00041A40" w:rsidP="00041A40">
            <w:pPr>
              <w:spacing w:after="0"/>
              <w:rPr>
                <w:rFonts w:cs="Arial"/>
                <w:sz w:val="20"/>
                <w:szCs w:val="28"/>
              </w:rPr>
            </w:pPr>
            <w:r w:rsidRPr="00CD4B2C">
              <w:rPr>
                <w:rFonts w:cs="Arial"/>
                <w:sz w:val="20"/>
                <w:szCs w:val="28"/>
              </w:rPr>
              <w:t>Acute kidney injury without a CKD outcome</w:t>
            </w:r>
          </w:p>
        </w:tc>
      </w:tr>
      <w:tr w:rsidR="00041A40" w:rsidRPr="00CD4B2C" w14:paraId="23B1172E" w14:textId="77777777" w:rsidTr="00184C42">
        <w:tc>
          <w:tcPr>
            <w:tcW w:w="1928" w:type="dxa"/>
          </w:tcPr>
          <w:p w14:paraId="72BC960A" w14:textId="77777777" w:rsidR="00041A40" w:rsidRPr="00CD4B2C" w:rsidRDefault="00041A40" w:rsidP="00041A40">
            <w:pPr>
              <w:spacing w:after="0"/>
              <w:rPr>
                <w:rFonts w:cs="Arial"/>
                <w:sz w:val="20"/>
                <w:szCs w:val="28"/>
              </w:rPr>
            </w:pPr>
            <w:r w:rsidRPr="00CD4B2C">
              <w:rPr>
                <w:rFonts w:cs="Arial"/>
                <w:sz w:val="20"/>
                <w:szCs w:val="28"/>
              </w:rPr>
              <w:t>Focus</w:t>
            </w:r>
          </w:p>
        </w:tc>
        <w:tc>
          <w:tcPr>
            <w:tcW w:w="5020" w:type="dxa"/>
          </w:tcPr>
          <w:p w14:paraId="47D500FB" w14:textId="77777777" w:rsidR="00041A40" w:rsidRPr="00CD4B2C" w:rsidRDefault="00041A40" w:rsidP="00041A40">
            <w:pPr>
              <w:spacing w:after="0"/>
              <w:rPr>
                <w:rFonts w:cs="Arial"/>
                <w:sz w:val="20"/>
                <w:szCs w:val="28"/>
              </w:rPr>
            </w:pPr>
            <w:r w:rsidRPr="00CD4B2C">
              <w:rPr>
                <w:rFonts w:cs="Arial"/>
                <w:sz w:val="20"/>
                <w:szCs w:val="28"/>
              </w:rPr>
              <w:t>Prevalence, risk, progression or management</w:t>
            </w:r>
          </w:p>
        </w:tc>
        <w:tc>
          <w:tcPr>
            <w:tcW w:w="6300" w:type="dxa"/>
          </w:tcPr>
          <w:p w14:paraId="5193870E" w14:textId="77777777" w:rsidR="00041A40" w:rsidRPr="00CD4B2C" w:rsidRDefault="00041A40" w:rsidP="00041A40">
            <w:pPr>
              <w:spacing w:after="0"/>
              <w:rPr>
                <w:rFonts w:cs="Arial"/>
                <w:sz w:val="20"/>
                <w:szCs w:val="28"/>
              </w:rPr>
            </w:pPr>
            <w:r w:rsidRPr="00CD4B2C">
              <w:rPr>
                <w:rFonts w:cs="Arial"/>
                <w:sz w:val="20"/>
                <w:szCs w:val="28"/>
              </w:rPr>
              <w:t>Unrelated to the research objectives</w:t>
            </w:r>
          </w:p>
        </w:tc>
      </w:tr>
      <w:tr w:rsidR="00041A40" w:rsidRPr="00CD4B2C" w14:paraId="1FD97B8A" w14:textId="77777777" w:rsidTr="00184C42">
        <w:tc>
          <w:tcPr>
            <w:tcW w:w="1928" w:type="dxa"/>
          </w:tcPr>
          <w:p w14:paraId="5BD2F32F" w14:textId="77777777" w:rsidR="00041A40" w:rsidRPr="00CD4B2C" w:rsidRDefault="00041A40" w:rsidP="00041A40">
            <w:pPr>
              <w:spacing w:after="0"/>
              <w:rPr>
                <w:rFonts w:cs="Arial"/>
                <w:sz w:val="20"/>
                <w:szCs w:val="28"/>
              </w:rPr>
            </w:pPr>
            <w:r w:rsidRPr="00CD4B2C">
              <w:rPr>
                <w:rFonts w:cs="Arial"/>
                <w:sz w:val="20"/>
                <w:szCs w:val="28"/>
              </w:rPr>
              <w:t>Evidence</w:t>
            </w:r>
          </w:p>
        </w:tc>
        <w:tc>
          <w:tcPr>
            <w:tcW w:w="5020" w:type="dxa"/>
          </w:tcPr>
          <w:p w14:paraId="46C84A1C" w14:textId="77777777" w:rsidR="00041A40" w:rsidRPr="00CD4B2C" w:rsidRDefault="00041A40" w:rsidP="00041A40">
            <w:pPr>
              <w:spacing w:after="0"/>
              <w:rPr>
                <w:rFonts w:cs="Arial"/>
                <w:sz w:val="20"/>
                <w:szCs w:val="28"/>
              </w:rPr>
            </w:pPr>
            <w:r w:rsidRPr="00CD4B2C">
              <w:rPr>
                <w:rFonts w:cs="Arial"/>
                <w:sz w:val="20"/>
                <w:szCs w:val="28"/>
              </w:rPr>
              <w:t>Peer-reviewed empirical human research</w:t>
            </w:r>
          </w:p>
        </w:tc>
        <w:tc>
          <w:tcPr>
            <w:tcW w:w="6300" w:type="dxa"/>
          </w:tcPr>
          <w:p w14:paraId="0CCFED91" w14:textId="77777777" w:rsidR="00041A40" w:rsidRPr="00CD4B2C" w:rsidRDefault="00041A40" w:rsidP="00041A40">
            <w:pPr>
              <w:spacing w:after="0"/>
              <w:rPr>
                <w:rFonts w:cs="Arial"/>
                <w:sz w:val="20"/>
                <w:szCs w:val="28"/>
              </w:rPr>
            </w:pPr>
            <w:r w:rsidRPr="00CD4B2C">
              <w:rPr>
                <w:rFonts w:cs="Arial"/>
                <w:sz w:val="20"/>
                <w:szCs w:val="28"/>
              </w:rPr>
              <w:t>Editorials, letters, protocols, commentaries, animal/laboratory studies</w:t>
            </w:r>
          </w:p>
        </w:tc>
      </w:tr>
      <w:tr w:rsidR="00041A40" w:rsidRPr="00CD4B2C" w14:paraId="434FB016" w14:textId="77777777" w:rsidTr="00184C42">
        <w:tc>
          <w:tcPr>
            <w:tcW w:w="1928" w:type="dxa"/>
          </w:tcPr>
          <w:p w14:paraId="756528E2" w14:textId="77777777" w:rsidR="00041A40" w:rsidRPr="00CD4B2C" w:rsidRDefault="00041A40" w:rsidP="00041A40">
            <w:pPr>
              <w:spacing w:after="0"/>
              <w:rPr>
                <w:rFonts w:cs="Arial"/>
                <w:sz w:val="20"/>
                <w:szCs w:val="28"/>
              </w:rPr>
            </w:pPr>
            <w:r w:rsidRPr="00CD4B2C">
              <w:rPr>
                <w:rFonts w:cs="Arial"/>
                <w:sz w:val="20"/>
                <w:szCs w:val="28"/>
              </w:rPr>
              <w:t>Date/language</w:t>
            </w:r>
          </w:p>
        </w:tc>
        <w:tc>
          <w:tcPr>
            <w:tcW w:w="5020" w:type="dxa"/>
          </w:tcPr>
          <w:p w14:paraId="44DE5871" w14:textId="77777777" w:rsidR="00041A40" w:rsidRPr="00CD4B2C" w:rsidRDefault="00041A40" w:rsidP="00041A40">
            <w:pPr>
              <w:spacing w:after="0"/>
              <w:rPr>
                <w:rFonts w:cs="Arial"/>
                <w:sz w:val="20"/>
                <w:szCs w:val="28"/>
              </w:rPr>
            </w:pPr>
            <w:r w:rsidRPr="00CD4B2C">
              <w:rPr>
                <w:rFonts w:cs="Arial"/>
                <w:sz w:val="20"/>
                <w:szCs w:val="28"/>
              </w:rPr>
              <w:t>2020–2026; English</w:t>
            </w:r>
          </w:p>
        </w:tc>
        <w:tc>
          <w:tcPr>
            <w:tcW w:w="6300" w:type="dxa"/>
          </w:tcPr>
          <w:p w14:paraId="20F3C816" w14:textId="77777777" w:rsidR="00041A40" w:rsidRPr="00CD4B2C" w:rsidRDefault="00041A40" w:rsidP="00041A40">
            <w:pPr>
              <w:spacing w:after="0"/>
              <w:rPr>
                <w:rFonts w:cs="Arial"/>
                <w:sz w:val="20"/>
                <w:szCs w:val="28"/>
              </w:rPr>
            </w:pPr>
            <w:r w:rsidRPr="00CD4B2C">
              <w:rPr>
                <w:rFonts w:cs="Arial"/>
                <w:sz w:val="20"/>
                <w:szCs w:val="28"/>
              </w:rPr>
              <w:t>Pre-2020; non-English</w:t>
            </w:r>
          </w:p>
        </w:tc>
      </w:tr>
      <w:tr w:rsidR="00041A40" w:rsidRPr="00CD4B2C" w14:paraId="05FE0F1B" w14:textId="77777777" w:rsidTr="00184C42">
        <w:tc>
          <w:tcPr>
            <w:tcW w:w="1928" w:type="dxa"/>
          </w:tcPr>
          <w:p w14:paraId="63230964" w14:textId="77777777" w:rsidR="00041A40" w:rsidRPr="00CD4B2C" w:rsidRDefault="00041A40" w:rsidP="00041A40">
            <w:pPr>
              <w:spacing w:after="0"/>
              <w:rPr>
                <w:rFonts w:cs="Arial"/>
                <w:sz w:val="20"/>
                <w:szCs w:val="28"/>
              </w:rPr>
            </w:pPr>
            <w:r w:rsidRPr="00CD4B2C">
              <w:rPr>
                <w:rFonts w:cs="Arial"/>
                <w:sz w:val="20"/>
                <w:szCs w:val="28"/>
              </w:rPr>
              <w:t>Availability</w:t>
            </w:r>
          </w:p>
        </w:tc>
        <w:tc>
          <w:tcPr>
            <w:tcW w:w="5020" w:type="dxa"/>
          </w:tcPr>
          <w:p w14:paraId="522C3385" w14:textId="77777777" w:rsidR="00041A40" w:rsidRPr="00CD4B2C" w:rsidRDefault="00041A40" w:rsidP="00041A40">
            <w:pPr>
              <w:spacing w:after="0"/>
              <w:rPr>
                <w:rFonts w:cs="Arial"/>
                <w:sz w:val="20"/>
                <w:szCs w:val="28"/>
              </w:rPr>
            </w:pPr>
            <w:r w:rsidRPr="00CD4B2C">
              <w:rPr>
                <w:rFonts w:cs="Arial"/>
                <w:sz w:val="20"/>
                <w:szCs w:val="28"/>
              </w:rPr>
              <w:t>Accessible full text</w:t>
            </w:r>
          </w:p>
        </w:tc>
        <w:tc>
          <w:tcPr>
            <w:tcW w:w="6300" w:type="dxa"/>
          </w:tcPr>
          <w:p w14:paraId="04C14844" w14:textId="77777777" w:rsidR="00041A40" w:rsidRPr="00CD4B2C" w:rsidRDefault="00041A40" w:rsidP="00041A40">
            <w:pPr>
              <w:spacing w:after="0"/>
              <w:rPr>
                <w:rFonts w:cs="Arial"/>
                <w:sz w:val="20"/>
                <w:szCs w:val="28"/>
              </w:rPr>
            </w:pPr>
            <w:r w:rsidRPr="00CD4B2C">
              <w:rPr>
                <w:rFonts w:cs="Arial"/>
                <w:sz w:val="20"/>
                <w:szCs w:val="28"/>
              </w:rPr>
              <w:t>Abstract only or insufficient full-text information</w:t>
            </w:r>
          </w:p>
        </w:tc>
      </w:tr>
      <w:tr w:rsidR="00041A40" w:rsidRPr="00CD4B2C" w14:paraId="2AE391A5" w14:textId="77777777" w:rsidTr="00184C42">
        <w:tc>
          <w:tcPr>
            <w:tcW w:w="1928" w:type="dxa"/>
          </w:tcPr>
          <w:p w14:paraId="7E962D56" w14:textId="77777777" w:rsidR="00041A40" w:rsidRPr="00CD4B2C" w:rsidRDefault="00041A40" w:rsidP="00041A40">
            <w:pPr>
              <w:spacing w:after="0"/>
              <w:rPr>
                <w:rFonts w:cs="Arial"/>
                <w:sz w:val="20"/>
                <w:szCs w:val="28"/>
              </w:rPr>
            </w:pPr>
            <w:r w:rsidRPr="00CD4B2C">
              <w:rPr>
                <w:rFonts w:cs="Arial"/>
                <w:sz w:val="20"/>
                <w:szCs w:val="28"/>
              </w:rPr>
              <w:t>Design</w:t>
            </w:r>
          </w:p>
        </w:tc>
        <w:tc>
          <w:tcPr>
            <w:tcW w:w="5020" w:type="dxa"/>
          </w:tcPr>
          <w:p w14:paraId="625634BA" w14:textId="77777777" w:rsidR="00041A40" w:rsidRPr="00CD4B2C" w:rsidRDefault="00041A40" w:rsidP="00041A40">
            <w:pPr>
              <w:spacing w:after="0"/>
              <w:rPr>
                <w:rFonts w:cs="Arial"/>
                <w:sz w:val="20"/>
                <w:szCs w:val="28"/>
              </w:rPr>
            </w:pPr>
            <w:r w:rsidRPr="00CD4B2C">
              <w:rPr>
                <w:rFonts w:cs="Arial"/>
                <w:sz w:val="20"/>
                <w:szCs w:val="28"/>
              </w:rPr>
              <w:t>Observational, intervention, qualitative or mixed methods</w:t>
            </w:r>
          </w:p>
        </w:tc>
        <w:tc>
          <w:tcPr>
            <w:tcW w:w="6300" w:type="dxa"/>
          </w:tcPr>
          <w:p w14:paraId="2031A069" w14:textId="77777777" w:rsidR="00041A40" w:rsidRPr="00CD4B2C" w:rsidRDefault="00041A40" w:rsidP="00041A40">
            <w:pPr>
              <w:spacing w:after="0"/>
              <w:rPr>
                <w:rFonts w:cs="Arial"/>
                <w:sz w:val="20"/>
                <w:szCs w:val="28"/>
              </w:rPr>
            </w:pPr>
            <w:r w:rsidRPr="00CD4B2C">
              <w:rPr>
                <w:rFonts w:cs="Arial"/>
                <w:sz w:val="20"/>
                <w:szCs w:val="28"/>
              </w:rPr>
              <w:t>Non-empirical work</w:t>
            </w:r>
          </w:p>
        </w:tc>
      </w:tr>
    </w:tbl>
    <w:p w14:paraId="775734F0" w14:textId="77777777" w:rsidR="00041A40" w:rsidRPr="00041A40" w:rsidRDefault="00041A40" w:rsidP="00041A40">
      <w:pPr>
        <w:spacing w:after="20"/>
        <w:rPr>
          <w:rFonts w:cs="Arial"/>
        </w:rPr>
      </w:pPr>
    </w:p>
    <w:p w14:paraId="6796DEC2" w14:textId="77777777" w:rsidR="00041A40" w:rsidRPr="00041A40" w:rsidRDefault="00041A40" w:rsidP="00041A40">
      <w:pPr>
        <w:keepNext/>
        <w:keepLines/>
        <w:spacing w:before="200" w:after="0"/>
        <w:outlineLvl w:val="1"/>
        <w:rPr>
          <w:rFonts w:eastAsiaTheme="majorEastAsia" w:cs="Arial"/>
          <w:b/>
          <w:bCs/>
          <w:color w:val="000000" w:themeColor="text1"/>
          <w:sz w:val="26"/>
          <w:szCs w:val="26"/>
        </w:rPr>
      </w:pPr>
      <w:bookmarkStart w:id="167" w:name="_Toc241090925"/>
      <w:r w:rsidRPr="00041A40">
        <w:rPr>
          <w:rFonts w:eastAsiaTheme="majorEastAsia" w:cs="Arial"/>
          <w:b/>
          <w:bCs/>
          <w:color w:val="000000" w:themeColor="text1"/>
          <w:sz w:val="26"/>
          <w:szCs w:val="26"/>
        </w:rPr>
        <w:t>Appendix 2 – PRISMA Study-Selection Evidence</w:t>
      </w:r>
      <w:bookmarkEnd w:id="167"/>
    </w:p>
    <w:p w14:paraId="21ECB72F" w14:textId="77777777" w:rsidR="00041A40" w:rsidRPr="00041A40" w:rsidRDefault="00041A40" w:rsidP="00041A40">
      <w:pPr>
        <w:keepNext/>
        <w:spacing w:before="60" w:after="60"/>
        <w:rPr>
          <w:rFonts w:cs="Arial"/>
          <w:sz w:val="32"/>
          <w:szCs w:val="32"/>
        </w:rPr>
      </w:pPr>
      <w:r w:rsidRPr="00041A40">
        <w:rPr>
          <w:rFonts w:cs="Arial"/>
          <w:b/>
          <w:sz w:val="24"/>
          <w:szCs w:val="32"/>
        </w:rPr>
        <w:t>Figure B1. PRISMA 2020 study-selection flow</w:t>
      </w:r>
    </w:p>
    <w:tbl>
      <w:tblPr>
        <w:tblStyle w:val="TableGrid"/>
        <w:tblW w:w="0" w:type="auto"/>
        <w:tblLayout w:type="fixed"/>
        <w:tblLook w:val="04A0" w:firstRow="1" w:lastRow="0" w:firstColumn="1" w:lastColumn="0" w:noHBand="0" w:noVBand="1"/>
      </w:tblPr>
      <w:tblGrid>
        <w:gridCol w:w="2358"/>
        <w:gridCol w:w="10890"/>
      </w:tblGrid>
      <w:tr w:rsidR="00041A40" w:rsidRPr="00CD4B2C" w14:paraId="0D8882F2" w14:textId="77777777" w:rsidTr="00184C42">
        <w:tc>
          <w:tcPr>
            <w:tcW w:w="2358" w:type="dxa"/>
          </w:tcPr>
          <w:p w14:paraId="113C3F79" w14:textId="77777777" w:rsidR="00041A40" w:rsidRPr="00CD4B2C" w:rsidRDefault="00041A40" w:rsidP="00041A40">
            <w:pPr>
              <w:spacing w:after="0"/>
              <w:jc w:val="center"/>
              <w:rPr>
                <w:rFonts w:cs="Arial"/>
                <w:sz w:val="20"/>
                <w:szCs w:val="28"/>
              </w:rPr>
            </w:pPr>
            <w:r w:rsidRPr="00CD4B2C">
              <w:rPr>
                <w:rFonts w:cs="Arial"/>
                <w:b/>
                <w:sz w:val="20"/>
                <w:szCs w:val="28"/>
              </w:rPr>
              <w:t>Stage</w:t>
            </w:r>
          </w:p>
        </w:tc>
        <w:tc>
          <w:tcPr>
            <w:tcW w:w="10890" w:type="dxa"/>
          </w:tcPr>
          <w:p w14:paraId="4F5BBDAD" w14:textId="77777777" w:rsidR="00041A40" w:rsidRPr="00CD4B2C" w:rsidRDefault="00041A40" w:rsidP="00041A40">
            <w:pPr>
              <w:spacing w:after="0"/>
              <w:jc w:val="center"/>
              <w:rPr>
                <w:rFonts w:cs="Arial"/>
                <w:sz w:val="20"/>
                <w:szCs w:val="28"/>
              </w:rPr>
            </w:pPr>
            <w:r w:rsidRPr="00CD4B2C">
              <w:rPr>
                <w:rFonts w:cs="Arial"/>
                <w:b/>
                <w:sz w:val="20"/>
                <w:szCs w:val="28"/>
              </w:rPr>
              <w:t>Study-selection record</w:t>
            </w:r>
          </w:p>
        </w:tc>
      </w:tr>
      <w:tr w:rsidR="00041A40" w:rsidRPr="00CD4B2C" w14:paraId="4EC56E26" w14:textId="77777777" w:rsidTr="00184C42">
        <w:tc>
          <w:tcPr>
            <w:tcW w:w="2358" w:type="dxa"/>
          </w:tcPr>
          <w:p w14:paraId="4914435F" w14:textId="77777777" w:rsidR="00041A40" w:rsidRPr="00CD4B2C" w:rsidRDefault="00041A40" w:rsidP="00041A40">
            <w:pPr>
              <w:spacing w:after="0"/>
              <w:rPr>
                <w:rFonts w:cs="Arial"/>
                <w:sz w:val="20"/>
                <w:szCs w:val="28"/>
              </w:rPr>
            </w:pPr>
            <w:r w:rsidRPr="00CD4B2C">
              <w:rPr>
                <w:rFonts w:cs="Arial"/>
                <w:sz w:val="20"/>
                <w:szCs w:val="28"/>
              </w:rPr>
              <w:t>Identification</w:t>
            </w:r>
          </w:p>
        </w:tc>
        <w:tc>
          <w:tcPr>
            <w:tcW w:w="10890" w:type="dxa"/>
          </w:tcPr>
          <w:p w14:paraId="29697BF7" w14:textId="77777777" w:rsidR="00041A40" w:rsidRPr="00CD4B2C" w:rsidRDefault="00041A40" w:rsidP="00041A40">
            <w:pPr>
              <w:spacing w:after="0"/>
              <w:rPr>
                <w:rFonts w:cs="Arial"/>
                <w:sz w:val="20"/>
                <w:szCs w:val="28"/>
              </w:rPr>
            </w:pPr>
            <w:r w:rsidRPr="00CD4B2C">
              <w:rPr>
                <w:rFonts w:cs="Arial"/>
                <w:sz w:val="20"/>
                <w:szCs w:val="28"/>
              </w:rPr>
              <w:t>Databases: MEDLINE via PubMed (n = 128), CINAHL via EBSCOhost (n = 74), Academic Search Complete (n = 69), Web of Science Core Collection (n = 94). Database records (n = 365). Hand searches (n = 15). Total records identified (n = 380).</w:t>
            </w:r>
          </w:p>
        </w:tc>
      </w:tr>
      <w:tr w:rsidR="00041A40" w:rsidRPr="00CD4B2C" w14:paraId="2F29D821" w14:textId="77777777" w:rsidTr="00184C42">
        <w:tc>
          <w:tcPr>
            <w:tcW w:w="2358" w:type="dxa"/>
          </w:tcPr>
          <w:p w14:paraId="071F8339" w14:textId="77777777" w:rsidR="00041A40" w:rsidRPr="00CD4B2C" w:rsidRDefault="00041A40" w:rsidP="00041A40">
            <w:pPr>
              <w:spacing w:after="0"/>
              <w:rPr>
                <w:rFonts w:cs="Arial"/>
                <w:sz w:val="20"/>
                <w:szCs w:val="28"/>
              </w:rPr>
            </w:pPr>
            <w:r w:rsidRPr="00CD4B2C">
              <w:rPr>
                <w:rFonts w:cs="Arial"/>
                <w:sz w:val="20"/>
                <w:szCs w:val="28"/>
              </w:rPr>
              <w:t>Records removed before screening</w:t>
            </w:r>
          </w:p>
        </w:tc>
        <w:tc>
          <w:tcPr>
            <w:tcW w:w="10890" w:type="dxa"/>
          </w:tcPr>
          <w:p w14:paraId="5EF9C5E5" w14:textId="77777777" w:rsidR="00041A40" w:rsidRPr="00CD4B2C" w:rsidRDefault="00041A40" w:rsidP="00041A40">
            <w:pPr>
              <w:spacing w:after="0"/>
              <w:rPr>
                <w:rFonts w:cs="Arial"/>
                <w:sz w:val="20"/>
                <w:szCs w:val="28"/>
              </w:rPr>
            </w:pPr>
            <w:r w:rsidRPr="00CD4B2C">
              <w:rPr>
                <w:rFonts w:cs="Arial"/>
                <w:sz w:val="20"/>
                <w:szCs w:val="28"/>
              </w:rPr>
              <w:t>Duplicate records removed (n = 80).</w:t>
            </w:r>
          </w:p>
        </w:tc>
      </w:tr>
      <w:tr w:rsidR="00041A40" w:rsidRPr="00CD4B2C" w14:paraId="0C45A3CC" w14:textId="77777777" w:rsidTr="00184C42">
        <w:tc>
          <w:tcPr>
            <w:tcW w:w="2358" w:type="dxa"/>
          </w:tcPr>
          <w:p w14:paraId="73554014" w14:textId="77777777" w:rsidR="00041A40" w:rsidRPr="00CD4B2C" w:rsidRDefault="00041A40" w:rsidP="00041A40">
            <w:pPr>
              <w:spacing w:after="0"/>
              <w:rPr>
                <w:rFonts w:cs="Arial"/>
                <w:sz w:val="20"/>
                <w:szCs w:val="28"/>
              </w:rPr>
            </w:pPr>
            <w:r w:rsidRPr="00CD4B2C">
              <w:rPr>
                <w:rFonts w:cs="Arial"/>
                <w:sz w:val="20"/>
                <w:szCs w:val="28"/>
              </w:rPr>
              <w:t>Screening</w:t>
            </w:r>
          </w:p>
        </w:tc>
        <w:tc>
          <w:tcPr>
            <w:tcW w:w="10890" w:type="dxa"/>
          </w:tcPr>
          <w:p w14:paraId="28883428" w14:textId="77777777" w:rsidR="00041A40" w:rsidRPr="00CD4B2C" w:rsidRDefault="00041A40" w:rsidP="00041A40">
            <w:pPr>
              <w:spacing w:after="0"/>
              <w:rPr>
                <w:rFonts w:cs="Arial"/>
                <w:sz w:val="20"/>
                <w:szCs w:val="28"/>
              </w:rPr>
            </w:pPr>
            <w:r w:rsidRPr="00CD4B2C">
              <w:rPr>
                <w:rFonts w:cs="Arial"/>
                <w:sz w:val="20"/>
                <w:szCs w:val="28"/>
              </w:rPr>
              <w:t>Records screened by title and abstract (n = 300). Records excluded (n = 240).</w:t>
            </w:r>
          </w:p>
        </w:tc>
      </w:tr>
      <w:tr w:rsidR="00041A40" w:rsidRPr="00CD4B2C" w14:paraId="0B3A5EF4" w14:textId="77777777" w:rsidTr="00184C42">
        <w:tc>
          <w:tcPr>
            <w:tcW w:w="2358" w:type="dxa"/>
          </w:tcPr>
          <w:p w14:paraId="66A9849A" w14:textId="77777777" w:rsidR="00041A40" w:rsidRPr="00CD4B2C" w:rsidRDefault="00041A40" w:rsidP="00041A40">
            <w:pPr>
              <w:spacing w:after="0"/>
              <w:rPr>
                <w:rFonts w:cs="Arial"/>
                <w:sz w:val="20"/>
                <w:szCs w:val="28"/>
              </w:rPr>
            </w:pPr>
            <w:r w:rsidRPr="00CD4B2C">
              <w:rPr>
                <w:rFonts w:cs="Arial"/>
                <w:sz w:val="20"/>
                <w:szCs w:val="28"/>
              </w:rPr>
              <w:t>Eligibility</w:t>
            </w:r>
          </w:p>
        </w:tc>
        <w:tc>
          <w:tcPr>
            <w:tcW w:w="10890" w:type="dxa"/>
          </w:tcPr>
          <w:p w14:paraId="1050EA54" w14:textId="77777777" w:rsidR="00041A40" w:rsidRPr="00CD4B2C" w:rsidRDefault="00041A40" w:rsidP="00041A40">
            <w:pPr>
              <w:spacing w:after="0"/>
              <w:rPr>
                <w:rFonts w:cs="Arial"/>
                <w:sz w:val="20"/>
                <w:szCs w:val="28"/>
              </w:rPr>
            </w:pPr>
            <w:r w:rsidRPr="00CD4B2C">
              <w:rPr>
                <w:rFonts w:cs="Arial"/>
                <w:sz w:val="20"/>
                <w:szCs w:val="28"/>
              </w:rPr>
              <w:t>Full-text research articles assessed (n = 60). Full-text articles excluded (n = 45).</w:t>
            </w:r>
          </w:p>
        </w:tc>
      </w:tr>
      <w:tr w:rsidR="00041A40" w:rsidRPr="00CD4B2C" w14:paraId="66746ADC" w14:textId="77777777" w:rsidTr="00184C42">
        <w:tc>
          <w:tcPr>
            <w:tcW w:w="2358" w:type="dxa"/>
          </w:tcPr>
          <w:p w14:paraId="5959603A" w14:textId="77777777" w:rsidR="00041A40" w:rsidRPr="00CD4B2C" w:rsidRDefault="00041A40" w:rsidP="00041A40">
            <w:pPr>
              <w:spacing w:after="0"/>
              <w:rPr>
                <w:rFonts w:cs="Arial"/>
                <w:sz w:val="20"/>
                <w:szCs w:val="28"/>
              </w:rPr>
            </w:pPr>
            <w:r w:rsidRPr="00CD4B2C">
              <w:rPr>
                <w:rFonts w:cs="Arial"/>
                <w:sz w:val="20"/>
                <w:szCs w:val="28"/>
              </w:rPr>
              <w:t>Included</w:t>
            </w:r>
          </w:p>
        </w:tc>
        <w:tc>
          <w:tcPr>
            <w:tcW w:w="10890" w:type="dxa"/>
          </w:tcPr>
          <w:p w14:paraId="54CD63A4" w14:textId="77777777" w:rsidR="00041A40" w:rsidRPr="00CD4B2C" w:rsidRDefault="00041A40" w:rsidP="00041A40">
            <w:pPr>
              <w:spacing w:after="0"/>
              <w:rPr>
                <w:rFonts w:cs="Arial"/>
                <w:sz w:val="20"/>
                <w:szCs w:val="28"/>
              </w:rPr>
            </w:pPr>
            <w:r w:rsidRPr="00CD4B2C">
              <w:rPr>
                <w:rFonts w:cs="Arial"/>
                <w:sz w:val="20"/>
                <w:szCs w:val="28"/>
              </w:rPr>
              <w:t>Studies included in the systematic synthesis (n = 15): cohort studies (n = 10), cross-sectional studies (n = 1), randomised controlled trial (n = 1), qualitative study (n = 1), and service/quality-improvement evaluations (n = 2).</w:t>
            </w:r>
          </w:p>
        </w:tc>
      </w:tr>
    </w:tbl>
    <w:p w14:paraId="47ECF7D7" w14:textId="77777777" w:rsidR="00184C42" w:rsidRDefault="00184C42" w:rsidP="00041A40">
      <w:pPr>
        <w:keepNext/>
        <w:spacing w:before="60" w:after="60"/>
        <w:rPr>
          <w:rFonts w:cs="Arial"/>
          <w:b/>
          <w:sz w:val="24"/>
          <w:szCs w:val="32"/>
        </w:rPr>
      </w:pPr>
    </w:p>
    <w:p w14:paraId="1B34636C" w14:textId="477E00AE" w:rsidR="00041A40" w:rsidRPr="00041A40" w:rsidRDefault="00041A40" w:rsidP="00041A40">
      <w:pPr>
        <w:keepNext/>
        <w:spacing w:before="60" w:after="60"/>
        <w:rPr>
          <w:rFonts w:cs="Arial"/>
          <w:sz w:val="32"/>
          <w:szCs w:val="32"/>
        </w:rPr>
      </w:pPr>
      <w:r w:rsidRPr="00041A40">
        <w:rPr>
          <w:rFonts w:cs="Arial"/>
          <w:b/>
          <w:sz w:val="24"/>
          <w:szCs w:val="32"/>
        </w:rPr>
        <w:t>Table B1. Full-text exclusion record</w:t>
      </w:r>
    </w:p>
    <w:tbl>
      <w:tblPr>
        <w:tblStyle w:val="TableGrid"/>
        <w:tblW w:w="0" w:type="auto"/>
        <w:tblLayout w:type="fixed"/>
        <w:tblLook w:val="04A0" w:firstRow="1" w:lastRow="0" w:firstColumn="1" w:lastColumn="0" w:noHBand="0" w:noVBand="1"/>
      </w:tblPr>
      <w:tblGrid>
        <w:gridCol w:w="2948"/>
        <w:gridCol w:w="1474"/>
        <w:gridCol w:w="8826"/>
      </w:tblGrid>
      <w:tr w:rsidR="00041A40" w:rsidRPr="00C341DB" w14:paraId="6EEFFA04" w14:textId="77777777" w:rsidTr="00184C42">
        <w:tc>
          <w:tcPr>
            <w:tcW w:w="2948" w:type="dxa"/>
          </w:tcPr>
          <w:p w14:paraId="43D6F67C" w14:textId="77777777" w:rsidR="00041A40" w:rsidRPr="00C341DB" w:rsidRDefault="00041A40" w:rsidP="00041A40">
            <w:pPr>
              <w:spacing w:after="0"/>
              <w:jc w:val="center"/>
              <w:rPr>
                <w:rFonts w:cs="Arial"/>
                <w:sz w:val="20"/>
                <w:szCs w:val="28"/>
              </w:rPr>
            </w:pPr>
            <w:r w:rsidRPr="00C341DB">
              <w:rPr>
                <w:rFonts w:cs="Arial"/>
                <w:b/>
                <w:sz w:val="20"/>
                <w:szCs w:val="28"/>
              </w:rPr>
              <w:t>Reason for exclusion</w:t>
            </w:r>
          </w:p>
        </w:tc>
        <w:tc>
          <w:tcPr>
            <w:tcW w:w="1474" w:type="dxa"/>
          </w:tcPr>
          <w:p w14:paraId="28BABB21" w14:textId="77777777" w:rsidR="00041A40" w:rsidRPr="00C341DB" w:rsidRDefault="00041A40" w:rsidP="00041A40">
            <w:pPr>
              <w:spacing w:after="0"/>
              <w:jc w:val="center"/>
              <w:rPr>
                <w:rFonts w:cs="Arial"/>
                <w:sz w:val="20"/>
                <w:szCs w:val="28"/>
              </w:rPr>
            </w:pPr>
            <w:r w:rsidRPr="00C341DB">
              <w:rPr>
                <w:rFonts w:cs="Arial"/>
                <w:b/>
                <w:sz w:val="20"/>
                <w:szCs w:val="28"/>
              </w:rPr>
              <w:t>Number excluded</w:t>
            </w:r>
          </w:p>
        </w:tc>
        <w:tc>
          <w:tcPr>
            <w:tcW w:w="8826" w:type="dxa"/>
          </w:tcPr>
          <w:p w14:paraId="1EA9B0CA" w14:textId="77777777" w:rsidR="00041A40" w:rsidRPr="00C341DB" w:rsidRDefault="00041A40" w:rsidP="00041A40">
            <w:pPr>
              <w:spacing w:after="0"/>
              <w:jc w:val="center"/>
              <w:rPr>
                <w:rFonts w:cs="Arial"/>
                <w:sz w:val="20"/>
                <w:szCs w:val="28"/>
              </w:rPr>
            </w:pPr>
            <w:r w:rsidRPr="00C341DB">
              <w:rPr>
                <w:rFonts w:cs="Arial"/>
                <w:b/>
                <w:sz w:val="20"/>
                <w:szCs w:val="28"/>
              </w:rPr>
              <w:t>Decision rule</w:t>
            </w:r>
          </w:p>
        </w:tc>
      </w:tr>
      <w:tr w:rsidR="00041A40" w:rsidRPr="00C341DB" w14:paraId="3E88FFB3" w14:textId="77777777" w:rsidTr="00184C42">
        <w:tc>
          <w:tcPr>
            <w:tcW w:w="2948" w:type="dxa"/>
          </w:tcPr>
          <w:p w14:paraId="075753FB" w14:textId="77777777" w:rsidR="00041A40" w:rsidRPr="00C341DB" w:rsidRDefault="00041A40" w:rsidP="00041A40">
            <w:pPr>
              <w:spacing w:after="0"/>
              <w:rPr>
                <w:rFonts w:cs="Arial"/>
                <w:sz w:val="20"/>
                <w:szCs w:val="28"/>
              </w:rPr>
            </w:pPr>
            <w:r w:rsidRPr="00C341DB">
              <w:rPr>
                <w:rFonts w:cs="Arial"/>
                <w:sz w:val="20"/>
                <w:szCs w:val="28"/>
              </w:rPr>
              <w:t>Incorrect population or setting</w:t>
            </w:r>
          </w:p>
        </w:tc>
        <w:tc>
          <w:tcPr>
            <w:tcW w:w="1474" w:type="dxa"/>
          </w:tcPr>
          <w:p w14:paraId="3C3D86A5" w14:textId="77777777" w:rsidR="00041A40" w:rsidRPr="00C341DB" w:rsidRDefault="00041A40" w:rsidP="00041A40">
            <w:pPr>
              <w:spacing w:after="0"/>
              <w:jc w:val="center"/>
              <w:rPr>
                <w:rFonts w:cs="Arial"/>
                <w:sz w:val="20"/>
                <w:szCs w:val="28"/>
              </w:rPr>
            </w:pPr>
            <w:r w:rsidRPr="00C341DB">
              <w:rPr>
                <w:rFonts w:cs="Arial"/>
                <w:sz w:val="20"/>
                <w:szCs w:val="28"/>
              </w:rPr>
              <w:t>16</w:t>
            </w:r>
          </w:p>
        </w:tc>
        <w:tc>
          <w:tcPr>
            <w:tcW w:w="8826" w:type="dxa"/>
          </w:tcPr>
          <w:p w14:paraId="1F634634" w14:textId="77777777" w:rsidR="00041A40" w:rsidRPr="00C341DB" w:rsidRDefault="00041A40" w:rsidP="00041A40">
            <w:pPr>
              <w:spacing w:after="0"/>
              <w:rPr>
                <w:rFonts w:cs="Arial"/>
                <w:sz w:val="20"/>
                <w:szCs w:val="28"/>
              </w:rPr>
            </w:pPr>
            <w:r w:rsidRPr="00C341DB">
              <w:rPr>
                <w:rFonts w:cs="Arial"/>
                <w:sz w:val="20"/>
                <w:szCs w:val="28"/>
              </w:rPr>
              <w:t>Population was not composed of eligible adults, or UK findings were unavailable or inseparable.</w:t>
            </w:r>
          </w:p>
        </w:tc>
      </w:tr>
      <w:tr w:rsidR="00041A40" w:rsidRPr="00C341DB" w14:paraId="7E1026A3" w14:textId="77777777" w:rsidTr="00184C42">
        <w:tc>
          <w:tcPr>
            <w:tcW w:w="2948" w:type="dxa"/>
          </w:tcPr>
          <w:p w14:paraId="28C64275" w14:textId="77777777" w:rsidR="00041A40" w:rsidRPr="00C341DB" w:rsidRDefault="00041A40" w:rsidP="00041A40">
            <w:pPr>
              <w:spacing w:after="0"/>
              <w:rPr>
                <w:rFonts w:cs="Arial"/>
                <w:sz w:val="20"/>
                <w:szCs w:val="28"/>
              </w:rPr>
            </w:pPr>
            <w:r w:rsidRPr="00C341DB">
              <w:rPr>
                <w:rFonts w:cs="Arial"/>
                <w:sz w:val="20"/>
                <w:szCs w:val="28"/>
              </w:rPr>
              <w:t>Incorrect focus or outcome</w:t>
            </w:r>
          </w:p>
        </w:tc>
        <w:tc>
          <w:tcPr>
            <w:tcW w:w="1474" w:type="dxa"/>
          </w:tcPr>
          <w:p w14:paraId="58F04078" w14:textId="77777777" w:rsidR="00041A40" w:rsidRPr="00C341DB" w:rsidRDefault="00041A40" w:rsidP="00041A40">
            <w:pPr>
              <w:spacing w:after="0"/>
              <w:jc w:val="center"/>
              <w:rPr>
                <w:rFonts w:cs="Arial"/>
                <w:sz w:val="20"/>
                <w:szCs w:val="28"/>
              </w:rPr>
            </w:pPr>
            <w:r w:rsidRPr="00C341DB">
              <w:rPr>
                <w:rFonts w:cs="Arial"/>
                <w:sz w:val="20"/>
                <w:szCs w:val="28"/>
              </w:rPr>
              <w:t>14</w:t>
            </w:r>
          </w:p>
        </w:tc>
        <w:tc>
          <w:tcPr>
            <w:tcW w:w="8826" w:type="dxa"/>
          </w:tcPr>
          <w:p w14:paraId="13E61DC1" w14:textId="77777777" w:rsidR="00041A40" w:rsidRPr="00C341DB" w:rsidRDefault="00041A40" w:rsidP="00041A40">
            <w:pPr>
              <w:spacing w:after="0"/>
              <w:rPr>
                <w:rFonts w:cs="Arial"/>
                <w:sz w:val="20"/>
                <w:szCs w:val="28"/>
              </w:rPr>
            </w:pPr>
            <w:r w:rsidRPr="00C341DB">
              <w:rPr>
                <w:rFonts w:cs="Arial"/>
                <w:sz w:val="20"/>
                <w:szCs w:val="28"/>
              </w:rPr>
              <w:t>Study did not address CKD prevalence, risk, progression or management outcomes.</w:t>
            </w:r>
          </w:p>
        </w:tc>
      </w:tr>
      <w:tr w:rsidR="00041A40" w:rsidRPr="00C341DB" w14:paraId="65E45361" w14:textId="77777777" w:rsidTr="00184C42">
        <w:tc>
          <w:tcPr>
            <w:tcW w:w="2948" w:type="dxa"/>
          </w:tcPr>
          <w:p w14:paraId="4CA73DE4" w14:textId="77777777" w:rsidR="00041A40" w:rsidRPr="00C341DB" w:rsidRDefault="00041A40" w:rsidP="00041A40">
            <w:pPr>
              <w:spacing w:after="0"/>
              <w:rPr>
                <w:rFonts w:cs="Arial"/>
                <w:sz w:val="20"/>
                <w:szCs w:val="28"/>
              </w:rPr>
            </w:pPr>
            <w:r w:rsidRPr="00C341DB">
              <w:rPr>
                <w:rFonts w:cs="Arial"/>
                <w:sz w:val="20"/>
                <w:szCs w:val="28"/>
              </w:rPr>
              <w:t>Incorrect study design</w:t>
            </w:r>
          </w:p>
        </w:tc>
        <w:tc>
          <w:tcPr>
            <w:tcW w:w="1474" w:type="dxa"/>
          </w:tcPr>
          <w:p w14:paraId="46FE2546" w14:textId="77777777" w:rsidR="00041A40" w:rsidRPr="00C341DB" w:rsidRDefault="00041A40" w:rsidP="00041A40">
            <w:pPr>
              <w:spacing w:after="0"/>
              <w:jc w:val="center"/>
              <w:rPr>
                <w:rFonts w:cs="Arial"/>
                <w:sz w:val="20"/>
                <w:szCs w:val="28"/>
              </w:rPr>
            </w:pPr>
            <w:r w:rsidRPr="00C341DB">
              <w:rPr>
                <w:rFonts w:cs="Arial"/>
                <w:sz w:val="20"/>
                <w:szCs w:val="28"/>
              </w:rPr>
              <w:t>9</w:t>
            </w:r>
          </w:p>
        </w:tc>
        <w:tc>
          <w:tcPr>
            <w:tcW w:w="8826" w:type="dxa"/>
          </w:tcPr>
          <w:p w14:paraId="1EE8D948" w14:textId="77777777" w:rsidR="00041A40" w:rsidRPr="00C341DB" w:rsidRDefault="00041A40" w:rsidP="00041A40">
            <w:pPr>
              <w:spacing w:after="0"/>
              <w:rPr>
                <w:rFonts w:cs="Arial"/>
                <w:sz w:val="20"/>
                <w:szCs w:val="28"/>
              </w:rPr>
            </w:pPr>
            <w:r w:rsidRPr="00C341DB">
              <w:rPr>
                <w:rFonts w:cs="Arial"/>
                <w:sz w:val="20"/>
                <w:szCs w:val="28"/>
              </w:rPr>
              <w:t>Publication was non-empirical or did not meet the eligible design criteria.</w:t>
            </w:r>
          </w:p>
        </w:tc>
      </w:tr>
      <w:tr w:rsidR="00041A40" w:rsidRPr="00C341DB" w14:paraId="44835CA5" w14:textId="77777777" w:rsidTr="00184C42">
        <w:tc>
          <w:tcPr>
            <w:tcW w:w="2948" w:type="dxa"/>
          </w:tcPr>
          <w:p w14:paraId="035FA13C" w14:textId="77777777" w:rsidR="00041A40" w:rsidRPr="00C341DB" w:rsidRDefault="00041A40" w:rsidP="00041A40">
            <w:pPr>
              <w:spacing w:after="0"/>
              <w:rPr>
                <w:rFonts w:cs="Arial"/>
                <w:sz w:val="20"/>
                <w:szCs w:val="28"/>
              </w:rPr>
            </w:pPr>
            <w:r w:rsidRPr="00C341DB">
              <w:rPr>
                <w:rFonts w:cs="Arial"/>
                <w:sz w:val="20"/>
                <w:szCs w:val="28"/>
              </w:rPr>
              <w:t>Outside date limits or full text unavailable</w:t>
            </w:r>
          </w:p>
        </w:tc>
        <w:tc>
          <w:tcPr>
            <w:tcW w:w="1474" w:type="dxa"/>
          </w:tcPr>
          <w:p w14:paraId="06B92AFB" w14:textId="77777777" w:rsidR="00041A40" w:rsidRPr="00C341DB" w:rsidRDefault="00041A40" w:rsidP="00041A40">
            <w:pPr>
              <w:spacing w:after="0"/>
              <w:jc w:val="center"/>
              <w:rPr>
                <w:rFonts w:cs="Arial"/>
                <w:sz w:val="20"/>
                <w:szCs w:val="28"/>
              </w:rPr>
            </w:pPr>
            <w:r w:rsidRPr="00C341DB">
              <w:rPr>
                <w:rFonts w:cs="Arial"/>
                <w:sz w:val="20"/>
                <w:szCs w:val="28"/>
              </w:rPr>
              <w:t>6</w:t>
            </w:r>
          </w:p>
        </w:tc>
        <w:tc>
          <w:tcPr>
            <w:tcW w:w="8826" w:type="dxa"/>
          </w:tcPr>
          <w:p w14:paraId="08B28ACC" w14:textId="77777777" w:rsidR="00041A40" w:rsidRPr="00C341DB" w:rsidRDefault="00041A40" w:rsidP="00041A40">
            <w:pPr>
              <w:spacing w:after="0"/>
              <w:rPr>
                <w:rFonts w:cs="Arial"/>
                <w:sz w:val="20"/>
                <w:szCs w:val="28"/>
              </w:rPr>
            </w:pPr>
            <w:r w:rsidRPr="00C341DB">
              <w:rPr>
                <w:rFonts w:cs="Arial"/>
                <w:sz w:val="20"/>
                <w:szCs w:val="28"/>
              </w:rPr>
              <w:t>Study was published before 2020 or sufficient full-text information was unavailable.</w:t>
            </w:r>
          </w:p>
        </w:tc>
      </w:tr>
      <w:tr w:rsidR="00041A40" w:rsidRPr="00C341DB" w14:paraId="7451463A" w14:textId="77777777" w:rsidTr="00184C42">
        <w:tc>
          <w:tcPr>
            <w:tcW w:w="2948" w:type="dxa"/>
          </w:tcPr>
          <w:p w14:paraId="7E860A0B" w14:textId="77777777" w:rsidR="00041A40" w:rsidRPr="00C341DB" w:rsidRDefault="00041A40" w:rsidP="00041A40">
            <w:pPr>
              <w:spacing w:after="0"/>
              <w:rPr>
                <w:rFonts w:cs="Arial"/>
                <w:sz w:val="20"/>
                <w:szCs w:val="28"/>
              </w:rPr>
            </w:pPr>
            <w:r w:rsidRPr="00C341DB">
              <w:rPr>
                <w:rFonts w:cs="Arial"/>
                <w:sz w:val="20"/>
                <w:szCs w:val="28"/>
              </w:rPr>
              <w:t>Total</w:t>
            </w:r>
          </w:p>
        </w:tc>
        <w:tc>
          <w:tcPr>
            <w:tcW w:w="1474" w:type="dxa"/>
          </w:tcPr>
          <w:p w14:paraId="773C3B9B" w14:textId="77777777" w:rsidR="00041A40" w:rsidRPr="00C341DB" w:rsidRDefault="00041A40" w:rsidP="00041A40">
            <w:pPr>
              <w:spacing w:after="0"/>
              <w:jc w:val="center"/>
              <w:rPr>
                <w:rFonts w:cs="Arial"/>
                <w:sz w:val="20"/>
                <w:szCs w:val="28"/>
              </w:rPr>
            </w:pPr>
            <w:r w:rsidRPr="00C341DB">
              <w:rPr>
                <w:rFonts w:cs="Arial"/>
                <w:sz w:val="20"/>
                <w:szCs w:val="28"/>
              </w:rPr>
              <w:t>45</w:t>
            </w:r>
          </w:p>
        </w:tc>
        <w:tc>
          <w:tcPr>
            <w:tcW w:w="8826" w:type="dxa"/>
          </w:tcPr>
          <w:p w14:paraId="5CC7B400" w14:textId="77777777" w:rsidR="00041A40" w:rsidRPr="00C341DB" w:rsidRDefault="00041A40" w:rsidP="00041A40">
            <w:pPr>
              <w:spacing w:after="0"/>
              <w:rPr>
                <w:rFonts w:cs="Arial"/>
                <w:sz w:val="20"/>
                <w:szCs w:val="28"/>
              </w:rPr>
            </w:pPr>
            <w:r w:rsidRPr="00C341DB">
              <w:rPr>
                <w:rFonts w:cs="Arial"/>
                <w:sz w:val="20"/>
                <w:szCs w:val="28"/>
              </w:rPr>
              <w:t>—</w:t>
            </w:r>
          </w:p>
        </w:tc>
      </w:tr>
    </w:tbl>
    <w:p w14:paraId="6D00244A" w14:textId="77777777" w:rsidR="00041A40" w:rsidRPr="00041A40" w:rsidRDefault="00041A40" w:rsidP="00041A40">
      <w:pPr>
        <w:keepNext/>
        <w:keepLines/>
        <w:spacing w:before="200" w:after="0"/>
        <w:outlineLvl w:val="1"/>
        <w:rPr>
          <w:rFonts w:eastAsiaTheme="majorEastAsia" w:cs="Arial"/>
          <w:b/>
          <w:bCs/>
          <w:color w:val="000000" w:themeColor="text1"/>
          <w:sz w:val="28"/>
          <w:szCs w:val="28"/>
        </w:rPr>
      </w:pPr>
      <w:bookmarkStart w:id="168" w:name="_Toc241090926"/>
      <w:r w:rsidRPr="00041A40">
        <w:rPr>
          <w:rFonts w:eastAsiaTheme="majorEastAsia" w:cs="Arial"/>
          <w:b/>
          <w:bCs/>
          <w:color w:val="000000" w:themeColor="text1"/>
          <w:sz w:val="28"/>
          <w:szCs w:val="28"/>
        </w:rPr>
        <w:t>Appendix 3 – Critical Appraisal Summary</w:t>
      </w:r>
      <w:bookmarkEnd w:id="168"/>
    </w:p>
    <w:p w14:paraId="397D2996" w14:textId="77777777" w:rsidR="00041A40" w:rsidRPr="00532809" w:rsidRDefault="00041A40" w:rsidP="00041A40">
      <w:pPr>
        <w:spacing w:after="40"/>
        <w:rPr>
          <w:rFonts w:cs="Arial"/>
          <w:sz w:val="32"/>
          <w:szCs w:val="32"/>
        </w:rPr>
      </w:pPr>
      <w:r w:rsidRPr="00532809">
        <w:rPr>
          <w:rFonts w:cs="Arial"/>
          <w:szCs w:val="32"/>
        </w:rPr>
        <w:t>Key: Y = Yes; P = Partial; N = No; U = Unclear; N/A = Not applicable. Appraisal informed the weighting and interpretation of evidence; studies were not excluded solely on the basis of an overall judgement.</w:t>
      </w:r>
    </w:p>
    <w:p w14:paraId="11B13F54" w14:textId="2762043C" w:rsidR="00041A40" w:rsidRPr="00041A40" w:rsidRDefault="00041A40" w:rsidP="00041A40">
      <w:pPr>
        <w:keepNext/>
        <w:spacing w:before="60" w:after="60"/>
        <w:rPr>
          <w:rFonts w:cs="Arial"/>
          <w:sz w:val="32"/>
          <w:szCs w:val="32"/>
        </w:rPr>
      </w:pPr>
      <w:r w:rsidRPr="00041A40">
        <w:rPr>
          <w:rFonts w:cs="Arial"/>
          <w:b/>
          <w:sz w:val="24"/>
          <w:szCs w:val="32"/>
        </w:rPr>
        <w:t xml:space="preserve">Table C1. Overall </w:t>
      </w:r>
      <w:r w:rsidR="00AE3768" w:rsidRPr="00041A40">
        <w:rPr>
          <w:rFonts w:cs="Arial"/>
          <w:b/>
          <w:sz w:val="24"/>
          <w:szCs w:val="32"/>
        </w:rPr>
        <w:t xml:space="preserve">Critical-Appraisal Summary </w:t>
      </w:r>
      <w:r w:rsidRPr="00041A40">
        <w:rPr>
          <w:rFonts w:cs="Arial"/>
          <w:b/>
          <w:sz w:val="24"/>
          <w:szCs w:val="32"/>
        </w:rPr>
        <w:t>of the 15 included studies</w:t>
      </w:r>
    </w:p>
    <w:tbl>
      <w:tblPr>
        <w:tblStyle w:val="TableGrid"/>
        <w:tblW w:w="0" w:type="auto"/>
        <w:tblLayout w:type="fixed"/>
        <w:tblLook w:val="04A0" w:firstRow="1" w:lastRow="0" w:firstColumn="1" w:lastColumn="0" w:noHBand="0" w:noVBand="1"/>
      </w:tblPr>
      <w:tblGrid>
        <w:gridCol w:w="1928"/>
        <w:gridCol w:w="3580"/>
        <w:gridCol w:w="5940"/>
        <w:gridCol w:w="1800"/>
      </w:tblGrid>
      <w:tr w:rsidR="00041A40" w:rsidRPr="00AE3768" w14:paraId="11435D37" w14:textId="77777777" w:rsidTr="00184C42">
        <w:tc>
          <w:tcPr>
            <w:tcW w:w="1928" w:type="dxa"/>
          </w:tcPr>
          <w:p w14:paraId="57D73934" w14:textId="77777777" w:rsidR="00041A40" w:rsidRPr="00AE3768" w:rsidRDefault="00041A40" w:rsidP="00184C42">
            <w:pPr>
              <w:spacing w:after="0"/>
              <w:jc w:val="center"/>
              <w:rPr>
                <w:rFonts w:cs="Arial"/>
                <w:sz w:val="20"/>
                <w:szCs w:val="20"/>
              </w:rPr>
            </w:pPr>
            <w:r w:rsidRPr="00AE3768">
              <w:rPr>
                <w:rFonts w:cs="Arial"/>
                <w:b/>
                <w:sz w:val="20"/>
                <w:szCs w:val="20"/>
              </w:rPr>
              <w:t>Study</w:t>
            </w:r>
          </w:p>
        </w:tc>
        <w:tc>
          <w:tcPr>
            <w:tcW w:w="3580" w:type="dxa"/>
          </w:tcPr>
          <w:p w14:paraId="76BA68DD" w14:textId="77777777" w:rsidR="00041A40" w:rsidRPr="00AE3768" w:rsidRDefault="00041A40" w:rsidP="00184C42">
            <w:pPr>
              <w:spacing w:after="0"/>
              <w:jc w:val="center"/>
              <w:rPr>
                <w:rFonts w:cs="Arial"/>
                <w:sz w:val="20"/>
                <w:szCs w:val="20"/>
              </w:rPr>
            </w:pPr>
            <w:r w:rsidRPr="00AE3768">
              <w:rPr>
                <w:rFonts w:cs="Arial"/>
                <w:b/>
                <w:sz w:val="20"/>
                <w:szCs w:val="20"/>
              </w:rPr>
              <w:t>Principal strengths</w:t>
            </w:r>
          </w:p>
        </w:tc>
        <w:tc>
          <w:tcPr>
            <w:tcW w:w="5940" w:type="dxa"/>
          </w:tcPr>
          <w:p w14:paraId="6855D27B" w14:textId="77777777" w:rsidR="00041A40" w:rsidRPr="00AE3768" w:rsidRDefault="00041A40" w:rsidP="00184C42">
            <w:pPr>
              <w:spacing w:after="0"/>
              <w:jc w:val="center"/>
              <w:rPr>
                <w:rFonts w:cs="Arial"/>
                <w:sz w:val="20"/>
                <w:szCs w:val="20"/>
              </w:rPr>
            </w:pPr>
            <w:r w:rsidRPr="00AE3768">
              <w:rPr>
                <w:rFonts w:cs="Arial"/>
                <w:b/>
                <w:sz w:val="20"/>
                <w:szCs w:val="20"/>
              </w:rPr>
              <w:t>Principal limitations</w:t>
            </w:r>
          </w:p>
        </w:tc>
        <w:tc>
          <w:tcPr>
            <w:tcW w:w="1800" w:type="dxa"/>
          </w:tcPr>
          <w:p w14:paraId="3F789D9D" w14:textId="77777777" w:rsidR="00041A40" w:rsidRPr="00AE3768" w:rsidRDefault="00041A40" w:rsidP="00184C42">
            <w:pPr>
              <w:spacing w:after="0"/>
              <w:jc w:val="center"/>
              <w:rPr>
                <w:rFonts w:cs="Arial"/>
                <w:sz w:val="20"/>
                <w:szCs w:val="20"/>
              </w:rPr>
            </w:pPr>
            <w:r w:rsidRPr="00AE3768">
              <w:rPr>
                <w:rFonts w:cs="Arial"/>
                <w:b/>
                <w:sz w:val="20"/>
                <w:szCs w:val="20"/>
              </w:rPr>
              <w:t>Overall</w:t>
            </w:r>
          </w:p>
        </w:tc>
      </w:tr>
      <w:tr w:rsidR="00041A40" w:rsidRPr="00AE3768" w14:paraId="65434E57" w14:textId="77777777" w:rsidTr="00184C42">
        <w:tc>
          <w:tcPr>
            <w:tcW w:w="1928" w:type="dxa"/>
          </w:tcPr>
          <w:p w14:paraId="605BBDE7" w14:textId="77777777" w:rsidR="00041A40" w:rsidRPr="00AE3768" w:rsidRDefault="00041A40" w:rsidP="00184C42">
            <w:pPr>
              <w:spacing w:after="0"/>
              <w:rPr>
                <w:rFonts w:cs="Arial"/>
                <w:sz w:val="20"/>
                <w:szCs w:val="20"/>
              </w:rPr>
            </w:pPr>
            <w:r w:rsidRPr="00AE3768">
              <w:rPr>
                <w:rFonts w:cs="Arial"/>
                <w:sz w:val="20"/>
                <w:szCs w:val="20"/>
              </w:rPr>
              <w:t>Stewart et al. (2026)</w:t>
            </w:r>
          </w:p>
        </w:tc>
        <w:tc>
          <w:tcPr>
            <w:tcW w:w="3580" w:type="dxa"/>
          </w:tcPr>
          <w:p w14:paraId="3A91263A" w14:textId="77777777" w:rsidR="00041A40" w:rsidRPr="00AE3768" w:rsidRDefault="00041A40" w:rsidP="00184C42">
            <w:pPr>
              <w:spacing w:after="0"/>
              <w:rPr>
                <w:rFonts w:cs="Arial"/>
                <w:sz w:val="20"/>
                <w:szCs w:val="20"/>
              </w:rPr>
            </w:pPr>
            <w:r w:rsidRPr="00AE3768">
              <w:rPr>
                <w:rFonts w:cs="Arial"/>
                <w:sz w:val="20"/>
                <w:szCs w:val="20"/>
              </w:rPr>
              <w:t>Large primary-care cohort; clinically relevant KFRE outcomes</w:t>
            </w:r>
          </w:p>
        </w:tc>
        <w:tc>
          <w:tcPr>
            <w:tcW w:w="5940" w:type="dxa"/>
          </w:tcPr>
          <w:p w14:paraId="6D745AB5" w14:textId="77777777" w:rsidR="00041A40" w:rsidRPr="00AE3768" w:rsidRDefault="00041A40" w:rsidP="00184C42">
            <w:pPr>
              <w:spacing w:after="0"/>
              <w:rPr>
                <w:rFonts w:cs="Arial"/>
                <w:sz w:val="20"/>
                <w:szCs w:val="20"/>
              </w:rPr>
            </w:pPr>
            <w:r w:rsidRPr="00AE3768">
              <w:rPr>
                <w:rFonts w:cs="Arial"/>
                <w:sz w:val="20"/>
                <w:szCs w:val="20"/>
              </w:rPr>
              <w:t>Retrospective records; missing data; regional setting</w:t>
            </w:r>
          </w:p>
        </w:tc>
        <w:tc>
          <w:tcPr>
            <w:tcW w:w="1800" w:type="dxa"/>
          </w:tcPr>
          <w:p w14:paraId="23C8B137"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1BB01B7D" w14:textId="77777777" w:rsidTr="00184C42">
        <w:tc>
          <w:tcPr>
            <w:tcW w:w="1928" w:type="dxa"/>
          </w:tcPr>
          <w:p w14:paraId="622144C2" w14:textId="77777777" w:rsidR="00041A40" w:rsidRPr="00AE3768" w:rsidRDefault="00041A40" w:rsidP="00184C42">
            <w:pPr>
              <w:spacing w:after="0"/>
              <w:rPr>
                <w:rFonts w:cs="Arial"/>
                <w:sz w:val="20"/>
                <w:szCs w:val="20"/>
              </w:rPr>
            </w:pPr>
            <w:r w:rsidRPr="00AE3768">
              <w:rPr>
                <w:rFonts w:cs="Arial"/>
                <w:sz w:val="20"/>
                <w:szCs w:val="20"/>
              </w:rPr>
              <w:t>Forbes et al. (2024)</w:t>
            </w:r>
          </w:p>
        </w:tc>
        <w:tc>
          <w:tcPr>
            <w:tcW w:w="3580" w:type="dxa"/>
          </w:tcPr>
          <w:p w14:paraId="3157A88F" w14:textId="77777777" w:rsidR="00041A40" w:rsidRPr="00AE3768" w:rsidRDefault="00041A40" w:rsidP="00184C42">
            <w:pPr>
              <w:spacing w:after="0"/>
              <w:rPr>
                <w:rFonts w:cs="Arial"/>
                <w:sz w:val="20"/>
                <w:szCs w:val="20"/>
              </w:rPr>
            </w:pPr>
            <w:r w:rsidRPr="00AE3768">
              <w:rPr>
                <w:rFonts w:cs="Arial"/>
                <w:sz w:val="20"/>
                <w:szCs w:val="20"/>
              </w:rPr>
              <w:t>Very large English EHR dataset; explicit guideline mapping</w:t>
            </w:r>
          </w:p>
        </w:tc>
        <w:tc>
          <w:tcPr>
            <w:tcW w:w="5940" w:type="dxa"/>
          </w:tcPr>
          <w:p w14:paraId="0AEA46E0" w14:textId="77777777" w:rsidR="00041A40" w:rsidRPr="00AE3768" w:rsidRDefault="00041A40" w:rsidP="00184C42">
            <w:pPr>
              <w:spacing w:after="0"/>
              <w:rPr>
                <w:rFonts w:cs="Arial"/>
                <w:sz w:val="20"/>
                <w:szCs w:val="20"/>
              </w:rPr>
            </w:pPr>
            <w:r w:rsidRPr="00AE3768">
              <w:rPr>
                <w:rFonts w:cs="Arial"/>
                <w:sz w:val="20"/>
                <w:szCs w:val="20"/>
              </w:rPr>
              <w:t>Cross-sectional design; coding and prescribing data limitations</w:t>
            </w:r>
          </w:p>
        </w:tc>
        <w:tc>
          <w:tcPr>
            <w:tcW w:w="1800" w:type="dxa"/>
          </w:tcPr>
          <w:p w14:paraId="58ADB971"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687EAD20" w14:textId="77777777" w:rsidTr="00184C42">
        <w:tc>
          <w:tcPr>
            <w:tcW w:w="1928" w:type="dxa"/>
          </w:tcPr>
          <w:p w14:paraId="4E1B526A" w14:textId="77777777" w:rsidR="00041A40" w:rsidRPr="00AE3768" w:rsidRDefault="00041A40" w:rsidP="00184C42">
            <w:pPr>
              <w:spacing w:after="0"/>
              <w:rPr>
                <w:rFonts w:cs="Arial"/>
                <w:sz w:val="20"/>
                <w:szCs w:val="20"/>
              </w:rPr>
            </w:pPr>
            <w:r w:rsidRPr="00AE3768">
              <w:rPr>
                <w:rFonts w:cs="Arial"/>
                <w:sz w:val="20"/>
                <w:szCs w:val="20"/>
              </w:rPr>
              <w:t>Major et al. (2025)</w:t>
            </w:r>
          </w:p>
        </w:tc>
        <w:tc>
          <w:tcPr>
            <w:tcW w:w="3580" w:type="dxa"/>
          </w:tcPr>
          <w:p w14:paraId="09359BB4" w14:textId="77777777" w:rsidR="00041A40" w:rsidRPr="00AE3768" w:rsidRDefault="00041A40" w:rsidP="00184C42">
            <w:pPr>
              <w:spacing w:after="0"/>
              <w:rPr>
                <w:rFonts w:cs="Arial"/>
                <w:sz w:val="20"/>
                <w:szCs w:val="20"/>
              </w:rPr>
            </w:pPr>
            <w:r w:rsidRPr="00AE3768">
              <w:rPr>
                <w:rFonts w:cs="Arial"/>
                <w:sz w:val="20"/>
                <w:szCs w:val="20"/>
              </w:rPr>
              <w:t>Real-world integrated pathway; MDT and medicines optimisation</w:t>
            </w:r>
          </w:p>
        </w:tc>
        <w:tc>
          <w:tcPr>
            <w:tcW w:w="5940" w:type="dxa"/>
          </w:tcPr>
          <w:p w14:paraId="68A31125" w14:textId="77777777" w:rsidR="00041A40" w:rsidRPr="00AE3768" w:rsidRDefault="00041A40" w:rsidP="00184C42">
            <w:pPr>
              <w:spacing w:after="0"/>
              <w:rPr>
                <w:rFonts w:cs="Arial"/>
                <w:sz w:val="20"/>
                <w:szCs w:val="20"/>
              </w:rPr>
            </w:pPr>
            <w:r w:rsidRPr="00AE3768">
              <w:rPr>
                <w:rFonts w:cs="Arial"/>
                <w:sz w:val="20"/>
                <w:szCs w:val="20"/>
              </w:rPr>
              <w:t>Local service evaluation; no concurrent comparator</w:t>
            </w:r>
          </w:p>
        </w:tc>
        <w:tc>
          <w:tcPr>
            <w:tcW w:w="1800" w:type="dxa"/>
          </w:tcPr>
          <w:p w14:paraId="52D5A097" w14:textId="77777777" w:rsidR="00041A40" w:rsidRPr="00AE3768" w:rsidRDefault="00041A40" w:rsidP="00184C42">
            <w:pPr>
              <w:spacing w:after="0"/>
              <w:rPr>
                <w:rFonts w:cs="Arial"/>
                <w:sz w:val="20"/>
                <w:szCs w:val="20"/>
              </w:rPr>
            </w:pPr>
            <w:r w:rsidRPr="00AE3768">
              <w:rPr>
                <w:rFonts w:cs="Arial"/>
                <w:sz w:val="20"/>
                <w:szCs w:val="20"/>
              </w:rPr>
              <w:t>Moderate</w:t>
            </w:r>
          </w:p>
        </w:tc>
      </w:tr>
      <w:tr w:rsidR="00041A40" w:rsidRPr="00AE3768" w14:paraId="7D6C2EC6" w14:textId="77777777" w:rsidTr="00184C42">
        <w:tc>
          <w:tcPr>
            <w:tcW w:w="1928" w:type="dxa"/>
          </w:tcPr>
          <w:p w14:paraId="5EC49085" w14:textId="77777777" w:rsidR="00041A40" w:rsidRPr="00AE3768" w:rsidRDefault="00041A40" w:rsidP="00184C42">
            <w:pPr>
              <w:spacing w:after="0"/>
              <w:rPr>
                <w:rFonts w:cs="Arial"/>
                <w:sz w:val="20"/>
                <w:szCs w:val="20"/>
              </w:rPr>
            </w:pPr>
            <w:r w:rsidRPr="00AE3768">
              <w:rPr>
                <w:rFonts w:cs="Arial"/>
                <w:sz w:val="20"/>
                <w:szCs w:val="20"/>
              </w:rPr>
              <w:t>Neuen et al. (2021)</w:t>
            </w:r>
          </w:p>
        </w:tc>
        <w:tc>
          <w:tcPr>
            <w:tcW w:w="3580" w:type="dxa"/>
          </w:tcPr>
          <w:p w14:paraId="35E92DBC" w14:textId="77777777" w:rsidR="00041A40" w:rsidRPr="00AE3768" w:rsidRDefault="00041A40" w:rsidP="00184C42">
            <w:pPr>
              <w:spacing w:after="0"/>
              <w:rPr>
                <w:rFonts w:cs="Arial"/>
                <w:sz w:val="20"/>
                <w:szCs w:val="20"/>
              </w:rPr>
            </w:pPr>
            <w:r w:rsidRPr="00AE3768">
              <w:rPr>
                <w:rFonts w:cs="Arial"/>
                <w:sz w:val="20"/>
                <w:szCs w:val="20"/>
              </w:rPr>
              <w:t>Large CPRD cohort; repeated eGFR and albuminuria</w:t>
            </w:r>
          </w:p>
        </w:tc>
        <w:tc>
          <w:tcPr>
            <w:tcW w:w="5940" w:type="dxa"/>
          </w:tcPr>
          <w:p w14:paraId="4D8C62F5" w14:textId="77777777" w:rsidR="00041A40" w:rsidRPr="00AE3768" w:rsidRDefault="00041A40" w:rsidP="00184C42">
            <w:pPr>
              <w:spacing w:after="0"/>
              <w:rPr>
                <w:rFonts w:cs="Arial"/>
                <w:sz w:val="20"/>
                <w:szCs w:val="20"/>
              </w:rPr>
            </w:pPr>
            <w:r w:rsidRPr="00AE3768">
              <w:rPr>
                <w:rFonts w:cs="Arial"/>
                <w:sz w:val="20"/>
                <w:szCs w:val="20"/>
              </w:rPr>
              <w:t>Routine-data completeness and residual confounding</w:t>
            </w:r>
          </w:p>
        </w:tc>
        <w:tc>
          <w:tcPr>
            <w:tcW w:w="1800" w:type="dxa"/>
          </w:tcPr>
          <w:p w14:paraId="1DBD2CCB" w14:textId="77777777" w:rsidR="00041A40" w:rsidRPr="00AE3768" w:rsidRDefault="00041A40" w:rsidP="00184C42">
            <w:pPr>
              <w:spacing w:after="0"/>
              <w:rPr>
                <w:rFonts w:cs="Arial"/>
                <w:sz w:val="20"/>
                <w:szCs w:val="20"/>
              </w:rPr>
            </w:pPr>
            <w:r w:rsidRPr="00AE3768">
              <w:rPr>
                <w:rFonts w:cs="Arial"/>
                <w:sz w:val="20"/>
                <w:szCs w:val="20"/>
              </w:rPr>
              <w:t>High</w:t>
            </w:r>
          </w:p>
        </w:tc>
      </w:tr>
      <w:tr w:rsidR="00041A40" w:rsidRPr="00AE3768" w14:paraId="2BC14B4D" w14:textId="77777777" w:rsidTr="00184C42">
        <w:tc>
          <w:tcPr>
            <w:tcW w:w="1928" w:type="dxa"/>
          </w:tcPr>
          <w:p w14:paraId="3A4B69A0" w14:textId="77777777" w:rsidR="00041A40" w:rsidRPr="00AE3768" w:rsidRDefault="00041A40" w:rsidP="00184C42">
            <w:pPr>
              <w:spacing w:after="0"/>
              <w:rPr>
                <w:rFonts w:cs="Arial"/>
                <w:sz w:val="20"/>
                <w:szCs w:val="20"/>
              </w:rPr>
            </w:pPr>
            <w:r w:rsidRPr="00AE3768">
              <w:rPr>
                <w:rFonts w:cs="Arial"/>
                <w:sz w:val="20"/>
                <w:szCs w:val="20"/>
              </w:rPr>
              <w:t>Greenwood et al. (2024b)</w:t>
            </w:r>
          </w:p>
        </w:tc>
        <w:tc>
          <w:tcPr>
            <w:tcW w:w="3580" w:type="dxa"/>
          </w:tcPr>
          <w:p w14:paraId="7A1FF72A" w14:textId="77777777" w:rsidR="00041A40" w:rsidRPr="00AE3768" w:rsidRDefault="00041A40" w:rsidP="00184C42">
            <w:pPr>
              <w:spacing w:after="0"/>
              <w:rPr>
                <w:rFonts w:cs="Arial"/>
                <w:sz w:val="20"/>
                <w:szCs w:val="20"/>
              </w:rPr>
            </w:pPr>
            <w:r w:rsidRPr="00AE3768">
              <w:rPr>
                <w:rFonts w:cs="Arial"/>
                <w:sz w:val="20"/>
                <w:szCs w:val="20"/>
              </w:rPr>
              <w:t>Multicentre randomisation; intention-to-treat analysis</w:t>
            </w:r>
          </w:p>
        </w:tc>
        <w:tc>
          <w:tcPr>
            <w:tcW w:w="5940" w:type="dxa"/>
          </w:tcPr>
          <w:p w14:paraId="3759F082" w14:textId="77777777" w:rsidR="00041A40" w:rsidRPr="00AE3768" w:rsidRDefault="00041A40" w:rsidP="00184C42">
            <w:pPr>
              <w:spacing w:after="0"/>
              <w:rPr>
                <w:rFonts w:cs="Arial"/>
                <w:sz w:val="20"/>
                <w:szCs w:val="20"/>
              </w:rPr>
            </w:pPr>
            <w:r w:rsidRPr="00AE3768">
              <w:rPr>
                <w:rFonts w:cs="Arial"/>
                <w:sz w:val="20"/>
                <w:szCs w:val="20"/>
              </w:rPr>
              <w:t>Participant blinding impossible; limited intervention duration</w:t>
            </w:r>
          </w:p>
        </w:tc>
        <w:tc>
          <w:tcPr>
            <w:tcW w:w="1800" w:type="dxa"/>
          </w:tcPr>
          <w:p w14:paraId="106C7496" w14:textId="77777777" w:rsidR="00041A40" w:rsidRPr="00AE3768" w:rsidRDefault="00041A40" w:rsidP="00184C42">
            <w:pPr>
              <w:spacing w:after="0"/>
              <w:rPr>
                <w:rFonts w:cs="Arial"/>
                <w:sz w:val="20"/>
                <w:szCs w:val="20"/>
              </w:rPr>
            </w:pPr>
            <w:r w:rsidRPr="00AE3768">
              <w:rPr>
                <w:rFonts w:cs="Arial"/>
                <w:sz w:val="20"/>
                <w:szCs w:val="20"/>
              </w:rPr>
              <w:t>High</w:t>
            </w:r>
          </w:p>
        </w:tc>
      </w:tr>
      <w:tr w:rsidR="00041A40" w:rsidRPr="00AE3768" w14:paraId="5A89B4ED" w14:textId="77777777" w:rsidTr="00184C42">
        <w:tc>
          <w:tcPr>
            <w:tcW w:w="1928" w:type="dxa"/>
          </w:tcPr>
          <w:p w14:paraId="31729447" w14:textId="77777777" w:rsidR="00041A40" w:rsidRPr="00AE3768" w:rsidRDefault="00041A40" w:rsidP="00184C42">
            <w:pPr>
              <w:spacing w:after="0"/>
              <w:rPr>
                <w:rFonts w:cs="Arial"/>
                <w:sz w:val="20"/>
                <w:szCs w:val="20"/>
              </w:rPr>
            </w:pPr>
            <w:r w:rsidRPr="00AE3768">
              <w:rPr>
                <w:rFonts w:cs="Arial"/>
                <w:sz w:val="20"/>
                <w:szCs w:val="20"/>
              </w:rPr>
              <w:t>Heo et al. (2023)</w:t>
            </w:r>
          </w:p>
        </w:tc>
        <w:tc>
          <w:tcPr>
            <w:tcW w:w="3580" w:type="dxa"/>
          </w:tcPr>
          <w:p w14:paraId="13AF3054" w14:textId="77777777" w:rsidR="00041A40" w:rsidRPr="00AE3768" w:rsidRDefault="00041A40" w:rsidP="00184C42">
            <w:pPr>
              <w:spacing w:after="0"/>
              <w:rPr>
                <w:rFonts w:cs="Arial"/>
                <w:sz w:val="20"/>
                <w:szCs w:val="20"/>
              </w:rPr>
            </w:pPr>
            <w:r w:rsidRPr="00AE3768">
              <w:rPr>
                <w:rFonts w:cs="Arial"/>
                <w:sz w:val="20"/>
                <w:szCs w:val="20"/>
              </w:rPr>
              <w:t>Large prospective cohort; incident CKD outcome</w:t>
            </w:r>
          </w:p>
        </w:tc>
        <w:tc>
          <w:tcPr>
            <w:tcW w:w="5940" w:type="dxa"/>
          </w:tcPr>
          <w:p w14:paraId="42DDB366" w14:textId="77777777" w:rsidR="00041A40" w:rsidRPr="00AE3768" w:rsidRDefault="00041A40" w:rsidP="00184C42">
            <w:pPr>
              <w:spacing w:after="0"/>
              <w:rPr>
                <w:rFonts w:cs="Arial"/>
                <w:sz w:val="20"/>
                <w:szCs w:val="20"/>
              </w:rPr>
            </w:pPr>
            <w:r w:rsidRPr="00AE3768">
              <w:rPr>
                <w:rFonts w:cs="Arial"/>
                <w:sz w:val="20"/>
                <w:szCs w:val="20"/>
              </w:rPr>
              <w:t>Self-reported diet; UK Biobank selection; residual confounding</w:t>
            </w:r>
          </w:p>
        </w:tc>
        <w:tc>
          <w:tcPr>
            <w:tcW w:w="1800" w:type="dxa"/>
          </w:tcPr>
          <w:p w14:paraId="4E382253"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1068C9E7" w14:textId="77777777" w:rsidTr="00184C42">
        <w:tc>
          <w:tcPr>
            <w:tcW w:w="1928" w:type="dxa"/>
          </w:tcPr>
          <w:p w14:paraId="6FEEBBB7" w14:textId="77777777" w:rsidR="00041A40" w:rsidRPr="00AE3768" w:rsidRDefault="00041A40" w:rsidP="00184C42">
            <w:pPr>
              <w:spacing w:after="0"/>
              <w:rPr>
                <w:rFonts w:cs="Arial"/>
                <w:sz w:val="20"/>
                <w:szCs w:val="20"/>
              </w:rPr>
            </w:pPr>
            <w:r w:rsidRPr="00AE3768">
              <w:rPr>
                <w:rFonts w:cs="Arial"/>
                <w:sz w:val="20"/>
                <w:szCs w:val="20"/>
              </w:rPr>
              <w:t>Lan et al. (2023)</w:t>
            </w:r>
          </w:p>
        </w:tc>
        <w:tc>
          <w:tcPr>
            <w:tcW w:w="3580" w:type="dxa"/>
          </w:tcPr>
          <w:p w14:paraId="34A45098" w14:textId="77777777" w:rsidR="00041A40" w:rsidRPr="00AE3768" w:rsidRDefault="00041A40" w:rsidP="00184C42">
            <w:pPr>
              <w:spacing w:after="0"/>
              <w:rPr>
                <w:rFonts w:cs="Arial"/>
                <w:sz w:val="20"/>
                <w:szCs w:val="20"/>
              </w:rPr>
            </w:pPr>
            <w:r w:rsidRPr="00AE3768">
              <w:rPr>
                <w:rFonts w:cs="Arial"/>
                <w:sz w:val="20"/>
                <w:szCs w:val="20"/>
              </w:rPr>
              <w:t>Large never-smoker cohort; genetic susceptibility analysis</w:t>
            </w:r>
          </w:p>
        </w:tc>
        <w:tc>
          <w:tcPr>
            <w:tcW w:w="5940" w:type="dxa"/>
          </w:tcPr>
          <w:p w14:paraId="1EB4AD77" w14:textId="77777777" w:rsidR="00041A40" w:rsidRPr="00AE3768" w:rsidRDefault="00041A40" w:rsidP="00184C42">
            <w:pPr>
              <w:spacing w:after="0"/>
              <w:rPr>
                <w:rFonts w:cs="Arial"/>
                <w:sz w:val="20"/>
                <w:szCs w:val="20"/>
              </w:rPr>
            </w:pPr>
            <w:r w:rsidRPr="00AE3768">
              <w:rPr>
                <w:rFonts w:cs="Arial"/>
                <w:sz w:val="20"/>
                <w:szCs w:val="20"/>
              </w:rPr>
              <w:t>Self-reported secondhand smoke; residual confounding</w:t>
            </w:r>
          </w:p>
        </w:tc>
        <w:tc>
          <w:tcPr>
            <w:tcW w:w="1800" w:type="dxa"/>
          </w:tcPr>
          <w:p w14:paraId="146F6455"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7CF5E853" w14:textId="77777777" w:rsidTr="00184C42">
        <w:tc>
          <w:tcPr>
            <w:tcW w:w="1928" w:type="dxa"/>
          </w:tcPr>
          <w:p w14:paraId="1F165F2A" w14:textId="77777777" w:rsidR="00041A40" w:rsidRPr="00AE3768" w:rsidRDefault="00041A40" w:rsidP="00184C42">
            <w:pPr>
              <w:spacing w:after="0"/>
              <w:rPr>
                <w:rFonts w:cs="Arial"/>
                <w:sz w:val="20"/>
                <w:szCs w:val="20"/>
              </w:rPr>
            </w:pPr>
            <w:r w:rsidRPr="00AE3768">
              <w:rPr>
                <w:rFonts w:cs="Arial"/>
                <w:sz w:val="20"/>
                <w:szCs w:val="20"/>
              </w:rPr>
              <w:t>Li et al. (2025)</w:t>
            </w:r>
          </w:p>
        </w:tc>
        <w:tc>
          <w:tcPr>
            <w:tcW w:w="3580" w:type="dxa"/>
          </w:tcPr>
          <w:p w14:paraId="384D833C" w14:textId="77777777" w:rsidR="00041A40" w:rsidRPr="00AE3768" w:rsidRDefault="00041A40" w:rsidP="00184C42">
            <w:pPr>
              <w:spacing w:after="0"/>
              <w:rPr>
                <w:rFonts w:cs="Arial"/>
                <w:sz w:val="20"/>
                <w:szCs w:val="20"/>
              </w:rPr>
            </w:pPr>
            <w:r w:rsidRPr="00AE3768">
              <w:rPr>
                <w:rFonts w:cs="Arial"/>
                <w:sz w:val="20"/>
                <w:szCs w:val="20"/>
              </w:rPr>
              <w:t>Large linked cohort; prospective CKD assessment</w:t>
            </w:r>
          </w:p>
        </w:tc>
        <w:tc>
          <w:tcPr>
            <w:tcW w:w="5940" w:type="dxa"/>
          </w:tcPr>
          <w:p w14:paraId="10B05863" w14:textId="77777777" w:rsidR="00041A40" w:rsidRPr="00AE3768" w:rsidRDefault="00041A40" w:rsidP="00184C42">
            <w:pPr>
              <w:spacing w:after="0"/>
              <w:rPr>
                <w:rFonts w:cs="Arial"/>
                <w:sz w:val="20"/>
                <w:szCs w:val="20"/>
              </w:rPr>
            </w:pPr>
            <w:r w:rsidRPr="00AE3768">
              <w:rPr>
                <w:rFonts w:cs="Arial"/>
                <w:sz w:val="20"/>
                <w:szCs w:val="20"/>
              </w:rPr>
              <w:t>Diagnostic-record limitations; UK Biobank selection</w:t>
            </w:r>
          </w:p>
        </w:tc>
        <w:tc>
          <w:tcPr>
            <w:tcW w:w="1800" w:type="dxa"/>
          </w:tcPr>
          <w:p w14:paraId="583B7B4C"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06E4EBFB" w14:textId="77777777" w:rsidTr="00184C42">
        <w:tc>
          <w:tcPr>
            <w:tcW w:w="1928" w:type="dxa"/>
          </w:tcPr>
          <w:p w14:paraId="00DEB091" w14:textId="77777777" w:rsidR="00041A40" w:rsidRPr="00AE3768" w:rsidRDefault="00041A40" w:rsidP="00184C42">
            <w:pPr>
              <w:spacing w:after="0"/>
              <w:rPr>
                <w:rFonts w:cs="Arial"/>
                <w:sz w:val="20"/>
                <w:szCs w:val="20"/>
              </w:rPr>
            </w:pPr>
            <w:r w:rsidRPr="00AE3768">
              <w:rPr>
                <w:rFonts w:cs="Arial"/>
                <w:sz w:val="20"/>
                <w:szCs w:val="20"/>
              </w:rPr>
              <w:t>Lightfoot et al. (2025)</w:t>
            </w:r>
          </w:p>
        </w:tc>
        <w:tc>
          <w:tcPr>
            <w:tcW w:w="3580" w:type="dxa"/>
          </w:tcPr>
          <w:p w14:paraId="7A285A41" w14:textId="77777777" w:rsidR="00041A40" w:rsidRPr="00AE3768" w:rsidRDefault="00041A40" w:rsidP="00184C42">
            <w:pPr>
              <w:spacing w:after="0"/>
              <w:rPr>
                <w:rFonts w:cs="Arial"/>
                <w:sz w:val="20"/>
                <w:szCs w:val="20"/>
              </w:rPr>
            </w:pPr>
            <w:r w:rsidRPr="00AE3768">
              <w:rPr>
                <w:rFonts w:cs="Arial"/>
                <w:sz w:val="20"/>
                <w:szCs w:val="20"/>
              </w:rPr>
              <w:t>Detailed patient experience; rigorous qualitative approach</w:t>
            </w:r>
          </w:p>
        </w:tc>
        <w:tc>
          <w:tcPr>
            <w:tcW w:w="5940" w:type="dxa"/>
          </w:tcPr>
          <w:p w14:paraId="791B5690" w14:textId="77777777" w:rsidR="00041A40" w:rsidRPr="00AE3768" w:rsidRDefault="00041A40" w:rsidP="00184C42">
            <w:pPr>
              <w:spacing w:after="0"/>
              <w:rPr>
                <w:rFonts w:cs="Arial"/>
                <w:sz w:val="20"/>
                <w:szCs w:val="20"/>
              </w:rPr>
            </w:pPr>
            <w:r w:rsidRPr="00AE3768">
              <w:rPr>
                <w:rFonts w:cs="Arial"/>
                <w:sz w:val="20"/>
                <w:szCs w:val="20"/>
              </w:rPr>
              <w:t>Small sample from one English area</w:t>
            </w:r>
          </w:p>
        </w:tc>
        <w:tc>
          <w:tcPr>
            <w:tcW w:w="1800" w:type="dxa"/>
          </w:tcPr>
          <w:p w14:paraId="28D4CDB9"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25711029" w14:textId="77777777" w:rsidTr="00184C42">
        <w:tc>
          <w:tcPr>
            <w:tcW w:w="1928" w:type="dxa"/>
          </w:tcPr>
          <w:p w14:paraId="173DB163" w14:textId="77777777" w:rsidR="00041A40" w:rsidRPr="00AE3768" w:rsidRDefault="00041A40" w:rsidP="00184C42">
            <w:pPr>
              <w:spacing w:after="0"/>
              <w:rPr>
                <w:rFonts w:cs="Arial"/>
                <w:sz w:val="20"/>
                <w:szCs w:val="20"/>
              </w:rPr>
            </w:pPr>
            <w:r w:rsidRPr="00AE3768">
              <w:rPr>
                <w:rFonts w:cs="Arial"/>
                <w:sz w:val="20"/>
                <w:szCs w:val="20"/>
              </w:rPr>
              <w:t>Maroto-Rodriguez et al. (2025)</w:t>
            </w:r>
          </w:p>
        </w:tc>
        <w:tc>
          <w:tcPr>
            <w:tcW w:w="3580" w:type="dxa"/>
          </w:tcPr>
          <w:p w14:paraId="34CAD518" w14:textId="77777777" w:rsidR="00041A40" w:rsidRPr="00AE3768" w:rsidRDefault="00041A40" w:rsidP="00184C42">
            <w:pPr>
              <w:spacing w:after="0"/>
              <w:rPr>
                <w:rFonts w:cs="Arial"/>
                <w:sz w:val="20"/>
                <w:szCs w:val="20"/>
              </w:rPr>
            </w:pPr>
            <w:r w:rsidRPr="00AE3768">
              <w:rPr>
                <w:rFonts w:cs="Arial"/>
                <w:sz w:val="20"/>
                <w:szCs w:val="20"/>
              </w:rPr>
              <w:t>Repeated dietary assessment; multiple diet indices</w:t>
            </w:r>
          </w:p>
        </w:tc>
        <w:tc>
          <w:tcPr>
            <w:tcW w:w="5940" w:type="dxa"/>
          </w:tcPr>
          <w:p w14:paraId="645DC10C" w14:textId="77777777" w:rsidR="00041A40" w:rsidRPr="00AE3768" w:rsidRDefault="00041A40" w:rsidP="00184C42">
            <w:pPr>
              <w:spacing w:after="0"/>
              <w:rPr>
                <w:rFonts w:cs="Arial"/>
                <w:sz w:val="20"/>
                <w:szCs w:val="20"/>
              </w:rPr>
            </w:pPr>
            <w:r w:rsidRPr="00AE3768">
              <w:rPr>
                <w:rFonts w:cs="Arial"/>
                <w:sz w:val="20"/>
                <w:szCs w:val="20"/>
              </w:rPr>
              <w:t>Self-reported diet; observational design</w:t>
            </w:r>
          </w:p>
        </w:tc>
        <w:tc>
          <w:tcPr>
            <w:tcW w:w="1800" w:type="dxa"/>
          </w:tcPr>
          <w:p w14:paraId="7BC3E690"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361A53A6" w14:textId="77777777" w:rsidTr="00184C42">
        <w:tc>
          <w:tcPr>
            <w:tcW w:w="1928" w:type="dxa"/>
          </w:tcPr>
          <w:p w14:paraId="7D85B375" w14:textId="77777777" w:rsidR="00041A40" w:rsidRPr="00AE3768" w:rsidRDefault="00041A40" w:rsidP="00184C42">
            <w:pPr>
              <w:spacing w:after="0"/>
              <w:rPr>
                <w:rFonts w:cs="Arial"/>
                <w:sz w:val="20"/>
                <w:szCs w:val="20"/>
              </w:rPr>
            </w:pPr>
            <w:r w:rsidRPr="00AE3768">
              <w:rPr>
                <w:rFonts w:cs="Arial"/>
                <w:sz w:val="20"/>
                <w:szCs w:val="20"/>
              </w:rPr>
              <w:t>Rizvi et al. (2024)</w:t>
            </w:r>
          </w:p>
        </w:tc>
        <w:tc>
          <w:tcPr>
            <w:tcW w:w="3580" w:type="dxa"/>
          </w:tcPr>
          <w:p w14:paraId="0D42830C" w14:textId="77777777" w:rsidR="00041A40" w:rsidRPr="00AE3768" w:rsidRDefault="00041A40" w:rsidP="00184C42">
            <w:pPr>
              <w:spacing w:after="0"/>
              <w:rPr>
                <w:rFonts w:cs="Arial"/>
                <w:sz w:val="20"/>
                <w:szCs w:val="20"/>
              </w:rPr>
            </w:pPr>
            <w:r w:rsidRPr="00AE3768">
              <w:rPr>
                <w:rFonts w:cs="Arial"/>
                <w:sz w:val="20"/>
                <w:szCs w:val="20"/>
              </w:rPr>
              <w:t>Practical primary-care improvement model</w:t>
            </w:r>
          </w:p>
        </w:tc>
        <w:tc>
          <w:tcPr>
            <w:tcW w:w="5940" w:type="dxa"/>
          </w:tcPr>
          <w:p w14:paraId="4BAA1A6E" w14:textId="77777777" w:rsidR="00041A40" w:rsidRPr="00AE3768" w:rsidRDefault="00041A40" w:rsidP="00184C42">
            <w:pPr>
              <w:spacing w:after="0"/>
              <w:rPr>
                <w:rFonts w:cs="Arial"/>
                <w:sz w:val="20"/>
                <w:szCs w:val="20"/>
              </w:rPr>
            </w:pPr>
            <w:r w:rsidRPr="00AE3768">
              <w:rPr>
                <w:rFonts w:cs="Arial"/>
                <w:sz w:val="20"/>
                <w:szCs w:val="20"/>
              </w:rPr>
              <w:t>Local evaluation; selection bias; no comparator</w:t>
            </w:r>
          </w:p>
        </w:tc>
        <w:tc>
          <w:tcPr>
            <w:tcW w:w="1800" w:type="dxa"/>
          </w:tcPr>
          <w:p w14:paraId="57C4DB35" w14:textId="77777777" w:rsidR="00041A40" w:rsidRPr="00AE3768" w:rsidRDefault="00041A40" w:rsidP="00184C42">
            <w:pPr>
              <w:spacing w:after="0"/>
              <w:rPr>
                <w:rFonts w:cs="Arial"/>
                <w:sz w:val="20"/>
                <w:szCs w:val="20"/>
              </w:rPr>
            </w:pPr>
            <w:r w:rsidRPr="00AE3768">
              <w:rPr>
                <w:rFonts w:cs="Arial"/>
                <w:sz w:val="20"/>
                <w:szCs w:val="20"/>
              </w:rPr>
              <w:t>Moderate</w:t>
            </w:r>
          </w:p>
        </w:tc>
      </w:tr>
      <w:tr w:rsidR="00041A40" w:rsidRPr="00AE3768" w14:paraId="4FE08345" w14:textId="77777777" w:rsidTr="00184C42">
        <w:tc>
          <w:tcPr>
            <w:tcW w:w="1928" w:type="dxa"/>
          </w:tcPr>
          <w:p w14:paraId="2B07E784" w14:textId="77777777" w:rsidR="00041A40" w:rsidRPr="00AE3768" w:rsidRDefault="00041A40" w:rsidP="00184C42">
            <w:pPr>
              <w:spacing w:after="0"/>
              <w:rPr>
                <w:rFonts w:cs="Arial"/>
                <w:sz w:val="20"/>
                <w:szCs w:val="20"/>
              </w:rPr>
            </w:pPr>
            <w:r w:rsidRPr="00AE3768">
              <w:rPr>
                <w:rFonts w:cs="Arial"/>
                <w:sz w:val="20"/>
                <w:szCs w:val="20"/>
              </w:rPr>
              <w:t>Sullivan et al. (2023)</w:t>
            </w:r>
          </w:p>
        </w:tc>
        <w:tc>
          <w:tcPr>
            <w:tcW w:w="3580" w:type="dxa"/>
          </w:tcPr>
          <w:p w14:paraId="69496F1E" w14:textId="77777777" w:rsidR="00041A40" w:rsidRPr="00AE3768" w:rsidRDefault="00041A40" w:rsidP="00184C42">
            <w:pPr>
              <w:spacing w:after="0"/>
              <w:rPr>
                <w:rFonts w:cs="Arial"/>
                <w:sz w:val="20"/>
                <w:szCs w:val="20"/>
              </w:rPr>
            </w:pPr>
            <w:r w:rsidRPr="00AE3768">
              <w:rPr>
                <w:rFonts w:cs="Arial"/>
                <w:sz w:val="20"/>
                <w:szCs w:val="20"/>
              </w:rPr>
              <w:t>Large routine dataset; clinically relevant referral criteria</w:t>
            </w:r>
          </w:p>
        </w:tc>
        <w:tc>
          <w:tcPr>
            <w:tcW w:w="5940" w:type="dxa"/>
          </w:tcPr>
          <w:p w14:paraId="4138CCA2" w14:textId="77777777" w:rsidR="00041A40" w:rsidRPr="00AE3768" w:rsidRDefault="00041A40" w:rsidP="00184C42">
            <w:pPr>
              <w:spacing w:after="0"/>
              <w:rPr>
                <w:rFonts w:cs="Arial"/>
                <w:sz w:val="20"/>
                <w:szCs w:val="20"/>
              </w:rPr>
            </w:pPr>
            <w:r w:rsidRPr="00AE3768">
              <w:rPr>
                <w:rFonts w:cs="Arial"/>
                <w:sz w:val="20"/>
                <w:szCs w:val="20"/>
              </w:rPr>
              <w:t>Modelled referral impact rather than actual long-term outcomes</w:t>
            </w:r>
          </w:p>
        </w:tc>
        <w:tc>
          <w:tcPr>
            <w:tcW w:w="1800" w:type="dxa"/>
          </w:tcPr>
          <w:p w14:paraId="3B0F2A8F" w14:textId="77777777" w:rsidR="00041A40" w:rsidRPr="00AE3768" w:rsidRDefault="00041A40" w:rsidP="00184C42">
            <w:pPr>
              <w:spacing w:after="0"/>
              <w:rPr>
                <w:rFonts w:cs="Arial"/>
                <w:sz w:val="20"/>
                <w:szCs w:val="20"/>
              </w:rPr>
            </w:pPr>
            <w:r w:rsidRPr="00AE3768">
              <w:rPr>
                <w:rFonts w:cs="Arial"/>
                <w:sz w:val="20"/>
                <w:szCs w:val="20"/>
              </w:rPr>
              <w:t>High</w:t>
            </w:r>
          </w:p>
        </w:tc>
      </w:tr>
      <w:tr w:rsidR="00041A40" w:rsidRPr="00AE3768" w14:paraId="6883F3EE" w14:textId="77777777" w:rsidTr="00184C42">
        <w:tc>
          <w:tcPr>
            <w:tcW w:w="1928" w:type="dxa"/>
          </w:tcPr>
          <w:p w14:paraId="7318C74E" w14:textId="77777777" w:rsidR="00041A40" w:rsidRPr="00AE3768" w:rsidRDefault="00041A40" w:rsidP="00184C42">
            <w:pPr>
              <w:spacing w:after="0"/>
              <w:rPr>
                <w:rFonts w:cs="Arial"/>
                <w:sz w:val="20"/>
                <w:szCs w:val="20"/>
              </w:rPr>
            </w:pPr>
            <w:r w:rsidRPr="00AE3768">
              <w:rPr>
                <w:rFonts w:cs="Arial"/>
                <w:sz w:val="20"/>
                <w:szCs w:val="20"/>
              </w:rPr>
              <w:t>Tang et al. (2024a)</w:t>
            </w:r>
          </w:p>
        </w:tc>
        <w:tc>
          <w:tcPr>
            <w:tcW w:w="3580" w:type="dxa"/>
          </w:tcPr>
          <w:p w14:paraId="18A2E1FE" w14:textId="77777777" w:rsidR="00041A40" w:rsidRPr="00AE3768" w:rsidRDefault="00041A40" w:rsidP="00184C42">
            <w:pPr>
              <w:spacing w:after="0"/>
              <w:rPr>
                <w:rFonts w:cs="Arial"/>
                <w:sz w:val="20"/>
                <w:szCs w:val="20"/>
              </w:rPr>
            </w:pPr>
            <w:r w:rsidRPr="00AE3768">
              <w:rPr>
                <w:rFonts w:cs="Arial"/>
                <w:sz w:val="20"/>
                <w:szCs w:val="20"/>
              </w:rPr>
              <w:t>Large matched cohort; joint risk-factor approach</w:t>
            </w:r>
          </w:p>
        </w:tc>
        <w:tc>
          <w:tcPr>
            <w:tcW w:w="5940" w:type="dxa"/>
          </w:tcPr>
          <w:p w14:paraId="3BC47B0E" w14:textId="77777777" w:rsidR="00041A40" w:rsidRPr="00AE3768" w:rsidRDefault="00041A40" w:rsidP="00184C42">
            <w:pPr>
              <w:spacing w:after="0"/>
              <w:rPr>
                <w:rFonts w:cs="Arial"/>
                <w:sz w:val="20"/>
                <w:szCs w:val="20"/>
              </w:rPr>
            </w:pPr>
            <w:r w:rsidRPr="00AE3768">
              <w:rPr>
                <w:rFonts w:cs="Arial"/>
                <w:sz w:val="20"/>
                <w:szCs w:val="20"/>
              </w:rPr>
              <w:t>Observational measurements; residual confounding</w:t>
            </w:r>
          </w:p>
        </w:tc>
        <w:tc>
          <w:tcPr>
            <w:tcW w:w="1800" w:type="dxa"/>
          </w:tcPr>
          <w:p w14:paraId="7BB1A13F"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42C65E3D" w14:textId="77777777" w:rsidTr="00184C42">
        <w:tc>
          <w:tcPr>
            <w:tcW w:w="1928" w:type="dxa"/>
          </w:tcPr>
          <w:p w14:paraId="2931F004" w14:textId="77777777" w:rsidR="00041A40" w:rsidRPr="00AE3768" w:rsidRDefault="00041A40" w:rsidP="00184C42">
            <w:pPr>
              <w:spacing w:after="0"/>
              <w:rPr>
                <w:rFonts w:cs="Arial"/>
                <w:sz w:val="20"/>
                <w:szCs w:val="20"/>
              </w:rPr>
            </w:pPr>
            <w:r w:rsidRPr="00AE3768">
              <w:rPr>
                <w:rFonts w:cs="Arial"/>
                <w:sz w:val="20"/>
                <w:szCs w:val="20"/>
              </w:rPr>
              <w:t>Wang et al. (2022)</w:t>
            </w:r>
          </w:p>
        </w:tc>
        <w:tc>
          <w:tcPr>
            <w:tcW w:w="3580" w:type="dxa"/>
          </w:tcPr>
          <w:p w14:paraId="7BD19B46" w14:textId="77777777" w:rsidR="00041A40" w:rsidRPr="00AE3768" w:rsidRDefault="00041A40" w:rsidP="00184C42">
            <w:pPr>
              <w:spacing w:after="0"/>
              <w:rPr>
                <w:rFonts w:cs="Arial"/>
                <w:sz w:val="20"/>
                <w:szCs w:val="20"/>
              </w:rPr>
            </w:pPr>
            <w:r w:rsidRPr="00AE3768">
              <w:rPr>
                <w:rFonts w:cs="Arial"/>
                <w:sz w:val="20"/>
                <w:szCs w:val="20"/>
              </w:rPr>
              <w:t>Large cohort; environmental and genetic data</w:t>
            </w:r>
          </w:p>
        </w:tc>
        <w:tc>
          <w:tcPr>
            <w:tcW w:w="5940" w:type="dxa"/>
          </w:tcPr>
          <w:p w14:paraId="333EB3C2" w14:textId="77777777" w:rsidR="00041A40" w:rsidRPr="00AE3768" w:rsidRDefault="00041A40" w:rsidP="00184C42">
            <w:pPr>
              <w:spacing w:after="0"/>
              <w:rPr>
                <w:rFonts w:cs="Arial"/>
                <w:sz w:val="20"/>
                <w:szCs w:val="20"/>
              </w:rPr>
            </w:pPr>
            <w:r w:rsidRPr="00AE3768">
              <w:rPr>
                <w:rFonts w:cs="Arial"/>
                <w:sz w:val="20"/>
                <w:szCs w:val="20"/>
              </w:rPr>
              <w:t>Modelled pollution exposure; observational causality limits</w:t>
            </w:r>
          </w:p>
        </w:tc>
        <w:tc>
          <w:tcPr>
            <w:tcW w:w="1800" w:type="dxa"/>
          </w:tcPr>
          <w:p w14:paraId="0782DF8A"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54FD7261" w14:textId="77777777" w:rsidTr="00184C42">
        <w:tc>
          <w:tcPr>
            <w:tcW w:w="1928" w:type="dxa"/>
          </w:tcPr>
          <w:p w14:paraId="4F1A3156" w14:textId="77777777" w:rsidR="00041A40" w:rsidRPr="00AE3768" w:rsidRDefault="00041A40" w:rsidP="00184C42">
            <w:pPr>
              <w:spacing w:after="0"/>
              <w:rPr>
                <w:rFonts w:cs="Arial"/>
                <w:sz w:val="20"/>
                <w:szCs w:val="20"/>
              </w:rPr>
            </w:pPr>
            <w:r w:rsidRPr="00AE3768">
              <w:rPr>
                <w:rFonts w:cs="Arial"/>
                <w:sz w:val="20"/>
                <w:szCs w:val="20"/>
              </w:rPr>
              <w:t>Zhang et al. (2023)</w:t>
            </w:r>
          </w:p>
        </w:tc>
        <w:tc>
          <w:tcPr>
            <w:tcW w:w="3580" w:type="dxa"/>
          </w:tcPr>
          <w:p w14:paraId="3AE38EA7" w14:textId="77777777" w:rsidR="00041A40" w:rsidRPr="00AE3768" w:rsidRDefault="00041A40" w:rsidP="00184C42">
            <w:pPr>
              <w:spacing w:after="0"/>
              <w:rPr>
                <w:rFonts w:cs="Arial"/>
                <w:sz w:val="20"/>
                <w:szCs w:val="20"/>
              </w:rPr>
            </w:pPr>
            <w:r w:rsidRPr="00AE3768">
              <w:rPr>
                <w:rFonts w:cs="Arial"/>
                <w:sz w:val="20"/>
                <w:szCs w:val="20"/>
              </w:rPr>
              <w:t>Questionnaire and accelerometer activity measures</w:t>
            </w:r>
          </w:p>
        </w:tc>
        <w:tc>
          <w:tcPr>
            <w:tcW w:w="5940" w:type="dxa"/>
          </w:tcPr>
          <w:p w14:paraId="46E47169" w14:textId="77777777" w:rsidR="00041A40" w:rsidRPr="00AE3768" w:rsidRDefault="00041A40" w:rsidP="00184C42">
            <w:pPr>
              <w:spacing w:after="0"/>
              <w:rPr>
                <w:rFonts w:cs="Arial"/>
                <w:sz w:val="20"/>
                <w:szCs w:val="20"/>
              </w:rPr>
            </w:pPr>
            <w:r w:rsidRPr="00AE3768">
              <w:rPr>
                <w:rFonts w:cs="Arial"/>
                <w:sz w:val="20"/>
                <w:szCs w:val="20"/>
              </w:rPr>
              <w:t>Accelerometer subgroup; UK Biobank selection</w:t>
            </w:r>
          </w:p>
        </w:tc>
        <w:tc>
          <w:tcPr>
            <w:tcW w:w="1800" w:type="dxa"/>
          </w:tcPr>
          <w:p w14:paraId="44DFB3B1" w14:textId="77777777" w:rsidR="00041A40" w:rsidRPr="00AE3768" w:rsidRDefault="00041A40" w:rsidP="00184C42">
            <w:pPr>
              <w:spacing w:after="0"/>
              <w:rPr>
                <w:rFonts w:cs="Arial"/>
                <w:sz w:val="20"/>
                <w:szCs w:val="20"/>
              </w:rPr>
            </w:pPr>
            <w:r w:rsidRPr="00AE3768">
              <w:rPr>
                <w:rFonts w:cs="Arial"/>
                <w:sz w:val="20"/>
                <w:szCs w:val="20"/>
              </w:rPr>
              <w:t>Moderate–high</w:t>
            </w:r>
          </w:p>
        </w:tc>
      </w:tr>
    </w:tbl>
    <w:p w14:paraId="6B0E27BD" w14:textId="77777777" w:rsidR="00041A40" w:rsidRPr="00041A40" w:rsidRDefault="00041A40" w:rsidP="00041A40">
      <w:pPr>
        <w:rPr>
          <w:rFonts w:cs="Arial"/>
        </w:rPr>
        <w:sectPr w:rsidR="00041A40" w:rsidRPr="00041A40" w:rsidSect="00A00539">
          <w:pgSz w:w="16838" w:h="11906" w:orient="landscape" w:code="9"/>
          <w:pgMar w:top="1440" w:right="1800" w:bottom="1440" w:left="1800" w:header="720" w:footer="720" w:gutter="0"/>
          <w:cols w:space="720"/>
          <w:docGrid w:linePitch="360"/>
        </w:sectPr>
      </w:pPr>
    </w:p>
    <w:p w14:paraId="19175DB9" w14:textId="77777777" w:rsidR="00041A40" w:rsidRPr="00041A40" w:rsidRDefault="00041A40" w:rsidP="00041A40">
      <w:pPr>
        <w:keepNext/>
        <w:keepLines/>
        <w:spacing w:before="200" w:after="0"/>
        <w:outlineLvl w:val="1"/>
        <w:rPr>
          <w:rFonts w:eastAsiaTheme="majorEastAsia" w:cs="Arial"/>
          <w:b/>
          <w:bCs/>
          <w:color w:val="000000" w:themeColor="text1"/>
          <w:sz w:val="28"/>
          <w:szCs w:val="28"/>
        </w:rPr>
      </w:pPr>
      <w:bookmarkStart w:id="169" w:name="_Toc241090927"/>
      <w:r w:rsidRPr="00041A40">
        <w:rPr>
          <w:rFonts w:eastAsiaTheme="majorEastAsia" w:cs="Arial"/>
          <w:b/>
          <w:bCs/>
          <w:color w:val="000000" w:themeColor="text1"/>
          <w:sz w:val="28"/>
          <w:szCs w:val="28"/>
        </w:rPr>
        <w:t>Appendix 4 – Full Data-Extraction Matrix</w:t>
      </w:r>
      <w:bookmarkEnd w:id="169"/>
    </w:p>
    <w:p w14:paraId="30733097" w14:textId="77777777" w:rsidR="00041A40" w:rsidRPr="00041A40" w:rsidRDefault="00041A40" w:rsidP="00041A40">
      <w:pPr>
        <w:keepNext/>
        <w:spacing w:before="60" w:after="60"/>
        <w:rPr>
          <w:rFonts w:cs="Arial"/>
          <w:sz w:val="32"/>
          <w:szCs w:val="32"/>
        </w:rPr>
      </w:pPr>
      <w:r w:rsidRPr="00041A40">
        <w:rPr>
          <w:rFonts w:cs="Arial"/>
          <w:b/>
          <w:sz w:val="24"/>
          <w:szCs w:val="32"/>
        </w:rPr>
        <w:t>Table D1. Full extraction matrix for the 15 included studies</w:t>
      </w:r>
    </w:p>
    <w:tbl>
      <w:tblPr>
        <w:tblStyle w:val="TableGrid"/>
        <w:tblW w:w="0" w:type="auto"/>
        <w:tblLayout w:type="fixed"/>
        <w:tblLook w:val="04A0" w:firstRow="1" w:lastRow="0" w:firstColumn="1" w:lastColumn="0" w:noHBand="0" w:noVBand="1"/>
      </w:tblPr>
      <w:tblGrid>
        <w:gridCol w:w="1345"/>
        <w:gridCol w:w="1659"/>
        <w:gridCol w:w="1659"/>
        <w:gridCol w:w="2286"/>
        <w:gridCol w:w="2331"/>
        <w:gridCol w:w="1883"/>
        <w:gridCol w:w="2085"/>
      </w:tblGrid>
      <w:tr w:rsidR="00041A40" w:rsidRPr="00184C42" w14:paraId="7DF5253A" w14:textId="77777777" w:rsidTr="00184C42">
        <w:trPr>
          <w:trHeight w:val="164"/>
        </w:trPr>
        <w:tc>
          <w:tcPr>
            <w:tcW w:w="1345" w:type="dxa"/>
          </w:tcPr>
          <w:p w14:paraId="4E1BD50A" w14:textId="77777777" w:rsidR="00041A40" w:rsidRPr="00184C42" w:rsidRDefault="00041A40" w:rsidP="00041A40">
            <w:pPr>
              <w:spacing w:after="0"/>
              <w:jc w:val="center"/>
              <w:rPr>
                <w:rFonts w:cs="Arial"/>
                <w:sz w:val="20"/>
                <w:szCs w:val="20"/>
              </w:rPr>
            </w:pPr>
            <w:r w:rsidRPr="00184C42">
              <w:rPr>
                <w:rFonts w:cs="Arial"/>
                <w:b/>
                <w:sz w:val="20"/>
                <w:szCs w:val="20"/>
              </w:rPr>
              <w:t>Study</w:t>
            </w:r>
          </w:p>
        </w:tc>
        <w:tc>
          <w:tcPr>
            <w:tcW w:w="1659" w:type="dxa"/>
          </w:tcPr>
          <w:p w14:paraId="1CC8C5B7" w14:textId="77777777" w:rsidR="00041A40" w:rsidRPr="00184C42" w:rsidRDefault="00041A40" w:rsidP="00041A40">
            <w:pPr>
              <w:spacing w:after="0"/>
              <w:jc w:val="center"/>
              <w:rPr>
                <w:rFonts w:cs="Arial"/>
                <w:sz w:val="20"/>
                <w:szCs w:val="20"/>
              </w:rPr>
            </w:pPr>
            <w:r w:rsidRPr="00184C42">
              <w:rPr>
                <w:rFonts w:cs="Arial"/>
                <w:b/>
                <w:sz w:val="20"/>
                <w:szCs w:val="20"/>
              </w:rPr>
              <w:t>Setting and design</w:t>
            </w:r>
          </w:p>
        </w:tc>
        <w:tc>
          <w:tcPr>
            <w:tcW w:w="1659" w:type="dxa"/>
          </w:tcPr>
          <w:p w14:paraId="5D55B23B" w14:textId="77777777" w:rsidR="00041A40" w:rsidRPr="00184C42" w:rsidRDefault="00041A40" w:rsidP="00041A40">
            <w:pPr>
              <w:spacing w:after="0"/>
              <w:jc w:val="center"/>
              <w:rPr>
                <w:rFonts w:cs="Arial"/>
                <w:sz w:val="20"/>
                <w:szCs w:val="20"/>
              </w:rPr>
            </w:pPr>
            <w:r w:rsidRPr="00184C42">
              <w:rPr>
                <w:rFonts w:cs="Arial"/>
                <w:b/>
                <w:sz w:val="20"/>
                <w:szCs w:val="20"/>
              </w:rPr>
              <w:t>Sample</w:t>
            </w:r>
          </w:p>
        </w:tc>
        <w:tc>
          <w:tcPr>
            <w:tcW w:w="2286" w:type="dxa"/>
          </w:tcPr>
          <w:p w14:paraId="3BA3567A" w14:textId="77777777" w:rsidR="00041A40" w:rsidRPr="00184C42" w:rsidRDefault="00041A40" w:rsidP="00041A40">
            <w:pPr>
              <w:spacing w:after="0"/>
              <w:jc w:val="center"/>
              <w:rPr>
                <w:rFonts w:cs="Arial"/>
                <w:sz w:val="20"/>
                <w:szCs w:val="20"/>
              </w:rPr>
            </w:pPr>
            <w:r w:rsidRPr="00184C42">
              <w:rPr>
                <w:rFonts w:cs="Arial"/>
                <w:b/>
                <w:sz w:val="20"/>
                <w:szCs w:val="20"/>
              </w:rPr>
              <w:t>Data collection / analysis</w:t>
            </w:r>
          </w:p>
        </w:tc>
        <w:tc>
          <w:tcPr>
            <w:tcW w:w="2331" w:type="dxa"/>
          </w:tcPr>
          <w:p w14:paraId="04396662" w14:textId="77777777" w:rsidR="00041A40" w:rsidRPr="00184C42" w:rsidRDefault="00041A40" w:rsidP="00041A40">
            <w:pPr>
              <w:spacing w:after="0"/>
              <w:jc w:val="center"/>
              <w:rPr>
                <w:rFonts w:cs="Arial"/>
                <w:sz w:val="20"/>
                <w:szCs w:val="20"/>
              </w:rPr>
            </w:pPr>
            <w:r w:rsidRPr="00184C42">
              <w:rPr>
                <w:rFonts w:cs="Arial"/>
                <w:b/>
                <w:sz w:val="20"/>
                <w:szCs w:val="20"/>
              </w:rPr>
              <w:t>Principal finding</w:t>
            </w:r>
          </w:p>
        </w:tc>
        <w:tc>
          <w:tcPr>
            <w:tcW w:w="1883" w:type="dxa"/>
          </w:tcPr>
          <w:p w14:paraId="29196BD6" w14:textId="77777777" w:rsidR="00041A40" w:rsidRPr="00184C42" w:rsidRDefault="00041A40" w:rsidP="00041A40">
            <w:pPr>
              <w:spacing w:after="0"/>
              <w:jc w:val="center"/>
              <w:rPr>
                <w:rFonts w:cs="Arial"/>
                <w:sz w:val="20"/>
                <w:szCs w:val="20"/>
              </w:rPr>
            </w:pPr>
            <w:r w:rsidRPr="00184C42">
              <w:rPr>
                <w:rFonts w:cs="Arial"/>
                <w:b/>
                <w:sz w:val="20"/>
                <w:szCs w:val="20"/>
              </w:rPr>
              <w:t>Main limitation</w:t>
            </w:r>
          </w:p>
        </w:tc>
        <w:tc>
          <w:tcPr>
            <w:tcW w:w="2085" w:type="dxa"/>
          </w:tcPr>
          <w:p w14:paraId="4F4AA6FD" w14:textId="77777777" w:rsidR="00041A40" w:rsidRPr="00184C42" w:rsidRDefault="00041A40" w:rsidP="00041A40">
            <w:pPr>
              <w:spacing w:after="0"/>
              <w:jc w:val="center"/>
              <w:rPr>
                <w:rFonts w:cs="Arial"/>
                <w:sz w:val="20"/>
                <w:szCs w:val="20"/>
              </w:rPr>
            </w:pPr>
            <w:r w:rsidRPr="00184C42">
              <w:rPr>
                <w:rFonts w:cs="Arial"/>
                <w:b/>
                <w:sz w:val="20"/>
                <w:szCs w:val="20"/>
              </w:rPr>
              <w:t>Synthesis theme</w:t>
            </w:r>
          </w:p>
        </w:tc>
      </w:tr>
      <w:tr w:rsidR="00041A40" w:rsidRPr="00184C42" w14:paraId="0C67D1EC" w14:textId="77777777" w:rsidTr="00184C42">
        <w:trPr>
          <w:trHeight w:val="492"/>
        </w:trPr>
        <w:tc>
          <w:tcPr>
            <w:tcW w:w="1345" w:type="dxa"/>
          </w:tcPr>
          <w:p w14:paraId="40A222CC" w14:textId="77777777" w:rsidR="00041A40" w:rsidRPr="00184C42" w:rsidRDefault="00041A40" w:rsidP="00041A40">
            <w:pPr>
              <w:spacing w:after="0"/>
              <w:rPr>
                <w:rFonts w:cs="Arial"/>
                <w:sz w:val="20"/>
                <w:szCs w:val="20"/>
              </w:rPr>
            </w:pPr>
            <w:r w:rsidRPr="00184C42">
              <w:rPr>
                <w:rFonts w:cs="Arial"/>
                <w:sz w:val="20"/>
                <w:szCs w:val="20"/>
              </w:rPr>
              <w:t>Stewart et al. (2026)</w:t>
            </w:r>
          </w:p>
        </w:tc>
        <w:tc>
          <w:tcPr>
            <w:tcW w:w="1659" w:type="dxa"/>
          </w:tcPr>
          <w:p w14:paraId="271DC859" w14:textId="77777777" w:rsidR="00041A40" w:rsidRPr="00184C42" w:rsidRDefault="00041A40" w:rsidP="00041A40">
            <w:pPr>
              <w:spacing w:after="0"/>
              <w:rPr>
                <w:rFonts w:cs="Arial"/>
                <w:sz w:val="20"/>
                <w:szCs w:val="20"/>
              </w:rPr>
            </w:pPr>
            <w:r w:rsidRPr="00184C42">
              <w:rPr>
                <w:rFonts w:cs="Arial"/>
                <w:sz w:val="20"/>
                <w:szCs w:val="20"/>
              </w:rPr>
              <w:t>Greater Manchester; retrospective cohort</w:t>
            </w:r>
          </w:p>
        </w:tc>
        <w:tc>
          <w:tcPr>
            <w:tcW w:w="1659" w:type="dxa"/>
          </w:tcPr>
          <w:p w14:paraId="3C9BC8D0" w14:textId="77777777" w:rsidR="00041A40" w:rsidRPr="00184C42" w:rsidRDefault="00041A40" w:rsidP="00041A40">
            <w:pPr>
              <w:spacing w:after="0"/>
              <w:rPr>
                <w:rFonts w:cs="Arial"/>
                <w:sz w:val="20"/>
                <w:szCs w:val="20"/>
              </w:rPr>
            </w:pPr>
            <w:r w:rsidRPr="00184C42">
              <w:rPr>
                <w:rFonts w:cs="Arial"/>
                <w:sz w:val="20"/>
                <w:szCs w:val="20"/>
              </w:rPr>
              <w:t>71,383 adults with CKD stages 3–5</w:t>
            </w:r>
          </w:p>
        </w:tc>
        <w:tc>
          <w:tcPr>
            <w:tcW w:w="2286" w:type="dxa"/>
          </w:tcPr>
          <w:p w14:paraId="3F739C2B" w14:textId="77777777" w:rsidR="00041A40" w:rsidRPr="00184C42" w:rsidRDefault="00041A40" w:rsidP="00041A40">
            <w:pPr>
              <w:spacing w:after="0"/>
              <w:rPr>
                <w:rFonts w:cs="Arial"/>
                <w:sz w:val="20"/>
                <w:szCs w:val="20"/>
              </w:rPr>
            </w:pPr>
            <w:r w:rsidRPr="00184C42">
              <w:rPr>
                <w:rFonts w:cs="Arial"/>
                <w:sz w:val="20"/>
                <w:szCs w:val="20"/>
              </w:rPr>
              <w:t>Routine EHR; eGFR, uACR, comorbidity, mortality and kidney-replacement outcomes</w:t>
            </w:r>
          </w:p>
        </w:tc>
        <w:tc>
          <w:tcPr>
            <w:tcW w:w="2331" w:type="dxa"/>
          </w:tcPr>
          <w:p w14:paraId="513AF7D6" w14:textId="77777777" w:rsidR="00041A40" w:rsidRPr="00184C42" w:rsidRDefault="00041A40" w:rsidP="00041A40">
            <w:pPr>
              <w:spacing w:after="0"/>
              <w:rPr>
                <w:rFonts w:cs="Arial"/>
                <w:sz w:val="20"/>
                <w:szCs w:val="20"/>
              </w:rPr>
            </w:pPr>
            <w:r w:rsidRPr="00184C42">
              <w:rPr>
                <w:rFonts w:cs="Arial"/>
                <w:sz w:val="20"/>
                <w:szCs w:val="20"/>
              </w:rPr>
              <w:t>Higher KFRE categories identified patients more likely to progress towards kidney failure.</w:t>
            </w:r>
          </w:p>
        </w:tc>
        <w:tc>
          <w:tcPr>
            <w:tcW w:w="1883" w:type="dxa"/>
          </w:tcPr>
          <w:p w14:paraId="5E429AE4" w14:textId="77777777" w:rsidR="00041A40" w:rsidRPr="00184C42" w:rsidRDefault="00041A40" w:rsidP="00041A40">
            <w:pPr>
              <w:spacing w:after="0"/>
              <w:rPr>
                <w:rFonts w:cs="Arial"/>
                <w:sz w:val="20"/>
                <w:szCs w:val="20"/>
              </w:rPr>
            </w:pPr>
            <w:r w:rsidRPr="00184C42">
              <w:rPr>
                <w:rFonts w:cs="Arial"/>
                <w:sz w:val="20"/>
                <w:szCs w:val="20"/>
              </w:rPr>
              <w:t>Retrospective regional data; missing values and selection from complete cases.</w:t>
            </w:r>
          </w:p>
        </w:tc>
        <w:tc>
          <w:tcPr>
            <w:tcW w:w="2085" w:type="dxa"/>
          </w:tcPr>
          <w:p w14:paraId="3C3D07FA" w14:textId="77777777" w:rsidR="00041A40" w:rsidRPr="00184C42" w:rsidRDefault="00041A40" w:rsidP="00041A40">
            <w:pPr>
              <w:spacing w:after="0"/>
              <w:rPr>
                <w:rFonts w:cs="Arial"/>
                <w:sz w:val="20"/>
                <w:szCs w:val="20"/>
              </w:rPr>
            </w:pPr>
            <w:r w:rsidRPr="00184C42">
              <w:rPr>
                <w:rFonts w:cs="Arial"/>
                <w:sz w:val="20"/>
                <w:szCs w:val="20"/>
              </w:rPr>
              <w:t>Diagnosis, screening and risk stratification</w:t>
            </w:r>
          </w:p>
        </w:tc>
      </w:tr>
      <w:tr w:rsidR="00041A40" w:rsidRPr="00184C42" w14:paraId="5F887EBA" w14:textId="77777777" w:rsidTr="00184C42">
        <w:trPr>
          <w:trHeight w:val="313"/>
        </w:trPr>
        <w:tc>
          <w:tcPr>
            <w:tcW w:w="1345" w:type="dxa"/>
          </w:tcPr>
          <w:p w14:paraId="05ED04E2" w14:textId="77777777" w:rsidR="00041A40" w:rsidRPr="00184C42" w:rsidRDefault="00041A40" w:rsidP="00041A40">
            <w:pPr>
              <w:spacing w:after="0"/>
              <w:rPr>
                <w:rFonts w:cs="Arial"/>
                <w:sz w:val="20"/>
                <w:szCs w:val="20"/>
              </w:rPr>
            </w:pPr>
            <w:r w:rsidRPr="00184C42">
              <w:rPr>
                <w:rFonts w:cs="Arial"/>
                <w:sz w:val="20"/>
                <w:szCs w:val="20"/>
              </w:rPr>
              <w:t>Forbes et al. (2024)</w:t>
            </w:r>
          </w:p>
        </w:tc>
        <w:tc>
          <w:tcPr>
            <w:tcW w:w="1659" w:type="dxa"/>
          </w:tcPr>
          <w:p w14:paraId="70E103C7" w14:textId="77777777" w:rsidR="00041A40" w:rsidRPr="00184C42" w:rsidRDefault="00041A40" w:rsidP="00041A40">
            <w:pPr>
              <w:spacing w:after="0"/>
              <w:rPr>
                <w:rFonts w:cs="Arial"/>
                <w:sz w:val="20"/>
                <w:szCs w:val="20"/>
              </w:rPr>
            </w:pPr>
            <w:r w:rsidRPr="00184C42">
              <w:rPr>
                <w:rFonts w:cs="Arial"/>
                <w:sz w:val="20"/>
                <w:szCs w:val="20"/>
              </w:rPr>
              <w:t>England; cross-sectional EHR study</w:t>
            </w:r>
          </w:p>
        </w:tc>
        <w:tc>
          <w:tcPr>
            <w:tcW w:w="1659" w:type="dxa"/>
          </w:tcPr>
          <w:p w14:paraId="035AD38C" w14:textId="77777777" w:rsidR="00041A40" w:rsidRPr="00184C42" w:rsidRDefault="00041A40" w:rsidP="00041A40">
            <w:pPr>
              <w:spacing w:after="0"/>
              <w:rPr>
                <w:rFonts w:cs="Arial"/>
                <w:sz w:val="20"/>
                <w:szCs w:val="20"/>
              </w:rPr>
            </w:pPr>
            <w:r w:rsidRPr="00184C42">
              <w:rPr>
                <w:rFonts w:cs="Arial"/>
                <w:sz w:val="20"/>
                <w:szCs w:val="20"/>
              </w:rPr>
              <w:t>516,491 adults with CKD from 738 practices</w:t>
            </w:r>
          </w:p>
        </w:tc>
        <w:tc>
          <w:tcPr>
            <w:tcW w:w="2286" w:type="dxa"/>
          </w:tcPr>
          <w:p w14:paraId="4E7244DA" w14:textId="77777777" w:rsidR="00041A40" w:rsidRPr="00184C42" w:rsidRDefault="00041A40" w:rsidP="00041A40">
            <w:pPr>
              <w:spacing w:after="0"/>
              <w:rPr>
                <w:rFonts w:cs="Arial"/>
                <w:sz w:val="20"/>
                <w:szCs w:val="20"/>
              </w:rPr>
            </w:pPr>
            <w:r w:rsidRPr="00184C42">
              <w:rPr>
                <w:rFonts w:cs="Arial"/>
                <w:sz w:val="20"/>
                <w:szCs w:val="20"/>
              </w:rPr>
              <w:t>Coded diagnoses, repeated eGFR/proteinuria, prescribing and guideline-eligibility mapping</w:t>
            </w:r>
          </w:p>
        </w:tc>
        <w:tc>
          <w:tcPr>
            <w:tcW w:w="2331" w:type="dxa"/>
          </w:tcPr>
          <w:p w14:paraId="10C8325E" w14:textId="77777777" w:rsidR="00041A40" w:rsidRPr="00184C42" w:rsidRDefault="00041A40" w:rsidP="00041A40">
            <w:pPr>
              <w:spacing w:after="0"/>
              <w:rPr>
                <w:rFonts w:cs="Arial"/>
                <w:sz w:val="20"/>
                <w:szCs w:val="20"/>
              </w:rPr>
            </w:pPr>
            <w:r w:rsidRPr="00184C42">
              <w:rPr>
                <w:rFonts w:cs="Arial"/>
                <w:sz w:val="20"/>
                <w:szCs w:val="20"/>
              </w:rPr>
              <w:t>A substantial gap existed between SGLT2 eligibility and routine prescribing.</w:t>
            </w:r>
          </w:p>
        </w:tc>
        <w:tc>
          <w:tcPr>
            <w:tcW w:w="1883" w:type="dxa"/>
          </w:tcPr>
          <w:p w14:paraId="6B410B73" w14:textId="77777777" w:rsidR="00041A40" w:rsidRPr="00184C42" w:rsidRDefault="00041A40" w:rsidP="00041A40">
            <w:pPr>
              <w:spacing w:after="0"/>
              <w:rPr>
                <w:rFonts w:cs="Arial"/>
                <w:sz w:val="20"/>
                <w:szCs w:val="20"/>
              </w:rPr>
            </w:pPr>
            <w:r w:rsidRPr="00184C42">
              <w:rPr>
                <w:rFonts w:cs="Arial"/>
                <w:sz w:val="20"/>
                <w:szCs w:val="20"/>
              </w:rPr>
              <w:t>Cross-sectional; coding and data-completeness limitations.</w:t>
            </w:r>
          </w:p>
        </w:tc>
        <w:tc>
          <w:tcPr>
            <w:tcW w:w="2085" w:type="dxa"/>
          </w:tcPr>
          <w:p w14:paraId="396129AC" w14:textId="77777777" w:rsidR="00041A40" w:rsidRPr="00184C42" w:rsidRDefault="00041A40" w:rsidP="00041A40">
            <w:pPr>
              <w:spacing w:after="0"/>
              <w:rPr>
                <w:rFonts w:cs="Arial"/>
                <w:sz w:val="20"/>
                <w:szCs w:val="20"/>
              </w:rPr>
            </w:pPr>
            <w:r w:rsidRPr="00184C42">
              <w:rPr>
                <w:rFonts w:cs="Arial"/>
                <w:sz w:val="20"/>
                <w:szCs w:val="20"/>
              </w:rPr>
              <w:t>Pharmacological management</w:t>
            </w:r>
          </w:p>
        </w:tc>
      </w:tr>
      <w:tr w:rsidR="00041A40" w:rsidRPr="00184C42" w14:paraId="2265F0B0" w14:textId="77777777" w:rsidTr="00184C42">
        <w:trPr>
          <w:trHeight w:val="328"/>
        </w:trPr>
        <w:tc>
          <w:tcPr>
            <w:tcW w:w="1345" w:type="dxa"/>
          </w:tcPr>
          <w:p w14:paraId="12729E35" w14:textId="77777777" w:rsidR="00041A40" w:rsidRPr="00184C42" w:rsidRDefault="00041A40" w:rsidP="00041A40">
            <w:pPr>
              <w:spacing w:after="0"/>
              <w:rPr>
                <w:rFonts w:cs="Arial"/>
                <w:sz w:val="20"/>
                <w:szCs w:val="20"/>
              </w:rPr>
            </w:pPr>
            <w:r w:rsidRPr="00184C42">
              <w:rPr>
                <w:rFonts w:cs="Arial"/>
                <w:sz w:val="20"/>
                <w:szCs w:val="20"/>
              </w:rPr>
              <w:t>Major et al. (2025)</w:t>
            </w:r>
          </w:p>
        </w:tc>
        <w:tc>
          <w:tcPr>
            <w:tcW w:w="1659" w:type="dxa"/>
          </w:tcPr>
          <w:p w14:paraId="522C1BAA" w14:textId="77777777" w:rsidR="00041A40" w:rsidRPr="00184C42" w:rsidRDefault="00041A40" w:rsidP="00041A40">
            <w:pPr>
              <w:spacing w:after="0"/>
              <w:rPr>
                <w:rFonts w:cs="Arial"/>
                <w:sz w:val="20"/>
                <w:szCs w:val="20"/>
              </w:rPr>
            </w:pPr>
            <w:r w:rsidRPr="00184C42">
              <w:rPr>
                <w:rFonts w:cs="Arial"/>
                <w:sz w:val="20"/>
                <w:szCs w:val="20"/>
              </w:rPr>
              <w:t>Leicester, Leicestershire and Rutland; service evaluation</w:t>
            </w:r>
          </w:p>
        </w:tc>
        <w:tc>
          <w:tcPr>
            <w:tcW w:w="1659" w:type="dxa"/>
          </w:tcPr>
          <w:p w14:paraId="012E1C62" w14:textId="77777777" w:rsidR="00041A40" w:rsidRPr="00184C42" w:rsidRDefault="00041A40" w:rsidP="00041A40">
            <w:pPr>
              <w:spacing w:after="0"/>
              <w:rPr>
                <w:rFonts w:cs="Arial"/>
                <w:sz w:val="20"/>
                <w:szCs w:val="20"/>
              </w:rPr>
            </w:pPr>
            <w:r w:rsidRPr="00184C42">
              <w:rPr>
                <w:rFonts w:cs="Arial"/>
                <w:sz w:val="20"/>
                <w:szCs w:val="20"/>
              </w:rPr>
              <w:t>821 patients reviewed through virtual MDT</w:t>
            </w:r>
          </w:p>
        </w:tc>
        <w:tc>
          <w:tcPr>
            <w:tcW w:w="2286" w:type="dxa"/>
          </w:tcPr>
          <w:p w14:paraId="610383FC" w14:textId="77777777" w:rsidR="00041A40" w:rsidRPr="00184C42" w:rsidRDefault="00041A40" w:rsidP="00041A40">
            <w:pPr>
              <w:spacing w:after="0"/>
              <w:rPr>
                <w:rFonts w:cs="Arial"/>
                <w:sz w:val="20"/>
                <w:szCs w:val="20"/>
              </w:rPr>
            </w:pPr>
            <w:r w:rsidRPr="00184C42">
              <w:rPr>
                <w:rFonts w:cs="Arial"/>
                <w:sz w:val="20"/>
                <w:szCs w:val="20"/>
              </w:rPr>
              <w:t>Electronic case finding, KFRE triage, virtual MDT and medicines-optimisation records</w:t>
            </w:r>
          </w:p>
        </w:tc>
        <w:tc>
          <w:tcPr>
            <w:tcW w:w="2331" w:type="dxa"/>
          </w:tcPr>
          <w:p w14:paraId="5EEB5714" w14:textId="77777777" w:rsidR="00041A40" w:rsidRPr="00184C42" w:rsidRDefault="00041A40" w:rsidP="00041A40">
            <w:pPr>
              <w:spacing w:after="0"/>
              <w:rPr>
                <w:rFonts w:cs="Arial"/>
                <w:sz w:val="20"/>
                <w:szCs w:val="20"/>
              </w:rPr>
            </w:pPr>
            <w:r w:rsidRPr="00184C42">
              <w:rPr>
                <w:rFonts w:cs="Arial"/>
                <w:sz w:val="20"/>
                <w:szCs w:val="20"/>
              </w:rPr>
              <w:t>Integrated review supported structured referral, surveillance and medicines optimisation.</w:t>
            </w:r>
          </w:p>
        </w:tc>
        <w:tc>
          <w:tcPr>
            <w:tcW w:w="1883" w:type="dxa"/>
          </w:tcPr>
          <w:p w14:paraId="05787B3A" w14:textId="77777777" w:rsidR="00041A40" w:rsidRPr="00184C42" w:rsidRDefault="00041A40" w:rsidP="00041A40">
            <w:pPr>
              <w:spacing w:after="0"/>
              <w:rPr>
                <w:rFonts w:cs="Arial"/>
                <w:sz w:val="20"/>
                <w:szCs w:val="20"/>
              </w:rPr>
            </w:pPr>
            <w:r w:rsidRPr="00184C42">
              <w:rPr>
                <w:rFonts w:cs="Arial"/>
                <w:sz w:val="20"/>
                <w:szCs w:val="20"/>
              </w:rPr>
              <w:t>Local non-randomised evaluation; limited transferability.</w:t>
            </w:r>
          </w:p>
        </w:tc>
        <w:tc>
          <w:tcPr>
            <w:tcW w:w="2085" w:type="dxa"/>
          </w:tcPr>
          <w:p w14:paraId="7A1C1531" w14:textId="77777777" w:rsidR="00041A40" w:rsidRPr="00184C42" w:rsidRDefault="00041A40" w:rsidP="00041A40">
            <w:pPr>
              <w:spacing w:after="0"/>
              <w:rPr>
                <w:rFonts w:cs="Arial"/>
                <w:sz w:val="20"/>
                <w:szCs w:val="20"/>
              </w:rPr>
            </w:pPr>
            <w:r w:rsidRPr="00184C42">
              <w:rPr>
                <w:rFonts w:cs="Arial"/>
                <w:sz w:val="20"/>
                <w:szCs w:val="20"/>
              </w:rPr>
              <w:t>Integrated care and health-system management</w:t>
            </w:r>
          </w:p>
        </w:tc>
      </w:tr>
      <w:tr w:rsidR="00041A40" w:rsidRPr="00184C42" w14:paraId="3A56927F" w14:textId="77777777" w:rsidTr="00184C42">
        <w:trPr>
          <w:trHeight w:val="492"/>
        </w:trPr>
        <w:tc>
          <w:tcPr>
            <w:tcW w:w="1345" w:type="dxa"/>
          </w:tcPr>
          <w:p w14:paraId="3BCF5B64" w14:textId="77777777" w:rsidR="00041A40" w:rsidRPr="00184C42" w:rsidRDefault="00041A40" w:rsidP="00041A40">
            <w:pPr>
              <w:spacing w:after="0"/>
              <w:rPr>
                <w:rFonts w:cs="Arial"/>
                <w:sz w:val="20"/>
                <w:szCs w:val="20"/>
              </w:rPr>
            </w:pPr>
            <w:r w:rsidRPr="00184C42">
              <w:rPr>
                <w:rFonts w:cs="Arial"/>
                <w:sz w:val="20"/>
                <w:szCs w:val="20"/>
              </w:rPr>
              <w:t>Neuen et al. (2021)</w:t>
            </w:r>
          </w:p>
        </w:tc>
        <w:tc>
          <w:tcPr>
            <w:tcW w:w="1659" w:type="dxa"/>
          </w:tcPr>
          <w:p w14:paraId="1CF1E1CC" w14:textId="77777777" w:rsidR="00041A40" w:rsidRPr="00184C42" w:rsidRDefault="00041A40" w:rsidP="00041A40">
            <w:pPr>
              <w:spacing w:after="0"/>
              <w:rPr>
                <w:rFonts w:cs="Arial"/>
                <w:sz w:val="20"/>
                <w:szCs w:val="20"/>
              </w:rPr>
            </w:pPr>
            <w:r w:rsidRPr="00184C42">
              <w:rPr>
                <w:rFonts w:cs="Arial"/>
                <w:sz w:val="20"/>
                <w:szCs w:val="20"/>
              </w:rPr>
              <w:t>UK CPRD; observational cohort</w:t>
            </w:r>
          </w:p>
        </w:tc>
        <w:tc>
          <w:tcPr>
            <w:tcW w:w="1659" w:type="dxa"/>
          </w:tcPr>
          <w:p w14:paraId="06701A1E" w14:textId="77777777" w:rsidR="00041A40" w:rsidRPr="00184C42" w:rsidRDefault="00041A40" w:rsidP="00041A40">
            <w:pPr>
              <w:spacing w:after="0"/>
              <w:rPr>
                <w:rFonts w:cs="Arial"/>
                <w:sz w:val="20"/>
                <w:szCs w:val="20"/>
              </w:rPr>
            </w:pPr>
            <w:r w:rsidRPr="00184C42">
              <w:rPr>
                <w:rFonts w:cs="Arial"/>
                <w:sz w:val="20"/>
                <w:szCs w:val="20"/>
              </w:rPr>
              <w:t>91,319 primary-care patients</w:t>
            </w:r>
          </w:p>
        </w:tc>
        <w:tc>
          <w:tcPr>
            <w:tcW w:w="2286" w:type="dxa"/>
          </w:tcPr>
          <w:p w14:paraId="15A69D8F" w14:textId="77777777" w:rsidR="00041A40" w:rsidRPr="00184C42" w:rsidRDefault="00041A40" w:rsidP="00041A40">
            <w:pPr>
              <w:spacing w:after="0"/>
              <w:rPr>
                <w:rFonts w:cs="Arial"/>
                <w:sz w:val="20"/>
                <w:szCs w:val="20"/>
              </w:rPr>
            </w:pPr>
            <w:r w:rsidRPr="00184C42">
              <w:rPr>
                <w:rFonts w:cs="Arial"/>
                <w:sz w:val="20"/>
                <w:szCs w:val="20"/>
              </w:rPr>
              <w:t>Repeated eGFR and uACR linked to advanced kidney-disease outcomes</w:t>
            </w:r>
          </w:p>
        </w:tc>
        <w:tc>
          <w:tcPr>
            <w:tcW w:w="2331" w:type="dxa"/>
          </w:tcPr>
          <w:p w14:paraId="33F73451" w14:textId="77777777" w:rsidR="00041A40" w:rsidRPr="00184C42" w:rsidRDefault="00041A40" w:rsidP="00041A40">
            <w:pPr>
              <w:spacing w:after="0"/>
              <w:rPr>
                <w:rFonts w:cs="Arial"/>
                <w:sz w:val="20"/>
                <w:szCs w:val="20"/>
              </w:rPr>
            </w:pPr>
            <w:r w:rsidRPr="00184C42">
              <w:rPr>
                <w:rFonts w:cs="Arial"/>
                <w:sz w:val="20"/>
                <w:szCs w:val="20"/>
              </w:rPr>
              <w:t>Combined changes in eGFR and albuminuria predicted progression better than either measure alone.</w:t>
            </w:r>
          </w:p>
        </w:tc>
        <w:tc>
          <w:tcPr>
            <w:tcW w:w="1883" w:type="dxa"/>
          </w:tcPr>
          <w:p w14:paraId="2D9ED833" w14:textId="77777777" w:rsidR="00041A40" w:rsidRPr="00184C42" w:rsidRDefault="00041A40" w:rsidP="00041A40">
            <w:pPr>
              <w:spacing w:after="0"/>
              <w:rPr>
                <w:rFonts w:cs="Arial"/>
                <w:sz w:val="20"/>
                <w:szCs w:val="20"/>
              </w:rPr>
            </w:pPr>
            <w:r w:rsidRPr="00184C42">
              <w:rPr>
                <w:rFonts w:cs="Arial"/>
                <w:sz w:val="20"/>
                <w:szCs w:val="20"/>
              </w:rPr>
              <w:t>Routine-data completeness and residual confounding.</w:t>
            </w:r>
          </w:p>
        </w:tc>
        <w:tc>
          <w:tcPr>
            <w:tcW w:w="2085" w:type="dxa"/>
          </w:tcPr>
          <w:p w14:paraId="41D8EF06" w14:textId="77777777" w:rsidR="00041A40" w:rsidRPr="00184C42" w:rsidRDefault="00041A40" w:rsidP="00041A40">
            <w:pPr>
              <w:spacing w:after="0"/>
              <w:rPr>
                <w:rFonts w:cs="Arial"/>
                <w:sz w:val="20"/>
                <w:szCs w:val="20"/>
              </w:rPr>
            </w:pPr>
            <w:r w:rsidRPr="00184C42">
              <w:rPr>
                <w:rFonts w:cs="Arial"/>
                <w:sz w:val="20"/>
                <w:szCs w:val="20"/>
              </w:rPr>
              <w:t>Burden, progression and monitoring</w:t>
            </w:r>
          </w:p>
        </w:tc>
      </w:tr>
      <w:tr w:rsidR="00041A40" w:rsidRPr="00184C42" w14:paraId="37BC29FC" w14:textId="77777777" w:rsidTr="00184C42">
        <w:trPr>
          <w:trHeight w:val="477"/>
        </w:trPr>
        <w:tc>
          <w:tcPr>
            <w:tcW w:w="1345" w:type="dxa"/>
          </w:tcPr>
          <w:p w14:paraId="263ED965" w14:textId="77777777" w:rsidR="00041A40" w:rsidRPr="00184C42" w:rsidRDefault="00041A40" w:rsidP="00041A40">
            <w:pPr>
              <w:spacing w:after="0"/>
              <w:rPr>
                <w:rFonts w:cs="Arial"/>
                <w:sz w:val="20"/>
                <w:szCs w:val="20"/>
              </w:rPr>
            </w:pPr>
            <w:r w:rsidRPr="00184C42">
              <w:rPr>
                <w:rFonts w:cs="Arial"/>
                <w:sz w:val="20"/>
                <w:szCs w:val="20"/>
              </w:rPr>
              <w:t>Greenwood et al. (2024b)</w:t>
            </w:r>
          </w:p>
        </w:tc>
        <w:tc>
          <w:tcPr>
            <w:tcW w:w="1659" w:type="dxa"/>
          </w:tcPr>
          <w:p w14:paraId="5426C790" w14:textId="77777777" w:rsidR="00041A40" w:rsidRPr="00184C42" w:rsidRDefault="00041A40" w:rsidP="00041A40">
            <w:pPr>
              <w:spacing w:after="0"/>
              <w:rPr>
                <w:rFonts w:cs="Arial"/>
                <w:sz w:val="20"/>
                <w:szCs w:val="20"/>
              </w:rPr>
            </w:pPr>
            <w:r w:rsidRPr="00184C42">
              <w:rPr>
                <w:rFonts w:cs="Arial"/>
                <w:sz w:val="20"/>
                <w:szCs w:val="20"/>
              </w:rPr>
              <w:t>11 UK renal centres; multicentre RCT</w:t>
            </w:r>
          </w:p>
        </w:tc>
        <w:tc>
          <w:tcPr>
            <w:tcW w:w="1659" w:type="dxa"/>
          </w:tcPr>
          <w:p w14:paraId="6EC2D147" w14:textId="77777777" w:rsidR="00041A40" w:rsidRPr="00184C42" w:rsidRDefault="00041A40" w:rsidP="00041A40">
            <w:pPr>
              <w:spacing w:after="0"/>
              <w:rPr>
                <w:rFonts w:cs="Arial"/>
                <w:sz w:val="20"/>
                <w:szCs w:val="20"/>
              </w:rPr>
            </w:pPr>
            <w:r w:rsidRPr="00184C42">
              <w:rPr>
                <w:rFonts w:cs="Arial"/>
                <w:sz w:val="20"/>
                <w:szCs w:val="20"/>
              </w:rPr>
              <w:t>340 adults with CKD</w:t>
            </w:r>
          </w:p>
        </w:tc>
        <w:tc>
          <w:tcPr>
            <w:tcW w:w="2286" w:type="dxa"/>
          </w:tcPr>
          <w:p w14:paraId="42E37532" w14:textId="77777777" w:rsidR="00041A40" w:rsidRPr="00184C42" w:rsidRDefault="00041A40" w:rsidP="00041A40">
            <w:pPr>
              <w:spacing w:after="0"/>
              <w:rPr>
                <w:rFonts w:cs="Arial"/>
                <w:sz w:val="20"/>
                <w:szCs w:val="20"/>
              </w:rPr>
            </w:pPr>
            <w:r w:rsidRPr="00184C42">
              <w:rPr>
                <w:rFonts w:cs="Arial"/>
                <w:sz w:val="20"/>
                <w:szCs w:val="20"/>
              </w:rPr>
              <w:t>Twelve-week Kidney BEAM intervention; patient-reported and activity outcomes; intention-to-treat analysis</w:t>
            </w:r>
          </w:p>
        </w:tc>
        <w:tc>
          <w:tcPr>
            <w:tcW w:w="2331" w:type="dxa"/>
          </w:tcPr>
          <w:p w14:paraId="2B13E84A" w14:textId="77777777" w:rsidR="00041A40" w:rsidRPr="00184C42" w:rsidRDefault="00041A40" w:rsidP="00041A40">
            <w:pPr>
              <w:spacing w:after="0"/>
              <w:rPr>
                <w:rFonts w:cs="Arial"/>
                <w:sz w:val="20"/>
                <w:szCs w:val="20"/>
              </w:rPr>
            </w:pPr>
            <w:r w:rsidRPr="00184C42">
              <w:rPr>
                <w:rFonts w:cs="Arial"/>
                <w:sz w:val="20"/>
                <w:szCs w:val="20"/>
              </w:rPr>
              <w:t>Kidney BEAM improved patient-centred outcomes and supported greater physical activity.</w:t>
            </w:r>
          </w:p>
        </w:tc>
        <w:tc>
          <w:tcPr>
            <w:tcW w:w="1883" w:type="dxa"/>
          </w:tcPr>
          <w:p w14:paraId="35C332A7" w14:textId="77777777" w:rsidR="00041A40" w:rsidRPr="00184C42" w:rsidRDefault="00041A40" w:rsidP="00041A40">
            <w:pPr>
              <w:spacing w:after="0"/>
              <w:rPr>
                <w:rFonts w:cs="Arial"/>
                <w:sz w:val="20"/>
                <w:szCs w:val="20"/>
              </w:rPr>
            </w:pPr>
            <w:r w:rsidRPr="00184C42">
              <w:rPr>
                <w:rFonts w:cs="Arial"/>
                <w:sz w:val="20"/>
                <w:szCs w:val="20"/>
              </w:rPr>
              <w:t>Limited participant blinding and intervention duration.</w:t>
            </w:r>
          </w:p>
        </w:tc>
        <w:tc>
          <w:tcPr>
            <w:tcW w:w="2085" w:type="dxa"/>
          </w:tcPr>
          <w:p w14:paraId="1C7B0D5B" w14:textId="77777777" w:rsidR="00041A40" w:rsidRPr="00184C42" w:rsidRDefault="00041A40" w:rsidP="00041A40">
            <w:pPr>
              <w:spacing w:after="0"/>
              <w:rPr>
                <w:rFonts w:cs="Arial"/>
                <w:sz w:val="20"/>
                <w:szCs w:val="20"/>
              </w:rPr>
            </w:pPr>
            <w:r w:rsidRPr="00184C42">
              <w:rPr>
                <w:rFonts w:cs="Arial"/>
                <w:sz w:val="20"/>
                <w:szCs w:val="20"/>
              </w:rPr>
              <w:t>Lifestyle, digital and patient-centred management</w:t>
            </w:r>
          </w:p>
        </w:tc>
      </w:tr>
      <w:tr w:rsidR="00041A40" w:rsidRPr="00184C42" w14:paraId="2C6C6A1C" w14:textId="77777777" w:rsidTr="00184C42">
        <w:trPr>
          <w:trHeight w:val="328"/>
        </w:trPr>
        <w:tc>
          <w:tcPr>
            <w:tcW w:w="1345" w:type="dxa"/>
          </w:tcPr>
          <w:p w14:paraId="48A37ECA" w14:textId="77777777" w:rsidR="00041A40" w:rsidRPr="00184C42" w:rsidRDefault="00041A40" w:rsidP="00041A40">
            <w:pPr>
              <w:spacing w:after="0"/>
              <w:rPr>
                <w:rFonts w:cs="Arial"/>
                <w:sz w:val="20"/>
                <w:szCs w:val="20"/>
              </w:rPr>
            </w:pPr>
            <w:r w:rsidRPr="00184C42">
              <w:rPr>
                <w:rFonts w:cs="Arial"/>
                <w:sz w:val="20"/>
                <w:szCs w:val="20"/>
              </w:rPr>
              <w:t>Heo et al. (2023)</w:t>
            </w:r>
          </w:p>
        </w:tc>
        <w:tc>
          <w:tcPr>
            <w:tcW w:w="1659" w:type="dxa"/>
          </w:tcPr>
          <w:p w14:paraId="4343E7D8" w14:textId="77777777" w:rsidR="00041A40" w:rsidRPr="00184C42" w:rsidRDefault="00041A40" w:rsidP="00041A40">
            <w:pPr>
              <w:spacing w:after="0"/>
              <w:rPr>
                <w:rFonts w:cs="Arial"/>
                <w:sz w:val="20"/>
                <w:szCs w:val="20"/>
              </w:rPr>
            </w:pPr>
            <w:r w:rsidRPr="00184C42">
              <w:rPr>
                <w:rFonts w:cs="Arial"/>
                <w:sz w:val="20"/>
                <w:szCs w:val="20"/>
              </w:rPr>
              <w:t>UK Biobank; prospective cohort</w:t>
            </w:r>
          </w:p>
        </w:tc>
        <w:tc>
          <w:tcPr>
            <w:tcW w:w="1659" w:type="dxa"/>
          </w:tcPr>
          <w:p w14:paraId="1F2228DB" w14:textId="77777777" w:rsidR="00041A40" w:rsidRPr="00184C42" w:rsidRDefault="00041A40" w:rsidP="00041A40">
            <w:pPr>
              <w:spacing w:after="0"/>
              <w:rPr>
                <w:rFonts w:cs="Arial"/>
                <w:sz w:val="20"/>
                <w:szCs w:val="20"/>
              </w:rPr>
            </w:pPr>
            <w:r w:rsidRPr="00184C42">
              <w:rPr>
                <w:rFonts w:cs="Arial"/>
                <w:sz w:val="20"/>
                <w:szCs w:val="20"/>
              </w:rPr>
              <w:t>110,412 participants without CKD</w:t>
            </w:r>
          </w:p>
        </w:tc>
        <w:tc>
          <w:tcPr>
            <w:tcW w:w="2286" w:type="dxa"/>
          </w:tcPr>
          <w:p w14:paraId="7C8615CC" w14:textId="77777777" w:rsidR="00041A40" w:rsidRPr="00184C42" w:rsidRDefault="00041A40" w:rsidP="00041A40">
            <w:pPr>
              <w:spacing w:after="0"/>
              <w:rPr>
                <w:rFonts w:cs="Arial"/>
                <w:sz w:val="20"/>
                <w:szCs w:val="20"/>
              </w:rPr>
            </w:pPr>
            <w:r w:rsidRPr="00184C42">
              <w:rPr>
                <w:rFonts w:cs="Arial"/>
                <w:sz w:val="20"/>
                <w:szCs w:val="20"/>
              </w:rPr>
              <w:t>Dietary fibre assessment linked to incident CKD and clinical/lifestyle covariates</w:t>
            </w:r>
          </w:p>
        </w:tc>
        <w:tc>
          <w:tcPr>
            <w:tcW w:w="2331" w:type="dxa"/>
          </w:tcPr>
          <w:p w14:paraId="3EFF34D0" w14:textId="77777777" w:rsidR="00041A40" w:rsidRPr="00184C42" w:rsidRDefault="00041A40" w:rsidP="00041A40">
            <w:pPr>
              <w:spacing w:after="0"/>
              <w:rPr>
                <w:rFonts w:cs="Arial"/>
                <w:sz w:val="20"/>
                <w:szCs w:val="20"/>
              </w:rPr>
            </w:pPr>
            <w:r w:rsidRPr="00184C42">
              <w:rPr>
                <w:rFonts w:cs="Arial"/>
                <w:sz w:val="20"/>
                <w:szCs w:val="20"/>
              </w:rPr>
              <w:t>Higher fibre intake was associated with lower incident CKD risk.</w:t>
            </w:r>
          </w:p>
        </w:tc>
        <w:tc>
          <w:tcPr>
            <w:tcW w:w="1883" w:type="dxa"/>
          </w:tcPr>
          <w:p w14:paraId="5F99D339" w14:textId="77777777" w:rsidR="00041A40" w:rsidRPr="00184C42" w:rsidRDefault="00041A40" w:rsidP="00041A40">
            <w:pPr>
              <w:spacing w:after="0"/>
              <w:rPr>
                <w:rFonts w:cs="Arial"/>
                <w:sz w:val="20"/>
                <w:szCs w:val="20"/>
              </w:rPr>
            </w:pPr>
            <w:r w:rsidRPr="00184C42">
              <w:rPr>
                <w:rFonts w:cs="Arial"/>
                <w:sz w:val="20"/>
                <w:szCs w:val="20"/>
              </w:rPr>
              <w:t>Self-reported diet; healthy-volunteer selection; residual confounding.</w:t>
            </w:r>
          </w:p>
        </w:tc>
        <w:tc>
          <w:tcPr>
            <w:tcW w:w="2085" w:type="dxa"/>
          </w:tcPr>
          <w:p w14:paraId="2B490C5F" w14:textId="77777777" w:rsidR="00041A40" w:rsidRPr="00184C42" w:rsidRDefault="00041A40" w:rsidP="00041A40">
            <w:pPr>
              <w:spacing w:after="0"/>
              <w:rPr>
                <w:rFonts w:cs="Arial"/>
                <w:sz w:val="20"/>
                <w:szCs w:val="20"/>
              </w:rPr>
            </w:pPr>
            <w:r w:rsidRPr="00184C42">
              <w:rPr>
                <w:rFonts w:cs="Arial"/>
                <w:sz w:val="20"/>
                <w:szCs w:val="20"/>
              </w:rPr>
              <w:t>Lifestyle and dietary risk</w:t>
            </w:r>
          </w:p>
        </w:tc>
      </w:tr>
      <w:tr w:rsidR="00041A40" w:rsidRPr="00184C42" w14:paraId="1EA7E035" w14:textId="77777777" w:rsidTr="00184C42">
        <w:trPr>
          <w:trHeight w:val="328"/>
        </w:trPr>
        <w:tc>
          <w:tcPr>
            <w:tcW w:w="1345" w:type="dxa"/>
          </w:tcPr>
          <w:p w14:paraId="562F8698" w14:textId="77777777" w:rsidR="00041A40" w:rsidRPr="00184C42" w:rsidRDefault="00041A40" w:rsidP="00041A40">
            <w:pPr>
              <w:spacing w:after="0"/>
              <w:rPr>
                <w:rFonts w:cs="Arial"/>
                <w:sz w:val="20"/>
                <w:szCs w:val="20"/>
              </w:rPr>
            </w:pPr>
            <w:r w:rsidRPr="00184C42">
              <w:rPr>
                <w:rFonts w:cs="Arial"/>
                <w:sz w:val="20"/>
                <w:szCs w:val="20"/>
              </w:rPr>
              <w:t>Lan et al. (2023)</w:t>
            </w:r>
          </w:p>
        </w:tc>
        <w:tc>
          <w:tcPr>
            <w:tcW w:w="1659" w:type="dxa"/>
          </w:tcPr>
          <w:p w14:paraId="784B4790" w14:textId="77777777" w:rsidR="00041A40" w:rsidRPr="00184C42" w:rsidRDefault="00041A40" w:rsidP="00041A40">
            <w:pPr>
              <w:spacing w:after="0"/>
              <w:rPr>
                <w:rFonts w:cs="Arial"/>
                <w:sz w:val="20"/>
                <w:szCs w:val="20"/>
              </w:rPr>
            </w:pPr>
            <w:r w:rsidRPr="00184C42">
              <w:rPr>
                <w:rFonts w:cs="Arial"/>
                <w:sz w:val="20"/>
                <w:szCs w:val="20"/>
              </w:rPr>
              <w:t>UK Biobank; prospective cohort</w:t>
            </w:r>
          </w:p>
        </w:tc>
        <w:tc>
          <w:tcPr>
            <w:tcW w:w="1659" w:type="dxa"/>
          </w:tcPr>
          <w:p w14:paraId="7B05510D" w14:textId="77777777" w:rsidR="00041A40" w:rsidRPr="00184C42" w:rsidRDefault="00041A40" w:rsidP="00041A40">
            <w:pPr>
              <w:spacing w:after="0"/>
              <w:rPr>
                <w:rFonts w:cs="Arial"/>
                <w:sz w:val="20"/>
                <w:szCs w:val="20"/>
              </w:rPr>
            </w:pPr>
            <w:r w:rsidRPr="00184C42">
              <w:rPr>
                <w:rFonts w:cs="Arial"/>
                <w:sz w:val="20"/>
                <w:szCs w:val="20"/>
              </w:rPr>
              <w:t>214,244 never-smokers without CKD</w:t>
            </w:r>
          </w:p>
        </w:tc>
        <w:tc>
          <w:tcPr>
            <w:tcW w:w="2286" w:type="dxa"/>
          </w:tcPr>
          <w:p w14:paraId="160355BD" w14:textId="77777777" w:rsidR="00041A40" w:rsidRPr="00184C42" w:rsidRDefault="00041A40" w:rsidP="00041A40">
            <w:pPr>
              <w:spacing w:after="0"/>
              <w:rPr>
                <w:rFonts w:cs="Arial"/>
                <w:sz w:val="20"/>
                <w:szCs w:val="20"/>
              </w:rPr>
            </w:pPr>
            <w:r w:rsidRPr="00184C42">
              <w:rPr>
                <w:rFonts w:cs="Arial"/>
                <w:sz w:val="20"/>
                <w:szCs w:val="20"/>
              </w:rPr>
              <w:t>Secondhand-smoke exposure, genetic-risk score and incident CKD follow-up</w:t>
            </w:r>
          </w:p>
        </w:tc>
        <w:tc>
          <w:tcPr>
            <w:tcW w:w="2331" w:type="dxa"/>
          </w:tcPr>
          <w:p w14:paraId="18FCEA6F" w14:textId="77777777" w:rsidR="00041A40" w:rsidRPr="00184C42" w:rsidRDefault="00041A40" w:rsidP="00041A40">
            <w:pPr>
              <w:spacing w:after="0"/>
              <w:rPr>
                <w:rFonts w:cs="Arial"/>
                <w:sz w:val="20"/>
                <w:szCs w:val="20"/>
              </w:rPr>
            </w:pPr>
            <w:r w:rsidRPr="00184C42">
              <w:rPr>
                <w:rFonts w:cs="Arial"/>
                <w:sz w:val="20"/>
                <w:szCs w:val="20"/>
              </w:rPr>
              <w:t>Greater secondhand-smoke exposure was associated with increased CKD risk.</w:t>
            </w:r>
          </w:p>
        </w:tc>
        <w:tc>
          <w:tcPr>
            <w:tcW w:w="1883" w:type="dxa"/>
          </w:tcPr>
          <w:p w14:paraId="39BA75B2" w14:textId="77777777" w:rsidR="00041A40" w:rsidRPr="00184C42" w:rsidRDefault="00041A40" w:rsidP="00041A40">
            <w:pPr>
              <w:spacing w:after="0"/>
              <w:rPr>
                <w:rFonts w:cs="Arial"/>
                <w:sz w:val="20"/>
                <w:szCs w:val="20"/>
              </w:rPr>
            </w:pPr>
            <w:r w:rsidRPr="00184C42">
              <w:rPr>
                <w:rFonts w:cs="Arial"/>
                <w:sz w:val="20"/>
                <w:szCs w:val="20"/>
              </w:rPr>
              <w:t>Self-reported exposure and observational causality limitations.</w:t>
            </w:r>
          </w:p>
        </w:tc>
        <w:tc>
          <w:tcPr>
            <w:tcW w:w="2085" w:type="dxa"/>
          </w:tcPr>
          <w:p w14:paraId="4142118B" w14:textId="77777777" w:rsidR="00041A40" w:rsidRPr="00184C42" w:rsidRDefault="00041A40" w:rsidP="00041A40">
            <w:pPr>
              <w:spacing w:after="0"/>
              <w:rPr>
                <w:rFonts w:cs="Arial"/>
                <w:sz w:val="20"/>
                <w:szCs w:val="20"/>
              </w:rPr>
            </w:pPr>
            <w:r w:rsidRPr="00184C42">
              <w:rPr>
                <w:rFonts w:cs="Arial"/>
                <w:sz w:val="20"/>
                <w:szCs w:val="20"/>
              </w:rPr>
              <w:t>Lifestyle, social and emerging risk</w:t>
            </w:r>
          </w:p>
        </w:tc>
      </w:tr>
      <w:tr w:rsidR="00041A40" w:rsidRPr="00184C42" w14:paraId="31289E5F" w14:textId="77777777" w:rsidTr="00184C42">
        <w:trPr>
          <w:trHeight w:val="477"/>
        </w:trPr>
        <w:tc>
          <w:tcPr>
            <w:tcW w:w="1345" w:type="dxa"/>
          </w:tcPr>
          <w:p w14:paraId="29511B82" w14:textId="77777777" w:rsidR="00041A40" w:rsidRPr="00184C42" w:rsidRDefault="00041A40" w:rsidP="00041A40">
            <w:pPr>
              <w:spacing w:after="0"/>
              <w:rPr>
                <w:rFonts w:cs="Arial"/>
                <w:sz w:val="20"/>
                <w:szCs w:val="20"/>
              </w:rPr>
            </w:pPr>
            <w:r w:rsidRPr="00184C42">
              <w:rPr>
                <w:rFonts w:cs="Arial"/>
                <w:sz w:val="20"/>
                <w:szCs w:val="20"/>
              </w:rPr>
              <w:t>Li et al. (2025)</w:t>
            </w:r>
          </w:p>
        </w:tc>
        <w:tc>
          <w:tcPr>
            <w:tcW w:w="1659" w:type="dxa"/>
          </w:tcPr>
          <w:p w14:paraId="2799244B" w14:textId="77777777" w:rsidR="00041A40" w:rsidRPr="00184C42" w:rsidRDefault="00041A40" w:rsidP="00041A40">
            <w:pPr>
              <w:spacing w:after="0"/>
              <w:rPr>
                <w:rFonts w:cs="Arial"/>
                <w:sz w:val="20"/>
                <w:szCs w:val="20"/>
              </w:rPr>
            </w:pPr>
            <w:r w:rsidRPr="00184C42">
              <w:rPr>
                <w:rFonts w:cs="Arial"/>
                <w:sz w:val="20"/>
                <w:szCs w:val="20"/>
              </w:rPr>
              <w:t>UK Biobank; prospective cohort</w:t>
            </w:r>
          </w:p>
        </w:tc>
        <w:tc>
          <w:tcPr>
            <w:tcW w:w="1659" w:type="dxa"/>
          </w:tcPr>
          <w:p w14:paraId="39121176" w14:textId="77777777" w:rsidR="00041A40" w:rsidRPr="00184C42" w:rsidRDefault="00041A40" w:rsidP="00041A40">
            <w:pPr>
              <w:spacing w:after="0"/>
              <w:rPr>
                <w:rFonts w:cs="Arial"/>
                <w:sz w:val="20"/>
                <w:szCs w:val="20"/>
              </w:rPr>
            </w:pPr>
            <w:r w:rsidRPr="00184C42">
              <w:rPr>
                <w:rFonts w:cs="Arial"/>
                <w:sz w:val="20"/>
                <w:szCs w:val="20"/>
              </w:rPr>
              <w:t>441,893 participants without CKD</w:t>
            </w:r>
          </w:p>
        </w:tc>
        <w:tc>
          <w:tcPr>
            <w:tcW w:w="2286" w:type="dxa"/>
          </w:tcPr>
          <w:p w14:paraId="0534A8E6" w14:textId="77777777" w:rsidR="00041A40" w:rsidRPr="00184C42" w:rsidRDefault="00041A40" w:rsidP="00041A40">
            <w:pPr>
              <w:spacing w:after="0"/>
              <w:rPr>
                <w:rFonts w:cs="Arial"/>
                <w:sz w:val="20"/>
                <w:szCs w:val="20"/>
              </w:rPr>
            </w:pPr>
            <w:r w:rsidRPr="00184C42">
              <w:rPr>
                <w:rFonts w:cs="Arial"/>
                <w:sz w:val="20"/>
                <w:szCs w:val="20"/>
              </w:rPr>
              <w:t>Psychiatric diagnoses, kidney outcomes and socioeconomic/lifestyle covariates; Cox regression</w:t>
            </w:r>
          </w:p>
        </w:tc>
        <w:tc>
          <w:tcPr>
            <w:tcW w:w="2331" w:type="dxa"/>
          </w:tcPr>
          <w:p w14:paraId="5040288A" w14:textId="77777777" w:rsidR="00041A40" w:rsidRPr="00184C42" w:rsidRDefault="00041A40" w:rsidP="00041A40">
            <w:pPr>
              <w:spacing w:after="0"/>
              <w:rPr>
                <w:rFonts w:cs="Arial"/>
                <w:sz w:val="20"/>
                <w:szCs w:val="20"/>
              </w:rPr>
            </w:pPr>
            <w:r w:rsidRPr="00184C42">
              <w:rPr>
                <w:rFonts w:cs="Arial"/>
                <w:sz w:val="20"/>
                <w:szCs w:val="20"/>
              </w:rPr>
              <w:t>Psychiatric disorders were associated with increased subsequent CKD risk.</w:t>
            </w:r>
          </w:p>
        </w:tc>
        <w:tc>
          <w:tcPr>
            <w:tcW w:w="1883" w:type="dxa"/>
          </w:tcPr>
          <w:p w14:paraId="48601DAF" w14:textId="77777777" w:rsidR="00041A40" w:rsidRPr="00184C42" w:rsidRDefault="00041A40" w:rsidP="00041A40">
            <w:pPr>
              <w:spacing w:after="0"/>
              <w:rPr>
                <w:rFonts w:cs="Arial"/>
                <w:sz w:val="20"/>
                <w:szCs w:val="20"/>
              </w:rPr>
            </w:pPr>
            <w:r w:rsidRPr="00184C42">
              <w:rPr>
                <w:rFonts w:cs="Arial"/>
                <w:sz w:val="20"/>
                <w:szCs w:val="20"/>
              </w:rPr>
              <w:t>Linked-diagnosis limitations and UK Biobank selection.</w:t>
            </w:r>
          </w:p>
        </w:tc>
        <w:tc>
          <w:tcPr>
            <w:tcW w:w="2085" w:type="dxa"/>
          </w:tcPr>
          <w:p w14:paraId="2A5F9D77" w14:textId="77777777" w:rsidR="00041A40" w:rsidRPr="00184C42" w:rsidRDefault="00041A40" w:rsidP="00041A40">
            <w:pPr>
              <w:spacing w:after="0"/>
              <w:rPr>
                <w:rFonts w:cs="Arial"/>
                <w:sz w:val="20"/>
                <w:szCs w:val="20"/>
              </w:rPr>
            </w:pPr>
            <w:r w:rsidRPr="00184C42">
              <w:rPr>
                <w:rFonts w:cs="Arial"/>
                <w:sz w:val="20"/>
                <w:szCs w:val="20"/>
              </w:rPr>
              <w:t>Psychosocial and emerging risk</w:t>
            </w:r>
          </w:p>
        </w:tc>
      </w:tr>
      <w:tr w:rsidR="00041A40" w:rsidRPr="00184C42" w14:paraId="2FBA040E" w14:textId="77777777" w:rsidTr="00184C42">
        <w:trPr>
          <w:trHeight w:val="492"/>
        </w:trPr>
        <w:tc>
          <w:tcPr>
            <w:tcW w:w="1345" w:type="dxa"/>
          </w:tcPr>
          <w:p w14:paraId="7E506891" w14:textId="77777777" w:rsidR="00041A40" w:rsidRPr="00184C42" w:rsidRDefault="00041A40" w:rsidP="00041A40">
            <w:pPr>
              <w:spacing w:after="0"/>
              <w:rPr>
                <w:rFonts w:cs="Arial"/>
                <w:sz w:val="20"/>
                <w:szCs w:val="20"/>
              </w:rPr>
            </w:pPr>
            <w:r w:rsidRPr="00184C42">
              <w:rPr>
                <w:rFonts w:cs="Arial"/>
                <w:sz w:val="20"/>
                <w:szCs w:val="20"/>
              </w:rPr>
              <w:t>Lightfoot et al. (2025)</w:t>
            </w:r>
          </w:p>
        </w:tc>
        <w:tc>
          <w:tcPr>
            <w:tcW w:w="1659" w:type="dxa"/>
          </w:tcPr>
          <w:p w14:paraId="6DC87C82" w14:textId="77777777" w:rsidR="00041A40" w:rsidRPr="00184C42" w:rsidRDefault="00041A40" w:rsidP="00041A40">
            <w:pPr>
              <w:spacing w:after="0"/>
              <w:rPr>
                <w:rFonts w:cs="Arial"/>
                <w:sz w:val="20"/>
                <w:szCs w:val="20"/>
              </w:rPr>
            </w:pPr>
            <w:r w:rsidRPr="00184C42">
              <w:rPr>
                <w:rFonts w:cs="Arial"/>
                <w:sz w:val="20"/>
                <w:szCs w:val="20"/>
              </w:rPr>
              <w:t>Leicester; qualitative interviews</w:t>
            </w:r>
          </w:p>
        </w:tc>
        <w:tc>
          <w:tcPr>
            <w:tcW w:w="1659" w:type="dxa"/>
          </w:tcPr>
          <w:p w14:paraId="3F5D6E8E" w14:textId="77777777" w:rsidR="00041A40" w:rsidRPr="00184C42" w:rsidRDefault="00041A40" w:rsidP="00041A40">
            <w:pPr>
              <w:spacing w:after="0"/>
              <w:rPr>
                <w:rFonts w:cs="Arial"/>
                <w:sz w:val="20"/>
                <w:szCs w:val="20"/>
              </w:rPr>
            </w:pPr>
            <w:r w:rsidRPr="00184C42">
              <w:rPr>
                <w:rFonts w:cs="Arial"/>
                <w:sz w:val="20"/>
                <w:szCs w:val="20"/>
              </w:rPr>
              <w:t>22 adults aged 48–88 with non-dialysis CKD</w:t>
            </w:r>
          </w:p>
        </w:tc>
        <w:tc>
          <w:tcPr>
            <w:tcW w:w="2286" w:type="dxa"/>
          </w:tcPr>
          <w:p w14:paraId="7E6703A4" w14:textId="77777777" w:rsidR="00041A40" w:rsidRPr="00184C42" w:rsidRDefault="00041A40" w:rsidP="00041A40">
            <w:pPr>
              <w:spacing w:after="0"/>
              <w:rPr>
                <w:rFonts w:cs="Arial"/>
                <w:sz w:val="20"/>
                <w:szCs w:val="20"/>
              </w:rPr>
            </w:pPr>
            <w:r w:rsidRPr="00184C42">
              <w:rPr>
                <w:rFonts w:cs="Arial"/>
                <w:sz w:val="20"/>
                <w:szCs w:val="20"/>
              </w:rPr>
              <w:t>Semi-structured interviews, transcription and thematic analysis</w:t>
            </w:r>
          </w:p>
        </w:tc>
        <w:tc>
          <w:tcPr>
            <w:tcW w:w="2331" w:type="dxa"/>
          </w:tcPr>
          <w:p w14:paraId="5103A469" w14:textId="77777777" w:rsidR="00041A40" w:rsidRPr="00184C42" w:rsidRDefault="00041A40" w:rsidP="00041A40">
            <w:pPr>
              <w:spacing w:after="0"/>
              <w:rPr>
                <w:rFonts w:cs="Arial"/>
                <w:sz w:val="20"/>
                <w:szCs w:val="20"/>
              </w:rPr>
            </w:pPr>
            <w:r w:rsidRPr="00184C42">
              <w:rPr>
                <w:rFonts w:cs="Arial"/>
                <w:sz w:val="20"/>
                <w:szCs w:val="20"/>
              </w:rPr>
              <w:t>Knowledge, confidence, symptoms, competing priorities and professional support shaped self-management.</w:t>
            </w:r>
          </w:p>
        </w:tc>
        <w:tc>
          <w:tcPr>
            <w:tcW w:w="1883" w:type="dxa"/>
          </w:tcPr>
          <w:p w14:paraId="13C73779" w14:textId="77777777" w:rsidR="00041A40" w:rsidRPr="00184C42" w:rsidRDefault="00041A40" w:rsidP="00041A40">
            <w:pPr>
              <w:spacing w:after="0"/>
              <w:rPr>
                <w:rFonts w:cs="Arial"/>
                <w:sz w:val="20"/>
                <w:szCs w:val="20"/>
              </w:rPr>
            </w:pPr>
            <w:r w:rsidRPr="00184C42">
              <w:rPr>
                <w:rFonts w:cs="Arial"/>
                <w:sz w:val="20"/>
                <w:szCs w:val="20"/>
              </w:rPr>
              <w:t>Small geographically limited sample.</w:t>
            </w:r>
          </w:p>
        </w:tc>
        <w:tc>
          <w:tcPr>
            <w:tcW w:w="2085" w:type="dxa"/>
          </w:tcPr>
          <w:p w14:paraId="5CA7E2F0" w14:textId="77777777" w:rsidR="00041A40" w:rsidRPr="00184C42" w:rsidRDefault="00041A40" w:rsidP="00041A40">
            <w:pPr>
              <w:spacing w:after="0"/>
              <w:rPr>
                <w:rFonts w:cs="Arial"/>
                <w:sz w:val="20"/>
                <w:szCs w:val="20"/>
              </w:rPr>
            </w:pPr>
            <w:r w:rsidRPr="00184C42">
              <w:rPr>
                <w:rFonts w:cs="Arial"/>
                <w:sz w:val="20"/>
                <w:szCs w:val="20"/>
              </w:rPr>
              <w:t>Lifestyle, digital and patient-centred management</w:t>
            </w:r>
          </w:p>
        </w:tc>
      </w:tr>
      <w:tr w:rsidR="00041A40" w:rsidRPr="00184C42" w14:paraId="3529FB0A" w14:textId="77777777" w:rsidTr="00184C42">
        <w:trPr>
          <w:trHeight w:val="328"/>
        </w:trPr>
        <w:tc>
          <w:tcPr>
            <w:tcW w:w="1345" w:type="dxa"/>
          </w:tcPr>
          <w:p w14:paraId="0E3A5206" w14:textId="77777777" w:rsidR="00041A40" w:rsidRPr="00184C42" w:rsidRDefault="00041A40" w:rsidP="00041A40">
            <w:pPr>
              <w:spacing w:after="0"/>
              <w:rPr>
                <w:rFonts w:cs="Arial"/>
                <w:sz w:val="20"/>
                <w:szCs w:val="20"/>
              </w:rPr>
            </w:pPr>
            <w:r w:rsidRPr="00184C42">
              <w:rPr>
                <w:rFonts w:cs="Arial"/>
                <w:sz w:val="20"/>
                <w:szCs w:val="20"/>
              </w:rPr>
              <w:t>Maroto-Rodriguez et al. (2025)</w:t>
            </w:r>
          </w:p>
        </w:tc>
        <w:tc>
          <w:tcPr>
            <w:tcW w:w="1659" w:type="dxa"/>
          </w:tcPr>
          <w:p w14:paraId="6E6967D9" w14:textId="77777777" w:rsidR="00041A40" w:rsidRPr="00184C42" w:rsidRDefault="00041A40" w:rsidP="00041A40">
            <w:pPr>
              <w:spacing w:after="0"/>
              <w:rPr>
                <w:rFonts w:cs="Arial"/>
                <w:sz w:val="20"/>
                <w:szCs w:val="20"/>
              </w:rPr>
            </w:pPr>
            <w:r w:rsidRPr="00184C42">
              <w:rPr>
                <w:rFonts w:cs="Arial"/>
                <w:sz w:val="20"/>
                <w:szCs w:val="20"/>
              </w:rPr>
              <w:t>UK Biobank; prospective cohort</w:t>
            </w:r>
          </w:p>
        </w:tc>
        <w:tc>
          <w:tcPr>
            <w:tcW w:w="1659" w:type="dxa"/>
          </w:tcPr>
          <w:p w14:paraId="5CC1EE76" w14:textId="77777777" w:rsidR="00041A40" w:rsidRPr="00184C42" w:rsidRDefault="00041A40" w:rsidP="00041A40">
            <w:pPr>
              <w:spacing w:after="0"/>
              <w:rPr>
                <w:rFonts w:cs="Arial"/>
                <w:sz w:val="20"/>
                <w:szCs w:val="20"/>
              </w:rPr>
            </w:pPr>
            <w:r w:rsidRPr="00184C42">
              <w:rPr>
                <w:rFonts w:cs="Arial"/>
                <w:sz w:val="20"/>
                <w:szCs w:val="20"/>
              </w:rPr>
              <w:t>106,870 CKD-free participants</w:t>
            </w:r>
          </w:p>
        </w:tc>
        <w:tc>
          <w:tcPr>
            <w:tcW w:w="2286" w:type="dxa"/>
          </w:tcPr>
          <w:p w14:paraId="16E5FDCF" w14:textId="77777777" w:rsidR="00041A40" w:rsidRPr="00184C42" w:rsidRDefault="00041A40" w:rsidP="00041A40">
            <w:pPr>
              <w:spacing w:after="0"/>
              <w:rPr>
                <w:rFonts w:cs="Arial"/>
                <w:sz w:val="20"/>
                <w:szCs w:val="20"/>
              </w:rPr>
            </w:pPr>
            <w:r w:rsidRPr="00184C42">
              <w:rPr>
                <w:rFonts w:cs="Arial"/>
                <w:sz w:val="20"/>
                <w:szCs w:val="20"/>
              </w:rPr>
              <w:t>Repeated 24-hour dietary assessments; six diet-quality indices linked to incident CKD</w:t>
            </w:r>
          </w:p>
        </w:tc>
        <w:tc>
          <w:tcPr>
            <w:tcW w:w="2331" w:type="dxa"/>
          </w:tcPr>
          <w:p w14:paraId="1046B8FB" w14:textId="77777777" w:rsidR="00041A40" w:rsidRPr="00184C42" w:rsidRDefault="00041A40" w:rsidP="00041A40">
            <w:pPr>
              <w:spacing w:after="0"/>
              <w:rPr>
                <w:rFonts w:cs="Arial"/>
                <w:sz w:val="20"/>
                <w:szCs w:val="20"/>
              </w:rPr>
            </w:pPr>
            <w:r w:rsidRPr="00184C42">
              <w:rPr>
                <w:rFonts w:cs="Arial"/>
                <w:sz w:val="20"/>
                <w:szCs w:val="20"/>
              </w:rPr>
              <w:t>Healthier dietary patterns were associated with lower CKD incidence.</w:t>
            </w:r>
          </w:p>
        </w:tc>
        <w:tc>
          <w:tcPr>
            <w:tcW w:w="1883" w:type="dxa"/>
          </w:tcPr>
          <w:p w14:paraId="0433334E" w14:textId="77777777" w:rsidR="00041A40" w:rsidRPr="00184C42" w:rsidRDefault="00041A40" w:rsidP="00041A40">
            <w:pPr>
              <w:spacing w:after="0"/>
              <w:rPr>
                <w:rFonts w:cs="Arial"/>
                <w:sz w:val="20"/>
                <w:szCs w:val="20"/>
              </w:rPr>
            </w:pPr>
            <w:r w:rsidRPr="00184C42">
              <w:rPr>
                <w:rFonts w:cs="Arial"/>
                <w:sz w:val="20"/>
                <w:szCs w:val="20"/>
              </w:rPr>
              <w:t>Self-reported dietary data and observational design.</w:t>
            </w:r>
          </w:p>
        </w:tc>
        <w:tc>
          <w:tcPr>
            <w:tcW w:w="2085" w:type="dxa"/>
          </w:tcPr>
          <w:p w14:paraId="3B43DAB4" w14:textId="77777777" w:rsidR="00041A40" w:rsidRPr="00184C42" w:rsidRDefault="00041A40" w:rsidP="00041A40">
            <w:pPr>
              <w:spacing w:after="0"/>
              <w:rPr>
                <w:rFonts w:cs="Arial"/>
                <w:sz w:val="20"/>
                <w:szCs w:val="20"/>
              </w:rPr>
            </w:pPr>
            <w:r w:rsidRPr="00184C42">
              <w:rPr>
                <w:rFonts w:cs="Arial"/>
                <w:sz w:val="20"/>
                <w:szCs w:val="20"/>
              </w:rPr>
              <w:t>Lifestyle and dietary risk</w:t>
            </w:r>
          </w:p>
        </w:tc>
      </w:tr>
      <w:tr w:rsidR="00041A40" w:rsidRPr="00184C42" w14:paraId="570AC206" w14:textId="77777777" w:rsidTr="00184C42">
        <w:trPr>
          <w:trHeight w:val="477"/>
        </w:trPr>
        <w:tc>
          <w:tcPr>
            <w:tcW w:w="1345" w:type="dxa"/>
          </w:tcPr>
          <w:p w14:paraId="26908BB2" w14:textId="77777777" w:rsidR="00041A40" w:rsidRPr="00184C42" w:rsidRDefault="00041A40" w:rsidP="00041A40">
            <w:pPr>
              <w:spacing w:after="0"/>
              <w:rPr>
                <w:rFonts w:cs="Arial"/>
                <w:sz w:val="20"/>
                <w:szCs w:val="20"/>
              </w:rPr>
            </w:pPr>
            <w:r w:rsidRPr="00184C42">
              <w:rPr>
                <w:rFonts w:cs="Arial"/>
                <w:sz w:val="20"/>
                <w:szCs w:val="20"/>
              </w:rPr>
              <w:t>Rizvi et al. (2024)</w:t>
            </w:r>
          </w:p>
        </w:tc>
        <w:tc>
          <w:tcPr>
            <w:tcW w:w="1659" w:type="dxa"/>
          </w:tcPr>
          <w:p w14:paraId="124BF612" w14:textId="77777777" w:rsidR="00041A40" w:rsidRPr="00184C42" w:rsidRDefault="00041A40" w:rsidP="00041A40">
            <w:pPr>
              <w:spacing w:after="0"/>
              <w:rPr>
                <w:rFonts w:cs="Arial"/>
                <w:sz w:val="20"/>
                <w:szCs w:val="20"/>
              </w:rPr>
            </w:pPr>
            <w:r w:rsidRPr="00184C42">
              <w:rPr>
                <w:rFonts w:cs="Arial"/>
                <w:sz w:val="20"/>
                <w:szCs w:val="20"/>
              </w:rPr>
              <w:t>Leicester primary care; quality-improvement evaluation</w:t>
            </w:r>
          </w:p>
        </w:tc>
        <w:tc>
          <w:tcPr>
            <w:tcW w:w="1659" w:type="dxa"/>
          </w:tcPr>
          <w:p w14:paraId="072BD22E" w14:textId="77777777" w:rsidR="00041A40" w:rsidRPr="00184C42" w:rsidRDefault="00041A40" w:rsidP="00041A40">
            <w:pPr>
              <w:spacing w:after="0"/>
              <w:rPr>
                <w:rFonts w:cs="Arial"/>
                <w:sz w:val="20"/>
                <w:szCs w:val="20"/>
              </w:rPr>
            </w:pPr>
            <w:r w:rsidRPr="00184C42">
              <w:rPr>
                <w:rFonts w:cs="Arial"/>
                <w:sz w:val="20"/>
                <w:szCs w:val="20"/>
              </w:rPr>
              <w:t>526 patients with CKD, diabetes and/or heart failure</w:t>
            </w:r>
          </w:p>
        </w:tc>
        <w:tc>
          <w:tcPr>
            <w:tcW w:w="2286" w:type="dxa"/>
          </w:tcPr>
          <w:p w14:paraId="372AE6AF" w14:textId="77777777" w:rsidR="00041A40" w:rsidRPr="00184C42" w:rsidRDefault="00041A40" w:rsidP="00041A40">
            <w:pPr>
              <w:spacing w:after="0"/>
              <w:rPr>
                <w:rFonts w:cs="Arial"/>
                <w:sz w:val="20"/>
                <w:szCs w:val="20"/>
              </w:rPr>
            </w:pPr>
            <w:r w:rsidRPr="00184C42">
              <w:rPr>
                <w:rFonts w:cs="Arial"/>
                <w:sz w:val="20"/>
                <w:szCs w:val="20"/>
              </w:rPr>
              <w:t>Nephrology/pharmacist-supported review, MDT discussion, medicines optimisation and referral records</w:t>
            </w:r>
          </w:p>
        </w:tc>
        <w:tc>
          <w:tcPr>
            <w:tcW w:w="2331" w:type="dxa"/>
          </w:tcPr>
          <w:p w14:paraId="03E0955B" w14:textId="77777777" w:rsidR="00041A40" w:rsidRPr="00184C42" w:rsidRDefault="00041A40" w:rsidP="00041A40">
            <w:pPr>
              <w:spacing w:after="0"/>
              <w:rPr>
                <w:rFonts w:cs="Arial"/>
                <w:sz w:val="20"/>
                <w:szCs w:val="20"/>
              </w:rPr>
            </w:pPr>
            <w:r w:rsidRPr="00184C42">
              <w:rPr>
                <w:rFonts w:cs="Arial"/>
                <w:sz w:val="20"/>
                <w:szCs w:val="20"/>
              </w:rPr>
              <w:t>Specialist-supported primary care facilitated guideline-based optimisation and referral.</w:t>
            </w:r>
          </w:p>
        </w:tc>
        <w:tc>
          <w:tcPr>
            <w:tcW w:w="1883" w:type="dxa"/>
          </w:tcPr>
          <w:p w14:paraId="59CE6600" w14:textId="77777777" w:rsidR="00041A40" w:rsidRPr="00184C42" w:rsidRDefault="00041A40" w:rsidP="00041A40">
            <w:pPr>
              <w:spacing w:after="0"/>
              <w:rPr>
                <w:rFonts w:cs="Arial"/>
                <w:sz w:val="20"/>
                <w:szCs w:val="20"/>
              </w:rPr>
            </w:pPr>
            <w:r w:rsidRPr="00184C42">
              <w:rPr>
                <w:rFonts w:cs="Arial"/>
                <w:sz w:val="20"/>
                <w:szCs w:val="20"/>
              </w:rPr>
              <w:t>Local programme; no comparator; implementation selection bias.</w:t>
            </w:r>
          </w:p>
        </w:tc>
        <w:tc>
          <w:tcPr>
            <w:tcW w:w="2085" w:type="dxa"/>
          </w:tcPr>
          <w:p w14:paraId="5E2BF2B4" w14:textId="77777777" w:rsidR="00041A40" w:rsidRPr="00184C42" w:rsidRDefault="00041A40" w:rsidP="00041A40">
            <w:pPr>
              <w:spacing w:after="0"/>
              <w:rPr>
                <w:rFonts w:cs="Arial"/>
                <w:sz w:val="20"/>
                <w:szCs w:val="20"/>
              </w:rPr>
            </w:pPr>
            <w:r w:rsidRPr="00184C42">
              <w:rPr>
                <w:rFonts w:cs="Arial"/>
                <w:sz w:val="20"/>
                <w:szCs w:val="20"/>
              </w:rPr>
              <w:t>Integrated care and pharmacological management</w:t>
            </w:r>
          </w:p>
        </w:tc>
      </w:tr>
      <w:tr w:rsidR="00041A40" w:rsidRPr="00184C42" w14:paraId="23FC99BC" w14:textId="77777777" w:rsidTr="00184C42">
        <w:trPr>
          <w:trHeight w:val="492"/>
        </w:trPr>
        <w:tc>
          <w:tcPr>
            <w:tcW w:w="1345" w:type="dxa"/>
          </w:tcPr>
          <w:p w14:paraId="52C249D4" w14:textId="77777777" w:rsidR="00041A40" w:rsidRPr="00184C42" w:rsidRDefault="00041A40" w:rsidP="00041A40">
            <w:pPr>
              <w:spacing w:after="0"/>
              <w:rPr>
                <w:rFonts w:cs="Arial"/>
                <w:sz w:val="20"/>
                <w:szCs w:val="20"/>
              </w:rPr>
            </w:pPr>
            <w:r w:rsidRPr="00184C42">
              <w:rPr>
                <w:rFonts w:cs="Arial"/>
                <w:sz w:val="20"/>
                <w:szCs w:val="20"/>
              </w:rPr>
              <w:t>Sullivan et al. (2023)</w:t>
            </w:r>
          </w:p>
        </w:tc>
        <w:tc>
          <w:tcPr>
            <w:tcW w:w="1659" w:type="dxa"/>
          </w:tcPr>
          <w:p w14:paraId="02972834" w14:textId="77777777" w:rsidR="00041A40" w:rsidRPr="00184C42" w:rsidRDefault="00041A40" w:rsidP="00041A40">
            <w:pPr>
              <w:spacing w:after="0"/>
              <w:rPr>
                <w:rFonts w:cs="Arial"/>
                <w:sz w:val="20"/>
                <w:szCs w:val="20"/>
              </w:rPr>
            </w:pPr>
            <w:r w:rsidRPr="00184C42">
              <w:rPr>
                <w:rFonts w:cs="Arial"/>
                <w:sz w:val="20"/>
                <w:szCs w:val="20"/>
              </w:rPr>
              <w:t>Wales SAIL plus UK Biobank; database/cohort analysis</w:t>
            </w:r>
          </w:p>
        </w:tc>
        <w:tc>
          <w:tcPr>
            <w:tcW w:w="1659" w:type="dxa"/>
          </w:tcPr>
          <w:p w14:paraId="7BEE12BA" w14:textId="77777777" w:rsidR="00041A40" w:rsidRPr="00184C42" w:rsidRDefault="00041A40" w:rsidP="00041A40">
            <w:pPr>
              <w:spacing w:after="0"/>
              <w:rPr>
                <w:rFonts w:cs="Arial"/>
                <w:sz w:val="20"/>
                <w:szCs w:val="20"/>
              </w:rPr>
            </w:pPr>
            <w:r w:rsidRPr="00184C42">
              <w:rPr>
                <w:rFonts w:cs="Arial"/>
                <w:sz w:val="20"/>
                <w:szCs w:val="20"/>
              </w:rPr>
              <w:t>61,721 people with eGFR 30–59 in SAIL plus complementary UK Biobank analysis</w:t>
            </w:r>
          </w:p>
        </w:tc>
        <w:tc>
          <w:tcPr>
            <w:tcW w:w="2286" w:type="dxa"/>
          </w:tcPr>
          <w:p w14:paraId="7751607B" w14:textId="77777777" w:rsidR="00041A40" w:rsidRPr="00184C42" w:rsidRDefault="00041A40" w:rsidP="00041A40">
            <w:pPr>
              <w:spacing w:after="0"/>
              <w:rPr>
                <w:rFonts w:cs="Arial"/>
                <w:sz w:val="20"/>
                <w:szCs w:val="20"/>
              </w:rPr>
            </w:pPr>
            <w:r w:rsidRPr="00184C42">
              <w:rPr>
                <w:rFonts w:cs="Arial"/>
                <w:sz w:val="20"/>
                <w:szCs w:val="20"/>
              </w:rPr>
              <w:t>eGFR, albuminuria, KFRE calculation and ethnicity-stratified referral analyses</w:t>
            </w:r>
          </w:p>
        </w:tc>
        <w:tc>
          <w:tcPr>
            <w:tcW w:w="2331" w:type="dxa"/>
          </w:tcPr>
          <w:p w14:paraId="07EF49A5" w14:textId="77777777" w:rsidR="00041A40" w:rsidRPr="00184C42" w:rsidRDefault="00041A40" w:rsidP="00041A40">
            <w:pPr>
              <w:spacing w:after="0"/>
              <w:rPr>
                <w:rFonts w:cs="Arial"/>
                <w:sz w:val="20"/>
                <w:szCs w:val="20"/>
              </w:rPr>
            </w:pPr>
            <w:r w:rsidRPr="00184C42">
              <w:rPr>
                <w:rFonts w:cs="Arial"/>
                <w:sz w:val="20"/>
                <w:szCs w:val="20"/>
              </w:rPr>
              <w:t>Updated NICE KFRE and eGFR criteria changed potential referral eligibility.</w:t>
            </w:r>
          </w:p>
        </w:tc>
        <w:tc>
          <w:tcPr>
            <w:tcW w:w="1883" w:type="dxa"/>
          </w:tcPr>
          <w:p w14:paraId="01E8F545" w14:textId="77777777" w:rsidR="00041A40" w:rsidRPr="00184C42" w:rsidRDefault="00041A40" w:rsidP="00041A40">
            <w:pPr>
              <w:spacing w:after="0"/>
              <w:rPr>
                <w:rFonts w:cs="Arial"/>
                <w:sz w:val="20"/>
                <w:szCs w:val="20"/>
              </w:rPr>
            </w:pPr>
            <w:r w:rsidRPr="00184C42">
              <w:rPr>
                <w:rFonts w:cs="Arial"/>
                <w:sz w:val="20"/>
                <w:szCs w:val="20"/>
              </w:rPr>
              <w:t>Modelled referral impact; actual downstream outcomes not established.</w:t>
            </w:r>
          </w:p>
        </w:tc>
        <w:tc>
          <w:tcPr>
            <w:tcW w:w="2085" w:type="dxa"/>
          </w:tcPr>
          <w:p w14:paraId="6115FFA0" w14:textId="77777777" w:rsidR="00041A40" w:rsidRPr="00184C42" w:rsidRDefault="00041A40" w:rsidP="00041A40">
            <w:pPr>
              <w:spacing w:after="0"/>
              <w:rPr>
                <w:rFonts w:cs="Arial"/>
                <w:sz w:val="20"/>
                <w:szCs w:val="20"/>
              </w:rPr>
            </w:pPr>
            <w:r w:rsidRPr="00184C42">
              <w:rPr>
                <w:rFonts w:cs="Arial"/>
                <w:sz w:val="20"/>
                <w:szCs w:val="20"/>
              </w:rPr>
              <w:t>Diagnosis, screening and risk stratification</w:t>
            </w:r>
          </w:p>
        </w:tc>
      </w:tr>
      <w:tr w:rsidR="00041A40" w:rsidRPr="00184C42" w14:paraId="0BDEB6B9" w14:textId="77777777" w:rsidTr="00184C42">
        <w:trPr>
          <w:trHeight w:val="477"/>
        </w:trPr>
        <w:tc>
          <w:tcPr>
            <w:tcW w:w="1345" w:type="dxa"/>
          </w:tcPr>
          <w:p w14:paraId="2CA28E66" w14:textId="77777777" w:rsidR="00041A40" w:rsidRPr="00184C42" w:rsidRDefault="00041A40" w:rsidP="00041A40">
            <w:pPr>
              <w:spacing w:after="0"/>
              <w:rPr>
                <w:rFonts w:cs="Arial"/>
                <w:sz w:val="20"/>
                <w:szCs w:val="20"/>
              </w:rPr>
            </w:pPr>
            <w:r w:rsidRPr="00184C42">
              <w:rPr>
                <w:rFonts w:cs="Arial"/>
                <w:sz w:val="20"/>
                <w:szCs w:val="20"/>
              </w:rPr>
              <w:t>Tang et al. (2024a)</w:t>
            </w:r>
          </w:p>
        </w:tc>
        <w:tc>
          <w:tcPr>
            <w:tcW w:w="1659" w:type="dxa"/>
          </w:tcPr>
          <w:p w14:paraId="733DB55F" w14:textId="77777777" w:rsidR="00041A40" w:rsidRPr="00184C42" w:rsidRDefault="00041A40" w:rsidP="00041A40">
            <w:pPr>
              <w:spacing w:after="0"/>
              <w:rPr>
                <w:rFonts w:cs="Arial"/>
                <w:sz w:val="20"/>
                <w:szCs w:val="20"/>
              </w:rPr>
            </w:pPr>
            <w:r w:rsidRPr="00184C42">
              <w:rPr>
                <w:rFonts w:cs="Arial"/>
                <w:sz w:val="20"/>
                <w:szCs w:val="20"/>
              </w:rPr>
              <w:t>UK Biobank; prospective matched cohort</w:t>
            </w:r>
          </w:p>
        </w:tc>
        <w:tc>
          <w:tcPr>
            <w:tcW w:w="1659" w:type="dxa"/>
          </w:tcPr>
          <w:p w14:paraId="2163E0F2" w14:textId="77777777" w:rsidR="00041A40" w:rsidRPr="00184C42" w:rsidRDefault="00041A40" w:rsidP="00041A40">
            <w:pPr>
              <w:spacing w:after="0"/>
              <w:rPr>
                <w:rFonts w:cs="Arial"/>
                <w:sz w:val="20"/>
                <w:szCs w:val="20"/>
              </w:rPr>
            </w:pPr>
            <w:r w:rsidRPr="00184C42">
              <w:rPr>
                <w:rFonts w:cs="Arial"/>
                <w:sz w:val="20"/>
                <w:szCs w:val="20"/>
              </w:rPr>
              <w:t>97,538 adults with obesity matched with 97,538 controls</w:t>
            </w:r>
          </w:p>
        </w:tc>
        <w:tc>
          <w:tcPr>
            <w:tcW w:w="2286" w:type="dxa"/>
          </w:tcPr>
          <w:p w14:paraId="0FB958E4" w14:textId="77777777" w:rsidR="00041A40" w:rsidRPr="00184C42" w:rsidRDefault="00041A40" w:rsidP="00041A40">
            <w:pPr>
              <w:spacing w:after="0"/>
              <w:rPr>
                <w:rFonts w:cs="Arial"/>
                <w:sz w:val="20"/>
                <w:szCs w:val="20"/>
              </w:rPr>
            </w:pPr>
            <w:r w:rsidRPr="00184C42">
              <w:rPr>
                <w:rFonts w:cs="Arial"/>
                <w:sz w:val="20"/>
                <w:szCs w:val="20"/>
              </w:rPr>
              <w:t>Blood pressure, glycaemia, LDL, albuminuria, smoking and physical activity linked to incident CKD</w:t>
            </w:r>
          </w:p>
        </w:tc>
        <w:tc>
          <w:tcPr>
            <w:tcW w:w="2331" w:type="dxa"/>
          </w:tcPr>
          <w:p w14:paraId="5493E66A" w14:textId="77777777" w:rsidR="00041A40" w:rsidRPr="00184C42" w:rsidRDefault="00041A40" w:rsidP="00041A40">
            <w:pPr>
              <w:spacing w:after="0"/>
              <w:rPr>
                <w:rFonts w:cs="Arial"/>
                <w:sz w:val="20"/>
                <w:szCs w:val="20"/>
              </w:rPr>
            </w:pPr>
            <w:r w:rsidRPr="00184C42">
              <w:rPr>
                <w:rFonts w:cs="Arial"/>
                <w:sz w:val="20"/>
                <w:szCs w:val="20"/>
              </w:rPr>
              <w:t>Better joint risk-factor control attenuated excess obesity-related CKD risk.</w:t>
            </w:r>
          </w:p>
        </w:tc>
        <w:tc>
          <w:tcPr>
            <w:tcW w:w="1883" w:type="dxa"/>
          </w:tcPr>
          <w:p w14:paraId="48FB4434" w14:textId="77777777" w:rsidR="00041A40" w:rsidRPr="00184C42" w:rsidRDefault="00041A40" w:rsidP="00041A40">
            <w:pPr>
              <w:spacing w:after="0"/>
              <w:rPr>
                <w:rFonts w:cs="Arial"/>
                <w:sz w:val="20"/>
                <w:szCs w:val="20"/>
              </w:rPr>
            </w:pPr>
            <w:r w:rsidRPr="00184C42">
              <w:rPr>
                <w:rFonts w:cs="Arial"/>
                <w:sz w:val="20"/>
                <w:szCs w:val="20"/>
              </w:rPr>
              <w:t>Observational measurements and residual confounding.</w:t>
            </w:r>
          </w:p>
        </w:tc>
        <w:tc>
          <w:tcPr>
            <w:tcW w:w="2085" w:type="dxa"/>
          </w:tcPr>
          <w:p w14:paraId="6A74549B" w14:textId="77777777" w:rsidR="00041A40" w:rsidRPr="00184C42" w:rsidRDefault="00041A40" w:rsidP="00041A40">
            <w:pPr>
              <w:spacing w:after="0"/>
              <w:rPr>
                <w:rFonts w:cs="Arial"/>
                <w:sz w:val="20"/>
                <w:szCs w:val="20"/>
              </w:rPr>
            </w:pPr>
            <w:r w:rsidRPr="00184C42">
              <w:rPr>
                <w:rFonts w:cs="Arial"/>
                <w:sz w:val="20"/>
                <w:szCs w:val="20"/>
              </w:rPr>
              <w:t>Clinical and metabolic risk</w:t>
            </w:r>
          </w:p>
        </w:tc>
      </w:tr>
      <w:tr w:rsidR="00041A40" w:rsidRPr="00184C42" w14:paraId="49AEF3C4" w14:textId="77777777" w:rsidTr="00184C42">
        <w:trPr>
          <w:trHeight w:val="492"/>
        </w:trPr>
        <w:tc>
          <w:tcPr>
            <w:tcW w:w="1345" w:type="dxa"/>
          </w:tcPr>
          <w:p w14:paraId="7A1486B5" w14:textId="77777777" w:rsidR="00041A40" w:rsidRPr="00184C42" w:rsidRDefault="00041A40" w:rsidP="00041A40">
            <w:pPr>
              <w:spacing w:after="0"/>
              <w:rPr>
                <w:rFonts w:cs="Arial"/>
                <w:sz w:val="20"/>
                <w:szCs w:val="20"/>
              </w:rPr>
            </w:pPr>
            <w:r w:rsidRPr="00184C42">
              <w:rPr>
                <w:rFonts w:cs="Arial"/>
                <w:sz w:val="20"/>
                <w:szCs w:val="20"/>
              </w:rPr>
              <w:t>Wang et al. (2022)</w:t>
            </w:r>
          </w:p>
        </w:tc>
        <w:tc>
          <w:tcPr>
            <w:tcW w:w="1659" w:type="dxa"/>
          </w:tcPr>
          <w:p w14:paraId="0080D41B" w14:textId="77777777" w:rsidR="00041A40" w:rsidRPr="00184C42" w:rsidRDefault="00041A40" w:rsidP="00041A40">
            <w:pPr>
              <w:spacing w:after="0"/>
              <w:rPr>
                <w:rFonts w:cs="Arial"/>
                <w:sz w:val="20"/>
                <w:szCs w:val="20"/>
              </w:rPr>
            </w:pPr>
            <w:r w:rsidRPr="00184C42">
              <w:rPr>
                <w:rFonts w:cs="Arial"/>
                <w:sz w:val="20"/>
                <w:szCs w:val="20"/>
              </w:rPr>
              <w:t>UK Biobank; prospective cohort</w:t>
            </w:r>
          </w:p>
        </w:tc>
        <w:tc>
          <w:tcPr>
            <w:tcW w:w="1659" w:type="dxa"/>
          </w:tcPr>
          <w:p w14:paraId="6955B725" w14:textId="77777777" w:rsidR="00041A40" w:rsidRPr="00184C42" w:rsidRDefault="00041A40" w:rsidP="00041A40">
            <w:pPr>
              <w:spacing w:after="0"/>
              <w:rPr>
                <w:rFonts w:cs="Arial"/>
                <w:sz w:val="20"/>
                <w:szCs w:val="20"/>
              </w:rPr>
            </w:pPr>
            <w:r w:rsidRPr="00184C42">
              <w:rPr>
                <w:rFonts w:cs="Arial"/>
                <w:sz w:val="20"/>
                <w:szCs w:val="20"/>
              </w:rPr>
              <w:t>458,968 participants</w:t>
            </w:r>
          </w:p>
        </w:tc>
        <w:tc>
          <w:tcPr>
            <w:tcW w:w="2286" w:type="dxa"/>
          </w:tcPr>
          <w:p w14:paraId="185FEE25" w14:textId="77777777" w:rsidR="00041A40" w:rsidRPr="00184C42" w:rsidRDefault="00041A40" w:rsidP="00041A40">
            <w:pPr>
              <w:spacing w:after="0"/>
              <w:rPr>
                <w:rFonts w:cs="Arial"/>
                <w:sz w:val="20"/>
                <w:szCs w:val="20"/>
              </w:rPr>
            </w:pPr>
            <w:r w:rsidRPr="00184C42">
              <w:rPr>
                <w:rFonts w:cs="Arial"/>
                <w:sz w:val="20"/>
                <w:szCs w:val="20"/>
              </w:rPr>
              <w:t>Modelled PM2.5, PM10, NO2 and NOx exposure, genetic risk and incident CKD</w:t>
            </w:r>
          </w:p>
        </w:tc>
        <w:tc>
          <w:tcPr>
            <w:tcW w:w="2331" w:type="dxa"/>
          </w:tcPr>
          <w:p w14:paraId="333FCF5E" w14:textId="77777777" w:rsidR="00041A40" w:rsidRPr="00184C42" w:rsidRDefault="00041A40" w:rsidP="00041A40">
            <w:pPr>
              <w:spacing w:after="0"/>
              <w:rPr>
                <w:rFonts w:cs="Arial"/>
                <w:sz w:val="20"/>
                <w:szCs w:val="20"/>
              </w:rPr>
            </w:pPr>
            <w:r w:rsidRPr="00184C42">
              <w:rPr>
                <w:rFonts w:cs="Arial"/>
                <w:sz w:val="20"/>
                <w:szCs w:val="20"/>
              </w:rPr>
              <w:t>Higher air-pollution exposure was associated with increased incident CKD risk.</w:t>
            </w:r>
          </w:p>
        </w:tc>
        <w:tc>
          <w:tcPr>
            <w:tcW w:w="1883" w:type="dxa"/>
          </w:tcPr>
          <w:p w14:paraId="32031F64" w14:textId="77777777" w:rsidR="00041A40" w:rsidRPr="00184C42" w:rsidRDefault="00041A40" w:rsidP="00041A40">
            <w:pPr>
              <w:spacing w:after="0"/>
              <w:rPr>
                <w:rFonts w:cs="Arial"/>
                <w:sz w:val="20"/>
                <w:szCs w:val="20"/>
              </w:rPr>
            </w:pPr>
            <w:r w:rsidRPr="00184C42">
              <w:rPr>
                <w:rFonts w:cs="Arial"/>
                <w:sz w:val="20"/>
                <w:szCs w:val="20"/>
              </w:rPr>
              <w:t>Modelled exposure; residential mobility and observational causality limitations.</w:t>
            </w:r>
          </w:p>
        </w:tc>
        <w:tc>
          <w:tcPr>
            <w:tcW w:w="2085" w:type="dxa"/>
          </w:tcPr>
          <w:p w14:paraId="3CD81BCA" w14:textId="77777777" w:rsidR="00041A40" w:rsidRPr="00184C42" w:rsidRDefault="00041A40" w:rsidP="00041A40">
            <w:pPr>
              <w:spacing w:after="0"/>
              <w:rPr>
                <w:rFonts w:cs="Arial"/>
                <w:sz w:val="20"/>
                <w:szCs w:val="20"/>
              </w:rPr>
            </w:pPr>
            <w:r w:rsidRPr="00184C42">
              <w:rPr>
                <w:rFonts w:cs="Arial"/>
                <w:sz w:val="20"/>
                <w:szCs w:val="20"/>
              </w:rPr>
              <w:t>Environmental and emerging risk</w:t>
            </w:r>
          </w:p>
        </w:tc>
      </w:tr>
      <w:tr w:rsidR="00041A40" w:rsidRPr="00184C42" w14:paraId="21BA1B50" w14:textId="77777777" w:rsidTr="00184C42">
        <w:trPr>
          <w:trHeight w:val="313"/>
        </w:trPr>
        <w:tc>
          <w:tcPr>
            <w:tcW w:w="1345" w:type="dxa"/>
          </w:tcPr>
          <w:p w14:paraId="57CA88CF" w14:textId="77777777" w:rsidR="00041A40" w:rsidRPr="00184C42" w:rsidRDefault="00041A40" w:rsidP="00041A40">
            <w:pPr>
              <w:spacing w:after="0"/>
              <w:rPr>
                <w:rFonts w:cs="Arial"/>
                <w:sz w:val="20"/>
                <w:szCs w:val="20"/>
              </w:rPr>
            </w:pPr>
            <w:r w:rsidRPr="00184C42">
              <w:rPr>
                <w:rFonts w:cs="Arial"/>
                <w:sz w:val="20"/>
                <w:szCs w:val="20"/>
              </w:rPr>
              <w:t>Zhang et al. (2023)</w:t>
            </w:r>
          </w:p>
        </w:tc>
        <w:tc>
          <w:tcPr>
            <w:tcW w:w="1659" w:type="dxa"/>
          </w:tcPr>
          <w:p w14:paraId="0FEF488A" w14:textId="77777777" w:rsidR="00041A40" w:rsidRPr="00184C42" w:rsidRDefault="00041A40" w:rsidP="00041A40">
            <w:pPr>
              <w:spacing w:after="0"/>
              <w:rPr>
                <w:rFonts w:cs="Arial"/>
                <w:sz w:val="20"/>
                <w:szCs w:val="20"/>
              </w:rPr>
            </w:pPr>
            <w:r w:rsidRPr="00184C42">
              <w:rPr>
                <w:rFonts w:cs="Arial"/>
                <w:sz w:val="20"/>
                <w:szCs w:val="20"/>
              </w:rPr>
              <w:t>UK Biobank; prospective cohort</w:t>
            </w:r>
          </w:p>
        </w:tc>
        <w:tc>
          <w:tcPr>
            <w:tcW w:w="1659" w:type="dxa"/>
          </w:tcPr>
          <w:p w14:paraId="69BE99B7" w14:textId="77777777" w:rsidR="00041A40" w:rsidRPr="00184C42" w:rsidRDefault="00041A40" w:rsidP="00041A40">
            <w:pPr>
              <w:spacing w:after="0"/>
              <w:rPr>
                <w:rFonts w:cs="Arial"/>
                <w:sz w:val="20"/>
                <w:szCs w:val="20"/>
              </w:rPr>
            </w:pPr>
            <w:r w:rsidRPr="00184C42">
              <w:rPr>
                <w:rFonts w:cs="Arial"/>
                <w:sz w:val="20"/>
                <w:szCs w:val="20"/>
              </w:rPr>
              <w:t>448,444 CKD-free participants plus accelerometer subgroup</w:t>
            </w:r>
          </w:p>
        </w:tc>
        <w:tc>
          <w:tcPr>
            <w:tcW w:w="2286" w:type="dxa"/>
          </w:tcPr>
          <w:p w14:paraId="501BFB8A" w14:textId="77777777" w:rsidR="00041A40" w:rsidRPr="00184C42" w:rsidRDefault="00041A40" w:rsidP="00041A40">
            <w:pPr>
              <w:spacing w:after="0"/>
              <w:rPr>
                <w:rFonts w:cs="Arial"/>
                <w:sz w:val="20"/>
                <w:szCs w:val="20"/>
              </w:rPr>
            </w:pPr>
            <w:r w:rsidRPr="00184C42">
              <w:rPr>
                <w:rFonts w:cs="Arial"/>
                <w:sz w:val="20"/>
                <w:szCs w:val="20"/>
              </w:rPr>
              <w:t>Questionnaire activity, wrist accelerometry, genetic risk and incident CKD</w:t>
            </w:r>
          </w:p>
        </w:tc>
        <w:tc>
          <w:tcPr>
            <w:tcW w:w="2331" w:type="dxa"/>
          </w:tcPr>
          <w:p w14:paraId="5C8DB2D9" w14:textId="77777777" w:rsidR="00041A40" w:rsidRPr="00184C42" w:rsidRDefault="00041A40" w:rsidP="00041A40">
            <w:pPr>
              <w:spacing w:after="0"/>
              <w:rPr>
                <w:rFonts w:cs="Arial"/>
                <w:sz w:val="20"/>
                <w:szCs w:val="20"/>
              </w:rPr>
            </w:pPr>
            <w:r w:rsidRPr="00184C42">
              <w:rPr>
                <w:rFonts w:cs="Arial"/>
                <w:sz w:val="20"/>
                <w:szCs w:val="20"/>
              </w:rPr>
              <w:t>Higher physical activity was associated with lower CKD incidence across both measures.</w:t>
            </w:r>
          </w:p>
        </w:tc>
        <w:tc>
          <w:tcPr>
            <w:tcW w:w="1883" w:type="dxa"/>
          </w:tcPr>
          <w:p w14:paraId="4313273E" w14:textId="77777777" w:rsidR="00041A40" w:rsidRPr="00184C42" w:rsidRDefault="00041A40" w:rsidP="00041A40">
            <w:pPr>
              <w:spacing w:after="0"/>
              <w:rPr>
                <w:rFonts w:cs="Arial"/>
                <w:sz w:val="20"/>
                <w:szCs w:val="20"/>
              </w:rPr>
            </w:pPr>
            <w:r w:rsidRPr="00184C42">
              <w:rPr>
                <w:rFonts w:cs="Arial"/>
                <w:sz w:val="20"/>
                <w:szCs w:val="20"/>
              </w:rPr>
              <w:t>Accelerometer subgroup and healthy-volunteer selection.</w:t>
            </w:r>
          </w:p>
        </w:tc>
        <w:tc>
          <w:tcPr>
            <w:tcW w:w="2085" w:type="dxa"/>
          </w:tcPr>
          <w:p w14:paraId="50D54B64" w14:textId="77777777" w:rsidR="00041A40" w:rsidRPr="00184C42" w:rsidRDefault="00041A40" w:rsidP="00041A40">
            <w:pPr>
              <w:spacing w:after="0"/>
              <w:rPr>
                <w:rFonts w:cs="Arial"/>
                <w:sz w:val="20"/>
                <w:szCs w:val="20"/>
              </w:rPr>
            </w:pPr>
            <w:r w:rsidRPr="00184C42">
              <w:rPr>
                <w:rFonts w:cs="Arial"/>
                <w:sz w:val="20"/>
                <w:szCs w:val="20"/>
              </w:rPr>
              <w:t>Lifestyle and physical-activity risk</w:t>
            </w:r>
          </w:p>
        </w:tc>
      </w:tr>
    </w:tbl>
    <w:p w14:paraId="7BB699AF" w14:textId="77777777" w:rsidR="00041A40" w:rsidRPr="00041A40" w:rsidRDefault="00041A40" w:rsidP="00041A40">
      <w:pPr>
        <w:spacing w:after="20"/>
        <w:rPr>
          <w:rFonts w:cs="Arial"/>
        </w:rPr>
      </w:pPr>
    </w:p>
    <w:p w14:paraId="2732D5AC" w14:textId="77777777" w:rsidR="00041A40" w:rsidRPr="00041A40" w:rsidRDefault="00041A40" w:rsidP="00041A40">
      <w:pPr>
        <w:keepNext/>
        <w:keepLines/>
        <w:spacing w:before="200" w:after="0"/>
        <w:outlineLvl w:val="1"/>
        <w:rPr>
          <w:rFonts w:eastAsiaTheme="majorEastAsia" w:cs="Arial"/>
          <w:b/>
          <w:bCs/>
          <w:color w:val="000000" w:themeColor="text1"/>
          <w:sz w:val="28"/>
          <w:szCs w:val="28"/>
        </w:rPr>
      </w:pPr>
      <w:bookmarkStart w:id="170" w:name="_Toc241090928"/>
      <w:r w:rsidRPr="00041A40">
        <w:rPr>
          <w:rFonts w:eastAsiaTheme="majorEastAsia" w:cs="Arial"/>
          <w:b/>
          <w:bCs/>
          <w:color w:val="000000" w:themeColor="text1"/>
          <w:sz w:val="28"/>
          <w:szCs w:val="28"/>
        </w:rPr>
        <w:t>Appendix 5 – Thematic Analysis Audit Trail</w:t>
      </w:r>
      <w:bookmarkEnd w:id="170"/>
    </w:p>
    <w:p w14:paraId="643BEE24" w14:textId="77777777" w:rsidR="00041A40" w:rsidRPr="00041A40" w:rsidRDefault="00041A40" w:rsidP="00041A40">
      <w:pPr>
        <w:keepNext/>
        <w:spacing w:before="60" w:after="60"/>
        <w:rPr>
          <w:rFonts w:cs="Arial"/>
          <w:sz w:val="32"/>
          <w:szCs w:val="32"/>
        </w:rPr>
      </w:pPr>
      <w:r w:rsidRPr="00041A40">
        <w:rPr>
          <w:rFonts w:cs="Arial"/>
          <w:b/>
          <w:sz w:val="24"/>
          <w:szCs w:val="32"/>
        </w:rPr>
        <w:t>Table E1. Development from initial codes to final themes</w:t>
      </w:r>
    </w:p>
    <w:tbl>
      <w:tblPr>
        <w:tblStyle w:val="TableGrid"/>
        <w:tblW w:w="13216" w:type="dxa"/>
        <w:tblLayout w:type="fixed"/>
        <w:tblLook w:val="04A0" w:firstRow="1" w:lastRow="0" w:firstColumn="1" w:lastColumn="0" w:noHBand="0" w:noVBand="1"/>
      </w:tblPr>
      <w:tblGrid>
        <w:gridCol w:w="4487"/>
        <w:gridCol w:w="3901"/>
        <w:gridCol w:w="4828"/>
      </w:tblGrid>
      <w:tr w:rsidR="00041A40" w:rsidRPr="00184C42" w14:paraId="14E26A00" w14:textId="77777777" w:rsidTr="00CC7310">
        <w:trPr>
          <w:trHeight w:val="317"/>
        </w:trPr>
        <w:tc>
          <w:tcPr>
            <w:tcW w:w="4487" w:type="dxa"/>
          </w:tcPr>
          <w:p w14:paraId="6A2BBFEE" w14:textId="77777777" w:rsidR="00041A40" w:rsidRPr="00184C42" w:rsidRDefault="00041A40" w:rsidP="00041A40">
            <w:pPr>
              <w:spacing w:after="0"/>
              <w:jc w:val="center"/>
              <w:rPr>
                <w:rFonts w:cs="Arial"/>
                <w:sz w:val="20"/>
                <w:szCs w:val="28"/>
              </w:rPr>
            </w:pPr>
            <w:r w:rsidRPr="00184C42">
              <w:rPr>
                <w:rFonts w:cs="Arial"/>
                <w:b/>
                <w:sz w:val="20"/>
                <w:szCs w:val="28"/>
              </w:rPr>
              <w:t>Initial findings / codes</w:t>
            </w:r>
          </w:p>
        </w:tc>
        <w:tc>
          <w:tcPr>
            <w:tcW w:w="3901" w:type="dxa"/>
          </w:tcPr>
          <w:p w14:paraId="2B6EFA09" w14:textId="77777777" w:rsidR="00041A40" w:rsidRPr="00184C42" w:rsidRDefault="00041A40" w:rsidP="00041A40">
            <w:pPr>
              <w:spacing w:after="0"/>
              <w:jc w:val="center"/>
              <w:rPr>
                <w:rFonts w:cs="Arial"/>
                <w:sz w:val="20"/>
                <w:szCs w:val="28"/>
              </w:rPr>
            </w:pPr>
            <w:r w:rsidRPr="00184C42">
              <w:rPr>
                <w:rFonts w:cs="Arial"/>
                <w:b/>
                <w:sz w:val="20"/>
                <w:szCs w:val="28"/>
              </w:rPr>
              <w:t>Analytic category</w:t>
            </w:r>
          </w:p>
        </w:tc>
        <w:tc>
          <w:tcPr>
            <w:tcW w:w="4828" w:type="dxa"/>
          </w:tcPr>
          <w:p w14:paraId="5B7AE650" w14:textId="77777777" w:rsidR="00041A40" w:rsidRPr="00184C42" w:rsidRDefault="00041A40" w:rsidP="00041A40">
            <w:pPr>
              <w:spacing w:after="0"/>
              <w:jc w:val="center"/>
              <w:rPr>
                <w:rFonts w:cs="Arial"/>
                <w:sz w:val="20"/>
                <w:szCs w:val="28"/>
              </w:rPr>
            </w:pPr>
            <w:r w:rsidRPr="00184C42">
              <w:rPr>
                <w:rFonts w:cs="Arial"/>
                <w:b/>
                <w:sz w:val="20"/>
                <w:szCs w:val="28"/>
              </w:rPr>
              <w:t>Final theme</w:t>
            </w:r>
          </w:p>
        </w:tc>
      </w:tr>
      <w:tr w:rsidR="00041A40" w:rsidRPr="00184C42" w14:paraId="3EDAD561" w14:textId="77777777" w:rsidTr="00CC7310">
        <w:trPr>
          <w:trHeight w:val="293"/>
        </w:trPr>
        <w:tc>
          <w:tcPr>
            <w:tcW w:w="4487" w:type="dxa"/>
          </w:tcPr>
          <w:p w14:paraId="4D093ACC" w14:textId="77777777" w:rsidR="00041A40" w:rsidRPr="00184C42" w:rsidRDefault="00041A40" w:rsidP="00041A40">
            <w:pPr>
              <w:spacing w:after="0"/>
              <w:rPr>
                <w:rFonts w:cs="Arial"/>
                <w:sz w:val="20"/>
                <w:szCs w:val="28"/>
              </w:rPr>
            </w:pPr>
            <w:r w:rsidRPr="00184C42">
              <w:rPr>
                <w:rFonts w:cs="Arial"/>
                <w:sz w:val="20"/>
                <w:szCs w:val="28"/>
              </w:rPr>
              <w:t>CKD progression; eGFR decline; albuminuria; KFRE; referral thresholds</w:t>
            </w:r>
          </w:p>
        </w:tc>
        <w:tc>
          <w:tcPr>
            <w:tcW w:w="3901" w:type="dxa"/>
          </w:tcPr>
          <w:p w14:paraId="762171CF" w14:textId="77777777" w:rsidR="00041A40" w:rsidRPr="00184C42" w:rsidRDefault="00041A40" w:rsidP="00041A40">
            <w:pPr>
              <w:spacing w:after="0"/>
              <w:rPr>
                <w:rFonts w:cs="Arial"/>
                <w:sz w:val="20"/>
                <w:szCs w:val="28"/>
              </w:rPr>
            </w:pPr>
            <w:r w:rsidRPr="00184C42">
              <w:rPr>
                <w:rFonts w:cs="Arial"/>
                <w:sz w:val="20"/>
                <w:szCs w:val="28"/>
              </w:rPr>
              <w:t>Burden expressed through progression, surveillance and risk</w:t>
            </w:r>
          </w:p>
        </w:tc>
        <w:tc>
          <w:tcPr>
            <w:tcW w:w="4828" w:type="dxa"/>
          </w:tcPr>
          <w:p w14:paraId="7C17F9E6" w14:textId="77777777" w:rsidR="00041A40" w:rsidRPr="00184C42" w:rsidRDefault="00041A40" w:rsidP="00041A40">
            <w:pPr>
              <w:spacing w:after="0"/>
              <w:rPr>
                <w:rFonts w:cs="Arial"/>
                <w:sz w:val="20"/>
                <w:szCs w:val="28"/>
              </w:rPr>
            </w:pPr>
            <w:r w:rsidRPr="00184C42">
              <w:rPr>
                <w:rFonts w:cs="Arial"/>
                <w:sz w:val="20"/>
                <w:szCs w:val="28"/>
              </w:rPr>
              <w:t>1. Epidemiology, prevalence and burden of CKD</w:t>
            </w:r>
          </w:p>
        </w:tc>
      </w:tr>
      <w:tr w:rsidR="00041A40" w:rsidRPr="00184C42" w14:paraId="1EDD3BE7" w14:textId="77777777" w:rsidTr="00CC7310">
        <w:trPr>
          <w:trHeight w:val="637"/>
        </w:trPr>
        <w:tc>
          <w:tcPr>
            <w:tcW w:w="4487" w:type="dxa"/>
          </w:tcPr>
          <w:p w14:paraId="6C38C892" w14:textId="77777777" w:rsidR="00041A40" w:rsidRPr="00184C42" w:rsidRDefault="00041A40" w:rsidP="00041A40">
            <w:pPr>
              <w:spacing w:after="0"/>
              <w:rPr>
                <w:rFonts w:cs="Arial"/>
                <w:sz w:val="20"/>
                <w:szCs w:val="28"/>
              </w:rPr>
            </w:pPr>
            <w:r w:rsidRPr="00184C42">
              <w:rPr>
                <w:rFonts w:cs="Arial"/>
                <w:sz w:val="20"/>
                <w:szCs w:val="28"/>
              </w:rPr>
              <w:t>Obesity; glycaemia; blood pressure; LDL cholesterol; albuminuria; multimorbidity</w:t>
            </w:r>
          </w:p>
        </w:tc>
        <w:tc>
          <w:tcPr>
            <w:tcW w:w="3901" w:type="dxa"/>
          </w:tcPr>
          <w:p w14:paraId="59737D2D" w14:textId="77777777" w:rsidR="00041A40" w:rsidRPr="00184C42" w:rsidRDefault="00041A40" w:rsidP="00041A40">
            <w:pPr>
              <w:spacing w:after="0"/>
              <w:rPr>
                <w:rFonts w:cs="Arial"/>
                <w:sz w:val="20"/>
                <w:szCs w:val="28"/>
              </w:rPr>
            </w:pPr>
            <w:r w:rsidRPr="00184C42">
              <w:rPr>
                <w:rFonts w:cs="Arial"/>
                <w:sz w:val="20"/>
                <w:szCs w:val="28"/>
              </w:rPr>
              <w:t>Interconnected cardiometabolic vulnerability</w:t>
            </w:r>
          </w:p>
        </w:tc>
        <w:tc>
          <w:tcPr>
            <w:tcW w:w="4828" w:type="dxa"/>
          </w:tcPr>
          <w:p w14:paraId="3E96162B" w14:textId="77777777" w:rsidR="00041A40" w:rsidRPr="00184C42" w:rsidRDefault="00041A40" w:rsidP="00041A40">
            <w:pPr>
              <w:spacing w:after="0"/>
              <w:rPr>
                <w:rFonts w:cs="Arial"/>
                <w:sz w:val="20"/>
                <w:szCs w:val="28"/>
              </w:rPr>
            </w:pPr>
            <w:r w:rsidRPr="00184C42">
              <w:rPr>
                <w:rFonts w:cs="Arial"/>
                <w:sz w:val="20"/>
                <w:szCs w:val="28"/>
              </w:rPr>
              <w:t>2. Clinical and metabolic risk factors</w:t>
            </w:r>
          </w:p>
        </w:tc>
      </w:tr>
      <w:tr w:rsidR="00041A40" w:rsidRPr="00184C42" w14:paraId="25937C3F" w14:textId="77777777" w:rsidTr="00CC7310">
        <w:trPr>
          <w:trHeight w:val="637"/>
        </w:trPr>
        <w:tc>
          <w:tcPr>
            <w:tcW w:w="4487" w:type="dxa"/>
          </w:tcPr>
          <w:p w14:paraId="284FBCF3" w14:textId="77777777" w:rsidR="00041A40" w:rsidRPr="00184C42" w:rsidRDefault="00041A40" w:rsidP="00041A40">
            <w:pPr>
              <w:spacing w:after="0"/>
              <w:rPr>
                <w:rFonts w:cs="Arial"/>
                <w:sz w:val="20"/>
                <w:szCs w:val="28"/>
              </w:rPr>
            </w:pPr>
            <w:r w:rsidRPr="00184C42">
              <w:rPr>
                <w:rFonts w:cs="Arial"/>
                <w:sz w:val="20"/>
                <w:szCs w:val="28"/>
              </w:rPr>
              <w:t>Diet; fibre; physical activity; secondhand smoke; psychiatric disorders; air pollution; genetic susceptibility</w:t>
            </w:r>
          </w:p>
        </w:tc>
        <w:tc>
          <w:tcPr>
            <w:tcW w:w="3901" w:type="dxa"/>
          </w:tcPr>
          <w:p w14:paraId="16107A51" w14:textId="77777777" w:rsidR="00041A40" w:rsidRPr="00184C42" w:rsidRDefault="00041A40" w:rsidP="00041A40">
            <w:pPr>
              <w:spacing w:after="0"/>
              <w:rPr>
                <w:rFonts w:cs="Arial"/>
                <w:sz w:val="20"/>
                <w:szCs w:val="28"/>
              </w:rPr>
            </w:pPr>
            <w:r w:rsidRPr="00184C42">
              <w:rPr>
                <w:rFonts w:cs="Arial"/>
                <w:sz w:val="20"/>
                <w:szCs w:val="28"/>
              </w:rPr>
              <w:t>Behavioural, psychosocial and environmental exposures</w:t>
            </w:r>
          </w:p>
        </w:tc>
        <w:tc>
          <w:tcPr>
            <w:tcW w:w="4828" w:type="dxa"/>
          </w:tcPr>
          <w:p w14:paraId="11312635" w14:textId="77777777" w:rsidR="00041A40" w:rsidRPr="00184C42" w:rsidRDefault="00041A40" w:rsidP="00041A40">
            <w:pPr>
              <w:spacing w:after="0"/>
              <w:rPr>
                <w:rFonts w:cs="Arial"/>
                <w:sz w:val="20"/>
                <w:szCs w:val="28"/>
              </w:rPr>
            </w:pPr>
            <w:r w:rsidRPr="00184C42">
              <w:rPr>
                <w:rFonts w:cs="Arial"/>
                <w:sz w:val="20"/>
                <w:szCs w:val="28"/>
              </w:rPr>
              <w:t>3. Lifestyle, social and emerging risk factors</w:t>
            </w:r>
          </w:p>
        </w:tc>
      </w:tr>
      <w:tr w:rsidR="00041A40" w:rsidRPr="00184C42" w14:paraId="27890E3B" w14:textId="77777777" w:rsidTr="00CC7310">
        <w:trPr>
          <w:trHeight w:val="611"/>
        </w:trPr>
        <w:tc>
          <w:tcPr>
            <w:tcW w:w="4487" w:type="dxa"/>
          </w:tcPr>
          <w:p w14:paraId="2612512F" w14:textId="77777777" w:rsidR="00041A40" w:rsidRPr="00184C42" w:rsidRDefault="00041A40" w:rsidP="00041A40">
            <w:pPr>
              <w:spacing w:after="0"/>
              <w:rPr>
                <w:rFonts w:cs="Arial"/>
                <w:sz w:val="20"/>
                <w:szCs w:val="28"/>
              </w:rPr>
            </w:pPr>
            <w:r w:rsidRPr="00184C42">
              <w:rPr>
                <w:rFonts w:cs="Arial"/>
                <w:sz w:val="20"/>
                <w:szCs w:val="28"/>
              </w:rPr>
              <w:t>Testing; CKD coding; eGFR; uACR; KFRE; recognition; treatment eligibility; referral</w:t>
            </w:r>
          </w:p>
        </w:tc>
        <w:tc>
          <w:tcPr>
            <w:tcW w:w="3901" w:type="dxa"/>
          </w:tcPr>
          <w:p w14:paraId="27C138D0" w14:textId="77777777" w:rsidR="00041A40" w:rsidRPr="00184C42" w:rsidRDefault="00041A40" w:rsidP="00041A40">
            <w:pPr>
              <w:spacing w:after="0"/>
              <w:rPr>
                <w:rFonts w:cs="Arial"/>
                <w:sz w:val="20"/>
                <w:szCs w:val="28"/>
              </w:rPr>
            </w:pPr>
            <w:r w:rsidRPr="00184C42">
              <w:rPr>
                <w:rFonts w:cs="Arial"/>
                <w:sz w:val="20"/>
                <w:szCs w:val="28"/>
              </w:rPr>
              <w:t>Identification and clinical prioritisation</w:t>
            </w:r>
          </w:p>
        </w:tc>
        <w:tc>
          <w:tcPr>
            <w:tcW w:w="4828" w:type="dxa"/>
          </w:tcPr>
          <w:p w14:paraId="3AAD5B01" w14:textId="77777777" w:rsidR="00041A40" w:rsidRPr="00184C42" w:rsidRDefault="00041A40" w:rsidP="00041A40">
            <w:pPr>
              <w:spacing w:after="0"/>
              <w:rPr>
                <w:rFonts w:cs="Arial"/>
                <w:sz w:val="20"/>
                <w:szCs w:val="28"/>
              </w:rPr>
            </w:pPr>
            <w:r w:rsidRPr="00184C42">
              <w:rPr>
                <w:rFonts w:cs="Arial"/>
                <w:sz w:val="20"/>
                <w:szCs w:val="28"/>
              </w:rPr>
              <w:t>4. Diagnosis, screening and risk stratification</w:t>
            </w:r>
          </w:p>
        </w:tc>
      </w:tr>
      <w:tr w:rsidR="00041A40" w:rsidRPr="00184C42" w14:paraId="16ACB45B" w14:textId="77777777" w:rsidTr="00CC7310">
        <w:trPr>
          <w:trHeight w:val="317"/>
        </w:trPr>
        <w:tc>
          <w:tcPr>
            <w:tcW w:w="4487" w:type="dxa"/>
          </w:tcPr>
          <w:p w14:paraId="4FF3B13E" w14:textId="77777777" w:rsidR="00041A40" w:rsidRPr="00184C42" w:rsidRDefault="00041A40" w:rsidP="00041A40">
            <w:pPr>
              <w:spacing w:after="0"/>
              <w:rPr>
                <w:rFonts w:cs="Arial"/>
                <w:sz w:val="20"/>
                <w:szCs w:val="28"/>
              </w:rPr>
            </w:pPr>
            <w:r w:rsidRPr="00184C42">
              <w:rPr>
                <w:rFonts w:cs="Arial"/>
                <w:sz w:val="20"/>
                <w:szCs w:val="28"/>
              </w:rPr>
              <w:t>SGLT2 eligibility; prescribing gap; medicines review; medicines optimisation</w:t>
            </w:r>
          </w:p>
        </w:tc>
        <w:tc>
          <w:tcPr>
            <w:tcW w:w="3901" w:type="dxa"/>
          </w:tcPr>
          <w:p w14:paraId="52E3801F" w14:textId="77777777" w:rsidR="00041A40" w:rsidRPr="00184C42" w:rsidRDefault="00041A40" w:rsidP="00041A40">
            <w:pPr>
              <w:spacing w:after="0"/>
              <w:rPr>
                <w:rFonts w:cs="Arial"/>
                <w:sz w:val="20"/>
                <w:szCs w:val="28"/>
              </w:rPr>
            </w:pPr>
            <w:r w:rsidRPr="00184C42">
              <w:rPr>
                <w:rFonts w:cs="Arial"/>
                <w:sz w:val="20"/>
                <w:szCs w:val="28"/>
              </w:rPr>
              <w:t>Implementation of kidney-protective treatment</w:t>
            </w:r>
          </w:p>
        </w:tc>
        <w:tc>
          <w:tcPr>
            <w:tcW w:w="4828" w:type="dxa"/>
          </w:tcPr>
          <w:p w14:paraId="7CB714FA" w14:textId="77777777" w:rsidR="00041A40" w:rsidRPr="00184C42" w:rsidRDefault="00041A40" w:rsidP="00041A40">
            <w:pPr>
              <w:spacing w:after="0"/>
              <w:rPr>
                <w:rFonts w:cs="Arial"/>
                <w:sz w:val="20"/>
                <w:szCs w:val="28"/>
              </w:rPr>
            </w:pPr>
            <w:r w:rsidRPr="00184C42">
              <w:rPr>
                <w:rFonts w:cs="Arial"/>
                <w:sz w:val="20"/>
                <w:szCs w:val="28"/>
              </w:rPr>
              <w:t>5. Pharmacological management strategies</w:t>
            </w:r>
          </w:p>
        </w:tc>
      </w:tr>
      <w:tr w:rsidR="00041A40" w:rsidRPr="00184C42" w14:paraId="4F0BE8FA" w14:textId="77777777" w:rsidTr="00CC7310">
        <w:trPr>
          <w:trHeight w:val="637"/>
        </w:trPr>
        <w:tc>
          <w:tcPr>
            <w:tcW w:w="4487" w:type="dxa"/>
          </w:tcPr>
          <w:p w14:paraId="7A8FD282" w14:textId="77777777" w:rsidR="00041A40" w:rsidRPr="00184C42" w:rsidRDefault="00041A40" w:rsidP="00041A40">
            <w:pPr>
              <w:spacing w:after="0"/>
              <w:rPr>
                <w:rFonts w:cs="Arial"/>
                <w:sz w:val="20"/>
                <w:szCs w:val="28"/>
              </w:rPr>
            </w:pPr>
            <w:r w:rsidRPr="00184C42">
              <w:rPr>
                <w:rFonts w:cs="Arial"/>
                <w:sz w:val="20"/>
                <w:szCs w:val="28"/>
              </w:rPr>
              <w:t>Digital exercise; health literacy; confidence; symptoms; competing priorities; professional support</w:t>
            </w:r>
          </w:p>
        </w:tc>
        <w:tc>
          <w:tcPr>
            <w:tcW w:w="3901" w:type="dxa"/>
          </w:tcPr>
          <w:p w14:paraId="7A8BC20E" w14:textId="77777777" w:rsidR="00041A40" w:rsidRPr="00184C42" w:rsidRDefault="00041A40" w:rsidP="00041A40">
            <w:pPr>
              <w:spacing w:after="0"/>
              <w:rPr>
                <w:rFonts w:cs="Arial"/>
                <w:sz w:val="20"/>
                <w:szCs w:val="28"/>
              </w:rPr>
            </w:pPr>
            <w:r w:rsidRPr="00184C42">
              <w:rPr>
                <w:rFonts w:cs="Arial"/>
                <w:sz w:val="20"/>
                <w:szCs w:val="28"/>
              </w:rPr>
              <w:t>Capability and support for self-management</w:t>
            </w:r>
          </w:p>
        </w:tc>
        <w:tc>
          <w:tcPr>
            <w:tcW w:w="4828" w:type="dxa"/>
          </w:tcPr>
          <w:p w14:paraId="5EA0849A" w14:textId="77777777" w:rsidR="00041A40" w:rsidRPr="00184C42" w:rsidRDefault="00041A40" w:rsidP="00041A40">
            <w:pPr>
              <w:spacing w:after="0"/>
              <w:rPr>
                <w:rFonts w:cs="Arial"/>
                <w:sz w:val="20"/>
                <w:szCs w:val="28"/>
              </w:rPr>
            </w:pPr>
            <w:r w:rsidRPr="00184C42">
              <w:rPr>
                <w:rFonts w:cs="Arial"/>
                <w:sz w:val="20"/>
                <w:szCs w:val="28"/>
              </w:rPr>
              <w:t>6. Lifestyle, digital and patient-centred management</w:t>
            </w:r>
          </w:p>
        </w:tc>
      </w:tr>
      <w:tr w:rsidR="00041A40" w:rsidRPr="00184C42" w14:paraId="62D04638" w14:textId="77777777" w:rsidTr="00CC7310">
        <w:trPr>
          <w:trHeight w:val="611"/>
        </w:trPr>
        <w:tc>
          <w:tcPr>
            <w:tcW w:w="4487" w:type="dxa"/>
          </w:tcPr>
          <w:p w14:paraId="16F5A147" w14:textId="77777777" w:rsidR="00041A40" w:rsidRPr="00184C42" w:rsidRDefault="00041A40" w:rsidP="00041A40">
            <w:pPr>
              <w:spacing w:after="0"/>
              <w:rPr>
                <w:rFonts w:cs="Arial"/>
                <w:sz w:val="20"/>
                <w:szCs w:val="28"/>
              </w:rPr>
            </w:pPr>
            <w:r w:rsidRPr="00184C42">
              <w:rPr>
                <w:rFonts w:cs="Arial"/>
                <w:sz w:val="20"/>
                <w:szCs w:val="28"/>
              </w:rPr>
              <w:t>Case finding; MDT; primary–secondary care; pharmacist support; surveillance; coordinated referral</w:t>
            </w:r>
          </w:p>
        </w:tc>
        <w:tc>
          <w:tcPr>
            <w:tcW w:w="3901" w:type="dxa"/>
          </w:tcPr>
          <w:p w14:paraId="6838EE31" w14:textId="77777777" w:rsidR="00041A40" w:rsidRPr="00184C42" w:rsidRDefault="00041A40" w:rsidP="00041A40">
            <w:pPr>
              <w:spacing w:after="0"/>
              <w:rPr>
                <w:rFonts w:cs="Arial"/>
                <w:sz w:val="20"/>
                <w:szCs w:val="28"/>
              </w:rPr>
            </w:pPr>
            <w:r w:rsidRPr="00184C42">
              <w:rPr>
                <w:rFonts w:cs="Arial"/>
                <w:sz w:val="20"/>
                <w:szCs w:val="28"/>
              </w:rPr>
              <w:t>Organisation and continuity of CKD care</w:t>
            </w:r>
          </w:p>
        </w:tc>
        <w:tc>
          <w:tcPr>
            <w:tcW w:w="4828" w:type="dxa"/>
          </w:tcPr>
          <w:p w14:paraId="6B16BFFD" w14:textId="77777777" w:rsidR="00041A40" w:rsidRPr="00184C42" w:rsidRDefault="00041A40" w:rsidP="00041A40">
            <w:pPr>
              <w:spacing w:after="0"/>
              <w:rPr>
                <w:rFonts w:cs="Arial"/>
                <w:sz w:val="20"/>
                <w:szCs w:val="28"/>
              </w:rPr>
            </w:pPr>
            <w:r w:rsidRPr="00184C42">
              <w:rPr>
                <w:rFonts w:cs="Arial"/>
                <w:sz w:val="20"/>
                <w:szCs w:val="28"/>
              </w:rPr>
              <w:t>7. Integrated care and health-system management</w:t>
            </w:r>
          </w:p>
        </w:tc>
      </w:tr>
    </w:tbl>
    <w:p w14:paraId="6B22AF2D" w14:textId="77777777" w:rsidR="00041A40" w:rsidRPr="00041A40" w:rsidRDefault="00041A40" w:rsidP="00041A40">
      <w:pPr>
        <w:spacing w:after="200"/>
        <w:jc w:val="left"/>
        <w:rPr>
          <w:rFonts w:cs="Arial"/>
        </w:rPr>
      </w:pPr>
    </w:p>
    <w:p w14:paraId="408332C2" w14:textId="77777777" w:rsidR="00041A40" w:rsidRDefault="00041A40" w:rsidP="00462CB9">
      <w:pPr>
        <w:spacing w:after="200"/>
        <w:jc w:val="left"/>
        <w:rPr>
          <w:rFonts w:cs="Arial"/>
        </w:rPr>
      </w:pPr>
    </w:p>
    <w:sectPr w:rsidR="00041A40" w:rsidSect="00A00539">
      <w:pgSz w:w="16838" w:h="11906" w:orient="landscape" w:code="9"/>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802D7A" w14:textId="77777777" w:rsidR="00566CEE" w:rsidRDefault="00566CEE">
      <w:pPr>
        <w:spacing w:after="0" w:line="240" w:lineRule="auto"/>
      </w:pPr>
      <w:r>
        <w:separator/>
      </w:r>
    </w:p>
  </w:endnote>
  <w:endnote w:type="continuationSeparator" w:id="0">
    <w:p w14:paraId="6FAC0A26" w14:textId="77777777" w:rsidR="00566CEE" w:rsidRDefault="00566C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DejaVu Sans">
    <w:altName w:val="Verdan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E8B6B" w14:textId="77777777" w:rsidR="00773F15" w:rsidRDefault="00773F15" w:rsidP="00AC471E">
    <w:pPr>
      <w:pStyle w:val="Footer"/>
      <w:jc w:val="right"/>
    </w:pPr>
    <w:r>
      <w:fldChar w:fldCharType="begin"/>
    </w:r>
    <w:r>
      <w:instrText xml:space="preserve"> PAGE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80AD8C" w14:textId="77777777" w:rsidR="00566CEE" w:rsidRDefault="00566CEE">
      <w:pPr>
        <w:spacing w:after="0" w:line="240" w:lineRule="auto"/>
      </w:pPr>
      <w:r>
        <w:separator/>
      </w:r>
    </w:p>
  </w:footnote>
  <w:footnote w:type="continuationSeparator" w:id="0">
    <w:p w14:paraId="1F88AD4B" w14:textId="77777777" w:rsidR="00566CEE" w:rsidRDefault="00566C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0F06C8C"/>
    <w:multiLevelType w:val="hybridMultilevel"/>
    <w:tmpl w:val="FACADDA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79B1CA8"/>
    <w:multiLevelType w:val="hybridMultilevel"/>
    <w:tmpl w:val="86E43CCC"/>
    <w:lvl w:ilvl="0" w:tplc="0409000F">
      <w:start w:val="1"/>
      <w:numFmt w:val="decimal"/>
      <w:lvlText w:val="%1."/>
      <w:lvlJc w:val="left"/>
      <w:pPr>
        <w:ind w:left="720" w:hanging="18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1942FC2"/>
    <w:multiLevelType w:val="hybridMultilevel"/>
    <w:tmpl w:val="B0E6E3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61167A3"/>
    <w:multiLevelType w:val="hybridMultilevel"/>
    <w:tmpl w:val="5680DC18"/>
    <w:lvl w:ilvl="0" w:tplc="04090013">
      <w:start w:val="1"/>
      <w:numFmt w:val="upperRoman"/>
      <w:lvlText w:val="%1."/>
      <w:lvlJc w:val="right"/>
      <w:pPr>
        <w:ind w:left="720" w:hanging="18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7697AB3"/>
    <w:multiLevelType w:val="hybridMultilevel"/>
    <w:tmpl w:val="EA6243D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782384220">
    <w:abstractNumId w:val="8"/>
  </w:num>
  <w:num w:numId="2" w16cid:durableId="423914357">
    <w:abstractNumId w:val="6"/>
  </w:num>
  <w:num w:numId="3" w16cid:durableId="1344473063">
    <w:abstractNumId w:val="5"/>
  </w:num>
  <w:num w:numId="4" w16cid:durableId="1832526712">
    <w:abstractNumId w:val="4"/>
  </w:num>
  <w:num w:numId="5" w16cid:durableId="1239636060">
    <w:abstractNumId w:val="7"/>
  </w:num>
  <w:num w:numId="6" w16cid:durableId="1359306825">
    <w:abstractNumId w:val="3"/>
  </w:num>
  <w:num w:numId="7" w16cid:durableId="1343967226">
    <w:abstractNumId w:val="2"/>
  </w:num>
  <w:num w:numId="8" w16cid:durableId="1942641641">
    <w:abstractNumId w:val="1"/>
  </w:num>
  <w:num w:numId="9" w16cid:durableId="807741235">
    <w:abstractNumId w:val="0"/>
  </w:num>
  <w:num w:numId="10" w16cid:durableId="512500750">
    <w:abstractNumId w:val="11"/>
  </w:num>
  <w:num w:numId="11" w16cid:durableId="1480658696">
    <w:abstractNumId w:val="9"/>
  </w:num>
  <w:num w:numId="12" w16cid:durableId="739712296">
    <w:abstractNumId w:val="12"/>
  </w:num>
  <w:num w:numId="13" w16cid:durableId="1779989191">
    <w:abstractNumId w:val="10"/>
  </w:num>
  <w:num w:numId="14" w16cid:durableId="142842801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7A18"/>
    <w:rsid w:val="00007F95"/>
    <w:rsid w:val="0001316F"/>
    <w:rsid w:val="0001343C"/>
    <w:rsid w:val="00016401"/>
    <w:rsid w:val="00025F84"/>
    <w:rsid w:val="00033B00"/>
    <w:rsid w:val="00034616"/>
    <w:rsid w:val="00041A40"/>
    <w:rsid w:val="0005168B"/>
    <w:rsid w:val="0006063C"/>
    <w:rsid w:val="00061744"/>
    <w:rsid w:val="00062E46"/>
    <w:rsid w:val="000847B9"/>
    <w:rsid w:val="00096A82"/>
    <w:rsid w:val="000A5B3B"/>
    <w:rsid w:val="000B1451"/>
    <w:rsid w:val="000B3C1F"/>
    <w:rsid w:val="000D1428"/>
    <w:rsid w:val="000D4C48"/>
    <w:rsid w:val="000D5753"/>
    <w:rsid w:val="000E117B"/>
    <w:rsid w:val="000E378F"/>
    <w:rsid w:val="000E4EC7"/>
    <w:rsid w:val="000F299E"/>
    <w:rsid w:val="000F7EE2"/>
    <w:rsid w:val="00101472"/>
    <w:rsid w:val="00117C2B"/>
    <w:rsid w:val="00121841"/>
    <w:rsid w:val="001227C2"/>
    <w:rsid w:val="001277AC"/>
    <w:rsid w:val="00130280"/>
    <w:rsid w:val="001370C4"/>
    <w:rsid w:val="00140DD5"/>
    <w:rsid w:val="00144A96"/>
    <w:rsid w:val="0015074B"/>
    <w:rsid w:val="00152253"/>
    <w:rsid w:val="00162811"/>
    <w:rsid w:val="0016578C"/>
    <w:rsid w:val="00173457"/>
    <w:rsid w:val="00176014"/>
    <w:rsid w:val="00180C76"/>
    <w:rsid w:val="00182FE1"/>
    <w:rsid w:val="00184C42"/>
    <w:rsid w:val="00196A88"/>
    <w:rsid w:val="001A4360"/>
    <w:rsid w:val="001B1E45"/>
    <w:rsid w:val="001C2236"/>
    <w:rsid w:val="001C790E"/>
    <w:rsid w:val="001D1A6A"/>
    <w:rsid w:val="001D464E"/>
    <w:rsid w:val="001D6D6F"/>
    <w:rsid w:val="001D77AF"/>
    <w:rsid w:val="001E0CCF"/>
    <w:rsid w:val="001E1253"/>
    <w:rsid w:val="001E7DB1"/>
    <w:rsid w:val="00205FE3"/>
    <w:rsid w:val="00212C0F"/>
    <w:rsid w:val="002151EE"/>
    <w:rsid w:val="00223595"/>
    <w:rsid w:val="00233C80"/>
    <w:rsid w:val="002378CB"/>
    <w:rsid w:val="00241390"/>
    <w:rsid w:val="00242C19"/>
    <w:rsid w:val="00251E03"/>
    <w:rsid w:val="00266E10"/>
    <w:rsid w:val="00274571"/>
    <w:rsid w:val="002872FB"/>
    <w:rsid w:val="00287D5E"/>
    <w:rsid w:val="002916F0"/>
    <w:rsid w:val="0029639D"/>
    <w:rsid w:val="002A55E6"/>
    <w:rsid w:val="002A6DBB"/>
    <w:rsid w:val="002B3A78"/>
    <w:rsid w:val="002B7BFD"/>
    <w:rsid w:val="002C43B8"/>
    <w:rsid w:val="002D2C59"/>
    <w:rsid w:val="002D39E2"/>
    <w:rsid w:val="002D4B06"/>
    <w:rsid w:val="002D7CE1"/>
    <w:rsid w:val="002F4036"/>
    <w:rsid w:val="002F7D28"/>
    <w:rsid w:val="00300F7C"/>
    <w:rsid w:val="0030194D"/>
    <w:rsid w:val="00326F90"/>
    <w:rsid w:val="00327DF0"/>
    <w:rsid w:val="00335C92"/>
    <w:rsid w:val="00356B02"/>
    <w:rsid w:val="003712FC"/>
    <w:rsid w:val="003762B7"/>
    <w:rsid w:val="00381087"/>
    <w:rsid w:val="0038603C"/>
    <w:rsid w:val="003910C3"/>
    <w:rsid w:val="00394729"/>
    <w:rsid w:val="00397262"/>
    <w:rsid w:val="003A45A2"/>
    <w:rsid w:val="003B6BA5"/>
    <w:rsid w:val="003C6B20"/>
    <w:rsid w:val="003D0BFD"/>
    <w:rsid w:val="003D279A"/>
    <w:rsid w:val="003F323F"/>
    <w:rsid w:val="00416C8C"/>
    <w:rsid w:val="004210D8"/>
    <w:rsid w:val="004215FB"/>
    <w:rsid w:val="00421807"/>
    <w:rsid w:val="004240BD"/>
    <w:rsid w:val="004321D9"/>
    <w:rsid w:val="004506D3"/>
    <w:rsid w:val="004533D8"/>
    <w:rsid w:val="00455358"/>
    <w:rsid w:val="00462CB9"/>
    <w:rsid w:val="0048707E"/>
    <w:rsid w:val="00490A8B"/>
    <w:rsid w:val="004A4A39"/>
    <w:rsid w:val="004B2B46"/>
    <w:rsid w:val="004B6733"/>
    <w:rsid w:val="004D0B81"/>
    <w:rsid w:val="004D0DB5"/>
    <w:rsid w:val="004E5DFB"/>
    <w:rsid w:val="00500B53"/>
    <w:rsid w:val="005056F6"/>
    <w:rsid w:val="00517E7A"/>
    <w:rsid w:val="00525E97"/>
    <w:rsid w:val="00530A72"/>
    <w:rsid w:val="00531EB9"/>
    <w:rsid w:val="00532809"/>
    <w:rsid w:val="005344D0"/>
    <w:rsid w:val="00544F3D"/>
    <w:rsid w:val="00546FA6"/>
    <w:rsid w:val="0055105F"/>
    <w:rsid w:val="00566BB0"/>
    <w:rsid w:val="00566CEE"/>
    <w:rsid w:val="005716B4"/>
    <w:rsid w:val="00574EFA"/>
    <w:rsid w:val="00575BD2"/>
    <w:rsid w:val="005823C5"/>
    <w:rsid w:val="00590491"/>
    <w:rsid w:val="005A34CC"/>
    <w:rsid w:val="005B40F9"/>
    <w:rsid w:val="005C1489"/>
    <w:rsid w:val="005C65C6"/>
    <w:rsid w:val="005E4261"/>
    <w:rsid w:val="005E43BE"/>
    <w:rsid w:val="005E5F3F"/>
    <w:rsid w:val="005E745C"/>
    <w:rsid w:val="005F7DA1"/>
    <w:rsid w:val="006077D6"/>
    <w:rsid w:val="00613093"/>
    <w:rsid w:val="00613E30"/>
    <w:rsid w:val="00620F6C"/>
    <w:rsid w:val="006218E6"/>
    <w:rsid w:val="00622D61"/>
    <w:rsid w:val="00627734"/>
    <w:rsid w:val="00627883"/>
    <w:rsid w:val="006315DC"/>
    <w:rsid w:val="006329CC"/>
    <w:rsid w:val="00632AAE"/>
    <w:rsid w:val="00641E49"/>
    <w:rsid w:val="00647D94"/>
    <w:rsid w:val="00654BED"/>
    <w:rsid w:val="0065718E"/>
    <w:rsid w:val="0066368D"/>
    <w:rsid w:val="00666600"/>
    <w:rsid w:val="00666D2C"/>
    <w:rsid w:val="006768BE"/>
    <w:rsid w:val="0068245D"/>
    <w:rsid w:val="00683AA5"/>
    <w:rsid w:val="00686096"/>
    <w:rsid w:val="006977C3"/>
    <w:rsid w:val="006A29C4"/>
    <w:rsid w:val="006A4D0E"/>
    <w:rsid w:val="006B23C2"/>
    <w:rsid w:val="006C1FA2"/>
    <w:rsid w:val="006D0340"/>
    <w:rsid w:val="006D085E"/>
    <w:rsid w:val="006D5A53"/>
    <w:rsid w:val="006D7325"/>
    <w:rsid w:val="006E53A9"/>
    <w:rsid w:val="006E5C51"/>
    <w:rsid w:val="006F0FDA"/>
    <w:rsid w:val="006F16E0"/>
    <w:rsid w:val="006F32C5"/>
    <w:rsid w:val="007213B5"/>
    <w:rsid w:val="00722269"/>
    <w:rsid w:val="00732E98"/>
    <w:rsid w:val="00752242"/>
    <w:rsid w:val="0075241B"/>
    <w:rsid w:val="00757788"/>
    <w:rsid w:val="0076203E"/>
    <w:rsid w:val="00764647"/>
    <w:rsid w:val="00765C27"/>
    <w:rsid w:val="00773F15"/>
    <w:rsid w:val="007748AF"/>
    <w:rsid w:val="00775D10"/>
    <w:rsid w:val="00782606"/>
    <w:rsid w:val="00782FCE"/>
    <w:rsid w:val="0079723E"/>
    <w:rsid w:val="007A17D5"/>
    <w:rsid w:val="007A5192"/>
    <w:rsid w:val="007A60BB"/>
    <w:rsid w:val="007B0A35"/>
    <w:rsid w:val="007B0A55"/>
    <w:rsid w:val="007B5954"/>
    <w:rsid w:val="007C4C33"/>
    <w:rsid w:val="007D2BB5"/>
    <w:rsid w:val="007E032E"/>
    <w:rsid w:val="007E2D19"/>
    <w:rsid w:val="007E3213"/>
    <w:rsid w:val="007F002D"/>
    <w:rsid w:val="007F304E"/>
    <w:rsid w:val="007F6A96"/>
    <w:rsid w:val="008018C1"/>
    <w:rsid w:val="0080550A"/>
    <w:rsid w:val="00810138"/>
    <w:rsid w:val="00811E5D"/>
    <w:rsid w:val="008131AA"/>
    <w:rsid w:val="0082013B"/>
    <w:rsid w:val="00822705"/>
    <w:rsid w:val="00825F2F"/>
    <w:rsid w:val="00826D2E"/>
    <w:rsid w:val="00847840"/>
    <w:rsid w:val="00853DF8"/>
    <w:rsid w:val="00874248"/>
    <w:rsid w:val="008749EB"/>
    <w:rsid w:val="008808BC"/>
    <w:rsid w:val="00897818"/>
    <w:rsid w:val="008A3F07"/>
    <w:rsid w:val="008B47CA"/>
    <w:rsid w:val="008B7BF3"/>
    <w:rsid w:val="008C3575"/>
    <w:rsid w:val="008C4D0E"/>
    <w:rsid w:val="008C769D"/>
    <w:rsid w:val="008D0E1A"/>
    <w:rsid w:val="008E07E5"/>
    <w:rsid w:val="008E3A72"/>
    <w:rsid w:val="008F29F8"/>
    <w:rsid w:val="009032BB"/>
    <w:rsid w:val="0090489D"/>
    <w:rsid w:val="00905342"/>
    <w:rsid w:val="00905A35"/>
    <w:rsid w:val="00910E39"/>
    <w:rsid w:val="0091326E"/>
    <w:rsid w:val="009135CF"/>
    <w:rsid w:val="00915EAB"/>
    <w:rsid w:val="00920B59"/>
    <w:rsid w:val="009259BE"/>
    <w:rsid w:val="00932CF8"/>
    <w:rsid w:val="00934448"/>
    <w:rsid w:val="00942CF4"/>
    <w:rsid w:val="00943CFD"/>
    <w:rsid w:val="00953425"/>
    <w:rsid w:val="00961272"/>
    <w:rsid w:val="009642A4"/>
    <w:rsid w:val="00970B21"/>
    <w:rsid w:val="00975B17"/>
    <w:rsid w:val="00982206"/>
    <w:rsid w:val="00991CD5"/>
    <w:rsid w:val="009A0815"/>
    <w:rsid w:val="009A27AE"/>
    <w:rsid w:val="009B1E77"/>
    <w:rsid w:val="009B2C20"/>
    <w:rsid w:val="009B73CF"/>
    <w:rsid w:val="009C1402"/>
    <w:rsid w:val="009D3822"/>
    <w:rsid w:val="009F139F"/>
    <w:rsid w:val="00A00539"/>
    <w:rsid w:val="00A051CD"/>
    <w:rsid w:val="00A17325"/>
    <w:rsid w:val="00A274E6"/>
    <w:rsid w:val="00A30065"/>
    <w:rsid w:val="00A33369"/>
    <w:rsid w:val="00A3753E"/>
    <w:rsid w:val="00A425C2"/>
    <w:rsid w:val="00A429BD"/>
    <w:rsid w:val="00A50B65"/>
    <w:rsid w:val="00A55552"/>
    <w:rsid w:val="00A55CDB"/>
    <w:rsid w:val="00A624E8"/>
    <w:rsid w:val="00A759DA"/>
    <w:rsid w:val="00A75FFE"/>
    <w:rsid w:val="00A84AF7"/>
    <w:rsid w:val="00A923B1"/>
    <w:rsid w:val="00A934BF"/>
    <w:rsid w:val="00A95F70"/>
    <w:rsid w:val="00A962FE"/>
    <w:rsid w:val="00AA140B"/>
    <w:rsid w:val="00AA1D8D"/>
    <w:rsid w:val="00AA3D6A"/>
    <w:rsid w:val="00AA5C99"/>
    <w:rsid w:val="00AB3144"/>
    <w:rsid w:val="00AB4007"/>
    <w:rsid w:val="00AC471E"/>
    <w:rsid w:val="00AD3E76"/>
    <w:rsid w:val="00AD5372"/>
    <w:rsid w:val="00AE00BA"/>
    <w:rsid w:val="00AE3768"/>
    <w:rsid w:val="00AE4926"/>
    <w:rsid w:val="00B15158"/>
    <w:rsid w:val="00B2301D"/>
    <w:rsid w:val="00B402A7"/>
    <w:rsid w:val="00B433F6"/>
    <w:rsid w:val="00B47730"/>
    <w:rsid w:val="00B50398"/>
    <w:rsid w:val="00B6118C"/>
    <w:rsid w:val="00B61699"/>
    <w:rsid w:val="00B72959"/>
    <w:rsid w:val="00B85EEC"/>
    <w:rsid w:val="00B9763B"/>
    <w:rsid w:val="00BB2AA7"/>
    <w:rsid w:val="00BB5DB1"/>
    <w:rsid w:val="00BC7E6B"/>
    <w:rsid w:val="00BD5E61"/>
    <w:rsid w:val="00BD61F7"/>
    <w:rsid w:val="00BE5AD3"/>
    <w:rsid w:val="00BF54FA"/>
    <w:rsid w:val="00C07BB7"/>
    <w:rsid w:val="00C13F03"/>
    <w:rsid w:val="00C20A24"/>
    <w:rsid w:val="00C2328E"/>
    <w:rsid w:val="00C341DB"/>
    <w:rsid w:val="00C35449"/>
    <w:rsid w:val="00C362B7"/>
    <w:rsid w:val="00C52902"/>
    <w:rsid w:val="00C57608"/>
    <w:rsid w:val="00C61FFD"/>
    <w:rsid w:val="00C70E5B"/>
    <w:rsid w:val="00C765C5"/>
    <w:rsid w:val="00C875E5"/>
    <w:rsid w:val="00C92E82"/>
    <w:rsid w:val="00CA753A"/>
    <w:rsid w:val="00CB0664"/>
    <w:rsid w:val="00CC24AA"/>
    <w:rsid w:val="00CC3514"/>
    <w:rsid w:val="00CC4AA2"/>
    <w:rsid w:val="00CD4B2C"/>
    <w:rsid w:val="00CD62E3"/>
    <w:rsid w:val="00CE7276"/>
    <w:rsid w:val="00CF3569"/>
    <w:rsid w:val="00CF4029"/>
    <w:rsid w:val="00D0049E"/>
    <w:rsid w:val="00D066DD"/>
    <w:rsid w:val="00D06B3F"/>
    <w:rsid w:val="00D11EF4"/>
    <w:rsid w:val="00D134F7"/>
    <w:rsid w:val="00D17E79"/>
    <w:rsid w:val="00D21988"/>
    <w:rsid w:val="00D25364"/>
    <w:rsid w:val="00D27DD4"/>
    <w:rsid w:val="00D31D11"/>
    <w:rsid w:val="00D32B4A"/>
    <w:rsid w:val="00D34803"/>
    <w:rsid w:val="00D405A3"/>
    <w:rsid w:val="00D42CA5"/>
    <w:rsid w:val="00D54E7A"/>
    <w:rsid w:val="00D61BB9"/>
    <w:rsid w:val="00D6571F"/>
    <w:rsid w:val="00D67284"/>
    <w:rsid w:val="00D72031"/>
    <w:rsid w:val="00D83E62"/>
    <w:rsid w:val="00D863A2"/>
    <w:rsid w:val="00D914F1"/>
    <w:rsid w:val="00DA0055"/>
    <w:rsid w:val="00DB3DD4"/>
    <w:rsid w:val="00DB6745"/>
    <w:rsid w:val="00DD2660"/>
    <w:rsid w:val="00DE232F"/>
    <w:rsid w:val="00DE4C8B"/>
    <w:rsid w:val="00DE66B3"/>
    <w:rsid w:val="00DE7196"/>
    <w:rsid w:val="00DE7970"/>
    <w:rsid w:val="00DF6227"/>
    <w:rsid w:val="00DF6E77"/>
    <w:rsid w:val="00E14D33"/>
    <w:rsid w:val="00E16A1E"/>
    <w:rsid w:val="00E2368C"/>
    <w:rsid w:val="00E26350"/>
    <w:rsid w:val="00E40F61"/>
    <w:rsid w:val="00E521EE"/>
    <w:rsid w:val="00E602A2"/>
    <w:rsid w:val="00E616DA"/>
    <w:rsid w:val="00E62F99"/>
    <w:rsid w:val="00E63F82"/>
    <w:rsid w:val="00E669EB"/>
    <w:rsid w:val="00E679B7"/>
    <w:rsid w:val="00E7437F"/>
    <w:rsid w:val="00E832C8"/>
    <w:rsid w:val="00E849E9"/>
    <w:rsid w:val="00E94D7A"/>
    <w:rsid w:val="00ED5ADF"/>
    <w:rsid w:val="00EE65A8"/>
    <w:rsid w:val="00EF05FE"/>
    <w:rsid w:val="00EF536E"/>
    <w:rsid w:val="00F25A26"/>
    <w:rsid w:val="00F276B3"/>
    <w:rsid w:val="00F30BA6"/>
    <w:rsid w:val="00F33350"/>
    <w:rsid w:val="00F3604E"/>
    <w:rsid w:val="00F4228A"/>
    <w:rsid w:val="00F64A0E"/>
    <w:rsid w:val="00F71D9E"/>
    <w:rsid w:val="00F740B5"/>
    <w:rsid w:val="00F81F67"/>
    <w:rsid w:val="00F8281F"/>
    <w:rsid w:val="00F868C5"/>
    <w:rsid w:val="00F86E4F"/>
    <w:rsid w:val="00F919C8"/>
    <w:rsid w:val="00F92DEB"/>
    <w:rsid w:val="00F92F56"/>
    <w:rsid w:val="00F9365A"/>
    <w:rsid w:val="00F94D42"/>
    <w:rsid w:val="00F95CDB"/>
    <w:rsid w:val="00FB075D"/>
    <w:rsid w:val="00FB4D98"/>
    <w:rsid w:val="00FB7101"/>
    <w:rsid w:val="00FC1D98"/>
    <w:rsid w:val="00FC5D04"/>
    <w:rsid w:val="00FC693F"/>
    <w:rsid w:val="00FE225E"/>
    <w:rsid w:val="00FE28B3"/>
    <w:rsid w:val="00FE3312"/>
    <w:rsid w:val="00FF1AEE"/>
    <w:rsid w:val="00FF3A36"/>
    <w:rsid w:val="00FF5396"/>
    <w:rsid w:val="00FF77A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F542CAA"/>
  <w14:defaultImageDpi w14:val="330"/>
  <w15:docId w15:val="{A211D353-1DE8-49F2-9438-591E02A39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A40"/>
    <w:pPr>
      <w:spacing w:after="120" w:line="360" w:lineRule="auto"/>
      <w:jc w:val="both"/>
    </w:pPr>
    <w:rPr>
      <w:rFonts w:ascii="Arial" w:eastAsia="Times New Roman" w:hAnsi="Arial"/>
    </w:rPr>
  </w:style>
  <w:style w:type="paragraph" w:styleId="Heading1">
    <w:name w:val="heading 1"/>
    <w:basedOn w:val="Normal"/>
    <w:next w:val="Normal"/>
    <w:link w:val="Heading1Char"/>
    <w:uiPriority w:val="9"/>
    <w:qFormat/>
    <w:rsid w:val="0038603C"/>
    <w:pPr>
      <w:keepNext/>
      <w:keepLines/>
      <w:spacing w:before="480" w:after="0"/>
      <w:jc w:val="center"/>
      <w:outlineLvl w:val="0"/>
    </w:pPr>
    <w:rPr>
      <w:rFonts w:eastAsiaTheme="majorEastAsia" w:cstheme="majorBidi"/>
      <w:b/>
      <w:bCs/>
      <w:color w:val="000000" w:themeColor="text1"/>
      <w:sz w:val="32"/>
      <w:szCs w:val="32"/>
    </w:rPr>
  </w:style>
  <w:style w:type="paragraph" w:styleId="Heading2">
    <w:name w:val="heading 2"/>
    <w:basedOn w:val="Normal"/>
    <w:next w:val="Normal"/>
    <w:link w:val="Heading2Char"/>
    <w:uiPriority w:val="9"/>
    <w:unhideWhenUsed/>
    <w:qFormat/>
    <w:rsid w:val="0038603C"/>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853DF8"/>
    <w:pPr>
      <w:keepNext/>
      <w:keepLines/>
      <w:spacing w:before="200" w:after="0"/>
      <w:outlineLvl w:val="2"/>
    </w:pPr>
    <w:rPr>
      <w:rFonts w:eastAsiaTheme="majorEastAsia" w:cstheme="majorBidi"/>
      <w:b/>
      <w:bCs/>
      <w:color w:val="4F81BD" w:themeColor="accent1"/>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38603C"/>
    <w:rPr>
      <w:rFonts w:ascii="Arial" w:eastAsiaTheme="majorEastAsia" w:hAnsi="Arial" w:cstheme="majorBidi"/>
      <w:b/>
      <w:bCs/>
      <w:color w:val="000000" w:themeColor="text1"/>
      <w:sz w:val="32"/>
      <w:szCs w:val="32"/>
    </w:rPr>
  </w:style>
  <w:style w:type="character" w:customStyle="1" w:styleId="Heading2Char">
    <w:name w:val="Heading 2 Char"/>
    <w:basedOn w:val="DefaultParagraphFont"/>
    <w:link w:val="Heading2"/>
    <w:uiPriority w:val="9"/>
    <w:rsid w:val="0038603C"/>
    <w:rPr>
      <w:rFonts w:ascii="Arial" w:eastAsiaTheme="majorEastAsia" w:hAnsi="Arial" w:cstheme="majorBidi"/>
      <w:b/>
      <w:bCs/>
      <w:color w:val="000000" w:themeColor="text1"/>
      <w:sz w:val="26"/>
      <w:szCs w:val="26"/>
    </w:rPr>
  </w:style>
  <w:style w:type="character" w:customStyle="1" w:styleId="Heading3Char">
    <w:name w:val="Heading 3 Char"/>
    <w:basedOn w:val="DefaultParagraphFont"/>
    <w:link w:val="Heading3"/>
    <w:uiPriority w:val="9"/>
    <w:rsid w:val="00853DF8"/>
    <w:rPr>
      <w:rFonts w:ascii="Arial" w:eastAsiaTheme="majorEastAsia" w:hAnsi="Arial" w:cstheme="majorBidi"/>
      <w:b/>
      <w:bCs/>
      <w:color w:val="4F81BD" w:themeColor="accent1"/>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151EE"/>
    <w:pPr>
      <w:spacing w:after="100"/>
      <w:jc w:val="left"/>
    </w:pPr>
    <w:rPr>
      <w:rFonts w:cs="Arial"/>
      <w:sz w:val="24"/>
      <w:szCs w:val="24"/>
    </w:rPr>
  </w:style>
  <w:style w:type="paragraph" w:styleId="TOC2">
    <w:name w:val="toc 2"/>
    <w:basedOn w:val="Normal"/>
    <w:next w:val="Normal"/>
    <w:autoRedefine/>
    <w:uiPriority w:val="39"/>
    <w:unhideWhenUsed/>
    <w:rsid w:val="007D2BB5"/>
    <w:pPr>
      <w:spacing w:after="100"/>
    </w:pPr>
  </w:style>
  <w:style w:type="character" w:styleId="Hyperlink">
    <w:name w:val="Hyperlink"/>
    <w:basedOn w:val="DefaultParagraphFont"/>
    <w:uiPriority w:val="99"/>
    <w:unhideWhenUsed/>
    <w:rsid w:val="000D5753"/>
    <w:rPr>
      <w:color w:val="0000FF" w:themeColor="hyperlink"/>
      <w:u w:val="single"/>
    </w:rPr>
  </w:style>
  <w:style w:type="character" w:styleId="UnresolvedMention">
    <w:name w:val="Unresolved Mention"/>
    <w:basedOn w:val="DefaultParagraphFont"/>
    <w:uiPriority w:val="99"/>
    <w:semiHidden/>
    <w:unhideWhenUsed/>
    <w:rsid w:val="00C52902"/>
    <w:rPr>
      <w:color w:val="605E5C"/>
      <w:shd w:val="clear" w:color="auto" w:fill="E1DFDD"/>
    </w:rPr>
  </w:style>
  <w:style w:type="paragraph" w:styleId="TOC3">
    <w:name w:val="toc 3"/>
    <w:basedOn w:val="Normal"/>
    <w:next w:val="Normal"/>
    <w:autoRedefine/>
    <w:uiPriority w:val="39"/>
    <w:unhideWhenUsed/>
    <w:rsid w:val="00F8281F"/>
    <w:pPr>
      <w:spacing w:after="100"/>
      <w:ind w:left="440"/>
    </w:pPr>
  </w:style>
  <w:style w:type="paragraph" w:customStyle="1" w:styleId="TableCaption">
    <w:name w:val="Table Caption"/>
    <w:rsid w:val="00773F15"/>
    <w:pPr>
      <w:spacing w:before="160" w:after="80"/>
    </w:pPr>
    <w:rPr>
      <w:rFonts w:ascii="Arial" w:eastAsia="Arial" w:hAnsi="Arial"/>
      <w:b/>
      <w:sz w:val="20"/>
    </w:rPr>
  </w:style>
  <w:style w:type="paragraph" w:customStyle="1" w:styleId="HarvardReference">
    <w:name w:val="Harvard Reference"/>
    <w:basedOn w:val="Normal"/>
    <w:rsid w:val="007D2BB5"/>
    <w:pPr>
      <w:keepLines/>
      <w:spacing w:line="259" w:lineRule="auto"/>
      <w:ind w:left="490" w:hanging="490"/>
      <w:jc w:val="left"/>
    </w:pPr>
    <w:rPr>
      <w:rFonts w:ascii="Times New Roman" w:hAnsi="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90044">
      <w:bodyDiv w:val="1"/>
      <w:marLeft w:val="0"/>
      <w:marRight w:val="0"/>
      <w:marTop w:val="0"/>
      <w:marBottom w:val="0"/>
      <w:divBdr>
        <w:top w:val="none" w:sz="0" w:space="0" w:color="auto"/>
        <w:left w:val="none" w:sz="0" w:space="0" w:color="auto"/>
        <w:bottom w:val="none" w:sz="0" w:space="0" w:color="auto"/>
        <w:right w:val="none" w:sz="0" w:space="0" w:color="auto"/>
      </w:divBdr>
      <w:divsChild>
        <w:div w:id="2045670438">
          <w:marLeft w:val="0"/>
          <w:marRight w:val="0"/>
          <w:marTop w:val="0"/>
          <w:marBottom w:val="0"/>
          <w:divBdr>
            <w:top w:val="none" w:sz="0" w:space="0" w:color="auto"/>
            <w:left w:val="none" w:sz="0" w:space="0" w:color="auto"/>
            <w:bottom w:val="none" w:sz="0" w:space="0" w:color="auto"/>
            <w:right w:val="none" w:sz="0" w:space="0" w:color="auto"/>
          </w:divBdr>
          <w:divsChild>
            <w:div w:id="2053192241">
              <w:marLeft w:val="0"/>
              <w:marRight w:val="0"/>
              <w:marTop w:val="0"/>
              <w:marBottom w:val="0"/>
              <w:divBdr>
                <w:top w:val="none" w:sz="0" w:space="0" w:color="auto"/>
                <w:left w:val="none" w:sz="0" w:space="0" w:color="auto"/>
                <w:bottom w:val="none" w:sz="0" w:space="0" w:color="auto"/>
                <w:right w:val="none" w:sz="0" w:space="0" w:color="auto"/>
              </w:divBdr>
              <w:divsChild>
                <w:div w:id="29576631">
                  <w:marLeft w:val="0"/>
                  <w:marRight w:val="0"/>
                  <w:marTop w:val="0"/>
                  <w:marBottom w:val="0"/>
                  <w:divBdr>
                    <w:top w:val="none" w:sz="0" w:space="0" w:color="auto"/>
                    <w:left w:val="none" w:sz="0" w:space="0" w:color="auto"/>
                    <w:bottom w:val="none" w:sz="0" w:space="0" w:color="auto"/>
                    <w:right w:val="none" w:sz="0" w:space="0" w:color="auto"/>
                  </w:divBdr>
                  <w:divsChild>
                    <w:div w:id="1382629914">
                      <w:marLeft w:val="0"/>
                      <w:marRight w:val="0"/>
                      <w:marTop w:val="0"/>
                      <w:marBottom w:val="0"/>
                      <w:divBdr>
                        <w:top w:val="none" w:sz="0" w:space="0" w:color="auto"/>
                        <w:left w:val="none" w:sz="0" w:space="0" w:color="auto"/>
                        <w:bottom w:val="none" w:sz="0" w:space="0" w:color="auto"/>
                        <w:right w:val="none" w:sz="0" w:space="0" w:color="auto"/>
                      </w:divBdr>
                      <w:divsChild>
                        <w:div w:id="1685008383">
                          <w:marLeft w:val="0"/>
                          <w:marRight w:val="0"/>
                          <w:marTop w:val="0"/>
                          <w:marBottom w:val="0"/>
                          <w:divBdr>
                            <w:top w:val="none" w:sz="0" w:space="0" w:color="auto"/>
                            <w:left w:val="none" w:sz="0" w:space="0" w:color="auto"/>
                            <w:bottom w:val="none" w:sz="0" w:space="0" w:color="auto"/>
                            <w:right w:val="none" w:sz="0" w:space="0" w:color="auto"/>
                          </w:divBdr>
                          <w:divsChild>
                            <w:div w:id="914126505">
                              <w:marLeft w:val="0"/>
                              <w:marRight w:val="0"/>
                              <w:marTop w:val="0"/>
                              <w:marBottom w:val="0"/>
                              <w:divBdr>
                                <w:top w:val="none" w:sz="0" w:space="0" w:color="auto"/>
                                <w:left w:val="none" w:sz="0" w:space="0" w:color="auto"/>
                                <w:bottom w:val="none" w:sz="0" w:space="0" w:color="auto"/>
                                <w:right w:val="none" w:sz="0" w:space="0" w:color="auto"/>
                              </w:divBdr>
                              <w:divsChild>
                                <w:div w:id="1268196920">
                                  <w:marLeft w:val="0"/>
                                  <w:marRight w:val="0"/>
                                  <w:marTop w:val="0"/>
                                  <w:marBottom w:val="0"/>
                                  <w:divBdr>
                                    <w:top w:val="none" w:sz="0" w:space="0" w:color="auto"/>
                                    <w:left w:val="none" w:sz="0" w:space="0" w:color="auto"/>
                                    <w:bottom w:val="none" w:sz="0" w:space="0" w:color="auto"/>
                                    <w:right w:val="none" w:sz="0" w:space="0" w:color="auto"/>
                                  </w:divBdr>
                                  <w:divsChild>
                                    <w:div w:id="578752041">
                                      <w:marLeft w:val="0"/>
                                      <w:marRight w:val="0"/>
                                      <w:marTop w:val="0"/>
                                      <w:marBottom w:val="0"/>
                                      <w:divBdr>
                                        <w:top w:val="none" w:sz="0" w:space="0" w:color="auto"/>
                                        <w:left w:val="none" w:sz="0" w:space="0" w:color="auto"/>
                                        <w:bottom w:val="none" w:sz="0" w:space="0" w:color="auto"/>
                                        <w:right w:val="none" w:sz="0" w:space="0" w:color="auto"/>
                                      </w:divBdr>
                                      <w:divsChild>
                                        <w:div w:id="957951373">
                                          <w:marLeft w:val="0"/>
                                          <w:marRight w:val="0"/>
                                          <w:marTop w:val="0"/>
                                          <w:marBottom w:val="0"/>
                                          <w:divBdr>
                                            <w:top w:val="none" w:sz="0" w:space="0" w:color="auto"/>
                                            <w:left w:val="none" w:sz="0" w:space="0" w:color="auto"/>
                                            <w:bottom w:val="none" w:sz="0" w:space="0" w:color="auto"/>
                                            <w:right w:val="none" w:sz="0" w:space="0" w:color="auto"/>
                                          </w:divBdr>
                                          <w:divsChild>
                                            <w:div w:id="357580863">
                                              <w:marLeft w:val="0"/>
                                              <w:marRight w:val="0"/>
                                              <w:marTop w:val="0"/>
                                              <w:marBottom w:val="0"/>
                                              <w:divBdr>
                                                <w:top w:val="none" w:sz="0" w:space="0" w:color="auto"/>
                                                <w:left w:val="none" w:sz="0" w:space="0" w:color="auto"/>
                                                <w:bottom w:val="none" w:sz="0" w:space="0" w:color="auto"/>
                                                <w:right w:val="none" w:sz="0" w:space="0" w:color="auto"/>
                                              </w:divBdr>
                                              <w:divsChild>
                                                <w:div w:id="204560684">
                                                  <w:marLeft w:val="0"/>
                                                  <w:marRight w:val="0"/>
                                                  <w:marTop w:val="0"/>
                                                  <w:marBottom w:val="0"/>
                                                  <w:divBdr>
                                                    <w:top w:val="none" w:sz="0" w:space="0" w:color="auto"/>
                                                    <w:left w:val="none" w:sz="0" w:space="0" w:color="auto"/>
                                                    <w:bottom w:val="none" w:sz="0" w:space="0" w:color="auto"/>
                                                    <w:right w:val="none" w:sz="0" w:space="0" w:color="auto"/>
                                                  </w:divBdr>
                                                  <w:divsChild>
                                                    <w:div w:id="447548147">
                                                      <w:marLeft w:val="0"/>
                                                      <w:marRight w:val="0"/>
                                                      <w:marTop w:val="0"/>
                                                      <w:marBottom w:val="0"/>
                                                      <w:divBdr>
                                                        <w:top w:val="none" w:sz="0" w:space="0" w:color="auto"/>
                                                        <w:left w:val="none" w:sz="0" w:space="0" w:color="auto"/>
                                                        <w:bottom w:val="none" w:sz="0" w:space="0" w:color="auto"/>
                                                        <w:right w:val="none" w:sz="0" w:space="0" w:color="auto"/>
                                                      </w:divBdr>
                                                      <w:divsChild>
                                                        <w:div w:id="1609459209">
                                                          <w:marLeft w:val="0"/>
                                                          <w:marRight w:val="0"/>
                                                          <w:marTop w:val="0"/>
                                                          <w:marBottom w:val="0"/>
                                                          <w:divBdr>
                                                            <w:top w:val="none" w:sz="0" w:space="0" w:color="auto"/>
                                                            <w:left w:val="none" w:sz="0" w:space="0" w:color="auto"/>
                                                            <w:bottom w:val="none" w:sz="0" w:space="0" w:color="auto"/>
                                                            <w:right w:val="none" w:sz="0" w:space="0" w:color="auto"/>
                                                          </w:divBdr>
                                                          <w:divsChild>
                                                            <w:div w:id="459493544">
                                                              <w:marLeft w:val="0"/>
                                                              <w:marRight w:val="0"/>
                                                              <w:marTop w:val="0"/>
                                                              <w:marBottom w:val="0"/>
                                                              <w:divBdr>
                                                                <w:top w:val="none" w:sz="0" w:space="0" w:color="auto"/>
                                                                <w:left w:val="none" w:sz="0" w:space="0" w:color="auto"/>
                                                                <w:bottom w:val="none" w:sz="0" w:space="0" w:color="auto"/>
                                                                <w:right w:val="none" w:sz="0" w:space="0" w:color="auto"/>
                                                              </w:divBdr>
                                                              <w:divsChild>
                                                                <w:div w:id="1291739273">
                                                                  <w:marLeft w:val="0"/>
                                                                  <w:marRight w:val="0"/>
                                                                  <w:marTop w:val="0"/>
                                                                  <w:marBottom w:val="0"/>
                                                                  <w:divBdr>
                                                                    <w:top w:val="none" w:sz="0" w:space="0" w:color="auto"/>
                                                                    <w:left w:val="none" w:sz="0" w:space="0" w:color="auto"/>
                                                                    <w:bottom w:val="none" w:sz="0" w:space="0" w:color="auto"/>
                                                                    <w:right w:val="none" w:sz="0" w:space="0" w:color="auto"/>
                                                                  </w:divBdr>
                                                                  <w:divsChild>
                                                                    <w:div w:id="1318652791">
                                                                      <w:marLeft w:val="0"/>
                                                                      <w:marRight w:val="0"/>
                                                                      <w:marTop w:val="0"/>
                                                                      <w:marBottom w:val="0"/>
                                                                      <w:divBdr>
                                                                        <w:top w:val="none" w:sz="0" w:space="0" w:color="auto"/>
                                                                        <w:left w:val="none" w:sz="0" w:space="0" w:color="auto"/>
                                                                        <w:bottom w:val="none" w:sz="0" w:space="0" w:color="auto"/>
                                                                        <w:right w:val="none" w:sz="0" w:space="0" w:color="auto"/>
                                                                      </w:divBdr>
                                                                      <w:divsChild>
                                                                        <w:div w:id="1687557627">
                                                                          <w:marLeft w:val="0"/>
                                                                          <w:marRight w:val="0"/>
                                                                          <w:marTop w:val="0"/>
                                                                          <w:marBottom w:val="0"/>
                                                                          <w:divBdr>
                                                                            <w:top w:val="none" w:sz="0" w:space="0" w:color="auto"/>
                                                                            <w:left w:val="none" w:sz="0" w:space="0" w:color="auto"/>
                                                                            <w:bottom w:val="none" w:sz="0" w:space="0" w:color="auto"/>
                                                                            <w:right w:val="none" w:sz="0" w:space="0" w:color="auto"/>
                                                                          </w:divBdr>
                                                                          <w:divsChild>
                                                                            <w:div w:id="401415793">
                                                                              <w:marLeft w:val="0"/>
                                                                              <w:marRight w:val="0"/>
                                                                              <w:marTop w:val="0"/>
                                                                              <w:marBottom w:val="0"/>
                                                                              <w:divBdr>
                                                                                <w:top w:val="none" w:sz="0" w:space="0" w:color="auto"/>
                                                                                <w:left w:val="none" w:sz="0" w:space="0" w:color="auto"/>
                                                                                <w:bottom w:val="none" w:sz="0" w:space="0" w:color="auto"/>
                                                                                <w:right w:val="none" w:sz="0" w:space="0" w:color="auto"/>
                                                                              </w:divBdr>
                                                                              <w:divsChild>
                                                                                <w:div w:id="1590651141">
                                                                                  <w:marLeft w:val="0"/>
                                                                                  <w:marRight w:val="0"/>
                                                                                  <w:marTop w:val="0"/>
                                                                                  <w:marBottom w:val="0"/>
                                                                                  <w:divBdr>
                                                                                    <w:top w:val="none" w:sz="0" w:space="0" w:color="auto"/>
                                                                                    <w:left w:val="none" w:sz="0" w:space="0" w:color="auto"/>
                                                                                    <w:bottom w:val="none" w:sz="0" w:space="0" w:color="auto"/>
                                                                                    <w:right w:val="none" w:sz="0" w:space="0" w:color="auto"/>
                                                                                  </w:divBdr>
                                                                                  <w:divsChild>
                                                                                    <w:div w:id="1648586876">
                                                                                      <w:marLeft w:val="0"/>
                                                                                      <w:marRight w:val="0"/>
                                                                                      <w:marTop w:val="0"/>
                                                                                      <w:marBottom w:val="0"/>
                                                                                      <w:divBdr>
                                                                                        <w:top w:val="none" w:sz="0" w:space="0" w:color="auto"/>
                                                                                        <w:left w:val="none" w:sz="0" w:space="0" w:color="auto"/>
                                                                                        <w:bottom w:val="none" w:sz="0" w:space="0" w:color="auto"/>
                                                                                        <w:right w:val="none" w:sz="0" w:space="0" w:color="auto"/>
                                                                                      </w:divBdr>
                                                                                      <w:divsChild>
                                                                                        <w:div w:id="1463156995">
                                                                                          <w:marLeft w:val="0"/>
                                                                                          <w:marRight w:val="0"/>
                                                                                          <w:marTop w:val="0"/>
                                                                                          <w:marBottom w:val="0"/>
                                                                                          <w:divBdr>
                                                                                            <w:top w:val="none" w:sz="0" w:space="0" w:color="auto"/>
                                                                                            <w:left w:val="none" w:sz="0" w:space="0" w:color="auto"/>
                                                                                            <w:bottom w:val="none" w:sz="0" w:space="0" w:color="auto"/>
                                                                                            <w:right w:val="none" w:sz="0" w:space="0" w:color="auto"/>
                                                                                          </w:divBdr>
                                                                                          <w:divsChild>
                                                                                            <w:div w:id="1533689857">
                                                                                              <w:marLeft w:val="0"/>
                                                                                              <w:marRight w:val="0"/>
                                                                                              <w:marTop w:val="0"/>
                                                                                              <w:marBottom w:val="0"/>
                                                                                              <w:divBdr>
                                                                                                <w:top w:val="none" w:sz="0" w:space="0" w:color="auto"/>
                                                                                                <w:left w:val="none" w:sz="0" w:space="0" w:color="auto"/>
                                                                                                <w:bottom w:val="none" w:sz="0" w:space="0" w:color="auto"/>
                                                                                                <w:right w:val="none" w:sz="0" w:space="0" w:color="auto"/>
                                                                                              </w:divBdr>
                                                                                              <w:divsChild>
                                                                                                <w:div w:id="429545534">
                                                                                                  <w:marLeft w:val="0"/>
                                                                                                  <w:marRight w:val="0"/>
                                                                                                  <w:marTop w:val="0"/>
                                                                                                  <w:marBottom w:val="0"/>
                                                                                                  <w:divBdr>
                                                                                                    <w:top w:val="none" w:sz="0" w:space="0" w:color="auto"/>
                                                                                                    <w:left w:val="none" w:sz="0" w:space="0" w:color="auto"/>
                                                                                                    <w:bottom w:val="none" w:sz="0" w:space="0" w:color="auto"/>
                                                                                                    <w:right w:val="none" w:sz="0" w:space="0" w:color="auto"/>
                                                                                                  </w:divBdr>
                                                                                                </w:div>
                                                                                              </w:divsChild>
                                                                                            </w:div>
                                                                                            <w:div w:id="451483688">
                                                                                              <w:marLeft w:val="0"/>
                                                                                              <w:marRight w:val="0"/>
                                                                                              <w:marTop w:val="0"/>
                                                                                              <w:marBottom w:val="0"/>
                                                                                              <w:divBdr>
                                                                                                <w:top w:val="none" w:sz="0" w:space="0" w:color="auto"/>
                                                                                                <w:left w:val="none" w:sz="0" w:space="0" w:color="auto"/>
                                                                                                <w:bottom w:val="none" w:sz="0" w:space="0" w:color="auto"/>
                                                                                                <w:right w:val="none" w:sz="0" w:space="0" w:color="auto"/>
                                                                                              </w:divBdr>
                                                                                              <w:divsChild>
                                                                                                <w:div w:id="93227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29549188">
                                                      <w:marLeft w:val="0"/>
                                                      <w:marRight w:val="0"/>
                                                      <w:marTop w:val="0"/>
                                                      <w:marBottom w:val="0"/>
                                                      <w:divBdr>
                                                        <w:top w:val="none" w:sz="0" w:space="0" w:color="auto"/>
                                                        <w:left w:val="none" w:sz="0" w:space="0" w:color="auto"/>
                                                        <w:bottom w:val="none" w:sz="0" w:space="0" w:color="auto"/>
                                                        <w:right w:val="none" w:sz="0" w:space="0" w:color="auto"/>
                                                      </w:divBdr>
                                                      <w:divsChild>
                                                        <w:div w:id="806823042">
                                                          <w:marLeft w:val="0"/>
                                                          <w:marRight w:val="0"/>
                                                          <w:marTop w:val="0"/>
                                                          <w:marBottom w:val="0"/>
                                                          <w:divBdr>
                                                            <w:top w:val="none" w:sz="0" w:space="0" w:color="auto"/>
                                                            <w:left w:val="none" w:sz="0" w:space="0" w:color="auto"/>
                                                            <w:bottom w:val="none" w:sz="0" w:space="0" w:color="auto"/>
                                                            <w:right w:val="none" w:sz="0" w:space="0" w:color="auto"/>
                                                          </w:divBdr>
                                                          <w:divsChild>
                                                            <w:div w:id="181747851">
                                                              <w:marLeft w:val="0"/>
                                                              <w:marRight w:val="0"/>
                                                              <w:marTop w:val="0"/>
                                                              <w:marBottom w:val="0"/>
                                                              <w:divBdr>
                                                                <w:top w:val="none" w:sz="0" w:space="0" w:color="auto"/>
                                                                <w:left w:val="none" w:sz="0" w:space="0" w:color="auto"/>
                                                                <w:bottom w:val="none" w:sz="0" w:space="0" w:color="auto"/>
                                                                <w:right w:val="none" w:sz="0" w:space="0" w:color="auto"/>
                                                              </w:divBdr>
                                                              <w:divsChild>
                                                                <w:div w:id="1227453058">
                                                                  <w:marLeft w:val="0"/>
                                                                  <w:marRight w:val="0"/>
                                                                  <w:marTop w:val="0"/>
                                                                  <w:marBottom w:val="0"/>
                                                                  <w:divBdr>
                                                                    <w:top w:val="none" w:sz="0" w:space="0" w:color="auto"/>
                                                                    <w:left w:val="none" w:sz="0" w:space="0" w:color="auto"/>
                                                                    <w:bottom w:val="none" w:sz="0" w:space="0" w:color="auto"/>
                                                                    <w:right w:val="none" w:sz="0" w:space="0" w:color="auto"/>
                                                                  </w:divBdr>
                                                                  <w:divsChild>
                                                                    <w:div w:id="1528059762">
                                                                      <w:marLeft w:val="0"/>
                                                                      <w:marRight w:val="0"/>
                                                                      <w:marTop w:val="0"/>
                                                                      <w:marBottom w:val="0"/>
                                                                      <w:divBdr>
                                                                        <w:top w:val="none" w:sz="0" w:space="0" w:color="auto"/>
                                                                        <w:left w:val="none" w:sz="0" w:space="0" w:color="auto"/>
                                                                        <w:bottom w:val="none" w:sz="0" w:space="0" w:color="auto"/>
                                                                        <w:right w:val="none" w:sz="0" w:space="0" w:color="auto"/>
                                                                      </w:divBdr>
                                                                      <w:divsChild>
                                                                        <w:div w:id="1449856660">
                                                                          <w:marLeft w:val="0"/>
                                                                          <w:marRight w:val="0"/>
                                                                          <w:marTop w:val="0"/>
                                                                          <w:marBottom w:val="0"/>
                                                                          <w:divBdr>
                                                                            <w:top w:val="none" w:sz="0" w:space="0" w:color="auto"/>
                                                                            <w:left w:val="none" w:sz="0" w:space="0" w:color="auto"/>
                                                                            <w:bottom w:val="none" w:sz="0" w:space="0" w:color="auto"/>
                                                                            <w:right w:val="none" w:sz="0" w:space="0" w:color="auto"/>
                                                                          </w:divBdr>
                                                                          <w:divsChild>
                                                                            <w:div w:id="340008697">
                                                                              <w:marLeft w:val="0"/>
                                                                              <w:marRight w:val="0"/>
                                                                              <w:marTop w:val="0"/>
                                                                              <w:marBottom w:val="0"/>
                                                                              <w:divBdr>
                                                                                <w:top w:val="none" w:sz="0" w:space="0" w:color="auto"/>
                                                                                <w:left w:val="none" w:sz="0" w:space="0" w:color="auto"/>
                                                                                <w:bottom w:val="none" w:sz="0" w:space="0" w:color="auto"/>
                                                                                <w:right w:val="none" w:sz="0" w:space="0" w:color="auto"/>
                                                                              </w:divBdr>
                                                                              <w:divsChild>
                                                                                <w:div w:id="1297300695">
                                                                                  <w:marLeft w:val="0"/>
                                                                                  <w:marRight w:val="0"/>
                                                                                  <w:marTop w:val="0"/>
                                                                                  <w:marBottom w:val="0"/>
                                                                                  <w:divBdr>
                                                                                    <w:top w:val="none" w:sz="0" w:space="0" w:color="auto"/>
                                                                                    <w:left w:val="none" w:sz="0" w:space="0" w:color="auto"/>
                                                                                    <w:bottom w:val="none" w:sz="0" w:space="0" w:color="auto"/>
                                                                                    <w:right w:val="none" w:sz="0" w:space="0" w:color="auto"/>
                                                                                  </w:divBdr>
                                                                                  <w:divsChild>
                                                                                    <w:div w:id="1516458362">
                                                                                      <w:marLeft w:val="0"/>
                                                                                      <w:marRight w:val="0"/>
                                                                                      <w:marTop w:val="0"/>
                                                                                      <w:marBottom w:val="0"/>
                                                                                      <w:divBdr>
                                                                                        <w:top w:val="none" w:sz="0" w:space="0" w:color="auto"/>
                                                                                        <w:left w:val="none" w:sz="0" w:space="0" w:color="auto"/>
                                                                                        <w:bottom w:val="none" w:sz="0" w:space="0" w:color="auto"/>
                                                                                        <w:right w:val="none" w:sz="0" w:space="0" w:color="auto"/>
                                                                                      </w:divBdr>
                                                                                      <w:divsChild>
                                                                                        <w:div w:id="1963000618">
                                                                                          <w:marLeft w:val="0"/>
                                                                                          <w:marRight w:val="0"/>
                                                                                          <w:marTop w:val="0"/>
                                                                                          <w:marBottom w:val="0"/>
                                                                                          <w:divBdr>
                                                                                            <w:top w:val="none" w:sz="0" w:space="0" w:color="auto"/>
                                                                                            <w:left w:val="none" w:sz="0" w:space="0" w:color="auto"/>
                                                                                            <w:bottom w:val="none" w:sz="0" w:space="0" w:color="auto"/>
                                                                                            <w:right w:val="none" w:sz="0" w:space="0" w:color="auto"/>
                                                                                          </w:divBdr>
                                                                                          <w:divsChild>
                                                                                            <w:div w:id="343170371">
                                                                                              <w:marLeft w:val="0"/>
                                                                                              <w:marRight w:val="0"/>
                                                                                              <w:marTop w:val="0"/>
                                                                                              <w:marBottom w:val="0"/>
                                                                                              <w:divBdr>
                                                                                                <w:top w:val="none" w:sz="0" w:space="0" w:color="auto"/>
                                                                                                <w:left w:val="none" w:sz="0" w:space="0" w:color="auto"/>
                                                                                                <w:bottom w:val="none" w:sz="0" w:space="0" w:color="auto"/>
                                                                                                <w:right w:val="none" w:sz="0" w:space="0" w:color="auto"/>
                                                                                              </w:divBdr>
                                                                                              <w:divsChild>
                                                                                                <w:div w:id="1526479847">
                                                                                                  <w:marLeft w:val="0"/>
                                                                                                  <w:marRight w:val="0"/>
                                                                                                  <w:marTop w:val="0"/>
                                                                                                  <w:marBottom w:val="0"/>
                                                                                                  <w:divBdr>
                                                                                                    <w:top w:val="none" w:sz="0" w:space="0" w:color="auto"/>
                                                                                                    <w:left w:val="none" w:sz="0" w:space="0" w:color="auto"/>
                                                                                                    <w:bottom w:val="none" w:sz="0" w:space="0" w:color="auto"/>
                                                                                                    <w:right w:val="none" w:sz="0" w:space="0" w:color="auto"/>
                                                                                                  </w:divBdr>
                                                                                                  <w:divsChild>
                                                                                                    <w:div w:id="1366909908">
                                                                                                      <w:marLeft w:val="0"/>
                                                                                                      <w:marRight w:val="0"/>
                                                                                                      <w:marTop w:val="0"/>
                                                                                                      <w:marBottom w:val="0"/>
                                                                                                      <w:divBdr>
                                                                                                        <w:top w:val="none" w:sz="0" w:space="0" w:color="auto"/>
                                                                                                        <w:left w:val="none" w:sz="0" w:space="0" w:color="auto"/>
                                                                                                        <w:bottom w:val="none" w:sz="0" w:space="0" w:color="auto"/>
                                                                                                        <w:right w:val="none" w:sz="0" w:space="0" w:color="auto"/>
                                                                                                      </w:divBdr>
                                                                                                      <w:divsChild>
                                                                                                        <w:div w:id="1792549726">
                                                                                                          <w:marLeft w:val="0"/>
                                                                                                          <w:marRight w:val="0"/>
                                                                                                          <w:marTop w:val="0"/>
                                                                                                          <w:marBottom w:val="0"/>
                                                                                                          <w:divBdr>
                                                                                                            <w:top w:val="none" w:sz="0" w:space="0" w:color="auto"/>
                                                                                                            <w:left w:val="none" w:sz="0" w:space="0" w:color="auto"/>
                                                                                                            <w:bottom w:val="none" w:sz="0" w:space="0" w:color="auto"/>
                                                                                                            <w:right w:val="none" w:sz="0" w:space="0" w:color="auto"/>
                                                                                                          </w:divBdr>
                                                                                                          <w:divsChild>
                                                                                                            <w:div w:id="880631897">
                                                                                                              <w:marLeft w:val="0"/>
                                                                                                              <w:marRight w:val="0"/>
                                                                                                              <w:marTop w:val="0"/>
                                                                                                              <w:marBottom w:val="0"/>
                                                                                                              <w:divBdr>
                                                                                                                <w:top w:val="none" w:sz="0" w:space="0" w:color="auto"/>
                                                                                                                <w:left w:val="none" w:sz="0" w:space="0" w:color="auto"/>
                                                                                                                <w:bottom w:val="none" w:sz="0" w:space="0" w:color="auto"/>
                                                                                                                <w:right w:val="none" w:sz="0" w:space="0" w:color="auto"/>
                                                                                                              </w:divBdr>
                                                                                                              <w:divsChild>
                                                                                                                <w:div w:id="58900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0138778">
      <w:bodyDiv w:val="1"/>
      <w:marLeft w:val="0"/>
      <w:marRight w:val="0"/>
      <w:marTop w:val="0"/>
      <w:marBottom w:val="0"/>
      <w:divBdr>
        <w:top w:val="none" w:sz="0" w:space="0" w:color="auto"/>
        <w:left w:val="none" w:sz="0" w:space="0" w:color="auto"/>
        <w:bottom w:val="none" w:sz="0" w:space="0" w:color="auto"/>
        <w:right w:val="none" w:sz="0" w:space="0" w:color="auto"/>
      </w:divBdr>
    </w:div>
    <w:div w:id="64183315">
      <w:bodyDiv w:val="1"/>
      <w:marLeft w:val="0"/>
      <w:marRight w:val="0"/>
      <w:marTop w:val="0"/>
      <w:marBottom w:val="0"/>
      <w:divBdr>
        <w:top w:val="none" w:sz="0" w:space="0" w:color="auto"/>
        <w:left w:val="none" w:sz="0" w:space="0" w:color="auto"/>
        <w:bottom w:val="none" w:sz="0" w:space="0" w:color="auto"/>
        <w:right w:val="none" w:sz="0" w:space="0" w:color="auto"/>
      </w:divBdr>
    </w:div>
    <w:div w:id="206916290">
      <w:bodyDiv w:val="1"/>
      <w:marLeft w:val="0"/>
      <w:marRight w:val="0"/>
      <w:marTop w:val="0"/>
      <w:marBottom w:val="0"/>
      <w:divBdr>
        <w:top w:val="none" w:sz="0" w:space="0" w:color="auto"/>
        <w:left w:val="none" w:sz="0" w:space="0" w:color="auto"/>
        <w:bottom w:val="none" w:sz="0" w:space="0" w:color="auto"/>
        <w:right w:val="none" w:sz="0" w:space="0" w:color="auto"/>
      </w:divBdr>
    </w:div>
    <w:div w:id="296643580">
      <w:bodyDiv w:val="1"/>
      <w:marLeft w:val="0"/>
      <w:marRight w:val="0"/>
      <w:marTop w:val="0"/>
      <w:marBottom w:val="0"/>
      <w:divBdr>
        <w:top w:val="none" w:sz="0" w:space="0" w:color="auto"/>
        <w:left w:val="none" w:sz="0" w:space="0" w:color="auto"/>
        <w:bottom w:val="none" w:sz="0" w:space="0" w:color="auto"/>
        <w:right w:val="none" w:sz="0" w:space="0" w:color="auto"/>
      </w:divBdr>
    </w:div>
    <w:div w:id="336159352">
      <w:bodyDiv w:val="1"/>
      <w:marLeft w:val="0"/>
      <w:marRight w:val="0"/>
      <w:marTop w:val="0"/>
      <w:marBottom w:val="0"/>
      <w:divBdr>
        <w:top w:val="none" w:sz="0" w:space="0" w:color="auto"/>
        <w:left w:val="none" w:sz="0" w:space="0" w:color="auto"/>
        <w:bottom w:val="none" w:sz="0" w:space="0" w:color="auto"/>
        <w:right w:val="none" w:sz="0" w:space="0" w:color="auto"/>
      </w:divBdr>
    </w:div>
    <w:div w:id="468519843">
      <w:bodyDiv w:val="1"/>
      <w:marLeft w:val="0"/>
      <w:marRight w:val="0"/>
      <w:marTop w:val="0"/>
      <w:marBottom w:val="0"/>
      <w:divBdr>
        <w:top w:val="none" w:sz="0" w:space="0" w:color="auto"/>
        <w:left w:val="none" w:sz="0" w:space="0" w:color="auto"/>
        <w:bottom w:val="none" w:sz="0" w:space="0" w:color="auto"/>
        <w:right w:val="none" w:sz="0" w:space="0" w:color="auto"/>
      </w:divBdr>
      <w:divsChild>
        <w:div w:id="336924366">
          <w:marLeft w:val="274"/>
          <w:marRight w:val="0"/>
          <w:marTop w:val="0"/>
          <w:marBottom w:val="0"/>
          <w:divBdr>
            <w:top w:val="none" w:sz="0" w:space="0" w:color="auto"/>
            <w:left w:val="none" w:sz="0" w:space="0" w:color="auto"/>
            <w:bottom w:val="none" w:sz="0" w:space="0" w:color="auto"/>
            <w:right w:val="none" w:sz="0" w:space="0" w:color="auto"/>
          </w:divBdr>
        </w:div>
        <w:div w:id="1788350422">
          <w:marLeft w:val="274"/>
          <w:marRight w:val="0"/>
          <w:marTop w:val="0"/>
          <w:marBottom w:val="0"/>
          <w:divBdr>
            <w:top w:val="none" w:sz="0" w:space="0" w:color="auto"/>
            <w:left w:val="none" w:sz="0" w:space="0" w:color="auto"/>
            <w:bottom w:val="none" w:sz="0" w:space="0" w:color="auto"/>
            <w:right w:val="none" w:sz="0" w:space="0" w:color="auto"/>
          </w:divBdr>
        </w:div>
        <w:div w:id="1130783964">
          <w:marLeft w:val="274"/>
          <w:marRight w:val="0"/>
          <w:marTop w:val="0"/>
          <w:marBottom w:val="0"/>
          <w:divBdr>
            <w:top w:val="none" w:sz="0" w:space="0" w:color="auto"/>
            <w:left w:val="none" w:sz="0" w:space="0" w:color="auto"/>
            <w:bottom w:val="none" w:sz="0" w:space="0" w:color="auto"/>
            <w:right w:val="none" w:sz="0" w:space="0" w:color="auto"/>
          </w:divBdr>
        </w:div>
        <w:div w:id="2019771788">
          <w:marLeft w:val="274"/>
          <w:marRight w:val="0"/>
          <w:marTop w:val="0"/>
          <w:marBottom w:val="0"/>
          <w:divBdr>
            <w:top w:val="none" w:sz="0" w:space="0" w:color="auto"/>
            <w:left w:val="none" w:sz="0" w:space="0" w:color="auto"/>
            <w:bottom w:val="none" w:sz="0" w:space="0" w:color="auto"/>
            <w:right w:val="none" w:sz="0" w:space="0" w:color="auto"/>
          </w:divBdr>
        </w:div>
        <w:div w:id="371343175">
          <w:marLeft w:val="274"/>
          <w:marRight w:val="0"/>
          <w:marTop w:val="0"/>
          <w:marBottom w:val="0"/>
          <w:divBdr>
            <w:top w:val="none" w:sz="0" w:space="0" w:color="auto"/>
            <w:left w:val="none" w:sz="0" w:space="0" w:color="auto"/>
            <w:bottom w:val="none" w:sz="0" w:space="0" w:color="auto"/>
            <w:right w:val="none" w:sz="0" w:space="0" w:color="auto"/>
          </w:divBdr>
        </w:div>
      </w:divsChild>
    </w:div>
    <w:div w:id="508565660">
      <w:bodyDiv w:val="1"/>
      <w:marLeft w:val="0"/>
      <w:marRight w:val="0"/>
      <w:marTop w:val="0"/>
      <w:marBottom w:val="0"/>
      <w:divBdr>
        <w:top w:val="none" w:sz="0" w:space="0" w:color="auto"/>
        <w:left w:val="none" w:sz="0" w:space="0" w:color="auto"/>
        <w:bottom w:val="none" w:sz="0" w:space="0" w:color="auto"/>
        <w:right w:val="none" w:sz="0" w:space="0" w:color="auto"/>
      </w:divBdr>
    </w:div>
    <w:div w:id="693767900">
      <w:bodyDiv w:val="1"/>
      <w:marLeft w:val="0"/>
      <w:marRight w:val="0"/>
      <w:marTop w:val="0"/>
      <w:marBottom w:val="0"/>
      <w:divBdr>
        <w:top w:val="none" w:sz="0" w:space="0" w:color="auto"/>
        <w:left w:val="none" w:sz="0" w:space="0" w:color="auto"/>
        <w:bottom w:val="none" w:sz="0" w:space="0" w:color="auto"/>
        <w:right w:val="none" w:sz="0" w:space="0" w:color="auto"/>
      </w:divBdr>
    </w:div>
    <w:div w:id="699860701">
      <w:bodyDiv w:val="1"/>
      <w:marLeft w:val="0"/>
      <w:marRight w:val="0"/>
      <w:marTop w:val="0"/>
      <w:marBottom w:val="0"/>
      <w:divBdr>
        <w:top w:val="none" w:sz="0" w:space="0" w:color="auto"/>
        <w:left w:val="none" w:sz="0" w:space="0" w:color="auto"/>
        <w:bottom w:val="none" w:sz="0" w:space="0" w:color="auto"/>
        <w:right w:val="none" w:sz="0" w:space="0" w:color="auto"/>
      </w:divBdr>
      <w:divsChild>
        <w:div w:id="904486376">
          <w:marLeft w:val="0"/>
          <w:marRight w:val="0"/>
          <w:marTop w:val="0"/>
          <w:marBottom w:val="0"/>
          <w:divBdr>
            <w:top w:val="none" w:sz="0" w:space="0" w:color="auto"/>
            <w:left w:val="none" w:sz="0" w:space="0" w:color="auto"/>
            <w:bottom w:val="none" w:sz="0" w:space="0" w:color="auto"/>
            <w:right w:val="none" w:sz="0" w:space="0" w:color="auto"/>
          </w:divBdr>
          <w:divsChild>
            <w:div w:id="25529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563135">
      <w:bodyDiv w:val="1"/>
      <w:marLeft w:val="0"/>
      <w:marRight w:val="0"/>
      <w:marTop w:val="0"/>
      <w:marBottom w:val="0"/>
      <w:divBdr>
        <w:top w:val="none" w:sz="0" w:space="0" w:color="auto"/>
        <w:left w:val="none" w:sz="0" w:space="0" w:color="auto"/>
        <w:bottom w:val="none" w:sz="0" w:space="0" w:color="auto"/>
        <w:right w:val="none" w:sz="0" w:space="0" w:color="auto"/>
      </w:divBdr>
    </w:div>
    <w:div w:id="1083070810">
      <w:bodyDiv w:val="1"/>
      <w:marLeft w:val="0"/>
      <w:marRight w:val="0"/>
      <w:marTop w:val="0"/>
      <w:marBottom w:val="0"/>
      <w:divBdr>
        <w:top w:val="none" w:sz="0" w:space="0" w:color="auto"/>
        <w:left w:val="none" w:sz="0" w:space="0" w:color="auto"/>
        <w:bottom w:val="none" w:sz="0" w:space="0" w:color="auto"/>
        <w:right w:val="none" w:sz="0" w:space="0" w:color="auto"/>
      </w:divBdr>
    </w:div>
    <w:div w:id="1129975419">
      <w:bodyDiv w:val="1"/>
      <w:marLeft w:val="0"/>
      <w:marRight w:val="0"/>
      <w:marTop w:val="0"/>
      <w:marBottom w:val="0"/>
      <w:divBdr>
        <w:top w:val="none" w:sz="0" w:space="0" w:color="auto"/>
        <w:left w:val="none" w:sz="0" w:space="0" w:color="auto"/>
        <w:bottom w:val="none" w:sz="0" w:space="0" w:color="auto"/>
        <w:right w:val="none" w:sz="0" w:space="0" w:color="auto"/>
      </w:divBdr>
    </w:div>
    <w:div w:id="1235506551">
      <w:bodyDiv w:val="1"/>
      <w:marLeft w:val="0"/>
      <w:marRight w:val="0"/>
      <w:marTop w:val="0"/>
      <w:marBottom w:val="0"/>
      <w:divBdr>
        <w:top w:val="none" w:sz="0" w:space="0" w:color="auto"/>
        <w:left w:val="none" w:sz="0" w:space="0" w:color="auto"/>
        <w:bottom w:val="none" w:sz="0" w:space="0" w:color="auto"/>
        <w:right w:val="none" w:sz="0" w:space="0" w:color="auto"/>
      </w:divBdr>
      <w:divsChild>
        <w:div w:id="916480672">
          <w:marLeft w:val="0"/>
          <w:marRight w:val="0"/>
          <w:marTop w:val="0"/>
          <w:marBottom w:val="0"/>
          <w:divBdr>
            <w:top w:val="none" w:sz="0" w:space="0" w:color="auto"/>
            <w:left w:val="none" w:sz="0" w:space="0" w:color="auto"/>
            <w:bottom w:val="none" w:sz="0" w:space="0" w:color="auto"/>
            <w:right w:val="none" w:sz="0" w:space="0" w:color="auto"/>
          </w:divBdr>
          <w:divsChild>
            <w:div w:id="214180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572412">
      <w:bodyDiv w:val="1"/>
      <w:marLeft w:val="0"/>
      <w:marRight w:val="0"/>
      <w:marTop w:val="0"/>
      <w:marBottom w:val="0"/>
      <w:divBdr>
        <w:top w:val="none" w:sz="0" w:space="0" w:color="auto"/>
        <w:left w:val="none" w:sz="0" w:space="0" w:color="auto"/>
        <w:bottom w:val="none" w:sz="0" w:space="0" w:color="auto"/>
        <w:right w:val="none" w:sz="0" w:space="0" w:color="auto"/>
      </w:divBdr>
    </w:div>
    <w:div w:id="1651783429">
      <w:bodyDiv w:val="1"/>
      <w:marLeft w:val="0"/>
      <w:marRight w:val="0"/>
      <w:marTop w:val="0"/>
      <w:marBottom w:val="0"/>
      <w:divBdr>
        <w:top w:val="none" w:sz="0" w:space="0" w:color="auto"/>
        <w:left w:val="none" w:sz="0" w:space="0" w:color="auto"/>
        <w:bottom w:val="none" w:sz="0" w:space="0" w:color="auto"/>
        <w:right w:val="none" w:sz="0" w:space="0" w:color="auto"/>
      </w:divBdr>
    </w:div>
    <w:div w:id="1844079191">
      <w:bodyDiv w:val="1"/>
      <w:marLeft w:val="0"/>
      <w:marRight w:val="0"/>
      <w:marTop w:val="0"/>
      <w:marBottom w:val="0"/>
      <w:divBdr>
        <w:top w:val="none" w:sz="0" w:space="0" w:color="auto"/>
        <w:left w:val="none" w:sz="0" w:space="0" w:color="auto"/>
        <w:bottom w:val="none" w:sz="0" w:space="0" w:color="auto"/>
        <w:right w:val="none" w:sz="0" w:space="0" w:color="auto"/>
      </w:divBdr>
    </w:div>
    <w:div w:id="1890070379">
      <w:bodyDiv w:val="1"/>
      <w:marLeft w:val="0"/>
      <w:marRight w:val="0"/>
      <w:marTop w:val="0"/>
      <w:marBottom w:val="0"/>
      <w:divBdr>
        <w:top w:val="none" w:sz="0" w:space="0" w:color="auto"/>
        <w:left w:val="none" w:sz="0" w:space="0" w:color="auto"/>
        <w:bottom w:val="none" w:sz="0" w:space="0" w:color="auto"/>
        <w:right w:val="none" w:sz="0" w:space="0" w:color="auto"/>
      </w:divBdr>
      <w:divsChild>
        <w:div w:id="1848322454">
          <w:marLeft w:val="0"/>
          <w:marRight w:val="0"/>
          <w:marTop w:val="0"/>
          <w:marBottom w:val="0"/>
          <w:divBdr>
            <w:top w:val="none" w:sz="0" w:space="0" w:color="auto"/>
            <w:left w:val="none" w:sz="0" w:space="0" w:color="auto"/>
            <w:bottom w:val="none" w:sz="0" w:space="0" w:color="auto"/>
            <w:right w:val="none" w:sz="0" w:space="0" w:color="auto"/>
          </w:divBdr>
          <w:divsChild>
            <w:div w:id="108362133">
              <w:marLeft w:val="0"/>
              <w:marRight w:val="0"/>
              <w:marTop w:val="0"/>
              <w:marBottom w:val="0"/>
              <w:divBdr>
                <w:top w:val="none" w:sz="0" w:space="0" w:color="auto"/>
                <w:left w:val="none" w:sz="0" w:space="0" w:color="auto"/>
                <w:bottom w:val="none" w:sz="0" w:space="0" w:color="auto"/>
                <w:right w:val="none" w:sz="0" w:space="0" w:color="auto"/>
              </w:divBdr>
              <w:divsChild>
                <w:div w:id="1610698607">
                  <w:marLeft w:val="0"/>
                  <w:marRight w:val="0"/>
                  <w:marTop w:val="0"/>
                  <w:marBottom w:val="0"/>
                  <w:divBdr>
                    <w:top w:val="none" w:sz="0" w:space="0" w:color="auto"/>
                    <w:left w:val="none" w:sz="0" w:space="0" w:color="auto"/>
                    <w:bottom w:val="none" w:sz="0" w:space="0" w:color="auto"/>
                    <w:right w:val="none" w:sz="0" w:space="0" w:color="auto"/>
                  </w:divBdr>
                  <w:divsChild>
                    <w:div w:id="690113073">
                      <w:marLeft w:val="0"/>
                      <w:marRight w:val="0"/>
                      <w:marTop w:val="0"/>
                      <w:marBottom w:val="0"/>
                      <w:divBdr>
                        <w:top w:val="none" w:sz="0" w:space="0" w:color="auto"/>
                        <w:left w:val="none" w:sz="0" w:space="0" w:color="auto"/>
                        <w:bottom w:val="none" w:sz="0" w:space="0" w:color="auto"/>
                        <w:right w:val="none" w:sz="0" w:space="0" w:color="auto"/>
                      </w:divBdr>
                      <w:divsChild>
                        <w:div w:id="116874237">
                          <w:marLeft w:val="0"/>
                          <w:marRight w:val="0"/>
                          <w:marTop w:val="0"/>
                          <w:marBottom w:val="0"/>
                          <w:divBdr>
                            <w:top w:val="none" w:sz="0" w:space="0" w:color="auto"/>
                            <w:left w:val="none" w:sz="0" w:space="0" w:color="auto"/>
                            <w:bottom w:val="none" w:sz="0" w:space="0" w:color="auto"/>
                            <w:right w:val="none" w:sz="0" w:space="0" w:color="auto"/>
                          </w:divBdr>
                          <w:divsChild>
                            <w:div w:id="798298797">
                              <w:marLeft w:val="0"/>
                              <w:marRight w:val="0"/>
                              <w:marTop w:val="0"/>
                              <w:marBottom w:val="0"/>
                              <w:divBdr>
                                <w:top w:val="none" w:sz="0" w:space="0" w:color="auto"/>
                                <w:left w:val="none" w:sz="0" w:space="0" w:color="auto"/>
                                <w:bottom w:val="none" w:sz="0" w:space="0" w:color="auto"/>
                                <w:right w:val="none" w:sz="0" w:space="0" w:color="auto"/>
                              </w:divBdr>
                              <w:divsChild>
                                <w:div w:id="1881866385">
                                  <w:marLeft w:val="0"/>
                                  <w:marRight w:val="0"/>
                                  <w:marTop w:val="0"/>
                                  <w:marBottom w:val="0"/>
                                  <w:divBdr>
                                    <w:top w:val="none" w:sz="0" w:space="0" w:color="auto"/>
                                    <w:left w:val="none" w:sz="0" w:space="0" w:color="auto"/>
                                    <w:bottom w:val="none" w:sz="0" w:space="0" w:color="auto"/>
                                    <w:right w:val="none" w:sz="0" w:space="0" w:color="auto"/>
                                  </w:divBdr>
                                  <w:divsChild>
                                    <w:div w:id="627468945">
                                      <w:marLeft w:val="0"/>
                                      <w:marRight w:val="0"/>
                                      <w:marTop w:val="0"/>
                                      <w:marBottom w:val="0"/>
                                      <w:divBdr>
                                        <w:top w:val="none" w:sz="0" w:space="0" w:color="auto"/>
                                        <w:left w:val="none" w:sz="0" w:space="0" w:color="auto"/>
                                        <w:bottom w:val="none" w:sz="0" w:space="0" w:color="auto"/>
                                        <w:right w:val="none" w:sz="0" w:space="0" w:color="auto"/>
                                      </w:divBdr>
                                      <w:divsChild>
                                        <w:div w:id="115219389">
                                          <w:marLeft w:val="0"/>
                                          <w:marRight w:val="0"/>
                                          <w:marTop w:val="0"/>
                                          <w:marBottom w:val="0"/>
                                          <w:divBdr>
                                            <w:top w:val="none" w:sz="0" w:space="0" w:color="auto"/>
                                            <w:left w:val="none" w:sz="0" w:space="0" w:color="auto"/>
                                            <w:bottom w:val="none" w:sz="0" w:space="0" w:color="auto"/>
                                            <w:right w:val="none" w:sz="0" w:space="0" w:color="auto"/>
                                          </w:divBdr>
                                          <w:divsChild>
                                            <w:div w:id="1923876541">
                                              <w:marLeft w:val="0"/>
                                              <w:marRight w:val="0"/>
                                              <w:marTop w:val="0"/>
                                              <w:marBottom w:val="0"/>
                                              <w:divBdr>
                                                <w:top w:val="none" w:sz="0" w:space="0" w:color="auto"/>
                                                <w:left w:val="none" w:sz="0" w:space="0" w:color="auto"/>
                                                <w:bottom w:val="none" w:sz="0" w:space="0" w:color="auto"/>
                                                <w:right w:val="none" w:sz="0" w:space="0" w:color="auto"/>
                                              </w:divBdr>
                                              <w:divsChild>
                                                <w:div w:id="1398940551">
                                                  <w:marLeft w:val="0"/>
                                                  <w:marRight w:val="0"/>
                                                  <w:marTop w:val="0"/>
                                                  <w:marBottom w:val="0"/>
                                                  <w:divBdr>
                                                    <w:top w:val="none" w:sz="0" w:space="0" w:color="auto"/>
                                                    <w:left w:val="none" w:sz="0" w:space="0" w:color="auto"/>
                                                    <w:bottom w:val="none" w:sz="0" w:space="0" w:color="auto"/>
                                                    <w:right w:val="none" w:sz="0" w:space="0" w:color="auto"/>
                                                  </w:divBdr>
                                                  <w:divsChild>
                                                    <w:div w:id="1220089434">
                                                      <w:marLeft w:val="0"/>
                                                      <w:marRight w:val="0"/>
                                                      <w:marTop w:val="0"/>
                                                      <w:marBottom w:val="0"/>
                                                      <w:divBdr>
                                                        <w:top w:val="none" w:sz="0" w:space="0" w:color="auto"/>
                                                        <w:left w:val="none" w:sz="0" w:space="0" w:color="auto"/>
                                                        <w:bottom w:val="none" w:sz="0" w:space="0" w:color="auto"/>
                                                        <w:right w:val="none" w:sz="0" w:space="0" w:color="auto"/>
                                                      </w:divBdr>
                                                      <w:divsChild>
                                                        <w:div w:id="1675065694">
                                                          <w:marLeft w:val="0"/>
                                                          <w:marRight w:val="0"/>
                                                          <w:marTop w:val="0"/>
                                                          <w:marBottom w:val="0"/>
                                                          <w:divBdr>
                                                            <w:top w:val="none" w:sz="0" w:space="0" w:color="auto"/>
                                                            <w:left w:val="none" w:sz="0" w:space="0" w:color="auto"/>
                                                            <w:bottom w:val="none" w:sz="0" w:space="0" w:color="auto"/>
                                                            <w:right w:val="none" w:sz="0" w:space="0" w:color="auto"/>
                                                          </w:divBdr>
                                                          <w:divsChild>
                                                            <w:div w:id="717969003">
                                                              <w:marLeft w:val="0"/>
                                                              <w:marRight w:val="0"/>
                                                              <w:marTop w:val="0"/>
                                                              <w:marBottom w:val="0"/>
                                                              <w:divBdr>
                                                                <w:top w:val="none" w:sz="0" w:space="0" w:color="auto"/>
                                                                <w:left w:val="none" w:sz="0" w:space="0" w:color="auto"/>
                                                                <w:bottom w:val="none" w:sz="0" w:space="0" w:color="auto"/>
                                                                <w:right w:val="none" w:sz="0" w:space="0" w:color="auto"/>
                                                              </w:divBdr>
                                                              <w:divsChild>
                                                                <w:div w:id="175577451">
                                                                  <w:marLeft w:val="0"/>
                                                                  <w:marRight w:val="0"/>
                                                                  <w:marTop w:val="0"/>
                                                                  <w:marBottom w:val="0"/>
                                                                  <w:divBdr>
                                                                    <w:top w:val="none" w:sz="0" w:space="0" w:color="auto"/>
                                                                    <w:left w:val="none" w:sz="0" w:space="0" w:color="auto"/>
                                                                    <w:bottom w:val="none" w:sz="0" w:space="0" w:color="auto"/>
                                                                    <w:right w:val="none" w:sz="0" w:space="0" w:color="auto"/>
                                                                  </w:divBdr>
                                                                  <w:divsChild>
                                                                    <w:div w:id="1398475510">
                                                                      <w:marLeft w:val="0"/>
                                                                      <w:marRight w:val="0"/>
                                                                      <w:marTop w:val="0"/>
                                                                      <w:marBottom w:val="0"/>
                                                                      <w:divBdr>
                                                                        <w:top w:val="none" w:sz="0" w:space="0" w:color="auto"/>
                                                                        <w:left w:val="none" w:sz="0" w:space="0" w:color="auto"/>
                                                                        <w:bottom w:val="none" w:sz="0" w:space="0" w:color="auto"/>
                                                                        <w:right w:val="none" w:sz="0" w:space="0" w:color="auto"/>
                                                                      </w:divBdr>
                                                                      <w:divsChild>
                                                                        <w:div w:id="1998220234">
                                                                          <w:marLeft w:val="0"/>
                                                                          <w:marRight w:val="0"/>
                                                                          <w:marTop w:val="0"/>
                                                                          <w:marBottom w:val="0"/>
                                                                          <w:divBdr>
                                                                            <w:top w:val="none" w:sz="0" w:space="0" w:color="auto"/>
                                                                            <w:left w:val="none" w:sz="0" w:space="0" w:color="auto"/>
                                                                            <w:bottom w:val="none" w:sz="0" w:space="0" w:color="auto"/>
                                                                            <w:right w:val="none" w:sz="0" w:space="0" w:color="auto"/>
                                                                          </w:divBdr>
                                                                          <w:divsChild>
                                                                            <w:div w:id="547033192">
                                                                              <w:marLeft w:val="0"/>
                                                                              <w:marRight w:val="0"/>
                                                                              <w:marTop w:val="0"/>
                                                                              <w:marBottom w:val="0"/>
                                                                              <w:divBdr>
                                                                                <w:top w:val="none" w:sz="0" w:space="0" w:color="auto"/>
                                                                                <w:left w:val="none" w:sz="0" w:space="0" w:color="auto"/>
                                                                                <w:bottom w:val="none" w:sz="0" w:space="0" w:color="auto"/>
                                                                                <w:right w:val="none" w:sz="0" w:space="0" w:color="auto"/>
                                                                              </w:divBdr>
                                                                              <w:divsChild>
                                                                                <w:div w:id="1478034456">
                                                                                  <w:marLeft w:val="0"/>
                                                                                  <w:marRight w:val="0"/>
                                                                                  <w:marTop w:val="0"/>
                                                                                  <w:marBottom w:val="0"/>
                                                                                  <w:divBdr>
                                                                                    <w:top w:val="none" w:sz="0" w:space="0" w:color="auto"/>
                                                                                    <w:left w:val="none" w:sz="0" w:space="0" w:color="auto"/>
                                                                                    <w:bottom w:val="none" w:sz="0" w:space="0" w:color="auto"/>
                                                                                    <w:right w:val="none" w:sz="0" w:space="0" w:color="auto"/>
                                                                                  </w:divBdr>
                                                                                  <w:divsChild>
                                                                                    <w:div w:id="596719028">
                                                                                      <w:marLeft w:val="0"/>
                                                                                      <w:marRight w:val="0"/>
                                                                                      <w:marTop w:val="0"/>
                                                                                      <w:marBottom w:val="0"/>
                                                                                      <w:divBdr>
                                                                                        <w:top w:val="none" w:sz="0" w:space="0" w:color="auto"/>
                                                                                        <w:left w:val="none" w:sz="0" w:space="0" w:color="auto"/>
                                                                                        <w:bottom w:val="none" w:sz="0" w:space="0" w:color="auto"/>
                                                                                        <w:right w:val="none" w:sz="0" w:space="0" w:color="auto"/>
                                                                                      </w:divBdr>
                                                                                      <w:divsChild>
                                                                                        <w:div w:id="1467090598">
                                                                                          <w:marLeft w:val="0"/>
                                                                                          <w:marRight w:val="0"/>
                                                                                          <w:marTop w:val="0"/>
                                                                                          <w:marBottom w:val="0"/>
                                                                                          <w:divBdr>
                                                                                            <w:top w:val="none" w:sz="0" w:space="0" w:color="auto"/>
                                                                                            <w:left w:val="none" w:sz="0" w:space="0" w:color="auto"/>
                                                                                            <w:bottom w:val="none" w:sz="0" w:space="0" w:color="auto"/>
                                                                                            <w:right w:val="none" w:sz="0" w:space="0" w:color="auto"/>
                                                                                          </w:divBdr>
                                                                                          <w:divsChild>
                                                                                            <w:div w:id="1627084959">
                                                                                              <w:marLeft w:val="0"/>
                                                                                              <w:marRight w:val="0"/>
                                                                                              <w:marTop w:val="0"/>
                                                                                              <w:marBottom w:val="0"/>
                                                                                              <w:divBdr>
                                                                                                <w:top w:val="none" w:sz="0" w:space="0" w:color="auto"/>
                                                                                                <w:left w:val="none" w:sz="0" w:space="0" w:color="auto"/>
                                                                                                <w:bottom w:val="none" w:sz="0" w:space="0" w:color="auto"/>
                                                                                                <w:right w:val="none" w:sz="0" w:space="0" w:color="auto"/>
                                                                                              </w:divBdr>
                                                                                              <w:divsChild>
                                                                                                <w:div w:id="1036470173">
                                                                                                  <w:marLeft w:val="0"/>
                                                                                                  <w:marRight w:val="0"/>
                                                                                                  <w:marTop w:val="0"/>
                                                                                                  <w:marBottom w:val="0"/>
                                                                                                  <w:divBdr>
                                                                                                    <w:top w:val="none" w:sz="0" w:space="0" w:color="auto"/>
                                                                                                    <w:left w:val="none" w:sz="0" w:space="0" w:color="auto"/>
                                                                                                    <w:bottom w:val="none" w:sz="0" w:space="0" w:color="auto"/>
                                                                                                    <w:right w:val="none" w:sz="0" w:space="0" w:color="auto"/>
                                                                                                  </w:divBdr>
                                                                                                </w:div>
                                                                                              </w:divsChild>
                                                                                            </w:div>
                                                                                            <w:div w:id="1128478199">
                                                                                              <w:marLeft w:val="0"/>
                                                                                              <w:marRight w:val="0"/>
                                                                                              <w:marTop w:val="0"/>
                                                                                              <w:marBottom w:val="0"/>
                                                                                              <w:divBdr>
                                                                                                <w:top w:val="none" w:sz="0" w:space="0" w:color="auto"/>
                                                                                                <w:left w:val="none" w:sz="0" w:space="0" w:color="auto"/>
                                                                                                <w:bottom w:val="none" w:sz="0" w:space="0" w:color="auto"/>
                                                                                                <w:right w:val="none" w:sz="0" w:space="0" w:color="auto"/>
                                                                                              </w:divBdr>
                                                                                              <w:divsChild>
                                                                                                <w:div w:id="144180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05907187">
                                                      <w:marLeft w:val="0"/>
                                                      <w:marRight w:val="0"/>
                                                      <w:marTop w:val="0"/>
                                                      <w:marBottom w:val="0"/>
                                                      <w:divBdr>
                                                        <w:top w:val="none" w:sz="0" w:space="0" w:color="auto"/>
                                                        <w:left w:val="none" w:sz="0" w:space="0" w:color="auto"/>
                                                        <w:bottom w:val="none" w:sz="0" w:space="0" w:color="auto"/>
                                                        <w:right w:val="none" w:sz="0" w:space="0" w:color="auto"/>
                                                      </w:divBdr>
                                                      <w:divsChild>
                                                        <w:div w:id="2041003321">
                                                          <w:marLeft w:val="0"/>
                                                          <w:marRight w:val="0"/>
                                                          <w:marTop w:val="0"/>
                                                          <w:marBottom w:val="0"/>
                                                          <w:divBdr>
                                                            <w:top w:val="none" w:sz="0" w:space="0" w:color="auto"/>
                                                            <w:left w:val="none" w:sz="0" w:space="0" w:color="auto"/>
                                                            <w:bottom w:val="none" w:sz="0" w:space="0" w:color="auto"/>
                                                            <w:right w:val="none" w:sz="0" w:space="0" w:color="auto"/>
                                                          </w:divBdr>
                                                          <w:divsChild>
                                                            <w:div w:id="763261446">
                                                              <w:marLeft w:val="0"/>
                                                              <w:marRight w:val="0"/>
                                                              <w:marTop w:val="0"/>
                                                              <w:marBottom w:val="0"/>
                                                              <w:divBdr>
                                                                <w:top w:val="none" w:sz="0" w:space="0" w:color="auto"/>
                                                                <w:left w:val="none" w:sz="0" w:space="0" w:color="auto"/>
                                                                <w:bottom w:val="none" w:sz="0" w:space="0" w:color="auto"/>
                                                                <w:right w:val="none" w:sz="0" w:space="0" w:color="auto"/>
                                                              </w:divBdr>
                                                              <w:divsChild>
                                                                <w:div w:id="1398239438">
                                                                  <w:marLeft w:val="0"/>
                                                                  <w:marRight w:val="0"/>
                                                                  <w:marTop w:val="0"/>
                                                                  <w:marBottom w:val="0"/>
                                                                  <w:divBdr>
                                                                    <w:top w:val="none" w:sz="0" w:space="0" w:color="auto"/>
                                                                    <w:left w:val="none" w:sz="0" w:space="0" w:color="auto"/>
                                                                    <w:bottom w:val="none" w:sz="0" w:space="0" w:color="auto"/>
                                                                    <w:right w:val="none" w:sz="0" w:space="0" w:color="auto"/>
                                                                  </w:divBdr>
                                                                  <w:divsChild>
                                                                    <w:div w:id="592668528">
                                                                      <w:marLeft w:val="0"/>
                                                                      <w:marRight w:val="0"/>
                                                                      <w:marTop w:val="0"/>
                                                                      <w:marBottom w:val="0"/>
                                                                      <w:divBdr>
                                                                        <w:top w:val="none" w:sz="0" w:space="0" w:color="auto"/>
                                                                        <w:left w:val="none" w:sz="0" w:space="0" w:color="auto"/>
                                                                        <w:bottom w:val="none" w:sz="0" w:space="0" w:color="auto"/>
                                                                        <w:right w:val="none" w:sz="0" w:space="0" w:color="auto"/>
                                                                      </w:divBdr>
                                                                      <w:divsChild>
                                                                        <w:div w:id="570509995">
                                                                          <w:marLeft w:val="0"/>
                                                                          <w:marRight w:val="0"/>
                                                                          <w:marTop w:val="0"/>
                                                                          <w:marBottom w:val="0"/>
                                                                          <w:divBdr>
                                                                            <w:top w:val="none" w:sz="0" w:space="0" w:color="auto"/>
                                                                            <w:left w:val="none" w:sz="0" w:space="0" w:color="auto"/>
                                                                            <w:bottom w:val="none" w:sz="0" w:space="0" w:color="auto"/>
                                                                            <w:right w:val="none" w:sz="0" w:space="0" w:color="auto"/>
                                                                          </w:divBdr>
                                                                          <w:divsChild>
                                                                            <w:div w:id="86005230">
                                                                              <w:marLeft w:val="0"/>
                                                                              <w:marRight w:val="0"/>
                                                                              <w:marTop w:val="0"/>
                                                                              <w:marBottom w:val="0"/>
                                                                              <w:divBdr>
                                                                                <w:top w:val="none" w:sz="0" w:space="0" w:color="auto"/>
                                                                                <w:left w:val="none" w:sz="0" w:space="0" w:color="auto"/>
                                                                                <w:bottom w:val="none" w:sz="0" w:space="0" w:color="auto"/>
                                                                                <w:right w:val="none" w:sz="0" w:space="0" w:color="auto"/>
                                                                              </w:divBdr>
                                                                              <w:divsChild>
                                                                                <w:div w:id="937105860">
                                                                                  <w:marLeft w:val="0"/>
                                                                                  <w:marRight w:val="0"/>
                                                                                  <w:marTop w:val="0"/>
                                                                                  <w:marBottom w:val="0"/>
                                                                                  <w:divBdr>
                                                                                    <w:top w:val="none" w:sz="0" w:space="0" w:color="auto"/>
                                                                                    <w:left w:val="none" w:sz="0" w:space="0" w:color="auto"/>
                                                                                    <w:bottom w:val="none" w:sz="0" w:space="0" w:color="auto"/>
                                                                                    <w:right w:val="none" w:sz="0" w:space="0" w:color="auto"/>
                                                                                  </w:divBdr>
                                                                                  <w:divsChild>
                                                                                    <w:div w:id="1327393657">
                                                                                      <w:marLeft w:val="0"/>
                                                                                      <w:marRight w:val="0"/>
                                                                                      <w:marTop w:val="0"/>
                                                                                      <w:marBottom w:val="0"/>
                                                                                      <w:divBdr>
                                                                                        <w:top w:val="none" w:sz="0" w:space="0" w:color="auto"/>
                                                                                        <w:left w:val="none" w:sz="0" w:space="0" w:color="auto"/>
                                                                                        <w:bottom w:val="none" w:sz="0" w:space="0" w:color="auto"/>
                                                                                        <w:right w:val="none" w:sz="0" w:space="0" w:color="auto"/>
                                                                                      </w:divBdr>
                                                                                      <w:divsChild>
                                                                                        <w:div w:id="2052992956">
                                                                                          <w:marLeft w:val="0"/>
                                                                                          <w:marRight w:val="0"/>
                                                                                          <w:marTop w:val="0"/>
                                                                                          <w:marBottom w:val="0"/>
                                                                                          <w:divBdr>
                                                                                            <w:top w:val="none" w:sz="0" w:space="0" w:color="auto"/>
                                                                                            <w:left w:val="none" w:sz="0" w:space="0" w:color="auto"/>
                                                                                            <w:bottom w:val="none" w:sz="0" w:space="0" w:color="auto"/>
                                                                                            <w:right w:val="none" w:sz="0" w:space="0" w:color="auto"/>
                                                                                          </w:divBdr>
                                                                                          <w:divsChild>
                                                                                            <w:div w:id="516773357">
                                                                                              <w:marLeft w:val="0"/>
                                                                                              <w:marRight w:val="0"/>
                                                                                              <w:marTop w:val="0"/>
                                                                                              <w:marBottom w:val="0"/>
                                                                                              <w:divBdr>
                                                                                                <w:top w:val="none" w:sz="0" w:space="0" w:color="auto"/>
                                                                                                <w:left w:val="none" w:sz="0" w:space="0" w:color="auto"/>
                                                                                                <w:bottom w:val="none" w:sz="0" w:space="0" w:color="auto"/>
                                                                                                <w:right w:val="none" w:sz="0" w:space="0" w:color="auto"/>
                                                                                              </w:divBdr>
                                                                                              <w:divsChild>
                                                                                                <w:div w:id="1274629887">
                                                                                                  <w:marLeft w:val="0"/>
                                                                                                  <w:marRight w:val="0"/>
                                                                                                  <w:marTop w:val="0"/>
                                                                                                  <w:marBottom w:val="0"/>
                                                                                                  <w:divBdr>
                                                                                                    <w:top w:val="none" w:sz="0" w:space="0" w:color="auto"/>
                                                                                                    <w:left w:val="none" w:sz="0" w:space="0" w:color="auto"/>
                                                                                                    <w:bottom w:val="none" w:sz="0" w:space="0" w:color="auto"/>
                                                                                                    <w:right w:val="none" w:sz="0" w:space="0" w:color="auto"/>
                                                                                                  </w:divBdr>
                                                                                                  <w:divsChild>
                                                                                                    <w:div w:id="593704542">
                                                                                                      <w:marLeft w:val="0"/>
                                                                                                      <w:marRight w:val="0"/>
                                                                                                      <w:marTop w:val="0"/>
                                                                                                      <w:marBottom w:val="0"/>
                                                                                                      <w:divBdr>
                                                                                                        <w:top w:val="none" w:sz="0" w:space="0" w:color="auto"/>
                                                                                                        <w:left w:val="none" w:sz="0" w:space="0" w:color="auto"/>
                                                                                                        <w:bottom w:val="none" w:sz="0" w:space="0" w:color="auto"/>
                                                                                                        <w:right w:val="none" w:sz="0" w:space="0" w:color="auto"/>
                                                                                                      </w:divBdr>
                                                                                                      <w:divsChild>
                                                                                                        <w:div w:id="1333025576">
                                                                                                          <w:marLeft w:val="0"/>
                                                                                                          <w:marRight w:val="0"/>
                                                                                                          <w:marTop w:val="0"/>
                                                                                                          <w:marBottom w:val="0"/>
                                                                                                          <w:divBdr>
                                                                                                            <w:top w:val="none" w:sz="0" w:space="0" w:color="auto"/>
                                                                                                            <w:left w:val="none" w:sz="0" w:space="0" w:color="auto"/>
                                                                                                            <w:bottom w:val="none" w:sz="0" w:space="0" w:color="auto"/>
                                                                                                            <w:right w:val="none" w:sz="0" w:space="0" w:color="auto"/>
                                                                                                          </w:divBdr>
                                                                                                          <w:divsChild>
                                                                                                            <w:div w:id="1318192717">
                                                                                                              <w:marLeft w:val="0"/>
                                                                                                              <w:marRight w:val="0"/>
                                                                                                              <w:marTop w:val="0"/>
                                                                                                              <w:marBottom w:val="0"/>
                                                                                                              <w:divBdr>
                                                                                                                <w:top w:val="none" w:sz="0" w:space="0" w:color="auto"/>
                                                                                                                <w:left w:val="none" w:sz="0" w:space="0" w:color="auto"/>
                                                                                                                <w:bottom w:val="none" w:sz="0" w:space="0" w:color="auto"/>
                                                                                                                <w:right w:val="none" w:sz="0" w:space="0" w:color="auto"/>
                                                                                                              </w:divBdr>
                                                                                                              <w:divsChild>
                                                                                                                <w:div w:id="18325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76782748">
      <w:bodyDiv w:val="1"/>
      <w:marLeft w:val="0"/>
      <w:marRight w:val="0"/>
      <w:marTop w:val="0"/>
      <w:marBottom w:val="0"/>
      <w:divBdr>
        <w:top w:val="none" w:sz="0" w:space="0" w:color="auto"/>
        <w:left w:val="none" w:sz="0" w:space="0" w:color="auto"/>
        <w:bottom w:val="none" w:sz="0" w:space="0" w:color="auto"/>
        <w:right w:val="none" w:sz="0" w:space="0" w:color="auto"/>
      </w:divBdr>
    </w:div>
    <w:div w:id="2106489854">
      <w:bodyDiv w:val="1"/>
      <w:marLeft w:val="0"/>
      <w:marRight w:val="0"/>
      <w:marTop w:val="0"/>
      <w:marBottom w:val="0"/>
      <w:divBdr>
        <w:top w:val="none" w:sz="0" w:space="0" w:color="auto"/>
        <w:left w:val="none" w:sz="0" w:space="0" w:color="auto"/>
        <w:bottom w:val="none" w:sz="0" w:space="0" w:color="auto"/>
        <w:right w:val="none" w:sz="0" w:space="0" w:color="auto"/>
      </w:divBdr>
    </w:div>
    <w:div w:id="2135129258">
      <w:bodyDiv w:val="1"/>
      <w:marLeft w:val="0"/>
      <w:marRight w:val="0"/>
      <w:marTop w:val="0"/>
      <w:marBottom w:val="0"/>
      <w:divBdr>
        <w:top w:val="none" w:sz="0" w:space="0" w:color="auto"/>
        <w:left w:val="none" w:sz="0" w:space="0" w:color="auto"/>
        <w:bottom w:val="none" w:sz="0" w:space="0" w:color="auto"/>
        <w:right w:val="none" w:sz="0" w:space="0" w:color="auto"/>
      </w:divBdr>
    </w:div>
    <w:div w:id="21427974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4.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3.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ustomXml" Target="ink/ink2.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3.png"/></Relationships>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TotalTime>
  <Pages>85</Pages>
  <Words>24682</Words>
  <Characters>140693</Characters>
  <Application>Microsoft Office Word</Application>
  <DocSecurity>0</DocSecurity>
  <Lines>1172</Lines>
  <Paragraphs>330</Paragraphs>
  <ScaleCrop>false</ScaleCrop>
  <Manager/>
  <Company/>
  <LinksUpToDate>false</LinksUpToDate>
  <CharactersWithSpaces>165045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keywords/>
  <cp:lastModifiedBy>MD.SAKYF JAWAD</cp:lastModifiedBy>
  <cp:revision>136</cp:revision>
  <dcterms:created xsi:type="dcterms:W3CDTF">2026-09-21T18:44:00Z</dcterms:created>
  <dcterms:modified xsi:type="dcterms:W3CDTF">2026-09-23T20:21:00Z</dcterms:modified>
  <cp:category/>
</cp:coreProperties>
</file>