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gif" ContentType="image/gif"/>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0718A41" wp14:paraId="2E328FC6" wp14:textId="61376AA4">
      <w:pPr>
        <w:pStyle w:val="Normal"/>
        <w:rPr>
          <w:noProof w:val="0"/>
          <w:color w:val="auto"/>
          <w:lang w:val="en-GB"/>
        </w:rPr>
      </w:pPr>
    </w:p>
    <w:p xmlns:wp14="http://schemas.microsoft.com/office/word/2010/wordml" w:rsidP="70718A41" wp14:paraId="3BEBB7AC" wp14:textId="1AB52C6A">
      <w:pPr>
        <w:pStyle w:val="Normal"/>
        <w:rPr>
          <w:noProof w:val="0"/>
          <w:color w:val="auto"/>
          <w:lang w:val="en-GB"/>
        </w:rPr>
      </w:pPr>
    </w:p>
    <w:p xmlns:wp14="http://schemas.microsoft.com/office/word/2010/wordml" w:rsidP="70718A41" wp14:paraId="22FBE88F" wp14:textId="4B212C80">
      <w:pPr>
        <w:pStyle w:val="Normal"/>
        <w:rPr>
          <w:noProof w:val="0"/>
          <w:color w:val="auto"/>
          <w:lang w:val="en-GB"/>
        </w:rPr>
      </w:pPr>
    </w:p>
    <w:p xmlns:wp14="http://schemas.microsoft.com/office/word/2010/wordml" w:rsidP="70718A41" wp14:paraId="1622B019" wp14:textId="019D3967">
      <w:pPr>
        <w:pStyle w:val="Normal"/>
        <w:jc w:val="center"/>
      </w:pPr>
      <w:r w:rsidR="5EED8721">
        <w:drawing>
          <wp:inline xmlns:wp14="http://schemas.microsoft.com/office/word/2010/wordprocessingDrawing" wp14:editId="1E1CEE3B" wp14:anchorId="64D29AE7">
            <wp:extent cx="2514600" cy="1381125"/>
            <wp:effectExtent l="0" t="0" r="0" b="0"/>
            <wp:docPr id="15488296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8829639" name="Picture 1548829639"/>
                    <pic:cNvPicPr/>
                  </pic:nvPicPr>
                  <pic:blipFill>
                    <a:blip xmlns:r="http://schemas.openxmlformats.org/officeDocument/2006/relationships" r:embed="rId1876976736">
                      <a:extLst>
                        <a:ext uri="{28A0092B-C50C-407E-A947-70E740481C1C}">
                          <a14:useLocalDpi xmlns:a14="http://schemas.microsoft.com/office/drawing/2010/main"/>
                        </a:ext>
                      </a:extLst>
                    </a:blip>
                    <a:stretch>
                      <a:fillRect/>
                    </a:stretch>
                  </pic:blipFill>
                  <pic:spPr>
                    <a:xfrm>
                      <a:off x="0" y="0"/>
                      <a:ext cx="2514600" cy="1381125"/>
                    </a:xfrm>
                    <a:prstGeom prst="rect">
                      <a:avLst/>
                    </a:prstGeom>
                  </pic:spPr>
                </pic:pic>
              </a:graphicData>
            </a:graphic>
          </wp:inline>
        </w:drawing>
      </w:r>
    </w:p>
    <w:p xmlns:wp14="http://schemas.microsoft.com/office/word/2010/wordml" w:rsidP="6CFD0B30" wp14:paraId="0146E7AB" wp14:textId="458D8167">
      <w:pPr>
        <w:pStyle w:val="Heading1"/>
        <w:jc w:val="center"/>
        <w:rPr>
          <w:noProof w:val="0"/>
          <w:color w:val="auto"/>
          <w:sz w:val="44"/>
          <w:szCs w:val="44"/>
          <w:lang w:val="en-GB"/>
        </w:rPr>
      </w:pPr>
      <w:r w:rsidRPr="6CFD0B30" w:rsidR="3ACFA967">
        <w:rPr>
          <w:noProof w:val="0"/>
          <w:color w:val="auto"/>
          <w:sz w:val="48"/>
          <w:szCs w:val="48"/>
          <w:lang w:val="en-GB"/>
        </w:rPr>
        <w:t>Data Security, Governance and Compliance</w:t>
      </w:r>
    </w:p>
    <w:p xmlns:wp14="http://schemas.microsoft.com/office/word/2010/wordml" w:rsidP="6CFD0B30" wp14:paraId="32A5D4A2" wp14:textId="1DE6047F">
      <w:pPr>
        <w:pStyle w:val="Heading1"/>
        <w:jc w:val="center"/>
        <w:rPr>
          <w:noProof w:val="0"/>
          <w:color w:val="auto"/>
          <w:sz w:val="32"/>
          <w:szCs w:val="32"/>
          <w:lang w:val="en-GB"/>
        </w:rPr>
      </w:pPr>
      <w:r w:rsidRPr="6CFD0B30" w:rsidR="3ACFA967">
        <w:rPr>
          <w:noProof w:val="0"/>
          <w:color w:val="auto"/>
          <w:sz w:val="32"/>
          <w:szCs w:val="32"/>
          <w:lang w:val="en-GB"/>
        </w:rPr>
        <w:t>An Integrated Framework Approach for AeroLink Logistics (ALL)</w:t>
      </w:r>
    </w:p>
    <w:p xmlns:wp14="http://schemas.microsoft.com/office/word/2010/wordml" w:rsidP="6CFD0B30" wp14:paraId="2EF937D1" wp14:textId="78CBDE2C">
      <w:pPr>
        <w:pStyle w:val="Heading1"/>
        <w:jc w:val="center"/>
        <w:rPr>
          <w:noProof w:val="0"/>
          <w:color w:val="auto"/>
          <w:sz w:val="36"/>
          <w:szCs w:val="36"/>
          <w:lang w:val="en-GB"/>
        </w:rPr>
      </w:pPr>
      <w:r w:rsidRPr="6CFD0B30" w:rsidR="3ACFA967">
        <w:rPr>
          <w:noProof w:val="0"/>
          <w:color w:val="auto"/>
          <w:sz w:val="32"/>
          <w:szCs w:val="32"/>
          <w:lang w:val="en-GB"/>
        </w:rPr>
        <w:t>Module: ACCA7028 – Data Security, Governance and Compliance</w:t>
      </w:r>
    </w:p>
    <w:p xmlns:wp14="http://schemas.microsoft.com/office/word/2010/wordml" w:rsidP="6CFD0B30" wp14:paraId="197CBEB0" wp14:textId="47C486D4">
      <w:pPr>
        <w:pStyle w:val="Heading1"/>
        <w:jc w:val="center"/>
        <w:rPr>
          <w:noProof w:val="0"/>
          <w:color w:val="auto"/>
          <w:lang w:val="en-GB"/>
        </w:rPr>
      </w:pPr>
      <w:r w:rsidRPr="6CFD0B30" w:rsidR="3ACFA967">
        <w:rPr>
          <w:noProof w:val="0"/>
          <w:color w:val="auto"/>
          <w:lang w:val="en-GB"/>
        </w:rPr>
        <w:t>Programme: MSc Cybersecurity and Digital Forensics</w:t>
      </w:r>
    </w:p>
    <w:p xmlns:wp14="http://schemas.microsoft.com/office/word/2010/wordml" w:rsidP="6CFD0B30" wp14:paraId="70DB2DCE" wp14:textId="14DED28D">
      <w:pPr>
        <w:pStyle w:val="Heading1"/>
        <w:jc w:val="center"/>
        <w:rPr>
          <w:noProof w:val="0"/>
          <w:color w:val="auto"/>
          <w:lang w:val="en-GB"/>
        </w:rPr>
      </w:pPr>
      <w:r w:rsidRPr="6CFD0B30" w:rsidR="3ACFA967">
        <w:rPr>
          <w:noProof w:val="0"/>
          <w:color w:val="auto"/>
          <w:lang w:val="en-GB"/>
        </w:rPr>
        <w:t>University of Wales Trinity Saint David</w:t>
      </w:r>
    </w:p>
    <w:p xmlns:wp14="http://schemas.microsoft.com/office/word/2010/wordml" w:rsidP="6CFD0B30" wp14:paraId="3FBC8231" wp14:textId="6CA1B2E3">
      <w:pPr>
        <w:pStyle w:val="Heading1"/>
        <w:jc w:val="center"/>
        <w:rPr>
          <w:rFonts w:ascii="Calibri" w:hAnsi="Calibri" w:eastAsia="Calibri" w:cs="Calibri"/>
          <w:noProof w:val="0"/>
          <w:color w:val="auto"/>
          <w:sz w:val="24"/>
          <w:szCs w:val="24"/>
          <w:lang w:val="en-GB"/>
        </w:rPr>
      </w:pPr>
      <w:r w:rsidRPr="6CFD0B30" w:rsidR="335F3939">
        <w:rPr>
          <w:noProof w:val="0"/>
          <w:color w:val="auto"/>
          <w:lang w:val="en-GB"/>
        </w:rPr>
        <w:t xml:space="preserve">Name: </w:t>
      </w:r>
      <w:r w:rsidRPr="6CFD0B30" w:rsidR="3097B2AE">
        <w:rPr>
          <w:noProof w:val="0"/>
          <w:color w:val="auto"/>
          <w:lang w:val="en-GB"/>
        </w:rPr>
        <w:t>Devang Dhanendrasinh</w:t>
      </w:r>
      <w:r w:rsidRPr="6CFD0B30" w:rsidR="0C7FC1D1">
        <w:rPr>
          <w:noProof w:val="0"/>
          <w:color w:val="auto"/>
          <w:lang w:val="en-GB"/>
        </w:rPr>
        <w:t xml:space="preserve"> </w:t>
      </w:r>
      <w:r w:rsidRPr="6CFD0B30" w:rsidR="3097B2AE">
        <w:rPr>
          <w:noProof w:val="0"/>
          <w:color w:val="auto"/>
          <w:lang w:val="en-GB"/>
        </w:rPr>
        <w:t>Zala</w:t>
      </w:r>
    </w:p>
    <w:p xmlns:wp14="http://schemas.microsoft.com/office/word/2010/wordml" w:rsidP="6CFD0B30" wp14:paraId="2CCC2178" wp14:textId="32753A14">
      <w:pPr>
        <w:pStyle w:val="Heading1"/>
        <w:jc w:val="center"/>
        <w:rPr>
          <w:noProof w:val="0"/>
          <w:color w:val="auto"/>
          <w:lang w:val="en-GB"/>
        </w:rPr>
      </w:pPr>
      <w:r w:rsidRPr="6CFD0B30" w:rsidR="335F3939">
        <w:rPr>
          <w:noProof w:val="0"/>
          <w:color w:val="auto"/>
          <w:lang w:val="en-GB"/>
        </w:rPr>
        <w:t>Enrolment No: 2534443</w:t>
      </w:r>
    </w:p>
    <w:p xmlns:wp14="http://schemas.microsoft.com/office/word/2010/wordml" w:rsidP="70718A41" wp14:paraId="4130BC08" wp14:textId="6487D614">
      <w:pPr>
        <w:spacing w:before="0" w:beforeAutospacing="off" w:after="0" w:afterAutospacing="off"/>
        <w:jc w:val="center"/>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 xml:space="preserve"> </w:t>
      </w:r>
    </w:p>
    <w:p xmlns:wp14="http://schemas.microsoft.com/office/word/2010/wordml" w:rsidP="70718A41" wp14:paraId="7A968B3B" wp14:textId="10F64BFD">
      <w:pPr>
        <w:jc w:val="center"/>
        <w:rPr>
          <w:color w:val="auto"/>
        </w:rPr>
      </w:pPr>
    </w:p>
    <w:p xmlns:wp14="http://schemas.microsoft.com/office/word/2010/wordml" w:rsidP="70718A41" wp14:paraId="591F314B" wp14:textId="20350640">
      <w:pPr>
        <w:spacing w:before="0" w:beforeAutospacing="off" w:after="0" w:afterAutospacing="off"/>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 xml:space="preserve"> </w:t>
      </w:r>
    </w:p>
    <w:p xmlns:wp14="http://schemas.microsoft.com/office/word/2010/wordml" w:rsidP="70718A41" wp14:paraId="366FCF87" wp14:textId="4B2D1B51">
      <w:pPr>
        <w:pStyle w:val="Heading1"/>
        <w:spacing w:before="0" w:beforeAutospacing="off" w:after="0" w:afterAutospacing="off"/>
        <w:jc w:val="both"/>
        <w:rPr>
          <w:rFonts w:ascii="Calibri" w:hAnsi="Calibri" w:eastAsia="Calibri" w:cs="Calibri"/>
          <w:b w:val="0"/>
          <w:bCs w:val="0"/>
          <w:noProof w:val="0"/>
          <w:color w:val="auto"/>
          <w:sz w:val="32"/>
          <w:szCs w:val="32"/>
          <w:lang w:val="en-GB"/>
        </w:rPr>
      </w:pPr>
    </w:p>
    <w:p xmlns:wp14="http://schemas.microsoft.com/office/word/2010/wordml" w:rsidP="70718A41" wp14:paraId="58407706" wp14:textId="5A95E6D2">
      <w:pPr>
        <w:rPr>
          <w:color w:val="auto"/>
        </w:rPr>
      </w:pPr>
      <w:r w:rsidRPr="70718A41">
        <w:rPr>
          <w:color w:val="auto"/>
        </w:rPr>
        <w:br w:type="page"/>
      </w:r>
    </w:p>
    <w:p xmlns:wp14="http://schemas.microsoft.com/office/word/2010/wordml" w:rsidP="70718A41" wp14:paraId="50062718" wp14:textId="1729ABB9">
      <w:pPr>
        <w:pStyle w:val="Heading1"/>
        <w:spacing w:before="0" w:beforeAutospacing="off" w:after="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Table of Contents</w:t>
      </w:r>
    </w:p>
    <w:tbl>
      <w:tblPr>
        <w:tblStyle w:val="GridTable1Light"/>
        <w:bidiVisual w:val="0"/>
        <w:tblW w:w="9720" w:type="dxa"/>
        <w:tblLook w:val="04A0" w:firstRow="1" w:lastRow="0" w:firstColumn="1" w:lastColumn="0" w:noHBand="0" w:noVBand="1"/>
      </w:tblPr>
      <w:tblGrid>
        <w:gridCol w:w="705"/>
        <w:gridCol w:w="8040"/>
        <w:gridCol w:w="975"/>
      </w:tblGrid>
      <w:tr w:rsidR="6CFD0B30" w:rsidTr="70718A41" w14:paraId="4144DD09">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6A1204E4" w14:textId="77EED868">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Sr. No.</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59DF5F65" w14:textId="6D4EDFD2">
            <w:pPr>
              <w:spacing w:before="0" w:beforeAutospacing="off" w:after="0" w:afterAutospacing="off"/>
              <w:jc w:val="both"/>
              <w:rPr>
                <w:color w:val="auto"/>
              </w:rPr>
            </w:pPr>
          </w:p>
          <w:p w:rsidR="6CFD0B30" w:rsidP="70718A41" w:rsidRDefault="6CFD0B30" w14:paraId="20381447" w14:textId="4F0702BF">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Chapter</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0433E37E" w14:textId="6FD11600">
            <w:pPr>
              <w:spacing w:before="0" w:beforeAutospacing="off" w:after="0" w:afterAutospacing="off"/>
              <w:jc w:val="center"/>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Page</w:t>
            </w:r>
          </w:p>
        </w:tc>
      </w:tr>
      <w:tr w:rsidR="6CFD0B30" w:rsidTr="70718A41" w14:paraId="051432B0">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05F229CC" w14:textId="5B840ECB">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 xml:space="preserve"> </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455D90AA" w14:textId="7DDC67B8">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Abstract</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666666" w:sz="12"/>
              <w:left w:val="single" w:color="999999" w:sz="8"/>
              <w:bottom w:val="single" w:color="999999" w:sz="8"/>
              <w:right w:val="single" w:color="999999" w:sz="8"/>
            </w:tcBorders>
            <w:tcMar>
              <w:left w:w="108" w:type="dxa"/>
              <w:right w:w="108" w:type="dxa"/>
            </w:tcMar>
            <w:vAlign w:val="top"/>
          </w:tcPr>
          <w:p w:rsidR="2EA8D760" w:rsidP="70718A41" w:rsidRDefault="2EA8D760" w14:paraId="3EFE4256" w14:textId="0DE35F35">
            <w:pPr>
              <w:spacing w:before="0" w:beforeAutospacing="off" w:after="0" w:afterAutospacing="off"/>
              <w:jc w:val="center"/>
              <w:rPr>
                <w:rFonts w:ascii="Calibri" w:hAnsi="Calibri" w:eastAsia="Calibri" w:cs="Calibri"/>
                <w:color w:val="auto"/>
                <w:sz w:val="22"/>
                <w:szCs w:val="22"/>
              </w:rPr>
            </w:pPr>
            <w:r w:rsidRPr="70718A41" w:rsidR="2EA8D760">
              <w:rPr>
                <w:rFonts w:ascii="Calibri" w:hAnsi="Calibri" w:eastAsia="Calibri" w:cs="Calibri"/>
                <w:color w:val="auto"/>
                <w:sz w:val="22"/>
                <w:szCs w:val="22"/>
              </w:rPr>
              <w:t>3</w:t>
            </w:r>
          </w:p>
        </w:tc>
      </w:tr>
      <w:tr w:rsidR="6CFD0B30" w:rsidTr="70718A41" w14:paraId="47530106">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91D8E94" w14:textId="11193350">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1</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A8EE8AF" w14:textId="40869773">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Introduction</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7BB8E02E" w:rsidP="70718A41" w:rsidRDefault="7BB8E02E" w14:paraId="3A1B81AE" w14:textId="5686701D">
            <w:pPr>
              <w:spacing w:before="0" w:beforeAutospacing="off" w:after="0" w:afterAutospacing="off"/>
              <w:jc w:val="center"/>
              <w:rPr>
                <w:rFonts w:ascii="Calibri" w:hAnsi="Calibri" w:eastAsia="Calibri" w:cs="Calibri"/>
                <w:color w:val="auto"/>
                <w:sz w:val="22"/>
                <w:szCs w:val="22"/>
              </w:rPr>
            </w:pPr>
            <w:r w:rsidRPr="70718A41" w:rsidR="7BB8E02E">
              <w:rPr>
                <w:rFonts w:ascii="Calibri" w:hAnsi="Calibri" w:eastAsia="Calibri" w:cs="Calibri"/>
                <w:color w:val="auto"/>
                <w:sz w:val="22"/>
                <w:szCs w:val="22"/>
              </w:rPr>
              <w:t>4</w:t>
            </w:r>
          </w:p>
        </w:tc>
      </w:tr>
      <w:tr w:rsidR="6CFD0B30" w:rsidTr="70718A41" w14:paraId="7A0F79E6">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D08F24A" w14:textId="56092EA2">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2</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49DF1A2" w14:textId="6FF092D1">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Literature Review and Critical Evaluation</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7188A15C" w:rsidP="70718A41" w:rsidRDefault="7188A15C" w14:paraId="2B9608D7" w14:textId="485B9788">
            <w:pPr>
              <w:spacing w:before="0" w:beforeAutospacing="off" w:after="0" w:afterAutospacing="off"/>
              <w:jc w:val="center"/>
              <w:rPr>
                <w:rFonts w:ascii="Calibri" w:hAnsi="Calibri" w:eastAsia="Calibri" w:cs="Calibri"/>
                <w:color w:val="auto"/>
                <w:sz w:val="22"/>
                <w:szCs w:val="22"/>
              </w:rPr>
            </w:pPr>
            <w:r w:rsidRPr="70718A41" w:rsidR="7188A15C">
              <w:rPr>
                <w:rFonts w:ascii="Calibri" w:hAnsi="Calibri" w:eastAsia="Calibri" w:cs="Calibri"/>
                <w:color w:val="auto"/>
                <w:sz w:val="22"/>
                <w:szCs w:val="22"/>
              </w:rPr>
              <w:t>5</w:t>
            </w:r>
          </w:p>
        </w:tc>
      </w:tr>
      <w:tr w:rsidR="6CFD0B30" w:rsidTr="70718A41" w14:paraId="31E60BB5">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1D5DF41" w14:textId="52427D97">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2.1</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73EB23D" w14:textId="38D5F0B9">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ISO/IEC 27001:2022</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1A146C39" w:rsidP="70718A41" w:rsidRDefault="1A146C39" w14:paraId="6477FFCA" w14:textId="29649284">
            <w:pPr>
              <w:spacing w:before="0" w:beforeAutospacing="off" w:after="0" w:afterAutospacing="off"/>
              <w:jc w:val="center"/>
              <w:rPr>
                <w:rFonts w:ascii="Calibri" w:hAnsi="Calibri" w:eastAsia="Calibri" w:cs="Calibri"/>
                <w:color w:val="auto"/>
                <w:sz w:val="22"/>
                <w:szCs w:val="22"/>
              </w:rPr>
            </w:pPr>
            <w:r w:rsidRPr="70718A41" w:rsidR="1A146C39">
              <w:rPr>
                <w:rFonts w:ascii="Calibri" w:hAnsi="Calibri" w:eastAsia="Calibri" w:cs="Calibri"/>
                <w:color w:val="auto"/>
                <w:sz w:val="22"/>
                <w:szCs w:val="22"/>
              </w:rPr>
              <w:t>5</w:t>
            </w:r>
          </w:p>
        </w:tc>
      </w:tr>
      <w:tr w:rsidR="6CFD0B30" w:rsidTr="70718A41" w14:paraId="2875F429">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8D5137E" w14:textId="7FD1A84F">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2.2</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2C05729" w14:textId="2AD146BD">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NIST Cybersecurity Framework (CSF) 2.0</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1FFAC4DB" w:rsidP="70718A41" w:rsidRDefault="1FFAC4DB" w14:paraId="6B668AEA" w14:textId="7CFEEE15">
            <w:pPr>
              <w:spacing w:before="0" w:beforeAutospacing="off" w:after="0" w:afterAutospacing="off"/>
              <w:jc w:val="center"/>
              <w:rPr>
                <w:rFonts w:ascii="Calibri" w:hAnsi="Calibri" w:eastAsia="Calibri" w:cs="Calibri"/>
                <w:color w:val="auto"/>
                <w:sz w:val="22"/>
                <w:szCs w:val="22"/>
              </w:rPr>
            </w:pPr>
            <w:r w:rsidRPr="70718A41" w:rsidR="1FFAC4DB">
              <w:rPr>
                <w:rFonts w:ascii="Calibri" w:hAnsi="Calibri" w:eastAsia="Calibri" w:cs="Calibri"/>
                <w:color w:val="auto"/>
                <w:sz w:val="22"/>
                <w:szCs w:val="22"/>
              </w:rPr>
              <w:t>2</w:t>
            </w:r>
          </w:p>
        </w:tc>
      </w:tr>
      <w:tr w:rsidR="6CFD0B30" w:rsidTr="70718A41" w14:paraId="4AE0376A">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0D0B09D" w14:textId="6F54C368">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2.3</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6C9C939" w14:textId="4655CD65">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COBIT 2019</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305C1751" w:rsidP="70718A41" w:rsidRDefault="305C1751" w14:paraId="4A9FA760" w14:textId="1D71BA16">
            <w:pPr>
              <w:spacing w:before="0" w:beforeAutospacing="off" w:after="0" w:afterAutospacing="off"/>
              <w:jc w:val="center"/>
              <w:rPr>
                <w:rFonts w:ascii="Calibri" w:hAnsi="Calibri" w:eastAsia="Calibri" w:cs="Calibri"/>
                <w:color w:val="auto"/>
                <w:sz w:val="22"/>
                <w:szCs w:val="22"/>
              </w:rPr>
            </w:pPr>
            <w:r w:rsidRPr="70718A41" w:rsidR="305C1751">
              <w:rPr>
                <w:rFonts w:ascii="Calibri" w:hAnsi="Calibri" w:eastAsia="Calibri" w:cs="Calibri"/>
                <w:color w:val="auto"/>
                <w:sz w:val="22"/>
                <w:szCs w:val="22"/>
              </w:rPr>
              <w:t>6</w:t>
            </w:r>
          </w:p>
        </w:tc>
      </w:tr>
      <w:tr w:rsidR="6CFD0B30" w:rsidTr="70718A41" w14:paraId="381F6A3F">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AEDB312" w14:textId="5569EE0B">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2.4</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0E415B3" w14:textId="0FC92D8E">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ITIL 4</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7FCFDCC5" w:rsidP="70718A41" w:rsidRDefault="7FCFDCC5" w14:paraId="1919FE07" w14:textId="76E53173">
            <w:pPr>
              <w:spacing w:before="0" w:beforeAutospacing="off" w:after="0" w:afterAutospacing="off"/>
              <w:jc w:val="center"/>
              <w:rPr>
                <w:rFonts w:ascii="Calibri" w:hAnsi="Calibri" w:eastAsia="Calibri" w:cs="Calibri"/>
                <w:color w:val="auto"/>
                <w:sz w:val="22"/>
                <w:szCs w:val="22"/>
              </w:rPr>
            </w:pPr>
            <w:r w:rsidRPr="70718A41" w:rsidR="7FCFDCC5">
              <w:rPr>
                <w:rFonts w:ascii="Calibri" w:hAnsi="Calibri" w:eastAsia="Calibri" w:cs="Calibri"/>
                <w:color w:val="auto"/>
                <w:sz w:val="22"/>
                <w:szCs w:val="22"/>
              </w:rPr>
              <w:t>6</w:t>
            </w:r>
          </w:p>
        </w:tc>
      </w:tr>
      <w:tr w:rsidR="6CFD0B30" w:rsidTr="70718A41" w14:paraId="278F3AB0">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ED2CC36" w14:textId="14B0D998">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2.5</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6962C6A" w14:textId="7F895412">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Critical Comparison</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25D443AC" w:rsidP="70718A41" w:rsidRDefault="25D443AC" w14:paraId="1A65CCA9" w14:textId="55791934">
            <w:pPr>
              <w:spacing w:before="0" w:beforeAutospacing="off" w:after="0" w:afterAutospacing="off"/>
              <w:jc w:val="center"/>
              <w:rPr>
                <w:rFonts w:ascii="Calibri" w:hAnsi="Calibri" w:eastAsia="Calibri" w:cs="Calibri"/>
                <w:color w:val="auto"/>
                <w:sz w:val="22"/>
                <w:szCs w:val="22"/>
              </w:rPr>
            </w:pPr>
            <w:r w:rsidRPr="70718A41" w:rsidR="25D443AC">
              <w:rPr>
                <w:rFonts w:ascii="Calibri" w:hAnsi="Calibri" w:eastAsia="Calibri" w:cs="Calibri"/>
                <w:color w:val="auto"/>
                <w:sz w:val="22"/>
                <w:szCs w:val="22"/>
              </w:rPr>
              <w:t>6</w:t>
            </w:r>
          </w:p>
        </w:tc>
      </w:tr>
      <w:tr w:rsidR="6CFD0B30" w:rsidTr="70718A41" w14:paraId="0EF32110">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80DDF91" w14:textId="32B614E4">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3</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A059F3E" w14:textId="0873DD25">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AeroLink Logistics Security Gap Analysis</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0F460F17" w:rsidP="70718A41" w:rsidRDefault="0F460F17" w14:paraId="3F2BF1D2" w14:textId="52E1FD35">
            <w:pPr>
              <w:spacing w:before="0" w:beforeAutospacing="off" w:after="0" w:afterAutospacing="off"/>
              <w:jc w:val="center"/>
              <w:rPr>
                <w:rFonts w:ascii="Calibri" w:hAnsi="Calibri" w:eastAsia="Calibri" w:cs="Calibri"/>
                <w:color w:val="auto"/>
                <w:sz w:val="22"/>
                <w:szCs w:val="22"/>
              </w:rPr>
            </w:pPr>
            <w:r w:rsidRPr="70718A41" w:rsidR="0F460F17">
              <w:rPr>
                <w:rFonts w:ascii="Calibri" w:hAnsi="Calibri" w:eastAsia="Calibri" w:cs="Calibri"/>
                <w:color w:val="auto"/>
                <w:sz w:val="22"/>
                <w:szCs w:val="22"/>
              </w:rPr>
              <w:t>8</w:t>
            </w:r>
          </w:p>
        </w:tc>
      </w:tr>
      <w:tr w:rsidR="6CFD0B30" w:rsidTr="70718A41" w14:paraId="3F821AF8">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0BBE2DA" w14:textId="4FF2EEE8">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4</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F31501E" w14:textId="25FF646F">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Proposed Integrated Security Governance Framework</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0A5C04BC" w:rsidP="70718A41" w:rsidRDefault="0A5C04BC" w14:paraId="61C842E5" w14:textId="4B7B5CBE">
            <w:pPr>
              <w:spacing w:before="0" w:beforeAutospacing="off" w:after="0" w:afterAutospacing="off"/>
              <w:jc w:val="center"/>
              <w:rPr>
                <w:rFonts w:ascii="Calibri" w:hAnsi="Calibri" w:eastAsia="Calibri" w:cs="Calibri"/>
                <w:color w:val="auto"/>
                <w:sz w:val="22"/>
                <w:szCs w:val="22"/>
              </w:rPr>
            </w:pPr>
            <w:r w:rsidRPr="70718A41" w:rsidR="0A5C04BC">
              <w:rPr>
                <w:rFonts w:ascii="Calibri" w:hAnsi="Calibri" w:eastAsia="Calibri" w:cs="Calibri"/>
                <w:color w:val="auto"/>
                <w:sz w:val="22"/>
                <w:szCs w:val="22"/>
              </w:rPr>
              <w:t>9</w:t>
            </w:r>
          </w:p>
        </w:tc>
      </w:tr>
      <w:tr w:rsidR="6CFD0B30" w:rsidTr="70718A41" w14:paraId="28884826">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4D76868" w14:textId="692CA8AF">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4.1</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C0C82CE" w14:textId="3AF31550">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Overview</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2C1E3F1B" w:rsidP="70718A41" w:rsidRDefault="2C1E3F1B" w14:paraId="0980B805" w14:textId="43E200C1">
            <w:pPr>
              <w:spacing w:before="0" w:beforeAutospacing="off" w:after="0" w:afterAutospacing="off"/>
              <w:jc w:val="center"/>
              <w:rPr>
                <w:rFonts w:ascii="Calibri" w:hAnsi="Calibri" w:eastAsia="Calibri" w:cs="Calibri"/>
                <w:color w:val="auto"/>
                <w:sz w:val="22"/>
                <w:szCs w:val="22"/>
              </w:rPr>
            </w:pPr>
            <w:r w:rsidRPr="70718A41" w:rsidR="2C1E3F1B">
              <w:rPr>
                <w:rFonts w:ascii="Calibri" w:hAnsi="Calibri" w:eastAsia="Calibri" w:cs="Calibri"/>
                <w:color w:val="auto"/>
                <w:sz w:val="22"/>
                <w:szCs w:val="22"/>
              </w:rPr>
              <w:t>9</w:t>
            </w:r>
          </w:p>
        </w:tc>
      </w:tr>
      <w:tr w:rsidR="6CFD0B30" w:rsidTr="70718A41" w14:paraId="55395DF7">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1085B2F" w14:textId="35258AA2">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4.2</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37BE450" w14:textId="779AEC52">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Governance Structure</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16CA6729" w:rsidP="70718A41" w:rsidRDefault="16CA6729" w14:paraId="2B8548A4" w14:textId="2FA07111">
            <w:pPr>
              <w:spacing w:before="0" w:beforeAutospacing="off" w:after="0" w:afterAutospacing="off"/>
              <w:jc w:val="center"/>
              <w:rPr>
                <w:rFonts w:ascii="Calibri" w:hAnsi="Calibri" w:eastAsia="Calibri" w:cs="Calibri"/>
                <w:color w:val="auto"/>
                <w:sz w:val="22"/>
                <w:szCs w:val="22"/>
              </w:rPr>
            </w:pPr>
            <w:r w:rsidRPr="70718A41" w:rsidR="16CA6729">
              <w:rPr>
                <w:rFonts w:ascii="Calibri" w:hAnsi="Calibri" w:eastAsia="Calibri" w:cs="Calibri"/>
                <w:color w:val="auto"/>
                <w:sz w:val="22"/>
                <w:szCs w:val="22"/>
              </w:rPr>
              <w:t>9</w:t>
            </w:r>
          </w:p>
        </w:tc>
      </w:tr>
      <w:tr w:rsidR="6CFD0B30" w:rsidTr="70718A41" w14:paraId="57A8534D">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D46A707" w14:textId="75294C29">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4.3</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F834DA7" w14:textId="58578E73">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Risk Management and Security Policies</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0031ACDB" w:rsidP="70718A41" w:rsidRDefault="0031ACDB" w14:paraId="7435A8E0" w14:textId="65B59B98">
            <w:pPr>
              <w:spacing w:before="0" w:beforeAutospacing="off" w:after="0" w:afterAutospacing="off"/>
              <w:jc w:val="center"/>
              <w:rPr>
                <w:rFonts w:ascii="Calibri" w:hAnsi="Calibri" w:eastAsia="Calibri" w:cs="Calibri"/>
                <w:color w:val="auto"/>
                <w:sz w:val="22"/>
                <w:szCs w:val="22"/>
              </w:rPr>
            </w:pPr>
            <w:r w:rsidRPr="70718A41" w:rsidR="0031ACDB">
              <w:rPr>
                <w:rFonts w:ascii="Calibri" w:hAnsi="Calibri" w:eastAsia="Calibri" w:cs="Calibri"/>
                <w:color w:val="auto"/>
                <w:sz w:val="22"/>
                <w:szCs w:val="22"/>
              </w:rPr>
              <w:t>10</w:t>
            </w:r>
          </w:p>
        </w:tc>
      </w:tr>
      <w:tr w:rsidR="6CFD0B30" w:rsidTr="70718A41" w14:paraId="7613D589">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6780E53" w14:textId="4AC7D842">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4.4</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9235D1E" w14:textId="01867D8C">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Incident Response and Continuity</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2C32ABEF" w:rsidP="70718A41" w:rsidRDefault="2C32ABEF" w14:paraId="4B57F4B6" w14:textId="6BD64D3E">
            <w:pPr>
              <w:spacing w:before="0" w:beforeAutospacing="off" w:after="0" w:afterAutospacing="off"/>
              <w:jc w:val="center"/>
              <w:rPr>
                <w:rFonts w:ascii="Calibri" w:hAnsi="Calibri" w:eastAsia="Calibri" w:cs="Calibri"/>
                <w:color w:val="auto"/>
                <w:sz w:val="22"/>
                <w:szCs w:val="22"/>
              </w:rPr>
            </w:pPr>
            <w:r w:rsidRPr="70718A41" w:rsidR="2C32ABEF">
              <w:rPr>
                <w:rFonts w:ascii="Calibri" w:hAnsi="Calibri" w:eastAsia="Calibri" w:cs="Calibri"/>
                <w:color w:val="auto"/>
                <w:sz w:val="22"/>
                <w:szCs w:val="22"/>
              </w:rPr>
              <w:t>11</w:t>
            </w:r>
          </w:p>
        </w:tc>
      </w:tr>
      <w:tr w:rsidR="6CFD0B30" w:rsidTr="70718A41" w14:paraId="63EB90DC">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3733FA1" w14:textId="1399651A">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4.5</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2A12ACF" w14:textId="6C508D07">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Vendor Governance and Assurance</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2217ED8F" w:rsidP="70718A41" w:rsidRDefault="2217ED8F" w14:paraId="2780637D" w14:textId="2405FF5E">
            <w:pPr>
              <w:spacing w:before="0" w:beforeAutospacing="off" w:after="0" w:afterAutospacing="off"/>
              <w:jc w:val="center"/>
              <w:rPr>
                <w:rFonts w:ascii="Calibri" w:hAnsi="Calibri" w:eastAsia="Calibri" w:cs="Calibri"/>
                <w:color w:val="auto"/>
                <w:sz w:val="22"/>
                <w:szCs w:val="22"/>
              </w:rPr>
            </w:pPr>
            <w:r w:rsidRPr="70718A41" w:rsidR="2217ED8F">
              <w:rPr>
                <w:rFonts w:ascii="Calibri" w:hAnsi="Calibri" w:eastAsia="Calibri" w:cs="Calibri"/>
                <w:color w:val="auto"/>
                <w:sz w:val="22"/>
                <w:szCs w:val="22"/>
              </w:rPr>
              <w:t>11</w:t>
            </w:r>
          </w:p>
        </w:tc>
      </w:tr>
      <w:tr w:rsidR="6CFD0B30" w:rsidTr="70718A41" w14:paraId="31411716">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6D054F5" w14:textId="59B1A8CB">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5</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6D9150E" w14:textId="476CCBA9">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Critical Discussion</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67E5F4E3" w:rsidP="70718A41" w:rsidRDefault="67E5F4E3" w14:paraId="3020E0B0" w14:textId="37B1DE66">
            <w:pPr>
              <w:spacing w:before="0" w:beforeAutospacing="off" w:after="0" w:afterAutospacing="off"/>
              <w:jc w:val="center"/>
              <w:rPr>
                <w:rFonts w:ascii="Calibri" w:hAnsi="Calibri" w:eastAsia="Calibri" w:cs="Calibri"/>
                <w:color w:val="auto"/>
                <w:sz w:val="22"/>
                <w:szCs w:val="22"/>
              </w:rPr>
            </w:pPr>
            <w:r w:rsidRPr="70718A41" w:rsidR="67E5F4E3">
              <w:rPr>
                <w:rFonts w:ascii="Calibri" w:hAnsi="Calibri" w:eastAsia="Calibri" w:cs="Calibri"/>
                <w:color w:val="auto"/>
                <w:sz w:val="22"/>
                <w:szCs w:val="22"/>
              </w:rPr>
              <w:t>12</w:t>
            </w:r>
          </w:p>
        </w:tc>
      </w:tr>
      <w:tr w:rsidR="6CFD0B30" w:rsidTr="70718A41" w14:paraId="5B56ABAF">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CBF0446" w14:textId="5932BF2A">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6</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8F9E174" w14:textId="6827B354">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Assumptions</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93F3BAA" w14:textId="28EF09E6">
            <w:pPr>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13</w:t>
            </w:r>
          </w:p>
        </w:tc>
      </w:tr>
      <w:tr w:rsidR="6CFD0B30" w:rsidTr="70718A41" w14:paraId="12092731">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4679E68A" w:rsidP="70718A41" w:rsidRDefault="4679E68A" w14:paraId="7B852269" w14:textId="16C01042">
            <w:pPr>
              <w:spacing w:before="0" w:beforeAutospacing="off" w:after="0" w:afterAutospacing="off"/>
              <w:jc w:val="both"/>
              <w:rPr>
                <w:rFonts w:ascii="Calibri" w:hAnsi="Calibri" w:eastAsia="Calibri" w:cs="Calibri"/>
                <w:b w:val="1"/>
                <w:bCs w:val="1"/>
                <w:color w:val="auto"/>
                <w:sz w:val="22"/>
                <w:szCs w:val="22"/>
              </w:rPr>
            </w:pPr>
            <w:r w:rsidRPr="70718A41" w:rsidR="4679E68A">
              <w:rPr>
                <w:rFonts w:ascii="Calibri" w:hAnsi="Calibri" w:eastAsia="Calibri" w:cs="Calibri"/>
                <w:b w:val="1"/>
                <w:bCs w:val="1"/>
                <w:color w:val="auto"/>
                <w:sz w:val="22"/>
                <w:szCs w:val="22"/>
              </w:rPr>
              <w:t>7</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492FC64" w14:textId="3495BEDB">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Conclusion</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62EA835" w14:textId="4DAC999B">
            <w:pPr>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14</w:t>
            </w:r>
          </w:p>
        </w:tc>
      </w:tr>
      <w:tr w:rsidR="6CFD0B30" w:rsidTr="70718A41" w14:paraId="0E5F5249">
        <w:trPr>
          <w:trHeight w:val="300"/>
        </w:trPr>
        <w:tc>
          <w:tcPr>
            <w:cnfStyle w:val="001000000000" w:firstRow="0" w:lastRow="0" w:firstColumn="1" w:lastColumn="0" w:oddVBand="0" w:evenVBand="0" w:oddHBand="0" w:evenHBand="0" w:firstRowFirstColumn="0" w:firstRowLastColumn="0" w:lastRowFirstColumn="0" w:lastRowLastColumn="0"/>
            <w:tcW w:w="7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E679401" w14:textId="6A34916F">
            <w:pPr>
              <w:spacing w:before="0" w:beforeAutospacing="off" w:after="0" w:afterAutospacing="off"/>
              <w:jc w:val="both"/>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 xml:space="preserve"> </w:t>
            </w:r>
          </w:p>
        </w:tc>
        <w:tc>
          <w:tcPr>
            <w:cnfStyle w:val="000000000000" w:firstRow="0" w:lastRow="0" w:firstColumn="0" w:lastColumn="0" w:oddVBand="0" w:evenVBand="0" w:oddHBand="0" w:evenHBand="0" w:firstRowFirstColumn="0" w:firstRowLastColumn="0" w:lastRowFirstColumn="0" w:lastRowLastColumn="0"/>
            <w:tcW w:w="8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D5F4BA5" w14:textId="37A3723A">
            <w:pPr>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References</w:t>
            </w:r>
          </w:p>
        </w:tc>
        <w:tc>
          <w:tcPr>
            <w:cnfStyle w:val="000000000000" w:firstRow="0" w:lastRow="0" w:firstColumn="0" w:lastColumn="0" w:oddVBand="0" w:evenVBand="0" w:oddHBand="0" w:evenHBand="0" w:firstRowFirstColumn="0" w:firstRowLastColumn="0" w:lastRowFirstColumn="0" w:lastRowLastColumn="0"/>
            <w:tcW w:w="97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A7D24F6" w14:textId="229662BB">
            <w:pPr>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15</w:t>
            </w:r>
          </w:p>
        </w:tc>
      </w:tr>
    </w:tbl>
    <w:p xmlns:wp14="http://schemas.microsoft.com/office/word/2010/wordml" w:rsidP="70718A41" wp14:paraId="4EB1F471" wp14:textId="34BDFEFB">
      <w:pPr>
        <w:pStyle w:val="Heading1"/>
        <w:bidi w:val="0"/>
        <w:spacing w:before="0" w:beforeAutospacing="off" w:after="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 xml:space="preserve"> </w:t>
      </w:r>
    </w:p>
    <w:p xmlns:wp14="http://schemas.microsoft.com/office/word/2010/wordml" w:rsidP="70718A41" wp14:paraId="4333771A" wp14:textId="3F688753">
      <w:pPr>
        <w:pStyle w:val="Heading1"/>
        <w:bidi w:val="0"/>
        <w:spacing w:before="0" w:beforeAutospacing="off" w:after="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List of Figures</w:t>
      </w:r>
    </w:p>
    <w:tbl>
      <w:tblPr>
        <w:tblStyle w:val="GridTable1Light"/>
        <w:bidiVisual w:val="0"/>
        <w:tblW w:w="9690" w:type="dxa"/>
        <w:tblLook w:val="04A0" w:firstRow="1" w:lastRow="0" w:firstColumn="1" w:lastColumn="0" w:noHBand="0" w:noVBand="1"/>
      </w:tblPr>
      <w:tblGrid>
        <w:gridCol w:w="885"/>
        <w:gridCol w:w="7815"/>
        <w:gridCol w:w="990"/>
      </w:tblGrid>
      <w:tr w:rsidR="6CFD0B30" w:rsidTr="70718A41" w14:paraId="1D6EE127">
        <w:trPr>
          <w:trHeight w:val="300"/>
        </w:trPr>
        <w:tc>
          <w:tcPr>
            <w:cnfStyle w:val="001000000000" w:firstRow="0" w:lastRow="0" w:firstColumn="1" w:lastColumn="0" w:oddVBand="0" w:evenVBand="0" w:oddHBand="0" w:evenHBand="0" w:firstRowFirstColumn="0" w:firstRowLastColumn="0" w:lastRowFirstColumn="0" w:lastRowLastColumn="0"/>
            <w:tcW w:w="88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03D872FF" w14:textId="481D83A4">
            <w:pPr>
              <w:bidi w:val="0"/>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Figure</w:t>
            </w:r>
          </w:p>
        </w:tc>
        <w:tc>
          <w:tcPr>
            <w:cnfStyle w:val="000000000000" w:firstRow="0" w:lastRow="0" w:firstColumn="0" w:lastColumn="0" w:oddVBand="0" w:evenVBand="0" w:oddHBand="0" w:evenHBand="0" w:firstRowFirstColumn="0" w:firstRowLastColumn="0" w:lastRowFirstColumn="0" w:lastRowLastColumn="0"/>
            <w:tcW w:w="781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674F2A5E" w14:textId="79BCF865">
            <w:pPr>
              <w:bidi w:val="0"/>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Description</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53B58C00" w14:textId="17E27E91">
            <w:pPr>
              <w:bidi w:val="0"/>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Page</w:t>
            </w:r>
          </w:p>
        </w:tc>
      </w:tr>
      <w:tr w:rsidR="6CFD0B30" w:rsidTr="70718A41" w14:paraId="378FFB54">
        <w:trPr>
          <w:trHeight w:val="300"/>
        </w:trPr>
        <w:tc>
          <w:tcPr>
            <w:cnfStyle w:val="001000000000" w:firstRow="0" w:lastRow="0" w:firstColumn="1" w:lastColumn="0" w:oddVBand="0" w:evenVBand="0" w:oddHBand="0" w:evenHBand="0" w:firstRowFirstColumn="0" w:firstRowLastColumn="0" w:lastRowFirstColumn="0" w:lastRowLastColumn="0"/>
            <w:tcW w:w="88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4098F10D" w14:textId="2F1AD1A1">
            <w:pPr>
              <w:bidi w:val="0"/>
              <w:spacing w:before="0" w:beforeAutospacing="off" w:after="0" w:afterAutospacing="off"/>
              <w:jc w:val="center"/>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1</w:t>
            </w:r>
          </w:p>
        </w:tc>
        <w:tc>
          <w:tcPr>
            <w:cnfStyle w:val="000000000000" w:firstRow="0" w:lastRow="0" w:firstColumn="0" w:lastColumn="0" w:oddVBand="0" w:evenVBand="0" w:oddHBand="0" w:evenHBand="0" w:firstRowFirstColumn="0" w:firstRowLastColumn="0" w:lastRowFirstColumn="0" w:lastRowLastColumn="0"/>
            <w:tcW w:w="781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5381192C" w14:textId="383AFF58">
            <w:pPr>
              <w:bidi w:val="0"/>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NIST Cybersecurity Framework (CSF) 2.0 – Govern informs and connects the five operational functions</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28A6D4AC" w14:textId="14CF7515">
            <w:pPr>
              <w:bidi w:val="0"/>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5</w:t>
            </w:r>
          </w:p>
        </w:tc>
      </w:tr>
      <w:tr w:rsidR="6CFD0B30" w:rsidTr="70718A41" w14:paraId="2CF512B4">
        <w:trPr>
          <w:trHeight w:val="300"/>
        </w:trPr>
        <w:tc>
          <w:tcPr>
            <w:cnfStyle w:val="001000000000" w:firstRow="0" w:lastRow="0" w:firstColumn="1" w:lastColumn="0" w:oddVBand="0" w:evenVBand="0" w:oddHBand="0" w:evenHBand="0" w:firstRowFirstColumn="0" w:firstRowLastColumn="0" w:lastRowFirstColumn="0" w:lastRowLastColumn="0"/>
            <w:tcW w:w="88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AB002DD" w14:textId="740C4D23">
            <w:pPr>
              <w:bidi w:val="0"/>
              <w:spacing w:before="0" w:beforeAutospacing="off" w:after="0" w:afterAutospacing="off"/>
              <w:jc w:val="center"/>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2</w:t>
            </w:r>
          </w:p>
        </w:tc>
        <w:tc>
          <w:tcPr>
            <w:cnfStyle w:val="000000000000" w:firstRow="0" w:lastRow="0" w:firstColumn="0" w:lastColumn="0" w:oddVBand="0" w:evenVBand="0" w:oddHBand="0" w:evenHBand="0" w:firstRowFirstColumn="0" w:firstRowLastColumn="0" w:lastRowFirstColumn="0" w:lastRowLastColumn="0"/>
            <w:tcW w:w="7815" w:type="dxa"/>
            <w:tcBorders>
              <w:top w:val="single" w:color="999999" w:sz="8"/>
              <w:left w:val="single" w:color="999999" w:sz="8"/>
              <w:bottom w:val="single" w:color="999999" w:sz="8"/>
              <w:right w:val="single" w:color="999999" w:sz="8"/>
            </w:tcBorders>
            <w:tcMar>
              <w:left w:w="108" w:type="dxa"/>
              <w:right w:w="108" w:type="dxa"/>
            </w:tcMar>
            <w:vAlign w:val="top"/>
          </w:tcPr>
          <w:p w:rsidR="163A5D4D" w:rsidP="70718A41" w:rsidRDefault="163A5D4D" w14:paraId="072EA842" w14:textId="48C1BD27">
            <w:pPr>
              <w:bidi w:val="0"/>
              <w:spacing w:before="0" w:beforeAutospacing="off" w:after="0" w:afterAutospacing="off"/>
              <w:jc w:val="both"/>
              <w:rPr>
                <w:rFonts w:ascii="Calibri" w:hAnsi="Calibri" w:eastAsia="Calibri" w:cs="Calibri"/>
                <w:color w:val="auto"/>
                <w:sz w:val="22"/>
                <w:szCs w:val="22"/>
              </w:rPr>
            </w:pPr>
            <w:r w:rsidRPr="70718A41" w:rsidR="163A5D4D">
              <w:rPr>
                <w:rFonts w:ascii="Calibri" w:hAnsi="Calibri" w:eastAsia="Calibri" w:cs="Calibri"/>
                <w:color w:val="auto"/>
                <w:sz w:val="22"/>
                <w:szCs w:val="22"/>
              </w:rPr>
              <w:t>AISGM Conceptual Model — continuous feedback (orange arrows) links the governance, risk-control and assurance layers via ITIL's continual-improvement model.</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999999" w:sz="8"/>
              <w:left w:val="single" w:color="999999" w:sz="8"/>
              <w:bottom w:val="single" w:color="999999" w:sz="8"/>
              <w:right w:val="single" w:color="999999" w:sz="8"/>
            </w:tcBorders>
            <w:tcMar>
              <w:left w:w="108" w:type="dxa"/>
              <w:right w:w="108" w:type="dxa"/>
            </w:tcMar>
            <w:vAlign w:val="top"/>
          </w:tcPr>
          <w:p w:rsidR="2D70B831" w:rsidP="70718A41" w:rsidRDefault="2D70B831" w14:paraId="0A6F7AA0" w14:textId="6E066537">
            <w:pPr>
              <w:bidi w:val="0"/>
              <w:spacing w:before="0" w:beforeAutospacing="off" w:after="0" w:afterAutospacing="off"/>
              <w:jc w:val="center"/>
              <w:rPr>
                <w:rFonts w:ascii="Calibri" w:hAnsi="Calibri" w:eastAsia="Calibri" w:cs="Calibri"/>
                <w:color w:val="auto"/>
                <w:sz w:val="22"/>
                <w:szCs w:val="22"/>
              </w:rPr>
            </w:pPr>
            <w:r w:rsidRPr="70718A41" w:rsidR="2D70B831">
              <w:rPr>
                <w:rFonts w:ascii="Calibri" w:hAnsi="Calibri" w:eastAsia="Calibri" w:cs="Calibri"/>
                <w:color w:val="auto"/>
                <w:sz w:val="22"/>
                <w:szCs w:val="22"/>
              </w:rPr>
              <w:t>9</w:t>
            </w:r>
          </w:p>
        </w:tc>
      </w:tr>
      <w:tr w:rsidR="6CFD0B30" w:rsidTr="70718A41" w14:paraId="1B66B08B">
        <w:trPr>
          <w:trHeight w:val="300"/>
        </w:trPr>
        <w:tc>
          <w:tcPr>
            <w:cnfStyle w:val="001000000000" w:firstRow="0" w:lastRow="0" w:firstColumn="1" w:lastColumn="0" w:oddVBand="0" w:evenVBand="0" w:oddHBand="0" w:evenHBand="0" w:firstRowFirstColumn="0" w:firstRowLastColumn="0" w:lastRowFirstColumn="0" w:lastRowLastColumn="0"/>
            <w:tcW w:w="88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A724448" w14:textId="5068F7E1">
            <w:pPr>
              <w:bidi w:val="0"/>
              <w:spacing w:before="0" w:beforeAutospacing="off" w:after="0" w:afterAutospacing="off"/>
              <w:jc w:val="center"/>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3</w:t>
            </w:r>
          </w:p>
        </w:tc>
        <w:tc>
          <w:tcPr>
            <w:cnfStyle w:val="000000000000" w:firstRow="0" w:lastRow="0" w:firstColumn="0" w:lastColumn="0" w:oddVBand="0" w:evenVBand="0" w:oddHBand="0" w:evenHBand="0" w:firstRowFirstColumn="0" w:firstRowLastColumn="0" w:lastRowFirstColumn="0" w:lastRowLastColumn="0"/>
            <w:tcW w:w="7815" w:type="dxa"/>
            <w:tcBorders>
              <w:top w:val="single" w:color="999999" w:sz="8"/>
              <w:left w:val="single" w:color="999999" w:sz="8"/>
              <w:bottom w:val="single" w:color="999999" w:sz="8"/>
              <w:right w:val="single" w:color="999999" w:sz="8"/>
            </w:tcBorders>
            <w:tcMar>
              <w:left w:w="108" w:type="dxa"/>
              <w:right w:w="108" w:type="dxa"/>
            </w:tcMar>
            <w:vAlign w:val="top"/>
          </w:tcPr>
          <w:p w:rsidR="0F8A9935" w:rsidP="70718A41" w:rsidRDefault="0F8A9935" w14:paraId="49F524C4" w14:textId="190AA741">
            <w:pPr>
              <w:bidi w:val="0"/>
              <w:spacing w:before="0" w:beforeAutospacing="off" w:after="0" w:afterAutospacing="off"/>
              <w:jc w:val="both"/>
              <w:rPr>
                <w:rFonts w:ascii="Calibri" w:hAnsi="Calibri" w:eastAsia="Calibri" w:cs="Calibri"/>
                <w:color w:val="auto"/>
                <w:sz w:val="22"/>
                <w:szCs w:val="22"/>
              </w:rPr>
            </w:pPr>
            <w:r w:rsidRPr="70718A41" w:rsidR="0F8A9935">
              <w:rPr>
                <w:rFonts w:ascii="Calibri" w:hAnsi="Calibri" w:eastAsia="Calibri" w:cs="Calibri"/>
                <w:color w:val="auto"/>
                <w:sz w:val="22"/>
                <w:szCs w:val="22"/>
              </w:rPr>
              <w:t>AISGM Governance Structure — Board-level accountability cascades through the CISO to the Risk Committee, Compliance Team, SOC and Vendor Management function.</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999999" w:sz="8"/>
              <w:left w:val="single" w:color="999999" w:sz="8"/>
              <w:bottom w:val="single" w:color="999999" w:sz="8"/>
              <w:right w:val="single" w:color="999999" w:sz="8"/>
            </w:tcBorders>
            <w:tcMar>
              <w:left w:w="108" w:type="dxa"/>
              <w:right w:w="108" w:type="dxa"/>
            </w:tcMar>
            <w:vAlign w:val="top"/>
          </w:tcPr>
          <w:p w:rsidR="5A8C5C9C" w:rsidP="70718A41" w:rsidRDefault="5A8C5C9C" w14:paraId="2154D7F0" w14:textId="301EA0CB">
            <w:pPr>
              <w:bidi w:val="0"/>
              <w:spacing w:before="0" w:beforeAutospacing="off" w:after="0" w:afterAutospacing="off"/>
              <w:jc w:val="center"/>
              <w:rPr>
                <w:rFonts w:ascii="Calibri" w:hAnsi="Calibri" w:eastAsia="Calibri" w:cs="Calibri"/>
                <w:color w:val="auto"/>
                <w:sz w:val="22"/>
                <w:szCs w:val="22"/>
              </w:rPr>
            </w:pPr>
            <w:r w:rsidRPr="70718A41" w:rsidR="5A8C5C9C">
              <w:rPr>
                <w:rFonts w:ascii="Calibri" w:hAnsi="Calibri" w:eastAsia="Calibri" w:cs="Calibri"/>
                <w:color w:val="auto"/>
                <w:sz w:val="22"/>
                <w:szCs w:val="22"/>
              </w:rPr>
              <w:t>10</w:t>
            </w:r>
          </w:p>
        </w:tc>
      </w:tr>
      <w:tr w:rsidR="6CFD0B30" w:rsidTr="70718A41" w14:paraId="45B24A77">
        <w:trPr>
          <w:trHeight w:val="300"/>
        </w:trPr>
        <w:tc>
          <w:tcPr>
            <w:cnfStyle w:val="001000000000" w:firstRow="0" w:lastRow="0" w:firstColumn="1" w:lastColumn="0" w:oddVBand="0" w:evenVBand="0" w:oddHBand="0" w:evenHBand="0" w:firstRowFirstColumn="0" w:firstRowLastColumn="0" w:lastRowFirstColumn="0" w:lastRowLastColumn="0"/>
            <w:tcW w:w="88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C6CAF41" w14:textId="5CB944D1">
            <w:pPr>
              <w:bidi w:val="0"/>
              <w:spacing w:before="0" w:beforeAutospacing="off" w:after="0" w:afterAutospacing="off"/>
              <w:jc w:val="center"/>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4</w:t>
            </w:r>
          </w:p>
        </w:tc>
        <w:tc>
          <w:tcPr>
            <w:cnfStyle w:val="000000000000" w:firstRow="0" w:lastRow="0" w:firstColumn="0" w:lastColumn="0" w:oddVBand="0" w:evenVBand="0" w:oddHBand="0" w:evenHBand="0" w:firstRowFirstColumn="0" w:firstRowLastColumn="0" w:lastRowFirstColumn="0" w:lastRowLastColumn="0"/>
            <w:tcW w:w="7815" w:type="dxa"/>
            <w:tcBorders>
              <w:top w:val="single" w:color="999999" w:sz="8"/>
              <w:left w:val="single" w:color="999999" w:sz="8"/>
              <w:bottom w:val="single" w:color="999999" w:sz="8"/>
              <w:right w:val="single" w:color="999999" w:sz="8"/>
            </w:tcBorders>
            <w:tcMar>
              <w:left w:w="108" w:type="dxa"/>
              <w:right w:w="108" w:type="dxa"/>
            </w:tcMar>
            <w:vAlign w:val="top"/>
          </w:tcPr>
          <w:p w:rsidR="7B26D8A1" w:rsidP="70718A41" w:rsidRDefault="7B26D8A1" w14:paraId="161D1201" w14:textId="363CF3CD">
            <w:pPr>
              <w:bidi w:val="0"/>
              <w:spacing w:before="0" w:beforeAutospacing="off" w:after="0" w:afterAutospacing="off"/>
              <w:jc w:val="both"/>
              <w:rPr>
                <w:rFonts w:ascii="Calibri" w:hAnsi="Calibri" w:eastAsia="Calibri" w:cs="Calibri"/>
                <w:color w:val="auto"/>
                <w:sz w:val="22"/>
                <w:szCs w:val="22"/>
              </w:rPr>
            </w:pPr>
            <w:r w:rsidRPr="70718A41" w:rsidR="7B26D8A1">
              <w:rPr>
                <w:rFonts w:ascii="Calibri" w:hAnsi="Calibri" w:eastAsia="Calibri" w:cs="Calibri"/>
                <w:color w:val="auto"/>
                <w:sz w:val="22"/>
                <w:szCs w:val="22"/>
              </w:rPr>
              <w:t>AISGM Implementation Roadmap — phased delivery from foundational governance to continuous improvement.</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BC6F3F5" w14:textId="2F73AACA">
            <w:pPr>
              <w:bidi w:val="0"/>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11</w:t>
            </w:r>
          </w:p>
        </w:tc>
      </w:tr>
    </w:tbl>
    <w:p xmlns:wp14="http://schemas.microsoft.com/office/word/2010/wordml" w:rsidP="70718A41" wp14:paraId="75758344" wp14:textId="3CD030E3">
      <w:pPr>
        <w:pStyle w:val="Heading1"/>
        <w:bidi w:val="0"/>
        <w:spacing w:before="0" w:beforeAutospacing="off" w:after="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 xml:space="preserve"> </w:t>
      </w:r>
    </w:p>
    <w:p xmlns:wp14="http://schemas.microsoft.com/office/word/2010/wordml" w:rsidP="70718A41" wp14:paraId="29C48F36" wp14:textId="4D70BE67">
      <w:pPr>
        <w:pStyle w:val="Heading1"/>
        <w:bidi w:val="0"/>
        <w:spacing w:before="0" w:beforeAutospacing="off" w:after="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List of Tables</w:t>
      </w:r>
    </w:p>
    <w:tbl>
      <w:tblPr>
        <w:tblStyle w:val="GridTable1Light"/>
        <w:bidiVisual w:val="0"/>
        <w:tblW w:w="9621" w:type="dxa"/>
        <w:tblLook w:val="04A0" w:firstRow="1" w:lastRow="0" w:firstColumn="1" w:lastColumn="0" w:noHBand="0" w:noVBand="1"/>
      </w:tblPr>
      <w:tblGrid>
        <w:gridCol w:w="870"/>
        <w:gridCol w:w="7881"/>
        <w:gridCol w:w="870"/>
      </w:tblGrid>
      <w:tr w:rsidR="6CFD0B30" w:rsidTr="70718A41" w14:paraId="5F7B5479">
        <w:trPr>
          <w:trHeight w:val="300"/>
        </w:trPr>
        <w:tc>
          <w:tcPr>
            <w:cnfStyle w:val="001000000000" w:firstRow="0" w:lastRow="0" w:firstColumn="1" w:lastColumn="0" w:oddVBand="0" w:evenVBand="0" w:oddHBand="0" w:evenHBand="0" w:firstRowFirstColumn="0" w:firstRowLastColumn="0" w:lastRowFirstColumn="0" w:lastRowLastColumn="0"/>
            <w:tcW w:w="87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28E5E28F" w14:textId="0F125D31">
            <w:pPr>
              <w:bidi w:val="0"/>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Table</w:t>
            </w:r>
          </w:p>
        </w:tc>
        <w:tc>
          <w:tcPr>
            <w:cnfStyle w:val="000000000000" w:firstRow="0" w:lastRow="0" w:firstColumn="0" w:lastColumn="0" w:oddVBand="0" w:evenVBand="0" w:oddHBand="0" w:evenHBand="0" w:firstRowFirstColumn="0" w:firstRowLastColumn="0" w:lastRowFirstColumn="0" w:lastRowLastColumn="0"/>
            <w:tcW w:w="7881" w:type="dxa"/>
            <w:tcBorders>
              <w:top w:val="single" w:color="999999" w:sz="8"/>
              <w:left w:val="single" w:color="999999" w:sz="8"/>
              <w:bottom w:val="single" w:color="666666" w:sz="12"/>
              <w:right w:val="single" w:color="000000" w:themeColor="text1" w:sz="12"/>
            </w:tcBorders>
            <w:tcMar>
              <w:left w:w="108" w:type="dxa"/>
              <w:right w:w="108" w:type="dxa"/>
            </w:tcMar>
            <w:vAlign w:val="top"/>
          </w:tcPr>
          <w:p w:rsidR="6CFD0B30" w:rsidP="70718A41" w:rsidRDefault="6CFD0B30" w14:paraId="5FDDC6CD" w14:textId="641FC32D">
            <w:pPr>
              <w:bidi w:val="0"/>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Description</w:t>
            </w:r>
          </w:p>
        </w:tc>
        <w:tc>
          <w:tcPr>
            <w:cnfStyle w:val="000000000000" w:firstRow="0" w:lastRow="0" w:firstColumn="0" w:lastColumn="0" w:oddVBand="0" w:evenVBand="0" w:oddHBand="0" w:evenHBand="0" w:firstRowFirstColumn="0" w:firstRowLastColumn="0" w:lastRowFirstColumn="0" w:lastRowLastColumn="0"/>
            <w:tcW w:w="870" w:type="dxa"/>
            <w:tcBorders>
              <w:top w:val="single" w:color="000000" w:themeColor="text1" w:sz="12"/>
              <w:left w:val="single" w:color="000000" w:themeColor="text1" w:sz="12"/>
              <w:bottom w:val="single" w:color="666666" w:sz="12"/>
              <w:right w:val="single" w:color="000000" w:themeColor="text1" w:sz="12"/>
            </w:tcBorders>
            <w:tcMar>
              <w:left w:w="108" w:type="dxa"/>
              <w:right w:w="108" w:type="dxa"/>
            </w:tcMar>
            <w:vAlign w:val="top"/>
          </w:tcPr>
          <w:p w:rsidR="6CFD0B30" w:rsidP="70718A41" w:rsidRDefault="6CFD0B30" w14:paraId="33E6C1D2" w14:textId="491EF0A2">
            <w:pPr>
              <w:bidi w:val="0"/>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Page</w:t>
            </w:r>
          </w:p>
        </w:tc>
      </w:tr>
      <w:tr w:rsidR="6CFD0B30" w:rsidTr="70718A41" w14:paraId="5D985016">
        <w:trPr>
          <w:trHeight w:val="300"/>
        </w:trPr>
        <w:tc>
          <w:tcPr>
            <w:cnfStyle w:val="001000000000" w:firstRow="0" w:lastRow="0" w:firstColumn="1" w:lastColumn="0" w:oddVBand="0" w:evenVBand="0" w:oddHBand="0" w:evenHBand="0" w:firstRowFirstColumn="0" w:firstRowLastColumn="0" w:lastRowFirstColumn="0" w:lastRowLastColumn="0"/>
            <w:tcW w:w="87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738BA1D6" w14:textId="27A19F6F">
            <w:pPr>
              <w:bidi w:val="0"/>
              <w:spacing w:before="0" w:beforeAutospacing="off" w:after="0" w:afterAutospacing="off"/>
              <w:jc w:val="center"/>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1</w:t>
            </w:r>
          </w:p>
        </w:tc>
        <w:tc>
          <w:tcPr>
            <w:cnfStyle w:val="000000000000" w:firstRow="0" w:lastRow="0" w:firstColumn="0" w:lastColumn="0" w:oddVBand="0" w:evenVBand="0" w:oddHBand="0" w:evenHBand="0" w:firstRowFirstColumn="0" w:firstRowLastColumn="0" w:lastRowFirstColumn="0" w:lastRowLastColumn="0"/>
            <w:tcW w:w="7881" w:type="dxa"/>
            <w:tcBorders>
              <w:top w:val="single" w:color="666666" w:sz="12"/>
              <w:left w:val="single" w:color="999999" w:sz="8"/>
              <w:bottom w:val="single" w:color="999999" w:sz="8"/>
              <w:right w:val="single" w:color="000000" w:themeColor="text1" w:sz="12"/>
            </w:tcBorders>
            <w:tcMar>
              <w:left w:w="108" w:type="dxa"/>
              <w:right w:w="108" w:type="dxa"/>
            </w:tcMar>
            <w:vAlign w:val="top"/>
          </w:tcPr>
          <w:p w:rsidR="6CFD0B30" w:rsidP="70718A41" w:rsidRDefault="6CFD0B30" w14:paraId="193B91BB" w14:textId="442265F2">
            <w:pPr>
              <w:bidi w:val="0"/>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Framework Comparison</w:t>
            </w:r>
          </w:p>
        </w:tc>
        <w:tc>
          <w:tcPr>
            <w:cnfStyle w:val="000000000000" w:firstRow="0" w:lastRow="0" w:firstColumn="0" w:lastColumn="0" w:oddVBand="0" w:evenVBand="0" w:oddHBand="0" w:evenHBand="0" w:firstRowFirstColumn="0" w:firstRowLastColumn="0" w:lastRowFirstColumn="0" w:lastRowLastColumn="0"/>
            <w:tcW w:w="870" w:type="dxa"/>
            <w:tcBorders>
              <w:top w:val="single" w:color="666666" w:sz="12"/>
              <w:left w:val="single" w:color="000000" w:themeColor="text1" w:sz="12"/>
              <w:bottom w:val="single" w:color="999999" w:sz="8"/>
              <w:right w:val="single" w:color="000000" w:themeColor="text1" w:sz="12"/>
            </w:tcBorders>
            <w:tcMar>
              <w:left w:w="108" w:type="dxa"/>
              <w:right w:w="108" w:type="dxa"/>
            </w:tcMar>
            <w:vAlign w:val="top"/>
          </w:tcPr>
          <w:p w:rsidR="6CFD0B30" w:rsidP="70718A41" w:rsidRDefault="6CFD0B30" w14:paraId="3137C34C" w14:textId="66C987B6">
            <w:pPr>
              <w:bidi w:val="0"/>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6</w:t>
            </w:r>
          </w:p>
        </w:tc>
      </w:tr>
      <w:tr w:rsidR="6CFD0B30" w:rsidTr="70718A41" w14:paraId="44B38646">
        <w:trPr>
          <w:trHeight w:val="300"/>
        </w:trPr>
        <w:tc>
          <w:tcPr>
            <w:cnfStyle w:val="001000000000" w:firstRow="0" w:lastRow="0" w:firstColumn="1" w:lastColumn="0" w:oddVBand="0" w:evenVBand="0" w:oddHBand="0" w:evenHBand="0" w:firstRowFirstColumn="0" w:firstRowLastColumn="0" w:lastRowFirstColumn="0" w:lastRowLastColumn="0"/>
            <w:tcW w:w="87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DD3E576" w14:textId="2EFCE262">
            <w:pPr>
              <w:bidi w:val="0"/>
              <w:spacing w:before="0" w:beforeAutospacing="off" w:after="0" w:afterAutospacing="off"/>
              <w:jc w:val="center"/>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2</w:t>
            </w:r>
          </w:p>
        </w:tc>
        <w:tc>
          <w:tcPr>
            <w:cnfStyle w:val="000000000000" w:firstRow="0" w:lastRow="0" w:firstColumn="0" w:lastColumn="0" w:oddVBand="0" w:evenVBand="0" w:oddHBand="0" w:evenHBand="0" w:firstRowFirstColumn="0" w:firstRowLastColumn="0" w:lastRowFirstColumn="0" w:lastRowLastColumn="0"/>
            <w:tcW w:w="7881" w:type="dxa"/>
            <w:tcBorders>
              <w:top w:val="single" w:color="999999" w:sz="8"/>
              <w:left w:val="single" w:color="999999" w:sz="8"/>
              <w:bottom w:val="single" w:color="999999" w:sz="8"/>
              <w:right w:val="single" w:color="000000" w:themeColor="text1" w:sz="12"/>
            </w:tcBorders>
            <w:tcMar>
              <w:left w:w="108" w:type="dxa"/>
              <w:right w:w="108" w:type="dxa"/>
            </w:tcMar>
            <w:vAlign w:val="top"/>
          </w:tcPr>
          <w:p w:rsidR="6CFD0B30" w:rsidP="70718A41" w:rsidRDefault="6CFD0B30" w14:paraId="53750CE9" w14:textId="485993CA">
            <w:pPr>
              <w:bidi w:val="0"/>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AeroLink Security Gap Analysis</w:t>
            </w:r>
          </w:p>
        </w:tc>
        <w:tc>
          <w:tcPr>
            <w:cnfStyle w:val="000000000000" w:firstRow="0" w:lastRow="0" w:firstColumn="0" w:lastColumn="0" w:oddVBand="0" w:evenVBand="0" w:oddHBand="0" w:evenHBand="0" w:firstRowFirstColumn="0" w:firstRowLastColumn="0" w:lastRowFirstColumn="0" w:lastRowLastColumn="0"/>
            <w:tcW w:w="870" w:type="dxa"/>
            <w:tcBorders>
              <w:top w:val="single" w:color="999999" w:sz="8"/>
              <w:left w:val="single" w:color="000000" w:themeColor="text1" w:sz="12"/>
              <w:bottom w:val="single" w:color="999999" w:sz="8"/>
              <w:right w:val="single" w:color="000000" w:themeColor="text1" w:sz="12"/>
            </w:tcBorders>
            <w:tcMar>
              <w:left w:w="108" w:type="dxa"/>
              <w:right w:w="108" w:type="dxa"/>
            </w:tcMar>
            <w:vAlign w:val="top"/>
          </w:tcPr>
          <w:p w:rsidR="78E8EC1F" w:rsidP="70718A41" w:rsidRDefault="78E8EC1F" w14:paraId="08CD045C" w14:textId="3DD45BD0">
            <w:pPr>
              <w:bidi w:val="0"/>
              <w:spacing w:before="0" w:beforeAutospacing="off" w:after="0" w:afterAutospacing="off"/>
              <w:jc w:val="center"/>
              <w:rPr>
                <w:rFonts w:ascii="Calibri" w:hAnsi="Calibri" w:eastAsia="Calibri" w:cs="Calibri"/>
                <w:color w:val="auto"/>
                <w:sz w:val="22"/>
                <w:szCs w:val="22"/>
              </w:rPr>
            </w:pPr>
            <w:r w:rsidRPr="70718A41" w:rsidR="78E8EC1F">
              <w:rPr>
                <w:rFonts w:ascii="Calibri" w:hAnsi="Calibri" w:eastAsia="Calibri" w:cs="Calibri"/>
                <w:color w:val="auto"/>
                <w:sz w:val="22"/>
                <w:szCs w:val="22"/>
              </w:rPr>
              <w:t>8</w:t>
            </w:r>
          </w:p>
        </w:tc>
      </w:tr>
      <w:tr w:rsidR="6CFD0B30" w:rsidTr="70718A41" w14:paraId="71FF7BD4">
        <w:trPr>
          <w:trHeight w:val="300"/>
        </w:trPr>
        <w:tc>
          <w:tcPr>
            <w:cnfStyle w:val="001000000000" w:firstRow="0" w:lastRow="0" w:firstColumn="1" w:lastColumn="0" w:oddVBand="0" w:evenVBand="0" w:oddHBand="0" w:evenHBand="0" w:firstRowFirstColumn="0" w:firstRowLastColumn="0" w:lastRowFirstColumn="0" w:lastRowLastColumn="0"/>
            <w:tcW w:w="87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1C14E77" w14:textId="7436D882">
            <w:pPr>
              <w:bidi w:val="0"/>
              <w:spacing w:before="0" w:beforeAutospacing="off" w:after="0" w:afterAutospacing="off"/>
              <w:jc w:val="center"/>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3</w:t>
            </w:r>
          </w:p>
        </w:tc>
        <w:tc>
          <w:tcPr>
            <w:cnfStyle w:val="000000000000" w:firstRow="0" w:lastRow="0" w:firstColumn="0" w:lastColumn="0" w:oddVBand="0" w:evenVBand="0" w:oddHBand="0" w:evenHBand="0" w:firstRowFirstColumn="0" w:firstRowLastColumn="0" w:lastRowFirstColumn="0" w:lastRowLastColumn="0"/>
            <w:tcW w:w="7881" w:type="dxa"/>
            <w:tcBorders>
              <w:top w:val="single" w:color="999999" w:sz="8"/>
              <w:left w:val="single" w:color="999999" w:sz="8"/>
              <w:bottom w:val="single" w:color="999999" w:sz="8"/>
              <w:right w:val="single" w:color="000000" w:themeColor="text1" w:sz="12"/>
            </w:tcBorders>
            <w:tcMar>
              <w:left w:w="108" w:type="dxa"/>
              <w:right w:w="108" w:type="dxa"/>
            </w:tcMar>
            <w:vAlign w:val="top"/>
          </w:tcPr>
          <w:p w:rsidR="6CFD0B30" w:rsidP="70718A41" w:rsidRDefault="6CFD0B30" w14:paraId="3398FA41" w14:textId="5F6EC81C">
            <w:pPr>
              <w:bidi w:val="0"/>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Risk Register (Extract)</w:t>
            </w:r>
          </w:p>
        </w:tc>
        <w:tc>
          <w:tcPr>
            <w:cnfStyle w:val="000000000000" w:firstRow="0" w:lastRow="0" w:firstColumn="0" w:lastColumn="0" w:oddVBand="0" w:evenVBand="0" w:oddHBand="0" w:evenHBand="0" w:firstRowFirstColumn="0" w:firstRowLastColumn="0" w:lastRowFirstColumn="0" w:lastRowLastColumn="0"/>
            <w:tcW w:w="870" w:type="dxa"/>
            <w:tcBorders>
              <w:top w:val="single" w:color="999999" w:sz="8"/>
              <w:left w:val="single" w:color="000000" w:themeColor="text1" w:sz="12"/>
              <w:bottom w:val="single" w:color="999999" w:sz="8"/>
              <w:right w:val="single" w:color="000000" w:themeColor="text1" w:sz="12"/>
            </w:tcBorders>
            <w:tcMar>
              <w:left w:w="108" w:type="dxa"/>
              <w:right w:w="108" w:type="dxa"/>
            </w:tcMar>
            <w:vAlign w:val="top"/>
          </w:tcPr>
          <w:p w:rsidR="0C786E74" w:rsidP="70718A41" w:rsidRDefault="0C786E74" w14:paraId="1D9C93E4" w14:textId="18D290C8">
            <w:pPr>
              <w:bidi w:val="0"/>
              <w:spacing w:before="0" w:beforeAutospacing="off" w:after="0" w:afterAutospacing="off"/>
              <w:jc w:val="center"/>
              <w:rPr>
                <w:rFonts w:ascii="Calibri" w:hAnsi="Calibri" w:eastAsia="Calibri" w:cs="Calibri"/>
                <w:color w:val="auto"/>
                <w:sz w:val="22"/>
                <w:szCs w:val="22"/>
              </w:rPr>
            </w:pPr>
            <w:r w:rsidRPr="70718A41" w:rsidR="0C786E74">
              <w:rPr>
                <w:rFonts w:ascii="Calibri" w:hAnsi="Calibri" w:eastAsia="Calibri" w:cs="Calibri"/>
                <w:color w:val="auto"/>
                <w:sz w:val="22"/>
                <w:szCs w:val="22"/>
              </w:rPr>
              <w:t>10</w:t>
            </w:r>
          </w:p>
        </w:tc>
      </w:tr>
      <w:tr w:rsidR="6CFD0B30" w:rsidTr="70718A41" w14:paraId="4A4E155E">
        <w:trPr>
          <w:trHeight w:val="300"/>
        </w:trPr>
        <w:tc>
          <w:tcPr>
            <w:cnfStyle w:val="001000000000" w:firstRow="0" w:lastRow="0" w:firstColumn="1" w:lastColumn="0" w:oddVBand="0" w:evenVBand="0" w:oddHBand="0" w:evenHBand="0" w:firstRowFirstColumn="0" w:firstRowLastColumn="0" w:lastRowFirstColumn="0" w:lastRowLastColumn="0"/>
            <w:tcW w:w="87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53DF3A8" w14:textId="17682D20">
            <w:pPr>
              <w:bidi w:val="0"/>
              <w:spacing w:before="0" w:beforeAutospacing="off" w:after="0" w:afterAutospacing="off"/>
              <w:jc w:val="center"/>
              <w:rPr>
                <w:rFonts w:ascii="Calibri" w:hAnsi="Calibri" w:eastAsia="Calibri" w:cs="Calibri"/>
                <w:b w:val="1"/>
                <w:bCs w:val="1"/>
                <w:color w:val="auto"/>
                <w:sz w:val="22"/>
                <w:szCs w:val="22"/>
              </w:rPr>
            </w:pPr>
            <w:r w:rsidRPr="70718A41" w:rsidR="6CFD0B30">
              <w:rPr>
                <w:rFonts w:ascii="Calibri" w:hAnsi="Calibri" w:eastAsia="Calibri" w:cs="Calibri"/>
                <w:b w:val="1"/>
                <w:bCs w:val="1"/>
                <w:color w:val="auto"/>
                <w:sz w:val="22"/>
                <w:szCs w:val="22"/>
              </w:rPr>
              <w:t>4</w:t>
            </w:r>
          </w:p>
        </w:tc>
        <w:tc>
          <w:tcPr>
            <w:cnfStyle w:val="000000000000" w:firstRow="0" w:lastRow="0" w:firstColumn="0" w:lastColumn="0" w:oddVBand="0" w:evenVBand="0" w:oddHBand="0" w:evenHBand="0" w:firstRowFirstColumn="0" w:firstRowLastColumn="0" w:lastRowFirstColumn="0" w:lastRowLastColumn="0"/>
            <w:tcW w:w="7881" w:type="dxa"/>
            <w:tcBorders>
              <w:top w:val="single" w:color="999999" w:sz="8"/>
              <w:left w:val="single" w:color="999999" w:sz="8"/>
              <w:bottom w:val="single" w:color="999999" w:sz="8"/>
              <w:right w:val="single" w:color="000000" w:themeColor="text1" w:sz="12"/>
            </w:tcBorders>
            <w:tcMar>
              <w:left w:w="108" w:type="dxa"/>
              <w:right w:w="108" w:type="dxa"/>
            </w:tcMar>
            <w:vAlign w:val="top"/>
          </w:tcPr>
          <w:p w:rsidR="6CFD0B30" w:rsidP="70718A41" w:rsidRDefault="6CFD0B30" w14:paraId="53DAEA20" w14:textId="4013327B">
            <w:pPr>
              <w:bidi w:val="0"/>
              <w:spacing w:before="0" w:beforeAutospacing="off" w:after="0" w:afterAutospacing="off"/>
              <w:jc w:val="both"/>
              <w:rPr>
                <w:rFonts w:ascii="Calibri" w:hAnsi="Calibri" w:eastAsia="Calibri" w:cs="Calibri"/>
                <w:color w:val="auto"/>
                <w:sz w:val="22"/>
                <w:szCs w:val="22"/>
              </w:rPr>
            </w:pPr>
            <w:r w:rsidRPr="70718A41" w:rsidR="6CFD0B30">
              <w:rPr>
                <w:rFonts w:ascii="Calibri" w:hAnsi="Calibri" w:eastAsia="Calibri" w:cs="Calibri"/>
                <w:color w:val="auto"/>
                <w:sz w:val="22"/>
                <w:szCs w:val="22"/>
              </w:rPr>
              <w:t>Risk Matrix (Likelihood × Impact)</w:t>
            </w:r>
          </w:p>
        </w:tc>
        <w:tc>
          <w:tcPr>
            <w:cnfStyle w:val="000000000000" w:firstRow="0" w:lastRow="0" w:firstColumn="0" w:lastColumn="0" w:oddVBand="0" w:evenVBand="0" w:oddHBand="0" w:evenHBand="0" w:firstRowFirstColumn="0" w:firstRowLastColumn="0" w:lastRowFirstColumn="0" w:lastRowLastColumn="0"/>
            <w:tcW w:w="870" w:type="dxa"/>
            <w:tcBorders>
              <w:top w:val="single" w:color="999999" w:sz="8"/>
              <w:left w:val="single" w:color="000000" w:themeColor="text1" w:sz="12"/>
              <w:bottom w:val="single" w:color="000000" w:themeColor="text1" w:sz="12"/>
              <w:right w:val="single" w:color="000000" w:themeColor="text1" w:sz="12"/>
            </w:tcBorders>
            <w:tcMar>
              <w:left w:w="108" w:type="dxa"/>
              <w:right w:w="108" w:type="dxa"/>
            </w:tcMar>
            <w:vAlign w:val="top"/>
          </w:tcPr>
          <w:p w:rsidR="6CFD0B30" w:rsidP="70718A41" w:rsidRDefault="6CFD0B30" w14:paraId="72C1763D" w14:textId="78D6B45E">
            <w:pPr>
              <w:bidi w:val="0"/>
              <w:spacing w:before="0" w:beforeAutospacing="off" w:after="0" w:afterAutospacing="off"/>
              <w:jc w:val="center"/>
              <w:rPr>
                <w:rFonts w:ascii="Calibri" w:hAnsi="Calibri" w:eastAsia="Calibri" w:cs="Calibri"/>
                <w:color w:val="auto"/>
                <w:sz w:val="22"/>
                <w:szCs w:val="22"/>
              </w:rPr>
            </w:pPr>
            <w:r w:rsidRPr="70718A41" w:rsidR="6CFD0B30">
              <w:rPr>
                <w:rFonts w:ascii="Calibri" w:hAnsi="Calibri" w:eastAsia="Calibri" w:cs="Calibri"/>
                <w:color w:val="auto"/>
                <w:sz w:val="22"/>
                <w:szCs w:val="22"/>
              </w:rPr>
              <w:t>10</w:t>
            </w:r>
          </w:p>
        </w:tc>
      </w:tr>
    </w:tbl>
    <w:p xmlns:wp14="http://schemas.microsoft.com/office/word/2010/wordml" w:rsidP="70718A41" wp14:paraId="69A6C2E0" wp14:textId="20885F96">
      <w:pPr>
        <w:rPr>
          <w:color w:val="auto"/>
        </w:rPr>
      </w:pPr>
    </w:p>
    <w:p xmlns:wp14="http://schemas.microsoft.com/office/word/2010/wordml" w:rsidP="70718A41" wp14:paraId="169AE9C5" wp14:textId="48597C2B">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Abstract</w:t>
      </w:r>
    </w:p>
    <w:p xmlns:wp14="http://schemas.microsoft.com/office/word/2010/wordml" w:rsidP="70718A41" wp14:paraId="7098D0F5" wp14:textId="21682B29">
      <w:pPr>
        <w:bidi w:val="0"/>
        <w:spacing w:before="0" w:beforeAutospacing="off" w:after="0" w:afterAutospacing="off"/>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AeroLink Logistics (ALL) uses an AI-driven, cloud-first and IoT-based logistics platform, 88% of which is outsourced, but it has no centralised control and is subjected to repeated customer PII breaches. This report compares the three frameworks presented (ISO/IEC 27001:2022, NIST CSF 2.0 and COBIT 2019 and ITIL 4) and demonstrates that none of the frameworks is sufficient to solve ALL's security and compliance issues. It suggests the AeroLink Integrated Security Governance Model (AISGM) that combines these frameworks with Zero Trust, vendor governance and business continuity to boost cloud, AI, IoT and outsourced resiliency, compliance and risk management.</w:t>
      </w:r>
    </w:p>
    <w:p xmlns:wp14="http://schemas.microsoft.com/office/word/2010/wordml" w:rsidP="70718A41" wp14:paraId="7D51AED1" wp14:textId="506D13F3">
      <w:pPr>
        <w:bidi w:val="0"/>
        <w:jc w:val="both"/>
        <w:rPr>
          <w:color w:val="auto"/>
        </w:rPr>
      </w:pPr>
    </w:p>
    <w:p xmlns:wp14="http://schemas.microsoft.com/office/word/2010/wordml" w:rsidP="70718A41" wp14:paraId="5446F82E" wp14:textId="56AAB0D2">
      <w:pPr>
        <w:bidi w:val="0"/>
        <w:spacing w:before="0" w:beforeAutospacing="off" w:after="0" w:afterAutospacing="off"/>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 xml:space="preserve"> </w:t>
      </w:r>
    </w:p>
    <w:p xmlns:wp14="http://schemas.microsoft.com/office/word/2010/wordml" w:rsidP="70718A41" wp14:paraId="6E7E0B08" wp14:textId="7F9B035E">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p>
    <w:p xmlns:wp14="http://schemas.microsoft.com/office/word/2010/wordml" w:rsidP="70718A41" wp14:paraId="0D298D77" wp14:textId="6F215345">
      <w:pPr>
        <w:rPr>
          <w:color w:val="auto"/>
        </w:rPr>
      </w:pPr>
      <w:r w:rsidRPr="70718A41">
        <w:rPr>
          <w:color w:val="auto"/>
        </w:rPr>
        <w:br w:type="page"/>
      </w:r>
    </w:p>
    <w:p xmlns:wp14="http://schemas.microsoft.com/office/word/2010/wordml" w:rsidP="70718A41" wp14:paraId="4E43F5BB" wp14:textId="25347A94">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1. Introduction</w:t>
      </w:r>
    </w:p>
    <w:p xmlns:wp14="http://schemas.microsoft.com/office/word/2010/wordml" w:rsidP="70718A41" wp14:paraId="4CD3A685" wp14:textId="31F1C983">
      <w:pPr>
        <w:bidi w:val="0"/>
        <w:spacing w:before="0" w:beforeAutospacing="off" w:after="0" w:afterAutospacing="off"/>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While digital transformation has been a cornerstone of AeroLink Logistics' efforts to boost efficiency, leveraging cloud computing, AI and IoT, it has also presented new cybersecurity challenges for cloud platforms, IoT devices, AI systems and an increasingly remote workforce. Security has to thus be treated as enterprise governance and compliance problem instead of a technical problem. The absence of a consistent chain of command, implementation of ISO/IEC 27001 and compliance with GDPR has been a major cause of the frequent data breaches at AeroLink. This report reviews top-notch security frameworks, assesses the gaps within the organisation and recommends an integrated governance model for AeroLink's outsourced, cloud-first environment. [1]</w:t>
      </w:r>
      <w:r>
        <w:br/>
      </w:r>
      <w:r w:rsidRPr="70718A41" w:rsidR="3ACFA967">
        <w:rPr>
          <w:rFonts w:ascii="Calibri" w:hAnsi="Calibri" w:eastAsia="Calibri" w:cs="Calibri"/>
          <w:noProof w:val="0"/>
          <w:color w:val="auto"/>
          <w:sz w:val="22"/>
          <w:szCs w:val="22"/>
          <w:lang w:val="en-GB"/>
        </w:rPr>
        <w:t xml:space="preserve"> </w:t>
      </w:r>
    </w:p>
    <w:p xmlns:wp14="http://schemas.microsoft.com/office/word/2010/wordml" w:rsidP="70718A41" wp14:paraId="4C5AC7FB" wp14:textId="730F429F">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p>
    <w:p xmlns:wp14="http://schemas.microsoft.com/office/word/2010/wordml" w:rsidP="70718A41" wp14:paraId="2413F6B6" wp14:textId="48FE56B3">
      <w:pPr>
        <w:rPr>
          <w:color w:val="auto"/>
        </w:rPr>
      </w:pPr>
      <w:r w:rsidRPr="70718A41">
        <w:rPr>
          <w:color w:val="auto"/>
        </w:rPr>
        <w:br w:type="page"/>
      </w:r>
    </w:p>
    <w:p xmlns:wp14="http://schemas.microsoft.com/office/word/2010/wordml" w:rsidP="70718A41" wp14:paraId="142CC2B8" wp14:textId="55160EF7">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2. Literature Review and Critical Evaluation</w:t>
      </w:r>
    </w:p>
    <w:p xmlns:wp14="http://schemas.microsoft.com/office/word/2010/wordml" w:rsidP="70718A41" wp14:paraId="105AC463" wp14:textId="0AB3470A">
      <w:pPr>
        <w:pStyle w:val="Heading2"/>
        <w:bidi w:val="0"/>
        <w:spacing w:before="260" w:beforeAutospacing="off" w:after="120" w:afterAutospacing="off"/>
        <w:jc w:val="both"/>
        <w:rPr>
          <w:rFonts w:ascii="Calibri" w:hAnsi="Calibri" w:eastAsia="Calibri" w:cs="Calibri"/>
          <w:b w:val="0"/>
          <w:bCs w:val="0"/>
          <w:noProof w:val="0"/>
          <w:color w:val="auto"/>
          <w:sz w:val="26"/>
          <w:szCs w:val="26"/>
          <w:lang w:val="en-GB"/>
        </w:rPr>
      </w:pPr>
      <w:r w:rsidRPr="70718A41" w:rsidR="3ACFA967">
        <w:rPr>
          <w:rFonts w:ascii="Calibri" w:hAnsi="Calibri" w:eastAsia="Calibri" w:cs="Calibri"/>
          <w:b w:val="0"/>
          <w:bCs w:val="0"/>
          <w:noProof w:val="0"/>
          <w:color w:val="auto"/>
          <w:sz w:val="26"/>
          <w:szCs w:val="26"/>
          <w:lang w:val="en-GB"/>
        </w:rPr>
        <w:t>2.1 ISO/IEC 27001:2022</w:t>
      </w:r>
    </w:p>
    <w:p xmlns:wp14="http://schemas.microsoft.com/office/word/2010/wordml" w:rsidP="70718A41" wp14:paraId="29EC2B1E" wp14:textId="531D67BA">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18D5EA10">
        <w:rPr>
          <w:rFonts w:ascii="Calibri" w:hAnsi="Calibri" w:eastAsia="Calibri" w:cs="Calibri"/>
          <w:noProof w:val="0"/>
          <w:color w:val="auto"/>
          <w:sz w:val="22"/>
          <w:szCs w:val="22"/>
          <w:lang w:val="en-GB"/>
        </w:rPr>
        <w:t>The requirements of ISO/IEC 27001:2022 are for an Information Security Management System (ISMS) to be implemented, maintained and continually improved, and have 93 Annex A controls that encompass the organisational, people, technological, and physical domains [2]. Its most important benefits are its risk based approach and Statement of Applicability, which provide a basis for the justified selection of controls, and the possibility of integration with other ISO management systems [2]. This makes it the perfect way for AeroLink to add proof of compliance and customer confidence. But ISO 27001 does not tell you how or only certifies at a specific point in time, which means implementations can vary. Plus, point in time certification is not enough to give real-time visibility of risks in cloud-native and IoT environments.</w:t>
      </w:r>
    </w:p>
    <w:p xmlns:wp14="http://schemas.microsoft.com/office/word/2010/wordml" w:rsidP="70718A41" wp14:paraId="31A97208" wp14:textId="0817757A">
      <w:pPr>
        <w:bidi w:val="0"/>
        <w:spacing w:before="0" w:beforeAutospacing="off" w:after="160" w:afterAutospacing="off" w:line="276" w:lineRule="auto"/>
        <w:jc w:val="both"/>
        <w:rPr>
          <w:rFonts w:ascii="Calibri" w:hAnsi="Calibri" w:eastAsia="Calibri" w:cs="Calibri"/>
          <w:noProof w:val="0"/>
          <w:color w:val="auto"/>
          <w:sz w:val="22"/>
          <w:szCs w:val="22"/>
          <w:lang w:val="en-GB"/>
        </w:rPr>
      </w:pPr>
    </w:p>
    <w:p xmlns:wp14="http://schemas.microsoft.com/office/word/2010/wordml" w:rsidP="70718A41" wp14:paraId="1B3D355F" wp14:textId="072A3667">
      <w:pPr>
        <w:pStyle w:val="Heading2"/>
        <w:bidi w:val="0"/>
        <w:spacing w:before="260" w:beforeAutospacing="off" w:after="120" w:afterAutospacing="off"/>
        <w:jc w:val="both"/>
        <w:rPr>
          <w:rFonts w:ascii="Calibri" w:hAnsi="Calibri" w:eastAsia="Calibri" w:cs="Calibri"/>
          <w:b w:val="0"/>
          <w:bCs w:val="0"/>
          <w:noProof w:val="0"/>
          <w:color w:val="auto"/>
          <w:sz w:val="26"/>
          <w:szCs w:val="26"/>
          <w:lang w:val="en-GB"/>
        </w:rPr>
      </w:pPr>
      <w:r w:rsidRPr="70718A41" w:rsidR="3ACFA967">
        <w:rPr>
          <w:rFonts w:ascii="Calibri" w:hAnsi="Calibri" w:eastAsia="Calibri" w:cs="Calibri"/>
          <w:b w:val="0"/>
          <w:bCs w:val="0"/>
          <w:noProof w:val="0"/>
          <w:color w:val="auto"/>
          <w:sz w:val="26"/>
          <w:szCs w:val="26"/>
          <w:lang w:val="en-GB"/>
        </w:rPr>
        <w:t>2.2 NIST Cybersecurity Framework 2.0</w:t>
      </w:r>
    </w:p>
    <w:p xmlns:wp14="http://schemas.microsoft.com/office/word/2010/wordml" w:rsidP="70718A41" wp14:paraId="52A703F9" wp14:textId="1079214F">
      <w:pPr>
        <w:bidi w:val="0"/>
        <w:spacing w:before="120" w:beforeAutospacing="off" w:after="60" w:afterAutospacing="off"/>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In February 2024, NIST CSF 2.0 reorganizes the six functions that comprise cybersecurity risk management: Govern, Identify, Protect, Detect, Respond and Recover; a change that moved the role of Govern as a new function and elevated it to a core function that cuts across the other five functions, because, according to NIST CSF 2.0, cybersecurity is an enterprise risk just as financial or reputational risk [3]. Govern is explicit in the inclusion of cybersecurity supply chain risk management (C-SCRM), which is directly relevant to AeroLink's 88% outsourced infrastructure, which involves categorising suppliers by their criticality and the risk level of the contracts signed with them. The Asset inventory and Asset access, Monitoring and Incident handling, and Recover elements correspond closely to AeroLink's weak Incident response and Business continuity planning capabilities, respectively, and are covered by Identify and Protect and Detect and Respond. The advantage of CSF 2.0 is the flexibility and outcome focus which makes it suitable for organisations of all sizes, sectors and maturity levels [3] and the disadvantage is that it is not a certifiable standard in itself but a voluntary taxonomy – therefore it does not offer assurance evidence to third parties, it relies on informative references to translate outputs into evidence of controls.</w:t>
      </w:r>
    </w:p>
    <w:p xmlns:wp14="http://schemas.microsoft.com/office/word/2010/wordml" w:rsidP="70718A41" wp14:paraId="4AEE4866" wp14:textId="331A1446">
      <w:pPr>
        <w:bidi w:val="0"/>
        <w:spacing w:before="120" w:beforeAutospacing="off" w:after="60" w:afterAutospacing="off"/>
        <w:jc w:val="center"/>
        <w:rPr>
          <w:color w:val="auto"/>
        </w:rPr>
      </w:pPr>
      <w:r w:rsidR="3ACFA967">
        <w:drawing>
          <wp:inline xmlns:wp14="http://schemas.microsoft.com/office/word/2010/wordprocessingDrawing" wp14:editId="4B22D358" wp14:anchorId="41BE8FE8">
            <wp:extent cx="3505200" cy="2238375"/>
            <wp:effectExtent l="0" t="0" r="0" b="0"/>
            <wp:docPr id="13311740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1174072" name="Picture 1331174072"/>
                    <pic:cNvPicPr/>
                  </pic:nvPicPr>
                  <pic:blipFill>
                    <a:blip xmlns:r="http://schemas.openxmlformats.org/officeDocument/2006/relationships" r:embed="rId493813898">
                      <a:extLst>
                        <a:ext uri="{28A0092B-C50C-407E-A947-70E740481C1C}">
                          <a14:useLocalDpi xmlns:a14="http://schemas.microsoft.com/office/drawing/2010/main"/>
                        </a:ext>
                      </a:extLst>
                    </a:blip>
                    <a:stretch>
                      <a:fillRect/>
                    </a:stretch>
                  </pic:blipFill>
                  <pic:spPr>
                    <a:xfrm>
                      <a:off x="0" y="0"/>
                      <a:ext cx="3505200" cy="2238375"/>
                    </a:xfrm>
                    <a:prstGeom prst="rect">
                      <a:avLst/>
                    </a:prstGeom>
                  </pic:spPr>
                </pic:pic>
              </a:graphicData>
            </a:graphic>
          </wp:inline>
        </w:drawing>
      </w:r>
    </w:p>
    <w:p xmlns:wp14="http://schemas.microsoft.com/office/word/2010/wordml" w:rsidP="70718A41" wp14:paraId="65AA86D5" wp14:textId="77EDDCEC">
      <w:pPr>
        <w:bidi w:val="0"/>
        <w:spacing w:before="0" w:beforeAutospacing="off" w:after="200" w:afterAutospacing="off"/>
        <w:jc w:val="center"/>
        <w:rPr>
          <w:rFonts w:ascii="Calibri" w:hAnsi="Calibri" w:eastAsia="Calibri" w:cs="Calibri"/>
          <w:i w:val="1"/>
          <w:iCs w:val="1"/>
          <w:noProof w:val="0"/>
          <w:color w:val="auto"/>
          <w:sz w:val="18"/>
          <w:szCs w:val="18"/>
          <w:lang w:val="en-GB"/>
        </w:rPr>
      </w:pPr>
      <w:r w:rsidRPr="70718A41" w:rsidR="3ACFA967">
        <w:rPr>
          <w:rFonts w:ascii="Calibri" w:hAnsi="Calibri" w:eastAsia="Calibri" w:cs="Calibri"/>
          <w:i w:val="1"/>
          <w:iCs w:val="1"/>
          <w:noProof w:val="0"/>
          <w:color w:val="auto"/>
          <w:sz w:val="18"/>
          <w:szCs w:val="18"/>
          <w:lang w:val="en-GB"/>
        </w:rPr>
        <w:t>Figure 1. NIST Cybersecurity Framework (CSF) 2.0 — Govern informs and connects the five operational functions [3].</w:t>
      </w:r>
    </w:p>
    <w:p xmlns:wp14="http://schemas.microsoft.com/office/word/2010/wordml" w:rsidP="70718A41" wp14:paraId="24940635" wp14:textId="5B000449">
      <w:pPr>
        <w:bidi w:val="0"/>
        <w:jc w:val="both"/>
        <w:rPr>
          <w:color w:val="auto"/>
        </w:rPr>
      </w:pPr>
    </w:p>
    <w:p xmlns:wp14="http://schemas.microsoft.com/office/word/2010/wordml" w:rsidP="70718A41" wp14:paraId="53FB9963" wp14:textId="7F4DF5DE">
      <w:pPr>
        <w:pStyle w:val="Heading3"/>
        <w:bidi w:val="0"/>
        <w:rPr>
          <w:noProof w:val="0"/>
          <w:color w:val="auto"/>
          <w:lang w:val="en-GB"/>
        </w:rPr>
      </w:pPr>
      <w:r w:rsidRPr="70718A41" w:rsidR="3ACFA967">
        <w:rPr>
          <w:noProof w:val="0"/>
          <w:color w:val="auto"/>
          <w:lang w:val="en-GB"/>
        </w:rPr>
        <w:t>2.3 COBIT 2019</w:t>
      </w:r>
    </w:p>
    <w:p xmlns:wp14="http://schemas.microsoft.com/office/word/2010/wordml" w:rsidP="70718A41" wp14:paraId="1BE01AB4" wp14:textId="28D64C2F">
      <w:pPr>
        <w:bidi w:val="0"/>
        <w:spacing w:before="0" w:beforeAutospacing="off" w:after="0" w:afterAutospacing="off"/>
        <w:jc w:val="both"/>
        <w:rPr>
          <w:rFonts w:ascii="Calibri" w:hAnsi="Calibri" w:eastAsia="Calibri" w:cs="Calibri"/>
          <w:noProof w:val="0"/>
          <w:color w:val="auto"/>
          <w:sz w:val="22"/>
          <w:szCs w:val="22"/>
          <w:lang w:val="en-GB"/>
        </w:rPr>
      </w:pPr>
      <w:r w:rsidRPr="70718A41" w:rsidR="7AFAD315">
        <w:rPr>
          <w:rFonts w:ascii="Calibri" w:hAnsi="Calibri" w:eastAsia="Calibri" w:cs="Calibri"/>
          <w:noProof w:val="0"/>
          <w:color w:val="auto"/>
          <w:sz w:val="22"/>
          <w:szCs w:val="22"/>
          <w:lang w:val="en-GB"/>
        </w:rPr>
        <w:t>COBIT 2019 is an Enterprise Governance of Information and Technology (EGIT) framework comprising 40 governance and management objectives within five domains in line with six principles of governance [4]. The clarity of separation between governance (board oversight) and management (operational execution) is its primary strength, with eleven design factors to customise the framework to an organisation's risk profile, threat landscape and sourcing model [4]. This is very appropriate for AeroLink where the governance structure and risk management environment are not defined. COBIT however is complex to implement and unlike ISO 27001 and NIST CSF, it is not a security control standard; therefore it needs to be supplemented by a technical standard.</w:t>
      </w:r>
    </w:p>
    <w:p xmlns:wp14="http://schemas.microsoft.com/office/word/2010/wordml" w:rsidP="70718A41" wp14:paraId="23189765" wp14:textId="35B8EDC5">
      <w:pPr>
        <w:pStyle w:val="Heading2"/>
        <w:bidi w:val="0"/>
        <w:spacing w:before="260" w:beforeAutospacing="off" w:after="120" w:afterAutospacing="off"/>
        <w:jc w:val="both"/>
        <w:rPr>
          <w:rFonts w:ascii="Calibri" w:hAnsi="Calibri" w:eastAsia="Calibri" w:cs="Calibri"/>
          <w:b w:val="0"/>
          <w:bCs w:val="0"/>
          <w:noProof w:val="0"/>
          <w:color w:val="auto"/>
          <w:sz w:val="26"/>
          <w:szCs w:val="26"/>
          <w:lang w:val="en-GB"/>
        </w:rPr>
      </w:pPr>
      <w:r w:rsidRPr="70718A41" w:rsidR="3ACFA967">
        <w:rPr>
          <w:rFonts w:ascii="Calibri" w:hAnsi="Calibri" w:eastAsia="Calibri" w:cs="Calibri"/>
          <w:b w:val="0"/>
          <w:bCs w:val="0"/>
          <w:noProof w:val="0"/>
          <w:color w:val="auto"/>
          <w:sz w:val="26"/>
          <w:szCs w:val="26"/>
          <w:lang w:val="en-GB"/>
        </w:rPr>
        <w:t>2.4 ITIL 4</w:t>
      </w:r>
    </w:p>
    <w:p xmlns:wp14="http://schemas.microsoft.com/office/word/2010/wordml" w:rsidP="70718A41" wp14:paraId="678275FC" wp14:textId="0093CD4A">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The ITIL 4 reframes IT service management as a Service Value System (SVS), which takes demand through a chain of 34 management practices and seven guiding principles to deliver service value [5]. ITIL really shines with AeroLink by being practical in the operational disciplines it lacks from the case: incident management, problem management, service continuity and supplier management, which connect security governance to day-to-day service delivery. Its downside is that, ITIL is a service-management framework, rather than a security-framework, and it provides no risk taxonomy and lacks a comprehensive security-goverance approach if it's not used in conjunction with ISO 27001 or NIST CSF.</w:t>
      </w:r>
    </w:p>
    <w:p xmlns:wp14="http://schemas.microsoft.com/office/word/2010/wordml" w:rsidP="70718A41" wp14:paraId="3A3A8B43" wp14:textId="462A64F4">
      <w:pPr>
        <w:pStyle w:val="Heading2"/>
        <w:bidi w:val="0"/>
        <w:spacing w:before="260" w:beforeAutospacing="off" w:after="120" w:afterAutospacing="off"/>
        <w:jc w:val="both"/>
        <w:rPr>
          <w:rFonts w:ascii="Calibri" w:hAnsi="Calibri" w:eastAsia="Calibri" w:cs="Calibri"/>
          <w:b w:val="0"/>
          <w:bCs w:val="0"/>
          <w:noProof w:val="0"/>
          <w:color w:val="auto"/>
          <w:sz w:val="26"/>
          <w:szCs w:val="26"/>
          <w:lang w:val="en-GB"/>
        </w:rPr>
      </w:pPr>
      <w:r w:rsidRPr="70718A41" w:rsidR="3ACFA967">
        <w:rPr>
          <w:rFonts w:ascii="Calibri" w:hAnsi="Calibri" w:eastAsia="Calibri" w:cs="Calibri"/>
          <w:b w:val="0"/>
          <w:bCs w:val="0"/>
          <w:noProof w:val="0"/>
          <w:color w:val="auto"/>
          <w:sz w:val="26"/>
          <w:szCs w:val="26"/>
          <w:lang w:val="en-GB"/>
        </w:rPr>
        <w:t>2.5 Critical Comparison</w:t>
      </w:r>
    </w:p>
    <w:tbl>
      <w:tblPr>
        <w:tblStyle w:val="GridTable1Light"/>
        <w:bidiVisual w:val="0"/>
        <w:tblW w:w="9525" w:type="dxa"/>
        <w:tblLook w:val="04A0" w:firstRow="1" w:lastRow="0" w:firstColumn="1" w:lastColumn="0" w:noHBand="0" w:noVBand="1"/>
      </w:tblPr>
      <w:tblGrid>
        <w:gridCol w:w="2025"/>
        <w:gridCol w:w="1755"/>
        <w:gridCol w:w="1920"/>
        <w:gridCol w:w="1905"/>
        <w:gridCol w:w="1920"/>
      </w:tblGrid>
      <w:tr w:rsidR="6CFD0B30" w:rsidTr="70718A41" w14:paraId="6906DC40">
        <w:trPr>
          <w:trHeight w:val="285"/>
        </w:trPr>
        <w:tc>
          <w:tcPr>
            <w:cnfStyle w:val="001000000000" w:firstRow="0" w:lastRow="0" w:firstColumn="1" w:lastColumn="0" w:oddVBand="0" w:evenVBand="0" w:oddHBand="0" w:evenHBand="0" w:firstRowFirstColumn="0" w:firstRowLastColumn="0" w:lastRowFirstColumn="0" w:lastRowLastColumn="0"/>
            <w:tcW w:w="202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58CFABC8" w14:textId="5C93F34A">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Criterion</w:t>
            </w:r>
          </w:p>
        </w:tc>
        <w:tc>
          <w:tcPr>
            <w:cnfStyle w:val="000000000000" w:firstRow="0" w:lastRow="0" w:firstColumn="0" w:lastColumn="0" w:oddVBand="0" w:evenVBand="0" w:oddHBand="0" w:evenHBand="0" w:firstRowFirstColumn="0" w:firstRowLastColumn="0" w:lastRowFirstColumn="0" w:lastRowLastColumn="0"/>
            <w:tcW w:w="175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38CFF04E" w14:textId="492219F5">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ISO/IEC 27001:2022</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5ABB7E4F" w14:textId="34189A4B">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NIST CSF 2.0</w:t>
            </w:r>
          </w:p>
        </w:tc>
        <w:tc>
          <w:tcPr>
            <w:cnfStyle w:val="000000000000" w:firstRow="0" w:lastRow="0" w:firstColumn="0" w:lastColumn="0" w:oddVBand="0" w:evenVBand="0" w:oddHBand="0" w:evenHBand="0" w:firstRowFirstColumn="0" w:firstRowLastColumn="0" w:lastRowFirstColumn="0" w:lastRowLastColumn="0"/>
            <w:tcW w:w="190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3C97FF80" w14:textId="2640A095">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COBIT 2019</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39984480" w14:textId="0A70C183">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ITIL 4</w:t>
            </w:r>
          </w:p>
        </w:tc>
      </w:tr>
      <w:tr w:rsidR="6CFD0B30" w:rsidTr="70718A41" w14:paraId="0CC91110">
        <w:trPr>
          <w:trHeight w:val="285"/>
        </w:trPr>
        <w:tc>
          <w:tcPr>
            <w:cnfStyle w:val="001000000000" w:firstRow="0" w:lastRow="0" w:firstColumn="1" w:lastColumn="0" w:oddVBand="0" w:evenVBand="0" w:oddHBand="0" w:evenHBand="0" w:firstRowFirstColumn="0" w:firstRowLastColumn="0" w:lastRowFirstColumn="0" w:lastRowLastColumn="0"/>
            <w:tcW w:w="202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1979795D" w14:textId="3330C8B5">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Primary focus</w:t>
            </w:r>
          </w:p>
        </w:tc>
        <w:tc>
          <w:tcPr>
            <w:cnfStyle w:val="000000000000" w:firstRow="0" w:lastRow="0" w:firstColumn="0" w:lastColumn="0" w:oddVBand="0" w:evenVBand="0" w:oddHBand="0" w:evenHBand="0" w:firstRowFirstColumn="0" w:firstRowLastColumn="0" w:lastRowFirstColumn="0" w:lastRowLastColumn="0"/>
            <w:tcW w:w="175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391A1960" w14:textId="76CC13F1">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Certifiable ISMS</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0F0422B3" w14:textId="208CDECE">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Cybersecurity risk taxonomy</w:t>
            </w:r>
          </w:p>
        </w:tc>
        <w:tc>
          <w:tcPr>
            <w:cnfStyle w:val="000000000000" w:firstRow="0" w:lastRow="0" w:firstColumn="0" w:lastColumn="0" w:oddVBand="0" w:evenVBand="0" w:oddHBand="0" w:evenHBand="0" w:firstRowFirstColumn="0" w:firstRowLastColumn="0" w:lastRowFirstColumn="0" w:lastRowLastColumn="0"/>
            <w:tcW w:w="190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2C8A8550" w14:textId="28B8A4BF">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Enterprise IT governance</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2387D337" w14:textId="3A09A325">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Service value management</w:t>
            </w:r>
          </w:p>
        </w:tc>
      </w:tr>
      <w:tr w:rsidR="6CFD0B30" w:rsidTr="70718A41" w14:paraId="43CBC85A">
        <w:trPr>
          <w:trHeight w:val="570"/>
        </w:trPr>
        <w:tc>
          <w:tcPr>
            <w:cnfStyle w:val="001000000000" w:firstRow="0" w:lastRow="0" w:firstColumn="1" w:lastColumn="0" w:oddVBand="0" w:evenVBand="0" w:oddHBand="0" w:evenHBand="0" w:firstRowFirstColumn="0" w:firstRowLastColumn="0" w:lastRowFirstColumn="0" w:lastRowLastColumn="0"/>
            <w:tcW w:w="202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B646F4A" w14:textId="1BA34317">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Governance depth</w:t>
            </w:r>
          </w:p>
        </w:tc>
        <w:tc>
          <w:tcPr>
            <w:cnfStyle w:val="000000000000" w:firstRow="0" w:lastRow="0" w:firstColumn="0" w:lastColumn="0" w:oddVBand="0" w:evenVBand="0" w:oddHBand="0" w:evenHBand="0" w:firstRowFirstColumn="0" w:firstRowLastColumn="0" w:lastRowFirstColumn="0" w:lastRowLastColumn="0"/>
            <w:tcW w:w="175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CE3A1DD" w14:textId="568C1331">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Moderate (mgmt review)</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D86F877" w14:textId="16781140">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 (Govern function)</w:t>
            </w:r>
          </w:p>
        </w:tc>
        <w:tc>
          <w:tcPr>
            <w:cnfStyle w:val="000000000000" w:firstRow="0" w:lastRow="0" w:firstColumn="0" w:lastColumn="0" w:oddVBand="0" w:evenVBand="0" w:oddHBand="0" w:evenHBand="0" w:firstRowFirstColumn="0" w:firstRowLastColumn="0" w:lastRowFirstColumn="0" w:lastRowLastColumn="0"/>
            <w:tcW w:w="19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6E47485" w14:textId="6BD81A11">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Very high (EDM domain)</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AA50A4D" w14:textId="7CE8CEDD">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Moderate (practice governance)</w:t>
            </w:r>
          </w:p>
        </w:tc>
      </w:tr>
      <w:tr w:rsidR="6CFD0B30" w:rsidTr="70718A41" w14:paraId="2F28DF5E">
        <w:trPr>
          <w:trHeight w:val="285"/>
        </w:trPr>
        <w:tc>
          <w:tcPr>
            <w:cnfStyle w:val="001000000000" w:firstRow="0" w:lastRow="0" w:firstColumn="1" w:lastColumn="0" w:oddVBand="0" w:evenVBand="0" w:oddHBand="0" w:evenHBand="0" w:firstRowFirstColumn="0" w:firstRowLastColumn="0" w:lastRowFirstColumn="0" w:lastRowLastColumn="0"/>
            <w:tcW w:w="202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07AA8FE" w14:textId="7EE3C9CD">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Risk management</w:t>
            </w:r>
          </w:p>
        </w:tc>
        <w:tc>
          <w:tcPr>
            <w:cnfStyle w:val="000000000000" w:firstRow="0" w:lastRow="0" w:firstColumn="0" w:lastColumn="0" w:oddVBand="0" w:evenVBand="0" w:oddHBand="0" w:evenHBand="0" w:firstRowFirstColumn="0" w:firstRowLastColumn="0" w:lastRowFirstColumn="0" w:lastRowLastColumn="0"/>
            <w:tcW w:w="175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DE1D392" w14:textId="7F47F67F">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Risk-based, formal</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3F60A7A" w14:textId="72FCF711">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Six-function risk lifecycle</w:t>
            </w:r>
          </w:p>
        </w:tc>
        <w:tc>
          <w:tcPr>
            <w:cnfStyle w:val="000000000000" w:firstRow="0" w:lastRow="0" w:firstColumn="0" w:lastColumn="0" w:oddVBand="0" w:evenVBand="0" w:oddHBand="0" w:evenHBand="0" w:firstRowFirstColumn="0" w:firstRowLastColumn="0" w:lastRowFirstColumn="0" w:lastRowLastColumn="0"/>
            <w:tcW w:w="19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EFE85C0" w14:textId="6D6B10E5">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Risk-optimisation objective</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20EE555" w14:textId="5BBF3870">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Limited; via CI/SLM</w:t>
            </w:r>
          </w:p>
        </w:tc>
      </w:tr>
      <w:tr w:rsidR="6CFD0B30" w:rsidTr="70718A41" w14:paraId="77FE760F">
        <w:trPr>
          <w:trHeight w:val="555"/>
        </w:trPr>
        <w:tc>
          <w:tcPr>
            <w:cnfStyle w:val="001000000000" w:firstRow="0" w:lastRow="0" w:firstColumn="1" w:lastColumn="0" w:oddVBand="0" w:evenVBand="0" w:oddHBand="0" w:evenHBand="0" w:firstRowFirstColumn="0" w:firstRowLastColumn="0" w:lastRowFirstColumn="0" w:lastRowLastColumn="0"/>
            <w:tcW w:w="202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6A281BC" w14:textId="299D5B8F">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Compliance/assurance</w:t>
            </w:r>
          </w:p>
        </w:tc>
        <w:tc>
          <w:tcPr>
            <w:cnfStyle w:val="000000000000" w:firstRow="0" w:lastRow="0" w:firstColumn="0" w:lastColumn="0" w:oddVBand="0" w:evenVBand="0" w:oddHBand="0" w:evenHBand="0" w:firstRowFirstColumn="0" w:firstRowLastColumn="0" w:lastRowFirstColumn="0" w:lastRowLastColumn="0"/>
            <w:tcW w:w="175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1B6D663" w14:textId="3A31777B">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Strong (certification, SoA)</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65F5AEF" w14:textId="5D142EEF">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Moderate (self-attestation)</w:t>
            </w:r>
          </w:p>
        </w:tc>
        <w:tc>
          <w:tcPr>
            <w:cnfStyle w:val="000000000000" w:firstRow="0" w:lastRow="0" w:firstColumn="0" w:lastColumn="0" w:oddVBand="0" w:evenVBand="0" w:oddHBand="0" w:evenHBand="0" w:firstRowFirstColumn="0" w:firstRowLastColumn="0" w:lastRowFirstColumn="0" w:lastRowLastColumn="0"/>
            <w:tcW w:w="19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E972684" w14:textId="56B2EA76">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Moderate (maturity assessment)</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0E51484" w14:textId="5952F60C">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Weak</w:t>
            </w:r>
          </w:p>
        </w:tc>
      </w:tr>
      <w:tr w:rsidR="6CFD0B30" w:rsidTr="70718A41" w14:paraId="39BE1E47">
        <w:trPr>
          <w:trHeight w:val="570"/>
        </w:trPr>
        <w:tc>
          <w:tcPr>
            <w:cnfStyle w:val="001000000000" w:firstRow="0" w:lastRow="0" w:firstColumn="1" w:lastColumn="0" w:oddVBand="0" w:evenVBand="0" w:oddHBand="0" w:evenHBand="0" w:firstRowFirstColumn="0" w:firstRowLastColumn="0" w:lastRowFirstColumn="0" w:lastRowLastColumn="0"/>
            <w:tcW w:w="202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ABBF369" w14:textId="3DCF69D4">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Cloud/vendor suitability</w:t>
            </w:r>
          </w:p>
        </w:tc>
        <w:tc>
          <w:tcPr>
            <w:cnfStyle w:val="000000000000" w:firstRow="0" w:lastRow="0" w:firstColumn="0" w:lastColumn="0" w:oddVBand="0" w:evenVBand="0" w:oddHBand="0" w:evenHBand="0" w:firstRowFirstColumn="0" w:firstRowLastColumn="0" w:lastRowFirstColumn="0" w:lastRowLastColumn="0"/>
            <w:tcW w:w="175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D2E0A1B" w14:textId="1C1A1FF3">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Good (Annex A supplier controls)</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B82ACAF" w14:textId="3E5EEC02">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Strong (C-SCRM in Govern)</w:t>
            </w:r>
          </w:p>
        </w:tc>
        <w:tc>
          <w:tcPr>
            <w:cnfStyle w:val="000000000000" w:firstRow="0" w:lastRow="0" w:firstColumn="0" w:lastColumn="0" w:oddVBand="0" w:evenVBand="0" w:oddHBand="0" w:evenHBand="0" w:firstRowFirstColumn="0" w:firstRowLastColumn="0" w:lastRowFirstColumn="0" w:lastRowLastColumn="0"/>
            <w:tcW w:w="19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6686DC5" w14:textId="18C9865B">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Strong (sourcing design factor)</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C556C57" w14:textId="1B415A92">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Moderate (supplier mgmt practice)</w:t>
            </w:r>
          </w:p>
        </w:tc>
      </w:tr>
      <w:tr w:rsidR="6CFD0B30" w:rsidTr="70718A41" w14:paraId="3B2C4C72">
        <w:trPr>
          <w:trHeight w:val="555"/>
        </w:trPr>
        <w:tc>
          <w:tcPr>
            <w:cnfStyle w:val="001000000000" w:firstRow="0" w:lastRow="0" w:firstColumn="1" w:lastColumn="0" w:oddVBand="0" w:evenVBand="0" w:oddHBand="0" w:evenHBand="0" w:firstRowFirstColumn="0" w:firstRowLastColumn="0" w:lastRowFirstColumn="0" w:lastRowLastColumn="0"/>
            <w:tcW w:w="202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C140A12" w14:textId="140F2E78">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Scalability</w:t>
            </w:r>
          </w:p>
        </w:tc>
        <w:tc>
          <w:tcPr>
            <w:cnfStyle w:val="000000000000" w:firstRow="0" w:lastRow="0" w:firstColumn="0" w:lastColumn="0" w:oddVBand="0" w:evenVBand="0" w:oddHBand="0" w:evenHBand="0" w:firstRowFirstColumn="0" w:firstRowLastColumn="0" w:lastRowFirstColumn="0" w:lastRowLastColumn="0"/>
            <w:tcW w:w="175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55C1D2F" w14:textId="33B606A6">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344EF60" w14:textId="11346E80">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Very high</w:t>
            </w:r>
          </w:p>
        </w:tc>
        <w:tc>
          <w:tcPr>
            <w:cnfStyle w:val="000000000000" w:firstRow="0" w:lastRow="0" w:firstColumn="0" w:lastColumn="0" w:oddVBand="0" w:evenVBand="0" w:oddHBand="0" w:evenHBand="0" w:firstRowFirstColumn="0" w:firstRowLastColumn="0" w:lastRowFirstColumn="0" w:lastRowLastColumn="0"/>
            <w:tcW w:w="19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5373B76" w14:textId="3C7E55A6">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Moderate (resource intensive)</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4ADABD1" w14:textId="29F5A945">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r>
      <w:tr w:rsidR="6CFD0B30" w:rsidTr="70718A41" w14:paraId="53EE79C0">
        <w:trPr>
          <w:trHeight w:val="570"/>
        </w:trPr>
        <w:tc>
          <w:tcPr>
            <w:cnfStyle w:val="001000000000" w:firstRow="0" w:lastRow="0" w:firstColumn="1" w:lastColumn="0" w:oddVBand="0" w:evenVBand="0" w:oddHBand="0" w:evenHBand="0" w:firstRowFirstColumn="0" w:firstRowLastColumn="0" w:lastRowFirstColumn="0" w:lastRowLastColumn="0"/>
            <w:tcW w:w="202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82E1E01" w14:textId="660F7783">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Implementation complexity</w:t>
            </w:r>
          </w:p>
        </w:tc>
        <w:tc>
          <w:tcPr>
            <w:cnfStyle w:val="000000000000" w:firstRow="0" w:lastRow="0" w:firstColumn="0" w:lastColumn="0" w:oddVBand="0" w:evenVBand="0" w:oddHBand="0" w:evenHBand="0" w:firstRowFirstColumn="0" w:firstRowLastColumn="0" w:lastRowFirstColumn="0" w:lastRowLastColumn="0"/>
            <w:tcW w:w="175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29C255F" w14:textId="3E8F232C">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Moderate–high</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813D8F3" w14:textId="48D606C3">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Low–moderate</w:t>
            </w:r>
          </w:p>
        </w:tc>
        <w:tc>
          <w:tcPr>
            <w:cnfStyle w:val="000000000000" w:firstRow="0" w:lastRow="0" w:firstColumn="0" w:lastColumn="0" w:oddVBand="0" w:evenVBand="0" w:oddHBand="0" w:evenHBand="0" w:firstRowFirstColumn="0" w:firstRowLastColumn="0" w:lastRowFirstColumn="0" w:lastRowLastColumn="0"/>
            <w:tcW w:w="190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8294119" w14:textId="51BC7806">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c>
          <w:tcPr>
            <w:cnfStyle w:val="000000000000" w:firstRow="0" w:lastRow="0" w:firstColumn="0" w:lastColumn="0" w:oddVBand="0" w:evenVBand="0" w:oddHBand="0" w:evenHBand="0" w:firstRowFirstColumn="0" w:firstRowLastColumn="0" w:lastRowFirstColumn="0" w:lastRowLastColumn="0"/>
            <w:tcW w:w="192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36355AD" w14:textId="3C8D886D">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Moderate</w:t>
            </w:r>
          </w:p>
        </w:tc>
      </w:tr>
    </w:tbl>
    <w:p xmlns:wp14="http://schemas.microsoft.com/office/word/2010/wordml" w:rsidP="70718A41" wp14:paraId="0C42C794" wp14:textId="05E0DA6A">
      <w:pPr>
        <w:bidi w:val="0"/>
        <w:spacing w:before="0" w:beforeAutospacing="off" w:after="0" w:afterAutospacing="off"/>
        <w:jc w:val="center"/>
        <w:rPr>
          <w:rFonts w:ascii="Calibri" w:hAnsi="Calibri" w:eastAsia="Calibri" w:cs="Calibri"/>
          <w:i w:val="1"/>
          <w:iCs w:val="1"/>
          <w:noProof w:val="0"/>
          <w:color w:val="auto"/>
          <w:sz w:val="22"/>
          <w:szCs w:val="22"/>
          <w:lang w:val="en-GB"/>
        </w:rPr>
      </w:pPr>
      <w:r w:rsidRPr="70718A41" w:rsidR="3ACFA967">
        <w:rPr>
          <w:rFonts w:ascii="Calibri" w:hAnsi="Calibri" w:eastAsia="Calibri" w:cs="Calibri"/>
          <w:i w:val="1"/>
          <w:iCs w:val="1"/>
          <w:noProof w:val="0"/>
          <w:color w:val="auto"/>
          <w:sz w:val="22"/>
          <w:szCs w:val="22"/>
          <w:lang w:val="en-GB"/>
        </w:rPr>
        <w:t>Table 1. Framework Comparison</w:t>
      </w:r>
    </w:p>
    <w:p xmlns:wp14="http://schemas.microsoft.com/office/word/2010/wordml" w:rsidP="70718A41" wp14:paraId="53195D5C" wp14:textId="6C23ECC2">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No one framework covers the area of combined governance structure (COBIT's strength), continuous risk taxonomy (NIST's strength), certifiable control assurance (ISO's strength</w:t>
      </w:r>
      <w:r w:rsidRPr="70718A41" w:rsidR="3ACFA967">
        <w:rPr>
          <w:rFonts w:ascii="Calibri" w:hAnsi="Calibri" w:eastAsia="Calibri" w:cs="Calibri"/>
          <w:noProof w:val="0"/>
          <w:color w:val="auto"/>
          <w:sz w:val="22"/>
          <w:szCs w:val="22"/>
          <w:lang w:val="en-GB"/>
        </w:rPr>
        <w:t>)</w:t>
      </w:r>
      <w:r w:rsidRPr="70718A41" w:rsidR="3ACFA967">
        <w:rPr>
          <w:rFonts w:ascii="Calibri" w:hAnsi="Calibri" w:eastAsia="Calibri" w:cs="Calibri"/>
          <w:noProof w:val="0"/>
          <w:color w:val="auto"/>
          <w:sz w:val="22"/>
          <w:szCs w:val="22"/>
          <w:lang w:val="en-GB"/>
        </w:rPr>
        <w:t xml:space="preserve"> and operational service continuity (ITIL's strength) in </w:t>
      </w:r>
      <w:r w:rsidRPr="70718A41" w:rsidR="3ACFA967">
        <w:rPr>
          <w:rFonts w:ascii="Calibri" w:hAnsi="Calibri" w:eastAsia="Calibri" w:cs="Calibri"/>
          <w:noProof w:val="0"/>
          <w:color w:val="auto"/>
          <w:sz w:val="22"/>
          <w:szCs w:val="22"/>
          <w:lang w:val="en-GB"/>
        </w:rPr>
        <w:t>AeroLink</w:t>
      </w:r>
      <w:r w:rsidRPr="70718A41" w:rsidR="3ACFA967">
        <w:rPr>
          <w:rFonts w:ascii="Calibri" w:hAnsi="Calibri" w:eastAsia="Calibri" w:cs="Calibri"/>
          <w:noProof w:val="0"/>
          <w:color w:val="auto"/>
          <w:sz w:val="22"/>
          <w:szCs w:val="22"/>
          <w:lang w:val="en-GB"/>
        </w:rPr>
        <w:t xml:space="preserve">. Practitioner mapping activities have shown that COBIT and ISO/IEC 27001 are complementary in their </w:t>
      </w:r>
      <w:r w:rsidRPr="70718A41" w:rsidR="3ACFA967">
        <w:rPr>
          <w:rFonts w:ascii="Calibri" w:hAnsi="Calibri" w:eastAsia="Calibri" w:cs="Calibri"/>
          <w:noProof w:val="0"/>
          <w:color w:val="auto"/>
          <w:sz w:val="22"/>
          <w:szCs w:val="22"/>
          <w:lang w:val="en-GB"/>
        </w:rPr>
        <w:t>objectives</w:t>
      </w:r>
      <w:r w:rsidRPr="70718A41" w:rsidR="3ACFA967">
        <w:rPr>
          <w:rFonts w:ascii="Calibri" w:hAnsi="Calibri" w:eastAsia="Calibri" w:cs="Calibri"/>
          <w:noProof w:val="0"/>
          <w:color w:val="auto"/>
          <w:sz w:val="22"/>
          <w:szCs w:val="22"/>
          <w:lang w:val="en-GB"/>
        </w:rPr>
        <w:t xml:space="preserve"> and strategies and that there is no need to duplicate efforts when linking COBIT's governance and management </w:t>
      </w:r>
      <w:r w:rsidRPr="70718A41" w:rsidR="3ACFA967">
        <w:rPr>
          <w:rFonts w:ascii="Calibri" w:hAnsi="Calibri" w:eastAsia="Calibri" w:cs="Calibri"/>
          <w:noProof w:val="0"/>
          <w:color w:val="auto"/>
          <w:sz w:val="22"/>
          <w:szCs w:val="22"/>
          <w:lang w:val="en-GB"/>
        </w:rPr>
        <w:t>objectives</w:t>
      </w:r>
      <w:r w:rsidRPr="70718A41" w:rsidR="3ACFA967">
        <w:rPr>
          <w:rFonts w:ascii="Calibri" w:hAnsi="Calibri" w:eastAsia="Calibri" w:cs="Calibri"/>
          <w:noProof w:val="0"/>
          <w:color w:val="auto"/>
          <w:sz w:val="22"/>
          <w:szCs w:val="22"/>
          <w:lang w:val="en-GB"/>
        </w:rPr>
        <w:t xml:space="preserve"> with ISO 27001 controls [6]. Only 88% of ALL's infrastructure is managed by third parties in multiple SaaS and IaaS</w:t>
      </w:r>
      <w:r w:rsidRPr="70718A41" w:rsidR="3ADA4861">
        <w:rPr>
          <w:rFonts w:ascii="Calibri" w:hAnsi="Calibri" w:eastAsia="Calibri" w:cs="Calibri"/>
          <w:noProof w:val="0"/>
          <w:color w:val="auto"/>
          <w:sz w:val="22"/>
          <w:szCs w:val="22"/>
          <w:lang w:val="en-GB"/>
        </w:rPr>
        <w:t xml:space="preserve"> </w:t>
      </w:r>
      <w:r w:rsidRPr="70718A41" w:rsidR="3ACFA967">
        <w:rPr>
          <w:rFonts w:ascii="Calibri" w:hAnsi="Calibri" w:eastAsia="Calibri" w:cs="Calibri"/>
          <w:noProof w:val="0"/>
          <w:color w:val="auto"/>
          <w:sz w:val="22"/>
          <w:szCs w:val="22"/>
          <w:lang w:val="en-GB"/>
        </w:rPr>
        <w:t>vendors which would leave one of governance accountability, technical control assurance, and day-to-day service resilience uncovered. A truly integrated approach is therefore more appropriate for all of which COBIT provides the governance layer, ISO 27001 provides a framework to formalise the ISMS and controls, NIST CSF provides an operational framework for ongoing risk management (specifically C-SCRM) and ITIL embeds security into service delivery.</w:t>
      </w:r>
    </w:p>
    <w:p xmlns:wp14="http://schemas.microsoft.com/office/word/2010/wordml" w:rsidP="70718A41" wp14:paraId="7B1F8FC3" wp14:textId="7D284BC9">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p>
    <w:p xmlns:wp14="http://schemas.microsoft.com/office/word/2010/wordml" w:rsidP="70718A41" wp14:paraId="200124C2" wp14:textId="4790A309">
      <w:pPr>
        <w:rPr>
          <w:color w:val="auto"/>
        </w:rPr>
      </w:pPr>
      <w:r w:rsidRPr="70718A41">
        <w:rPr>
          <w:color w:val="auto"/>
        </w:rPr>
        <w:br w:type="page"/>
      </w:r>
    </w:p>
    <w:p xmlns:wp14="http://schemas.microsoft.com/office/word/2010/wordml" w:rsidP="70718A41" wp14:paraId="4B41087A" wp14:textId="0400F2EC">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3. AeroLink Logistics Security Gap Analysis</w:t>
      </w:r>
    </w:p>
    <w:p xmlns:wp14="http://schemas.microsoft.com/office/word/2010/wordml" w:rsidP="70718A41" wp14:paraId="6C961E6C" wp14:textId="023E8BE3">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The security stance of AeroLink is a reflection of the structural dangers of the cloud first organisation, with AI and IoT technology, and with immature governance. In the cloud risk, there is a lack of a formal shared-responsibility model with SaaS/IaaS vendors, which has created a poor accountability for encryption and access control, as reported in the case. The threat component of AI is when analytics engines process PII without explicit model governance or data-minimisation controls, a trend that is often associated with attacks on cyber-physical and logistics systems that are targeted by AI [7]. An often-reported vulnerability class in IoT security research is tracking sensors, which tend to be resource constrained and, thus, typically have poor authentication and patching capabilities [7] [8]. Specifically, vendor risk is the most serious domain with 88% outsourcing without a vendor risk management programme, highlighting the direct correlation between CSF 2.0, which focuses on C-SCRM as an enterprise governance failure point and the recent scholarship on transitive trust [3] [9] related to a security event within a vendor's environment becoming a governance and accountability problem for the organisation holding the customer relationship. The risk with remote-workforce is due to unmanaged devices accessing the internal network from different time zones without uniform identity management. Compliance risk is systemic – not having implemented ISO 27001 and not having conducted a GDPR audit means AeroLink is unable to show that it processes client and customer data lawfully [1] [2].</w:t>
      </w:r>
    </w:p>
    <w:tbl>
      <w:tblPr>
        <w:tblStyle w:val="GridTable1Light"/>
        <w:bidiVisual w:val="0"/>
        <w:tblW w:w="0" w:type="auto"/>
        <w:tblLook w:val="04A0" w:firstRow="1" w:lastRow="0" w:firstColumn="1" w:lastColumn="0" w:noHBand="0" w:noVBand="1"/>
      </w:tblPr>
      <w:tblGrid>
        <w:gridCol w:w="1890"/>
        <w:gridCol w:w="2835"/>
        <w:gridCol w:w="2835"/>
        <w:gridCol w:w="2070"/>
      </w:tblGrid>
      <w:tr w:rsidR="6CFD0B30" w:rsidTr="70718A41" w14:paraId="61EFCA07">
        <w:trPr>
          <w:trHeight w:val="225"/>
        </w:trPr>
        <w:tc>
          <w:tcPr>
            <w:cnfStyle w:val="001000000000" w:firstRow="0" w:lastRow="0" w:firstColumn="1" w:lastColumn="0" w:oddVBand="0" w:evenVBand="0" w:oddHBand="0" w:evenHBand="0" w:firstRowFirstColumn="0" w:firstRowLastColumn="0" w:lastRowFirstColumn="0" w:lastRowLastColumn="0"/>
            <w:tcW w:w="189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79A7F0FD" w14:textId="13A81D2A">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Domain</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6EBC401C" w14:textId="1418490F">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Current State (Case Evidence)</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29C49413" w14:textId="63EA159A">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Target State</w:t>
            </w:r>
          </w:p>
        </w:tc>
        <w:tc>
          <w:tcPr>
            <w:cnfStyle w:val="000000000000" w:firstRow="0" w:lastRow="0" w:firstColumn="0" w:lastColumn="0" w:oddVBand="0" w:evenVBand="0" w:oddHBand="0" w:evenHBand="0" w:firstRowFirstColumn="0" w:firstRowLastColumn="0" w:lastRowFirstColumn="0" w:lastRowLastColumn="0"/>
            <w:tcW w:w="207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68B5517C" w14:textId="08994D0A">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Governance Gap</w:t>
            </w:r>
          </w:p>
        </w:tc>
      </w:tr>
      <w:tr w:rsidR="6CFD0B30" w:rsidTr="70718A41" w14:paraId="5286DBF4">
        <w:trPr>
          <w:trHeight w:val="465"/>
        </w:trPr>
        <w:tc>
          <w:tcPr>
            <w:cnfStyle w:val="001000000000" w:firstRow="0" w:lastRow="0" w:firstColumn="1" w:lastColumn="0" w:oddVBand="0" w:evenVBand="0" w:oddHBand="0" w:evenHBand="0" w:firstRowFirstColumn="0" w:firstRowLastColumn="0" w:lastRowFirstColumn="0" w:lastRowLastColumn="0"/>
            <w:tcW w:w="189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7307A4A6" w14:textId="53F25B8D">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Cloud</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1F68FC0F" w14:textId="5C40D1D1">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88% outsourced IaaS/SaaS, poor encryption</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2303B203" w14:textId="2D2D2F95">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Encrypted, shared-responsibility model with SLAs</w:t>
            </w:r>
          </w:p>
        </w:tc>
        <w:tc>
          <w:tcPr>
            <w:cnfStyle w:val="000000000000" w:firstRow="0" w:lastRow="0" w:firstColumn="0" w:lastColumn="0" w:oddVBand="0" w:evenVBand="0" w:oddHBand="0" w:evenHBand="0" w:firstRowFirstColumn="0" w:firstRowLastColumn="0" w:lastRowFirstColumn="0" w:lastRowLastColumn="0"/>
            <w:tcW w:w="207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6224B09A" w14:textId="0F6ADF43">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No cloud security policy</w:t>
            </w:r>
          </w:p>
        </w:tc>
      </w:tr>
      <w:tr w:rsidR="6CFD0B30" w:rsidTr="70718A41" w14:paraId="53E291E9">
        <w:trPr>
          <w:trHeight w:val="465"/>
        </w:trPr>
        <w:tc>
          <w:tcPr>
            <w:cnfStyle w:val="001000000000" w:firstRow="0" w:lastRow="0" w:firstColumn="1" w:lastColumn="0" w:oddVBand="0" w:evenVBand="0" w:oddHBand="0" w:evenHBand="0" w:firstRowFirstColumn="0" w:firstRowLastColumn="0" w:lastRowFirstColumn="0" w:lastRowLastColumn="0"/>
            <w:tcW w:w="189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44205D5" w14:textId="3A7514DA">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AI</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1122F83" w14:textId="6A8FB74F">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AI-driven analytics on PII, no oversight</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71A7F7F" w14:textId="50BD3655">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Documented AI risk management, data minimisation</w:t>
            </w:r>
          </w:p>
        </w:tc>
        <w:tc>
          <w:tcPr>
            <w:cnfStyle w:val="000000000000" w:firstRow="0" w:lastRow="0" w:firstColumn="0" w:lastColumn="0" w:oddVBand="0" w:evenVBand="0" w:oddHBand="0" w:evenHBand="0" w:firstRowFirstColumn="0" w:firstRowLastColumn="0" w:lastRowFirstColumn="0" w:lastRowLastColumn="0"/>
            <w:tcW w:w="207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0BBAE44" w14:textId="0C47AEAC">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No AI governance body</w:t>
            </w:r>
          </w:p>
        </w:tc>
      </w:tr>
      <w:tr w:rsidR="6CFD0B30" w:rsidTr="70718A41" w14:paraId="77ACD9E7">
        <w:trPr>
          <w:trHeight w:val="450"/>
        </w:trPr>
        <w:tc>
          <w:tcPr>
            <w:cnfStyle w:val="001000000000" w:firstRow="0" w:lastRow="0" w:firstColumn="1" w:lastColumn="0" w:oddVBand="0" w:evenVBand="0" w:oddHBand="0" w:evenHBand="0" w:firstRowFirstColumn="0" w:firstRowLastColumn="0" w:lastRowFirstColumn="0" w:lastRowLastColumn="0"/>
            <w:tcW w:w="189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86364AE" w14:textId="4455EAAA">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IoT</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894D016" w14:textId="0BEDF09A">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Tracking sensors, weak authentication</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71B7672" w14:textId="3B85694D">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Segmented network, device identity management</w:t>
            </w:r>
          </w:p>
        </w:tc>
        <w:tc>
          <w:tcPr>
            <w:cnfStyle w:val="000000000000" w:firstRow="0" w:lastRow="0" w:firstColumn="0" w:lastColumn="0" w:oddVBand="0" w:evenVBand="0" w:oddHBand="0" w:evenHBand="0" w:firstRowFirstColumn="0" w:firstRowLastColumn="0" w:lastRowFirstColumn="0" w:lastRowLastColumn="0"/>
            <w:tcW w:w="207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AC4FACF" w14:textId="5A156E6D">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No IoT security standard</w:t>
            </w:r>
          </w:p>
        </w:tc>
      </w:tr>
      <w:tr w:rsidR="6CFD0B30" w:rsidTr="70718A41" w14:paraId="3002EFF2">
        <w:trPr>
          <w:trHeight w:val="465"/>
        </w:trPr>
        <w:tc>
          <w:tcPr>
            <w:cnfStyle w:val="001000000000" w:firstRow="0" w:lastRow="0" w:firstColumn="1" w:lastColumn="0" w:oddVBand="0" w:evenVBand="0" w:oddHBand="0" w:evenHBand="0" w:firstRowFirstColumn="0" w:firstRowLastColumn="0" w:lastRowFirstColumn="0" w:lastRowLastColumn="0"/>
            <w:tcW w:w="189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8691F8C" w14:textId="61B84034">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Vendors</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56D91DE" w14:textId="75F8A06A">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Multiple vendors, poor governance</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2FE2ABD" w14:textId="04CC4038">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Tiered vendor risk assessment, contractual controls</w:t>
            </w:r>
          </w:p>
        </w:tc>
        <w:tc>
          <w:tcPr>
            <w:cnfStyle w:val="000000000000" w:firstRow="0" w:lastRow="0" w:firstColumn="0" w:lastColumn="0" w:oddVBand="0" w:evenVBand="0" w:oddHBand="0" w:evenHBand="0" w:firstRowFirstColumn="0" w:firstRowLastColumn="0" w:lastRowFirstColumn="0" w:lastRowLastColumn="0"/>
            <w:tcW w:w="207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48191E1" w14:textId="22355D83">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No vendor risk register</w:t>
            </w:r>
          </w:p>
        </w:tc>
      </w:tr>
      <w:tr w:rsidR="6CFD0B30" w:rsidTr="70718A41" w14:paraId="24960E7A">
        <w:trPr>
          <w:trHeight w:val="465"/>
        </w:trPr>
        <w:tc>
          <w:tcPr>
            <w:cnfStyle w:val="001000000000" w:firstRow="0" w:lastRow="0" w:firstColumn="1" w:lastColumn="0" w:oddVBand="0" w:evenVBand="0" w:oddHBand="0" w:evenHBand="0" w:firstRowFirstColumn="0" w:firstRowLastColumn="0" w:lastRowFirstColumn="0" w:lastRowLastColumn="0"/>
            <w:tcW w:w="189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2D01D18" w14:textId="537250ED">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Remote workforce</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F0A74C6" w14:textId="7F511D12">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Unmanaged devices, multiple time zones</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AC23060" w14:textId="2EC07B42">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MFA, endpoint management, Zero Trust access</w:t>
            </w:r>
          </w:p>
        </w:tc>
        <w:tc>
          <w:tcPr>
            <w:cnfStyle w:val="000000000000" w:firstRow="0" w:lastRow="0" w:firstColumn="0" w:lastColumn="0" w:oddVBand="0" w:evenVBand="0" w:oddHBand="0" w:evenHBand="0" w:firstRowFirstColumn="0" w:firstRowLastColumn="0" w:lastRowFirstColumn="0" w:lastRowLastColumn="0"/>
            <w:tcW w:w="207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5EEDE56" w14:textId="25D2AA30">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No remote access policy</w:t>
            </w:r>
          </w:p>
        </w:tc>
      </w:tr>
      <w:tr w:rsidR="6CFD0B30" w:rsidTr="70718A41" w14:paraId="6A767A3D">
        <w:trPr>
          <w:trHeight w:val="225"/>
        </w:trPr>
        <w:tc>
          <w:tcPr>
            <w:cnfStyle w:val="001000000000" w:firstRow="0" w:lastRow="0" w:firstColumn="1" w:lastColumn="0" w:oddVBand="0" w:evenVBand="0" w:oddHBand="0" w:evenHBand="0" w:firstRowFirstColumn="0" w:firstRowLastColumn="0" w:lastRowFirstColumn="0" w:lastRowLastColumn="0"/>
            <w:tcW w:w="189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F179B81" w14:textId="04B27B93">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Compliance</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6E8448F" w14:textId="23B17E54">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No ISO 27001, no GDPR audit</w:t>
            </w:r>
          </w:p>
        </w:tc>
        <w:tc>
          <w:tcPr>
            <w:cnfStyle w:val="000000000000" w:firstRow="0" w:lastRow="0" w:firstColumn="0" w:lastColumn="0" w:oddVBand="0" w:evenVBand="0" w:oddHBand="0" w:evenHBand="0" w:firstRowFirstColumn="0" w:firstRowLastColumn="0" w:lastRowFirstColumn="0" w:lastRowLastColumn="0"/>
            <w:tcW w:w="28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FBB0110" w14:textId="3E5CFE4E">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Certified ISMS, periodic GDPR audits</w:t>
            </w:r>
          </w:p>
        </w:tc>
        <w:tc>
          <w:tcPr>
            <w:cnfStyle w:val="000000000000" w:firstRow="0" w:lastRow="0" w:firstColumn="0" w:lastColumn="0" w:oddVBand="0" w:evenVBand="0" w:oddHBand="0" w:evenHBand="0" w:firstRowFirstColumn="0" w:firstRowLastColumn="0" w:lastRowFirstColumn="0" w:lastRowLastColumn="0"/>
            <w:tcW w:w="207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EAE020D" w14:textId="71889FC8">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No compliance function</w:t>
            </w:r>
          </w:p>
        </w:tc>
      </w:tr>
    </w:tbl>
    <w:p xmlns:wp14="http://schemas.microsoft.com/office/word/2010/wordml" w:rsidP="70718A41" wp14:paraId="11AE70CB" wp14:textId="34C1EB16">
      <w:pPr>
        <w:pStyle w:val="Normal"/>
        <w:bidi w:val="0"/>
        <w:spacing w:before="0" w:beforeAutospacing="off" w:after="0" w:afterAutospacing="off"/>
        <w:jc w:val="center"/>
        <w:rPr>
          <w:rFonts w:ascii="Calibri" w:hAnsi="Calibri" w:eastAsia="Calibri" w:cs="Calibri"/>
          <w:color w:val="auto"/>
          <w:sz w:val="22"/>
          <w:szCs w:val="22"/>
        </w:rPr>
      </w:pPr>
      <w:r w:rsidRPr="70718A41" w:rsidR="3ACFA967">
        <w:rPr>
          <w:rFonts w:ascii="Calibri" w:hAnsi="Calibri" w:eastAsia="Calibri" w:cs="Calibri"/>
          <w:i w:val="1"/>
          <w:iCs w:val="1"/>
          <w:noProof w:val="0"/>
          <w:color w:val="auto"/>
          <w:sz w:val="20"/>
          <w:szCs w:val="20"/>
          <w:lang w:val="en-GB"/>
        </w:rPr>
        <w:t xml:space="preserve">Table 2. </w:t>
      </w:r>
      <w:r w:rsidRPr="70718A41" w:rsidR="72373437">
        <w:rPr>
          <w:rFonts w:ascii="Calibri" w:hAnsi="Calibri" w:eastAsia="Calibri" w:cs="Calibri"/>
          <w:color w:val="auto"/>
          <w:sz w:val="22"/>
          <w:szCs w:val="22"/>
        </w:rPr>
        <w:t>AeroLink Security Gap Analysis</w:t>
      </w:r>
    </w:p>
    <w:p xmlns:wp14="http://schemas.microsoft.com/office/word/2010/wordml" w:rsidP="70718A41" wp14:paraId="53354FBD" wp14:textId="3DA1F936">
      <w:pPr>
        <w:bidi w:val="0"/>
        <w:jc w:val="both"/>
        <w:rPr>
          <w:color w:val="auto"/>
        </w:rPr>
      </w:pPr>
    </w:p>
    <w:p xmlns:wp14="http://schemas.microsoft.com/office/word/2010/wordml" w:rsidP="70718A41" wp14:paraId="4B1E084A" wp14:textId="30AB8213">
      <w:pPr>
        <w:bidi w:val="0"/>
        <w:spacing w:before="0" w:beforeAutospacing="off" w:after="0" w:afterAutospacing="off"/>
        <w:jc w:val="both"/>
        <w:rPr>
          <w:rFonts w:ascii="Calibri" w:hAnsi="Calibri" w:eastAsia="Calibri" w:cs="Calibri"/>
          <w:noProof w:val="0"/>
          <w:color w:val="auto"/>
          <w:sz w:val="32"/>
          <w:szCs w:val="32"/>
          <w:lang w:val="en-GB"/>
        </w:rPr>
      </w:pPr>
      <w:r w:rsidRPr="70718A41" w:rsidR="3ACFA967">
        <w:rPr>
          <w:rFonts w:ascii="Calibri" w:hAnsi="Calibri" w:eastAsia="Calibri" w:cs="Calibri"/>
          <w:noProof w:val="0"/>
          <w:color w:val="auto"/>
          <w:sz w:val="32"/>
          <w:szCs w:val="32"/>
          <w:lang w:val="en-GB"/>
        </w:rPr>
        <w:t xml:space="preserve"> </w:t>
      </w:r>
    </w:p>
    <w:p xmlns:wp14="http://schemas.microsoft.com/office/word/2010/wordml" w:rsidP="70718A41" wp14:paraId="5372D23D" wp14:textId="79E3FEFA">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p>
    <w:p xmlns:wp14="http://schemas.microsoft.com/office/word/2010/wordml" w:rsidP="70718A41" wp14:paraId="43F27F5D" wp14:textId="12E268A3">
      <w:pPr>
        <w:rPr>
          <w:color w:val="auto"/>
        </w:rPr>
      </w:pPr>
      <w:r w:rsidRPr="70718A41">
        <w:rPr>
          <w:color w:val="auto"/>
        </w:rPr>
        <w:br w:type="page"/>
      </w:r>
    </w:p>
    <w:p xmlns:wp14="http://schemas.microsoft.com/office/word/2010/wordml" w:rsidP="70718A41" wp14:paraId="39BF98A6" wp14:textId="7B9964CB">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4. Proposed Integrated Security Governance Framework</w:t>
      </w:r>
    </w:p>
    <w:p xmlns:wp14="http://schemas.microsoft.com/office/word/2010/wordml" w:rsidP="70718A41" wp14:paraId="0C28DD21" wp14:textId="615584AA">
      <w:pPr>
        <w:pStyle w:val="Heading2"/>
        <w:bidi w:val="0"/>
        <w:spacing w:before="260" w:beforeAutospacing="off" w:after="120" w:afterAutospacing="off"/>
        <w:jc w:val="both"/>
        <w:rPr>
          <w:rFonts w:ascii="Calibri" w:hAnsi="Calibri" w:eastAsia="Calibri" w:cs="Calibri"/>
          <w:b w:val="0"/>
          <w:bCs w:val="0"/>
          <w:noProof w:val="0"/>
          <w:color w:val="auto"/>
          <w:sz w:val="26"/>
          <w:szCs w:val="26"/>
          <w:lang w:val="en-GB"/>
        </w:rPr>
      </w:pPr>
      <w:r w:rsidRPr="70718A41" w:rsidR="3ACFA967">
        <w:rPr>
          <w:rFonts w:ascii="Calibri" w:hAnsi="Calibri" w:eastAsia="Calibri" w:cs="Calibri"/>
          <w:b w:val="0"/>
          <w:bCs w:val="0"/>
          <w:noProof w:val="0"/>
          <w:color w:val="auto"/>
          <w:sz w:val="26"/>
          <w:szCs w:val="26"/>
          <w:lang w:val="en-GB"/>
        </w:rPr>
        <w:t>4.1 Overview</w:t>
      </w:r>
    </w:p>
    <w:p xmlns:wp14="http://schemas.microsoft.com/office/word/2010/wordml" w:rsidP="70718A41" wp14:paraId="56D0AF43" wp14:textId="5E8EECD9">
      <w:pPr>
        <w:bidi w:val="0"/>
        <w:spacing w:before="120" w:beforeAutospacing="off" w:after="60" w:afterAutospacing="off"/>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AeroLink Integrated Security Governance Model (AISGM) is an original three-layer model developed to be AeroLink Logistics specific. It is not a simple adoption of any one framework as it is COBIT 2019's governance-management separation, ISMS discipline from ISO/IEC 27001:2022, six-function risk lifecycle from NIST CSF 2.0, and service-value practices of ITIL 4. The AISGM would be illustrated in three concentric circles: the outer Governance Layer, the middle Risk and Control Layer and the inner Operational Assurance Layer, with continuous feedback loops showing how the continual-improvement model of ITIL is applied.</w:t>
      </w:r>
    </w:p>
    <w:p xmlns:wp14="http://schemas.microsoft.com/office/word/2010/wordml" w:rsidP="70718A41" wp14:paraId="3FA5A8CF" wp14:textId="04FC3753">
      <w:pPr>
        <w:bidi w:val="0"/>
        <w:spacing w:before="120" w:beforeAutospacing="off" w:after="60" w:afterAutospacing="off"/>
        <w:jc w:val="center"/>
        <w:rPr>
          <w:color w:val="auto"/>
        </w:rPr>
      </w:pPr>
      <w:r w:rsidR="3ACFA967">
        <w:drawing>
          <wp:inline xmlns:wp14="http://schemas.microsoft.com/office/word/2010/wordprocessingDrawing" wp14:editId="1AD7FEBE" wp14:anchorId="394211EA">
            <wp:extent cx="3248025" cy="2638425"/>
            <wp:effectExtent l="0" t="0" r="0" b="0"/>
            <wp:docPr id="10514493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1449380" name="Picture 1051449380"/>
                    <pic:cNvPicPr/>
                  </pic:nvPicPr>
                  <pic:blipFill>
                    <a:blip xmlns:r="http://schemas.openxmlformats.org/officeDocument/2006/relationships" r:embed="rId498462926">
                      <a:extLst>
                        <a:ext uri="{28A0092B-C50C-407E-A947-70E740481C1C}">
                          <a14:useLocalDpi xmlns:a14="http://schemas.microsoft.com/office/drawing/2010/main"/>
                        </a:ext>
                      </a:extLst>
                    </a:blip>
                    <a:stretch>
                      <a:fillRect/>
                    </a:stretch>
                  </pic:blipFill>
                  <pic:spPr>
                    <a:xfrm>
                      <a:off x="0" y="0"/>
                      <a:ext cx="3248025" cy="2638425"/>
                    </a:xfrm>
                    <a:prstGeom prst="rect">
                      <a:avLst/>
                    </a:prstGeom>
                  </pic:spPr>
                </pic:pic>
              </a:graphicData>
            </a:graphic>
          </wp:inline>
        </w:drawing>
      </w:r>
    </w:p>
    <w:p xmlns:wp14="http://schemas.microsoft.com/office/word/2010/wordml" w:rsidP="70718A41" wp14:paraId="5F011358" wp14:textId="0EE201B5">
      <w:pPr>
        <w:bidi w:val="0"/>
        <w:spacing w:before="0" w:beforeAutospacing="off" w:after="200" w:afterAutospacing="off"/>
        <w:jc w:val="center"/>
        <w:rPr>
          <w:rFonts w:ascii="Calibri" w:hAnsi="Calibri" w:eastAsia="Calibri" w:cs="Calibri"/>
          <w:i w:val="1"/>
          <w:iCs w:val="1"/>
          <w:noProof w:val="0"/>
          <w:color w:val="auto"/>
          <w:sz w:val="18"/>
          <w:szCs w:val="18"/>
          <w:lang w:val="en-GB"/>
        </w:rPr>
      </w:pPr>
      <w:r w:rsidRPr="70718A41" w:rsidR="3ACFA967">
        <w:rPr>
          <w:rFonts w:ascii="Calibri" w:hAnsi="Calibri" w:eastAsia="Calibri" w:cs="Calibri"/>
          <w:i w:val="1"/>
          <w:iCs w:val="1"/>
          <w:noProof w:val="0"/>
          <w:color w:val="auto"/>
          <w:sz w:val="18"/>
          <w:szCs w:val="18"/>
          <w:lang w:val="en-GB"/>
        </w:rPr>
        <w:t>Figure 2. AISGM Conceptual Model — continuous feedback (orange arrows) links the governance, risk-control and assurance layers via ITIL's continual-improvement model.</w:t>
      </w:r>
    </w:p>
    <w:p xmlns:wp14="http://schemas.microsoft.com/office/word/2010/wordml" w:rsidP="70718A41" wp14:paraId="25CD6F15" wp14:textId="655A932F">
      <w:pPr>
        <w:pStyle w:val="Heading2"/>
        <w:bidi w:val="0"/>
        <w:spacing w:before="260" w:beforeAutospacing="off" w:after="120" w:afterAutospacing="off"/>
        <w:jc w:val="both"/>
        <w:rPr>
          <w:rFonts w:ascii="Calibri" w:hAnsi="Calibri" w:eastAsia="Calibri" w:cs="Calibri"/>
          <w:b w:val="0"/>
          <w:bCs w:val="0"/>
          <w:noProof w:val="0"/>
          <w:color w:val="auto"/>
          <w:sz w:val="26"/>
          <w:szCs w:val="26"/>
          <w:lang w:val="en-GB"/>
        </w:rPr>
      </w:pPr>
      <w:r w:rsidRPr="70718A41" w:rsidR="3ACFA967">
        <w:rPr>
          <w:rFonts w:ascii="Calibri" w:hAnsi="Calibri" w:eastAsia="Calibri" w:cs="Calibri"/>
          <w:b w:val="0"/>
          <w:bCs w:val="0"/>
          <w:noProof w:val="0"/>
          <w:color w:val="auto"/>
          <w:sz w:val="26"/>
          <w:szCs w:val="26"/>
          <w:lang w:val="en-GB"/>
        </w:rPr>
        <w:t>4.2 Governance Structure</w:t>
      </w:r>
    </w:p>
    <w:p xmlns:wp14="http://schemas.microsoft.com/office/word/2010/wordml" w:rsidP="70718A41" wp14:paraId="438FF856" wp14:textId="6F9D1D05">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As suggested by COBIT's EDM (Evaluate-Direct-Monitor) domain, and in line with NIS2's requirement for top management to personally take responsibility for risk-management measures [4, 10], the Board is ultimately responsible for cyber risk. The risk committee, a cross-functional group of IT, legal, procurement and operations members that is led by a Chief Information Security Officer (CISO) reporting to the Board, is a mechanism for implementing COBIT's separation of governance from management into a viable accountability structure [4]. A dedicated Compliance Team who monitor GDPR, NIS2 and contractual obligations, and a Security Operations Centre (SOC) in-house or outsourced, continuously monitor in line with NIST CSF's Detect function [3]. This is a Vendor Management function, which reports to the Risk Committee and which can be justified directly based on AeroLink's 88% outsourcing ratio, as well as CSF 2.0's C-SCRM category, which includes supplier criticality tiering, contractual security clauses and continuous supplier monitoring [3].</w:t>
      </w:r>
    </w:p>
    <w:p xmlns:wp14="http://schemas.microsoft.com/office/word/2010/wordml" w:rsidP="70718A41" wp14:paraId="4362F3C6" wp14:textId="71504C76">
      <w:pPr>
        <w:bidi w:val="0"/>
        <w:spacing w:before="120" w:beforeAutospacing="off" w:after="60" w:afterAutospacing="off"/>
        <w:jc w:val="center"/>
        <w:rPr>
          <w:color w:val="auto"/>
        </w:rPr>
      </w:pPr>
      <w:r w:rsidR="3ACFA967">
        <w:drawing>
          <wp:inline xmlns:wp14="http://schemas.microsoft.com/office/word/2010/wordprocessingDrawing" wp14:editId="76EDF279" wp14:anchorId="46758CE6">
            <wp:extent cx="4095750" cy="2171700"/>
            <wp:effectExtent l="0" t="0" r="0" b="0"/>
            <wp:docPr id="1301999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1999151" name="Picture 1301999151"/>
                    <pic:cNvPicPr/>
                  </pic:nvPicPr>
                  <pic:blipFill>
                    <a:blip xmlns:r="http://schemas.openxmlformats.org/officeDocument/2006/relationships" r:embed="rId976779471">
                      <a:extLst>
                        <a:ext uri="{28A0092B-C50C-407E-A947-70E740481C1C}">
                          <a14:useLocalDpi xmlns:a14="http://schemas.microsoft.com/office/drawing/2010/main"/>
                        </a:ext>
                      </a:extLst>
                    </a:blip>
                    <a:stretch>
                      <a:fillRect/>
                    </a:stretch>
                  </pic:blipFill>
                  <pic:spPr>
                    <a:xfrm>
                      <a:off x="0" y="0"/>
                      <a:ext cx="4095750" cy="2171700"/>
                    </a:xfrm>
                    <a:prstGeom prst="rect">
                      <a:avLst/>
                    </a:prstGeom>
                  </pic:spPr>
                </pic:pic>
              </a:graphicData>
            </a:graphic>
          </wp:inline>
        </w:drawing>
      </w:r>
    </w:p>
    <w:p xmlns:wp14="http://schemas.microsoft.com/office/word/2010/wordml" w:rsidP="70718A41" wp14:paraId="178AA2C9" wp14:textId="168FECEF">
      <w:pPr>
        <w:bidi w:val="0"/>
        <w:spacing w:before="0" w:beforeAutospacing="off" w:after="200" w:afterAutospacing="off"/>
        <w:jc w:val="center"/>
        <w:rPr>
          <w:rFonts w:ascii="Calibri" w:hAnsi="Calibri" w:eastAsia="Calibri" w:cs="Calibri"/>
          <w:i w:val="1"/>
          <w:iCs w:val="1"/>
          <w:noProof w:val="0"/>
          <w:color w:val="auto"/>
          <w:sz w:val="18"/>
          <w:szCs w:val="18"/>
          <w:lang w:val="en-GB"/>
        </w:rPr>
      </w:pPr>
      <w:r w:rsidRPr="70718A41" w:rsidR="3ACFA967">
        <w:rPr>
          <w:rFonts w:ascii="Calibri" w:hAnsi="Calibri" w:eastAsia="Calibri" w:cs="Calibri"/>
          <w:i w:val="1"/>
          <w:iCs w:val="1"/>
          <w:noProof w:val="0"/>
          <w:color w:val="auto"/>
          <w:sz w:val="18"/>
          <w:szCs w:val="18"/>
          <w:lang w:val="en-GB"/>
        </w:rPr>
        <w:t xml:space="preserve">Figure 3. AISGM Governance Structure — Board-level accountability cascades through the CISO to the Risk Committee, Compliance Team, </w:t>
      </w:r>
      <w:r w:rsidRPr="70718A41" w:rsidR="3ACFA967">
        <w:rPr>
          <w:rFonts w:ascii="Calibri" w:hAnsi="Calibri" w:eastAsia="Calibri" w:cs="Calibri"/>
          <w:i w:val="1"/>
          <w:iCs w:val="1"/>
          <w:noProof w:val="0"/>
          <w:color w:val="auto"/>
          <w:sz w:val="18"/>
          <w:szCs w:val="18"/>
          <w:lang w:val="en-GB"/>
        </w:rPr>
        <w:t>SOC</w:t>
      </w:r>
      <w:r w:rsidRPr="70718A41" w:rsidR="3ACFA967">
        <w:rPr>
          <w:rFonts w:ascii="Calibri" w:hAnsi="Calibri" w:eastAsia="Calibri" w:cs="Calibri"/>
          <w:i w:val="1"/>
          <w:iCs w:val="1"/>
          <w:noProof w:val="0"/>
          <w:color w:val="auto"/>
          <w:sz w:val="18"/>
          <w:szCs w:val="18"/>
          <w:lang w:val="en-GB"/>
        </w:rPr>
        <w:t xml:space="preserve"> and Vendor Management function.</w:t>
      </w:r>
    </w:p>
    <w:p xmlns:wp14="http://schemas.microsoft.com/office/word/2010/wordml" w:rsidP="70718A41" wp14:paraId="4C0B7724" wp14:textId="054347FF">
      <w:pPr>
        <w:pStyle w:val="Heading2"/>
        <w:bidi w:val="0"/>
        <w:rPr>
          <w:rFonts w:ascii="Calibri" w:hAnsi="Calibri" w:eastAsia="Calibri" w:cs="Calibri"/>
          <w:b w:val="0"/>
          <w:bCs w:val="0"/>
          <w:noProof w:val="0"/>
          <w:color w:val="auto"/>
          <w:sz w:val="26"/>
          <w:szCs w:val="26"/>
          <w:lang w:val="en-GB"/>
        </w:rPr>
      </w:pPr>
      <w:r w:rsidRPr="70718A41" w:rsidR="3ACFA967">
        <w:rPr>
          <w:rFonts w:ascii="Calibri" w:hAnsi="Calibri" w:eastAsia="Calibri" w:cs="Calibri"/>
          <w:b w:val="0"/>
          <w:bCs w:val="0"/>
          <w:noProof w:val="0"/>
          <w:color w:val="auto"/>
          <w:sz w:val="26"/>
          <w:szCs w:val="26"/>
          <w:lang w:val="en-GB"/>
        </w:rPr>
        <w:t>4.3 Risk Management and Security Policies</w:t>
      </w:r>
    </w:p>
    <w:p xmlns:wp14="http://schemas.microsoft.com/office/word/2010/wordml" w:rsidP="70718A41" wp14:paraId="05AA853E" wp14:textId="694BE71B">
      <w:pPr>
        <w:bidi w:val="0"/>
        <w:spacing w:before="120" w:beforeAutospacing="off" w:after="80" w:afterAutospacing="off"/>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 xml:space="preserve">AISGM's ISMS is built on an ISO/IEC 27001 aligned ISMS, featuring a live Risk Register and quantitative Risk Matrix, which is a result of the need for an integrated risk process as recommended for low-maturity organisations by the ISO/IEC 27001 standard [2] and </w:t>
      </w:r>
      <w:r w:rsidRPr="70718A41" w:rsidR="3ACFA967">
        <w:rPr>
          <w:rFonts w:ascii="Calibri" w:hAnsi="Calibri" w:eastAsia="Calibri" w:cs="Calibri"/>
          <w:noProof w:val="0"/>
          <w:color w:val="auto"/>
          <w:sz w:val="22"/>
          <w:szCs w:val="22"/>
          <w:lang w:val="en-GB"/>
        </w:rPr>
        <w:t>AeroLink's</w:t>
      </w:r>
      <w:r w:rsidRPr="70718A41" w:rsidR="3ACFA967">
        <w:rPr>
          <w:rFonts w:ascii="Calibri" w:hAnsi="Calibri" w:eastAsia="Calibri" w:cs="Calibri"/>
          <w:noProof w:val="0"/>
          <w:color w:val="auto"/>
          <w:sz w:val="22"/>
          <w:szCs w:val="22"/>
          <w:lang w:val="en-GB"/>
        </w:rPr>
        <w:t xml:space="preserve"> absence of such a process. Security policies support the NIST CSF Identify and Protect functions [3]. A Zero Trust architecture offers a starting point, continuously checking users and devices, mitigating risks from remote employees and third-party vendors [12] [13]. This is supported as a solution for supply chains and progressive adoption by the literature and CISA's Zero Trust Maturity Model [14] [15]. Access control is strengthened and lateral movement is decreased by combining Identity and Access Management (IAM), Multi-Factor Authentication (MFA), Privileged Access Management (PAM), Cloud Access Security Broker (CASB), Data Loss Prevention (DLP), and network segmentation.</w:t>
      </w:r>
    </w:p>
    <w:tbl>
      <w:tblPr>
        <w:tblStyle w:val="GridTable1Light"/>
        <w:bidiVisual w:val="0"/>
        <w:tblW w:w="0" w:type="auto"/>
        <w:tblLook w:val="04A0" w:firstRow="1" w:lastRow="0" w:firstColumn="1" w:lastColumn="0" w:noHBand="0" w:noVBand="1"/>
      </w:tblPr>
      <w:tblGrid>
        <w:gridCol w:w="1035"/>
        <w:gridCol w:w="2700"/>
        <w:gridCol w:w="1110"/>
        <w:gridCol w:w="1035"/>
        <w:gridCol w:w="1500"/>
        <w:gridCol w:w="2145"/>
      </w:tblGrid>
      <w:tr w:rsidR="6CFD0B30" w:rsidTr="70718A41" w14:paraId="566CB74F">
        <w:trPr>
          <w:trHeight w:val="255"/>
        </w:trPr>
        <w:tc>
          <w:tcPr>
            <w:cnfStyle w:val="001000000000" w:firstRow="0" w:lastRow="0" w:firstColumn="1" w:lastColumn="0" w:oddVBand="0" w:evenVBand="0" w:oddHBand="0" w:evenHBand="0" w:firstRowFirstColumn="0" w:firstRowLastColumn="0" w:lastRowFirstColumn="0" w:lastRowLastColumn="0"/>
            <w:tcW w:w="103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6267F2EF" w14:textId="7BE291CD">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Risk ID</w:t>
            </w:r>
          </w:p>
        </w:tc>
        <w:tc>
          <w:tcPr>
            <w:cnfStyle w:val="000000000000" w:firstRow="0" w:lastRow="0" w:firstColumn="0" w:lastColumn="0" w:oddVBand="0" w:evenVBand="0" w:oddHBand="0" w:evenHBand="0" w:firstRowFirstColumn="0" w:firstRowLastColumn="0" w:lastRowFirstColumn="0" w:lastRowLastColumn="0"/>
            <w:tcW w:w="270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4DD09789" w14:textId="5671ED9E">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Description</w:t>
            </w:r>
          </w:p>
        </w:tc>
        <w:tc>
          <w:tcPr>
            <w:cnfStyle w:val="000000000000" w:firstRow="0" w:lastRow="0" w:firstColumn="0" w:lastColumn="0" w:oddVBand="0" w:evenVBand="0" w:oddHBand="0" w:evenHBand="0" w:firstRowFirstColumn="0" w:firstRowLastColumn="0" w:lastRowFirstColumn="0" w:lastRowLastColumn="0"/>
            <w:tcW w:w="111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0900D143" w14:textId="0A1B05E9">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Likelihood</w:t>
            </w:r>
          </w:p>
        </w:tc>
        <w:tc>
          <w:tcPr>
            <w:cnfStyle w:val="000000000000" w:firstRow="0" w:lastRow="0" w:firstColumn="0" w:lastColumn="0" w:oddVBand="0" w:evenVBand="0" w:oddHBand="0" w:evenHBand="0" w:firstRowFirstColumn="0" w:firstRowLastColumn="0" w:lastRowFirstColumn="0" w:lastRowLastColumn="0"/>
            <w:tcW w:w="103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69659865" w14:textId="584FD85E">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Impact</w:t>
            </w:r>
          </w:p>
        </w:tc>
        <w:tc>
          <w:tcPr>
            <w:cnfStyle w:val="000000000000" w:firstRow="0" w:lastRow="0" w:firstColumn="0" w:lastColumn="0" w:oddVBand="0" w:evenVBand="0" w:oddHBand="0" w:evenHBand="0" w:firstRowFirstColumn="0" w:firstRowLastColumn="0" w:lastRowFirstColumn="0" w:lastRowLastColumn="0"/>
            <w:tcW w:w="150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3FD59035" w14:textId="4C350586">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Owner</w:t>
            </w:r>
          </w:p>
        </w:tc>
        <w:tc>
          <w:tcPr>
            <w:cnfStyle w:val="000000000000" w:firstRow="0" w:lastRow="0" w:firstColumn="0" w:lastColumn="0" w:oddVBand="0" w:evenVBand="0" w:oddHBand="0" w:evenHBand="0" w:firstRowFirstColumn="0" w:firstRowLastColumn="0" w:lastRowFirstColumn="0" w:lastRowLastColumn="0"/>
            <w:tcW w:w="214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32E00213" w14:textId="1B9C59DE">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Mitigation</w:t>
            </w:r>
          </w:p>
        </w:tc>
      </w:tr>
      <w:tr w:rsidR="6CFD0B30" w:rsidTr="70718A41" w14:paraId="25155E61">
        <w:trPr>
          <w:trHeight w:val="510"/>
        </w:trPr>
        <w:tc>
          <w:tcPr>
            <w:cnfStyle w:val="001000000000" w:firstRow="0" w:lastRow="0" w:firstColumn="1" w:lastColumn="0" w:oddVBand="0" w:evenVBand="0" w:oddHBand="0" w:evenHBand="0" w:firstRowFirstColumn="0" w:firstRowLastColumn="0" w:lastRowFirstColumn="0" w:lastRowLastColumn="0"/>
            <w:tcW w:w="103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6956CB9A" w14:textId="2D2796D9">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R-01</w:t>
            </w:r>
          </w:p>
        </w:tc>
        <w:tc>
          <w:tcPr>
            <w:cnfStyle w:val="000000000000" w:firstRow="0" w:lastRow="0" w:firstColumn="0" w:lastColumn="0" w:oddVBand="0" w:evenVBand="0" w:oddHBand="0" w:evenHBand="0" w:firstRowFirstColumn="0" w:firstRowLastColumn="0" w:lastRowFirstColumn="0" w:lastRowLastColumn="0"/>
            <w:tcW w:w="270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4363B8E2" w14:textId="177C4E1A">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Vendor-originated data breach</w:t>
            </w:r>
          </w:p>
        </w:tc>
        <w:tc>
          <w:tcPr>
            <w:cnfStyle w:val="000000000000" w:firstRow="0" w:lastRow="0" w:firstColumn="0" w:lastColumn="0" w:oddVBand="0" w:evenVBand="0" w:oddHBand="0" w:evenHBand="0" w:firstRowFirstColumn="0" w:firstRowLastColumn="0" w:lastRowFirstColumn="0" w:lastRowLastColumn="0"/>
            <w:tcW w:w="111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24F6DFE3" w14:textId="288D313B">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c>
          <w:tcPr>
            <w:cnfStyle w:val="000000000000" w:firstRow="0" w:lastRow="0" w:firstColumn="0" w:lastColumn="0" w:oddVBand="0" w:evenVBand="0" w:oddHBand="0" w:evenHBand="0" w:firstRowFirstColumn="0" w:firstRowLastColumn="0" w:lastRowFirstColumn="0" w:lastRowLastColumn="0"/>
            <w:tcW w:w="103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6EDAEAA8" w14:textId="469ABFEF">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c>
          <w:tcPr>
            <w:cnfStyle w:val="000000000000" w:firstRow="0" w:lastRow="0" w:firstColumn="0" w:lastColumn="0" w:oddVBand="0" w:evenVBand="0" w:oddHBand="0" w:evenHBand="0" w:firstRowFirstColumn="0" w:firstRowLastColumn="0" w:lastRowFirstColumn="0" w:lastRowLastColumn="0"/>
            <w:tcW w:w="150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55C755BB" w14:textId="6DC25F23">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Vendor Manager</w:t>
            </w:r>
          </w:p>
        </w:tc>
        <w:tc>
          <w:tcPr>
            <w:cnfStyle w:val="000000000000" w:firstRow="0" w:lastRow="0" w:firstColumn="0" w:lastColumn="0" w:oddVBand="0" w:evenVBand="0" w:oddHBand="0" w:evenHBand="0" w:firstRowFirstColumn="0" w:firstRowLastColumn="0" w:lastRowFirstColumn="0" w:lastRowLastColumn="0"/>
            <w:tcW w:w="214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136FD45A" w14:textId="23D70F21">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Tiered vendor audits, contractual SLAs</w:t>
            </w:r>
          </w:p>
        </w:tc>
      </w:tr>
      <w:tr w:rsidR="6CFD0B30" w:rsidTr="70718A41" w14:paraId="77F298AF">
        <w:trPr>
          <w:trHeight w:val="480"/>
        </w:trPr>
        <w:tc>
          <w:tcPr>
            <w:cnfStyle w:val="001000000000" w:firstRow="0" w:lastRow="0" w:firstColumn="1" w:lastColumn="0" w:oddVBand="0" w:evenVBand="0" w:oddHBand="0" w:evenHBand="0" w:firstRowFirstColumn="0" w:firstRowLastColumn="0" w:lastRowFirstColumn="0" w:lastRowLastColumn="0"/>
            <w:tcW w:w="10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889ACFF" w14:textId="260D9FA8">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R-02</w:t>
            </w:r>
          </w:p>
        </w:tc>
        <w:tc>
          <w:tcPr>
            <w:cnfStyle w:val="000000000000" w:firstRow="0" w:lastRow="0" w:firstColumn="0" w:lastColumn="0" w:oddVBand="0" w:evenVBand="0" w:oddHBand="0" w:evenHBand="0" w:firstRowFirstColumn="0" w:firstRowLastColumn="0" w:lastRowFirstColumn="0" w:lastRowLastColumn="0"/>
            <w:tcW w:w="270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FCB80E6" w14:textId="06F8AAE4">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IoT device compromise</w:t>
            </w:r>
          </w:p>
        </w:tc>
        <w:tc>
          <w:tcPr>
            <w:cnfStyle w:val="000000000000" w:firstRow="0" w:lastRow="0" w:firstColumn="0" w:lastColumn="0" w:oddVBand="0" w:evenVBand="0" w:oddHBand="0" w:evenHBand="0" w:firstRowFirstColumn="0" w:firstRowLastColumn="0" w:lastRowFirstColumn="0" w:lastRowLastColumn="0"/>
            <w:tcW w:w="111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7DC8A7F" w14:textId="0566A08E">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Medium</w:t>
            </w:r>
          </w:p>
        </w:tc>
        <w:tc>
          <w:tcPr>
            <w:cnfStyle w:val="000000000000" w:firstRow="0" w:lastRow="0" w:firstColumn="0" w:lastColumn="0" w:oddVBand="0" w:evenVBand="0" w:oddHBand="0" w:evenHBand="0" w:firstRowFirstColumn="0" w:firstRowLastColumn="0" w:lastRowFirstColumn="0" w:lastRowLastColumn="0"/>
            <w:tcW w:w="10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B8423FD" w14:textId="5C75756A">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c>
          <w:tcPr>
            <w:cnfStyle w:val="000000000000" w:firstRow="0" w:lastRow="0" w:firstColumn="0" w:lastColumn="0" w:oddVBand="0" w:evenVBand="0" w:oddHBand="0" w:evenHBand="0" w:firstRowFirstColumn="0" w:firstRowLastColumn="0" w:lastRowFirstColumn="0" w:lastRowLastColumn="0"/>
            <w:tcW w:w="150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61DFFCE" w14:textId="093DD61F">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CISO</w:t>
            </w:r>
          </w:p>
        </w:tc>
        <w:tc>
          <w:tcPr>
            <w:cnfStyle w:val="000000000000" w:firstRow="0" w:lastRow="0" w:firstColumn="0" w:lastColumn="0" w:oddVBand="0" w:evenVBand="0" w:oddHBand="0" w:evenHBand="0" w:firstRowFirstColumn="0" w:firstRowLastColumn="0" w:lastRowFirstColumn="0" w:lastRowLastColumn="0"/>
            <w:tcW w:w="214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2578162" w14:textId="110F4EC9">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Network segmentation, device identity</w:t>
            </w:r>
          </w:p>
        </w:tc>
      </w:tr>
      <w:tr w:rsidR="6CFD0B30" w:rsidTr="70718A41" w14:paraId="2230F4EC">
        <w:trPr>
          <w:trHeight w:val="510"/>
        </w:trPr>
        <w:tc>
          <w:tcPr>
            <w:cnfStyle w:val="001000000000" w:firstRow="0" w:lastRow="0" w:firstColumn="1" w:lastColumn="0" w:oddVBand="0" w:evenVBand="0" w:oddHBand="0" w:evenHBand="0" w:firstRowFirstColumn="0" w:firstRowLastColumn="0" w:lastRowFirstColumn="0" w:lastRowLastColumn="0"/>
            <w:tcW w:w="10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7DA1CC5" w14:textId="4E02B1E2">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R-03</w:t>
            </w:r>
          </w:p>
        </w:tc>
        <w:tc>
          <w:tcPr>
            <w:cnfStyle w:val="000000000000" w:firstRow="0" w:lastRow="0" w:firstColumn="0" w:lastColumn="0" w:oddVBand="0" w:evenVBand="0" w:oddHBand="0" w:evenHBand="0" w:firstRowFirstColumn="0" w:firstRowLastColumn="0" w:lastRowFirstColumn="0" w:lastRowLastColumn="0"/>
            <w:tcW w:w="270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7C03B64" w14:textId="5BC4BD01">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Unauthorised remote access</w:t>
            </w:r>
          </w:p>
        </w:tc>
        <w:tc>
          <w:tcPr>
            <w:cnfStyle w:val="000000000000" w:firstRow="0" w:lastRow="0" w:firstColumn="0" w:lastColumn="0" w:oddVBand="0" w:evenVBand="0" w:oddHBand="0" w:evenHBand="0" w:firstRowFirstColumn="0" w:firstRowLastColumn="0" w:lastRowFirstColumn="0" w:lastRowLastColumn="0"/>
            <w:tcW w:w="111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A07E7A6" w14:textId="188EF427">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c>
          <w:tcPr>
            <w:cnfStyle w:val="000000000000" w:firstRow="0" w:lastRow="0" w:firstColumn="0" w:lastColumn="0" w:oddVBand="0" w:evenVBand="0" w:oddHBand="0" w:evenHBand="0" w:firstRowFirstColumn="0" w:firstRowLastColumn="0" w:lastRowFirstColumn="0" w:lastRowLastColumn="0"/>
            <w:tcW w:w="10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C5FD0DA" w14:textId="54F2F5C4">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c>
          <w:tcPr>
            <w:cnfStyle w:val="000000000000" w:firstRow="0" w:lastRow="0" w:firstColumn="0" w:lastColumn="0" w:oddVBand="0" w:evenVBand="0" w:oddHBand="0" w:evenHBand="0" w:firstRowFirstColumn="0" w:firstRowLastColumn="0" w:lastRowFirstColumn="0" w:lastRowLastColumn="0"/>
            <w:tcW w:w="150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60564061" w14:textId="6AD8FB44">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IT Security</w:t>
            </w:r>
          </w:p>
        </w:tc>
        <w:tc>
          <w:tcPr>
            <w:cnfStyle w:val="000000000000" w:firstRow="0" w:lastRow="0" w:firstColumn="0" w:lastColumn="0" w:oddVBand="0" w:evenVBand="0" w:oddHBand="0" w:evenHBand="0" w:firstRowFirstColumn="0" w:firstRowLastColumn="0" w:lastRowFirstColumn="0" w:lastRowLastColumn="0"/>
            <w:tcW w:w="214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2136065" w14:textId="7DBE5112">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MFA, Zero Trust, endpoint management</w:t>
            </w:r>
          </w:p>
        </w:tc>
      </w:tr>
      <w:tr w:rsidR="6CFD0B30" w:rsidTr="70718A41" w14:paraId="0E96790C">
        <w:trPr>
          <w:trHeight w:val="255"/>
        </w:trPr>
        <w:tc>
          <w:tcPr>
            <w:cnfStyle w:val="001000000000" w:firstRow="0" w:lastRow="0" w:firstColumn="1" w:lastColumn="0" w:oddVBand="0" w:evenVBand="0" w:oddHBand="0" w:evenHBand="0" w:firstRowFirstColumn="0" w:firstRowLastColumn="0" w:lastRowFirstColumn="0" w:lastRowLastColumn="0"/>
            <w:tcW w:w="10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50BAA0B" w14:textId="04DC05CD">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R-04</w:t>
            </w:r>
          </w:p>
        </w:tc>
        <w:tc>
          <w:tcPr>
            <w:cnfStyle w:val="000000000000" w:firstRow="0" w:lastRow="0" w:firstColumn="0" w:lastColumn="0" w:oddVBand="0" w:evenVBand="0" w:oddHBand="0" w:evenHBand="0" w:firstRowFirstColumn="0" w:firstRowLastColumn="0" w:lastRowFirstColumn="0" w:lastRowLastColumn="0"/>
            <w:tcW w:w="270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0A0B73B" w14:textId="11F6CD4B">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GDPR non-compliance</w:t>
            </w:r>
          </w:p>
        </w:tc>
        <w:tc>
          <w:tcPr>
            <w:cnfStyle w:val="000000000000" w:firstRow="0" w:lastRow="0" w:firstColumn="0" w:lastColumn="0" w:oddVBand="0" w:evenVBand="0" w:oddHBand="0" w:evenHBand="0" w:firstRowFirstColumn="0" w:firstRowLastColumn="0" w:lastRowFirstColumn="0" w:lastRowLastColumn="0"/>
            <w:tcW w:w="111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DBAB330" w14:textId="054CA3F9">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Medium</w:t>
            </w:r>
          </w:p>
        </w:tc>
        <w:tc>
          <w:tcPr>
            <w:cnfStyle w:val="000000000000" w:firstRow="0" w:lastRow="0" w:firstColumn="0" w:lastColumn="0" w:oddVBand="0" w:evenVBand="0" w:oddHBand="0" w:evenHBand="0" w:firstRowFirstColumn="0" w:firstRowLastColumn="0" w:lastRowFirstColumn="0" w:lastRowLastColumn="0"/>
            <w:tcW w:w="10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AF55B05" w14:textId="7ECAA7BF">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c>
          <w:tcPr>
            <w:cnfStyle w:val="000000000000" w:firstRow="0" w:lastRow="0" w:firstColumn="0" w:lastColumn="0" w:oddVBand="0" w:evenVBand="0" w:oddHBand="0" w:evenHBand="0" w:firstRowFirstColumn="0" w:firstRowLastColumn="0" w:lastRowFirstColumn="0" w:lastRowLastColumn="0"/>
            <w:tcW w:w="150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0E38E0F1" w14:textId="7FBF30C0">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Compliance Team</w:t>
            </w:r>
          </w:p>
        </w:tc>
        <w:tc>
          <w:tcPr>
            <w:cnfStyle w:val="000000000000" w:firstRow="0" w:lastRow="0" w:firstColumn="0" w:lastColumn="0" w:oddVBand="0" w:evenVBand="0" w:oddHBand="0" w:evenHBand="0" w:firstRowFirstColumn="0" w:firstRowLastColumn="0" w:lastRowFirstColumn="0" w:lastRowLastColumn="0"/>
            <w:tcW w:w="214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2733A24" w14:textId="0CB85E67">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GDPR audit, DPIA process</w:t>
            </w:r>
          </w:p>
        </w:tc>
      </w:tr>
      <w:tr w:rsidR="6CFD0B30" w:rsidTr="70718A41" w14:paraId="567ECFE2">
        <w:trPr>
          <w:trHeight w:val="480"/>
        </w:trPr>
        <w:tc>
          <w:tcPr>
            <w:cnfStyle w:val="001000000000" w:firstRow="0" w:lastRow="0" w:firstColumn="1" w:lastColumn="0" w:oddVBand="0" w:evenVBand="0" w:oddHBand="0" w:evenHBand="0" w:firstRowFirstColumn="0" w:firstRowLastColumn="0" w:lastRowFirstColumn="0" w:lastRowLastColumn="0"/>
            <w:tcW w:w="10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7B99465" w14:textId="0A795182">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R-05</w:t>
            </w:r>
          </w:p>
        </w:tc>
        <w:tc>
          <w:tcPr>
            <w:cnfStyle w:val="000000000000" w:firstRow="0" w:lastRow="0" w:firstColumn="0" w:lastColumn="0" w:oddVBand="0" w:evenVBand="0" w:oddHBand="0" w:evenHBand="0" w:firstRowFirstColumn="0" w:firstRowLastColumn="0" w:lastRowFirstColumn="0" w:lastRowLastColumn="0"/>
            <w:tcW w:w="270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2A28DBD" w14:textId="15279CE7">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AI model data misuse</w:t>
            </w:r>
          </w:p>
        </w:tc>
        <w:tc>
          <w:tcPr>
            <w:cnfStyle w:val="000000000000" w:firstRow="0" w:lastRow="0" w:firstColumn="0" w:lastColumn="0" w:oddVBand="0" w:evenVBand="0" w:oddHBand="0" w:evenHBand="0" w:firstRowFirstColumn="0" w:firstRowLastColumn="0" w:lastRowFirstColumn="0" w:lastRowLastColumn="0"/>
            <w:tcW w:w="111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C0C4415" w14:textId="62790C50">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Medium</w:t>
            </w:r>
          </w:p>
        </w:tc>
        <w:tc>
          <w:tcPr>
            <w:cnfStyle w:val="000000000000" w:firstRow="0" w:lastRow="0" w:firstColumn="0" w:lastColumn="0" w:oddVBand="0" w:evenVBand="0" w:oddHBand="0" w:evenHBand="0" w:firstRowFirstColumn="0" w:firstRowLastColumn="0" w:lastRowFirstColumn="0" w:lastRowLastColumn="0"/>
            <w:tcW w:w="103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4CBC05A0" w14:textId="4B960B8C">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Medium</w:t>
            </w:r>
          </w:p>
        </w:tc>
        <w:tc>
          <w:tcPr>
            <w:cnfStyle w:val="000000000000" w:firstRow="0" w:lastRow="0" w:firstColumn="0" w:lastColumn="0" w:oddVBand="0" w:evenVBand="0" w:oddHBand="0" w:evenHBand="0" w:firstRowFirstColumn="0" w:firstRowLastColumn="0" w:lastRowFirstColumn="0" w:lastRowLastColumn="0"/>
            <w:tcW w:w="150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E0A1FF9" w14:textId="44F6FCFA">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CISO</w:t>
            </w:r>
          </w:p>
        </w:tc>
        <w:tc>
          <w:tcPr>
            <w:cnfStyle w:val="000000000000" w:firstRow="0" w:lastRow="0" w:firstColumn="0" w:lastColumn="0" w:oddVBand="0" w:evenVBand="0" w:oddHBand="0" w:evenHBand="0" w:firstRowFirstColumn="0" w:firstRowLastColumn="0" w:lastRowFirstColumn="0" w:lastRowLastColumn="0"/>
            <w:tcW w:w="214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4E8342A" w14:textId="7CC8FDBB">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AI governance policy, data minimisation</w:t>
            </w:r>
          </w:p>
        </w:tc>
      </w:tr>
    </w:tbl>
    <w:p xmlns:wp14="http://schemas.microsoft.com/office/word/2010/wordml" w:rsidP="70718A41" wp14:paraId="128C863F" wp14:textId="36AE5344">
      <w:pPr>
        <w:bidi w:val="0"/>
        <w:spacing w:before="0" w:beforeAutospacing="off" w:after="0" w:afterAutospacing="off"/>
        <w:jc w:val="center"/>
        <w:rPr>
          <w:rFonts w:ascii="Calibri" w:hAnsi="Calibri" w:eastAsia="Calibri" w:cs="Calibri"/>
          <w:i w:val="1"/>
          <w:iCs w:val="1"/>
          <w:noProof w:val="0"/>
          <w:color w:val="auto"/>
          <w:sz w:val="22"/>
          <w:szCs w:val="22"/>
          <w:lang w:val="en-GB"/>
        </w:rPr>
      </w:pPr>
      <w:r w:rsidRPr="70718A41" w:rsidR="3ACFA967">
        <w:rPr>
          <w:rFonts w:ascii="Calibri" w:hAnsi="Calibri" w:eastAsia="Calibri" w:cs="Calibri"/>
          <w:i w:val="1"/>
          <w:iCs w:val="1"/>
          <w:noProof w:val="0"/>
          <w:color w:val="auto"/>
          <w:sz w:val="22"/>
          <w:szCs w:val="22"/>
          <w:lang w:val="en-GB"/>
        </w:rPr>
        <w:t xml:space="preserve">Table 3. Risk Register </w:t>
      </w:r>
      <w:r>
        <w:br/>
      </w:r>
    </w:p>
    <w:tbl>
      <w:tblPr>
        <w:tblStyle w:val="GridTable1Light"/>
        <w:bidiVisual w:val="0"/>
        <w:tblW w:w="0" w:type="auto"/>
        <w:tblLook w:val="04A0" w:firstRow="1" w:lastRow="0" w:firstColumn="1" w:lastColumn="0" w:noHBand="0" w:noVBand="1"/>
      </w:tblPr>
      <w:tblGrid>
        <w:gridCol w:w="2550"/>
        <w:gridCol w:w="2040"/>
        <w:gridCol w:w="2040"/>
        <w:gridCol w:w="2895"/>
      </w:tblGrid>
      <w:tr w:rsidR="6CFD0B30" w:rsidTr="70718A41" w14:paraId="3A63F774">
        <w:trPr>
          <w:trHeight w:val="270"/>
        </w:trPr>
        <w:tc>
          <w:tcPr>
            <w:cnfStyle w:val="001000000000" w:firstRow="0" w:lastRow="0" w:firstColumn="1" w:lastColumn="0" w:oddVBand="0" w:evenVBand="0" w:oddHBand="0" w:evenHBand="0" w:firstRowFirstColumn="0" w:firstRowLastColumn="0" w:lastRowFirstColumn="0" w:lastRowLastColumn="0"/>
            <w:tcW w:w="255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30FF7B44" w14:textId="3D81035F">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Likelihood \ Impact</w:t>
            </w:r>
          </w:p>
        </w:tc>
        <w:tc>
          <w:tcPr>
            <w:cnfStyle w:val="000000000000" w:firstRow="0" w:lastRow="0" w:firstColumn="0" w:lastColumn="0" w:oddVBand="0" w:evenVBand="0" w:oddHBand="0" w:evenHBand="0" w:firstRowFirstColumn="0" w:firstRowLastColumn="0" w:lastRowFirstColumn="0" w:lastRowLastColumn="0"/>
            <w:tcW w:w="204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24C47E6D" w14:textId="5C53852F">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Low</w:t>
            </w:r>
          </w:p>
        </w:tc>
        <w:tc>
          <w:tcPr>
            <w:cnfStyle w:val="000000000000" w:firstRow="0" w:lastRow="0" w:firstColumn="0" w:lastColumn="0" w:oddVBand="0" w:evenVBand="0" w:oddHBand="0" w:evenHBand="0" w:firstRowFirstColumn="0" w:firstRowLastColumn="0" w:lastRowFirstColumn="0" w:lastRowLastColumn="0"/>
            <w:tcW w:w="2040"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68FC3682" w14:textId="21A0A849">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Medium</w:t>
            </w:r>
          </w:p>
        </w:tc>
        <w:tc>
          <w:tcPr>
            <w:cnfStyle w:val="000000000000" w:firstRow="0" w:lastRow="0" w:firstColumn="0" w:lastColumn="0" w:oddVBand="0" w:evenVBand="0" w:oddHBand="0" w:evenHBand="0" w:firstRowFirstColumn="0" w:firstRowLastColumn="0" w:lastRowFirstColumn="0" w:lastRowLastColumn="0"/>
            <w:tcW w:w="2895" w:type="dxa"/>
            <w:tcBorders>
              <w:top w:val="single" w:color="999999" w:sz="8"/>
              <w:left w:val="single" w:color="999999" w:sz="8"/>
              <w:bottom w:val="single" w:color="666666" w:sz="12"/>
              <w:right w:val="single" w:color="999999" w:sz="8"/>
            </w:tcBorders>
            <w:tcMar>
              <w:left w:w="108" w:type="dxa"/>
              <w:right w:w="108" w:type="dxa"/>
            </w:tcMar>
            <w:vAlign w:val="top"/>
          </w:tcPr>
          <w:p w:rsidR="6CFD0B30" w:rsidP="70718A41" w:rsidRDefault="6CFD0B30" w14:paraId="636D48D8" w14:textId="349B2170">
            <w:pPr>
              <w:bidi w:val="0"/>
              <w:spacing w:before="0" w:beforeAutospacing="off" w:after="0" w:afterAutospacing="off"/>
              <w:jc w:val="both"/>
              <w:rPr>
                <w:rFonts w:ascii="Calibri" w:hAnsi="Calibri" w:eastAsia="Calibri" w:cs="Calibri"/>
                <w:b w:val="1"/>
                <w:bCs w:val="1"/>
                <w:color w:val="auto"/>
                <w:sz w:val="18"/>
                <w:szCs w:val="18"/>
              </w:rPr>
            </w:pPr>
            <w:r w:rsidRPr="70718A41" w:rsidR="6CFD0B30">
              <w:rPr>
                <w:rFonts w:ascii="Calibri" w:hAnsi="Calibri" w:eastAsia="Calibri" w:cs="Calibri"/>
                <w:b w:val="1"/>
                <w:bCs w:val="1"/>
                <w:color w:val="auto"/>
                <w:sz w:val="18"/>
                <w:szCs w:val="18"/>
              </w:rPr>
              <w:t>High</w:t>
            </w:r>
          </w:p>
        </w:tc>
      </w:tr>
      <w:tr w:rsidR="6CFD0B30" w:rsidTr="70718A41" w14:paraId="02E89B91">
        <w:trPr>
          <w:trHeight w:val="270"/>
        </w:trPr>
        <w:tc>
          <w:tcPr>
            <w:cnfStyle w:val="001000000000" w:firstRow="0" w:lastRow="0" w:firstColumn="1" w:lastColumn="0" w:oddVBand="0" w:evenVBand="0" w:oddHBand="0" w:evenHBand="0" w:firstRowFirstColumn="0" w:firstRowLastColumn="0" w:lastRowFirstColumn="0" w:lastRowLastColumn="0"/>
            <w:tcW w:w="255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44CBA52B" w14:textId="7F86B696">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c>
          <w:tcPr>
            <w:cnfStyle w:val="000000000000" w:firstRow="0" w:lastRow="0" w:firstColumn="0" w:lastColumn="0" w:oddVBand="0" w:evenVBand="0" w:oddHBand="0" w:evenHBand="0" w:firstRowFirstColumn="0" w:firstRowLastColumn="0" w:lastRowFirstColumn="0" w:lastRowLastColumn="0"/>
            <w:tcW w:w="204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00D097C2" w14:textId="47446220">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Medium</w:t>
            </w:r>
          </w:p>
        </w:tc>
        <w:tc>
          <w:tcPr>
            <w:cnfStyle w:val="000000000000" w:firstRow="0" w:lastRow="0" w:firstColumn="0" w:lastColumn="0" w:oddVBand="0" w:evenVBand="0" w:oddHBand="0" w:evenHBand="0" w:firstRowFirstColumn="0" w:firstRowLastColumn="0" w:lastRowFirstColumn="0" w:lastRowLastColumn="0"/>
            <w:tcW w:w="2040"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3F446EC0" w14:textId="0ECF8B20">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w:t>
            </w:r>
          </w:p>
        </w:tc>
        <w:tc>
          <w:tcPr>
            <w:cnfStyle w:val="000000000000" w:firstRow="0" w:lastRow="0" w:firstColumn="0" w:lastColumn="0" w:oddVBand="0" w:evenVBand="0" w:oddHBand="0" w:evenHBand="0" w:firstRowFirstColumn="0" w:firstRowLastColumn="0" w:lastRowFirstColumn="0" w:lastRowLastColumn="0"/>
            <w:tcW w:w="2895" w:type="dxa"/>
            <w:tcBorders>
              <w:top w:val="single" w:color="666666" w:sz="12"/>
              <w:left w:val="single" w:color="999999" w:sz="8"/>
              <w:bottom w:val="single" w:color="999999" w:sz="8"/>
              <w:right w:val="single" w:color="999999" w:sz="8"/>
            </w:tcBorders>
            <w:tcMar>
              <w:left w:w="108" w:type="dxa"/>
              <w:right w:w="108" w:type="dxa"/>
            </w:tcMar>
            <w:vAlign w:val="top"/>
          </w:tcPr>
          <w:p w:rsidR="6CFD0B30" w:rsidP="70718A41" w:rsidRDefault="6CFD0B30" w14:paraId="0EE9EA91" w14:textId="3B057641">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Critical (R-01, R-03)</w:t>
            </w:r>
          </w:p>
        </w:tc>
      </w:tr>
      <w:tr w:rsidR="6CFD0B30" w:rsidTr="70718A41" w14:paraId="12C2D998">
        <w:trPr>
          <w:trHeight w:val="270"/>
        </w:trPr>
        <w:tc>
          <w:tcPr>
            <w:cnfStyle w:val="001000000000" w:firstRow="0" w:lastRow="0" w:firstColumn="1" w:lastColumn="0" w:oddVBand="0" w:evenVBand="0" w:oddHBand="0" w:evenHBand="0" w:firstRowFirstColumn="0" w:firstRowLastColumn="0" w:lastRowFirstColumn="0" w:lastRowLastColumn="0"/>
            <w:tcW w:w="255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17C506A" w14:textId="62FE15E3">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Medium</w:t>
            </w:r>
          </w:p>
        </w:tc>
        <w:tc>
          <w:tcPr>
            <w:cnfStyle w:val="000000000000" w:firstRow="0" w:lastRow="0" w:firstColumn="0" w:lastColumn="0" w:oddVBand="0" w:evenVBand="0" w:oddHBand="0" w:evenHBand="0" w:firstRowFirstColumn="0" w:firstRowLastColumn="0" w:lastRowFirstColumn="0" w:lastRowLastColumn="0"/>
            <w:tcW w:w="2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AB4FDAE" w14:textId="3E69ACDB">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Low</w:t>
            </w:r>
          </w:p>
        </w:tc>
        <w:tc>
          <w:tcPr>
            <w:cnfStyle w:val="000000000000" w:firstRow="0" w:lastRow="0" w:firstColumn="0" w:lastColumn="0" w:oddVBand="0" w:evenVBand="0" w:oddHBand="0" w:evenHBand="0" w:firstRowFirstColumn="0" w:firstRowLastColumn="0" w:lastRowFirstColumn="0" w:lastRowLastColumn="0"/>
            <w:tcW w:w="2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1BED86A4" w14:textId="5AF09C10">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Medium (R-05)</w:t>
            </w:r>
          </w:p>
        </w:tc>
        <w:tc>
          <w:tcPr>
            <w:cnfStyle w:val="000000000000" w:firstRow="0" w:lastRow="0" w:firstColumn="0" w:lastColumn="0" w:oddVBand="0" w:evenVBand="0" w:oddHBand="0" w:evenHBand="0" w:firstRowFirstColumn="0" w:firstRowLastColumn="0" w:lastRowFirstColumn="0" w:lastRowLastColumn="0"/>
            <w:tcW w:w="289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FFDC9E7" w14:textId="776FD742">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High (R-02, R-04)</w:t>
            </w:r>
          </w:p>
        </w:tc>
      </w:tr>
      <w:tr w:rsidR="6CFD0B30" w:rsidTr="70718A41" w14:paraId="6A697899">
        <w:trPr>
          <w:trHeight w:val="270"/>
        </w:trPr>
        <w:tc>
          <w:tcPr>
            <w:cnfStyle w:val="001000000000" w:firstRow="0" w:lastRow="0" w:firstColumn="1" w:lastColumn="0" w:oddVBand="0" w:evenVBand="0" w:oddHBand="0" w:evenHBand="0" w:firstRowFirstColumn="0" w:firstRowLastColumn="0" w:lastRowFirstColumn="0" w:lastRowLastColumn="0"/>
            <w:tcW w:w="255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375228F1" w14:textId="727764DA">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Low</w:t>
            </w:r>
          </w:p>
        </w:tc>
        <w:tc>
          <w:tcPr>
            <w:cnfStyle w:val="000000000000" w:firstRow="0" w:lastRow="0" w:firstColumn="0" w:lastColumn="0" w:oddVBand="0" w:evenVBand="0" w:oddHBand="0" w:evenHBand="0" w:firstRowFirstColumn="0" w:firstRowLastColumn="0" w:lastRowFirstColumn="0" w:lastRowLastColumn="0"/>
            <w:tcW w:w="2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5829D774" w14:textId="4D0828E1">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Low</w:t>
            </w:r>
          </w:p>
        </w:tc>
        <w:tc>
          <w:tcPr>
            <w:cnfStyle w:val="000000000000" w:firstRow="0" w:lastRow="0" w:firstColumn="0" w:lastColumn="0" w:oddVBand="0" w:evenVBand="0" w:oddHBand="0" w:evenHBand="0" w:firstRowFirstColumn="0" w:firstRowLastColumn="0" w:lastRowFirstColumn="0" w:lastRowLastColumn="0"/>
            <w:tcW w:w="2040"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243C1199" w14:textId="2162B936">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Low</w:t>
            </w:r>
          </w:p>
        </w:tc>
        <w:tc>
          <w:tcPr>
            <w:cnfStyle w:val="000000000000" w:firstRow="0" w:lastRow="0" w:firstColumn="0" w:lastColumn="0" w:oddVBand="0" w:evenVBand="0" w:oddHBand="0" w:evenHBand="0" w:firstRowFirstColumn="0" w:firstRowLastColumn="0" w:lastRowFirstColumn="0" w:lastRowLastColumn="0"/>
            <w:tcW w:w="2895" w:type="dxa"/>
            <w:tcBorders>
              <w:top w:val="single" w:color="999999" w:sz="8"/>
              <w:left w:val="single" w:color="999999" w:sz="8"/>
              <w:bottom w:val="single" w:color="999999" w:sz="8"/>
              <w:right w:val="single" w:color="999999" w:sz="8"/>
            </w:tcBorders>
            <w:tcMar>
              <w:left w:w="108" w:type="dxa"/>
              <w:right w:w="108" w:type="dxa"/>
            </w:tcMar>
            <w:vAlign w:val="top"/>
          </w:tcPr>
          <w:p w:rsidR="6CFD0B30" w:rsidP="70718A41" w:rsidRDefault="6CFD0B30" w14:paraId="7214EC1F" w14:textId="5C0479FF">
            <w:pPr>
              <w:bidi w:val="0"/>
              <w:spacing w:before="0" w:beforeAutospacing="off" w:after="0" w:afterAutospacing="off"/>
              <w:jc w:val="both"/>
              <w:rPr>
                <w:rFonts w:ascii="Calibri" w:hAnsi="Calibri" w:eastAsia="Calibri" w:cs="Calibri"/>
                <w:color w:val="auto"/>
                <w:sz w:val="18"/>
                <w:szCs w:val="18"/>
              </w:rPr>
            </w:pPr>
            <w:r w:rsidRPr="70718A41" w:rsidR="6CFD0B30">
              <w:rPr>
                <w:rFonts w:ascii="Calibri" w:hAnsi="Calibri" w:eastAsia="Calibri" w:cs="Calibri"/>
                <w:color w:val="auto"/>
                <w:sz w:val="18"/>
                <w:szCs w:val="18"/>
              </w:rPr>
              <w:t>Medium</w:t>
            </w:r>
          </w:p>
        </w:tc>
      </w:tr>
    </w:tbl>
    <w:p xmlns:wp14="http://schemas.microsoft.com/office/word/2010/wordml" w:rsidP="70718A41" wp14:paraId="193EF8C0" wp14:textId="75E2FD0D">
      <w:pPr>
        <w:bidi w:val="0"/>
        <w:spacing w:before="0" w:beforeAutospacing="off" w:after="0" w:afterAutospacing="off"/>
        <w:jc w:val="center"/>
        <w:rPr>
          <w:rFonts w:ascii="Calibri" w:hAnsi="Calibri" w:eastAsia="Calibri" w:cs="Calibri"/>
          <w:i w:val="1"/>
          <w:iCs w:val="1"/>
          <w:noProof w:val="0"/>
          <w:color w:val="auto"/>
          <w:sz w:val="22"/>
          <w:szCs w:val="22"/>
          <w:lang w:val="en-GB"/>
        </w:rPr>
      </w:pPr>
      <w:r w:rsidRPr="70718A41" w:rsidR="3ACFA967">
        <w:rPr>
          <w:rFonts w:ascii="Calibri" w:hAnsi="Calibri" w:eastAsia="Calibri" w:cs="Calibri"/>
          <w:i w:val="1"/>
          <w:iCs w:val="1"/>
          <w:noProof w:val="0"/>
          <w:color w:val="auto"/>
          <w:sz w:val="22"/>
          <w:szCs w:val="22"/>
          <w:lang w:val="en-GB"/>
        </w:rPr>
        <w:t>Table 4. Risk Matrix (Likelihood × Impact)</w:t>
      </w:r>
    </w:p>
    <w:p xmlns:wp14="http://schemas.microsoft.com/office/word/2010/wordml" w:rsidP="70718A41" wp14:paraId="6C904F41" wp14:textId="791496A7">
      <w:pPr>
        <w:bidi w:val="0"/>
        <w:jc w:val="both"/>
        <w:rPr>
          <w:color w:val="auto"/>
        </w:rPr>
      </w:pPr>
    </w:p>
    <w:p xmlns:wp14="http://schemas.microsoft.com/office/word/2010/wordml" w:rsidP="6CFD0B30" wp14:paraId="04C1F308" wp14:textId="61D282DD">
      <w:pPr>
        <w:bidi w:val="0"/>
        <w:spacing w:before="0" w:beforeAutospacing="off" w:after="0" w:afterAutospacing="off"/>
        <w:jc w:val="both"/>
      </w:pPr>
      <w:r w:rsidRPr="70718A41" w:rsidR="3ACFA967">
        <w:rPr>
          <w:rFonts w:ascii="Calibri" w:hAnsi="Calibri" w:eastAsia="Calibri" w:cs="Calibri"/>
          <w:noProof w:val="0"/>
          <w:color w:val="auto"/>
          <w:sz w:val="26"/>
          <w:szCs w:val="26"/>
          <w:lang w:val="en-GB"/>
        </w:rPr>
        <w:t xml:space="preserve"> </w:t>
      </w:r>
    </w:p>
    <w:p xmlns:wp14="http://schemas.microsoft.com/office/word/2010/wordml" w:rsidP="70718A41" wp14:paraId="0D9B563D" wp14:textId="4C553829">
      <w:pPr>
        <w:bidi w:val="0"/>
        <w:spacing w:before="0" w:beforeAutospacing="off" w:after="0" w:afterAutospacing="off"/>
      </w:pPr>
      <w:r>
        <w:br w:type="page"/>
      </w:r>
    </w:p>
    <w:p xmlns:wp14="http://schemas.microsoft.com/office/word/2010/wordml" w:rsidP="70718A41" wp14:paraId="0417EE76" wp14:textId="6319C380">
      <w:pPr>
        <w:pStyle w:val="Normal"/>
        <w:bidi w:val="0"/>
        <w:spacing w:before="0" w:beforeAutospacing="off" w:after="0" w:afterAutospacing="off"/>
        <w:jc w:val="both"/>
        <w:rPr>
          <w:rFonts w:ascii="Calibri" w:hAnsi="Calibri" w:eastAsia="Calibri" w:cs="Calibri"/>
          <w:b w:val="0"/>
          <w:bCs w:val="0"/>
          <w:noProof w:val="0"/>
          <w:color w:val="auto"/>
          <w:sz w:val="26"/>
          <w:szCs w:val="26"/>
          <w:lang w:val="en-GB"/>
        </w:rPr>
      </w:pPr>
      <w:r w:rsidRPr="70718A41" w:rsidR="3ACFA967">
        <w:rPr>
          <w:rFonts w:ascii="Calibri" w:hAnsi="Calibri" w:eastAsia="Calibri" w:cs="Calibri"/>
          <w:b w:val="0"/>
          <w:bCs w:val="0"/>
          <w:noProof w:val="0"/>
          <w:color w:val="auto"/>
          <w:sz w:val="26"/>
          <w:szCs w:val="26"/>
          <w:lang w:val="en-GB"/>
        </w:rPr>
        <w:t>4.4 Incident Response and Continuity</w:t>
      </w:r>
    </w:p>
    <w:p xmlns:wp14="http://schemas.microsoft.com/office/word/2010/wordml" w:rsidP="70718A41" wp14:paraId="39BD15A0" wp14:textId="5073E62E">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The NIST CSF Respond function is defined in an Incident Response plan with tabletop exercises, with escalation paths to the CISO and, as required, the regulators meeting GDPR's breach notification timeframe of 72 hours and NIS2's tiered reporting times [1], [3], [10]. Business Continuity and Disaster Recovery plans create Recovery Time Objectives (RTOs) and Recovery Point Objectives (RPOs) based on ITIL's service-continuity practice [3] and NIST CSF's Recover function [5] and informed by the criticality of each system. With 88% of infrastructure third-party managed, RTO/RPO commitments need to be contractually echoed in Vendor SLAs, thus strengthening the role of Vendor Governance.</w:t>
      </w:r>
    </w:p>
    <w:p xmlns:wp14="http://schemas.microsoft.com/office/word/2010/wordml" w:rsidP="70718A41" wp14:paraId="7F238BB0" wp14:textId="002B4E0D">
      <w:pPr>
        <w:pStyle w:val="Heading2"/>
        <w:bidi w:val="0"/>
        <w:spacing w:before="260" w:beforeAutospacing="off" w:after="120" w:afterAutospacing="off"/>
        <w:jc w:val="both"/>
        <w:rPr>
          <w:rFonts w:ascii="Calibri" w:hAnsi="Calibri" w:eastAsia="Calibri" w:cs="Calibri"/>
          <w:b w:val="0"/>
          <w:bCs w:val="0"/>
          <w:noProof w:val="0"/>
          <w:color w:val="auto"/>
          <w:sz w:val="26"/>
          <w:szCs w:val="26"/>
          <w:lang w:val="en-GB"/>
        </w:rPr>
      </w:pPr>
      <w:r w:rsidRPr="70718A41" w:rsidR="3ACFA967">
        <w:rPr>
          <w:rFonts w:ascii="Calibri" w:hAnsi="Calibri" w:eastAsia="Calibri" w:cs="Calibri"/>
          <w:b w:val="0"/>
          <w:bCs w:val="0"/>
          <w:noProof w:val="0"/>
          <w:color w:val="auto"/>
          <w:sz w:val="26"/>
          <w:szCs w:val="26"/>
          <w:lang w:val="en-GB"/>
        </w:rPr>
        <w:t>4.5 Vendor Governance and Assurance</w:t>
      </w:r>
    </w:p>
    <w:p xmlns:wp14="http://schemas.microsoft.com/office/word/2010/wordml" w:rsidP="70718A41" wp14:paraId="1AC665FE" wp14:textId="7E7310F9">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766914AB">
        <w:rPr>
          <w:rFonts w:ascii="Calibri" w:hAnsi="Calibri" w:eastAsia="Calibri" w:cs="Calibri"/>
          <w:noProof w:val="0"/>
          <w:color w:val="auto"/>
          <w:sz w:val="22"/>
          <w:szCs w:val="22"/>
          <w:lang w:val="en-GB"/>
        </w:rPr>
        <w:t>The tiered model for vendor governance includes standardised security questionnaires for lower tier vendors and an annual security audit and right to audit for critical cloud vendors. Compliance mapping between ISO 27001 Annex A, NIST CSF and GDPR eliminates duplicated assurance work [1] [2] [3] and regular internal and external audits under the continual improvement clause of ISO 27001 ensure effective controls. The governance model is based on evidence, COBIT would enable accountability, Zero Trust and IAM would address threats from vendors and devices, tiered assessments would address transitive-trust threats, and continuity planning would enable business resilience [9]. The cost of setting up a Risk Committee, SOC, and Vendor Management is the primary challenge and phased implementation will be key.</w:t>
      </w:r>
    </w:p>
    <w:p xmlns:wp14="http://schemas.microsoft.com/office/word/2010/wordml" w:rsidP="70718A41" wp14:paraId="1C885BDE" wp14:textId="64B9C385">
      <w:pPr>
        <w:bidi w:val="0"/>
        <w:spacing w:before="0" w:beforeAutospacing="off" w:after="0" w:afterAutospacing="off"/>
        <w:jc w:val="left"/>
        <w:rPr>
          <w:color w:val="auto"/>
        </w:rPr>
      </w:pPr>
      <w:r w:rsidR="3ACFA967">
        <w:drawing>
          <wp:inline xmlns:wp14="http://schemas.microsoft.com/office/word/2010/wordprocessingDrawing" wp14:editId="3FB9334B" wp14:anchorId="5E4CF0A2">
            <wp:extent cx="5943600" cy="2457450"/>
            <wp:effectExtent l="0" t="0" r="0" b="0"/>
            <wp:docPr id="5537639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3763923" name="Picture 553763923"/>
                    <pic:cNvPicPr/>
                  </pic:nvPicPr>
                  <pic:blipFill>
                    <a:blip xmlns:r="http://schemas.openxmlformats.org/officeDocument/2006/relationships" r:embed="rId1653604115">
                      <a:extLst>
                        <a:ext uri="{28A0092B-C50C-407E-A947-70E740481C1C}">
                          <a14:useLocalDpi xmlns:a14="http://schemas.microsoft.com/office/drawing/2010/main"/>
                        </a:ext>
                      </a:extLst>
                    </a:blip>
                    <a:stretch>
                      <a:fillRect/>
                    </a:stretch>
                  </pic:blipFill>
                  <pic:spPr>
                    <a:xfrm>
                      <a:off x="0" y="0"/>
                      <a:ext cx="5943600" cy="2457450"/>
                    </a:xfrm>
                    <a:prstGeom prst="rect">
                      <a:avLst/>
                    </a:prstGeom>
                  </pic:spPr>
                </pic:pic>
              </a:graphicData>
            </a:graphic>
          </wp:inline>
        </w:drawing>
      </w:r>
    </w:p>
    <w:p xmlns:wp14="http://schemas.microsoft.com/office/word/2010/wordml" w:rsidP="70718A41" wp14:paraId="763EEB7B" wp14:textId="09219AAC">
      <w:pPr>
        <w:bidi w:val="0"/>
        <w:spacing w:before="0" w:beforeAutospacing="off" w:after="0" w:afterAutospacing="off"/>
        <w:ind w:left="720"/>
        <w:jc w:val="center"/>
        <w:rPr>
          <w:rFonts w:ascii="Calibri" w:hAnsi="Calibri" w:eastAsia="Calibri" w:cs="Calibri"/>
          <w:i w:val="1"/>
          <w:iCs w:val="1"/>
          <w:noProof w:val="0"/>
          <w:color w:val="auto"/>
          <w:sz w:val="18"/>
          <w:szCs w:val="18"/>
          <w:lang w:val="en-GB"/>
        </w:rPr>
      </w:pPr>
      <w:r w:rsidRPr="70718A41" w:rsidR="3ACFA967">
        <w:rPr>
          <w:rFonts w:ascii="Calibri" w:hAnsi="Calibri" w:eastAsia="Calibri" w:cs="Calibri"/>
          <w:i w:val="1"/>
          <w:iCs w:val="1"/>
          <w:noProof w:val="0"/>
          <w:color w:val="auto"/>
          <w:sz w:val="18"/>
          <w:szCs w:val="18"/>
          <w:lang w:val="en-GB"/>
        </w:rPr>
        <w:t>Figure 4. AISGM Implementation Roadmap — phased delivery from foundational governance to continuous improvement.</w:t>
      </w:r>
    </w:p>
    <w:p xmlns:wp14="http://schemas.microsoft.com/office/word/2010/wordml" w:rsidP="70718A41" wp14:paraId="4BB48CDF" wp14:textId="57D94AB3">
      <w:pPr>
        <w:bidi w:val="0"/>
        <w:jc w:val="both"/>
        <w:rPr>
          <w:color w:val="auto"/>
        </w:rPr>
      </w:pPr>
    </w:p>
    <w:p xmlns:wp14="http://schemas.microsoft.com/office/word/2010/wordml" w:rsidP="70718A41" wp14:paraId="3137DF3B" wp14:textId="433C1A35">
      <w:pPr>
        <w:bidi w:val="0"/>
        <w:spacing w:before="0" w:beforeAutospacing="off" w:after="0" w:afterAutospacing="off"/>
        <w:jc w:val="both"/>
        <w:rPr>
          <w:rFonts w:ascii="Calibri" w:hAnsi="Calibri" w:eastAsia="Calibri" w:cs="Calibri"/>
          <w:noProof w:val="0"/>
          <w:color w:val="auto"/>
          <w:sz w:val="32"/>
          <w:szCs w:val="32"/>
          <w:lang w:val="en-GB"/>
        </w:rPr>
      </w:pPr>
      <w:r w:rsidRPr="70718A41" w:rsidR="3ACFA967">
        <w:rPr>
          <w:rFonts w:ascii="Calibri" w:hAnsi="Calibri" w:eastAsia="Calibri" w:cs="Calibri"/>
          <w:noProof w:val="0"/>
          <w:color w:val="auto"/>
          <w:sz w:val="32"/>
          <w:szCs w:val="32"/>
          <w:lang w:val="en-GB"/>
        </w:rPr>
        <w:t xml:space="preserve"> </w:t>
      </w:r>
    </w:p>
    <w:p xmlns:wp14="http://schemas.microsoft.com/office/word/2010/wordml" w:rsidP="70718A41" wp14:paraId="2EC34A5E" wp14:textId="0FA31D6B">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p>
    <w:p xmlns:wp14="http://schemas.microsoft.com/office/word/2010/wordml" w:rsidP="70718A41" wp14:paraId="11E0C0D4" wp14:textId="7BA1ABEB">
      <w:pPr>
        <w:rPr>
          <w:color w:val="auto"/>
        </w:rPr>
      </w:pPr>
      <w:r w:rsidRPr="70718A41">
        <w:rPr>
          <w:color w:val="auto"/>
        </w:rPr>
        <w:br w:type="page"/>
      </w:r>
    </w:p>
    <w:p xmlns:wp14="http://schemas.microsoft.com/office/word/2010/wordml" w:rsidP="70718A41" wp14:paraId="7056AE60" wp14:textId="45B4FCAE">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5. Critical Discussion</w:t>
      </w:r>
    </w:p>
    <w:p xmlns:wp14="http://schemas.microsoft.com/office/word/2010/wordml" w:rsidP="70718A41" wp14:paraId="233B2599" wp14:textId="6A4B94A3">
      <w:pPr>
        <w:pStyle w:val="Normal"/>
        <w:bidi w:val="0"/>
        <w:spacing w:before="0" w:beforeAutospacing="off" w:after="0" w:afterAutospacing="off"/>
        <w:jc w:val="both"/>
        <w:rPr>
          <w:rFonts w:ascii="Calibri" w:hAnsi="Calibri" w:eastAsia="Calibri" w:cs="Calibri"/>
          <w:noProof w:val="0"/>
          <w:color w:val="auto"/>
          <w:sz w:val="22"/>
          <w:szCs w:val="22"/>
          <w:lang w:val="en-GB"/>
        </w:rPr>
      </w:pPr>
      <w:r w:rsidRPr="70718A41" w:rsidR="768832CF">
        <w:rPr>
          <w:rFonts w:ascii="Calibri" w:hAnsi="Calibri" w:eastAsia="Calibri" w:cs="Calibri"/>
          <w:noProof w:val="0"/>
          <w:color w:val="auto"/>
          <w:sz w:val="22"/>
          <w:szCs w:val="22"/>
          <w:lang w:val="en-GB"/>
        </w:rPr>
        <w:t>Security frameworks need to be constantly evolving as threats and regulations do. AI is both enhancing the functioning of AeroLink and creating opportunities for the attack surface via AI, cloud, and supply chain threats [7] [16]. The use of post quantum cryptography (PQC) is suggested to secure long-term data from “harvest now, decrypt later” (HNDL) attacks [17] [18] by NIST and the UK National Cyber Security Centre. Ransomware, supply chain attacks and third party compromise are still significant threats and third party governance is vital [3] [19]. The shared responsibilities change constantly and thus cloud security needs to be reviewed constantly. In the meantime, NIS2 enhances cybersecurity governance, DORA specifies the requirements for reportable incidents, and GDPR does not have any mandatory auditing [1] [10] [20]. The ISO/IEC 27001:2022 and NIST CSF 2.0 updates address modern cloud, AI and supply-chain risks [2] [3]. AISGM promotes continuous improvement, which allows AeroLink's governance to stay current with new technologies, threats and regulations.</w:t>
      </w:r>
    </w:p>
    <w:p xmlns:wp14="http://schemas.microsoft.com/office/word/2010/wordml" w:rsidP="70718A41" wp14:paraId="7CC23319" wp14:textId="1B58D461">
      <w:pPr>
        <w:bidi w:val="0"/>
        <w:jc w:val="both"/>
        <w:rPr>
          <w:color w:val="auto"/>
        </w:rPr>
      </w:pPr>
    </w:p>
    <w:p xmlns:wp14="http://schemas.microsoft.com/office/word/2010/wordml" w:rsidP="70718A41" wp14:paraId="19745177" wp14:textId="5EDA83CD">
      <w:pPr>
        <w:bidi w:val="0"/>
        <w:spacing w:before="0" w:beforeAutospacing="off" w:after="0" w:afterAutospacing="off"/>
        <w:jc w:val="both"/>
        <w:rPr>
          <w:rFonts w:ascii="Calibri" w:hAnsi="Calibri" w:eastAsia="Calibri" w:cs="Calibri"/>
          <w:noProof w:val="0"/>
          <w:color w:val="auto"/>
          <w:sz w:val="32"/>
          <w:szCs w:val="32"/>
          <w:lang w:val="en-GB"/>
        </w:rPr>
      </w:pPr>
      <w:r w:rsidRPr="70718A41" w:rsidR="3ACFA967">
        <w:rPr>
          <w:rFonts w:ascii="Calibri" w:hAnsi="Calibri" w:eastAsia="Calibri" w:cs="Calibri"/>
          <w:noProof w:val="0"/>
          <w:color w:val="auto"/>
          <w:sz w:val="32"/>
          <w:szCs w:val="32"/>
          <w:lang w:val="en-GB"/>
        </w:rPr>
        <w:t xml:space="preserve"> </w:t>
      </w:r>
    </w:p>
    <w:p xmlns:wp14="http://schemas.microsoft.com/office/word/2010/wordml" w:rsidP="70718A41" wp14:paraId="1F2F40CF" wp14:textId="17C19840">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p>
    <w:p xmlns:wp14="http://schemas.microsoft.com/office/word/2010/wordml" w:rsidP="70718A41" wp14:paraId="600D1E19" wp14:textId="239DE59D">
      <w:pPr>
        <w:rPr>
          <w:color w:val="auto"/>
        </w:rPr>
      </w:pPr>
      <w:r w:rsidRPr="70718A41">
        <w:rPr>
          <w:color w:val="auto"/>
        </w:rPr>
        <w:br w:type="page"/>
      </w:r>
    </w:p>
    <w:p xmlns:wp14="http://schemas.microsoft.com/office/word/2010/wordml" w:rsidP="70718A41" wp14:paraId="0E8C6220" wp14:textId="5C8BF9D2">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6. Assumptions</w:t>
      </w:r>
    </w:p>
    <w:p xmlns:wp14="http://schemas.microsoft.com/office/word/2010/wordml" w:rsidP="70718A41" wp14:paraId="27D81387" wp14:textId="29D54806">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The report assumes AeroLink has enough board-level commitment and budget to resource a CISO role, the existing vendor contracts can be negotiated to contain security clauses, and the data flows in AeroLink are largely EU/UK relevant in the context of GDPR, and that no other undisclosed breaches or regulatory audits exist beyond those mentioned in the case scenario.</w:t>
      </w:r>
    </w:p>
    <w:p xmlns:wp14="http://schemas.microsoft.com/office/word/2010/wordml" w:rsidP="70718A41" wp14:paraId="0FEAA860" wp14:textId="62F1F6FF">
      <w:pPr>
        <w:bidi w:val="0"/>
        <w:jc w:val="both"/>
        <w:rPr>
          <w:color w:val="auto"/>
        </w:rPr>
      </w:pPr>
    </w:p>
    <w:p xmlns:wp14="http://schemas.microsoft.com/office/word/2010/wordml" w:rsidP="70718A41" wp14:paraId="3FC494D1" wp14:textId="27F4F32A">
      <w:pPr>
        <w:bidi w:val="0"/>
        <w:spacing w:before="0" w:beforeAutospacing="off" w:after="0" w:afterAutospacing="off"/>
        <w:jc w:val="both"/>
        <w:rPr>
          <w:rFonts w:ascii="Calibri" w:hAnsi="Calibri" w:eastAsia="Calibri" w:cs="Calibri"/>
          <w:noProof w:val="0"/>
          <w:color w:val="auto"/>
          <w:sz w:val="32"/>
          <w:szCs w:val="32"/>
          <w:lang w:val="en-GB"/>
        </w:rPr>
      </w:pPr>
      <w:r w:rsidRPr="70718A41" w:rsidR="3ACFA967">
        <w:rPr>
          <w:rFonts w:ascii="Calibri" w:hAnsi="Calibri" w:eastAsia="Calibri" w:cs="Calibri"/>
          <w:noProof w:val="0"/>
          <w:color w:val="auto"/>
          <w:sz w:val="32"/>
          <w:szCs w:val="32"/>
          <w:lang w:val="en-GB"/>
        </w:rPr>
        <w:t xml:space="preserve"> </w:t>
      </w:r>
    </w:p>
    <w:p xmlns:wp14="http://schemas.microsoft.com/office/word/2010/wordml" w:rsidP="70718A41" wp14:paraId="10A6C562" wp14:textId="514228C8">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p>
    <w:p xmlns:wp14="http://schemas.microsoft.com/office/word/2010/wordml" w:rsidP="70718A41" wp14:paraId="3163D260" wp14:textId="48CE0B6B">
      <w:pPr>
        <w:rPr>
          <w:color w:val="auto"/>
        </w:rPr>
      </w:pPr>
      <w:r w:rsidRPr="70718A41">
        <w:rPr>
          <w:color w:val="auto"/>
        </w:rPr>
        <w:br w:type="page"/>
      </w:r>
    </w:p>
    <w:p xmlns:wp14="http://schemas.microsoft.com/office/word/2010/wordml" w:rsidP="70718A41" wp14:paraId="6DC9FC02" wp14:textId="2CCADE29">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7. Conclusion</w:t>
      </w:r>
    </w:p>
    <w:p xmlns:wp14="http://schemas.microsoft.com/office/word/2010/wordml" w:rsidP="70718A41" wp14:paraId="23877663" wp14:textId="2C363EEE">
      <w:pPr>
        <w:bidi w:val="0"/>
        <w:spacing w:before="0" w:beforeAutospacing="off" w:after="0" w:afterAutospacing="off"/>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This report has revealed that AeroLink Logistics' governance shortcomings are not due to a lack of existing frameworks, but because there is no unified framework that is appropriate for a cloud first, AI based, highly outsourced logistics model. None of these individual solutions, such as ISO/IEC 27001:2022, NIST CSF 2.0, COBIT 2019, and ITIL 4, addresses AeroLink's compounding problems. This proposed AeroLink Integrated Security Governance Model (AISGM) combines these strengths into a Board-oriented governance framework, a Zero Trust security risk and control framework, and an operationally embedded assurance framework to directly address the documented weaknesses in the case, including vendor governance, encryption, incident response and continuity. Implementation would bring clear business value in terms of lower breach exposure, proof of compliance with regulations and greater trust in customer base that is more demanding for contractual guarantees. Future enhancements could introduce additional capabilities, such as the resilience to post-quantum cryptographic attacks and formalized AI governance, as these threats become more significant, keeping the model relevant with AeroLink's ongoing threat evolution.</w:t>
      </w:r>
      <w:r>
        <w:br/>
      </w:r>
      <w:r w:rsidRPr="70718A41" w:rsidR="3ACFA967">
        <w:rPr>
          <w:rFonts w:ascii="Calibri" w:hAnsi="Calibri" w:eastAsia="Calibri" w:cs="Calibri"/>
          <w:noProof w:val="0"/>
          <w:color w:val="auto"/>
          <w:sz w:val="22"/>
          <w:szCs w:val="22"/>
          <w:lang w:val="en-GB"/>
        </w:rPr>
        <w:t xml:space="preserve"> </w:t>
      </w:r>
    </w:p>
    <w:p xmlns:wp14="http://schemas.microsoft.com/office/word/2010/wordml" w:rsidP="70718A41" wp14:paraId="1717C456" wp14:textId="0DDFAA5B">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p>
    <w:p xmlns:wp14="http://schemas.microsoft.com/office/word/2010/wordml" w:rsidP="70718A41" wp14:paraId="0FCEB4C9" wp14:textId="4BCFD89D">
      <w:pPr>
        <w:rPr>
          <w:color w:val="auto"/>
        </w:rPr>
      </w:pPr>
      <w:r w:rsidRPr="70718A41">
        <w:rPr>
          <w:color w:val="auto"/>
        </w:rPr>
        <w:br w:type="page"/>
      </w:r>
    </w:p>
    <w:p xmlns:wp14="http://schemas.microsoft.com/office/word/2010/wordml" w:rsidP="70718A41" wp14:paraId="2CEA5D75" wp14:textId="40C67FAF">
      <w:pPr>
        <w:pStyle w:val="Heading1"/>
        <w:bidi w:val="0"/>
        <w:spacing w:before="320" w:beforeAutospacing="off" w:after="160" w:afterAutospacing="off"/>
        <w:jc w:val="both"/>
        <w:rPr>
          <w:rFonts w:ascii="Calibri" w:hAnsi="Calibri" w:eastAsia="Calibri" w:cs="Calibri"/>
          <w:b w:val="0"/>
          <w:bCs w:val="0"/>
          <w:noProof w:val="0"/>
          <w:color w:val="auto"/>
          <w:sz w:val="32"/>
          <w:szCs w:val="32"/>
          <w:lang w:val="en-GB"/>
        </w:rPr>
      </w:pPr>
      <w:r w:rsidRPr="70718A41" w:rsidR="3ACFA967">
        <w:rPr>
          <w:rFonts w:ascii="Calibri" w:hAnsi="Calibri" w:eastAsia="Calibri" w:cs="Calibri"/>
          <w:b w:val="0"/>
          <w:bCs w:val="0"/>
          <w:noProof w:val="0"/>
          <w:color w:val="auto"/>
          <w:sz w:val="32"/>
          <w:szCs w:val="32"/>
          <w:lang w:val="en-GB"/>
        </w:rPr>
        <w:t>References</w:t>
      </w:r>
    </w:p>
    <w:p xmlns:wp14="http://schemas.microsoft.com/office/word/2010/wordml" w:rsidP="70718A41" wp14:paraId="20584B0E" wp14:textId="4DA0D7FE">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 European Parliament and Council of the European Union, "Regulation (EU) 2016/679 (General Data Protection Regulation)," Official Journal of the European Union, L119, 2016.</w:t>
      </w:r>
    </w:p>
    <w:p xmlns:wp14="http://schemas.microsoft.com/office/word/2010/wordml" w:rsidP="70718A41" wp14:paraId="2AB8C9F6" wp14:textId="23CB39C6">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[2] International Organization for Standardization and International Electrotechnical Commission, ISO/IEC 27001:2022 — Information security, cybersecurity and privacy protection — Information security management systems — Requirements. Geneva, Switzerland: ISO/IEC, 2022.</w:t>
      </w:r>
    </w:p>
    <w:p xmlns:wp14="http://schemas.microsoft.com/office/word/2010/wordml" w:rsidP="70718A41" wp14:paraId="00320BF2" wp14:textId="0D3F24CB">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[3] National Institute of Standards and Technology, "The NIST Cybersecurity Framework (CSF) 2.0," NIST Cybersecurity White Paper (CSWP) 29, Gaithersburg, MD, USA, Feb. 2024. doi: 10.6028/NIST.CSWP.29.</w:t>
      </w:r>
    </w:p>
    <w:p xmlns:wp14="http://schemas.microsoft.com/office/word/2010/wordml" w:rsidP="70718A41" wp14:paraId="2B5CF4FB" wp14:textId="15B914CB">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[4] ISACA, COBIT 2019 Framework: Governance and Management Objectives. Schaumburg, IL, USA: ISACA, 2018.</w:t>
      </w:r>
    </w:p>
    <w:p xmlns:wp14="http://schemas.microsoft.com/office/word/2010/wordml" w:rsidP="70718A41" wp14:paraId="0B297F6F" wp14:textId="31644762">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[5] AXELOS Limited, ITIL Foundation: ITIL 4 Edition. London, U.K.: AXELOS, 2019.</w:t>
      </w:r>
    </w:p>
    <w:p xmlns:wp14="http://schemas.microsoft.com/office/word/2010/wordml" w:rsidP="70718A41" wp14:paraId="635BCEE9" wp14:textId="0A9334E2">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[6] ISACA, "Employing COBIT 2019 for Enterprise Governance Strategy," ISACA Industry News, Schaumburg, IL, USA, 2019.</w:t>
      </w:r>
    </w:p>
    <w:p xmlns:wp14="http://schemas.microsoft.com/office/word/2010/wordml" w:rsidP="70718A41" wp14:paraId="613037D1" wp14:textId="6C7AE902">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[7] P. Radanliev, D. De Roure, C. Maple, J. R. C. Nurse, R. Nicolescu, and U. Ani, "AI security and cyber risk in IoT systems," Frontiers in Big Data, vol. 7, art. 1402745, 2024.</w:t>
      </w:r>
    </w:p>
    <w:p xmlns:wp14="http://schemas.microsoft.com/office/word/2010/wordml" w:rsidP="70718A41" wp14:paraId="1EBFCE97" wp14:textId="12E7D960">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[8] D. V. Trung, N. D. Minh, T. N. B. Hoang, and D. T. Son, "A Comprehensive Survey on Cybersecurity Threats and Defense Mechanisms in IoT Networks," arXiv:2601.00556, Dec. 2025.</w:t>
      </w:r>
    </w:p>
    <w:p xmlns:wp14="http://schemas.microsoft.com/office/word/2010/wordml" w:rsidP="70718A41" wp14:paraId="2737EA2C" wp14:textId="239C4D16">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[9] Y. Chen and M. Anwar, "Fortress and Gatekeeper: Theorizing Transitive Trust in Third-Party Cybersecurity Risk Governance," arXiv:2606.26866, 2026.</w:t>
      </w:r>
    </w:p>
    <w:p xmlns:wp14="http://schemas.microsoft.com/office/word/2010/wordml" w:rsidP="70718A41" wp14:paraId="52C27CB7" wp14:textId="4CBDA312">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[10] European Parliament and Council of the European Union, "Directive (EU) 2022/2555 on measures for a high common level of cybersecurity across the Union (NIS2 Directive)," Official Journal of the European Union, L333, 2022.</w:t>
      </w:r>
    </w:p>
    <w:p xmlns:wp14="http://schemas.microsoft.com/office/word/2010/wordml" w:rsidP="70718A41" wp14:paraId="0397AFF8" wp14:textId="60EA667E">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[11] International Organization for Standardization, ISO/IEC 27001:2022 — Information Security Management Systems: A Practical Guide for SMEs. Geneva, Switzerland: ISO, 2023.</w:t>
      </w:r>
    </w:p>
    <w:p xmlns:wp14="http://schemas.microsoft.com/office/word/2010/wordml" w:rsidP="70718A41" wp14:paraId="1B0541D5" wp14:textId="23378687">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[12] C. Buck, C. Olenberger, A. Schweizer, F. Völter, and T. Eymann, "Never trust, always verify: A multivocal literature review on current knowledge and research gaps of zero-trust," Computers &amp; Security, vol. 110, p. 102436, 2021.</w:t>
      </w:r>
    </w:p>
    <w:p xmlns:wp14="http://schemas.microsoft.com/office/word/2010/wordml" w:rsidP="70718A41" wp14:paraId="51319ACF" wp14:textId="22A83F98">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[13] S. Rose, O. Borchert, S. Mitchell, and S. Connelly, "Zero Trust Architecture," NIST Special Publication 800-207, Gaithersburg, MD, USA, Aug. 2020.</w:t>
      </w:r>
    </w:p>
    <w:p xmlns:wp14="http://schemas.microsoft.com/office/word/2010/wordml" w:rsidP="70718A41" wp14:paraId="129CBF78" wp14:textId="794AA6A5">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[14] Z. A. Collier and J. Sarkis, "The zero trust supply chain: managing supply chain risk in the absence of trust," International Journal of Production Research, vol. 59, no. 11, pp. 3430–3445, 2021.</w:t>
      </w:r>
    </w:p>
    <w:p xmlns:wp14="http://schemas.microsoft.com/office/word/2010/wordml" w:rsidP="70718A41" wp14:paraId="360C4581" wp14:textId="23F6FE8F">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[15] U.S. Cybersecurity and Infrastructure Security Agency, "Zero Trust Maturity Model," Version 2.0, Washington, DC, USA, Apr. 2023.</w:t>
      </w:r>
    </w:p>
    <w:p xmlns:wp14="http://schemas.microsoft.com/office/word/2010/wordml" w:rsidP="70718A41" wp14:paraId="002560D8" wp14:textId="3AB10311">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[16] ISACA, "The New Oil, the New Risk: Data Security in the Era of AI, Cloud and IoT," ISACA Industry News, Schaumburg, IL, USA, 2025.</w:t>
      </w:r>
    </w:p>
    <w:p xmlns:wp14="http://schemas.microsoft.com/office/word/2010/wordml" w:rsidP="70718A41" wp14:paraId="561AE7F4" wp14:textId="38D55A48">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[17] National Institute of Standards and Technology, "NIST Releases First 3 Finalized Post-Quantum Encryption Standards," NIST News, Gaithersburg, MD, USA, Aug. 13, 2024.</w:t>
      </w:r>
    </w:p>
    <w:p xmlns:wp14="http://schemas.microsoft.com/office/word/2010/wordml" w:rsidP="70718A41" wp14:paraId="4BDC929F" wp14:textId="3B4ECB28">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[18] U.K. National Cyber Security Centre, "Timelines for Migration to Post-Quantum Cryptography," NCSC Guidance, London, U.K., 2025.</w:t>
      </w:r>
    </w:p>
    <w:p xmlns:wp14="http://schemas.microsoft.com/office/word/2010/wordml" w:rsidP="70718A41" wp14:paraId="0E5931C1" wp14:textId="7993E993">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[19] European Union Agency for Cybersecurity, ENISA Threat Landscape 2025. Athens, Greece: ENISA, Oct. 2025.</w:t>
      </w:r>
    </w:p>
    <w:p xmlns:wp14="http://schemas.microsoft.com/office/word/2010/wordml" w:rsidP="70718A41" wp14:paraId="6FABF85B" wp14:textId="06C0FDAF">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70718A41" w:rsidR="3ACFA967">
        <w:rPr>
          <w:rFonts w:ascii="Calibri" w:hAnsi="Calibri" w:eastAsia="Calibri" w:cs="Calibri"/>
          <w:noProof w:val="0"/>
          <w:color w:val="auto"/>
          <w:sz w:val="22"/>
          <w:szCs w:val="22"/>
          <w:lang w:val="en-GB"/>
        </w:rPr>
        <w:t>[20] European Parliament and Council of the European Union, "Regulation (EU) 2022/2554 on digital operational resilience for the financial sector (DORA)," Official Journal of the European Union, L333, 2022.</w:t>
      </w:r>
    </w:p>
    <w:p xmlns:wp14="http://schemas.microsoft.com/office/word/2010/wordml" w:rsidP="70718A41" wp14:paraId="5E5787A5" wp14:textId="0FA0DAF1">
      <w:pPr>
        <w:jc w:val="both"/>
        <w:rPr>
          <w:color w:val="auto"/>
        </w:rPr>
      </w:pPr>
    </w:p>
    <w:sectPr>
      <w:pgSz w:w="11906" w:h="16838" w:orient="portrait"/>
      <w:pgMar w:top="1440" w:right="1440" w:bottom="1440" w:left="1440" w:header="720" w:footer="720" w:gutter="0"/>
      <w:cols w:space="720"/>
      <w:docGrid w:linePitch="360"/>
      <w:titlePg w:val="1"/>
      <w:headerReference w:type="default" r:id="Rde561995be5645cb"/>
      <w:headerReference w:type="first" r:id="Rccf1e9fafee241ae"/>
      <w:footerReference w:type="default" r:id="R18bd36465bc646f3"/>
      <w:footerReference w:type="first" r:id="Rd1aff8188e5e49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FD0B30" w:rsidTr="6CFD0B30" w14:paraId="26DA3537">
      <w:trPr>
        <w:trHeight w:val="300"/>
      </w:trPr>
      <w:tc>
        <w:tcPr>
          <w:tcW w:w="3005" w:type="dxa"/>
          <w:tcMar/>
        </w:tcPr>
        <w:p w:rsidR="6CFD0B30" w:rsidP="6CFD0B30" w:rsidRDefault="6CFD0B30" w14:paraId="4D885CFA" w14:textId="0B226651">
          <w:pPr>
            <w:pStyle w:val="Header"/>
            <w:bidi w:val="0"/>
            <w:ind w:left="-115"/>
            <w:jc w:val="left"/>
          </w:pPr>
        </w:p>
      </w:tc>
      <w:tc>
        <w:tcPr>
          <w:tcW w:w="3005" w:type="dxa"/>
          <w:tcMar/>
        </w:tcPr>
        <w:p w:rsidR="6CFD0B30" w:rsidP="6CFD0B30" w:rsidRDefault="6CFD0B30" w14:paraId="071D38BA" w14:textId="0F8551F1">
          <w:pPr>
            <w:pStyle w:val="Header"/>
            <w:bidi w:val="0"/>
            <w:jc w:val="center"/>
          </w:pPr>
        </w:p>
      </w:tc>
      <w:tc>
        <w:tcPr>
          <w:tcW w:w="3005" w:type="dxa"/>
          <w:tcMar/>
        </w:tcPr>
        <w:p w:rsidR="6CFD0B30" w:rsidP="6CFD0B30" w:rsidRDefault="6CFD0B30" w14:paraId="04E30F9F" w14:textId="76C0B353">
          <w:pPr>
            <w:pStyle w:val="Header"/>
            <w:bidi w:val="0"/>
            <w:ind w:right="-115"/>
            <w:jc w:val="right"/>
          </w:pPr>
          <w:r>
            <w:fldChar w:fldCharType="begin"/>
          </w:r>
          <w:r>
            <w:instrText xml:space="preserve">PAGE</w:instrText>
          </w:r>
          <w:r>
            <w:fldChar w:fldCharType="separate"/>
          </w:r>
          <w:r>
            <w:fldChar w:fldCharType="end"/>
          </w:r>
        </w:p>
      </w:tc>
    </w:tr>
  </w:tbl>
  <w:p w:rsidR="6CFD0B30" w:rsidP="6CFD0B30" w:rsidRDefault="6CFD0B30" w14:paraId="4017EDBF" w14:textId="0A6E21B1">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FD0B30" w:rsidTr="6CFD0B30" w14:paraId="6B8AB1D2">
      <w:trPr>
        <w:trHeight w:val="300"/>
      </w:trPr>
      <w:tc>
        <w:tcPr>
          <w:tcW w:w="3005" w:type="dxa"/>
          <w:tcMar/>
        </w:tcPr>
        <w:p w:rsidR="6CFD0B30" w:rsidP="6CFD0B30" w:rsidRDefault="6CFD0B30" w14:paraId="3979DD6E" w14:textId="6516F122">
          <w:pPr>
            <w:pStyle w:val="Header"/>
            <w:bidi w:val="0"/>
            <w:ind w:left="-115"/>
            <w:jc w:val="left"/>
          </w:pPr>
        </w:p>
      </w:tc>
      <w:tc>
        <w:tcPr>
          <w:tcW w:w="3005" w:type="dxa"/>
          <w:tcMar/>
        </w:tcPr>
        <w:p w:rsidR="6CFD0B30" w:rsidP="6CFD0B30" w:rsidRDefault="6CFD0B30" w14:paraId="1EF9D981" w14:textId="43319B04">
          <w:pPr>
            <w:pStyle w:val="Header"/>
            <w:bidi w:val="0"/>
            <w:jc w:val="center"/>
          </w:pPr>
        </w:p>
      </w:tc>
      <w:tc>
        <w:tcPr>
          <w:tcW w:w="3005" w:type="dxa"/>
          <w:tcMar/>
        </w:tcPr>
        <w:p w:rsidR="6CFD0B30" w:rsidP="6CFD0B30" w:rsidRDefault="6CFD0B30" w14:paraId="234A6A44" w14:textId="02659AE7">
          <w:pPr>
            <w:pStyle w:val="Header"/>
            <w:bidi w:val="0"/>
            <w:ind w:right="-115"/>
            <w:jc w:val="right"/>
          </w:pPr>
        </w:p>
      </w:tc>
    </w:tr>
  </w:tbl>
  <w:p w:rsidR="6CFD0B30" w:rsidP="6CFD0B30" w:rsidRDefault="6CFD0B30" w14:paraId="49D01C05" w14:textId="1E1CEA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FD0B30" w:rsidTr="6CFD0B30" w14:paraId="15C89F19">
      <w:trPr>
        <w:trHeight w:val="300"/>
      </w:trPr>
      <w:tc>
        <w:tcPr>
          <w:tcW w:w="3005" w:type="dxa"/>
          <w:tcMar/>
        </w:tcPr>
        <w:p w:rsidR="6CFD0B30" w:rsidP="6CFD0B30" w:rsidRDefault="6CFD0B30" w14:paraId="22781C7B" w14:textId="18C7F1A2">
          <w:pPr>
            <w:pStyle w:val="Header"/>
            <w:bidi w:val="0"/>
            <w:ind w:left="-115"/>
            <w:jc w:val="left"/>
          </w:pPr>
        </w:p>
      </w:tc>
      <w:tc>
        <w:tcPr>
          <w:tcW w:w="3005" w:type="dxa"/>
          <w:tcMar/>
        </w:tcPr>
        <w:p w:rsidR="6CFD0B30" w:rsidP="6CFD0B30" w:rsidRDefault="6CFD0B30" w14:paraId="0313F719" w14:textId="100C0C71">
          <w:pPr>
            <w:pStyle w:val="Header"/>
            <w:bidi w:val="0"/>
            <w:jc w:val="center"/>
          </w:pPr>
        </w:p>
      </w:tc>
      <w:tc>
        <w:tcPr>
          <w:tcW w:w="3005" w:type="dxa"/>
          <w:tcMar/>
        </w:tcPr>
        <w:p w:rsidR="6CFD0B30" w:rsidP="6CFD0B30" w:rsidRDefault="6CFD0B30" w14:paraId="170915B8" w14:textId="3FDBC8CE">
          <w:pPr>
            <w:pStyle w:val="Header"/>
            <w:bidi w:val="0"/>
            <w:ind w:right="-115"/>
            <w:jc w:val="right"/>
          </w:pPr>
        </w:p>
      </w:tc>
    </w:tr>
  </w:tbl>
  <w:p w:rsidR="6CFD0B30" w:rsidP="6CFD0B30" w:rsidRDefault="6CFD0B30" w14:paraId="0BB9836D" w14:textId="167330A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FD0B30" w:rsidTr="6CFD0B30" w14:paraId="6918F741">
      <w:trPr>
        <w:trHeight w:val="300"/>
      </w:trPr>
      <w:tc>
        <w:tcPr>
          <w:tcW w:w="3005" w:type="dxa"/>
          <w:tcMar/>
        </w:tcPr>
        <w:p w:rsidR="6CFD0B30" w:rsidP="6CFD0B30" w:rsidRDefault="6CFD0B30" w14:paraId="4B5B7A83" w14:textId="42C00A4F">
          <w:pPr>
            <w:pStyle w:val="Header"/>
            <w:bidi w:val="0"/>
            <w:ind w:left="-115"/>
            <w:jc w:val="left"/>
          </w:pPr>
        </w:p>
      </w:tc>
      <w:tc>
        <w:tcPr>
          <w:tcW w:w="3005" w:type="dxa"/>
          <w:tcMar/>
        </w:tcPr>
        <w:p w:rsidR="6CFD0B30" w:rsidP="6CFD0B30" w:rsidRDefault="6CFD0B30" w14:paraId="5965C7A2" w14:textId="7D21759B">
          <w:pPr>
            <w:pStyle w:val="Header"/>
            <w:bidi w:val="0"/>
            <w:jc w:val="center"/>
          </w:pPr>
        </w:p>
      </w:tc>
      <w:tc>
        <w:tcPr>
          <w:tcW w:w="3005" w:type="dxa"/>
          <w:tcMar/>
        </w:tcPr>
        <w:p w:rsidR="6CFD0B30" w:rsidP="6CFD0B30" w:rsidRDefault="6CFD0B30" w14:paraId="14D5ACA4" w14:textId="2CC43795">
          <w:pPr>
            <w:pStyle w:val="Header"/>
            <w:bidi w:val="0"/>
            <w:ind w:right="-115"/>
            <w:jc w:val="right"/>
          </w:pPr>
        </w:p>
      </w:tc>
    </w:tr>
  </w:tbl>
  <w:p w:rsidR="6CFD0B30" w:rsidP="6CFD0B30" w:rsidRDefault="6CFD0B30" w14:paraId="0671FD02" w14:textId="59CF5A16">
    <w:pPr>
      <w:pStyle w:val="Header"/>
      <w:bidi w:val="0"/>
    </w:pPr>
  </w:p>
</w:hdr>
</file>

<file path=word/intelligence2.xml><?xml version="1.0" encoding="utf-8"?>
<int2:intelligence xmlns:int2="http://schemas.microsoft.com/office/intelligence/2020/intelligence">
  <int2:observations>
    <int2:bookmark int2:bookmarkName="_Int_wbr23t6o" int2:invalidationBookmarkName="" int2:hashCode="VH61rdKW19ri99" int2:id="JVXMvuvY">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F1CD53"/>
    <w:rsid w:val="0031ACDB"/>
    <w:rsid w:val="00E7A833"/>
    <w:rsid w:val="0228453F"/>
    <w:rsid w:val="024BE0E0"/>
    <w:rsid w:val="02FD61ED"/>
    <w:rsid w:val="02FD61ED"/>
    <w:rsid w:val="05A1C1B1"/>
    <w:rsid w:val="06E0195F"/>
    <w:rsid w:val="082DCE88"/>
    <w:rsid w:val="0A5C04BC"/>
    <w:rsid w:val="0A6691A0"/>
    <w:rsid w:val="0C426EE0"/>
    <w:rsid w:val="0C786E74"/>
    <w:rsid w:val="0C7FC1D1"/>
    <w:rsid w:val="0EDFCC97"/>
    <w:rsid w:val="0F460F17"/>
    <w:rsid w:val="0F8A9935"/>
    <w:rsid w:val="1299BA9E"/>
    <w:rsid w:val="12A7E9FC"/>
    <w:rsid w:val="163A5D4D"/>
    <w:rsid w:val="16CA6729"/>
    <w:rsid w:val="18D5EA10"/>
    <w:rsid w:val="1A146C39"/>
    <w:rsid w:val="1B948A08"/>
    <w:rsid w:val="1FFAC4DB"/>
    <w:rsid w:val="2085A45E"/>
    <w:rsid w:val="2217ED8F"/>
    <w:rsid w:val="23E9C4BF"/>
    <w:rsid w:val="25D443AC"/>
    <w:rsid w:val="2A112F20"/>
    <w:rsid w:val="2AF40725"/>
    <w:rsid w:val="2C1E3F1B"/>
    <w:rsid w:val="2C32ABEF"/>
    <w:rsid w:val="2D70B831"/>
    <w:rsid w:val="2EA5A084"/>
    <w:rsid w:val="2EA8D760"/>
    <w:rsid w:val="305C1751"/>
    <w:rsid w:val="306A1350"/>
    <w:rsid w:val="3097B2AE"/>
    <w:rsid w:val="335F3939"/>
    <w:rsid w:val="336307DE"/>
    <w:rsid w:val="34916586"/>
    <w:rsid w:val="34BE0E70"/>
    <w:rsid w:val="37B6C276"/>
    <w:rsid w:val="37FC45BD"/>
    <w:rsid w:val="38832A20"/>
    <w:rsid w:val="39381973"/>
    <w:rsid w:val="3A4FB5A3"/>
    <w:rsid w:val="3ACFA967"/>
    <w:rsid w:val="3ADA4861"/>
    <w:rsid w:val="3E9B4C24"/>
    <w:rsid w:val="41440B3A"/>
    <w:rsid w:val="441DE378"/>
    <w:rsid w:val="459FC90A"/>
    <w:rsid w:val="45DC151C"/>
    <w:rsid w:val="4679E68A"/>
    <w:rsid w:val="4AC187B3"/>
    <w:rsid w:val="4AC187B3"/>
    <w:rsid w:val="4C13370C"/>
    <w:rsid w:val="4C13370C"/>
    <w:rsid w:val="4D3C2F7D"/>
    <w:rsid w:val="4EAF7047"/>
    <w:rsid w:val="53CB3AD5"/>
    <w:rsid w:val="58681EF6"/>
    <w:rsid w:val="5A8C5C9C"/>
    <w:rsid w:val="5AF1CD53"/>
    <w:rsid w:val="5B5DCB04"/>
    <w:rsid w:val="5EED8721"/>
    <w:rsid w:val="662C280E"/>
    <w:rsid w:val="66DA69F7"/>
    <w:rsid w:val="66DA69F7"/>
    <w:rsid w:val="67E5F4E3"/>
    <w:rsid w:val="6942BA5A"/>
    <w:rsid w:val="6942BA5A"/>
    <w:rsid w:val="6CFD0B30"/>
    <w:rsid w:val="70718A41"/>
    <w:rsid w:val="70BC286F"/>
    <w:rsid w:val="70BC286F"/>
    <w:rsid w:val="7188A15C"/>
    <w:rsid w:val="71E906B8"/>
    <w:rsid w:val="71E906B8"/>
    <w:rsid w:val="72373437"/>
    <w:rsid w:val="72CE823F"/>
    <w:rsid w:val="75769050"/>
    <w:rsid w:val="766914AB"/>
    <w:rsid w:val="768832CF"/>
    <w:rsid w:val="78E8EC1F"/>
    <w:rsid w:val="7954A605"/>
    <w:rsid w:val="7A0DA922"/>
    <w:rsid w:val="7AFAD315"/>
    <w:rsid w:val="7B26D8A1"/>
    <w:rsid w:val="7BB8E02E"/>
    <w:rsid w:val="7C351329"/>
    <w:rsid w:val="7C83333E"/>
    <w:rsid w:val="7FCFD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735A3"/>
  <w15:chartTrackingRefBased/>
  <w15:docId w15:val="{ADC18818-E311-4651-9EFF-AB849628CC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CFD0B3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CFD0B3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CFD0B3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6CFD0B30"/>
    <w:pPr>
      <w:tabs>
        <w:tab w:val="center" w:leader="none" w:pos="4680"/>
        <w:tab w:val="right" w:leader="none" w:pos="9360"/>
      </w:tabs>
      <w:spacing w:after="0" w:line="240" w:lineRule="auto"/>
    </w:pPr>
  </w:style>
  <w:style w:type="paragraph" w:styleId="Footer">
    <w:uiPriority w:val="99"/>
    <w:name w:val="footer"/>
    <w:basedOn w:val="Normal"/>
    <w:unhideWhenUsed/>
    <w:rsid w:val="6CFD0B3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 mc:Ignorable="w14">
    <w:name xmlns:w="http://schemas.openxmlformats.org/wordprocessingml/2006/main" w:val="Grid Table 1 Light"/>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666666" w:themeColor="text1" w:themeTint="99" w:sz="12" w:space="0"/>
        </w:tcBorders>
      </w:tcPr>
    </w:tblStylePr>
    <w:tblStylePr xmlns:w="http://schemas.openxmlformats.org/wordprocessingml/2006/main" w:type="lastRow">
      <w:rPr>
        <w:b/>
        <w:bCs/>
      </w:rPr>
      <w:tblPr/>
      <w:tcPr>
        <w:tcBorders>
          <w:top w:val="double" w:color="666666" w:themeColor="tex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493813898" /><Relationship Type="http://schemas.openxmlformats.org/officeDocument/2006/relationships/image" Target="/media/image2.jpg" Id="rId498462926" /><Relationship Type="http://schemas.openxmlformats.org/officeDocument/2006/relationships/image" Target="/media/image.gif" Id="rId976779471" /><Relationship Type="http://schemas.openxmlformats.org/officeDocument/2006/relationships/image" Target="/media/image3.jpg" Id="rId1653604115" /><Relationship Type="http://schemas.openxmlformats.org/officeDocument/2006/relationships/header" Target="/word/header.xml" Id="Rde561995be5645cb" /><Relationship Type="http://schemas.openxmlformats.org/officeDocument/2006/relationships/header" Target="/word/header2.xml" Id="Rccf1e9fafee241ae" /><Relationship Type="http://schemas.openxmlformats.org/officeDocument/2006/relationships/footer" Target="/word/footer.xml" Id="R18bd36465bc646f3" /><Relationship Type="http://schemas.openxmlformats.org/officeDocument/2006/relationships/footer" Target="/word/footer2.xml" Id="Rd1aff8188e5e4925" /><Relationship Type="http://schemas.microsoft.com/office/2020/10/relationships/intelligence" Target="/word/intelligence2.xml" Id="Rbf3f31657a444aa3" /><Relationship Type="http://schemas.openxmlformats.org/officeDocument/2006/relationships/image" Target="/media/image.png" Id="rId18769767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Devang Dhanendrasinh Zala (2534443)</dc:creator>
  <keywords/>
  <dc:description/>
  <lastModifiedBy>Devang Dhanendrasinh Zala (2534443)</lastModifiedBy>
  <revision>3</revision>
  <dcterms:created xsi:type="dcterms:W3CDTF">2026-07-22T12:48:34.8895317Z</dcterms:created>
  <dcterms:modified xsi:type="dcterms:W3CDTF">2026-07-24T15:08:15.2436015Z</dcterms:modified>
</coreProperties>
</file>