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International Financial Management</w:t>
      </w:r>
    </w:p>
    <w:p>
      <w:pPr>
        <w:spacing w:line="480" w:lineRule="auto"/>
        <w:jc w:val="center"/>
        <w:rPr>
          <w:rFonts w:hint="default" w:ascii="Times New Roman" w:hAnsi="Times New Roman" w:cs="Times New Roman"/>
          <w:sz w:val="24"/>
          <w:szCs w:val="24"/>
          <w:lang w:val="pl-PL"/>
        </w:rPr>
      </w:pPr>
      <w:r>
        <w:rPr>
          <w:rFonts w:ascii="Times New Roman" w:hAnsi="Times New Roman" w:cs="Times New Roman"/>
          <w:sz w:val="24"/>
          <w:szCs w:val="24"/>
        </w:rPr>
        <w:t>Student’s Name:</w:t>
      </w:r>
      <w:r>
        <w:rPr>
          <w:rFonts w:hint="default" w:ascii="Times New Roman" w:hAnsi="Times New Roman" w:cs="Times New Roman"/>
          <w:sz w:val="24"/>
          <w:szCs w:val="24"/>
          <w:lang w:val="pl-PL"/>
        </w:rPr>
        <w:t xml:space="preserve"> Milena Andonova</w:t>
      </w:r>
    </w:p>
    <w:p>
      <w:pPr>
        <w:spacing w:line="480" w:lineRule="auto"/>
        <w:jc w:val="center"/>
        <w:rPr>
          <w:rFonts w:hint="default" w:ascii="Times New Roman" w:hAnsi="Times New Roman" w:cs="Times New Roman"/>
          <w:sz w:val="24"/>
          <w:szCs w:val="24"/>
          <w:lang w:val="pl-PL"/>
        </w:rPr>
      </w:pPr>
      <w:r>
        <w:rPr>
          <w:rFonts w:ascii="Times New Roman" w:hAnsi="Times New Roman" w:cs="Times New Roman"/>
          <w:sz w:val="24"/>
          <w:szCs w:val="24"/>
        </w:rPr>
        <w:t>Student’s ID:</w:t>
      </w:r>
      <w:r>
        <w:rPr>
          <w:rFonts w:hint="default" w:ascii="Times New Roman" w:hAnsi="Times New Roman" w:cs="Times New Roman"/>
          <w:sz w:val="24"/>
          <w:szCs w:val="24"/>
          <w:lang w:val="pl-PL"/>
        </w:rPr>
        <w:t xml:space="preserve"> 2115611</w:t>
      </w:r>
    </w:p>
    <w:p>
      <w:pPr>
        <w:spacing w:line="480" w:lineRule="auto"/>
        <w:jc w:val="center"/>
        <w:rPr>
          <w:rFonts w:hint="default" w:ascii="Times New Roman" w:hAnsi="Times New Roman" w:cs="Times New Roman"/>
          <w:sz w:val="24"/>
          <w:szCs w:val="24"/>
          <w:lang w:val="pl-PL"/>
        </w:rPr>
      </w:pPr>
      <w:bookmarkStart w:id="6" w:name="_GoBack"/>
      <w:bookmarkEnd w:id="6"/>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sdt>
      <w:sdtPr>
        <w:id w:val="1146702698"/>
        <w:docPartObj>
          <w:docPartGallery w:val="Table of Contents"/>
          <w:docPartUnique/>
        </w:docPartObj>
      </w:sdtPr>
      <w:sdtEndPr>
        <w:rPr>
          <w:rFonts w:asciiTheme="minorHAnsi" w:hAnsiTheme="minorHAnsi" w:eastAsiaTheme="minorHAnsi" w:cstheme="minorBidi"/>
          <w:b/>
          <w:bCs/>
          <w:color w:val="auto"/>
          <w:kern w:val="2"/>
          <w:sz w:val="22"/>
          <w:szCs w:val="22"/>
          <w:lang w:val="en-GB"/>
          <w14:ligatures w14:val="standardContextual"/>
        </w:rPr>
      </w:sdtEndPr>
      <w:sdtContent>
        <w:p>
          <w:pPr>
            <w:pStyle w:val="13"/>
            <w:spacing w:line="480" w:lineRule="auto"/>
            <w:rPr>
              <w:rFonts w:ascii="Times New Roman" w:hAnsi="Times New Roman" w:cs="Times New Roman"/>
              <w:sz w:val="24"/>
              <w:szCs w:val="24"/>
            </w:rPr>
          </w:pPr>
          <w:r>
            <w:rPr>
              <w:rFonts w:ascii="Times New Roman" w:hAnsi="Times New Roman" w:cs="Times New Roman"/>
              <w:sz w:val="24"/>
              <w:szCs w:val="24"/>
            </w:rPr>
            <w:t>Table of Contents</w:t>
          </w:r>
        </w:p>
        <w:p>
          <w:pPr>
            <w:pStyle w:val="8"/>
            <w:tabs>
              <w:tab w:val="right" w:leader="dot" w:pos="9350"/>
            </w:tabs>
            <w:spacing w:line="48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"_Toc150261692" </w:instrText>
          </w:r>
          <w:r>
            <w:fldChar w:fldCharType="separate"/>
          </w:r>
          <w:r>
            <w:rPr>
              <w:rStyle w:val="7"/>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_Toc150261692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sz w:val="24"/>
              <w:szCs w:val="24"/>
            </w:rPr>
          </w:pPr>
          <w:r>
            <w:fldChar w:fldCharType="begin"/>
          </w:r>
          <w:r>
            <w:instrText xml:space="preserve"> HYPERLINK \l "_Toc150261693" </w:instrText>
          </w:r>
          <w:r>
            <w:fldChar w:fldCharType="separate"/>
          </w:r>
          <w:r>
            <w:rPr>
              <w:rStyle w:val="7"/>
              <w:rFonts w:ascii="Times New Roman" w:hAnsi="Times New Roman" w:cs="Times New Roman"/>
              <w:sz w:val="24"/>
              <w:szCs w:val="24"/>
            </w:rPr>
            <w:t>Strategies for Managing Foreign Exchange Risk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_Toc150261693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sz w:val="24"/>
              <w:szCs w:val="24"/>
            </w:rPr>
          </w:pPr>
          <w:r>
            <w:fldChar w:fldCharType="begin"/>
          </w:r>
          <w:r>
            <w:instrText xml:space="preserve"> HYPERLINK \l "_Toc150261694" </w:instrText>
          </w:r>
          <w:r>
            <w:fldChar w:fldCharType="separate"/>
          </w:r>
          <w:r>
            <w:rPr>
              <w:rStyle w:val="7"/>
              <w:rFonts w:ascii="Times New Roman" w:hAnsi="Times New Roman" w:cs="Times New Roman"/>
              <w:sz w:val="24"/>
              <w:szCs w:val="24"/>
            </w:rPr>
            <w:t>Theoretical Frameworks Supporting Hedging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_Toc150261694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sz w:val="24"/>
              <w:szCs w:val="24"/>
            </w:rPr>
          </w:pPr>
          <w:r>
            <w:fldChar w:fldCharType="begin"/>
          </w:r>
          <w:r>
            <w:instrText xml:space="preserve"> HYPERLINK \l "_Toc150261695" </w:instrText>
          </w:r>
          <w:r>
            <w:fldChar w:fldCharType="separate"/>
          </w:r>
          <w:r>
            <w:rPr>
              <w:rStyle w:val="7"/>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_Toc150261695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sz w:val="24"/>
              <w:szCs w:val="24"/>
            </w:rPr>
          </w:pPr>
          <w:r>
            <w:fldChar w:fldCharType="begin"/>
          </w:r>
          <w:r>
            <w:instrText xml:space="preserve"> HYPERLINK \l "_Toc150261696" </w:instrText>
          </w:r>
          <w:r>
            <w:fldChar w:fldCharType="separate"/>
          </w:r>
          <w:r>
            <w:rPr>
              <w:rStyle w:val="7"/>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_Toc150261696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sz w:val="24"/>
              <w:szCs w:val="24"/>
            </w:rPr>
          </w:pPr>
          <w:r>
            <w:fldChar w:fldCharType="begin"/>
          </w:r>
          <w:r>
            <w:instrText xml:space="preserve"> HYPERLINK \l "_Toc150261697" </w:instrText>
          </w:r>
          <w:r>
            <w:fldChar w:fldCharType="separate"/>
          </w:r>
          <w:r>
            <w:rPr>
              <w:rStyle w:val="7"/>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_Toc150261697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480" w:lineRule="auto"/>
          </w:pPr>
          <w:r>
            <w:rPr>
              <w:rFonts w:ascii="Times New Roman" w:hAnsi="Times New Roman" w:cs="Times New Roman"/>
              <w:b/>
              <w:bCs/>
              <w:sz w:val="24"/>
              <w:szCs w:val="24"/>
            </w:rPr>
            <w:fldChar w:fldCharType="end"/>
          </w:r>
        </w:p>
      </w:sdtContent>
    </w:sdt>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spacing w:line="480" w:lineRule="auto"/>
        <w:rPr>
          <w:rFonts w:ascii="Times New Roman" w:hAnsi="Times New Roman" w:cs="Times New Roman"/>
          <w:b/>
          <w:bCs/>
          <w:sz w:val="24"/>
          <w:szCs w:val="24"/>
        </w:rPr>
      </w:pPr>
    </w:p>
    <w:p>
      <w:pPr>
        <w:pStyle w:val="2"/>
        <w:spacing w:line="480" w:lineRule="auto"/>
        <w:rPr>
          <w:b w:val="0"/>
        </w:rPr>
      </w:pPr>
      <w:bookmarkStart w:id="0" w:name="_Toc150261692"/>
      <w:r>
        <w:t>Introduction</w:t>
      </w:r>
      <w:bookmarkEnd w:id="0"/>
    </w:p>
    <w:p>
      <w:pPr>
        <w:spacing w:line="480" w:lineRule="auto"/>
        <w:rPr>
          <w:rFonts w:ascii="Times New Roman" w:hAnsi="Times New Roman" w:cs="Times New Roman"/>
          <w:sz w:val="24"/>
          <w:szCs w:val="24"/>
        </w:rPr>
      </w:pPr>
      <w:r>
        <w:rPr>
          <w:rFonts w:ascii="Times New Roman" w:hAnsi="Times New Roman" w:cs="Times New Roman"/>
          <w:sz w:val="24"/>
          <w:szCs w:val="24"/>
        </w:rPr>
        <w:t>Multinational corporations (MNCs) operate in a global environment that exposes them to various financial risks, particularly foreign exchange risks. Foreign exchange risk arises from the volatility of foreign currency exchange rates and can significantly affect the profitability, cash flow, and financial position of an MNC</w:t>
      </w:r>
      <w:r>
        <w:t xml:space="preserve"> (</w:t>
      </w:r>
      <w:r>
        <w:rPr>
          <w:rFonts w:ascii="Times New Roman" w:hAnsi="Times New Roman" w:cs="Times New Roman"/>
          <w:sz w:val="24"/>
          <w:szCs w:val="24"/>
        </w:rPr>
        <w:t>Pellegrino et al., 2023). To mitigate these risks, corporations adopt different strategies, which can be broadly categorised into internal and external techniques. This report provides an in-depth evaluation of these strategies based on International Financial Management theories.</w:t>
      </w:r>
    </w:p>
    <w:p>
      <w:pPr>
        <w:spacing w:line="480" w:lineRule="auto"/>
        <w:rPr>
          <w:rFonts w:ascii="Times New Roman" w:hAnsi="Times New Roman" w:cs="Times New Roman"/>
          <w:b/>
          <w:bCs/>
          <w:sz w:val="24"/>
          <w:szCs w:val="24"/>
        </w:rPr>
      </w:pPr>
      <w:r>
        <w:rPr>
          <w:rFonts w:ascii="Times New Roman" w:hAnsi="Times New Roman" w:cs="Times New Roman"/>
          <w:b/>
          <w:bCs/>
          <w:sz w:val="24"/>
          <w:szCs w:val="24"/>
        </w:rPr>
        <w:t>Types of foreign exchange risk</w:t>
      </w:r>
    </w:p>
    <w:p>
      <w:pPr>
        <w:pStyle w:val="9"/>
        <w:numPr>
          <w:ilvl w:val="0"/>
          <w:numId w:val="1"/>
        </w:numPr>
        <w:spacing w:line="480" w:lineRule="auto"/>
        <w:rPr>
          <w:rFonts w:ascii="Times New Roman" w:hAnsi="Times New Roman" w:cs="Times New Roman"/>
          <w:sz w:val="24"/>
          <w:szCs w:val="24"/>
        </w:rPr>
      </w:pPr>
      <w:r>
        <w:rPr>
          <w:rFonts w:ascii="Times New Roman" w:hAnsi="Times New Roman" w:cs="Times New Roman"/>
          <w:b/>
          <w:bCs/>
          <w:sz w:val="24"/>
          <w:szCs w:val="24"/>
        </w:rPr>
        <w:t>Transaction exposure</w:t>
      </w:r>
      <w:r>
        <w:rPr>
          <w:rFonts w:ascii="Times New Roman" w:hAnsi="Times New Roman" w:cs="Times New Roman"/>
          <w:sz w:val="24"/>
          <w:szCs w:val="24"/>
        </w:rPr>
        <w:t>: Arises from the effect of exchange rate fluctuations on the value of a company's future cash transactions in foreign currencies.</w:t>
      </w:r>
    </w:p>
    <w:p>
      <w:pPr>
        <w:pStyle w:val="9"/>
        <w:numPr>
          <w:ilvl w:val="0"/>
          <w:numId w:val="1"/>
        </w:numPr>
        <w:spacing w:line="480" w:lineRule="auto"/>
        <w:rPr>
          <w:rFonts w:ascii="Times New Roman" w:hAnsi="Times New Roman" w:cs="Times New Roman"/>
          <w:sz w:val="24"/>
          <w:szCs w:val="24"/>
        </w:rPr>
      </w:pPr>
      <w:r>
        <w:rPr>
          <w:rFonts w:ascii="Times New Roman" w:hAnsi="Times New Roman" w:cs="Times New Roman"/>
          <w:b/>
          <w:bCs/>
          <w:sz w:val="24"/>
          <w:szCs w:val="24"/>
        </w:rPr>
        <w:t>Translation exposure</w:t>
      </w:r>
      <w:r>
        <w:rPr>
          <w:rFonts w:ascii="Times New Roman" w:hAnsi="Times New Roman" w:cs="Times New Roman"/>
          <w:sz w:val="24"/>
          <w:szCs w:val="24"/>
        </w:rPr>
        <w:t>: This occurs when consolidating the financial statements of subsidiaries operating in different currencies into the parent company's reporting currency (Bank, 2016).</w:t>
      </w:r>
    </w:p>
    <w:p>
      <w:pPr>
        <w:pStyle w:val="9"/>
        <w:numPr>
          <w:ilvl w:val="0"/>
          <w:numId w:val="1"/>
        </w:numPr>
        <w:spacing w:line="480" w:lineRule="auto"/>
        <w:rPr>
          <w:rFonts w:ascii="Times New Roman" w:hAnsi="Times New Roman" w:cs="Times New Roman"/>
          <w:sz w:val="24"/>
          <w:szCs w:val="24"/>
        </w:rPr>
      </w:pPr>
      <w:r>
        <w:rPr>
          <w:rFonts w:ascii="Times New Roman" w:hAnsi="Times New Roman" w:cs="Times New Roman"/>
          <w:b/>
          <w:bCs/>
          <w:sz w:val="24"/>
          <w:szCs w:val="24"/>
        </w:rPr>
        <w:t>Economic exposure</w:t>
      </w:r>
      <w:r>
        <w:rPr>
          <w:rFonts w:ascii="Times New Roman" w:hAnsi="Times New Roman" w:cs="Times New Roman"/>
          <w:sz w:val="24"/>
          <w:szCs w:val="24"/>
        </w:rPr>
        <w:t>: Reflects the risk that a firm’s present value of future cash flows can be affected by unexpected exchange rate fluctuations.</w:t>
      </w:r>
    </w:p>
    <w:p>
      <w:pPr>
        <w:spacing w:line="480" w:lineRule="auto"/>
        <w:rPr>
          <w:rFonts w:ascii="Times New Roman" w:hAnsi="Times New Roman" w:cs="Times New Roman"/>
          <w:sz w:val="24"/>
          <w:szCs w:val="24"/>
        </w:rPr>
      </w:pPr>
      <w:r>
        <w:rPr>
          <w:rFonts w:ascii="Times New Roman" w:hAnsi="Times New Roman" w:cs="Times New Roman"/>
          <w:sz w:val="24"/>
          <w:szCs w:val="24"/>
        </w:rPr>
        <w:t>Exchange rate volatility can lead to unpredictable financial results, alter competitive position, affect the value of foreign investments, and impact the cost of capital and firm valuation.</w:t>
      </w:r>
    </w:p>
    <w:p>
      <w:pPr>
        <w:pStyle w:val="2"/>
        <w:spacing w:line="480" w:lineRule="auto"/>
      </w:pPr>
      <w:bookmarkStart w:id="1" w:name="_Toc150261693"/>
      <w:r>
        <w:t>Strategies for Managing Foreign Exchange Risk</w:t>
      </w:r>
      <w:bookmarkEnd w:id="1"/>
    </w:p>
    <w:p>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1. Financial hedging strategies</w:t>
      </w:r>
    </w:p>
    <w:p>
      <w:pPr>
        <w:spacing w:line="480" w:lineRule="auto"/>
        <w:rPr>
          <w:rFonts w:ascii="Times New Roman" w:hAnsi="Times New Roman" w:cs="Times New Roman"/>
          <w:sz w:val="24"/>
          <w:szCs w:val="24"/>
        </w:rPr>
      </w:pPr>
      <w:r>
        <w:rPr>
          <w:rFonts w:ascii="Times New Roman" w:hAnsi="Times New Roman" w:cs="Times New Roman"/>
          <w:sz w:val="24"/>
          <w:szCs w:val="24"/>
        </w:rPr>
        <w:t>Multinational Corporations employ financial hedging to mitigate the risks of volatile foreign exchange rates. Four primary financial instruments are central to these strategies: forward contracts, futures contracts, options, and swaps.</w:t>
      </w:r>
    </w:p>
    <w:p>
      <w:pPr>
        <w:pStyle w:val="9"/>
        <w:numPr>
          <w:ilvl w:val="0"/>
          <w:numId w:val="2"/>
        </w:numPr>
        <w:spacing w:line="480" w:lineRule="auto"/>
        <w:rPr>
          <w:rFonts w:ascii="Times New Roman" w:hAnsi="Times New Roman" w:cs="Times New Roman"/>
          <w:sz w:val="24"/>
          <w:szCs w:val="24"/>
        </w:rPr>
      </w:pPr>
      <w:r>
        <w:rPr>
          <w:rFonts w:ascii="Times New Roman" w:hAnsi="Times New Roman" w:cs="Times New Roman"/>
          <w:b/>
          <w:bCs/>
          <w:sz w:val="24"/>
          <w:szCs w:val="24"/>
        </w:rPr>
        <w:t>Forward contracts:</w:t>
      </w:r>
      <w:r>
        <w:rPr>
          <w:rFonts w:ascii="Times New Roman" w:hAnsi="Times New Roman" w:cs="Times New Roman"/>
          <w:sz w:val="24"/>
          <w:szCs w:val="24"/>
        </w:rPr>
        <w:t xml:space="preserve"> These are tailor-made agreements where MNCs agree to buy or sell a currency at a specific rate on a future date, allowing them to stabilise transaction costs or revenues regardless of market fluctuations</w:t>
      </w:r>
      <w:r>
        <w:t xml:space="preserve"> (</w:t>
      </w:r>
      <w:r>
        <w:rPr>
          <w:rFonts w:ascii="Times New Roman" w:hAnsi="Times New Roman" w:cs="Times New Roman"/>
          <w:sz w:val="24"/>
          <w:szCs w:val="24"/>
        </w:rPr>
        <w:t>Tiwary, 2019). They are especially useful for budget certainty but preclude benefiting from potential favourable rate movements.</w:t>
      </w:r>
    </w:p>
    <w:p>
      <w:pPr>
        <w:pStyle w:val="9"/>
        <w:numPr>
          <w:ilvl w:val="0"/>
          <w:numId w:val="2"/>
        </w:numPr>
        <w:spacing w:line="480" w:lineRule="auto"/>
        <w:rPr>
          <w:rFonts w:ascii="Times New Roman" w:hAnsi="Times New Roman" w:cs="Times New Roman"/>
          <w:sz w:val="24"/>
          <w:szCs w:val="24"/>
        </w:rPr>
      </w:pPr>
      <w:r>
        <w:rPr>
          <w:rFonts w:ascii="Times New Roman" w:hAnsi="Times New Roman" w:cs="Times New Roman"/>
          <w:b/>
          <w:bCs/>
          <w:sz w:val="24"/>
          <w:szCs w:val="24"/>
        </w:rPr>
        <w:t>Futures contracts:</w:t>
      </w:r>
      <w:r>
        <w:rPr>
          <w:rFonts w:ascii="Times New Roman" w:hAnsi="Times New Roman" w:cs="Times New Roman"/>
          <w:sz w:val="24"/>
          <w:szCs w:val="24"/>
        </w:rPr>
        <w:t xml:space="preserve"> Futures are standardised contracts traded on exchanges that commit the parties to exchange currencies at a specified rate on a predetermined date. They require margin deposits and are marked-to-market daily, offering liquidity and the reassurance of a clearinghouse guarantee, albeit with less flexibility than forwards</w:t>
      </w:r>
      <w:r>
        <w:t xml:space="preserve"> (</w:t>
      </w:r>
      <w:r>
        <w:rPr>
          <w:rFonts w:ascii="Times New Roman" w:hAnsi="Times New Roman" w:cs="Times New Roman"/>
          <w:sz w:val="24"/>
          <w:szCs w:val="24"/>
        </w:rPr>
        <w:t>Santillán-Salgado et al., 2016).</w:t>
      </w:r>
    </w:p>
    <w:p>
      <w:pPr>
        <w:pStyle w:val="9"/>
        <w:numPr>
          <w:ilvl w:val="0"/>
          <w:numId w:val="2"/>
        </w:numPr>
        <w:spacing w:line="480" w:lineRule="auto"/>
        <w:rPr>
          <w:rFonts w:ascii="Times New Roman" w:hAnsi="Times New Roman" w:cs="Times New Roman"/>
          <w:sz w:val="24"/>
          <w:szCs w:val="24"/>
        </w:rPr>
      </w:pPr>
      <w:r>
        <w:rPr>
          <w:rFonts w:ascii="Times New Roman" w:hAnsi="Times New Roman" w:cs="Times New Roman"/>
          <w:b/>
          <w:bCs/>
          <w:sz w:val="24"/>
          <w:szCs w:val="24"/>
        </w:rPr>
        <w:t>Options contracts:</w:t>
      </w:r>
      <w:r>
        <w:rPr>
          <w:rFonts w:ascii="Times New Roman" w:hAnsi="Times New Roman" w:cs="Times New Roman"/>
          <w:sz w:val="24"/>
          <w:szCs w:val="24"/>
        </w:rPr>
        <w:t xml:space="preserve"> Options provide MNCs the right, not the obligation, to trade a currency at a specific rate, allowing flexibility to capitalise on favourable exchange rates while limiting the downside risk. The premium for this potential protection is the maximum loss, which positions options as currency risk insurance.</w:t>
      </w:r>
    </w:p>
    <w:p>
      <w:pPr>
        <w:pStyle w:val="9"/>
        <w:numPr>
          <w:ilvl w:val="0"/>
          <w:numId w:val="2"/>
        </w:numPr>
        <w:spacing w:line="480" w:lineRule="auto"/>
        <w:rPr>
          <w:rFonts w:ascii="Times New Roman" w:hAnsi="Times New Roman" w:cs="Times New Roman"/>
          <w:sz w:val="24"/>
          <w:szCs w:val="24"/>
        </w:rPr>
      </w:pPr>
      <w:r>
        <w:rPr>
          <w:rFonts w:ascii="Times New Roman" w:hAnsi="Times New Roman" w:cs="Times New Roman"/>
          <w:b/>
          <w:bCs/>
          <w:sz w:val="24"/>
          <w:szCs w:val="24"/>
        </w:rPr>
        <w:t>Swap Contracts:</w:t>
      </w:r>
      <w:r>
        <w:rPr>
          <w:rFonts w:ascii="Times New Roman" w:hAnsi="Times New Roman" w:cs="Times New Roman"/>
          <w:sz w:val="24"/>
          <w:szCs w:val="24"/>
        </w:rPr>
        <w:t xml:space="preserve"> Swaps are agreements to exchange cash flows in different currencies or convert fixed to variable interest payments to manage foreign exchange and interest rate risks (Tiwary, 2019). They can be tailored to the unique requirements of an MNC, such as aligning the currency of income with outlays, effectively counteracting foreign exchange risk.</w:t>
      </w:r>
    </w:p>
    <w:p>
      <w:pPr>
        <w:tabs>
          <w:tab w:val="left" w:pos="3795"/>
        </w:tabs>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2. Operational Hedging Strategies</w:t>
      </w:r>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Multinational Corporations (MNCs) frequently incorporate operational hedging within their risk management strategies to tackle foreign exchange risks. This method encompasses various strategic business tactics designed to reduce the effects of currency fluctuations.</w:t>
      </w:r>
    </w:p>
    <w:p>
      <w:pPr>
        <w:pStyle w:val="9"/>
        <w:numPr>
          <w:ilvl w:val="0"/>
          <w:numId w:val="3"/>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Currency diversification:</w:t>
      </w:r>
      <w:r>
        <w:rPr>
          <w:rFonts w:ascii="Times New Roman" w:hAnsi="Times New Roman" w:cs="Times New Roman"/>
          <w:sz w:val="24"/>
          <w:szCs w:val="24"/>
        </w:rPr>
        <w:t xml:space="preserve"> MNCs can mitigate the risks tied to the fluctuation of any singular currency by engaging in currency diversification for their transactions (Álvarez-Díez et al., 2016). This tactic may include the distribution of cash reserves across different currencies, setting contract prices in varied currencies, or executing operations in a portfolio of currencies. Such measures enable the offsetting of potential declines in one currency with profits from another, thereby achieving a more balanced currency risk profile.</w:t>
      </w:r>
    </w:p>
    <w:p>
      <w:pPr>
        <w:pStyle w:val="9"/>
        <w:numPr>
          <w:ilvl w:val="0"/>
          <w:numId w:val="3"/>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Risk sharing:</w:t>
      </w:r>
      <w:r>
        <w:rPr>
          <w:rFonts w:ascii="Times New Roman" w:hAnsi="Times New Roman" w:cs="Times New Roman"/>
          <w:sz w:val="24"/>
          <w:szCs w:val="24"/>
        </w:rPr>
        <w:t xml:space="preserve"> Risk sharing constitutes a cooperative approach wherein the foreign exchange risk is mutually distributed among partners or customers through contractual agreements. Incorporating clauses related to currency adjustments in international contracts, for example, mechanisms for pricing modification in response to foreign exchange rate changes, allows for the risk burden to be equitably shared, preventing any single entity from shouldering the entirety of the risk from unfavourable currency fluctuations (Maggiori, 2017).</w:t>
      </w:r>
    </w:p>
    <w:p>
      <w:pPr>
        <w:pStyle w:val="9"/>
        <w:numPr>
          <w:ilvl w:val="0"/>
          <w:numId w:val="3"/>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Leading and lagging:</w:t>
      </w:r>
      <w:r>
        <w:rPr>
          <w:rFonts w:ascii="Times New Roman" w:hAnsi="Times New Roman" w:cs="Times New Roman"/>
          <w:sz w:val="24"/>
          <w:szCs w:val="24"/>
        </w:rPr>
        <w:t xml:space="preserve"> This strategy entails adjusting the schedule of cash flows to leverage expected shifts in currency values. Should a currency be projected to appreciate, the execution of payments is hastened or 'led' to secure advantageous exchange rates. Conversely, if a currency is expected to weaken, payments are ‘lagged’ or delayed (Tiwary, 2019). It requires astute timing and a good understanding of currency trends but can save considerable costs when executed correctly.</w:t>
      </w:r>
    </w:p>
    <w:p>
      <w:pPr>
        <w:pStyle w:val="9"/>
        <w:numPr>
          <w:ilvl w:val="0"/>
          <w:numId w:val="3"/>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Exposure netting:</w:t>
      </w:r>
      <w:r>
        <w:rPr>
          <w:rFonts w:ascii="Times New Roman" w:hAnsi="Times New Roman" w:cs="Times New Roman"/>
          <w:sz w:val="24"/>
          <w:szCs w:val="24"/>
        </w:rPr>
        <w:t xml:space="preserve"> MNCs operating in multiple currencies often engage in exposure netting. This entails offsetting receivables and payables in the same or correlated currencies to reduce the net exposed position. Such a strategy is effective in lowering transaction costs and consolidating positions, diminishing the MNC's overall exposure to currency risk.</w:t>
      </w:r>
    </w:p>
    <w:p>
      <w:pPr>
        <w:tabs>
          <w:tab w:val="left" w:pos="3795"/>
        </w:tabs>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3. Natural hedging strategies</w:t>
      </w:r>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Natural hedging is an approach where multinational corporations (MNCs) align their operational business decisions with foreign exchange risk management. This involves strategic planning and organisational adjustments to naturally offset the impact of currency fluctuations without solely depending on financial derivatives.</w:t>
      </w:r>
    </w:p>
    <w:p>
      <w:pPr>
        <w:pStyle w:val="9"/>
        <w:numPr>
          <w:ilvl w:val="0"/>
          <w:numId w:val="4"/>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Market selection:</w:t>
      </w:r>
      <w:r>
        <w:rPr>
          <w:rFonts w:ascii="Times New Roman" w:hAnsi="Times New Roman" w:cs="Times New Roman"/>
          <w:sz w:val="24"/>
          <w:szCs w:val="24"/>
        </w:rPr>
        <w:t xml:space="preserve"> Strategic market selection plays a pivotal role in natural hedging. MNCs can select markets that have currencies moving inversely to each other. By doing so, they ensure that while one market might experience currency depreciation, another might see appreciation, naturally balancing out the foreign exchange impact on earnings</w:t>
      </w:r>
      <w:r>
        <w:t xml:space="preserve"> (</w:t>
      </w:r>
      <w:r>
        <w:rPr>
          <w:rFonts w:ascii="Times New Roman" w:hAnsi="Times New Roman" w:cs="Times New Roman"/>
          <w:sz w:val="24"/>
          <w:szCs w:val="24"/>
        </w:rPr>
        <w:t>Maitha, 2020). For example, suppose an MNC operates in both a country with a strengthening currency and one with a weakening currency. In that case, the gains and losses can offset each other, stabilising the overall financial performance.</w:t>
      </w:r>
    </w:p>
    <w:p>
      <w:pPr>
        <w:pStyle w:val="9"/>
        <w:numPr>
          <w:ilvl w:val="0"/>
          <w:numId w:val="4"/>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Product pricing:</w:t>
      </w:r>
      <w:r>
        <w:rPr>
          <w:rFonts w:ascii="Times New Roman" w:hAnsi="Times New Roman" w:cs="Times New Roman"/>
          <w:sz w:val="24"/>
          <w:szCs w:val="24"/>
        </w:rPr>
        <w:t xml:space="preserve"> Modifying the pricing structure for goods and services across international markets can act as a practical defence against the risks associated with currency fluctuations. MNCs may raise prices in regions experiencing currency devaluation or decrease where the currency is appreciating, effectively transferring a portion of the exchange rate risk onto consumers (Pellegrino et al., 2023). This tactic, commonly known as 'pass-through,' can significantly safeguard profit margins without relying on financial hedging tools.</w:t>
      </w:r>
    </w:p>
    <w:p>
      <w:pPr>
        <w:pStyle w:val="9"/>
        <w:numPr>
          <w:ilvl w:val="0"/>
          <w:numId w:val="4"/>
        </w:num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Operational flexibility:</w:t>
      </w:r>
      <w:r>
        <w:t xml:space="preserve"> </w:t>
      </w:r>
      <w:r>
        <w:rPr>
          <w:rFonts w:ascii="Times New Roman" w:hAnsi="Times New Roman" w:cs="Times New Roman"/>
          <w:sz w:val="24"/>
          <w:szCs w:val="24"/>
        </w:rPr>
        <w:t>MNCs with a versatile operational structure can reallocate manufacturing and procurement across various global regions as a reaction to shifts in currency values. This means establishing production facilities in multiple currency zones, which allows shifting production to areas where the currency is weaker to take advantage of lower costs (Tiwary, 2019). Similarly, sourcing raw materials from countries with depreciating currencies can reduce input costs. This approach not only hedges against currency risk but also enhances the company's agility in responding to geopolitical and economic changes.</w:t>
      </w:r>
    </w:p>
    <w:p>
      <w:pPr>
        <w:pStyle w:val="2"/>
        <w:spacing w:line="480" w:lineRule="auto"/>
      </w:pPr>
      <w:bookmarkStart w:id="2" w:name="_Toc150261694"/>
      <w:r>
        <w:t>Theoretical Frameworks Supporting Hedging</w:t>
      </w:r>
      <w:bookmarkEnd w:id="2"/>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Several theoretical frameworks provide the foundational support for the practice of hedging in International Financial Management:</w:t>
      </w:r>
    </w:p>
    <w:p>
      <w:p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Purchasing Power Parity (PPP) and Interest Rate Parity (IRP):</w:t>
      </w:r>
      <w:r>
        <w:rPr>
          <w:rFonts w:ascii="Times New Roman" w:hAnsi="Times New Roman" w:cs="Times New Roman"/>
          <w:sz w:val="24"/>
          <w:szCs w:val="24"/>
        </w:rPr>
        <w:t xml:space="preserve"> These parity conditions offer insight into how future exchange rates are determined by current price levels and interest rates. PPP suggests that currency values will adjust to neutralise the effect of inflation rate differentials between two countries</w:t>
      </w:r>
      <w:r>
        <w:t xml:space="preserve"> (</w:t>
      </w:r>
      <w:r>
        <w:rPr>
          <w:rFonts w:ascii="Times New Roman" w:hAnsi="Times New Roman" w:cs="Times New Roman"/>
          <w:sz w:val="24"/>
          <w:szCs w:val="24"/>
        </w:rPr>
        <w:t>Yoon and Jei, 2020). Consequently, hedging based on PPP would protect against the adverse effects of unexpected inflation on exchange rates. IRP posits that the difference between two countries' interest rates will equal the differential between the current and future exchange rates. Hedging under IRP aims to guard against unexpected shifts in exchange rates due to changes in interest rate differentials.</w:t>
      </w:r>
    </w:p>
    <w:p>
      <w:p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International Fisher Effect (IFE):</w:t>
      </w:r>
      <w:r>
        <w:rPr>
          <w:rFonts w:ascii="Times New Roman" w:hAnsi="Times New Roman" w:cs="Times New Roman"/>
          <w:sz w:val="24"/>
          <w:szCs w:val="24"/>
        </w:rPr>
        <w:t xml:space="preserve"> The IFE expands on the IRP by stating that a currency with a higher interest rate will depreciate against a currency with a lower interest rate by an amount approximately equal to the interest rate differential</w:t>
      </w:r>
      <w:r>
        <w:t xml:space="preserve"> (</w:t>
      </w:r>
      <w:r>
        <w:rPr>
          <w:rFonts w:ascii="Times New Roman" w:hAnsi="Times New Roman" w:cs="Times New Roman"/>
          <w:sz w:val="24"/>
          <w:szCs w:val="24"/>
        </w:rPr>
        <w:t>Shobande and Shodipe, 2021). Companies may use hedging to protect against the potential exchange rate movements anticipated by the IFE.</w:t>
      </w:r>
    </w:p>
    <w:p>
      <w:pPr>
        <w:tabs>
          <w:tab w:val="left" w:pos="3795"/>
        </w:tabs>
        <w:spacing w:line="480" w:lineRule="auto"/>
        <w:rPr>
          <w:rFonts w:ascii="Times New Roman" w:hAnsi="Times New Roman" w:cs="Times New Roman"/>
          <w:sz w:val="24"/>
          <w:szCs w:val="24"/>
        </w:rPr>
      </w:pPr>
      <w:r>
        <w:rPr>
          <w:rFonts w:ascii="Times New Roman" w:hAnsi="Times New Roman" w:cs="Times New Roman"/>
          <w:b/>
          <w:bCs/>
          <w:sz w:val="24"/>
          <w:szCs w:val="24"/>
        </w:rPr>
        <w:t>Portfolio Theory:</w:t>
      </w:r>
      <w:r>
        <w:rPr>
          <w:rFonts w:ascii="Times New Roman" w:hAnsi="Times New Roman" w:cs="Times New Roman"/>
          <w:sz w:val="24"/>
          <w:szCs w:val="24"/>
        </w:rPr>
        <w:t xml:space="preserve"> From the perspective of portfolio theory, currency risk can be mitigated through diversification. Just as an investor reduces unsystematic risk by holding a diversified portfolio of assets, an MNC can spread its currency exposure across various markets to minimise the overall foreign exchange risk (Tiwary, 2019). This theory underpins strategies such as currency diversification and operational flexibility, suggesting that a well-diversified approach to managing currency can significantly reduce the company’s total risk exposure.</w:t>
      </w:r>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An integrated approach considers a combination of financial and operational hedging techniques. It aligns foreign exchange risk management with the company’s financial objectives and corporate strategy, creating a holistic defence against foreign exchange volatility.</w:t>
      </w:r>
    </w:p>
    <w:p>
      <w:pPr>
        <w:pStyle w:val="2"/>
        <w:spacing w:line="480" w:lineRule="auto"/>
      </w:pPr>
      <w:bookmarkStart w:id="3" w:name="_Toc150261695"/>
      <w:r>
        <w:t>Conclusion</w:t>
      </w:r>
      <w:bookmarkEnd w:id="3"/>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Foreign exchange risk presents a significant challenge to MNCs, demanding diligent management to safeguard the corporation's value. While financial hedging offers direct protection against foreign exchange volatility, it comes with a cost that must be balanced against the potential benefits. Operational and natural hedging are strategic and often less costly but may require structural changes to business operations.    An effective foreign exchange risk management strategy is typically a blend of these approaches, customised to the specific risk profile and business context of the MNC.</w:t>
      </w:r>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The selection and implementation of appropriate hedging strategies require an in-depth understanding of the theoretical principles of IFM, as well as practical insights into market conditions and the MNC's business model. As global markets evolve, MNCs must remain agile, regularly reviewing and adjusting their foreign exchange risk management strategies to align with changing market dynamics and corporate objectives.</w:t>
      </w:r>
    </w:p>
    <w:p>
      <w:pPr>
        <w:pStyle w:val="2"/>
        <w:spacing w:line="480" w:lineRule="auto"/>
      </w:pPr>
      <w:bookmarkStart w:id="4" w:name="_Toc150261696"/>
      <w:r>
        <w:t>Recommendations</w:t>
      </w:r>
      <w:bookmarkEnd w:id="4"/>
    </w:p>
    <w:p>
      <w:pPr>
        <w:pStyle w:val="9"/>
        <w:numPr>
          <w:ilvl w:val="0"/>
          <w:numId w:val="5"/>
        </w:num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Continuous assessment: Regularly evaluate the foreign exchange risk exposure as business activities and market conditions change (Maggiori, 2017).</w:t>
      </w:r>
    </w:p>
    <w:p>
      <w:pPr>
        <w:pStyle w:val="9"/>
        <w:numPr>
          <w:ilvl w:val="0"/>
          <w:numId w:val="5"/>
        </w:num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Hedge accounting: Employ hedge accounting practices to align the timing of gains and losses on hedging instruments with the underlying exposure (Bank 2016).</w:t>
      </w:r>
    </w:p>
    <w:p>
      <w:pPr>
        <w:pStyle w:val="9"/>
        <w:numPr>
          <w:ilvl w:val="0"/>
          <w:numId w:val="5"/>
        </w:num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Training and expertise: Invest in training financial managers in the latest IFM theories and market practices to enhance decision-making.</w:t>
      </w:r>
    </w:p>
    <w:p>
      <w:pPr>
        <w:pStyle w:val="9"/>
        <w:numPr>
          <w:ilvl w:val="0"/>
          <w:numId w:val="5"/>
        </w:num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Technology utilisation: Leverage advanced analytics and forecasting tools for better prediction of market movements and risk assessment.</w:t>
      </w:r>
    </w:p>
    <w:p>
      <w:pPr>
        <w:pStyle w:val="9"/>
        <w:numPr>
          <w:ilvl w:val="0"/>
          <w:numId w:val="5"/>
        </w:num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Policy development: Develop a comprehensive foreign exchange risk management policy that clearly defines the risk appetite, designated hedging strategies, and responsible parties within the organisation (Tiwary, 2019).</w:t>
      </w:r>
    </w:p>
    <w:p>
      <w:pPr>
        <w:tabs>
          <w:tab w:val="left" w:pos="3795"/>
        </w:tabs>
        <w:spacing w:line="480" w:lineRule="auto"/>
        <w:rPr>
          <w:rFonts w:ascii="Times New Roman" w:hAnsi="Times New Roman" w:cs="Times New Roman"/>
          <w:sz w:val="24"/>
          <w:szCs w:val="24"/>
        </w:rPr>
      </w:pPr>
      <w:r>
        <w:rPr>
          <w:rFonts w:ascii="Times New Roman" w:hAnsi="Times New Roman" w:cs="Times New Roman"/>
          <w:sz w:val="24"/>
          <w:szCs w:val="24"/>
        </w:rPr>
        <w:t>By implementing these recommendations, MNCs can better manage their foreign exchange risk exposure, thereby protecting their financial performance from the adverse effects of currency market volatility.</w:t>
      </w:r>
    </w:p>
    <w:p>
      <w:pPr>
        <w:tabs>
          <w:tab w:val="left" w:pos="8535"/>
        </w:tabs>
        <w:rPr>
          <w:rFonts w:ascii="Times New Roman" w:hAnsi="Times New Roman" w:cs="Times New Roman"/>
          <w:sz w:val="24"/>
          <w:szCs w:val="24"/>
        </w:rPr>
      </w:pPr>
    </w:p>
    <w:p>
      <w:pPr>
        <w:tabs>
          <w:tab w:val="left" w:pos="8535"/>
        </w:tabs>
        <w:rPr>
          <w:rFonts w:ascii="Times New Roman" w:hAnsi="Times New Roman" w:cs="Times New Roman"/>
          <w:sz w:val="24"/>
          <w:szCs w:val="24"/>
        </w:rPr>
      </w:pPr>
    </w:p>
    <w:p>
      <w:pPr>
        <w:tabs>
          <w:tab w:val="left" w:pos="8535"/>
        </w:tabs>
        <w:rPr>
          <w:rFonts w:ascii="Times New Roman" w:hAnsi="Times New Roman" w:cs="Times New Roman"/>
          <w:sz w:val="24"/>
          <w:szCs w:val="24"/>
        </w:rPr>
      </w:pPr>
    </w:p>
    <w:p>
      <w:pPr>
        <w:tabs>
          <w:tab w:val="left" w:pos="8535"/>
        </w:tabs>
        <w:rPr>
          <w:rFonts w:ascii="Times New Roman" w:hAnsi="Times New Roman" w:cs="Times New Roman"/>
          <w:sz w:val="24"/>
          <w:szCs w:val="24"/>
        </w:rPr>
      </w:pPr>
    </w:p>
    <w:p>
      <w:pPr>
        <w:tabs>
          <w:tab w:val="left" w:pos="8535"/>
        </w:tabs>
        <w:rPr>
          <w:rFonts w:ascii="Times New Roman" w:hAnsi="Times New Roman" w:cs="Times New Roman"/>
          <w:sz w:val="24"/>
          <w:szCs w:val="24"/>
        </w:rPr>
      </w:pPr>
    </w:p>
    <w:p>
      <w:pPr>
        <w:tabs>
          <w:tab w:val="left" w:pos="8535"/>
        </w:tabs>
        <w:spacing w:line="480" w:lineRule="auto"/>
        <w:rPr>
          <w:rFonts w:ascii="Times New Roman" w:hAnsi="Times New Roman" w:cs="Times New Roman"/>
          <w:sz w:val="24"/>
          <w:szCs w:val="24"/>
        </w:rPr>
      </w:pPr>
    </w:p>
    <w:p>
      <w:pPr>
        <w:tabs>
          <w:tab w:val="left" w:pos="8535"/>
        </w:tabs>
        <w:spacing w:line="480" w:lineRule="auto"/>
        <w:rPr>
          <w:rFonts w:ascii="Times New Roman" w:hAnsi="Times New Roman" w:cs="Times New Roman"/>
          <w:b/>
          <w:bCs/>
          <w:sz w:val="24"/>
          <w:szCs w:val="24"/>
        </w:rPr>
      </w:pPr>
    </w:p>
    <w:p>
      <w:pPr>
        <w:tabs>
          <w:tab w:val="left" w:pos="8535"/>
        </w:tabs>
        <w:spacing w:line="480" w:lineRule="auto"/>
        <w:rPr>
          <w:rFonts w:ascii="Times New Roman" w:hAnsi="Times New Roman" w:cs="Times New Roman"/>
          <w:b/>
          <w:bCs/>
          <w:sz w:val="24"/>
          <w:szCs w:val="24"/>
        </w:rPr>
      </w:pPr>
    </w:p>
    <w:p>
      <w:pPr>
        <w:pStyle w:val="2"/>
        <w:spacing w:line="480" w:lineRule="auto"/>
      </w:pPr>
      <w:bookmarkStart w:id="5" w:name="_Toc150261697"/>
      <w:r>
        <w:t>References</w:t>
      </w:r>
      <w:bookmarkEnd w:id="5"/>
      <w:r>
        <w:t xml:space="preserve"> </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Álvarez-Díez, S., Alfaro-Cid, E. and Fernández-Blanco, M.O., 2016. Hedging foreign exchange rate risk: Multi-currency diversification. </w:t>
      </w:r>
      <w:r>
        <w:rPr>
          <w:rFonts w:ascii="Times New Roman" w:hAnsi="Times New Roman" w:cs="Times New Roman"/>
          <w:i/>
          <w:iCs/>
          <w:sz w:val="24"/>
          <w:szCs w:val="24"/>
        </w:rPr>
        <w:t>European Journal of Management and Business Economics</w:t>
      </w:r>
      <w:r>
        <w:rPr>
          <w:rFonts w:ascii="Times New Roman" w:hAnsi="Times New Roman" w:cs="Times New Roman"/>
          <w:sz w:val="24"/>
          <w:szCs w:val="24"/>
        </w:rPr>
        <w:t>, </w:t>
      </w:r>
      <w:r>
        <w:rPr>
          <w:rFonts w:ascii="Times New Roman" w:hAnsi="Times New Roman" w:cs="Times New Roman"/>
          <w:i/>
          <w:iCs/>
          <w:sz w:val="24"/>
          <w:szCs w:val="24"/>
        </w:rPr>
        <w:t>25</w:t>
      </w:r>
      <w:r>
        <w:rPr>
          <w:rFonts w:ascii="Times New Roman" w:hAnsi="Times New Roman" w:cs="Times New Roman"/>
          <w:sz w:val="24"/>
          <w:szCs w:val="24"/>
        </w:rPr>
        <w:t>(1), pp.2-7.</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BANK, B., 2016. Foreign Exchange Risk Management.</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Maggiori, M., 2017. Financial intermediation, international risk sharing, and reserve currencies. </w:t>
      </w:r>
      <w:r>
        <w:rPr>
          <w:rFonts w:ascii="Times New Roman" w:hAnsi="Times New Roman" w:cs="Times New Roman"/>
          <w:i/>
          <w:iCs/>
          <w:sz w:val="24"/>
          <w:szCs w:val="24"/>
        </w:rPr>
        <w:t>American Economic Review</w:t>
      </w:r>
      <w:r>
        <w:rPr>
          <w:rFonts w:ascii="Times New Roman" w:hAnsi="Times New Roman" w:cs="Times New Roman"/>
          <w:sz w:val="24"/>
          <w:szCs w:val="24"/>
        </w:rPr>
        <w:t>, </w:t>
      </w:r>
      <w:r>
        <w:rPr>
          <w:rFonts w:ascii="Times New Roman" w:hAnsi="Times New Roman" w:cs="Times New Roman"/>
          <w:i/>
          <w:iCs/>
          <w:sz w:val="24"/>
          <w:szCs w:val="24"/>
        </w:rPr>
        <w:t>107</w:t>
      </w:r>
      <w:r>
        <w:rPr>
          <w:rFonts w:ascii="Times New Roman" w:hAnsi="Times New Roman" w:cs="Times New Roman"/>
          <w:sz w:val="24"/>
          <w:szCs w:val="24"/>
        </w:rPr>
        <w:t>(10), pp.3038-3071.</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Maitha, A.K., 2020. </w:t>
      </w:r>
      <w:r>
        <w:rPr>
          <w:rFonts w:ascii="Times New Roman" w:hAnsi="Times New Roman" w:cs="Times New Roman"/>
          <w:i/>
          <w:iCs/>
          <w:sz w:val="24"/>
          <w:szCs w:val="24"/>
        </w:rPr>
        <w:t>Foreign Exchange Risk Management Practices and Financial Performance of Manufacturing Firms in Kenya</w:t>
      </w:r>
      <w:r>
        <w:rPr>
          <w:rFonts w:ascii="Times New Roman" w:hAnsi="Times New Roman" w:cs="Times New Roman"/>
          <w:sz w:val="24"/>
          <w:szCs w:val="24"/>
        </w:rPr>
        <w:t> (Doctoral dissertation, University of Nairobi).</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Pellegrino, R., Gaudenzi, B. and Zsidisin, G.A., 2023. Mitigating foreign exchange risk exposure with supply chain flexibility: A real option analysis. </w:t>
      </w:r>
      <w:r>
        <w:rPr>
          <w:rFonts w:ascii="Times New Roman" w:hAnsi="Times New Roman" w:cs="Times New Roman"/>
          <w:i/>
          <w:iCs/>
          <w:sz w:val="24"/>
          <w:szCs w:val="24"/>
        </w:rPr>
        <w:t>Journal of Business Logistics</w:t>
      </w:r>
      <w:r>
        <w:rPr>
          <w:rFonts w:ascii="Times New Roman" w:hAnsi="Times New Roman" w:cs="Times New Roman"/>
          <w:sz w:val="24"/>
          <w:szCs w:val="24"/>
        </w:rPr>
        <w:t>.</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Santillán-Salgado, R.J., Ulin-Lastra, M.G. and López-Herrera, F., 2016. Currency exchange rate risk hedging strategies using MXN/USD MexDer futures contracts. </w:t>
      </w:r>
      <w:r>
        <w:rPr>
          <w:rFonts w:ascii="Times New Roman" w:hAnsi="Times New Roman" w:cs="Times New Roman"/>
          <w:i/>
          <w:iCs/>
          <w:sz w:val="24"/>
          <w:szCs w:val="24"/>
        </w:rPr>
        <w:t>International Journal of Bonds and Derivatives</w:t>
      </w:r>
      <w:r>
        <w:rPr>
          <w:rFonts w:ascii="Times New Roman" w:hAnsi="Times New Roman" w:cs="Times New Roman"/>
          <w:sz w:val="24"/>
          <w:szCs w:val="24"/>
        </w:rPr>
        <w:t>, </w:t>
      </w:r>
      <w:r>
        <w:rPr>
          <w:rFonts w:ascii="Times New Roman" w:hAnsi="Times New Roman" w:cs="Times New Roman"/>
          <w:i/>
          <w:iCs/>
          <w:sz w:val="24"/>
          <w:szCs w:val="24"/>
        </w:rPr>
        <w:t>2</w:t>
      </w:r>
      <w:r>
        <w:rPr>
          <w:rFonts w:ascii="Times New Roman" w:hAnsi="Times New Roman" w:cs="Times New Roman"/>
          <w:sz w:val="24"/>
          <w:szCs w:val="24"/>
        </w:rPr>
        <w:t>(3), pp.186-210.</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Shobande, O.A. and Shodipe, O.T., 2021. Monetary policy interdependency in Fisher effect: A comparative evidence. </w:t>
      </w:r>
      <w:r>
        <w:rPr>
          <w:rFonts w:ascii="Times New Roman" w:hAnsi="Times New Roman" w:cs="Times New Roman"/>
          <w:i/>
          <w:iCs/>
          <w:sz w:val="24"/>
          <w:szCs w:val="24"/>
        </w:rPr>
        <w:t>Journal of Central Banking Theory and Practice</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(1), pp.203-226.</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Tiwary, A.R., 2019. Study of currency risk and the hedging strategies. </w:t>
      </w:r>
      <w:r>
        <w:rPr>
          <w:rFonts w:ascii="Times New Roman" w:hAnsi="Times New Roman" w:cs="Times New Roman"/>
          <w:i/>
          <w:iCs/>
          <w:sz w:val="24"/>
          <w:szCs w:val="24"/>
        </w:rPr>
        <w:t>Journal of Advanced Studies In Finance (JASF)</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(19), pp.45-55.</w:t>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Yoon, J.C. and Jei, S.Y., 2020. Purchasing power parity vs. uncovered interest rate parity for NAFTA countries: The value of incorporating time-varying parameter model. </w:t>
      </w:r>
      <w:r>
        <w:rPr>
          <w:rFonts w:ascii="Times New Roman" w:hAnsi="Times New Roman" w:cs="Times New Roman"/>
          <w:i/>
          <w:iCs/>
          <w:sz w:val="24"/>
          <w:szCs w:val="24"/>
        </w:rPr>
        <w:t>Economic Modelling</w:t>
      </w:r>
      <w:r>
        <w:rPr>
          <w:rFonts w:ascii="Times New Roman" w:hAnsi="Times New Roman" w:cs="Times New Roman"/>
          <w:sz w:val="24"/>
          <w:szCs w:val="24"/>
        </w:rPr>
        <w:t>, </w:t>
      </w:r>
      <w:r>
        <w:rPr>
          <w:rFonts w:ascii="Times New Roman" w:hAnsi="Times New Roman" w:cs="Times New Roman"/>
          <w:i/>
          <w:iCs/>
          <w:sz w:val="24"/>
          <w:szCs w:val="24"/>
        </w:rPr>
        <w:t>90</w:t>
      </w:r>
      <w:r>
        <w:rPr>
          <w:rFonts w:ascii="Times New Roman" w:hAnsi="Times New Roman" w:cs="Times New Roman"/>
          <w:sz w:val="24"/>
          <w:szCs w:val="24"/>
        </w:rPr>
        <w:t>, pp.494-500.</w:t>
      </w:r>
    </w:p>
    <w:p>
      <w:pPr>
        <w:tabs>
          <w:tab w:val="left" w:pos="8535"/>
        </w:tabs>
        <w:spacing w:line="480" w:lineRule="auto"/>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56863759"/>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D87D30"/>
    <w:multiLevelType w:val="multilevel"/>
    <w:tmpl w:val="01D87D30"/>
    <w:lvl w:ilvl="0" w:tentative="0">
      <w:start w:val="1"/>
      <w:numFmt w:val="lowerLetter"/>
      <w:lvlText w:val="%1)"/>
      <w:lvlJc w:val="left"/>
      <w:pPr>
        <w:ind w:left="432" w:hanging="432"/>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82A63A9"/>
    <w:multiLevelType w:val="multilevel"/>
    <w:tmpl w:val="082A63A9"/>
    <w:lvl w:ilvl="0" w:tentative="0">
      <w:start w:val="1"/>
      <w:numFmt w:val="bullet"/>
      <w:lvlText w:val=""/>
      <w:lvlJc w:val="left"/>
      <w:pPr>
        <w:ind w:left="432" w:hanging="432"/>
      </w:pPr>
      <w:rPr>
        <w:rFonts w:hint="default" w:ascii="Symbol" w:hAnsi="Symbol"/>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2">
    <w:nsid w:val="089559F7"/>
    <w:multiLevelType w:val="multilevel"/>
    <w:tmpl w:val="089559F7"/>
    <w:lvl w:ilvl="0" w:tentative="0">
      <w:start w:val="1"/>
      <w:numFmt w:val="lowerLetter"/>
      <w:lvlText w:val="%1)"/>
      <w:lvlJc w:val="left"/>
      <w:pPr>
        <w:ind w:left="432" w:hanging="432"/>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0E38377D"/>
    <w:multiLevelType w:val="multilevel"/>
    <w:tmpl w:val="0E38377D"/>
    <w:lvl w:ilvl="0" w:tentative="0">
      <w:start w:val="1"/>
      <w:numFmt w:val="lowerLetter"/>
      <w:lvlText w:val="%1)"/>
      <w:lvlJc w:val="left"/>
      <w:pPr>
        <w:ind w:left="432" w:hanging="432"/>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7A8A5659"/>
    <w:multiLevelType w:val="multilevel"/>
    <w:tmpl w:val="7A8A565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C70"/>
    <w:rsid w:val="00093163"/>
    <w:rsid w:val="000B6632"/>
    <w:rsid w:val="000D21CF"/>
    <w:rsid w:val="000F2BF6"/>
    <w:rsid w:val="001938DE"/>
    <w:rsid w:val="00261C70"/>
    <w:rsid w:val="00297609"/>
    <w:rsid w:val="00610768"/>
    <w:rsid w:val="00620FA3"/>
    <w:rsid w:val="0063234A"/>
    <w:rsid w:val="006A326E"/>
    <w:rsid w:val="006A3B02"/>
    <w:rsid w:val="00700A3A"/>
    <w:rsid w:val="009D103C"/>
    <w:rsid w:val="00B06869"/>
    <w:rsid w:val="00BD617D"/>
    <w:rsid w:val="00BE57F4"/>
    <w:rsid w:val="00C45274"/>
    <w:rsid w:val="00D7273B"/>
    <w:rsid w:val="00DD7E4C"/>
    <w:rsid w:val="00E61F9E"/>
    <w:rsid w:val="53813E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12"/>
    <w:qFormat/>
    <w:uiPriority w:val="9"/>
    <w:pPr>
      <w:keepNext/>
      <w:keepLines/>
      <w:spacing w:before="240" w:after="0"/>
      <w:outlineLvl w:val="0"/>
    </w:pPr>
    <w:rPr>
      <w:rFonts w:ascii="Times New Roman" w:hAnsi="Times New Roman" w:eastAsiaTheme="majorEastAsia" w:cstheme="majorBidi"/>
      <w:b/>
      <w:color w:val="2F5597" w:themeColor="accent1" w:themeShade="BF"/>
      <w:sz w:val="28"/>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1"/>
    <w:unhideWhenUsed/>
    <w:uiPriority w:val="99"/>
    <w:pPr>
      <w:tabs>
        <w:tab w:val="center" w:pos="4680"/>
        <w:tab w:val="right" w:pos="9360"/>
      </w:tabs>
      <w:spacing w:after="0" w:line="240" w:lineRule="auto"/>
    </w:pPr>
  </w:style>
  <w:style w:type="paragraph" w:styleId="6">
    <w:name w:val="header"/>
    <w:basedOn w:val="1"/>
    <w:link w:val="10"/>
    <w:unhideWhenUsed/>
    <w:uiPriority w:val="99"/>
    <w:pPr>
      <w:tabs>
        <w:tab w:val="center" w:pos="4680"/>
        <w:tab w:val="right" w:pos="9360"/>
      </w:tabs>
      <w:spacing w:after="0" w:line="240" w:lineRule="auto"/>
    </w:pPr>
  </w:style>
  <w:style w:type="character" w:styleId="7">
    <w:name w:val="Hyperlink"/>
    <w:basedOn w:val="3"/>
    <w:unhideWhenUsed/>
    <w:qFormat/>
    <w:uiPriority w:val="99"/>
    <w:rPr>
      <w:color w:val="0563C1" w:themeColor="hyperlink"/>
      <w:u w:val="single"/>
      <w14:textFill>
        <w14:solidFill>
          <w14:schemeClr w14:val="hlink"/>
        </w14:solidFill>
      </w14:textFill>
    </w:rPr>
  </w:style>
  <w:style w:type="paragraph" w:styleId="8">
    <w:name w:val="toc 1"/>
    <w:basedOn w:val="1"/>
    <w:next w:val="1"/>
    <w:unhideWhenUsed/>
    <w:uiPriority w:val="39"/>
    <w:pPr>
      <w:spacing w:after="100"/>
    </w:pPr>
  </w:style>
  <w:style w:type="paragraph" w:styleId="9">
    <w:name w:val="List Paragraph"/>
    <w:basedOn w:val="1"/>
    <w:qFormat/>
    <w:uiPriority w:val="34"/>
    <w:pPr>
      <w:ind w:left="720"/>
      <w:contextualSpacing/>
    </w:pPr>
  </w:style>
  <w:style w:type="character" w:customStyle="1" w:styleId="10">
    <w:name w:val="Header Char"/>
    <w:basedOn w:val="3"/>
    <w:link w:val="6"/>
    <w:qFormat/>
    <w:uiPriority w:val="99"/>
    <w:rPr>
      <w:lang w:val="en-GB"/>
    </w:rPr>
  </w:style>
  <w:style w:type="character" w:customStyle="1" w:styleId="11">
    <w:name w:val="Footer Char"/>
    <w:basedOn w:val="3"/>
    <w:link w:val="5"/>
    <w:uiPriority w:val="99"/>
    <w:rPr>
      <w:lang w:val="en-GB"/>
    </w:rPr>
  </w:style>
  <w:style w:type="character" w:customStyle="1" w:styleId="12">
    <w:name w:val="Heading 1 Char"/>
    <w:basedOn w:val="3"/>
    <w:link w:val="2"/>
    <w:uiPriority w:val="9"/>
    <w:rPr>
      <w:rFonts w:ascii="Times New Roman" w:hAnsi="Times New Roman" w:eastAsiaTheme="majorEastAsia" w:cstheme="majorBidi"/>
      <w:b/>
      <w:color w:val="2F5597" w:themeColor="accent1" w:themeShade="BF"/>
      <w:sz w:val="28"/>
      <w:szCs w:val="32"/>
      <w:lang w:val="en-GB"/>
    </w:rPr>
  </w:style>
  <w:style w:type="paragraph" w:customStyle="1" w:styleId="13">
    <w:name w:val="TOC Heading"/>
    <w:basedOn w:val="2"/>
    <w:next w:val="1"/>
    <w:unhideWhenUsed/>
    <w:qFormat/>
    <w:uiPriority w:val="39"/>
    <w:pPr>
      <w:outlineLvl w:val="9"/>
    </w:pPr>
    <w:rPr>
      <w:rFonts w:asciiTheme="majorHAnsi" w:hAnsiTheme="majorHAnsi"/>
      <w:b w:val="0"/>
      <w:kern w:val="0"/>
      <w:sz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349DE-0EE5-4288-8C1E-C0788422A61B}">
  <ds:schemaRefs/>
</ds:datastoreItem>
</file>

<file path=docProps/app.xml><?xml version="1.0" encoding="utf-8"?>
<Properties xmlns="http://schemas.openxmlformats.org/officeDocument/2006/extended-properties" xmlns:vt="http://schemas.openxmlformats.org/officeDocument/2006/docPropsVTypes">
  <Template>Normal</Template>
  <Pages>11</Pages>
  <Words>2051</Words>
  <Characters>11697</Characters>
  <Lines>97</Lines>
  <Paragraphs>27</Paragraphs>
  <TotalTime>2</TotalTime>
  <ScaleCrop>false</ScaleCrop>
  <LinksUpToDate>false</LinksUpToDate>
  <CharactersWithSpaces>13721</CharactersWithSpaces>
  <Application>WPS Office_12.2.0.13306_F1E327BC-269C-435d-A152-05C5408002CA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2023-11-07T12:02:00Z</dcterms:created>
  <dc:creator>Mary Odira</dc:creator>
  <cp:lastModifiedBy>Insp_N5110</cp:lastModifiedBy>
  <dcterms:modified xsi:type="dcterms:W3CDTF">2023-12-21T10:13:21Z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A1904C32A9584BECAC57A5D1E5E4D73F_12</vt:lpwstr>
  </property>
</Properties>
</file>