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2402B5" w14:textId="3803DFF3" w:rsidR="0018430A" w:rsidRPr="00890D3A" w:rsidRDefault="00E61475" w:rsidP="0018430A">
      <w:pPr>
        <w:spacing w:line="360" w:lineRule="auto"/>
        <w:jc w:val="center"/>
        <w:rPr>
          <w:rFonts w:ascii="Arial" w:hAnsi="Arial" w:cs="Arial"/>
          <w:b/>
          <w:color w:val="000000" w:themeColor="text1"/>
          <w:sz w:val="24"/>
          <w:szCs w:val="24"/>
        </w:rPr>
      </w:pPr>
      <w:r w:rsidRPr="00890D3A">
        <w:rPr>
          <w:rFonts w:ascii="Arial" w:hAnsi="Arial" w:cs="Arial"/>
          <w:b/>
          <w:color w:val="000000" w:themeColor="text1"/>
          <w:sz w:val="24"/>
          <w:szCs w:val="24"/>
        </w:rPr>
        <w:t>The module title and module code:</w:t>
      </w:r>
      <w:r w:rsidR="0018430A" w:rsidRPr="00890D3A">
        <w:rPr>
          <w:rFonts w:ascii="Arial" w:hAnsi="Arial" w:cs="Arial"/>
          <w:b/>
          <w:color w:val="000000" w:themeColor="text1"/>
          <w:sz w:val="24"/>
          <w:szCs w:val="24"/>
        </w:rPr>
        <w:t xml:space="preserve"> BMIH5005 </w:t>
      </w:r>
    </w:p>
    <w:p w14:paraId="51E0EA2F" w14:textId="72889FE2" w:rsidR="00E61475" w:rsidRPr="00890D3A" w:rsidRDefault="0018430A" w:rsidP="00E61475">
      <w:pPr>
        <w:spacing w:line="360" w:lineRule="auto"/>
        <w:jc w:val="center"/>
        <w:rPr>
          <w:rFonts w:ascii="Arial" w:hAnsi="Arial" w:cs="Arial"/>
          <w:b/>
          <w:color w:val="000000" w:themeColor="text1"/>
          <w:sz w:val="24"/>
          <w:szCs w:val="24"/>
        </w:rPr>
      </w:pPr>
      <w:r w:rsidRPr="00890D3A">
        <w:rPr>
          <w:rFonts w:ascii="Arial" w:hAnsi="Arial" w:cs="Arial"/>
          <w:b/>
          <w:color w:val="000000" w:themeColor="text1"/>
          <w:sz w:val="24"/>
          <w:szCs w:val="24"/>
        </w:rPr>
        <w:t>Personnel Resourcing and Development</w:t>
      </w:r>
    </w:p>
    <w:p w14:paraId="342B775A" w14:textId="616EE553" w:rsidR="00E61475" w:rsidRDefault="00E61475" w:rsidP="00E61475">
      <w:pPr>
        <w:spacing w:line="360" w:lineRule="auto"/>
        <w:jc w:val="center"/>
        <w:rPr>
          <w:rFonts w:ascii="Arial" w:hAnsi="Arial" w:cs="Arial"/>
          <w:b/>
          <w:color w:val="000000" w:themeColor="text1"/>
          <w:sz w:val="24"/>
          <w:szCs w:val="24"/>
        </w:rPr>
      </w:pPr>
      <w:r w:rsidRPr="00890D3A">
        <w:rPr>
          <w:rFonts w:ascii="Arial" w:hAnsi="Arial" w:cs="Arial"/>
          <w:b/>
          <w:color w:val="000000" w:themeColor="text1"/>
          <w:sz w:val="24"/>
          <w:szCs w:val="24"/>
        </w:rPr>
        <w:t>Lecturer’s name:</w:t>
      </w:r>
      <w:r w:rsidR="000B403C" w:rsidRPr="00890D3A">
        <w:rPr>
          <w:rFonts w:ascii="Arial" w:hAnsi="Arial" w:cs="Arial"/>
          <w:b/>
          <w:color w:val="000000" w:themeColor="text1"/>
          <w:sz w:val="24"/>
          <w:szCs w:val="24"/>
        </w:rPr>
        <w:t xml:space="preserve"> Helen Lee</w:t>
      </w:r>
    </w:p>
    <w:p w14:paraId="0FF04A90" w14:textId="5EA34110" w:rsidR="00B701C2" w:rsidRDefault="00B701C2" w:rsidP="00E61475">
      <w:pPr>
        <w:spacing w:line="360" w:lineRule="auto"/>
        <w:jc w:val="center"/>
        <w:rPr>
          <w:rFonts w:ascii="Arial" w:hAnsi="Arial" w:cs="Arial"/>
          <w:b/>
          <w:color w:val="000000" w:themeColor="text1"/>
          <w:sz w:val="24"/>
          <w:szCs w:val="24"/>
        </w:rPr>
      </w:pPr>
      <w:r>
        <w:rPr>
          <w:rFonts w:ascii="Arial" w:hAnsi="Arial" w:cs="Arial"/>
          <w:b/>
          <w:color w:val="000000" w:themeColor="text1"/>
          <w:sz w:val="24"/>
          <w:szCs w:val="24"/>
        </w:rPr>
        <w:t>Gabriela Anghel 2131340</w:t>
      </w:r>
    </w:p>
    <w:p w14:paraId="0E2F3DDA" w14:textId="77777777" w:rsidR="00A462FC" w:rsidRDefault="00A462FC" w:rsidP="00E61475">
      <w:pPr>
        <w:spacing w:line="360" w:lineRule="auto"/>
        <w:jc w:val="center"/>
        <w:rPr>
          <w:rFonts w:ascii="Arial" w:hAnsi="Arial" w:cs="Arial"/>
          <w:b/>
          <w:color w:val="000000" w:themeColor="text1"/>
          <w:sz w:val="24"/>
          <w:szCs w:val="24"/>
        </w:rPr>
      </w:pPr>
    </w:p>
    <w:p w14:paraId="63A62FE2" w14:textId="6D878AFA" w:rsidR="00A462FC" w:rsidRPr="00A462FC" w:rsidRDefault="00A462FC" w:rsidP="00E61475">
      <w:pPr>
        <w:spacing w:line="360" w:lineRule="auto"/>
        <w:jc w:val="center"/>
        <w:rPr>
          <w:rFonts w:ascii="Arial" w:hAnsi="Arial" w:cs="Arial"/>
          <w:b/>
          <w:color w:val="000000" w:themeColor="text1"/>
          <w:sz w:val="32"/>
          <w:szCs w:val="32"/>
        </w:rPr>
      </w:pPr>
      <w:r w:rsidRPr="00A462FC">
        <w:rPr>
          <w:rFonts w:ascii="Arial" w:hAnsi="Arial" w:cs="Arial"/>
          <w:b/>
          <w:color w:val="000000" w:themeColor="text1"/>
          <w:sz w:val="32"/>
          <w:szCs w:val="32"/>
        </w:rPr>
        <w:t>Essay on</w:t>
      </w:r>
    </w:p>
    <w:p w14:paraId="1E55215D" w14:textId="77777777" w:rsidR="00A462FC" w:rsidRPr="00A462FC" w:rsidRDefault="00A462FC" w:rsidP="00A462FC">
      <w:pPr>
        <w:spacing w:line="360" w:lineRule="auto"/>
        <w:jc w:val="center"/>
        <w:rPr>
          <w:rFonts w:ascii="Arial" w:hAnsi="Arial" w:cs="Arial"/>
          <w:b/>
          <w:color w:val="000000" w:themeColor="text1"/>
          <w:sz w:val="32"/>
          <w:szCs w:val="32"/>
        </w:rPr>
      </w:pPr>
      <w:r w:rsidRPr="00A462FC">
        <w:rPr>
          <w:rFonts w:ascii="Arial" w:hAnsi="Arial" w:cs="Arial"/>
          <w:b/>
          <w:color w:val="000000" w:themeColor="text1"/>
          <w:sz w:val="32"/>
          <w:szCs w:val="32"/>
        </w:rPr>
        <w:t>Title: How to handle disengaged/ill-engaged employees in a large organisation with reference to the employee lifecycle?</w:t>
      </w:r>
    </w:p>
    <w:p w14:paraId="6E35BB08" w14:textId="77777777" w:rsidR="00A462FC" w:rsidRPr="00890D3A" w:rsidRDefault="00A462FC" w:rsidP="00E61475">
      <w:pPr>
        <w:spacing w:line="360" w:lineRule="auto"/>
        <w:jc w:val="center"/>
        <w:rPr>
          <w:rFonts w:ascii="Arial" w:hAnsi="Arial" w:cs="Arial"/>
          <w:b/>
          <w:color w:val="000000" w:themeColor="text1"/>
          <w:sz w:val="24"/>
          <w:szCs w:val="24"/>
        </w:rPr>
      </w:pPr>
    </w:p>
    <w:p w14:paraId="2F5B4738" w14:textId="4DD21D9F" w:rsidR="00F57E4F" w:rsidRPr="00890D3A" w:rsidRDefault="00A81A18" w:rsidP="00890D3A">
      <w:pPr>
        <w:jc w:val="center"/>
        <w:rPr>
          <w:rFonts w:ascii="Arial" w:hAnsi="Arial" w:cs="Arial"/>
          <w:b/>
          <w:bCs/>
          <w:color w:val="000000" w:themeColor="text1"/>
          <w:sz w:val="24"/>
          <w:szCs w:val="24"/>
        </w:rPr>
      </w:pPr>
      <w:r w:rsidRPr="00890D3A">
        <w:rPr>
          <w:rFonts w:ascii="Arial" w:hAnsi="Arial" w:cs="Arial"/>
          <w:b/>
          <w:bCs/>
          <w:color w:val="000000" w:themeColor="text1"/>
          <w:sz w:val="24"/>
          <w:szCs w:val="24"/>
        </w:rPr>
        <w:br w:type="page"/>
      </w:r>
    </w:p>
    <w:p w14:paraId="6A39926A" w14:textId="266D6192" w:rsidR="002B3E43" w:rsidRPr="00890D3A" w:rsidRDefault="002B3E43" w:rsidP="00A81A18">
      <w:pPr>
        <w:pStyle w:val="Heading1"/>
        <w:rPr>
          <w:sz w:val="24"/>
          <w:szCs w:val="24"/>
        </w:rPr>
      </w:pPr>
      <w:bookmarkStart w:id="0" w:name="_Toc150842262"/>
      <w:r w:rsidRPr="00890D3A">
        <w:rPr>
          <w:sz w:val="24"/>
          <w:szCs w:val="24"/>
        </w:rPr>
        <w:lastRenderedPageBreak/>
        <w:t>Introduction</w:t>
      </w:r>
      <w:bookmarkEnd w:id="0"/>
    </w:p>
    <w:p w14:paraId="5BC7ED4F" w14:textId="3565CBC9" w:rsidR="00F57E4F" w:rsidRPr="00A462FC" w:rsidRDefault="002B3E43" w:rsidP="00362448">
      <w:pPr>
        <w:spacing w:line="360" w:lineRule="auto"/>
        <w:jc w:val="both"/>
        <w:rPr>
          <w:rFonts w:ascii="Arial" w:hAnsi="Arial" w:cs="Arial"/>
          <w:color w:val="000000" w:themeColor="text1"/>
          <w:sz w:val="24"/>
          <w:szCs w:val="24"/>
        </w:rPr>
      </w:pPr>
      <w:r w:rsidRPr="00890D3A">
        <w:rPr>
          <w:rFonts w:ascii="Arial" w:hAnsi="Arial" w:cs="Arial"/>
          <w:color w:val="000000" w:themeColor="text1"/>
          <w:sz w:val="24"/>
          <w:szCs w:val="24"/>
        </w:rPr>
        <w:t>The hospitality sector is fast-paced and service-oriented, making employee engagement a multifaceted notion essential to business success</w:t>
      </w:r>
      <w:r w:rsidR="00367A95" w:rsidRPr="00890D3A">
        <w:rPr>
          <w:rFonts w:ascii="Arial" w:hAnsi="Arial" w:cs="Arial"/>
          <w:color w:val="000000" w:themeColor="text1"/>
          <w:sz w:val="24"/>
          <w:szCs w:val="24"/>
        </w:rPr>
        <w:t xml:space="preserve"> (Grant &amp; Sumanth, 2021)</w:t>
      </w:r>
      <w:r w:rsidRPr="00890D3A">
        <w:rPr>
          <w:rFonts w:ascii="Arial" w:hAnsi="Arial" w:cs="Arial"/>
          <w:color w:val="000000" w:themeColor="text1"/>
          <w:sz w:val="24"/>
          <w:szCs w:val="24"/>
        </w:rPr>
        <w:t>. Human Resources (HR) plays a crucial role in supporting engagement throughout the employee lifecycle since disengaged or ill-engaged workers can have a substantial influence on productivity and morale</w:t>
      </w:r>
      <w:r w:rsidR="00BE5EFA">
        <w:rPr>
          <w:rFonts w:ascii="Arial" w:hAnsi="Arial" w:cs="Arial"/>
          <w:color w:val="000000" w:themeColor="text1"/>
          <w:sz w:val="24"/>
          <w:szCs w:val="24"/>
        </w:rPr>
        <w:t xml:space="preserve"> </w:t>
      </w:r>
      <w:r w:rsidR="00BE5EFA" w:rsidRPr="00DE70E3">
        <w:rPr>
          <w:rFonts w:ascii="Arial" w:hAnsi="Arial" w:cs="Arial"/>
          <w:color w:val="000000" w:themeColor="text1"/>
          <w:sz w:val="24"/>
          <w:szCs w:val="24"/>
        </w:rPr>
        <w:t>(Kahn, 2018)</w:t>
      </w:r>
      <w:r w:rsidRPr="00890D3A">
        <w:rPr>
          <w:rFonts w:ascii="Arial" w:hAnsi="Arial" w:cs="Arial"/>
          <w:color w:val="000000" w:themeColor="text1"/>
          <w:sz w:val="24"/>
          <w:szCs w:val="24"/>
        </w:rPr>
        <w:t xml:space="preserve">. Focusing on critical stages of the employee lifecycle and the strategic interventions HR might utilise, this essay will look into methods for </w:t>
      </w:r>
      <w:r w:rsidR="00B701C2">
        <w:rPr>
          <w:rFonts w:ascii="Arial" w:hAnsi="Arial" w:cs="Arial"/>
          <w:color w:val="000000" w:themeColor="text1"/>
          <w:sz w:val="24"/>
          <w:szCs w:val="24"/>
        </w:rPr>
        <w:t>re-engaging</w:t>
      </w:r>
      <w:r w:rsidRPr="00890D3A">
        <w:rPr>
          <w:rFonts w:ascii="Arial" w:hAnsi="Arial" w:cs="Arial"/>
          <w:color w:val="000000" w:themeColor="text1"/>
          <w:sz w:val="24"/>
          <w:szCs w:val="24"/>
        </w:rPr>
        <w:t xml:space="preserve"> disengaged workers at a large hotel.</w:t>
      </w:r>
    </w:p>
    <w:p w14:paraId="1FC17B55" w14:textId="4D44E3F2" w:rsidR="002B3E43" w:rsidRPr="00890D3A" w:rsidRDefault="002B3E43" w:rsidP="00A81A18">
      <w:pPr>
        <w:pStyle w:val="Heading1"/>
        <w:rPr>
          <w:sz w:val="24"/>
          <w:szCs w:val="24"/>
        </w:rPr>
      </w:pPr>
      <w:bookmarkStart w:id="1" w:name="_Toc150842263"/>
      <w:r w:rsidRPr="00890D3A">
        <w:rPr>
          <w:sz w:val="24"/>
          <w:szCs w:val="24"/>
        </w:rPr>
        <w:t>Attraction</w:t>
      </w:r>
      <w:bookmarkEnd w:id="1"/>
    </w:p>
    <w:p w14:paraId="7720F2DD" w14:textId="6A66B4B8" w:rsidR="002B3E43" w:rsidRPr="00890D3A" w:rsidRDefault="002B3E43" w:rsidP="00362448">
      <w:pPr>
        <w:spacing w:line="360" w:lineRule="auto"/>
        <w:jc w:val="both"/>
        <w:rPr>
          <w:rFonts w:ascii="Arial" w:hAnsi="Arial" w:cs="Arial"/>
          <w:color w:val="000000" w:themeColor="text1"/>
          <w:sz w:val="24"/>
          <w:szCs w:val="24"/>
        </w:rPr>
      </w:pPr>
      <w:r w:rsidRPr="00890D3A">
        <w:rPr>
          <w:rFonts w:ascii="Arial" w:hAnsi="Arial" w:cs="Arial"/>
          <w:color w:val="000000" w:themeColor="text1"/>
          <w:sz w:val="24"/>
          <w:szCs w:val="24"/>
        </w:rPr>
        <w:t>Employee engagement is built on a foundation of attracting and retaining top people. Human resources in the hospitality business must create a compelling employer brand that goes beyond cosmetic amenities in order to compete. This requires not just presenting the concrete benefits but also showing the distinctive culture, beliefs, and commitment to employee development within the organisation. By emphasising these points during the recruitment process, HR can bring in guests who share the hotel's values and vision, cutting down on turnover right from the start</w:t>
      </w:r>
      <w:r w:rsidR="009E0071" w:rsidRPr="00890D3A">
        <w:rPr>
          <w:rFonts w:ascii="Arial" w:hAnsi="Arial" w:cs="Arial"/>
          <w:color w:val="000000" w:themeColor="text1"/>
          <w:sz w:val="24"/>
          <w:szCs w:val="24"/>
        </w:rPr>
        <w:t xml:space="preserve"> (Seligman, 2022)</w:t>
      </w:r>
      <w:r w:rsidRPr="00890D3A">
        <w:rPr>
          <w:rFonts w:ascii="Arial" w:hAnsi="Arial" w:cs="Arial"/>
          <w:color w:val="000000" w:themeColor="text1"/>
          <w:sz w:val="24"/>
          <w:szCs w:val="24"/>
        </w:rPr>
        <w:t>. Luxury hotel chains that advertise their dedication to their employees' happiness, professional development, and satisfaction in the workplace are a great example of a company with a successful attraction strategy. These hotels attract and retain talented workers by selling them on the idea that their workplace is more than simply a place to punch a clock; rather, it's also an opportunity to grow as a person.</w:t>
      </w:r>
    </w:p>
    <w:p w14:paraId="4611FFDF" w14:textId="66E9A6CF" w:rsidR="002B3E43" w:rsidRPr="00890D3A" w:rsidRDefault="002B3E43" w:rsidP="00A81A18">
      <w:pPr>
        <w:pStyle w:val="Heading1"/>
        <w:rPr>
          <w:sz w:val="24"/>
          <w:szCs w:val="24"/>
        </w:rPr>
      </w:pPr>
      <w:bookmarkStart w:id="2" w:name="_Toc150842264"/>
      <w:r w:rsidRPr="00890D3A">
        <w:rPr>
          <w:sz w:val="24"/>
          <w:szCs w:val="24"/>
        </w:rPr>
        <w:t>Recruitment</w:t>
      </w:r>
      <w:bookmarkEnd w:id="2"/>
    </w:p>
    <w:p w14:paraId="2256C851" w14:textId="7D9D8E9D" w:rsidR="002B3E43" w:rsidRPr="00890D3A" w:rsidRDefault="002B3E43" w:rsidP="00362448">
      <w:pPr>
        <w:spacing w:line="360" w:lineRule="auto"/>
        <w:jc w:val="both"/>
        <w:rPr>
          <w:rFonts w:ascii="Arial" w:hAnsi="Arial" w:cs="Arial"/>
          <w:color w:val="000000" w:themeColor="text1"/>
          <w:sz w:val="24"/>
          <w:szCs w:val="24"/>
        </w:rPr>
      </w:pPr>
      <w:r w:rsidRPr="00890D3A">
        <w:rPr>
          <w:rFonts w:ascii="Arial" w:hAnsi="Arial" w:cs="Arial"/>
          <w:color w:val="000000" w:themeColor="text1"/>
          <w:sz w:val="24"/>
          <w:szCs w:val="24"/>
        </w:rPr>
        <w:t>Human resources has a golden opportunity to gauge a candidate's cultural fit with the company as well as their technical abilities and qualifications during the hiring process. Disengagement can occur later if the candidate's values don't mesh with those of the hotel. Human resources should remedy this by instituting a stringent selection procedure that gives equal weight to candidates' technical skills and cultural fit. Incorporating behavioural interview questions that evaluate a candidate's fit with the company's ideals in addition to their technical competence would be one method</w:t>
      </w:r>
      <w:r w:rsidR="009E0071" w:rsidRPr="00890D3A">
        <w:rPr>
          <w:rFonts w:ascii="Arial" w:hAnsi="Arial" w:cs="Arial"/>
          <w:color w:val="000000" w:themeColor="text1"/>
          <w:sz w:val="24"/>
          <w:szCs w:val="24"/>
        </w:rPr>
        <w:t xml:space="preserve"> (O'Reilly &amp; Pfeffer, 2021)</w:t>
      </w:r>
      <w:r w:rsidRPr="00890D3A">
        <w:rPr>
          <w:rFonts w:ascii="Arial" w:hAnsi="Arial" w:cs="Arial"/>
          <w:color w:val="000000" w:themeColor="text1"/>
          <w:sz w:val="24"/>
          <w:szCs w:val="24"/>
        </w:rPr>
        <w:t xml:space="preserve">. A hotel with a strong customer-centric culture, for instance, would ask job candidates to </w:t>
      </w:r>
      <w:r w:rsidRPr="00890D3A">
        <w:rPr>
          <w:rFonts w:ascii="Arial" w:hAnsi="Arial" w:cs="Arial"/>
          <w:color w:val="000000" w:themeColor="text1"/>
          <w:sz w:val="24"/>
          <w:szCs w:val="24"/>
        </w:rPr>
        <w:lastRenderedPageBreak/>
        <w:t>describe instances in which they went above and beyond to ensure client pleasure. By bringing the candidate's expectations into line with the culture of the company, this not only aids in finding the appropriate fit but also paves the way for engagement.</w:t>
      </w:r>
    </w:p>
    <w:p w14:paraId="764F8E7C" w14:textId="2CB1429E" w:rsidR="002B3E43" w:rsidRPr="00890D3A" w:rsidRDefault="002B3E43" w:rsidP="00A81A18">
      <w:pPr>
        <w:pStyle w:val="Heading1"/>
        <w:rPr>
          <w:sz w:val="24"/>
          <w:szCs w:val="24"/>
        </w:rPr>
      </w:pPr>
      <w:bookmarkStart w:id="3" w:name="_Toc150842265"/>
      <w:r w:rsidRPr="00890D3A">
        <w:rPr>
          <w:sz w:val="24"/>
          <w:szCs w:val="24"/>
        </w:rPr>
        <w:t>Onboarding</w:t>
      </w:r>
      <w:bookmarkEnd w:id="3"/>
    </w:p>
    <w:p w14:paraId="5B455849" w14:textId="04F69284" w:rsidR="002B3E43" w:rsidRPr="00890D3A" w:rsidRDefault="002B3E43" w:rsidP="00362448">
      <w:pPr>
        <w:spacing w:line="360" w:lineRule="auto"/>
        <w:jc w:val="both"/>
        <w:rPr>
          <w:rFonts w:ascii="Arial" w:hAnsi="Arial" w:cs="Arial"/>
          <w:color w:val="000000" w:themeColor="text1"/>
          <w:sz w:val="24"/>
          <w:szCs w:val="24"/>
        </w:rPr>
      </w:pPr>
      <w:r w:rsidRPr="00890D3A">
        <w:rPr>
          <w:rFonts w:ascii="Arial" w:hAnsi="Arial" w:cs="Arial"/>
          <w:color w:val="000000" w:themeColor="text1"/>
          <w:sz w:val="24"/>
          <w:szCs w:val="24"/>
        </w:rPr>
        <w:t>Setting the stage for productive employee engagement begins with a solid onboarding process. Human resources must go beyond only handling paperwork and instead work to immediately incorporate new employees into the company's culture</w:t>
      </w:r>
      <w:r w:rsidR="00105BDF" w:rsidRPr="00890D3A">
        <w:rPr>
          <w:rFonts w:ascii="Arial" w:hAnsi="Arial" w:cs="Arial"/>
          <w:color w:val="000000" w:themeColor="text1"/>
          <w:sz w:val="24"/>
          <w:szCs w:val="24"/>
        </w:rPr>
        <w:t xml:space="preserve"> (Four Seasons Hotels and Resorts, </w:t>
      </w:r>
      <w:r w:rsidR="00727206">
        <w:rPr>
          <w:rFonts w:ascii="Arial" w:hAnsi="Arial" w:cs="Arial"/>
          <w:color w:val="000000" w:themeColor="text1"/>
          <w:sz w:val="24"/>
          <w:szCs w:val="24"/>
        </w:rPr>
        <w:t>2023</w:t>
      </w:r>
      <w:r w:rsidR="00105BDF" w:rsidRPr="00890D3A">
        <w:rPr>
          <w:rFonts w:ascii="Arial" w:hAnsi="Arial" w:cs="Arial"/>
          <w:color w:val="000000" w:themeColor="text1"/>
          <w:sz w:val="24"/>
          <w:szCs w:val="24"/>
        </w:rPr>
        <w:t>)</w:t>
      </w:r>
      <w:r w:rsidRPr="00890D3A">
        <w:rPr>
          <w:rFonts w:ascii="Arial" w:hAnsi="Arial" w:cs="Arial"/>
          <w:color w:val="000000" w:themeColor="text1"/>
          <w:sz w:val="24"/>
          <w:szCs w:val="24"/>
        </w:rPr>
        <w:t>. The company's principles, goal, and vision must be explained to new personnel, and they must be assigned mentors to help them adjust to their new roles. One well-known hotel company uses the "buddy system" as part of its orientation programme. Each new hire is partnered with an experienced team member who serves as a mentor and teacher in both the technical and cultural aspects of the job. This one-on-one interaction increases loyalty and decreases the likelihood of early defection.</w:t>
      </w:r>
    </w:p>
    <w:p w14:paraId="013E7167" w14:textId="27558510" w:rsidR="002B3E43" w:rsidRPr="00890D3A" w:rsidRDefault="002B3E43" w:rsidP="00A81A18">
      <w:pPr>
        <w:pStyle w:val="Heading1"/>
        <w:rPr>
          <w:sz w:val="24"/>
          <w:szCs w:val="24"/>
        </w:rPr>
      </w:pPr>
      <w:bookmarkStart w:id="4" w:name="_Toc150842266"/>
      <w:r w:rsidRPr="00890D3A">
        <w:rPr>
          <w:sz w:val="24"/>
          <w:szCs w:val="24"/>
        </w:rPr>
        <w:t>Development</w:t>
      </w:r>
      <w:bookmarkEnd w:id="4"/>
    </w:p>
    <w:p w14:paraId="5AC36291" w14:textId="6F62E45A" w:rsidR="002B3E43" w:rsidRPr="00890D3A" w:rsidRDefault="002B3E43" w:rsidP="00362448">
      <w:pPr>
        <w:spacing w:line="360" w:lineRule="auto"/>
        <w:jc w:val="both"/>
        <w:rPr>
          <w:rFonts w:ascii="Arial" w:hAnsi="Arial" w:cs="Arial"/>
          <w:color w:val="000000" w:themeColor="text1"/>
          <w:sz w:val="24"/>
          <w:szCs w:val="24"/>
        </w:rPr>
      </w:pPr>
      <w:r w:rsidRPr="00890D3A">
        <w:rPr>
          <w:rFonts w:ascii="Arial" w:hAnsi="Arial" w:cs="Arial"/>
          <w:color w:val="000000" w:themeColor="text1"/>
          <w:sz w:val="24"/>
          <w:szCs w:val="24"/>
        </w:rPr>
        <w:t>Investing in employees' professional growth is a potent way to encourage loyalty over the long haul. Human resources should create and disseminate structured learning opportunities, mentoring programmes, and defined career paths</w:t>
      </w:r>
      <w:r w:rsidR="00367A95" w:rsidRPr="00890D3A">
        <w:rPr>
          <w:rFonts w:ascii="Arial" w:hAnsi="Arial" w:cs="Arial"/>
          <w:color w:val="000000" w:themeColor="text1"/>
          <w:sz w:val="24"/>
          <w:szCs w:val="24"/>
        </w:rPr>
        <w:t xml:space="preserve"> (Marriott International, </w:t>
      </w:r>
      <w:r w:rsidR="00727206">
        <w:rPr>
          <w:rFonts w:ascii="Arial" w:hAnsi="Arial" w:cs="Arial"/>
          <w:color w:val="000000" w:themeColor="text1"/>
          <w:sz w:val="24"/>
          <w:szCs w:val="24"/>
        </w:rPr>
        <w:t>2023</w:t>
      </w:r>
      <w:r w:rsidR="00367A95" w:rsidRPr="00890D3A">
        <w:rPr>
          <w:rFonts w:ascii="Arial" w:hAnsi="Arial" w:cs="Arial"/>
          <w:color w:val="000000" w:themeColor="text1"/>
          <w:sz w:val="24"/>
          <w:szCs w:val="24"/>
        </w:rPr>
        <w:t>)</w:t>
      </w:r>
      <w:r w:rsidRPr="00890D3A">
        <w:rPr>
          <w:rFonts w:ascii="Arial" w:hAnsi="Arial" w:cs="Arial"/>
          <w:color w:val="000000" w:themeColor="text1"/>
          <w:sz w:val="24"/>
          <w:szCs w:val="24"/>
        </w:rPr>
        <w:t>. In order to keep people interested in and dedicated to their jobs, it is important to provide them with opportunities for ongoing training and education. Career development programmes offered by major hotel chains are a good illustration of how this works in practise. Opportunities for staff to learn new skills and acquire experience in other areas of the hotel are common components of such programmes</w:t>
      </w:r>
      <w:r w:rsidR="00604D53">
        <w:rPr>
          <w:rFonts w:ascii="Arial" w:hAnsi="Arial" w:cs="Arial"/>
          <w:color w:val="000000" w:themeColor="text1"/>
          <w:sz w:val="24"/>
          <w:szCs w:val="24"/>
        </w:rPr>
        <w:t xml:space="preserve"> </w:t>
      </w:r>
      <w:r w:rsidR="00604D53" w:rsidRPr="00DE70E3">
        <w:rPr>
          <w:rFonts w:ascii="Arial" w:hAnsi="Arial" w:cs="Arial"/>
          <w:color w:val="000000" w:themeColor="text1"/>
          <w:sz w:val="24"/>
          <w:szCs w:val="24"/>
        </w:rPr>
        <w:t>(Horn, 2009)</w:t>
      </w:r>
      <w:r w:rsidRPr="00890D3A">
        <w:rPr>
          <w:rFonts w:ascii="Arial" w:hAnsi="Arial" w:cs="Arial"/>
          <w:color w:val="000000" w:themeColor="text1"/>
          <w:sz w:val="24"/>
          <w:szCs w:val="24"/>
        </w:rPr>
        <w:t>. Because of the obvious road to promotion they provide, employees not only benefit professionally from such efforts, but they also feel more loyal and invested in the company as a whole.</w:t>
      </w:r>
    </w:p>
    <w:p w14:paraId="14A93722" w14:textId="16DE6C3D" w:rsidR="002B3E43" w:rsidRPr="00890D3A" w:rsidRDefault="002B3E43" w:rsidP="00A81A18">
      <w:pPr>
        <w:pStyle w:val="Heading1"/>
        <w:rPr>
          <w:sz w:val="24"/>
          <w:szCs w:val="24"/>
        </w:rPr>
      </w:pPr>
      <w:bookmarkStart w:id="5" w:name="_Toc150842267"/>
      <w:r w:rsidRPr="00890D3A">
        <w:rPr>
          <w:sz w:val="24"/>
          <w:szCs w:val="24"/>
        </w:rPr>
        <w:t>Retention</w:t>
      </w:r>
      <w:bookmarkEnd w:id="5"/>
    </w:p>
    <w:p w14:paraId="7CEB23E5" w14:textId="7C4F5249" w:rsidR="002B3E43" w:rsidRPr="00890D3A" w:rsidRDefault="002B3E43" w:rsidP="00362448">
      <w:pPr>
        <w:spacing w:line="360" w:lineRule="auto"/>
        <w:jc w:val="both"/>
        <w:rPr>
          <w:rFonts w:ascii="Arial" w:hAnsi="Arial" w:cs="Arial"/>
          <w:color w:val="000000" w:themeColor="text1"/>
          <w:sz w:val="24"/>
          <w:szCs w:val="24"/>
        </w:rPr>
      </w:pPr>
      <w:r w:rsidRPr="00890D3A">
        <w:rPr>
          <w:rFonts w:ascii="Arial" w:hAnsi="Arial" w:cs="Arial"/>
          <w:color w:val="000000" w:themeColor="text1"/>
          <w:sz w:val="24"/>
          <w:szCs w:val="24"/>
        </w:rPr>
        <w:t xml:space="preserve">Employee retention rates are a good indicator of how well an organisation is doing in terms of employee engagement. Human resources is pivotal in creating a welcoming workplace where employees feel valued and appreciated. Initiatives aimed at retaining employees typically include a rewards programme, a mechanism for providing regular </w:t>
      </w:r>
      <w:r w:rsidRPr="00890D3A">
        <w:rPr>
          <w:rFonts w:ascii="Arial" w:hAnsi="Arial" w:cs="Arial"/>
          <w:color w:val="000000" w:themeColor="text1"/>
          <w:sz w:val="24"/>
          <w:szCs w:val="24"/>
        </w:rPr>
        <w:lastRenderedPageBreak/>
        <w:t>feedback, and more flexible working conditions</w:t>
      </w:r>
      <w:r w:rsidR="009E0071" w:rsidRPr="00890D3A">
        <w:rPr>
          <w:rFonts w:ascii="Arial" w:hAnsi="Arial" w:cs="Arial"/>
          <w:color w:val="000000" w:themeColor="text1"/>
          <w:sz w:val="24"/>
          <w:szCs w:val="24"/>
        </w:rPr>
        <w:t xml:space="preserve"> (Towers Watson, 2023)</w:t>
      </w:r>
      <w:r w:rsidRPr="00890D3A">
        <w:rPr>
          <w:rFonts w:ascii="Arial" w:hAnsi="Arial" w:cs="Arial"/>
          <w:color w:val="000000" w:themeColor="text1"/>
          <w:sz w:val="24"/>
          <w:szCs w:val="24"/>
        </w:rPr>
        <w:t>. An effective employee recognition programme can be seen in the case of a boutique hotel. Awards for exceptional performance are part of the programme, along with more casual, day-to-day displays of gratitude. Employees are more likely to remain invested in their work and dedicated to the company when they get continuous affirmation of their contributions and efforts.</w:t>
      </w:r>
    </w:p>
    <w:p w14:paraId="63CD0372" w14:textId="6DEB2731" w:rsidR="002B3E43" w:rsidRPr="00890D3A" w:rsidRDefault="002B3E43" w:rsidP="00A81A18">
      <w:pPr>
        <w:pStyle w:val="Heading1"/>
        <w:rPr>
          <w:sz w:val="24"/>
          <w:szCs w:val="24"/>
        </w:rPr>
      </w:pPr>
      <w:bookmarkStart w:id="6" w:name="_Toc150842268"/>
      <w:r w:rsidRPr="00890D3A">
        <w:rPr>
          <w:sz w:val="24"/>
          <w:szCs w:val="24"/>
        </w:rPr>
        <w:t>Separation</w:t>
      </w:r>
      <w:bookmarkEnd w:id="6"/>
    </w:p>
    <w:p w14:paraId="33960A15" w14:textId="11FD81EA" w:rsidR="002B3E43" w:rsidRPr="00890D3A" w:rsidRDefault="002B3E43" w:rsidP="00362448">
      <w:pPr>
        <w:spacing w:line="360" w:lineRule="auto"/>
        <w:jc w:val="both"/>
        <w:rPr>
          <w:rFonts w:ascii="Arial" w:hAnsi="Arial" w:cs="Arial"/>
          <w:color w:val="000000" w:themeColor="text1"/>
          <w:sz w:val="24"/>
          <w:szCs w:val="24"/>
        </w:rPr>
      </w:pPr>
      <w:r w:rsidRPr="00890D3A">
        <w:rPr>
          <w:rFonts w:ascii="Arial" w:hAnsi="Arial" w:cs="Arial"/>
          <w:color w:val="000000" w:themeColor="text1"/>
          <w:sz w:val="24"/>
          <w:szCs w:val="24"/>
        </w:rPr>
        <w:t>Human resources can manage a separation with compassion and competence even if it's necessary. Carefully administered exit interviews reveal the factors that led to employees leaving. Human resources should use this information to make changes, fixing the underlying problems that may cause future disengagement. Moreover, keeping excellent ties with departing employees can be useful for possible rehires or referrals, contributing to a positive employer brand</w:t>
      </w:r>
      <w:r w:rsidR="009E0071" w:rsidRPr="00890D3A">
        <w:rPr>
          <w:rFonts w:ascii="Arial" w:hAnsi="Arial" w:cs="Arial"/>
          <w:color w:val="000000" w:themeColor="text1"/>
          <w:sz w:val="24"/>
          <w:szCs w:val="24"/>
        </w:rPr>
        <w:t xml:space="preserve"> (Boxall &amp; Macky, 2021)</w:t>
      </w:r>
      <w:r w:rsidRPr="00890D3A">
        <w:rPr>
          <w:rFonts w:ascii="Arial" w:hAnsi="Arial" w:cs="Arial"/>
          <w:color w:val="000000" w:themeColor="text1"/>
          <w:sz w:val="24"/>
          <w:szCs w:val="24"/>
        </w:rPr>
        <w:t>. Exit interviews in the hospitality business, for instance, encourage employees to provide helpful suggestions rather than assign blame. This method not only benefits the company by shedding light on the causes of disengagement, but it also leaves the door open for future partnerships. When employees leave on amicable terms, they can become advocates for the hotel brand, telling their personal and professional networks why the hotel is a great place to work.</w:t>
      </w:r>
    </w:p>
    <w:p w14:paraId="4FE333EC" w14:textId="44913EEE" w:rsidR="002B3E43" w:rsidRPr="00890D3A" w:rsidRDefault="002B3E43" w:rsidP="00A81A18">
      <w:pPr>
        <w:pStyle w:val="Heading1"/>
        <w:rPr>
          <w:sz w:val="24"/>
          <w:szCs w:val="24"/>
        </w:rPr>
      </w:pPr>
      <w:bookmarkStart w:id="7" w:name="_Toc150842269"/>
      <w:r w:rsidRPr="00890D3A">
        <w:rPr>
          <w:sz w:val="24"/>
          <w:szCs w:val="24"/>
        </w:rPr>
        <w:t>Depending on the specifics of the hotel business, a number of methods can be used to encourage employee participation</w:t>
      </w:r>
      <w:bookmarkEnd w:id="7"/>
    </w:p>
    <w:p w14:paraId="2500946A" w14:textId="304AC8EB" w:rsidR="002B3E43" w:rsidRPr="00890D3A" w:rsidRDefault="002B3E43" w:rsidP="00362448">
      <w:pPr>
        <w:spacing w:line="360" w:lineRule="auto"/>
        <w:jc w:val="both"/>
        <w:rPr>
          <w:rFonts w:ascii="Arial" w:hAnsi="Arial" w:cs="Arial"/>
          <w:color w:val="000000" w:themeColor="text1"/>
          <w:sz w:val="24"/>
          <w:szCs w:val="24"/>
        </w:rPr>
      </w:pPr>
      <w:r w:rsidRPr="00890D3A">
        <w:rPr>
          <w:rFonts w:ascii="Arial" w:hAnsi="Arial" w:cs="Arial"/>
          <w:color w:val="000000" w:themeColor="text1"/>
          <w:sz w:val="24"/>
          <w:szCs w:val="24"/>
        </w:rPr>
        <w:t>Awards and Commendation Programmes:  Publicly recognising and rewarding employees' efforts has been shown to increase morale, boost productivity, and encourage further success</w:t>
      </w:r>
      <w:r w:rsidR="00BE5EFA">
        <w:rPr>
          <w:rFonts w:ascii="Arial" w:hAnsi="Arial" w:cs="Arial"/>
          <w:color w:val="000000" w:themeColor="text1"/>
          <w:sz w:val="24"/>
          <w:szCs w:val="24"/>
        </w:rPr>
        <w:t xml:space="preserve"> </w:t>
      </w:r>
      <w:r w:rsidR="00BE5EFA" w:rsidRPr="00DE70E3">
        <w:rPr>
          <w:rFonts w:ascii="Arial" w:hAnsi="Arial" w:cs="Arial"/>
          <w:color w:val="000000" w:themeColor="text1"/>
          <w:sz w:val="24"/>
          <w:szCs w:val="24"/>
        </w:rPr>
        <w:t>(Murton et al., 2010)</w:t>
      </w:r>
      <w:r w:rsidRPr="00890D3A">
        <w:rPr>
          <w:rFonts w:ascii="Arial" w:hAnsi="Arial" w:cs="Arial"/>
          <w:color w:val="000000" w:themeColor="text1"/>
          <w:sz w:val="24"/>
          <w:szCs w:val="24"/>
        </w:rPr>
        <w:t>. This might be anything from a quick shout-out during a team meeting to an elaborate awards ceremony.</w:t>
      </w:r>
    </w:p>
    <w:p w14:paraId="1D841B04" w14:textId="18F0C99A" w:rsidR="002B3E43" w:rsidRPr="00890D3A" w:rsidRDefault="002B3E43" w:rsidP="00362448">
      <w:pPr>
        <w:spacing w:line="360" w:lineRule="auto"/>
        <w:jc w:val="both"/>
        <w:rPr>
          <w:rFonts w:ascii="Arial" w:hAnsi="Arial" w:cs="Arial"/>
          <w:color w:val="000000" w:themeColor="text1"/>
          <w:sz w:val="24"/>
          <w:szCs w:val="24"/>
        </w:rPr>
      </w:pPr>
      <w:r w:rsidRPr="00890D3A">
        <w:rPr>
          <w:rFonts w:ascii="Arial" w:hAnsi="Arial" w:cs="Arial"/>
          <w:color w:val="000000" w:themeColor="text1"/>
          <w:sz w:val="24"/>
          <w:szCs w:val="24"/>
        </w:rPr>
        <w:t>Flexible Work Arrangements : Recognising the varied demands of hotel staff, offering a number of options for how and when employees complete their work can help improve work-life balance, cut down on employee burnout, and boost morale and productivity.</w:t>
      </w:r>
    </w:p>
    <w:p w14:paraId="46703788" w14:textId="758E547E" w:rsidR="002B3E43" w:rsidRPr="00890D3A" w:rsidRDefault="002B3E43" w:rsidP="00362448">
      <w:pPr>
        <w:spacing w:line="360" w:lineRule="auto"/>
        <w:jc w:val="both"/>
        <w:rPr>
          <w:rFonts w:ascii="Arial" w:hAnsi="Arial" w:cs="Arial"/>
          <w:color w:val="000000" w:themeColor="text1"/>
          <w:sz w:val="24"/>
          <w:szCs w:val="24"/>
        </w:rPr>
      </w:pPr>
      <w:r w:rsidRPr="00890D3A">
        <w:rPr>
          <w:rFonts w:ascii="Arial" w:hAnsi="Arial" w:cs="Arial"/>
          <w:color w:val="000000" w:themeColor="text1"/>
          <w:sz w:val="24"/>
          <w:szCs w:val="24"/>
        </w:rPr>
        <w:lastRenderedPageBreak/>
        <w:t>3.  Team-Building Activities:  Cohesive teams are essential for success in the hospitality sector. Regular team-building exercises can promote collaboration, communication, and bonding among team members</w:t>
      </w:r>
      <w:r w:rsidR="00670FE5">
        <w:rPr>
          <w:rFonts w:ascii="Arial" w:hAnsi="Arial" w:cs="Arial"/>
          <w:color w:val="000000" w:themeColor="text1"/>
          <w:sz w:val="24"/>
          <w:szCs w:val="24"/>
        </w:rPr>
        <w:t xml:space="preserve"> </w:t>
      </w:r>
      <w:r w:rsidR="00670FE5" w:rsidRPr="00DE70E3">
        <w:rPr>
          <w:rFonts w:ascii="Arial" w:hAnsi="Arial" w:cs="Arial"/>
          <w:color w:val="000000" w:themeColor="text1"/>
          <w:sz w:val="24"/>
          <w:szCs w:val="24"/>
        </w:rPr>
        <w:t>(Blanchard &amp; Broadwell, 2008)</w:t>
      </w:r>
      <w:r w:rsidRPr="00890D3A">
        <w:rPr>
          <w:rFonts w:ascii="Arial" w:hAnsi="Arial" w:cs="Arial"/>
          <w:color w:val="000000" w:themeColor="text1"/>
          <w:sz w:val="24"/>
          <w:szCs w:val="24"/>
        </w:rPr>
        <w:t>.</w:t>
      </w:r>
    </w:p>
    <w:p w14:paraId="5A0F3B30" w14:textId="0234F46A" w:rsidR="002B3E43" w:rsidRPr="00890D3A" w:rsidRDefault="002B3E43" w:rsidP="00A81A18">
      <w:pPr>
        <w:pStyle w:val="Heading1"/>
        <w:rPr>
          <w:sz w:val="24"/>
          <w:szCs w:val="24"/>
        </w:rPr>
      </w:pPr>
      <w:bookmarkStart w:id="8" w:name="_Toc150842270"/>
      <w:r w:rsidRPr="00890D3A">
        <w:rPr>
          <w:sz w:val="24"/>
          <w:szCs w:val="24"/>
        </w:rPr>
        <w:t>Model for Employee Involvement</w:t>
      </w:r>
      <w:bookmarkEnd w:id="8"/>
    </w:p>
    <w:p w14:paraId="68FAF41F" w14:textId="2DC4258F" w:rsidR="002B3E43" w:rsidRPr="00890D3A" w:rsidRDefault="002B3E43" w:rsidP="00362448">
      <w:pPr>
        <w:spacing w:line="360" w:lineRule="auto"/>
        <w:jc w:val="both"/>
        <w:rPr>
          <w:rFonts w:ascii="Arial" w:hAnsi="Arial" w:cs="Arial"/>
          <w:color w:val="000000" w:themeColor="text1"/>
          <w:sz w:val="24"/>
          <w:szCs w:val="24"/>
        </w:rPr>
      </w:pPr>
      <w:r w:rsidRPr="00890D3A">
        <w:rPr>
          <w:rFonts w:ascii="Arial" w:hAnsi="Arial" w:cs="Arial"/>
          <w:color w:val="000000" w:themeColor="text1"/>
          <w:sz w:val="24"/>
          <w:szCs w:val="24"/>
        </w:rPr>
        <w:t>Martin Seligman's "PERMA" model is useful for both analysing and boosting employee enthusiasm. The concept centres on the following five pillars of health and happiness:</w:t>
      </w:r>
    </w:p>
    <w:p w14:paraId="7E743036" w14:textId="2D75F210" w:rsidR="002B3E43" w:rsidRPr="00890D3A" w:rsidRDefault="002B3E43" w:rsidP="00362448">
      <w:pPr>
        <w:spacing w:line="360" w:lineRule="auto"/>
        <w:jc w:val="both"/>
        <w:rPr>
          <w:rFonts w:ascii="Arial" w:hAnsi="Arial" w:cs="Arial"/>
          <w:color w:val="000000" w:themeColor="text1"/>
          <w:sz w:val="24"/>
          <w:szCs w:val="24"/>
        </w:rPr>
      </w:pPr>
      <w:r w:rsidRPr="00890D3A">
        <w:rPr>
          <w:rFonts w:ascii="Arial" w:hAnsi="Arial" w:cs="Arial"/>
          <w:color w:val="000000" w:themeColor="text1"/>
          <w:sz w:val="24"/>
          <w:szCs w:val="24"/>
        </w:rPr>
        <w:t>Positive Emotion:  Establishing an enjoyable place of work where employees experience happiness, admiration, and other beneficial feelings.</w:t>
      </w:r>
    </w:p>
    <w:p w14:paraId="7179EE76" w14:textId="36EC022B" w:rsidR="002B3E43" w:rsidRPr="00890D3A" w:rsidRDefault="002B3E43" w:rsidP="00362448">
      <w:pPr>
        <w:spacing w:line="360" w:lineRule="auto"/>
        <w:jc w:val="both"/>
        <w:rPr>
          <w:rFonts w:ascii="Arial" w:hAnsi="Arial" w:cs="Arial"/>
          <w:color w:val="000000" w:themeColor="text1"/>
          <w:sz w:val="24"/>
          <w:szCs w:val="24"/>
        </w:rPr>
      </w:pPr>
      <w:r w:rsidRPr="00890D3A">
        <w:rPr>
          <w:rFonts w:ascii="Arial" w:hAnsi="Arial" w:cs="Arial"/>
          <w:color w:val="000000" w:themeColor="text1"/>
          <w:sz w:val="24"/>
          <w:szCs w:val="24"/>
        </w:rPr>
        <w:t>Engagement :  Creating a culture where employees are fully immersed in their job, in a zen-like state of flow and intense focus.</w:t>
      </w:r>
    </w:p>
    <w:p w14:paraId="6DBE1063" w14:textId="0E7D7B68" w:rsidR="002B3E43" w:rsidRPr="00890D3A" w:rsidRDefault="002B3E43" w:rsidP="00362448">
      <w:pPr>
        <w:spacing w:line="360" w:lineRule="auto"/>
        <w:jc w:val="both"/>
        <w:rPr>
          <w:rFonts w:ascii="Arial" w:hAnsi="Arial" w:cs="Arial"/>
          <w:color w:val="000000" w:themeColor="text1"/>
          <w:sz w:val="24"/>
          <w:szCs w:val="24"/>
        </w:rPr>
      </w:pPr>
      <w:r w:rsidRPr="00890D3A">
        <w:rPr>
          <w:rFonts w:ascii="Arial" w:hAnsi="Arial" w:cs="Arial"/>
          <w:color w:val="000000" w:themeColor="text1"/>
          <w:sz w:val="24"/>
          <w:szCs w:val="24"/>
        </w:rPr>
        <w:t>Relationships : Creating close bonds with coworkers and other departments to make everyone feel like they belong.</w:t>
      </w:r>
    </w:p>
    <w:p w14:paraId="4DB2D6C0" w14:textId="05A7B388" w:rsidR="002B3E43" w:rsidRPr="00890D3A" w:rsidRDefault="002B3E43" w:rsidP="00362448">
      <w:pPr>
        <w:spacing w:line="360" w:lineRule="auto"/>
        <w:jc w:val="both"/>
        <w:rPr>
          <w:rFonts w:ascii="Arial" w:hAnsi="Arial" w:cs="Arial"/>
          <w:color w:val="000000" w:themeColor="text1"/>
          <w:sz w:val="24"/>
          <w:szCs w:val="24"/>
        </w:rPr>
      </w:pPr>
      <w:r w:rsidRPr="00890D3A">
        <w:rPr>
          <w:rFonts w:ascii="Arial" w:hAnsi="Arial" w:cs="Arial"/>
          <w:color w:val="000000" w:themeColor="text1"/>
          <w:sz w:val="24"/>
          <w:szCs w:val="24"/>
        </w:rPr>
        <w:t>Meaning:  Enabling workers to recognise how their efforts contribute to the larger goals of the company.</w:t>
      </w:r>
    </w:p>
    <w:p w14:paraId="598691EC" w14:textId="0FECA8CE" w:rsidR="002B3E43" w:rsidRPr="00890D3A" w:rsidRDefault="002B3E43" w:rsidP="00362448">
      <w:pPr>
        <w:spacing w:line="360" w:lineRule="auto"/>
        <w:jc w:val="both"/>
        <w:rPr>
          <w:rFonts w:ascii="Arial" w:hAnsi="Arial" w:cs="Arial"/>
          <w:color w:val="000000" w:themeColor="text1"/>
          <w:sz w:val="24"/>
          <w:szCs w:val="24"/>
        </w:rPr>
      </w:pPr>
      <w:r w:rsidRPr="00890D3A">
        <w:rPr>
          <w:rFonts w:ascii="Arial" w:hAnsi="Arial" w:cs="Arial"/>
          <w:color w:val="000000" w:themeColor="text1"/>
          <w:sz w:val="24"/>
          <w:szCs w:val="24"/>
        </w:rPr>
        <w:t>Accomplishment:  acknowledging and celebrating one and collective results, consolidating a sense of succeeding.</w:t>
      </w:r>
    </w:p>
    <w:p w14:paraId="1A98FEBA" w14:textId="64E11E4D" w:rsidR="002B3E43" w:rsidRPr="00890D3A" w:rsidRDefault="002B3E43" w:rsidP="00362448">
      <w:pPr>
        <w:spacing w:line="360" w:lineRule="auto"/>
        <w:jc w:val="both"/>
        <w:rPr>
          <w:rFonts w:ascii="Arial" w:hAnsi="Arial" w:cs="Arial"/>
          <w:color w:val="000000" w:themeColor="text1"/>
          <w:sz w:val="24"/>
          <w:szCs w:val="24"/>
        </w:rPr>
      </w:pPr>
      <w:r w:rsidRPr="00890D3A">
        <w:rPr>
          <w:rFonts w:ascii="Arial" w:hAnsi="Arial" w:cs="Arial"/>
          <w:color w:val="000000" w:themeColor="text1"/>
          <w:sz w:val="24"/>
          <w:szCs w:val="24"/>
        </w:rPr>
        <w:t>Implementing the PERMA model requires creating a positive workplace culture, increasing engagement through hard tasks, building strong interpersonal relationships, emphasising the meaningfulness of work, and acknowledging accomplishments</w:t>
      </w:r>
      <w:r w:rsidR="00FB1A24">
        <w:rPr>
          <w:rFonts w:ascii="Arial" w:hAnsi="Arial" w:cs="Arial"/>
          <w:color w:val="000000" w:themeColor="text1"/>
          <w:sz w:val="24"/>
          <w:szCs w:val="24"/>
        </w:rPr>
        <w:t xml:space="preserve"> </w:t>
      </w:r>
      <w:r w:rsidR="00FB1A24" w:rsidRPr="00FB1A24">
        <w:rPr>
          <w:rFonts w:ascii="Arial" w:hAnsi="Arial" w:cs="Arial"/>
          <w:color w:val="000000" w:themeColor="text1"/>
          <w:sz w:val="24"/>
          <w:szCs w:val="24"/>
        </w:rPr>
        <w:t>(Armstrong &amp; Taylor, 2020)</w:t>
      </w:r>
      <w:r w:rsidR="00670FE5">
        <w:rPr>
          <w:rFonts w:ascii="Arial" w:hAnsi="Arial" w:cs="Arial"/>
          <w:color w:val="000000" w:themeColor="text1"/>
          <w:sz w:val="24"/>
          <w:szCs w:val="24"/>
        </w:rPr>
        <w:t>.</w:t>
      </w:r>
      <w:r w:rsidRPr="00890D3A">
        <w:rPr>
          <w:rFonts w:ascii="Arial" w:hAnsi="Arial" w:cs="Arial"/>
          <w:color w:val="000000" w:themeColor="text1"/>
          <w:sz w:val="24"/>
          <w:szCs w:val="24"/>
        </w:rPr>
        <w:t xml:space="preserve"> Human resource managers can use the model as a comprehensive guide for creating and executing successful employee engagement programmes.</w:t>
      </w:r>
    </w:p>
    <w:p w14:paraId="574BE722" w14:textId="449D665D" w:rsidR="002B3E43" w:rsidRPr="00890D3A" w:rsidRDefault="002B3E43" w:rsidP="00A81A18">
      <w:pPr>
        <w:pStyle w:val="Heading1"/>
        <w:rPr>
          <w:sz w:val="24"/>
          <w:szCs w:val="24"/>
        </w:rPr>
      </w:pPr>
      <w:bookmarkStart w:id="9" w:name="_Toc150842271"/>
      <w:r w:rsidRPr="00890D3A">
        <w:rPr>
          <w:sz w:val="24"/>
          <w:szCs w:val="24"/>
        </w:rPr>
        <w:t>Industry Examples:</w:t>
      </w:r>
      <w:bookmarkEnd w:id="9"/>
    </w:p>
    <w:p w14:paraId="0843AB7E" w14:textId="19C1BF07" w:rsidR="002B3E43" w:rsidRPr="00890D3A" w:rsidRDefault="002B3E43" w:rsidP="00362448">
      <w:pPr>
        <w:spacing w:line="360" w:lineRule="auto"/>
        <w:jc w:val="both"/>
        <w:rPr>
          <w:rFonts w:ascii="Arial" w:hAnsi="Arial" w:cs="Arial"/>
          <w:color w:val="000000" w:themeColor="text1"/>
          <w:sz w:val="24"/>
          <w:szCs w:val="24"/>
        </w:rPr>
      </w:pPr>
      <w:r w:rsidRPr="00890D3A">
        <w:rPr>
          <w:rFonts w:ascii="Arial" w:hAnsi="Arial" w:cs="Arial"/>
          <w:color w:val="000000" w:themeColor="text1"/>
          <w:sz w:val="24"/>
          <w:szCs w:val="24"/>
        </w:rPr>
        <w:t>Successful staff participation efforts may be seen at several major hotel companies.</w:t>
      </w:r>
    </w:p>
    <w:p w14:paraId="2E21C082" w14:textId="04788F68" w:rsidR="002B3E43" w:rsidRPr="00890D3A" w:rsidRDefault="002B3E43" w:rsidP="00362448">
      <w:pPr>
        <w:spacing w:line="360" w:lineRule="auto"/>
        <w:jc w:val="both"/>
        <w:rPr>
          <w:rFonts w:ascii="Arial" w:hAnsi="Arial" w:cs="Arial"/>
          <w:color w:val="000000" w:themeColor="text1"/>
          <w:sz w:val="24"/>
          <w:szCs w:val="24"/>
        </w:rPr>
      </w:pPr>
      <w:r w:rsidRPr="00890D3A">
        <w:rPr>
          <w:rFonts w:ascii="Arial" w:hAnsi="Arial" w:cs="Arial"/>
          <w:color w:val="000000" w:themeColor="text1"/>
          <w:sz w:val="24"/>
          <w:szCs w:val="24"/>
        </w:rPr>
        <w:t>Marriott International:  Career advancement, employee appreciation, and a dedication to diversity and inclusion are all highly valued at this international hotel chain</w:t>
      </w:r>
      <w:r w:rsidR="00670FE5">
        <w:rPr>
          <w:rFonts w:ascii="Arial" w:hAnsi="Arial" w:cs="Arial"/>
          <w:color w:val="000000" w:themeColor="text1"/>
          <w:sz w:val="24"/>
          <w:szCs w:val="24"/>
        </w:rPr>
        <w:t xml:space="preserve"> </w:t>
      </w:r>
      <w:r w:rsidR="00670FE5" w:rsidRPr="00DE70E3">
        <w:rPr>
          <w:rFonts w:ascii="Arial" w:hAnsi="Arial" w:cs="Arial"/>
          <w:color w:val="000000" w:themeColor="text1"/>
          <w:sz w:val="24"/>
          <w:szCs w:val="24"/>
        </w:rPr>
        <w:t>(Johnston et al., 2012)</w:t>
      </w:r>
      <w:r w:rsidRPr="00890D3A">
        <w:rPr>
          <w:rFonts w:ascii="Arial" w:hAnsi="Arial" w:cs="Arial"/>
          <w:color w:val="000000" w:themeColor="text1"/>
          <w:sz w:val="24"/>
          <w:szCs w:val="24"/>
        </w:rPr>
        <w:t xml:space="preserve">. Marriott invests in its workers' development through programmes like the </w:t>
      </w:r>
      <w:r w:rsidRPr="00890D3A">
        <w:rPr>
          <w:rFonts w:ascii="Arial" w:hAnsi="Arial" w:cs="Arial"/>
          <w:color w:val="000000" w:themeColor="text1"/>
          <w:sz w:val="24"/>
          <w:szCs w:val="24"/>
        </w:rPr>
        <w:lastRenderedPageBreak/>
        <w:t>Marriott Bonvoy Programme and the Voyage global leadership development programme, which contributes to the company's strong employee satisfaction and retention rates.</w:t>
      </w:r>
    </w:p>
    <w:p w14:paraId="50B3FA5F" w14:textId="79B60A97" w:rsidR="002B3E43" w:rsidRPr="00890D3A" w:rsidRDefault="00A462FC" w:rsidP="00362448">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H</w:t>
      </w:r>
      <w:r w:rsidR="002B3E43" w:rsidRPr="00890D3A">
        <w:rPr>
          <w:rFonts w:ascii="Arial" w:hAnsi="Arial" w:cs="Arial"/>
          <w:color w:val="000000" w:themeColor="text1"/>
          <w:sz w:val="24"/>
          <w:szCs w:val="24"/>
        </w:rPr>
        <w:t>otels and resorts operated by Four Seasons: Known for its great service, Four Seasons prioritises employee well-being through initiatives like the Best of the Best reward programme and thorough training programmes</w:t>
      </w:r>
      <w:r w:rsidR="00757516" w:rsidRPr="00890D3A">
        <w:rPr>
          <w:rFonts w:ascii="Arial" w:hAnsi="Arial" w:cs="Arial"/>
          <w:color w:val="000000" w:themeColor="text1"/>
          <w:sz w:val="24"/>
          <w:szCs w:val="24"/>
        </w:rPr>
        <w:t xml:space="preserve"> (Hilton Worldwide, </w:t>
      </w:r>
      <w:r w:rsidR="00727206">
        <w:rPr>
          <w:rFonts w:ascii="Arial" w:hAnsi="Arial" w:cs="Arial"/>
          <w:color w:val="000000" w:themeColor="text1"/>
          <w:sz w:val="24"/>
          <w:szCs w:val="24"/>
        </w:rPr>
        <w:t>2023</w:t>
      </w:r>
      <w:r w:rsidR="00757516" w:rsidRPr="00890D3A">
        <w:rPr>
          <w:rFonts w:ascii="Arial" w:hAnsi="Arial" w:cs="Arial"/>
          <w:color w:val="000000" w:themeColor="text1"/>
          <w:sz w:val="24"/>
          <w:szCs w:val="24"/>
        </w:rPr>
        <w:t>)</w:t>
      </w:r>
      <w:r w:rsidR="002B3E43" w:rsidRPr="00890D3A">
        <w:rPr>
          <w:rFonts w:ascii="Arial" w:hAnsi="Arial" w:cs="Arial"/>
          <w:color w:val="000000" w:themeColor="text1"/>
          <w:sz w:val="24"/>
          <w:szCs w:val="24"/>
        </w:rPr>
        <w:t>. Four Seasons fosters an engaged and motivated workforce by creating a positive work environment.</w:t>
      </w:r>
      <w:r w:rsidR="00F10A9D" w:rsidRPr="00890D3A">
        <w:rPr>
          <w:rFonts w:ascii="Arial" w:hAnsi="Arial" w:cs="Arial"/>
          <w:color w:val="000000" w:themeColor="text1"/>
          <w:sz w:val="24"/>
          <w:szCs w:val="24"/>
        </w:rPr>
        <w:t xml:space="preserve"> </w:t>
      </w:r>
      <w:r w:rsidR="002B3E43" w:rsidRPr="00890D3A">
        <w:rPr>
          <w:rFonts w:ascii="Arial" w:hAnsi="Arial" w:cs="Arial"/>
          <w:color w:val="000000" w:themeColor="text1"/>
          <w:sz w:val="24"/>
          <w:szCs w:val="24"/>
        </w:rPr>
        <w:t>Deliver outstanding service.</w:t>
      </w:r>
    </w:p>
    <w:p w14:paraId="71A76CA7" w14:textId="3487D1FC" w:rsidR="00896B1E" w:rsidRPr="00890D3A" w:rsidRDefault="002B3E43" w:rsidP="00362448">
      <w:pPr>
        <w:spacing w:line="360" w:lineRule="auto"/>
        <w:jc w:val="both"/>
        <w:rPr>
          <w:rFonts w:ascii="Arial" w:hAnsi="Arial" w:cs="Arial"/>
          <w:color w:val="000000" w:themeColor="text1"/>
          <w:sz w:val="24"/>
          <w:szCs w:val="24"/>
        </w:rPr>
      </w:pPr>
      <w:r w:rsidRPr="00890D3A">
        <w:rPr>
          <w:rFonts w:ascii="Arial" w:hAnsi="Arial" w:cs="Arial"/>
          <w:color w:val="000000" w:themeColor="text1"/>
          <w:sz w:val="24"/>
          <w:szCs w:val="24"/>
        </w:rPr>
        <w:t>Hilton Worldwide : Programmes like Thrive@Hilton, which emphasises work-life balance and employee well-being, are examples of Hilton's dedication to cultivating a healthy work environment. The Women's Team Member Resource Group is just one example of Hilton's efforts to foster a more diverse and inclusive workplace.</w:t>
      </w:r>
    </w:p>
    <w:p w14:paraId="3F003FE0" w14:textId="6BE23B9E" w:rsidR="00896B1E" w:rsidRPr="00890D3A" w:rsidRDefault="00896B1E" w:rsidP="00362448">
      <w:pPr>
        <w:spacing w:line="360" w:lineRule="auto"/>
        <w:jc w:val="both"/>
        <w:rPr>
          <w:rFonts w:ascii="Arial" w:hAnsi="Arial" w:cs="Arial"/>
          <w:color w:val="000000" w:themeColor="text1"/>
          <w:sz w:val="24"/>
          <w:szCs w:val="24"/>
        </w:rPr>
      </w:pPr>
      <w:r w:rsidRPr="00890D3A">
        <w:rPr>
          <w:rFonts w:ascii="Arial" w:hAnsi="Arial" w:cs="Arial"/>
          <w:color w:val="000000" w:themeColor="text1"/>
          <w:sz w:val="24"/>
          <w:szCs w:val="24"/>
        </w:rPr>
        <w:t>The importance of keeping hotel staff motivated grows as the sector adapts to new technologies, rising customer demands, and world events</w:t>
      </w:r>
      <w:r w:rsidR="00670FE5">
        <w:rPr>
          <w:rFonts w:ascii="Arial" w:hAnsi="Arial" w:cs="Arial"/>
          <w:color w:val="000000" w:themeColor="text1"/>
          <w:sz w:val="24"/>
          <w:szCs w:val="24"/>
        </w:rPr>
        <w:t xml:space="preserve"> </w:t>
      </w:r>
      <w:r w:rsidR="00670FE5" w:rsidRPr="00DE70E3">
        <w:rPr>
          <w:rFonts w:ascii="Arial" w:hAnsi="Arial" w:cs="Arial"/>
          <w:color w:val="000000" w:themeColor="text1"/>
          <w:sz w:val="24"/>
          <w:szCs w:val="24"/>
        </w:rPr>
        <w:t>(Friedman, 2012)</w:t>
      </w:r>
      <w:r w:rsidRPr="00890D3A">
        <w:rPr>
          <w:rFonts w:ascii="Arial" w:hAnsi="Arial" w:cs="Arial"/>
          <w:color w:val="000000" w:themeColor="text1"/>
          <w:sz w:val="24"/>
          <w:szCs w:val="24"/>
        </w:rPr>
        <w:t>. There are new requirements for hotel workers due to the ever-changing nature of the hospitality industry, which is defined by high customer expectations and ongoing innovation. Human resource managers in this setting have a pressing need to adjust their engagement techniques to accommodate their staff's ever-shifting priorities.</w:t>
      </w:r>
    </w:p>
    <w:p w14:paraId="73E73473" w14:textId="124F2B18" w:rsidR="005719D1" w:rsidRPr="00890D3A" w:rsidRDefault="005719D1" w:rsidP="00A81A18">
      <w:pPr>
        <w:pStyle w:val="Heading1"/>
        <w:rPr>
          <w:sz w:val="24"/>
          <w:szCs w:val="24"/>
        </w:rPr>
      </w:pPr>
      <w:bookmarkStart w:id="10" w:name="_Toc150842272"/>
      <w:r w:rsidRPr="00890D3A">
        <w:rPr>
          <w:sz w:val="24"/>
          <w:szCs w:val="24"/>
        </w:rPr>
        <w:t>Making Use of Emerging Technologies</w:t>
      </w:r>
      <w:bookmarkEnd w:id="10"/>
    </w:p>
    <w:p w14:paraId="793A60A2" w14:textId="3C48D380" w:rsidR="005719D1" w:rsidRDefault="005719D1" w:rsidP="00362448">
      <w:pPr>
        <w:spacing w:line="360" w:lineRule="auto"/>
        <w:jc w:val="both"/>
        <w:rPr>
          <w:rFonts w:ascii="Arial" w:hAnsi="Arial" w:cs="Arial"/>
          <w:color w:val="000000" w:themeColor="text1"/>
          <w:sz w:val="24"/>
          <w:szCs w:val="24"/>
        </w:rPr>
      </w:pPr>
      <w:r w:rsidRPr="00890D3A">
        <w:rPr>
          <w:rFonts w:ascii="Arial" w:hAnsi="Arial" w:cs="Arial"/>
          <w:color w:val="000000" w:themeColor="text1"/>
          <w:sz w:val="24"/>
          <w:szCs w:val="24"/>
        </w:rPr>
        <w:t>Human resources plays a critical role in ensuring that hotel staff adapt to and prosper in the increasingly digital environment as technology becomes more deeply embedded in hotel operations. Continuous training and upskilling programmes are vital to empower staff to handle new technologies seamlessly. Human resources may foster an environment that is open to new technologies by emphasising the positive impact new tools have on the satisfaction of both employees and customers. For instance, hotel staff members who aren't familiar with smart hotel technologies may first push back against its deployment</w:t>
      </w:r>
      <w:r w:rsidR="00670FE5">
        <w:rPr>
          <w:rFonts w:ascii="Arial" w:hAnsi="Arial" w:cs="Arial"/>
          <w:color w:val="000000" w:themeColor="text1"/>
          <w:sz w:val="24"/>
          <w:szCs w:val="24"/>
        </w:rPr>
        <w:t xml:space="preserve"> </w:t>
      </w:r>
      <w:r w:rsidR="00670FE5" w:rsidRPr="00DE70E3">
        <w:rPr>
          <w:rFonts w:ascii="Arial" w:hAnsi="Arial" w:cs="Arial"/>
          <w:color w:val="000000" w:themeColor="text1"/>
          <w:sz w:val="24"/>
          <w:szCs w:val="24"/>
        </w:rPr>
        <w:t>(Marchington &amp; Wilkinson, 2016)</w:t>
      </w:r>
      <w:r w:rsidRPr="00890D3A">
        <w:rPr>
          <w:rFonts w:ascii="Arial" w:hAnsi="Arial" w:cs="Arial"/>
          <w:color w:val="000000" w:themeColor="text1"/>
          <w:sz w:val="24"/>
          <w:szCs w:val="24"/>
        </w:rPr>
        <w:t xml:space="preserve">. Human resources can reduce this risk by delivering thorough training, highlighting the advantages of automation in streamlining activities, and sharing examples of similar initiatives at other hotels. This method not only </w:t>
      </w:r>
      <w:r w:rsidRPr="00890D3A">
        <w:rPr>
          <w:rFonts w:ascii="Arial" w:hAnsi="Arial" w:cs="Arial"/>
          <w:color w:val="000000" w:themeColor="text1"/>
          <w:sz w:val="24"/>
          <w:szCs w:val="24"/>
        </w:rPr>
        <w:lastRenderedPageBreak/>
        <w:t>helps workers adjust more easily, but it also gives them a sense of pride in their progress as they acquire new abilities.</w:t>
      </w:r>
    </w:p>
    <w:p w14:paraId="68D8EA3F" w14:textId="69DE5AD2" w:rsidR="005719D1" w:rsidRPr="00890D3A" w:rsidRDefault="005719D1" w:rsidP="00A81A18">
      <w:pPr>
        <w:pStyle w:val="Heading1"/>
        <w:rPr>
          <w:sz w:val="24"/>
          <w:szCs w:val="24"/>
        </w:rPr>
      </w:pPr>
      <w:bookmarkStart w:id="11" w:name="_Toc150842273"/>
      <w:r w:rsidRPr="00890D3A">
        <w:rPr>
          <w:sz w:val="24"/>
          <w:szCs w:val="24"/>
        </w:rPr>
        <w:t>Workplace mobility and remote opportunities in the hospitality sector</w:t>
      </w:r>
      <w:bookmarkEnd w:id="11"/>
    </w:p>
    <w:p w14:paraId="6E19065B" w14:textId="40585B33" w:rsidR="005719D1" w:rsidRPr="00890D3A" w:rsidRDefault="005719D1" w:rsidP="00362448">
      <w:pPr>
        <w:spacing w:line="360" w:lineRule="auto"/>
        <w:jc w:val="both"/>
        <w:rPr>
          <w:rFonts w:ascii="Arial" w:hAnsi="Arial" w:cs="Arial"/>
          <w:color w:val="000000" w:themeColor="text1"/>
          <w:sz w:val="24"/>
          <w:szCs w:val="24"/>
        </w:rPr>
      </w:pPr>
      <w:r w:rsidRPr="00890D3A">
        <w:rPr>
          <w:rFonts w:ascii="Arial" w:hAnsi="Arial" w:cs="Arial"/>
          <w:color w:val="000000" w:themeColor="text1"/>
          <w:sz w:val="24"/>
          <w:szCs w:val="24"/>
        </w:rPr>
        <w:t>Workplace dynamics in the hotel industry have been altered by the recent COVID-19 outbreak. The need for telecommuting and other forms of remote work has forced hotels to change to meet guests' needs. Human resources specialists can play a critical role in formulating hotel rules that strike a balance between employees' desire for more work-life harmony and the hotel's operational requirements. Human resources may adapt to the needs of the modern workforce by allowing employees more leeway in their schedules, allowing specific positions to be performed remotely, and facilitating virtual collaboration through the use of technology</w:t>
      </w:r>
      <w:r w:rsidR="009E0071" w:rsidRPr="00890D3A">
        <w:rPr>
          <w:rFonts w:ascii="Arial" w:hAnsi="Arial" w:cs="Arial"/>
          <w:color w:val="000000" w:themeColor="text1"/>
          <w:sz w:val="24"/>
          <w:szCs w:val="24"/>
        </w:rPr>
        <w:t xml:space="preserve"> (Gallup, 2022)</w:t>
      </w:r>
      <w:r w:rsidRPr="00890D3A">
        <w:rPr>
          <w:rFonts w:ascii="Arial" w:hAnsi="Arial" w:cs="Arial"/>
          <w:color w:val="000000" w:themeColor="text1"/>
          <w:sz w:val="24"/>
          <w:szCs w:val="24"/>
        </w:rPr>
        <w:t>. This flexibility not only contributes to employee satisfaction but also positions the hotel as an employer of choice, attracting top talent in a competitive labour market.</w:t>
      </w:r>
    </w:p>
    <w:p w14:paraId="4D1B084F" w14:textId="41F5046F" w:rsidR="005719D1" w:rsidRPr="00890D3A" w:rsidRDefault="005719D1" w:rsidP="00A81A18">
      <w:pPr>
        <w:pStyle w:val="Heading1"/>
        <w:rPr>
          <w:sz w:val="24"/>
          <w:szCs w:val="24"/>
        </w:rPr>
      </w:pPr>
      <w:bookmarkStart w:id="12" w:name="_Toc150842274"/>
      <w:r w:rsidRPr="00890D3A">
        <w:rPr>
          <w:sz w:val="24"/>
          <w:szCs w:val="24"/>
        </w:rPr>
        <w:t>Diversity, Inclusion, and Motivation in the Workplace</w:t>
      </w:r>
      <w:bookmarkEnd w:id="12"/>
    </w:p>
    <w:p w14:paraId="6BCC4CD6" w14:textId="11A69720" w:rsidR="005719D1" w:rsidRPr="00890D3A" w:rsidRDefault="005719D1" w:rsidP="00362448">
      <w:pPr>
        <w:spacing w:line="360" w:lineRule="auto"/>
        <w:jc w:val="both"/>
        <w:rPr>
          <w:rFonts w:ascii="Arial" w:hAnsi="Arial" w:cs="Arial"/>
          <w:color w:val="000000" w:themeColor="text1"/>
          <w:sz w:val="24"/>
          <w:szCs w:val="24"/>
        </w:rPr>
      </w:pPr>
      <w:r w:rsidRPr="00890D3A">
        <w:rPr>
          <w:rFonts w:ascii="Arial" w:hAnsi="Arial" w:cs="Arial"/>
          <w:color w:val="000000" w:themeColor="text1"/>
          <w:sz w:val="24"/>
          <w:szCs w:val="24"/>
        </w:rPr>
        <w:t>The hospitality sector would benefit greatly from a more varied and open-minded staff for strategic and moral reasons</w:t>
      </w:r>
      <w:r w:rsidR="00E01042">
        <w:rPr>
          <w:rFonts w:ascii="Arial" w:hAnsi="Arial" w:cs="Arial"/>
          <w:color w:val="000000" w:themeColor="text1"/>
          <w:sz w:val="24"/>
          <w:szCs w:val="24"/>
        </w:rPr>
        <w:t xml:space="preserve"> </w:t>
      </w:r>
      <w:r w:rsidR="00E01042" w:rsidRPr="00DE70E3">
        <w:rPr>
          <w:rFonts w:ascii="Arial" w:hAnsi="Arial" w:cs="Arial"/>
          <w:color w:val="000000" w:themeColor="text1"/>
          <w:sz w:val="24"/>
          <w:szCs w:val="24"/>
        </w:rPr>
        <w:t>(Torrington et al., 2020)</w:t>
      </w:r>
      <w:r w:rsidRPr="00890D3A">
        <w:rPr>
          <w:rFonts w:ascii="Arial" w:hAnsi="Arial" w:cs="Arial"/>
          <w:color w:val="000000" w:themeColor="text1"/>
          <w:sz w:val="24"/>
          <w:szCs w:val="24"/>
        </w:rPr>
        <w:t>. Human resources should lead activities to increase diversity and inclusion that go above and beyond legal requirements and create an environment where all employees feel respected and heard. By fostering an inclusive culture, hotels gain access to fresh ideas, improved problem resolution, and stronger group dynamics. HR may foster a sense of community through initiatives like as diversity-focused Employee Resource Groups (ERGs), mentorship programmes, and inclusive leadership training. Having a staff that is reflective of the hotel's diverse client base helps employees interact with guests on a more personal level, leading to a better overall guest experience.</w:t>
      </w:r>
    </w:p>
    <w:p w14:paraId="5640D298" w14:textId="6E811A64" w:rsidR="005719D1" w:rsidRPr="00890D3A" w:rsidRDefault="005719D1" w:rsidP="00A81A18">
      <w:pPr>
        <w:pStyle w:val="Heading1"/>
        <w:rPr>
          <w:sz w:val="24"/>
          <w:szCs w:val="24"/>
        </w:rPr>
      </w:pPr>
      <w:bookmarkStart w:id="13" w:name="_Toc150842275"/>
      <w:r w:rsidRPr="00890D3A">
        <w:rPr>
          <w:sz w:val="24"/>
          <w:szCs w:val="24"/>
        </w:rPr>
        <w:t>Well-Being of Employees as a Foundation for Dedication</w:t>
      </w:r>
      <w:bookmarkEnd w:id="13"/>
    </w:p>
    <w:p w14:paraId="08109AD5" w14:textId="23E2E037" w:rsidR="005719D1" w:rsidRPr="00890D3A" w:rsidRDefault="005719D1" w:rsidP="00362448">
      <w:pPr>
        <w:spacing w:line="360" w:lineRule="auto"/>
        <w:jc w:val="both"/>
        <w:rPr>
          <w:rFonts w:ascii="Arial" w:hAnsi="Arial" w:cs="Arial"/>
          <w:color w:val="000000" w:themeColor="text1"/>
          <w:sz w:val="24"/>
          <w:szCs w:val="24"/>
        </w:rPr>
      </w:pPr>
      <w:r w:rsidRPr="00890D3A">
        <w:rPr>
          <w:rFonts w:ascii="Arial" w:hAnsi="Arial" w:cs="Arial"/>
          <w:color w:val="000000" w:themeColor="text1"/>
          <w:sz w:val="24"/>
          <w:szCs w:val="24"/>
        </w:rPr>
        <w:t>Given the stressful nature of the hospitality sector, employees' health and happiness play a key role in keeping them invested in their jobs. Human resource managers ought to concentrate on programmes that improve both psychological and physiological health</w:t>
      </w:r>
      <w:r w:rsidR="002D4475">
        <w:rPr>
          <w:rFonts w:ascii="Arial" w:hAnsi="Arial" w:cs="Arial"/>
          <w:color w:val="000000" w:themeColor="text1"/>
          <w:sz w:val="24"/>
          <w:szCs w:val="24"/>
        </w:rPr>
        <w:t xml:space="preserve"> </w:t>
      </w:r>
      <w:r w:rsidR="002D4475" w:rsidRPr="00DE70E3">
        <w:rPr>
          <w:rFonts w:ascii="Arial" w:hAnsi="Arial" w:cs="Arial"/>
          <w:color w:val="000000" w:themeColor="text1"/>
          <w:sz w:val="24"/>
          <w:szCs w:val="24"/>
        </w:rPr>
        <w:t>(Torrington et al., 2020)</w:t>
      </w:r>
      <w:r w:rsidRPr="00890D3A">
        <w:rPr>
          <w:rFonts w:ascii="Arial" w:hAnsi="Arial" w:cs="Arial"/>
          <w:color w:val="000000" w:themeColor="text1"/>
          <w:sz w:val="24"/>
          <w:szCs w:val="24"/>
        </w:rPr>
        <w:t xml:space="preserve">. A positive work environment that recognises the unique </w:t>
      </w:r>
      <w:r w:rsidRPr="00890D3A">
        <w:rPr>
          <w:rFonts w:ascii="Arial" w:hAnsi="Arial" w:cs="Arial"/>
          <w:color w:val="000000" w:themeColor="text1"/>
          <w:sz w:val="24"/>
          <w:szCs w:val="24"/>
        </w:rPr>
        <w:lastRenderedPageBreak/>
        <w:t>difficulties of the hospitality industry, including wellness programmes, access to mental health resources, and a culture of open communication, may have a profound effect on employee satisfaction and engagement. For example, several hotels have instituted wellness days, offering employees with paid time off expressly dedicated to self-care</w:t>
      </w:r>
      <w:r w:rsidR="00604D53">
        <w:rPr>
          <w:rFonts w:ascii="Arial" w:hAnsi="Arial" w:cs="Arial"/>
          <w:color w:val="000000" w:themeColor="text1"/>
          <w:sz w:val="24"/>
          <w:szCs w:val="24"/>
        </w:rPr>
        <w:t xml:space="preserve"> </w:t>
      </w:r>
      <w:r w:rsidR="00604D53" w:rsidRPr="00DE70E3">
        <w:rPr>
          <w:rFonts w:ascii="Arial" w:hAnsi="Arial" w:cs="Arial"/>
          <w:color w:val="000000" w:themeColor="text1"/>
          <w:sz w:val="24"/>
          <w:szCs w:val="24"/>
        </w:rPr>
        <w:t>(Gallagher, 2016)</w:t>
      </w:r>
      <w:r w:rsidRPr="00890D3A">
        <w:rPr>
          <w:rFonts w:ascii="Arial" w:hAnsi="Arial" w:cs="Arial"/>
          <w:color w:val="000000" w:themeColor="text1"/>
          <w:sz w:val="24"/>
          <w:szCs w:val="24"/>
        </w:rPr>
        <w:t>. A healthier and more invested staff can be achieved through the provision of counselling services, stress management courses, and the promotion of work-life balance.</w:t>
      </w:r>
    </w:p>
    <w:p w14:paraId="38E22FA5" w14:textId="08BD811F" w:rsidR="005719D1" w:rsidRPr="00890D3A" w:rsidRDefault="005719D1" w:rsidP="00A81A18">
      <w:pPr>
        <w:pStyle w:val="Heading1"/>
        <w:rPr>
          <w:sz w:val="24"/>
          <w:szCs w:val="24"/>
        </w:rPr>
      </w:pPr>
      <w:bookmarkStart w:id="14" w:name="_Toc150842276"/>
      <w:r w:rsidRPr="00890D3A">
        <w:rPr>
          <w:sz w:val="24"/>
          <w:szCs w:val="24"/>
        </w:rPr>
        <w:t>Engagement Strategy Metrics and Refinement</w:t>
      </w:r>
      <w:bookmarkEnd w:id="14"/>
    </w:p>
    <w:p w14:paraId="1B6A9674" w14:textId="63C90E20" w:rsidR="00F57E4F" w:rsidRPr="00A462FC" w:rsidRDefault="005719D1" w:rsidP="00362448">
      <w:pPr>
        <w:spacing w:line="360" w:lineRule="auto"/>
        <w:jc w:val="both"/>
        <w:rPr>
          <w:rFonts w:ascii="Arial" w:hAnsi="Arial" w:cs="Arial"/>
          <w:color w:val="000000" w:themeColor="text1"/>
          <w:sz w:val="24"/>
          <w:szCs w:val="24"/>
        </w:rPr>
      </w:pPr>
      <w:r w:rsidRPr="00890D3A">
        <w:rPr>
          <w:rFonts w:ascii="Arial" w:hAnsi="Arial" w:cs="Arial"/>
          <w:color w:val="000000" w:themeColor="text1"/>
          <w:sz w:val="24"/>
          <w:szCs w:val="24"/>
        </w:rPr>
        <w:t>HR needs consistent engagement surveys to gauge the success of initiatives and make adjustments accordingly. Measures of participation and dedication can be gleaned via surveys, meetings, and output indicators. Human resources workers can utilise this information to pinpoint problem areas and reward productive efforts</w:t>
      </w:r>
      <w:r w:rsidR="00105BDF" w:rsidRPr="00890D3A">
        <w:rPr>
          <w:rFonts w:ascii="Arial" w:hAnsi="Arial" w:cs="Arial"/>
          <w:color w:val="000000" w:themeColor="text1"/>
          <w:sz w:val="24"/>
          <w:szCs w:val="24"/>
        </w:rPr>
        <w:t xml:space="preserve"> (Society for Human Resource Management, 2020)</w:t>
      </w:r>
      <w:r w:rsidRPr="00890D3A">
        <w:rPr>
          <w:rFonts w:ascii="Arial" w:hAnsi="Arial" w:cs="Arial"/>
          <w:color w:val="000000" w:themeColor="text1"/>
          <w:sz w:val="24"/>
          <w:szCs w:val="24"/>
        </w:rPr>
        <w:t>. As part of a preventative strategy, employee engagement initiatives are routinely assessed and revised in light of new data and emerging trends. Having the flexibility to adjust to the changing demands and expectations of its staff is crucial to the hotel's continued success.</w:t>
      </w:r>
    </w:p>
    <w:p w14:paraId="387E4D44" w14:textId="598F6E23" w:rsidR="002B3E43" w:rsidRPr="00890D3A" w:rsidRDefault="002B3E43" w:rsidP="00A81A18">
      <w:pPr>
        <w:pStyle w:val="Heading1"/>
        <w:rPr>
          <w:sz w:val="24"/>
          <w:szCs w:val="24"/>
        </w:rPr>
      </w:pPr>
      <w:bookmarkStart w:id="15" w:name="_Toc150842277"/>
      <w:r w:rsidRPr="00890D3A">
        <w:rPr>
          <w:rStyle w:val="Heading1Char"/>
          <w:b/>
          <w:sz w:val="24"/>
          <w:szCs w:val="24"/>
        </w:rPr>
        <w:t>Conclusion</w:t>
      </w:r>
      <w:bookmarkEnd w:id="15"/>
    </w:p>
    <w:p w14:paraId="5E78C0F7" w14:textId="1534ED17" w:rsidR="008E3A85" w:rsidRDefault="002B3E43" w:rsidP="00362448">
      <w:pPr>
        <w:spacing w:line="360" w:lineRule="auto"/>
        <w:jc w:val="both"/>
        <w:rPr>
          <w:rFonts w:ascii="Arial" w:hAnsi="Arial" w:cs="Arial"/>
          <w:color w:val="000000" w:themeColor="text1"/>
          <w:sz w:val="24"/>
          <w:szCs w:val="24"/>
        </w:rPr>
      </w:pPr>
      <w:r w:rsidRPr="00890D3A">
        <w:rPr>
          <w:rFonts w:ascii="Arial" w:hAnsi="Arial" w:cs="Arial"/>
          <w:color w:val="000000" w:themeColor="text1"/>
          <w:sz w:val="24"/>
          <w:szCs w:val="24"/>
        </w:rPr>
        <w:t>In conclusion, a holistic strategy covering all stages of an employee's lifecycle is necessary for reengaging disengaged or ill-engaged workers in the hospitality business. Human resources is crucial in any organisation because of the impact it has on morale, employee engagement, and meeting the specific business goals. By investing in attraction, recruitment, onboarding, development, retention, and separation, hotels can build a motivated and devoted workforce, thereby increasing organisational productivity and staff morale.</w:t>
      </w:r>
      <w:r w:rsidR="00F10A9D" w:rsidRPr="00890D3A">
        <w:rPr>
          <w:rFonts w:ascii="Arial" w:hAnsi="Arial" w:cs="Arial"/>
          <w:color w:val="000000" w:themeColor="text1"/>
          <w:sz w:val="24"/>
          <w:szCs w:val="24"/>
        </w:rPr>
        <w:t xml:space="preserve"> </w:t>
      </w:r>
      <w:r w:rsidRPr="00890D3A">
        <w:rPr>
          <w:rFonts w:ascii="Arial" w:hAnsi="Arial" w:cs="Arial"/>
          <w:color w:val="000000" w:themeColor="text1"/>
          <w:sz w:val="24"/>
          <w:szCs w:val="24"/>
        </w:rPr>
        <w:t>Employee engagement is an important strategic emphasis since it improves team chemistry, customer happiness, and the overall performance of an organisation. Prioritising employee engagement emerges as a critical distinction for hotels as they face the difficulties of the competitive hospitality market. Increased employee happiness and better guest experiences are just two examples of the tangible advantages of good engagement efforts highlighted by examples from top hotel chains.</w:t>
      </w:r>
      <w:r w:rsidR="00F10A9D" w:rsidRPr="00890D3A">
        <w:rPr>
          <w:rFonts w:ascii="Arial" w:hAnsi="Arial" w:cs="Arial"/>
          <w:color w:val="000000" w:themeColor="text1"/>
          <w:sz w:val="24"/>
          <w:szCs w:val="24"/>
        </w:rPr>
        <w:t xml:space="preserve"> </w:t>
      </w:r>
      <w:r w:rsidRPr="00890D3A">
        <w:rPr>
          <w:rFonts w:ascii="Arial" w:hAnsi="Arial" w:cs="Arial"/>
          <w:color w:val="000000" w:themeColor="text1"/>
          <w:sz w:val="24"/>
          <w:szCs w:val="24"/>
        </w:rPr>
        <w:t xml:space="preserve">When it comes to employee engagement, the hotel industry has a lot to gain from being proactive </w:t>
      </w:r>
      <w:r w:rsidRPr="00890D3A">
        <w:rPr>
          <w:rFonts w:ascii="Arial" w:hAnsi="Arial" w:cs="Arial"/>
          <w:color w:val="000000" w:themeColor="text1"/>
          <w:sz w:val="24"/>
          <w:szCs w:val="24"/>
        </w:rPr>
        <w:lastRenderedPageBreak/>
        <w:t>and strategic because of its service-oriented nature and specific problems. Prioritising the health and engagement of a hotel's most important asset - its people - will surely help to long-term success and a competitive edge in the marketplace as hotels adapt to shifting consumer expectations and industry dynamics.</w:t>
      </w:r>
    </w:p>
    <w:p w14:paraId="1FE7D1DC" w14:textId="77777777" w:rsidR="00F57E4F" w:rsidRPr="00890D3A" w:rsidRDefault="00F57E4F" w:rsidP="00362448">
      <w:pPr>
        <w:spacing w:line="360" w:lineRule="auto"/>
        <w:jc w:val="both"/>
        <w:rPr>
          <w:rFonts w:ascii="Arial" w:eastAsia="Times New Roman" w:hAnsi="Arial" w:cs="Arial"/>
          <w:color w:val="000000" w:themeColor="text1"/>
          <w:kern w:val="36"/>
          <w:sz w:val="24"/>
          <w:szCs w:val="24"/>
          <w14:ligatures w14:val="none"/>
        </w:rPr>
      </w:pPr>
      <w:r w:rsidRPr="00890D3A">
        <w:rPr>
          <w:rFonts w:ascii="Arial" w:eastAsia="Times New Roman" w:hAnsi="Arial" w:cs="Arial"/>
          <w:color w:val="000000" w:themeColor="text1"/>
          <w:kern w:val="36"/>
          <w:sz w:val="24"/>
          <w:szCs w:val="24"/>
          <w14:ligatures w14:val="none"/>
        </w:rPr>
        <w:br w:type="page"/>
      </w:r>
    </w:p>
    <w:p w14:paraId="17D863A0" w14:textId="59A621D0" w:rsidR="005719D1" w:rsidRPr="00890D3A" w:rsidRDefault="005719D1" w:rsidP="00A81A18">
      <w:pPr>
        <w:pStyle w:val="Heading1"/>
        <w:rPr>
          <w:sz w:val="24"/>
          <w:szCs w:val="24"/>
        </w:rPr>
      </w:pPr>
      <w:bookmarkStart w:id="16" w:name="_Toc150842278"/>
      <w:r w:rsidRPr="00890D3A">
        <w:rPr>
          <w:sz w:val="24"/>
          <w:szCs w:val="24"/>
        </w:rPr>
        <w:lastRenderedPageBreak/>
        <w:t>References</w:t>
      </w:r>
      <w:bookmarkEnd w:id="16"/>
    </w:p>
    <w:p w14:paraId="7E88D848" w14:textId="77777777" w:rsidR="00A462FC" w:rsidRPr="00206F81" w:rsidRDefault="00A462FC" w:rsidP="00050CE2">
      <w:pPr>
        <w:spacing w:line="360" w:lineRule="auto"/>
        <w:jc w:val="both"/>
        <w:rPr>
          <w:rFonts w:ascii="Arial" w:hAnsi="Arial" w:cs="Arial"/>
          <w:color w:val="000000" w:themeColor="text1"/>
          <w:sz w:val="24"/>
          <w:szCs w:val="24"/>
        </w:rPr>
      </w:pPr>
      <w:r w:rsidRPr="00206F81">
        <w:rPr>
          <w:rFonts w:ascii="Arial" w:hAnsi="Arial" w:cs="Arial"/>
          <w:color w:val="000000" w:themeColor="text1"/>
          <w:sz w:val="24"/>
          <w:szCs w:val="24"/>
        </w:rPr>
        <w:t xml:space="preserve">Armstrong, M. and Taylor, S. (2020) </w:t>
      </w:r>
      <w:r w:rsidRPr="00206F81">
        <w:rPr>
          <w:rFonts w:ascii="Arial" w:hAnsi="Arial" w:cs="Arial"/>
          <w:i/>
          <w:iCs/>
          <w:color w:val="000000" w:themeColor="text1"/>
          <w:sz w:val="24"/>
          <w:szCs w:val="24"/>
        </w:rPr>
        <w:t>Armstrong’s handbook of human resource management practice.</w:t>
      </w:r>
      <w:r w:rsidRPr="00206F81">
        <w:rPr>
          <w:rFonts w:ascii="Arial" w:hAnsi="Arial" w:cs="Arial"/>
          <w:color w:val="000000" w:themeColor="text1"/>
          <w:sz w:val="24"/>
          <w:szCs w:val="24"/>
        </w:rPr>
        <w:t xml:space="preserve"> 15th edition. London, United Kingdom ;: KoganPage.</w:t>
      </w:r>
    </w:p>
    <w:p w14:paraId="62DE39F7" w14:textId="77777777" w:rsidR="00A462FC" w:rsidRPr="007973A0" w:rsidRDefault="00A462FC" w:rsidP="00050CE2">
      <w:pPr>
        <w:spacing w:line="360" w:lineRule="auto"/>
        <w:jc w:val="both"/>
        <w:rPr>
          <w:rFonts w:ascii="Arial" w:hAnsi="Arial" w:cs="Arial"/>
          <w:color w:val="000000" w:themeColor="text1"/>
          <w:sz w:val="24"/>
          <w:szCs w:val="24"/>
        </w:rPr>
      </w:pPr>
      <w:r w:rsidRPr="007973A0">
        <w:rPr>
          <w:rFonts w:ascii="Arial" w:hAnsi="Arial" w:cs="Arial"/>
          <w:color w:val="000000" w:themeColor="text1"/>
          <w:sz w:val="24"/>
          <w:szCs w:val="24"/>
        </w:rPr>
        <w:t xml:space="preserve">Blanchard, K., &amp; Broadwell, R. (2008). </w:t>
      </w:r>
      <w:r w:rsidRPr="007973A0">
        <w:rPr>
          <w:rFonts w:ascii="Arial" w:hAnsi="Arial" w:cs="Arial"/>
          <w:i/>
          <w:iCs/>
          <w:color w:val="000000" w:themeColor="text1"/>
          <w:sz w:val="24"/>
          <w:szCs w:val="24"/>
        </w:rPr>
        <w:t xml:space="preserve">The New Leaders: Transforming the Art of Leadership into the Science of Results. </w:t>
      </w:r>
      <w:r w:rsidRPr="007973A0">
        <w:rPr>
          <w:rFonts w:ascii="Arial" w:hAnsi="Arial" w:cs="Arial"/>
          <w:color w:val="000000" w:themeColor="text1"/>
          <w:sz w:val="24"/>
          <w:szCs w:val="24"/>
        </w:rPr>
        <w:t>Free Press.</w:t>
      </w:r>
    </w:p>
    <w:p w14:paraId="0262A3A8" w14:textId="77777777" w:rsidR="00A462FC" w:rsidRPr="00890D3A" w:rsidRDefault="00A462FC" w:rsidP="00050CE2">
      <w:pPr>
        <w:spacing w:line="360" w:lineRule="auto"/>
        <w:jc w:val="both"/>
        <w:rPr>
          <w:rFonts w:ascii="Arial" w:hAnsi="Arial" w:cs="Arial"/>
          <w:color w:val="000000" w:themeColor="text1"/>
          <w:sz w:val="24"/>
          <w:szCs w:val="24"/>
        </w:rPr>
      </w:pPr>
      <w:r w:rsidRPr="00890D3A">
        <w:rPr>
          <w:rFonts w:ascii="Arial" w:hAnsi="Arial" w:cs="Arial"/>
          <w:color w:val="000000" w:themeColor="text1"/>
          <w:sz w:val="24"/>
          <w:szCs w:val="24"/>
        </w:rPr>
        <w:t xml:space="preserve">Boxall, P., &amp; Macky, K. (2021). </w:t>
      </w:r>
      <w:r w:rsidRPr="00890D3A">
        <w:rPr>
          <w:rFonts w:ascii="Arial" w:hAnsi="Arial" w:cs="Arial"/>
          <w:i/>
          <w:iCs/>
          <w:color w:val="000000" w:themeColor="text1"/>
          <w:sz w:val="24"/>
          <w:szCs w:val="24"/>
        </w:rPr>
        <w:t>Research and theory on high-performance work systems: Progressing the high-involvement stream.</w:t>
      </w:r>
      <w:r w:rsidRPr="00890D3A">
        <w:rPr>
          <w:rFonts w:ascii="Arial" w:hAnsi="Arial" w:cs="Arial"/>
          <w:color w:val="000000" w:themeColor="text1"/>
          <w:sz w:val="24"/>
          <w:szCs w:val="24"/>
        </w:rPr>
        <w:t xml:space="preserve"> Human Resource Management Journal, 19(1), 3–23. </w:t>
      </w:r>
      <w:r w:rsidRPr="00096AE2">
        <w:rPr>
          <w:rFonts w:ascii="Arial" w:hAnsi="Arial" w:cs="Arial"/>
          <w:color w:val="000000" w:themeColor="text1"/>
          <w:sz w:val="24"/>
          <w:szCs w:val="24"/>
        </w:rPr>
        <w:t xml:space="preserve">[online] available at: </w:t>
      </w:r>
      <w:r w:rsidRPr="00890D3A">
        <w:rPr>
          <w:rFonts w:ascii="Arial" w:hAnsi="Arial" w:cs="Arial"/>
          <w:color w:val="000000" w:themeColor="text1"/>
          <w:sz w:val="24"/>
          <w:szCs w:val="24"/>
        </w:rPr>
        <w:t>https://doi.org/10.1111/j.1748-8583.2008.00087.x</w:t>
      </w:r>
      <w:r>
        <w:rPr>
          <w:rFonts w:ascii="Arial" w:hAnsi="Arial" w:cs="Arial"/>
          <w:color w:val="000000" w:themeColor="text1"/>
          <w:sz w:val="24"/>
          <w:szCs w:val="24"/>
        </w:rPr>
        <w:t xml:space="preserve">  </w:t>
      </w:r>
      <w:r w:rsidRPr="00890D3A">
        <w:rPr>
          <w:rFonts w:ascii="Arial" w:hAnsi="Arial" w:cs="Arial"/>
          <w:color w:val="000000" w:themeColor="text1"/>
          <w:sz w:val="24"/>
          <w:szCs w:val="24"/>
        </w:rPr>
        <w:t>(</w:t>
      </w:r>
      <w:r>
        <w:rPr>
          <w:rFonts w:ascii="Arial" w:hAnsi="Arial" w:cs="Arial"/>
          <w:color w:val="000000" w:themeColor="text1"/>
          <w:sz w:val="24"/>
          <w:szCs w:val="24"/>
        </w:rPr>
        <w:t>12 November, 2023</w:t>
      </w:r>
      <w:r w:rsidRPr="00890D3A">
        <w:rPr>
          <w:rFonts w:ascii="Arial" w:hAnsi="Arial" w:cs="Arial"/>
          <w:color w:val="000000" w:themeColor="text1"/>
          <w:sz w:val="24"/>
          <w:szCs w:val="24"/>
        </w:rPr>
        <w:t>)</w:t>
      </w:r>
    </w:p>
    <w:p w14:paraId="1D2D1F3A" w14:textId="77777777" w:rsidR="00A462FC" w:rsidRPr="00A462FC" w:rsidRDefault="00A462FC" w:rsidP="00050CE2">
      <w:pPr>
        <w:spacing w:line="360" w:lineRule="auto"/>
        <w:jc w:val="both"/>
        <w:rPr>
          <w:rFonts w:ascii="Arial" w:hAnsi="Arial" w:cs="Arial"/>
          <w:i/>
          <w:iCs/>
          <w:color w:val="000000" w:themeColor="text1"/>
          <w:sz w:val="24"/>
          <w:szCs w:val="24"/>
        </w:rPr>
      </w:pPr>
      <w:r w:rsidRPr="00206F81">
        <w:rPr>
          <w:rFonts w:ascii="Arial" w:hAnsi="Arial" w:cs="Arial"/>
          <w:color w:val="000000" w:themeColor="text1"/>
          <w:sz w:val="24"/>
          <w:szCs w:val="24"/>
        </w:rPr>
        <w:t xml:space="preserve">Essential Torrington, D, Hall, L, Atkinson, C, &amp; Taylor, S 2020, </w:t>
      </w:r>
      <w:r w:rsidRPr="005D760E">
        <w:rPr>
          <w:rFonts w:ascii="Arial" w:hAnsi="Arial" w:cs="Arial"/>
          <w:i/>
          <w:iCs/>
          <w:color w:val="000000" w:themeColor="text1"/>
          <w:sz w:val="24"/>
          <w:szCs w:val="24"/>
        </w:rPr>
        <w:t xml:space="preserve">Human </w:t>
      </w:r>
      <w:r>
        <w:rPr>
          <w:rFonts w:ascii="Arial" w:hAnsi="Arial" w:cs="Arial"/>
          <w:i/>
          <w:iCs/>
          <w:color w:val="000000" w:themeColor="text1"/>
          <w:sz w:val="24"/>
          <w:szCs w:val="24"/>
        </w:rPr>
        <w:t xml:space="preserve"> </w:t>
      </w:r>
      <w:r w:rsidRPr="005D760E">
        <w:rPr>
          <w:rFonts w:ascii="Arial" w:hAnsi="Arial" w:cs="Arial"/>
          <w:i/>
          <w:iCs/>
          <w:color w:val="000000" w:themeColor="text1"/>
          <w:sz w:val="24"/>
          <w:szCs w:val="24"/>
        </w:rPr>
        <w:t xml:space="preserve">Resource Management PDF EBook, </w:t>
      </w:r>
      <w:r w:rsidRPr="00206F81">
        <w:rPr>
          <w:rFonts w:ascii="Arial" w:hAnsi="Arial" w:cs="Arial"/>
          <w:color w:val="000000" w:themeColor="text1"/>
          <w:sz w:val="24"/>
          <w:szCs w:val="24"/>
        </w:rPr>
        <w:t>Pearson Education, Limited, Harlow. Available from: ProQuest Ebook Central.</w:t>
      </w:r>
    </w:p>
    <w:p w14:paraId="6713BA94" w14:textId="77777777" w:rsidR="00A462FC" w:rsidRPr="00890D3A" w:rsidRDefault="00A462FC" w:rsidP="00050CE2">
      <w:pPr>
        <w:spacing w:line="360" w:lineRule="auto"/>
        <w:jc w:val="both"/>
        <w:rPr>
          <w:rFonts w:ascii="Arial" w:hAnsi="Arial" w:cs="Arial"/>
          <w:color w:val="000000" w:themeColor="text1"/>
          <w:sz w:val="24"/>
          <w:szCs w:val="24"/>
        </w:rPr>
      </w:pPr>
      <w:r w:rsidRPr="00890D3A">
        <w:rPr>
          <w:rFonts w:ascii="Arial" w:hAnsi="Arial" w:cs="Arial"/>
          <w:color w:val="000000" w:themeColor="text1"/>
          <w:sz w:val="24"/>
          <w:szCs w:val="24"/>
        </w:rPr>
        <w:t>Four Seasons Hotels and Resorts. (</w:t>
      </w:r>
      <w:r>
        <w:rPr>
          <w:rFonts w:ascii="Arial" w:hAnsi="Arial" w:cs="Arial"/>
          <w:color w:val="000000" w:themeColor="text1"/>
          <w:sz w:val="24"/>
          <w:szCs w:val="24"/>
        </w:rPr>
        <w:t>2023</w:t>
      </w:r>
      <w:r w:rsidRPr="00890D3A">
        <w:rPr>
          <w:rFonts w:ascii="Arial" w:hAnsi="Arial" w:cs="Arial"/>
          <w:color w:val="000000" w:themeColor="text1"/>
          <w:sz w:val="24"/>
          <w:szCs w:val="24"/>
        </w:rPr>
        <w:t xml:space="preserve">). </w:t>
      </w:r>
      <w:r w:rsidRPr="00A51444">
        <w:rPr>
          <w:rFonts w:ascii="Arial" w:hAnsi="Arial" w:cs="Arial"/>
          <w:i/>
          <w:iCs/>
          <w:color w:val="000000" w:themeColor="text1"/>
          <w:sz w:val="24"/>
          <w:szCs w:val="24"/>
        </w:rPr>
        <w:t>Join our team</w:t>
      </w:r>
      <w:r w:rsidRPr="00096AE2">
        <w:rPr>
          <w:rFonts w:ascii="Arial" w:hAnsi="Arial" w:cs="Arial"/>
          <w:color w:val="000000" w:themeColor="text1"/>
          <w:sz w:val="24"/>
          <w:szCs w:val="24"/>
        </w:rPr>
        <w:t xml:space="preserve">. [online] available at: </w:t>
      </w:r>
      <w:r w:rsidRPr="00890D3A">
        <w:rPr>
          <w:rFonts w:ascii="Arial" w:hAnsi="Arial" w:cs="Arial"/>
          <w:color w:val="000000" w:themeColor="text1"/>
          <w:sz w:val="24"/>
          <w:szCs w:val="24"/>
        </w:rPr>
        <w:t>https://www.fourseasons.com/careers/</w:t>
      </w:r>
      <w:r>
        <w:rPr>
          <w:rFonts w:ascii="Arial" w:hAnsi="Arial" w:cs="Arial"/>
          <w:color w:val="000000" w:themeColor="text1"/>
          <w:sz w:val="24"/>
          <w:szCs w:val="24"/>
        </w:rPr>
        <w:t xml:space="preserve"> </w:t>
      </w:r>
      <w:r w:rsidRPr="00890D3A">
        <w:rPr>
          <w:rFonts w:ascii="Arial" w:hAnsi="Arial" w:cs="Arial"/>
          <w:color w:val="000000" w:themeColor="text1"/>
          <w:sz w:val="24"/>
          <w:szCs w:val="24"/>
        </w:rPr>
        <w:t>(</w:t>
      </w:r>
      <w:r>
        <w:rPr>
          <w:rFonts w:ascii="Arial" w:hAnsi="Arial" w:cs="Arial"/>
          <w:color w:val="000000" w:themeColor="text1"/>
          <w:sz w:val="24"/>
          <w:szCs w:val="24"/>
        </w:rPr>
        <w:t>12 November, 2023</w:t>
      </w:r>
      <w:r w:rsidRPr="00890D3A">
        <w:rPr>
          <w:rFonts w:ascii="Arial" w:hAnsi="Arial" w:cs="Arial"/>
          <w:color w:val="000000" w:themeColor="text1"/>
          <w:sz w:val="24"/>
          <w:szCs w:val="24"/>
        </w:rPr>
        <w:t>)</w:t>
      </w:r>
    </w:p>
    <w:p w14:paraId="7AE9ADAF" w14:textId="77777777" w:rsidR="00A462FC" w:rsidRPr="00206F81" w:rsidRDefault="00A462FC" w:rsidP="00050CE2">
      <w:pPr>
        <w:spacing w:line="360" w:lineRule="auto"/>
        <w:jc w:val="both"/>
        <w:rPr>
          <w:rFonts w:ascii="Arial" w:hAnsi="Arial" w:cs="Arial"/>
          <w:color w:val="000000" w:themeColor="text1"/>
          <w:sz w:val="24"/>
          <w:szCs w:val="24"/>
        </w:rPr>
      </w:pPr>
      <w:r w:rsidRPr="00206F81">
        <w:rPr>
          <w:rFonts w:ascii="Arial" w:hAnsi="Arial" w:cs="Arial"/>
          <w:color w:val="000000" w:themeColor="text1"/>
          <w:sz w:val="24"/>
          <w:szCs w:val="24"/>
        </w:rPr>
        <w:t xml:space="preserve">Further Friedman, A. (2012) </w:t>
      </w:r>
      <w:r w:rsidRPr="005D760E">
        <w:rPr>
          <w:rFonts w:ascii="Arial" w:hAnsi="Arial" w:cs="Arial"/>
          <w:i/>
          <w:iCs/>
          <w:color w:val="000000" w:themeColor="text1"/>
          <w:sz w:val="24"/>
          <w:szCs w:val="24"/>
        </w:rPr>
        <w:t xml:space="preserve">Continuing professional development: lifelong learning of millions. </w:t>
      </w:r>
      <w:r w:rsidRPr="00206F81">
        <w:rPr>
          <w:rFonts w:ascii="Arial" w:hAnsi="Arial" w:cs="Arial"/>
          <w:color w:val="000000" w:themeColor="text1"/>
          <w:sz w:val="24"/>
          <w:szCs w:val="24"/>
        </w:rPr>
        <w:t>London: Routledge.</w:t>
      </w:r>
    </w:p>
    <w:p w14:paraId="71B8FE52" w14:textId="77777777" w:rsidR="00A462FC" w:rsidRPr="00206F81" w:rsidRDefault="00A462FC" w:rsidP="00050CE2">
      <w:pPr>
        <w:spacing w:line="360" w:lineRule="auto"/>
        <w:jc w:val="both"/>
        <w:rPr>
          <w:rFonts w:ascii="Arial" w:hAnsi="Arial" w:cs="Arial"/>
          <w:color w:val="000000" w:themeColor="text1"/>
          <w:sz w:val="24"/>
          <w:szCs w:val="24"/>
        </w:rPr>
      </w:pPr>
      <w:r w:rsidRPr="00206F81">
        <w:rPr>
          <w:rFonts w:ascii="Arial" w:hAnsi="Arial" w:cs="Arial"/>
          <w:color w:val="000000" w:themeColor="text1"/>
          <w:sz w:val="24"/>
          <w:szCs w:val="24"/>
        </w:rPr>
        <w:t xml:space="preserve">Further Gallagher, K. (2016) </w:t>
      </w:r>
      <w:r w:rsidRPr="005D760E">
        <w:rPr>
          <w:rFonts w:ascii="Arial" w:hAnsi="Arial" w:cs="Arial"/>
          <w:i/>
          <w:iCs/>
          <w:color w:val="000000" w:themeColor="text1"/>
          <w:sz w:val="24"/>
          <w:szCs w:val="24"/>
        </w:rPr>
        <w:t xml:space="preserve">Essential study and employment skills for business and management students. </w:t>
      </w:r>
      <w:r w:rsidRPr="00206F81">
        <w:rPr>
          <w:rFonts w:ascii="Arial" w:hAnsi="Arial" w:cs="Arial"/>
          <w:color w:val="000000" w:themeColor="text1"/>
          <w:sz w:val="24"/>
          <w:szCs w:val="24"/>
        </w:rPr>
        <w:t>Oxford: Oxford University</w:t>
      </w:r>
      <w:r>
        <w:rPr>
          <w:rFonts w:ascii="Arial" w:hAnsi="Arial" w:cs="Arial"/>
          <w:color w:val="000000" w:themeColor="text1"/>
          <w:sz w:val="24"/>
          <w:szCs w:val="24"/>
        </w:rPr>
        <w:t xml:space="preserve"> </w:t>
      </w:r>
      <w:r w:rsidRPr="00206F81">
        <w:rPr>
          <w:rFonts w:ascii="Arial" w:hAnsi="Arial" w:cs="Arial"/>
          <w:color w:val="000000" w:themeColor="text1"/>
          <w:sz w:val="24"/>
          <w:szCs w:val="24"/>
        </w:rPr>
        <w:t>Press.</w:t>
      </w:r>
    </w:p>
    <w:p w14:paraId="61017145" w14:textId="77777777" w:rsidR="00A462FC" w:rsidRPr="00206F81" w:rsidRDefault="00A462FC" w:rsidP="00050CE2">
      <w:pPr>
        <w:spacing w:line="360" w:lineRule="auto"/>
        <w:jc w:val="both"/>
        <w:rPr>
          <w:rFonts w:ascii="Arial" w:hAnsi="Arial" w:cs="Arial"/>
          <w:color w:val="000000" w:themeColor="text1"/>
          <w:sz w:val="24"/>
          <w:szCs w:val="24"/>
        </w:rPr>
      </w:pPr>
      <w:r w:rsidRPr="00206F81">
        <w:rPr>
          <w:rFonts w:ascii="Arial" w:hAnsi="Arial" w:cs="Arial"/>
          <w:color w:val="000000" w:themeColor="text1"/>
          <w:sz w:val="24"/>
          <w:szCs w:val="24"/>
        </w:rPr>
        <w:t xml:space="preserve">Further Horn, R. (2009) </w:t>
      </w:r>
      <w:r w:rsidRPr="005D760E">
        <w:rPr>
          <w:rFonts w:ascii="Arial" w:hAnsi="Arial" w:cs="Arial"/>
          <w:i/>
          <w:iCs/>
          <w:color w:val="000000" w:themeColor="text1"/>
          <w:sz w:val="24"/>
          <w:szCs w:val="24"/>
        </w:rPr>
        <w:t xml:space="preserve">The business skills handbook. </w:t>
      </w:r>
      <w:r w:rsidRPr="00206F81">
        <w:rPr>
          <w:rFonts w:ascii="Arial" w:hAnsi="Arial" w:cs="Arial"/>
          <w:color w:val="000000" w:themeColor="text1"/>
          <w:sz w:val="24"/>
          <w:szCs w:val="24"/>
        </w:rPr>
        <w:t>London: Chartered Institute of Personnel and Development.</w:t>
      </w:r>
    </w:p>
    <w:p w14:paraId="0F634A0C" w14:textId="77777777" w:rsidR="00A462FC" w:rsidRPr="00206F81" w:rsidRDefault="00A462FC" w:rsidP="00050CE2">
      <w:pPr>
        <w:spacing w:line="360" w:lineRule="auto"/>
        <w:jc w:val="both"/>
        <w:rPr>
          <w:rFonts w:ascii="Arial" w:hAnsi="Arial" w:cs="Arial"/>
          <w:color w:val="000000" w:themeColor="text1"/>
          <w:sz w:val="24"/>
          <w:szCs w:val="24"/>
        </w:rPr>
      </w:pPr>
      <w:r w:rsidRPr="00206F81">
        <w:rPr>
          <w:rFonts w:ascii="Arial" w:hAnsi="Arial" w:cs="Arial"/>
          <w:color w:val="000000" w:themeColor="text1"/>
          <w:sz w:val="24"/>
          <w:szCs w:val="24"/>
        </w:rPr>
        <w:t xml:space="preserve">Further Johnston, R. Clark, G. Shulver, M (2012). </w:t>
      </w:r>
      <w:r w:rsidRPr="005D760E">
        <w:rPr>
          <w:rFonts w:ascii="Arial" w:hAnsi="Arial" w:cs="Arial"/>
          <w:i/>
          <w:iCs/>
          <w:color w:val="000000" w:themeColor="text1"/>
          <w:sz w:val="24"/>
          <w:szCs w:val="24"/>
        </w:rPr>
        <w:t>Service Operations Management</w:t>
      </w:r>
      <w:r w:rsidRPr="00206F81">
        <w:rPr>
          <w:rFonts w:ascii="Arial" w:hAnsi="Arial" w:cs="Arial"/>
          <w:color w:val="000000" w:themeColor="text1"/>
          <w:sz w:val="24"/>
          <w:szCs w:val="24"/>
        </w:rPr>
        <w:t>, Pearson, London</w:t>
      </w:r>
      <w:r>
        <w:rPr>
          <w:rFonts w:ascii="Arial" w:hAnsi="Arial" w:cs="Arial"/>
          <w:color w:val="000000" w:themeColor="text1"/>
          <w:sz w:val="24"/>
          <w:szCs w:val="24"/>
        </w:rPr>
        <w:t>.</w:t>
      </w:r>
    </w:p>
    <w:p w14:paraId="6F1C6A00" w14:textId="77777777" w:rsidR="00A462FC" w:rsidRPr="00206F81" w:rsidRDefault="00A462FC" w:rsidP="00050CE2">
      <w:pPr>
        <w:spacing w:line="360" w:lineRule="auto"/>
        <w:jc w:val="both"/>
        <w:rPr>
          <w:rFonts w:ascii="Arial" w:hAnsi="Arial" w:cs="Arial"/>
          <w:color w:val="000000" w:themeColor="text1"/>
          <w:sz w:val="24"/>
          <w:szCs w:val="24"/>
        </w:rPr>
      </w:pPr>
      <w:r w:rsidRPr="00206F81">
        <w:rPr>
          <w:rFonts w:ascii="Arial" w:hAnsi="Arial" w:cs="Arial"/>
          <w:color w:val="000000" w:themeColor="text1"/>
          <w:sz w:val="24"/>
          <w:szCs w:val="24"/>
        </w:rPr>
        <w:t>Further Marchington, M. and Wilkinson, A. (2016) Human resource management at work. 6th ed. London: Chartered Institute of Personnel and Development.</w:t>
      </w:r>
    </w:p>
    <w:p w14:paraId="301B7252" w14:textId="77777777" w:rsidR="00A462FC" w:rsidRDefault="00A462FC" w:rsidP="00050CE2">
      <w:pPr>
        <w:spacing w:line="360" w:lineRule="auto"/>
        <w:jc w:val="both"/>
        <w:rPr>
          <w:rFonts w:ascii="Arial" w:hAnsi="Arial" w:cs="Arial"/>
          <w:color w:val="000000" w:themeColor="text1"/>
          <w:sz w:val="24"/>
          <w:szCs w:val="24"/>
        </w:rPr>
      </w:pPr>
      <w:r w:rsidRPr="00206F81">
        <w:rPr>
          <w:rFonts w:ascii="Arial" w:hAnsi="Arial" w:cs="Arial"/>
          <w:color w:val="000000" w:themeColor="text1"/>
          <w:sz w:val="24"/>
          <w:szCs w:val="24"/>
        </w:rPr>
        <w:t xml:space="preserve">Further Murton, A,. Inman, M., O’Sullivan, N. (2010) </w:t>
      </w:r>
      <w:r w:rsidRPr="007973A0">
        <w:rPr>
          <w:rFonts w:ascii="Arial" w:hAnsi="Arial" w:cs="Arial"/>
          <w:i/>
          <w:iCs/>
          <w:color w:val="000000" w:themeColor="text1"/>
          <w:sz w:val="24"/>
          <w:szCs w:val="24"/>
        </w:rPr>
        <w:t>Unlocking Human Resource Management</w:t>
      </w:r>
      <w:r w:rsidRPr="00206F81">
        <w:rPr>
          <w:rFonts w:ascii="Arial" w:hAnsi="Arial" w:cs="Arial"/>
          <w:color w:val="000000" w:themeColor="text1"/>
          <w:sz w:val="24"/>
          <w:szCs w:val="24"/>
        </w:rPr>
        <w:t>, Hodder Education</w:t>
      </w:r>
      <w:r>
        <w:rPr>
          <w:rFonts w:ascii="Arial" w:hAnsi="Arial" w:cs="Arial"/>
          <w:color w:val="000000" w:themeColor="text1"/>
          <w:sz w:val="24"/>
          <w:szCs w:val="24"/>
        </w:rPr>
        <w:t>.</w:t>
      </w:r>
    </w:p>
    <w:p w14:paraId="27FD720E" w14:textId="77777777" w:rsidR="00A462FC" w:rsidRPr="00890D3A" w:rsidRDefault="00A462FC" w:rsidP="00050CE2">
      <w:pPr>
        <w:spacing w:line="360" w:lineRule="auto"/>
        <w:jc w:val="both"/>
        <w:rPr>
          <w:rFonts w:ascii="Arial" w:hAnsi="Arial" w:cs="Arial"/>
          <w:color w:val="000000" w:themeColor="text1"/>
          <w:sz w:val="24"/>
          <w:szCs w:val="24"/>
        </w:rPr>
      </w:pPr>
      <w:r w:rsidRPr="00890D3A">
        <w:rPr>
          <w:rFonts w:ascii="Arial" w:hAnsi="Arial" w:cs="Arial"/>
          <w:color w:val="000000" w:themeColor="text1"/>
          <w:sz w:val="24"/>
          <w:szCs w:val="24"/>
        </w:rPr>
        <w:lastRenderedPageBreak/>
        <w:t xml:space="preserve">Gallup. (2022). </w:t>
      </w:r>
      <w:r w:rsidRPr="00890D3A">
        <w:rPr>
          <w:rFonts w:ascii="Arial" w:hAnsi="Arial" w:cs="Arial"/>
          <w:i/>
          <w:iCs/>
          <w:color w:val="000000" w:themeColor="text1"/>
          <w:sz w:val="24"/>
          <w:szCs w:val="24"/>
        </w:rPr>
        <w:t>State of the Global Workplace</w:t>
      </w:r>
      <w:r w:rsidRPr="00096AE2">
        <w:rPr>
          <w:rFonts w:ascii="Arial" w:hAnsi="Arial" w:cs="Arial"/>
          <w:color w:val="000000" w:themeColor="text1"/>
          <w:sz w:val="24"/>
          <w:szCs w:val="24"/>
        </w:rPr>
        <w:t xml:space="preserve">. [online] available at: </w:t>
      </w:r>
      <w:r w:rsidRPr="00890D3A">
        <w:rPr>
          <w:rFonts w:ascii="Arial" w:hAnsi="Arial" w:cs="Arial"/>
          <w:color w:val="000000" w:themeColor="text1"/>
          <w:sz w:val="24"/>
          <w:szCs w:val="24"/>
        </w:rPr>
        <w:t>https://www.gallup.com/workplace/238079/state-global-workplace-2017.aspx</w:t>
      </w:r>
      <w:r>
        <w:rPr>
          <w:rFonts w:ascii="Arial" w:hAnsi="Arial" w:cs="Arial"/>
          <w:color w:val="000000" w:themeColor="text1"/>
          <w:sz w:val="24"/>
          <w:szCs w:val="24"/>
        </w:rPr>
        <w:t xml:space="preserve"> </w:t>
      </w:r>
      <w:r w:rsidRPr="00890D3A">
        <w:rPr>
          <w:rFonts w:ascii="Arial" w:hAnsi="Arial" w:cs="Arial"/>
          <w:color w:val="000000" w:themeColor="text1"/>
          <w:sz w:val="24"/>
          <w:szCs w:val="24"/>
        </w:rPr>
        <w:t>(</w:t>
      </w:r>
      <w:r>
        <w:rPr>
          <w:rFonts w:ascii="Arial" w:hAnsi="Arial" w:cs="Arial"/>
          <w:color w:val="000000" w:themeColor="text1"/>
          <w:sz w:val="24"/>
          <w:szCs w:val="24"/>
        </w:rPr>
        <w:t>12 November, 2023</w:t>
      </w:r>
      <w:r w:rsidRPr="00890D3A">
        <w:rPr>
          <w:rFonts w:ascii="Arial" w:hAnsi="Arial" w:cs="Arial"/>
          <w:color w:val="000000" w:themeColor="text1"/>
          <w:sz w:val="24"/>
          <w:szCs w:val="24"/>
        </w:rPr>
        <w:t>)</w:t>
      </w:r>
    </w:p>
    <w:p w14:paraId="410D5AC1" w14:textId="77777777" w:rsidR="00A462FC" w:rsidRPr="00890D3A" w:rsidRDefault="00A462FC" w:rsidP="00050CE2">
      <w:pPr>
        <w:spacing w:line="360" w:lineRule="auto"/>
        <w:jc w:val="both"/>
        <w:rPr>
          <w:rFonts w:ascii="Arial" w:hAnsi="Arial" w:cs="Arial"/>
          <w:color w:val="000000" w:themeColor="text1"/>
          <w:sz w:val="24"/>
          <w:szCs w:val="24"/>
        </w:rPr>
      </w:pPr>
      <w:r w:rsidRPr="00890D3A">
        <w:rPr>
          <w:rFonts w:ascii="Arial" w:hAnsi="Arial" w:cs="Arial"/>
          <w:color w:val="000000" w:themeColor="text1"/>
          <w:sz w:val="24"/>
          <w:szCs w:val="24"/>
        </w:rPr>
        <w:t xml:space="preserve">Grant, A. M., &amp; Sumanth, J. J. (2021). </w:t>
      </w:r>
      <w:r w:rsidRPr="00890D3A">
        <w:rPr>
          <w:rFonts w:ascii="Arial" w:hAnsi="Arial" w:cs="Arial"/>
          <w:i/>
          <w:iCs/>
          <w:color w:val="000000" w:themeColor="text1"/>
          <w:sz w:val="24"/>
          <w:szCs w:val="24"/>
        </w:rPr>
        <w:t>Mission possible? The performance of prosocially motivated employees depends on manager trustworthiness</w:t>
      </w:r>
      <w:r w:rsidRPr="00890D3A">
        <w:rPr>
          <w:rFonts w:ascii="Arial" w:hAnsi="Arial" w:cs="Arial"/>
          <w:color w:val="000000" w:themeColor="text1"/>
          <w:sz w:val="24"/>
          <w:szCs w:val="24"/>
        </w:rPr>
        <w:t>. Journal of Applied Psychology, 94(4), 927–944. https://doi.org/10.1037/a0013955</w:t>
      </w:r>
      <w:r>
        <w:rPr>
          <w:rFonts w:ascii="Arial" w:hAnsi="Arial" w:cs="Arial"/>
          <w:color w:val="000000" w:themeColor="text1"/>
          <w:sz w:val="24"/>
          <w:szCs w:val="24"/>
        </w:rPr>
        <w:t xml:space="preserve"> </w:t>
      </w:r>
      <w:r w:rsidRPr="00890D3A">
        <w:rPr>
          <w:rFonts w:ascii="Arial" w:hAnsi="Arial" w:cs="Arial"/>
          <w:color w:val="000000" w:themeColor="text1"/>
          <w:sz w:val="24"/>
          <w:szCs w:val="24"/>
        </w:rPr>
        <w:t>(</w:t>
      </w:r>
      <w:r>
        <w:rPr>
          <w:rFonts w:ascii="Arial" w:hAnsi="Arial" w:cs="Arial"/>
          <w:color w:val="000000" w:themeColor="text1"/>
          <w:sz w:val="24"/>
          <w:szCs w:val="24"/>
        </w:rPr>
        <w:t>12 November, 2023</w:t>
      </w:r>
      <w:r w:rsidRPr="00890D3A">
        <w:rPr>
          <w:rFonts w:ascii="Arial" w:hAnsi="Arial" w:cs="Arial"/>
          <w:color w:val="000000" w:themeColor="text1"/>
          <w:sz w:val="24"/>
          <w:szCs w:val="24"/>
        </w:rPr>
        <w:t>)</w:t>
      </w:r>
    </w:p>
    <w:p w14:paraId="385F6585" w14:textId="77777777" w:rsidR="00A462FC" w:rsidRPr="00890D3A" w:rsidRDefault="00A462FC" w:rsidP="00050CE2">
      <w:pPr>
        <w:spacing w:line="360" w:lineRule="auto"/>
        <w:jc w:val="both"/>
        <w:rPr>
          <w:rFonts w:ascii="Arial" w:hAnsi="Arial" w:cs="Arial"/>
          <w:color w:val="000000" w:themeColor="text1"/>
          <w:sz w:val="24"/>
          <w:szCs w:val="24"/>
        </w:rPr>
      </w:pPr>
      <w:r w:rsidRPr="00890D3A">
        <w:rPr>
          <w:rFonts w:ascii="Arial" w:hAnsi="Arial" w:cs="Arial"/>
          <w:color w:val="000000" w:themeColor="text1"/>
          <w:sz w:val="24"/>
          <w:szCs w:val="24"/>
        </w:rPr>
        <w:t>Hilton Worldwide. (</w:t>
      </w:r>
      <w:r>
        <w:rPr>
          <w:rFonts w:ascii="Arial" w:hAnsi="Arial" w:cs="Arial"/>
          <w:color w:val="000000" w:themeColor="text1"/>
          <w:sz w:val="24"/>
          <w:szCs w:val="24"/>
        </w:rPr>
        <w:t>2023</w:t>
      </w:r>
      <w:r w:rsidRPr="00890D3A">
        <w:rPr>
          <w:rFonts w:ascii="Arial" w:hAnsi="Arial" w:cs="Arial"/>
          <w:color w:val="000000" w:themeColor="text1"/>
          <w:sz w:val="24"/>
          <w:szCs w:val="24"/>
        </w:rPr>
        <w:t xml:space="preserve">). </w:t>
      </w:r>
      <w:r w:rsidRPr="00890D3A">
        <w:rPr>
          <w:rFonts w:ascii="Arial" w:hAnsi="Arial" w:cs="Arial"/>
          <w:i/>
          <w:iCs/>
          <w:color w:val="000000" w:themeColor="text1"/>
          <w:sz w:val="24"/>
          <w:szCs w:val="24"/>
        </w:rPr>
        <w:t>Careers</w:t>
      </w:r>
      <w:r w:rsidRPr="00752F0A">
        <w:rPr>
          <w:rFonts w:ascii="Arial" w:hAnsi="Arial" w:cs="Arial"/>
          <w:color w:val="000000" w:themeColor="text1"/>
          <w:sz w:val="24"/>
          <w:szCs w:val="24"/>
        </w:rPr>
        <w:t xml:space="preserve">. [online] available at: </w:t>
      </w:r>
      <w:r w:rsidRPr="00890D3A">
        <w:rPr>
          <w:rFonts w:ascii="Arial" w:hAnsi="Arial" w:cs="Arial"/>
          <w:color w:val="000000" w:themeColor="text1"/>
          <w:sz w:val="24"/>
          <w:szCs w:val="24"/>
        </w:rPr>
        <w:t>https://jobs.hilton.com/</w:t>
      </w:r>
    </w:p>
    <w:p w14:paraId="3EC67D21" w14:textId="77777777" w:rsidR="00A462FC" w:rsidRPr="00890D3A" w:rsidRDefault="00A462FC" w:rsidP="00050CE2">
      <w:pPr>
        <w:spacing w:line="360" w:lineRule="auto"/>
        <w:jc w:val="both"/>
        <w:rPr>
          <w:rFonts w:ascii="Arial" w:hAnsi="Arial" w:cs="Arial"/>
          <w:color w:val="000000" w:themeColor="text1"/>
          <w:sz w:val="24"/>
          <w:szCs w:val="24"/>
        </w:rPr>
      </w:pPr>
      <w:r w:rsidRPr="007973A0">
        <w:rPr>
          <w:rFonts w:ascii="Arial" w:hAnsi="Arial" w:cs="Arial"/>
          <w:color w:val="000000" w:themeColor="text1"/>
          <w:sz w:val="24"/>
          <w:szCs w:val="24"/>
        </w:rPr>
        <w:t>Kahn, W. A. (</w:t>
      </w:r>
      <w:r>
        <w:rPr>
          <w:rFonts w:ascii="Arial" w:hAnsi="Arial" w:cs="Arial"/>
          <w:color w:val="000000" w:themeColor="text1"/>
          <w:sz w:val="24"/>
          <w:szCs w:val="24"/>
        </w:rPr>
        <w:t>2018</w:t>
      </w:r>
      <w:r w:rsidRPr="007973A0">
        <w:rPr>
          <w:rFonts w:ascii="Arial" w:hAnsi="Arial" w:cs="Arial"/>
          <w:color w:val="000000" w:themeColor="text1"/>
          <w:sz w:val="24"/>
          <w:szCs w:val="24"/>
        </w:rPr>
        <w:t xml:space="preserve">). </w:t>
      </w:r>
      <w:r w:rsidRPr="007973A0">
        <w:rPr>
          <w:rFonts w:ascii="Arial" w:hAnsi="Arial" w:cs="Arial"/>
          <w:i/>
          <w:iCs/>
          <w:color w:val="000000" w:themeColor="text1"/>
          <w:sz w:val="24"/>
          <w:szCs w:val="24"/>
        </w:rPr>
        <w:t xml:space="preserve">Psychological conditions of personal engagement and disengagement at work. </w:t>
      </w:r>
      <w:r w:rsidRPr="007973A0">
        <w:rPr>
          <w:rFonts w:ascii="Arial" w:hAnsi="Arial" w:cs="Arial"/>
          <w:color w:val="000000" w:themeColor="text1"/>
          <w:sz w:val="24"/>
          <w:szCs w:val="24"/>
        </w:rPr>
        <w:t>Academy of Management Journal, 33(4), 692–724. https://doi.org/10.5465/256287</w:t>
      </w:r>
    </w:p>
    <w:p w14:paraId="5FBB1E59" w14:textId="77777777" w:rsidR="00A462FC" w:rsidRPr="00890D3A" w:rsidRDefault="00A462FC" w:rsidP="00050CE2">
      <w:pPr>
        <w:spacing w:line="360" w:lineRule="auto"/>
        <w:jc w:val="both"/>
        <w:rPr>
          <w:rFonts w:ascii="Arial" w:hAnsi="Arial" w:cs="Arial"/>
          <w:color w:val="000000" w:themeColor="text1"/>
          <w:sz w:val="24"/>
          <w:szCs w:val="24"/>
        </w:rPr>
      </w:pPr>
      <w:r w:rsidRPr="00890D3A">
        <w:rPr>
          <w:rFonts w:ascii="Arial" w:hAnsi="Arial" w:cs="Arial"/>
          <w:color w:val="000000" w:themeColor="text1"/>
          <w:sz w:val="24"/>
          <w:szCs w:val="24"/>
        </w:rPr>
        <w:t>Marriott International. (</w:t>
      </w:r>
      <w:r>
        <w:rPr>
          <w:rFonts w:ascii="Arial" w:hAnsi="Arial" w:cs="Arial"/>
          <w:color w:val="000000" w:themeColor="text1"/>
          <w:sz w:val="24"/>
          <w:szCs w:val="24"/>
        </w:rPr>
        <w:t>2023</w:t>
      </w:r>
      <w:r w:rsidRPr="00890D3A">
        <w:rPr>
          <w:rFonts w:ascii="Arial" w:hAnsi="Arial" w:cs="Arial"/>
          <w:color w:val="000000" w:themeColor="text1"/>
          <w:sz w:val="24"/>
          <w:szCs w:val="24"/>
        </w:rPr>
        <w:t xml:space="preserve">). </w:t>
      </w:r>
      <w:r w:rsidRPr="00890D3A">
        <w:rPr>
          <w:rFonts w:ascii="Arial" w:hAnsi="Arial" w:cs="Arial"/>
          <w:i/>
          <w:iCs/>
          <w:color w:val="000000" w:themeColor="text1"/>
          <w:sz w:val="24"/>
          <w:szCs w:val="24"/>
        </w:rPr>
        <w:t>Careers</w:t>
      </w:r>
      <w:r w:rsidRPr="00890D3A">
        <w:rPr>
          <w:rFonts w:ascii="Arial" w:hAnsi="Arial" w:cs="Arial"/>
          <w:color w:val="000000" w:themeColor="text1"/>
          <w:sz w:val="24"/>
          <w:szCs w:val="24"/>
        </w:rPr>
        <w:t xml:space="preserve">. </w:t>
      </w:r>
      <w:r w:rsidRPr="00F60EBB">
        <w:rPr>
          <w:rFonts w:ascii="Arial" w:hAnsi="Arial" w:cs="Arial"/>
          <w:color w:val="000000" w:themeColor="text1"/>
          <w:sz w:val="24"/>
          <w:szCs w:val="24"/>
        </w:rPr>
        <w:t>[online] available at:</w:t>
      </w:r>
      <w:r w:rsidRPr="00890D3A">
        <w:rPr>
          <w:rFonts w:ascii="Arial" w:hAnsi="Arial" w:cs="Arial"/>
          <w:color w:val="000000" w:themeColor="text1"/>
          <w:sz w:val="24"/>
          <w:szCs w:val="24"/>
        </w:rPr>
        <w:t>https://www.marriott.com/corporate/career.mi</w:t>
      </w:r>
      <w:r>
        <w:rPr>
          <w:rFonts w:ascii="Arial" w:hAnsi="Arial" w:cs="Arial"/>
          <w:color w:val="000000" w:themeColor="text1"/>
          <w:sz w:val="24"/>
          <w:szCs w:val="24"/>
        </w:rPr>
        <w:t xml:space="preserve"> </w:t>
      </w:r>
      <w:r w:rsidRPr="00890D3A">
        <w:rPr>
          <w:rFonts w:ascii="Arial" w:hAnsi="Arial" w:cs="Arial"/>
          <w:color w:val="000000" w:themeColor="text1"/>
          <w:sz w:val="24"/>
          <w:szCs w:val="24"/>
        </w:rPr>
        <w:t>(</w:t>
      </w:r>
      <w:r>
        <w:rPr>
          <w:rFonts w:ascii="Arial" w:hAnsi="Arial" w:cs="Arial"/>
          <w:color w:val="000000" w:themeColor="text1"/>
          <w:sz w:val="24"/>
          <w:szCs w:val="24"/>
        </w:rPr>
        <w:t>12 November, 2023</w:t>
      </w:r>
      <w:r w:rsidRPr="00890D3A">
        <w:rPr>
          <w:rFonts w:ascii="Arial" w:hAnsi="Arial" w:cs="Arial"/>
          <w:color w:val="000000" w:themeColor="text1"/>
          <w:sz w:val="24"/>
          <w:szCs w:val="24"/>
        </w:rPr>
        <w:t>)</w:t>
      </w:r>
    </w:p>
    <w:p w14:paraId="2888217D" w14:textId="77777777" w:rsidR="00A462FC" w:rsidRPr="00890D3A" w:rsidRDefault="00A462FC" w:rsidP="00050CE2">
      <w:pPr>
        <w:spacing w:line="360" w:lineRule="auto"/>
        <w:jc w:val="both"/>
        <w:rPr>
          <w:rFonts w:ascii="Arial" w:hAnsi="Arial" w:cs="Arial"/>
          <w:color w:val="000000" w:themeColor="text1"/>
          <w:sz w:val="24"/>
          <w:szCs w:val="24"/>
        </w:rPr>
      </w:pPr>
      <w:r w:rsidRPr="00890D3A">
        <w:rPr>
          <w:rFonts w:ascii="Arial" w:hAnsi="Arial" w:cs="Arial"/>
          <w:color w:val="000000" w:themeColor="text1"/>
          <w:sz w:val="24"/>
          <w:szCs w:val="24"/>
        </w:rPr>
        <w:t xml:space="preserve">O'Reilly, C. A., &amp; Pfeffer, J. (2021). </w:t>
      </w:r>
      <w:r w:rsidRPr="00890D3A">
        <w:rPr>
          <w:rFonts w:ascii="Arial" w:hAnsi="Arial" w:cs="Arial"/>
          <w:i/>
          <w:iCs/>
          <w:color w:val="000000" w:themeColor="text1"/>
          <w:sz w:val="24"/>
          <w:szCs w:val="24"/>
        </w:rPr>
        <w:t>Hidden value: How great companies achieve extraordinary results with ordinary people</w:t>
      </w:r>
      <w:r w:rsidRPr="00890D3A">
        <w:rPr>
          <w:rFonts w:ascii="Arial" w:hAnsi="Arial" w:cs="Arial"/>
          <w:color w:val="000000" w:themeColor="text1"/>
          <w:sz w:val="24"/>
          <w:szCs w:val="24"/>
        </w:rPr>
        <w:t>. Harvard Business Review Press.</w:t>
      </w:r>
    </w:p>
    <w:p w14:paraId="09797422" w14:textId="77777777" w:rsidR="00A462FC" w:rsidRPr="00890D3A" w:rsidRDefault="00A462FC" w:rsidP="00050CE2">
      <w:pPr>
        <w:spacing w:line="360" w:lineRule="auto"/>
        <w:jc w:val="both"/>
        <w:rPr>
          <w:rFonts w:ascii="Arial" w:hAnsi="Arial" w:cs="Arial"/>
          <w:color w:val="000000" w:themeColor="text1"/>
          <w:sz w:val="24"/>
          <w:szCs w:val="24"/>
        </w:rPr>
      </w:pPr>
      <w:r w:rsidRPr="00890D3A">
        <w:rPr>
          <w:rFonts w:ascii="Arial" w:hAnsi="Arial" w:cs="Arial"/>
          <w:color w:val="000000" w:themeColor="text1"/>
          <w:sz w:val="24"/>
          <w:szCs w:val="24"/>
        </w:rPr>
        <w:t>Seligman, M. E. P. (2022). Flourish: A visionary new understanding of happiness and well-being. Free Press.</w:t>
      </w:r>
    </w:p>
    <w:p w14:paraId="1368E6EA" w14:textId="77777777" w:rsidR="00A462FC" w:rsidRPr="00890D3A" w:rsidRDefault="00A462FC" w:rsidP="00050CE2">
      <w:pPr>
        <w:spacing w:line="360" w:lineRule="auto"/>
        <w:jc w:val="both"/>
        <w:rPr>
          <w:rFonts w:ascii="Arial" w:hAnsi="Arial" w:cs="Arial"/>
          <w:color w:val="000000" w:themeColor="text1"/>
          <w:sz w:val="24"/>
          <w:szCs w:val="24"/>
        </w:rPr>
      </w:pPr>
      <w:r w:rsidRPr="00890D3A">
        <w:rPr>
          <w:rFonts w:ascii="Arial" w:hAnsi="Arial" w:cs="Arial"/>
          <w:color w:val="000000" w:themeColor="text1"/>
          <w:sz w:val="24"/>
          <w:szCs w:val="24"/>
        </w:rPr>
        <w:t xml:space="preserve">Society for Human Resource Management. (2020). </w:t>
      </w:r>
      <w:r w:rsidRPr="00890D3A">
        <w:rPr>
          <w:rFonts w:ascii="Arial" w:hAnsi="Arial" w:cs="Arial"/>
          <w:i/>
          <w:iCs/>
          <w:color w:val="000000" w:themeColor="text1"/>
          <w:sz w:val="24"/>
          <w:szCs w:val="24"/>
        </w:rPr>
        <w:t xml:space="preserve">Employee engagement and satisfaction: How to retain top talent. </w:t>
      </w:r>
      <w:r w:rsidRPr="00890D3A">
        <w:rPr>
          <w:rFonts w:ascii="Arial" w:hAnsi="Arial" w:cs="Arial"/>
          <w:color w:val="000000" w:themeColor="text1"/>
          <w:sz w:val="24"/>
          <w:szCs w:val="24"/>
        </w:rPr>
        <w:t>SHRM.</w:t>
      </w:r>
    </w:p>
    <w:p w14:paraId="3A6F5914" w14:textId="77777777" w:rsidR="00A462FC" w:rsidRDefault="00A462FC" w:rsidP="00050CE2">
      <w:pPr>
        <w:spacing w:line="360" w:lineRule="auto"/>
        <w:jc w:val="both"/>
        <w:rPr>
          <w:rFonts w:ascii="Arial" w:hAnsi="Arial" w:cs="Arial"/>
          <w:color w:val="000000" w:themeColor="text1"/>
          <w:sz w:val="24"/>
          <w:szCs w:val="24"/>
        </w:rPr>
      </w:pPr>
      <w:r w:rsidRPr="00890D3A">
        <w:rPr>
          <w:rFonts w:ascii="Arial" w:hAnsi="Arial" w:cs="Arial"/>
          <w:color w:val="000000" w:themeColor="text1"/>
          <w:sz w:val="24"/>
          <w:szCs w:val="24"/>
        </w:rPr>
        <w:t xml:space="preserve">Towers Watson. (2023). </w:t>
      </w:r>
      <w:r w:rsidRPr="00890D3A">
        <w:rPr>
          <w:rFonts w:ascii="Arial" w:hAnsi="Arial" w:cs="Arial"/>
          <w:i/>
          <w:iCs/>
          <w:color w:val="000000" w:themeColor="text1"/>
          <w:sz w:val="24"/>
          <w:szCs w:val="24"/>
        </w:rPr>
        <w:t>Global workforce study.</w:t>
      </w:r>
      <w:r w:rsidRPr="00F60EBB">
        <w:rPr>
          <w:rFonts w:ascii="Arial" w:hAnsi="Arial" w:cs="Arial"/>
          <w:i/>
          <w:iCs/>
          <w:color w:val="000000" w:themeColor="text1"/>
          <w:sz w:val="24"/>
          <w:szCs w:val="24"/>
        </w:rPr>
        <w:t xml:space="preserve"> </w:t>
      </w:r>
      <w:r w:rsidRPr="00752F0A">
        <w:rPr>
          <w:rFonts w:ascii="Arial" w:hAnsi="Arial" w:cs="Arial"/>
          <w:color w:val="000000" w:themeColor="text1"/>
          <w:sz w:val="24"/>
          <w:szCs w:val="24"/>
        </w:rPr>
        <w:t xml:space="preserve">[online] available at: </w:t>
      </w:r>
      <w:r w:rsidRPr="00890D3A">
        <w:rPr>
          <w:rFonts w:ascii="Arial" w:hAnsi="Arial" w:cs="Arial"/>
          <w:color w:val="000000" w:themeColor="text1"/>
          <w:sz w:val="24"/>
          <w:szCs w:val="24"/>
        </w:rPr>
        <w:t>https://www.wtwco.com</w:t>
      </w:r>
      <w:r>
        <w:rPr>
          <w:rFonts w:ascii="Arial" w:hAnsi="Arial" w:cs="Arial"/>
          <w:color w:val="000000" w:themeColor="text1"/>
          <w:sz w:val="24"/>
          <w:szCs w:val="24"/>
        </w:rPr>
        <w:t xml:space="preserve"> </w:t>
      </w:r>
      <w:r w:rsidRPr="00890D3A">
        <w:rPr>
          <w:rFonts w:ascii="Arial" w:hAnsi="Arial" w:cs="Arial"/>
          <w:color w:val="000000" w:themeColor="text1"/>
          <w:sz w:val="24"/>
          <w:szCs w:val="24"/>
        </w:rPr>
        <w:t>(</w:t>
      </w:r>
      <w:r>
        <w:rPr>
          <w:rFonts w:ascii="Arial" w:hAnsi="Arial" w:cs="Arial"/>
          <w:color w:val="000000" w:themeColor="text1"/>
          <w:sz w:val="24"/>
          <w:szCs w:val="24"/>
        </w:rPr>
        <w:t>12 November, 2023</w:t>
      </w:r>
      <w:r w:rsidRPr="00890D3A">
        <w:rPr>
          <w:rFonts w:ascii="Arial" w:hAnsi="Arial" w:cs="Arial"/>
          <w:color w:val="000000" w:themeColor="text1"/>
          <w:sz w:val="24"/>
          <w:szCs w:val="24"/>
        </w:rPr>
        <w:t>)</w:t>
      </w:r>
    </w:p>
    <w:sectPr w:rsidR="00A462F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TExMLQwNDM1NDYxNDFU0lEKTi0uzszPAykwrAUA4l/gaywAAAA="/>
  </w:docVars>
  <w:rsids>
    <w:rsidRoot w:val="008E3A85"/>
    <w:rsid w:val="00050CE2"/>
    <w:rsid w:val="00096AE2"/>
    <w:rsid w:val="000B403C"/>
    <w:rsid w:val="00105BDF"/>
    <w:rsid w:val="00126BB5"/>
    <w:rsid w:val="0018430A"/>
    <w:rsid w:val="00187904"/>
    <w:rsid w:val="001D78B0"/>
    <w:rsid w:val="001E2160"/>
    <w:rsid w:val="00206F81"/>
    <w:rsid w:val="00235AA0"/>
    <w:rsid w:val="002B1727"/>
    <w:rsid w:val="002B3E43"/>
    <w:rsid w:val="002D4475"/>
    <w:rsid w:val="003469E3"/>
    <w:rsid w:val="00362448"/>
    <w:rsid w:val="00367A95"/>
    <w:rsid w:val="003E293E"/>
    <w:rsid w:val="003F3330"/>
    <w:rsid w:val="005719D1"/>
    <w:rsid w:val="005D760E"/>
    <w:rsid w:val="0060187B"/>
    <w:rsid w:val="00604D53"/>
    <w:rsid w:val="00670FE5"/>
    <w:rsid w:val="00727206"/>
    <w:rsid w:val="00752F0A"/>
    <w:rsid w:val="00757516"/>
    <w:rsid w:val="007973A0"/>
    <w:rsid w:val="00875138"/>
    <w:rsid w:val="00890D3A"/>
    <w:rsid w:val="00896B1E"/>
    <w:rsid w:val="008E3A85"/>
    <w:rsid w:val="00924D5E"/>
    <w:rsid w:val="009E0071"/>
    <w:rsid w:val="00A30915"/>
    <w:rsid w:val="00A462FC"/>
    <w:rsid w:val="00A51444"/>
    <w:rsid w:val="00A81A18"/>
    <w:rsid w:val="00B701C2"/>
    <w:rsid w:val="00BE5EFA"/>
    <w:rsid w:val="00C76C7E"/>
    <w:rsid w:val="00C86825"/>
    <w:rsid w:val="00DE70E3"/>
    <w:rsid w:val="00E01042"/>
    <w:rsid w:val="00E56810"/>
    <w:rsid w:val="00E61475"/>
    <w:rsid w:val="00F10A9D"/>
    <w:rsid w:val="00F57E4F"/>
    <w:rsid w:val="00F60EBB"/>
    <w:rsid w:val="00FB1A24"/>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4ED2946"/>
  <w15:chartTrackingRefBased/>
  <w15:docId w15:val="{9979CC84-924F-C84F-8788-71AF564DC1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81A18"/>
    <w:pPr>
      <w:keepNext/>
      <w:keepLines/>
      <w:spacing w:before="240" w:after="0" w:line="360" w:lineRule="auto"/>
      <w:jc w:val="both"/>
      <w:outlineLvl w:val="0"/>
    </w:pPr>
    <w:rPr>
      <w:rFonts w:ascii="Arial" w:eastAsiaTheme="majorEastAsia" w:hAnsi="Arial" w:cs="Arial"/>
      <w:b/>
      <w:bCs/>
      <w:color w:val="000000" w:themeColor="text1"/>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57E4F"/>
    <w:rPr>
      <w:rFonts w:ascii="Arial" w:eastAsiaTheme="majorEastAsia" w:hAnsi="Arial" w:cs="Arial"/>
      <w:b/>
      <w:bCs/>
      <w:color w:val="000000" w:themeColor="text1"/>
      <w:sz w:val="32"/>
      <w:szCs w:val="32"/>
    </w:rPr>
  </w:style>
  <w:style w:type="paragraph" w:styleId="NoSpacing">
    <w:name w:val="No Spacing"/>
    <w:uiPriority w:val="1"/>
    <w:qFormat/>
    <w:rsid w:val="001D78B0"/>
    <w:pPr>
      <w:spacing w:after="0" w:line="240" w:lineRule="auto"/>
    </w:pPr>
  </w:style>
  <w:style w:type="paragraph" w:styleId="TOCHeading">
    <w:name w:val="TOC Heading"/>
    <w:basedOn w:val="Heading1"/>
    <w:next w:val="Normal"/>
    <w:uiPriority w:val="39"/>
    <w:unhideWhenUsed/>
    <w:qFormat/>
    <w:rsid w:val="00E61475"/>
    <w:pPr>
      <w:outlineLvl w:val="9"/>
    </w:pPr>
    <w:rPr>
      <w:b w:val="0"/>
      <w:bCs w:val="0"/>
      <w:kern w:val="0"/>
      <w14:ligatures w14:val="none"/>
    </w:rPr>
  </w:style>
  <w:style w:type="paragraph" w:styleId="TOC1">
    <w:name w:val="toc 1"/>
    <w:basedOn w:val="Normal"/>
    <w:next w:val="Normal"/>
    <w:autoRedefine/>
    <w:uiPriority w:val="39"/>
    <w:unhideWhenUsed/>
    <w:rsid w:val="00E61475"/>
    <w:pPr>
      <w:spacing w:after="100"/>
    </w:pPr>
  </w:style>
  <w:style w:type="character" w:styleId="Hyperlink">
    <w:name w:val="Hyperlink"/>
    <w:basedOn w:val="DefaultParagraphFont"/>
    <w:uiPriority w:val="99"/>
    <w:unhideWhenUsed/>
    <w:rsid w:val="00E61475"/>
    <w:rPr>
      <w:color w:val="0563C1" w:themeColor="hyperlink"/>
      <w:u w:val="single"/>
    </w:rPr>
  </w:style>
  <w:style w:type="character" w:styleId="UnresolvedMention">
    <w:name w:val="Unresolved Mention"/>
    <w:basedOn w:val="DefaultParagraphFont"/>
    <w:uiPriority w:val="99"/>
    <w:semiHidden/>
    <w:unhideWhenUsed/>
    <w:rsid w:val="0018790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BA3EAA6-E6B0-3842-8FF5-C6840959BF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2664</Words>
  <Characters>16087</Characters>
  <Application>Microsoft Office Word</Application>
  <DocSecurity>0</DocSecurity>
  <Lines>261</Lines>
  <Paragraphs>71</Paragraphs>
  <ScaleCrop>false</ScaleCrop>
  <Company/>
  <LinksUpToDate>false</LinksUpToDate>
  <CharactersWithSpaces>18688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Gabriela Agapia Anghel (2131340)</cp:lastModifiedBy>
  <cp:revision>5</cp:revision>
  <dcterms:created xsi:type="dcterms:W3CDTF">2023-11-14T10:27:00Z</dcterms:created>
  <dcterms:modified xsi:type="dcterms:W3CDTF">2023-11-20T01:11:00Z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e3e2b7babc891d717587253c5c2f4b86cb86dc9d88cb9d3d417437c5a77694d1</vt:lpwstr>
  </property>
</Properties>
</file>