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7EFC53" w14:textId="284EF879" w:rsidR="74AB27D4" w:rsidRDefault="74AB27D4" w:rsidP="74AB27D4">
      <w:r>
        <w:rPr>
          <w:noProof/>
        </w:rPr>
        <w:drawing>
          <wp:anchor distT="0" distB="0" distL="114300" distR="114300" simplePos="0" relativeHeight="251658240" behindDoc="1" locked="0" layoutInCell="1" allowOverlap="1" wp14:anchorId="37F26A01" wp14:editId="6BAFC12A">
            <wp:simplePos x="0" y="0"/>
            <wp:positionH relativeFrom="column">
              <wp:align>left</wp:align>
            </wp:positionH>
            <wp:positionV relativeFrom="paragraph">
              <wp:posOffset>0</wp:posOffset>
            </wp:positionV>
            <wp:extent cx="2363663" cy="1070917"/>
            <wp:effectExtent l="0" t="0" r="0" b="0"/>
            <wp:wrapNone/>
            <wp:docPr id="176131294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051220" name="Picture 244051220"/>
                    <pic:cNvPicPr/>
                  </pic:nvPicPr>
                  <pic:blipFill>
                    <a:blip r:embed="rId4">
                      <a:extLst>
                        <a:ext uri="{28A0092B-C50C-407E-A947-70E740481C1C}">
                          <a14:useLocalDpi xmlns:a14="http://schemas.microsoft.com/office/drawing/2010/main"/>
                        </a:ext>
                      </a:extLst>
                    </a:blip>
                    <a:stretch>
                      <a:fillRect/>
                    </a:stretch>
                  </pic:blipFill>
                  <pic:spPr>
                    <a:xfrm>
                      <a:off x="0" y="0"/>
                      <a:ext cx="2363663" cy="1070917"/>
                    </a:xfrm>
                    <a:prstGeom prst="rect">
                      <a:avLst/>
                    </a:prstGeom>
                  </pic:spPr>
                </pic:pic>
              </a:graphicData>
            </a:graphic>
            <wp14:sizeRelH relativeFrom="page">
              <wp14:pctWidth>0</wp14:pctWidth>
            </wp14:sizeRelH>
            <wp14:sizeRelV relativeFrom="page">
              <wp14:pctHeight>0</wp14:pctHeight>
            </wp14:sizeRelV>
          </wp:anchor>
        </w:drawing>
      </w:r>
    </w:p>
    <w:p w14:paraId="1D5C073E" w14:textId="6516ECFF" w:rsidR="1F5E8DED" w:rsidRDefault="1F5E8DED" w:rsidP="1F5E8DED"/>
    <w:p w14:paraId="215C20D2" w14:textId="4F3C757D" w:rsidR="1F5E8DED" w:rsidRDefault="1F5E8DED" w:rsidP="1F5E8DED"/>
    <w:p w14:paraId="0A282BC3" w14:textId="686EC741" w:rsidR="1F5E8DED" w:rsidRDefault="1F5E8DED" w:rsidP="1F5E8DED"/>
    <w:p w14:paraId="0AB47AB7" w14:textId="22332C47" w:rsidR="4B433EA3" w:rsidRDefault="4B433EA3" w:rsidP="74AB27D4">
      <w:pPr>
        <w:tabs>
          <w:tab w:val="left" w:pos="6540"/>
        </w:tabs>
        <w:spacing w:line="240" w:lineRule="auto"/>
        <w:rPr>
          <w:rFonts w:ascii="Arial" w:eastAsia="Arial" w:hAnsi="Arial" w:cs="Arial"/>
          <w:color w:val="000000" w:themeColor="text1"/>
          <w:sz w:val="28"/>
          <w:szCs w:val="28"/>
        </w:rPr>
      </w:pPr>
      <w:r w:rsidRPr="74AB27D4">
        <w:rPr>
          <w:rFonts w:ascii="Arial" w:eastAsia="Arial" w:hAnsi="Arial" w:cs="Arial"/>
          <w:b/>
          <w:bCs/>
          <w:color w:val="000000" w:themeColor="text1"/>
          <w:sz w:val="28"/>
          <w:szCs w:val="28"/>
        </w:rPr>
        <w:t>Student name</w:t>
      </w:r>
      <w:r w:rsidRPr="74AB27D4">
        <w:rPr>
          <w:rFonts w:ascii="Arial" w:eastAsia="Arial" w:hAnsi="Arial" w:cs="Arial"/>
          <w:color w:val="000000" w:themeColor="text1"/>
          <w:sz w:val="28"/>
          <w:szCs w:val="28"/>
        </w:rPr>
        <w:t>: Shahidul Islam</w:t>
      </w:r>
    </w:p>
    <w:p w14:paraId="58319525" w14:textId="3494237E" w:rsidR="4B433EA3" w:rsidRDefault="4B433EA3" w:rsidP="74AB27D4">
      <w:pPr>
        <w:tabs>
          <w:tab w:val="left" w:pos="6540"/>
        </w:tabs>
        <w:spacing w:line="240" w:lineRule="auto"/>
        <w:rPr>
          <w:rFonts w:ascii="Arial" w:eastAsia="Arial" w:hAnsi="Arial" w:cs="Arial"/>
          <w:color w:val="000000" w:themeColor="text1"/>
          <w:sz w:val="28"/>
          <w:szCs w:val="28"/>
        </w:rPr>
      </w:pPr>
      <w:r w:rsidRPr="74AB27D4">
        <w:rPr>
          <w:rFonts w:ascii="Arial" w:eastAsia="Arial" w:hAnsi="Arial" w:cs="Arial"/>
          <w:b/>
          <w:bCs/>
          <w:color w:val="000000" w:themeColor="text1"/>
          <w:sz w:val="28"/>
          <w:szCs w:val="28"/>
          <w:lang w:val="nl-NL"/>
        </w:rPr>
        <w:t>Student ID</w:t>
      </w:r>
      <w:r w:rsidRPr="74AB27D4">
        <w:rPr>
          <w:rFonts w:ascii="Arial" w:eastAsia="Arial" w:hAnsi="Arial" w:cs="Arial"/>
          <w:color w:val="000000" w:themeColor="text1"/>
          <w:sz w:val="28"/>
          <w:szCs w:val="28"/>
          <w:lang w:val="nl-NL"/>
        </w:rPr>
        <w:t>: 2425727</w:t>
      </w:r>
      <w:r w:rsidR="3488E7CE" w:rsidRPr="74AB27D4">
        <w:rPr>
          <w:rFonts w:ascii="Arial" w:eastAsia="Arial" w:hAnsi="Arial" w:cs="Arial"/>
          <w:color w:val="000000" w:themeColor="text1"/>
          <w:sz w:val="28"/>
          <w:szCs w:val="28"/>
          <w:lang w:val="nl-NL"/>
        </w:rPr>
        <w:t xml:space="preserve"> </w:t>
      </w:r>
    </w:p>
    <w:p w14:paraId="29C9BC0D" w14:textId="6A6C814B" w:rsidR="4B433EA3" w:rsidRDefault="4B433EA3" w:rsidP="74AB27D4">
      <w:pPr>
        <w:tabs>
          <w:tab w:val="left" w:pos="6540"/>
        </w:tabs>
        <w:spacing w:line="240" w:lineRule="auto"/>
        <w:rPr>
          <w:rFonts w:ascii="Segoe UI" w:eastAsia="Segoe UI" w:hAnsi="Segoe UI" w:cs="Segoe UI"/>
          <w:color w:val="1D2125"/>
          <w:sz w:val="28"/>
          <w:szCs w:val="28"/>
        </w:rPr>
      </w:pPr>
      <w:r w:rsidRPr="74AB27D4">
        <w:rPr>
          <w:rFonts w:ascii="Arial" w:eastAsia="Arial" w:hAnsi="Arial" w:cs="Arial"/>
          <w:b/>
          <w:bCs/>
          <w:color w:val="000000" w:themeColor="text1"/>
          <w:sz w:val="28"/>
          <w:szCs w:val="28"/>
          <w:lang w:val="nl-NL"/>
        </w:rPr>
        <w:t>Module name</w:t>
      </w:r>
      <w:r w:rsidRPr="74AB27D4">
        <w:rPr>
          <w:rFonts w:ascii="Arial" w:eastAsia="Arial" w:hAnsi="Arial" w:cs="Arial"/>
          <w:color w:val="000000" w:themeColor="text1"/>
          <w:sz w:val="28"/>
          <w:szCs w:val="28"/>
          <w:lang w:val="nl-NL"/>
        </w:rPr>
        <w:t xml:space="preserve">: </w:t>
      </w:r>
      <w:r w:rsidRPr="74AB27D4">
        <w:rPr>
          <w:rFonts w:ascii="Segoe UI" w:eastAsia="Segoe UI" w:hAnsi="Segoe UI" w:cs="Segoe UI"/>
          <w:color w:val="1D2125"/>
          <w:sz w:val="28"/>
          <w:szCs w:val="28"/>
          <w:lang w:val="nl-NL"/>
        </w:rPr>
        <w:t>Introduction to Health and Social Care</w:t>
      </w:r>
    </w:p>
    <w:p w14:paraId="5C24A5F6" w14:textId="337288CA" w:rsidR="4B433EA3" w:rsidRDefault="4B433EA3" w:rsidP="74AB27D4">
      <w:pPr>
        <w:shd w:val="clear" w:color="auto" w:fill="FFFFFF" w:themeFill="background1"/>
        <w:spacing w:after="120" w:line="240" w:lineRule="auto"/>
        <w:rPr>
          <w:rFonts w:ascii="Segoe UI" w:eastAsia="Segoe UI" w:hAnsi="Segoe UI" w:cs="Segoe UI"/>
          <w:color w:val="1D2125"/>
          <w:sz w:val="28"/>
          <w:szCs w:val="28"/>
        </w:rPr>
      </w:pPr>
      <w:r w:rsidRPr="74AB27D4">
        <w:rPr>
          <w:rFonts w:ascii="Arial" w:eastAsia="Arial" w:hAnsi="Arial" w:cs="Arial"/>
          <w:b/>
          <w:bCs/>
          <w:color w:val="000000" w:themeColor="text1"/>
          <w:sz w:val="28"/>
          <w:szCs w:val="28"/>
        </w:rPr>
        <w:t>Module code</w:t>
      </w:r>
      <w:r w:rsidRPr="74AB27D4">
        <w:rPr>
          <w:rFonts w:ascii="Arial" w:eastAsia="Arial" w:hAnsi="Arial" w:cs="Arial"/>
          <w:color w:val="000000" w:themeColor="text1"/>
          <w:sz w:val="28"/>
          <w:szCs w:val="28"/>
        </w:rPr>
        <w:t>:</w:t>
      </w:r>
      <w:r w:rsidRPr="74AB27D4">
        <w:rPr>
          <w:rFonts w:ascii="Segoe UI" w:eastAsia="Segoe UI" w:hAnsi="Segoe UI" w:cs="Segoe UI"/>
          <w:b/>
          <w:bCs/>
          <w:color w:val="1D2125"/>
          <w:sz w:val="28"/>
          <w:szCs w:val="28"/>
        </w:rPr>
        <w:t xml:space="preserve"> </w:t>
      </w:r>
      <w:r w:rsidRPr="74AB27D4">
        <w:rPr>
          <w:rFonts w:ascii="Segoe UI" w:eastAsia="Segoe UI" w:hAnsi="Segoe UI" w:cs="Segoe UI"/>
          <w:color w:val="1D2125"/>
          <w:sz w:val="28"/>
          <w:szCs w:val="28"/>
        </w:rPr>
        <w:t>LCHS4003</w:t>
      </w:r>
      <w:r>
        <w:tab/>
      </w:r>
    </w:p>
    <w:p w14:paraId="5CD2221D" w14:textId="16F31F28" w:rsidR="4B433EA3" w:rsidRDefault="4B433EA3" w:rsidP="1F5E8DED">
      <w:pPr>
        <w:spacing w:line="240" w:lineRule="auto"/>
        <w:rPr>
          <w:rFonts w:ascii="Calibri" w:eastAsia="Calibri" w:hAnsi="Calibri" w:cs="Calibri"/>
          <w:color w:val="000000" w:themeColor="text1"/>
          <w:sz w:val="22"/>
          <w:szCs w:val="22"/>
        </w:rPr>
      </w:pPr>
      <w:r w:rsidRPr="1F5E8DED">
        <w:rPr>
          <w:rFonts w:ascii="Arial" w:eastAsia="Arial" w:hAnsi="Arial" w:cs="Arial"/>
          <w:b/>
          <w:bCs/>
          <w:color w:val="000000" w:themeColor="text1"/>
          <w:sz w:val="28"/>
          <w:szCs w:val="28"/>
        </w:rPr>
        <w:t>Lecturer name:</w:t>
      </w:r>
      <w:r w:rsidRPr="1F5E8DED">
        <w:rPr>
          <w:rFonts w:ascii="Calibri" w:eastAsia="Calibri" w:hAnsi="Calibri" w:cs="Calibri"/>
          <w:color w:val="000000" w:themeColor="text1"/>
          <w:sz w:val="22"/>
          <w:szCs w:val="22"/>
        </w:rPr>
        <w:t xml:space="preserve"> </w:t>
      </w:r>
      <w:r w:rsidR="1DC89F4B" w:rsidRPr="1F5E8DED">
        <w:rPr>
          <w:rFonts w:ascii="Calibri" w:eastAsia="Calibri" w:hAnsi="Calibri" w:cs="Calibri"/>
          <w:color w:val="000000" w:themeColor="text1"/>
          <w:sz w:val="28"/>
          <w:szCs w:val="28"/>
        </w:rPr>
        <w:t>Caroline Salami</w:t>
      </w:r>
    </w:p>
    <w:p w14:paraId="6E3AB4EA" w14:textId="078E669A" w:rsidR="74AB27D4" w:rsidRDefault="74AB27D4"/>
    <w:p w14:paraId="3A231C57" w14:textId="1EC3A568" w:rsidR="74AB27D4" w:rsidRDefault="74AB27D4"/>
    <w:p w14:paraId="6C0A4C6F" w14:textId="040DD7E2" w:rsidR="006268A1" w:rsidRDefault="1AB6BF66" w:rsidP="1F5E8DED">
      <w:pPr>
        <w:spacing w:before="240" w:after="240"/>
        <w:rPr>
          <w:b/>
          <w:bCs/>
        </w:rPr>
      </w:pPr>
      <w:r w:rsidRPr="1F5E8DED">
        <w:rPr>
          <w:b/>
          <w:bCs/>
        </w:rPr>
        <w:t>Title</w:t>
      </w:r>
      <w:r w:rsidR="487E0F88" w:rsidRPr="1F5E8DED">
        <w:rPr>
          <w:b/>
          <w:bCs/>
        </w:rPr>
        <w:t xml:space="preserve">: </w:t>
      </w:r>
      <w:r w:rsidR="487E0F88" w:rsidRPr="1F5E8DED">
        <w:rPr>
          <w:rFonts w:ascii="Arial" w:eastAsia="Arial" w:hAnsi="Arial" w:cs="Arial"/>
          <w:color w:val="000000" w:themeColor="text1"/>
        </w:rPr>
        <w:t>Identify and effectively evaluate a range of information sources.</w:t>
      </w:r>
    </w:p>
    <w:p w14:paraId="2D0A53A4" w14:textId="0CB19DBB" w:rsidR="006268A1" w:rsidRDefault="1AB6BF66" w:rsidP="1F5E8DED">
      <w:pPr>
        <w:rPr>
          <w:b/>
          <w:bCs/>
        </w:rPr>
      </w:pPr>
      <w:r w:rsidRPr="1F5E8DED">
        <w:rPr>
          <w:b/>
          <w:bCs/>
        </w:rPr>
        <w:t>Introduction</w:t>
      </w:r>
    </w:p>
    <w:p w14:paraId="7756D902" w14:textId="140B3546" w:rsidR="006268A1" w:rsidRDefault="1AB6BF66" w:rsidP="74AB27D4">
      <w:r>
        <w:t xml:space="preserve">This research report investigates a current issue in the UK health and social care sector: adult social care workforce pressures and their impact on hospital discharge delays (“patient flow”). The purpose is twofold: (1) to identify and justify the relevance of this problem to patients, care workers and organisations; and (2) to critically evaluate a range of contemporary information sources that can underpin robust research. Drawing on recent national datasets, regulator reports and independent analyses, the report outlines appropriate methodologies and data collection strategies to study the relationship between social care capacity and discharge performance in England. </w:t>
      </w:r>
    </w:p>
    <w:p w14:paraId="6E9E4C15" w14:textId="61853E14" w:rsidR="006268A1" w:rsidRDefault="006268A1" w:rsidP="74AB27D4"/>
    <w:p w14:paraId="47D772B0" w14:textId="30E6598E" w:rsidR="006268A1" w:rsidRDefault="1AB6BF66" w:rsidP="1F5E8DED">
      <w:pPr>
        <w:rPr>
          <w:b/>
          <w:bCs/>
        </w:rPr>
      </w:pPr>
      <w:r w:rsidRPr="1F5E8DED">
        <w:rPr>
          <w:b/>
          <w:bCs/>
        </w:rPr>
        <w:t xml:space="preserve"> The current issue and who it affects</w:t>
      </w:r>
    </w:p>
    <w:p w14:paraId="35B7DBBF" w14:textId="59D23C91" w:rsidR="006268A1" w:rsidRDefault="1AB6BF66" w:rsidP="74AB27D4">
      <w:r>
        <w:t xml:space="preserve">Adult social care services in England continue to face workforce shortages and instability, with vacancy and turnover rates higher than the wider economy and improvements since 2023/24 largely driven by international recruitment. While vacancy rates have fallen from pandemic highs, they remain significant; the system is vulnerable to immigration policy changes that have sharply reduced the pipeline of overseas recruits since early 2024. These workforce pressures restrict the availability of home care packages and care home beds, which in turn delay discharges for patients who are medically fit to leave hospital but require social care support to do so. </w:t>
      </w:r>
    </w:p>
    <w:p w14:paraId="5777D30F" w14:textId="61DDD218" w:rsidR="006268A1" w:rsidRDefault="1AB6BF66" w:rsidP="74AB27D4">
      <w:r>
        <w:lastRenderedPageBreak/>
        <w:t xml:space="preserve">From the hospital perspective, the Care Quality Commission (CQC) reports that in April 2024 waits for care home beds and home‑based care accounted for 45% of delays among people who had been in an acute hospital for 14 days or more, with nearly 4,000 people delayed on an average day. The regulator also highlights regional variation: London had proportionally the most delayed discharges due to waiting for care home beds, while parts of the </w:t>
      </w:r>
      <w:r w:rsidR="30F16280">
        <w:t>Northeast</w:t>
      </w:r>
      <w:r>
        <w:t xml:space="preserve"> had fewer homecare services per population of older people. This evidences a system‑wide bottleneck linking social care capacity to NHS patient flow. </w:t>
      </w:r>
    </w:p>
    <w:p w14:paraId="490FE4FD" w14:textId="348BC755" w:rsidR="006268A1" w:rsidRDefault="1AB6BF66" w:rsidP="74AB27D4">
      <w:r>
        <w:t xml:space="preserve">Patients and families: Delayed discharge is associated with deconditioning, reduced independence, higher infection risk and emotional distress, especially among older people with complex needs. These delays also contribute to crowding in emergency departments and cancellations of planned care. </w:t>
      </w:r>
    </w:p>
    <w:p w14:paraId="1A7ABE8B" w14:textId="61C99760" w:rsidR="006268A1" w:rsidRDefault="1AB6BF66" w:rsidP="74AB27D4">
      <w:r>
        <w:t xml:space="preserve">Health and care staff: High bed occupancy and blocked flow increase workloads for hospital teams, while social care providers face recruitment challenges, morale issues and rising costs from agency reliance. </w:t>
      </w:r>
    </w:p>
    <w:p w14:paraId="198706AA" w14:textId="4C618EC8" w:rsidR="006268A1" w:rsidRDefault="1AB6BF66" w:rsidP="74AB27D4">
      <w:r>
        <w:t xml:space="preserve">Organisations and systems: The NHS experiences reduced capacity for elective recovery; local authorities face funding pressures and unmet need. Evidence suggests that workforce constraints and short‑term funding mechanisms have limited the effectiveness of winter discharge initiatives. </w:t>
      </w:r>
    </w:p>
    <w:p w14:paraId="2A9B61D0" w14:textId="38947480" w:rsidR="006268A1" w:rsidRDefault="1AB6BF66" w:rsidP="74AB27D4">
      <w:r>
        <w:t>Three reasons make this topic urgent and researchable:</w:t>
      </w:r>
    </w:p>
    <w:p w14:paraId="631B3CB4" w14:textId="65A5FE26" w:rsidR="006268A1" w:rsidRDefault="1AB6BF66" w:rsidP="74AB27D4">
      <w:r>
        <w:t xml:space="preserve">Scale and persistence of delays: Health Foundation analysis shows delayed discharges used a rising share of bed days from 2024 to 2025, with winter peaks around 14% of beds occupied by patients ready for discharge, amplifying pressures in A&amp;E and ambulance handovers. Quantifying this relationship with social care capacity is essential to target interventions. </w:t>
      </w:r>
    </w:p>
    <w:p w14:paraId="6DBB2508" w14:textId="0DAB5663" w:rsidR="006268A1" w:rsidRDefault="1AB6BF66" w:rsidP="74AB27D4">
      <w:r>
        <w:t xml:space="preserve">Workforce volatility: Skills for Care’s 2024 assessment finds that while filled posts increased, improvements were largely driven by international recruitment; subsequent visa restrictions saw steep declines in overseas applications. Understanding how domestic pay, conditions and training can sustain capacity is a policy priority. </w:t>
      </w:r>
    </w:p>
    <w:p w14:paraId="0E78DB08" w14:textId="0D8CA734" w:rsidR="006268A1" w:rsidRDefault="1AB6BF66" w:rsidP="74AB27D4">
      <w:r>
        <w:t>Funding context and unmet need: The Health Foundation estimates adult social care requires an extra £3.4bn annually by 2028/29 just to “stand still,” with more needed to improve access and pay</w:t>
      </w:r>
      <w:r w:rsidR="2C9F2D00">
        <w:t xml:space="preserve"> </w:t>
      </w:r>
      <w:r>
        <w:t xml:space="preserve">underscoring structural drivers of workforce shortages and delayed discharges. </w:t>
      </w:r>
    </w:p>
    <w:p w14:paraId="653266DF" w14:textId="6FBB3378" w:rsidR="006268A1" w:rsidRDefault="1AB6BF66" w:rsidP="74AB27D4">
      <w:r>
        <w:t>To study this issue rigorously, we must identify and effectively evaluate sources that are authoritative, current, and methodologically transparent. Three core sources meet those criteria:</w:t>
      </w:r>
    </w:p>
    <w:p w14:paraId="06B57624" w14:textId="5A399E62" w:rsidR="006268A1" w:rsidRDefault="1AB6BF66" w:rsidP="74AB27D4">
      <w:r>
        <w:lastRenderedPageBreak/>
        <w:t>Source A: Skills for Care — The state of the adult social care sector and workforce in England, 2024</w:t>
      </w:r>
    </w:p>
    <w:p w14:paraId="3B797382" w14:textId="5973D892" w:rsidR="006268A1" w:rsidRDefault="1AB6BF66" w:rsidP="74AB27D4">
      <w:r>
        <w:t xml:space="preserve">Content &amp; relevance: This annual report provides the most comprehensive workforce intelligence for adult social care: size of workforce, vacancy and turnover rates, domestic/international recruitment trends, and projections. The 2024 edition explicitly notes that improvements in staffing were driven by international recruitment and warns of vulnerability to policy changes. </w:t>
      </w:r>
    </w:p>
    <w:p w14:paraId="48BE4707" w14:textId="7D422FFF" w:rsidR="006268A1" w:rsidRDefault="1AB6BF66" w:rsidP="74AB27D4">
      <w:r>
        <w:t xml:space="preserve">Evaluation &amp; justification: Skills for Care is the employer‑led strategic workforce body and collects data via the Adult Social Care Workforce Data Set (ASC‑WDS). Its methodological transparency and national scope make it a high‑quality source for workforce indicators. It enables benchmarking across regions and provider types, making it indispensable to any study of capacity constraints affecting discharge. </w:t>
      </w:r>
    </w:p>
    <w:p w14:paraId="4696C26D" w14:textId="31630035" w:rsidR="006268A1" w:rsidRDefault="1AB6BF66" w:rsidP="74AB27D4">
      <w:r>
        <w:t>Source B: Care Quality Commission (CQC) — The state of health care and adult social care in England 2023/24</w:t>
      </w:r>
    </w:p>
    <w:p w14:paraId="7D308D5E" w14:textId="2905AA52" w:rsidR="006268A1" w:rsidRDefault="1AB6BF66" w:rsidP="74AB27D4">
      <w:r>
        <w:t>Content &amp; relevance: The regulator’s State of Care synthesises inspection evidence, patient surveys and national datasets. Crucially, it quantifies that 45% of discharge delays (patients in hospital 14+ days) were due to waits for care packages or beds (April 2024), and it documents regional differences in community capacity.</w:t>
      </w:r>
    </w:p>
    <w:p w14:paraId="67F52657" w14:textId="286F0BB0" w:rsidR="006268A1" w:rsidRDefault="1AB6BF66" w:rsidP="74AB27D4">
      <w:r>
        <w:t xml:space="preserve">Evaluation &amp; justification: The CQC is a statutory, independent regulator; its report triangulates multiple evidence sources and offers system‑level analysis. Though not a granular dataset for statistical modelling, it provides credible, high‑level </w:t>
      </w:r>
      <w:r w:rsidR="65BD04E0">
        <w:t>indicator slinking</w:t>
      </w:r>
      <w:r>
        <w:t xml:space="preserve"> social care supply to hospital flow</w:t>
      </w:r>
      <w:r w:rsidR="4874BA4F">
        <w:t xml:space="preserve"> </w:t>
      </w:r>
      <w:r>
        <w:t>excellent for framing the research problem and guiding variable selection.</w:t>
      </w:r>
    </w:p>
    <w:p w14:paraId="37A85F46" w14:textId="06A8466B" w:rsidR="006268A1" w:rsidRDefault="1AB6BF66" w:rsidP="74AB27D4">
      <w:r>
        <w:t>Source C: The Health Foundation Social care funding: three key questions about funding in England (updated 2025)</w:t>
      </w:r>
    </w:p>
    <w:p w14:paraId="4E44A571" w14:textId="33B75815" w:rsidR="006268A1" w:rsidRDefault="1AB6BF66" w:rsidP="74AB27D4">
      <w:r>
        <w:t xml:space="preserve">Content &amp; relevance: This analysis reviews adult social care spending, trends since 2010, demographic pressures, and forward scenarios. It finds spending increases have not kept pace with demand and costs; after adjusting for age, spending per person remains below a decade ago, and £9.1bn extra could be needed by 2034/35 to meet demand. </w:t>
      </w:r>
    </w:p>
    <w:p w14:paraId="0CED52D2" w14:textId="794B5632" w:rsidR="006268A1" w:rsidRDefault="1AB6BF66" w:rsidP="74AB27D4">
      <w:r>
        <w:t xml:space="preserve">Evaluation &amp; justification: The Health Foundation’s REAL Centre conducts independent economic modelling using transparent assumptions and official data. Its scenario‑based approach helps contextualise workforce and capacity constraints within macro‑funding realities, strengthening causal reasoning between resources, staffing and discharge performance. </w:t>
      </w:r>
    </w:p>
    <w:p w14:paraId="14982FCC" w14:textId="4DC6A9F9" w:rsidR="006268A1" w:rsidRDefault="1AB6BF66" w:rsidP="74AB27D4">
      <w:r>
        <w:t>Strengths and limitations across sources:</w:t>
      </w:r>
    </w:p>
    <w:p w14:paraId="22ABDB9D" w14:textId="18FA6505" w:rsidR="006268A1" w:rsidRDefault="1AB6BF66" w:rsidP="74AB27D4">
      <w:r>
        <w:lastRenderedPageBreak/>
        <w:t>Strengths: Together, these sources triangulate workforce metrics (Skills for Care), system performance and qualitative insights (CQC), and funding trajectories (Health Foundation). They are recent, nationally authoritative, and aligned with the research question.</w:t>
      </w:r>
    </w:p>
    <w:p w14:paraId="17AB64BD" w14:textId="5130785E" w:rsidR="006268A1" w:rsidRDefault="1AB6BF66" w:rsidP="74AB27D4">
      <w:r>
        <w:t xml:space="preserve">Limitations: Changes in NHS discharge data definitions since May 2024 complicate attribution of delays to health vs social care (“capacity” category includes both). Therefore, additional local data and qualitative evidence would be needed to unpack mechanisms. </w:t>
      </w:r>
    </w:p>
    <w:p w14:paraId="668563A4" w14:textId="0B67A978" w:rsidR="006268A1" w:rsidRDefault="006268A1" w:rsidP="74AB27D4"/>
    <w:p w14:paraId="13AE34C5" w14:textId="2F19987C" w:rsidR="1F5E8DED" w:rsidRDefault="1F5E8DED" w:rsidP="1F5E8DED"/>
    <w:p w14:paraId="18B9F3D5" w14:textId="2A424511" w:rsidR="1F5E8DED" w:rsidRDefault="1F5E8DED" w:rsidP="1F5E8DED"/>
    <w:p w14:paraId="2F8D648B" w14:textId="10ACC9A0" w:rsidR="006268A1" w:rsidRDefault="1AB6BF66" w:rsidP="74AB27D4">
      <w:r>
        <w:t xml:space="preserve">Research Methodologies </w:t>
      </w:r>
    </w:p>
    <w:p w14:paraId="35BFD67E" w14:textId="75998D05" w:rsidR="006268A1" w:rsidRDefault="1AB6BF66" w:rsidP="74AB27D4">
      <w:r>
        <w:t xml:space="preserve">Quantitative research uses numerical data to measure relationships, trends and effects. In this topic, we can quantify associations between social care workforce indicators (vacancy, turnover, international recruitment share) and discharge metrics (patients no longer meeting criteria to reside; bed days lost; capacity‑related delays). Statistical methods (descriptive trends, correlation/regression, panel or time‑series analysis) allow hypothesis testing at national or regional levels using standardised datasets. </w:t>
      </w:r>
    </w:p>
    <w:p w14:paraId="736AB0A8" w14:textId="7BCF34D5" w:rsidR="006268A1" w:rsidRDefault="1AB6BF66" w:rsidP="74AB27D4">
      <w:r>
        <w:t>Qualitative research explores experiences, processes and meanings</w:t>
      </w:r>
      <w:r w:rsidR="77DB709B">
        <w:t xml:space="preserve"> </w:t>
      </w:r>
      <w:r>
        <w:t xml:space="preserve">crucial where pathways are complex. Semi‑structured interviews with discharge coordinators, local authority commissioners, and home‑care/care‑home managers can reveal practical constraints (brokerage processes, weekend capacity, pay competition, travel time, safeguarding) and the impact of short‑term funding on staffing. Qualitative data support explanation of quantitative patterns and identify feasible interventions. </w:t>
      </w:r>
    </w:p>
    <w:p w14:paraId="5B66C74D" w14:textId="2051B15F" w:rsidR="006268A1" w:rsidRDefault="1AB6BF66" w:rsidP="74AB27D4">
      <w:r>
        <w:t>Chosen methodology and justification: Mixed‑methods</w:t>
      </w:r>
    </w:p>
    <w:p w14:paraId="3A95F2A1" w14:textId="1F5C5909" w:rsidR="006268A1" w:rsidRDefault="1AB6BF66" w:rsidP="74AB27D4">
      <w:r>
        <w:t>A mixed‑methods design is most appropriate:</w:t>
      </w:r>
    </w:p>
    <w:p w14:paraId="4A3A92FA" w14:textId="4E8AE914" w:rsidR="006268A1" w:rsidRDefault="1AB6BF66" w:rsidP="74AB27D4">
      <w:r>
        <w:t>Quantitative analysis of NHS England discharge data and Skills for Care workforce metrics to describe trends and estimate associations between social care capacity and discharge delays.</w:t>
      </w:r>
    </w:p>
    <w:p w14:paraId="3175BFF1" w14:textId="098ABB19" w:rsidR="006268A1" w:rsidRDefault="1AB6BF66" w:rsidP="74AB27D4">
      <w:r>
        <w:t xml:space="preserve">Qualitative interviews across hospital, local authority and provider teams to understand operational mechanisms and barriers (e.g., recruitment timelines, night packages, trusted assessor models), and to generate practice‑grounded solutions. </w:t>
      </w:r>
    </w:p>
    <w:p w14:paraId="79ACFE19" w14:textId="7731DED0" w:rsidR="006268A1" w:rsidRDefault="1AB6BF66" w:rsidP="74AB27D4">
      <w:r>
        <w:lastRenderedPageBreak/>
        <w:t xml:space="preserve">This design acknowledges that delayed discharge is multi‑factorial; numbers establish magnitude and direction, while narratives explain how and why delays occur, thereby improving validity and policy relevance. </w:t>
      </w:r>
    </w:p>
    <w:p w14:paraId="2CCF8BF4" w14:textId="5666C550" w:rsidR="006268A1" w:rsidRDefault="006268A1" w:rsidP="74AB27D4"/>
    <w:p w14:paraId="1B038247" w14:textId="44F2DEC0" w:rsidR="006268A1" w:rsidRDefault="1AB6BF66" w:rsidP="74AB27D4">
      <w:r>
        <w:t>Primary vs secondary data: overview</w:t>
      </w:r>
    </w:p>
    <w:p w14:paraId="139E51D4" w14:textId="3F6B8A3B" w:rsidR="006268A1" w:rsidRDefault="1AB6BF66" w:rsidP="74AB27D4">
      <w:r>
        <w:t xml:space="preserve">Primary data: </w:t>
      </w:r>
      <w:r w:rsidR="126D8D1C">
        <w:t>I</w:t>
      </w:r>
      <w:r>
        <w:t>nterviews, focus groups, local case notes, or surveys of providers about staffing and brokerage timelines. Advantages include context specificity and insight into processes; limitations are time, ethics and potential local bias.</w:t>
      </w:r>
    </w:p>
    <w:p w14:paraId="38047651" w14:textId="47567675" w:rsidR="006268A1" w:rsidRDefault="1AB6BF66" w:rsidP="74AB27D4">
      <w:r>
        <w:t xml:space="preserve">Secondary data: NHS England acute discharge situation reports (patients who no longer meet criteria to reside; delay reasons post‑May 2024); Skills for Care workforce indicators; CQC State of Care analyses; Health Foundation funding/economic context. Strengths include comparability over time, standardisation and breadth; limitations include definitional changes and aggregation levels. </w:t>
      </w:r>
    </w:p>
    <w:p w14:paraId="517E3211" w14:textId="082F671E" w:rsidR="006268A1" w:rsidRDefault="1AB6BF66" w:rsidP="74AB27D4">
      <w:r>
        <w:t>Chosen forms and justification</w:t>
      </w:r>
    </w:p>
    <w:p w14:paraId="35BA4C18" w14:textId="58D490B7" w:rsidR="006268A1" w:rsidRDefault="1AB6BF66" w:rsidP="74AB27D4">
      <w:r>
        <w:t>Given the mixed‑methods design, data collection will combine:</w:t>
      </w:r>
    </w:p>
    <w:p w14:paraId="4CF6A469" w14:textId="1E24F780" w:rsidR="006268A1" w:rsidRDefault="1AB6BF66" w:rsidP="74AB27D4">
      <w:r>
        <w:t>Secondary (quantitative spine)</w:t>
      </w:r>
    </w:p>
    <w:p w14:paraId="5FDE0539" w14:textId="2D62C723" w:rsidR="006268A1" w:rsidRDefault="1AB6BF66" w:rsidP="74AB27D4">
      <w:r>
        <w:t xml:space="preserve">NHS England discharge data for national/regional time series on readiness to discharge and delay reasons (including “capacity”). This provides consistent monthly indicators for trend and association analyses. </w:t>
      </w:r>
    </w:p>
    <w:p w14:paraId="39C1B58C" w14:textId="573B81F4" w:rsidR="006268A1" w:rsidRDefault="1AB6BF66" w:rsidP="74AB27D4">
      <w:r>
        <w:t>Skills for Care metrics (vacancy, turnover, nationality mix) to proxy social care labour market capacity.</w:t>
      </w:r>
    </w:p>
    <w:p w14:paraId="4C2C4149" w14:textId="5DF2CCED" w:rsidR="006268A1" w:rsidRDefault="1AB6BF66" w:rsidP="74AB27D4">
      <w:r>
        <w:t>CQC State of Care and Health Foundation to contextualise findings and triangulate system pressures and funding constraints.</w:t>
      </w:r>
    </w:p>
    <w:p w14:paraId="6578A79B" w14:textId="50897FFD" w:rsidR="006268A1" w:rsidRDefault="1AB6BF66" w:rsidP="74AB27D4">
      <w:r>
        <w:t>Primary (qualitative insight)</w:t>
      </w:r>
    </w:p>
    <w:p w14:paraId="07A606AE" w14:textId="7D711B21" w:rsidR="006268A1" w:rsidRDefault="1AB6BF66" w:rsidP="74AB27D4">
      <w:r>
        <w:t xml:space="preserve">Semi‑structured interviews </w:t>
      </w:r>
      <w:proofErr w:type="gramStart"/>
      <w:r>
        <w:t>with:</w:t>
      </w:r>
      <w:proofErr w:type="gramEnd"/>
      <w:r>
        <w:t xml:space="preserve"> hospital discharge leads, local authority adult social care commissioners, and managers in domiciliary and residential care. Topics include recruitment and retention, pay competitiveness, visa policy effects, brokerage processes, weekend/night capacity, transport and rurality, and experience with short‑term discharge funding. These insights will elucidate the mechanisms linking staffing to discharge performance, inform model specifications (e.g., control variables), and support actionable recommendations. </w:t>
      </w:r>
    </w:p>
    <w:p w14:paraId="5A6ACEB0" w14:textId="346408E8" w:rsidR="006268A1" w:rsidRDefault="1AB6BF66" w:rsidP="74AB27D4">
      <w:r>
        <w:t>This combination provides breadth (national comparability) and depth (local operational detail) aligned to the research question.</w:t>
      </w:r>
    </w:p>
    <w:p w14:paraId="5F589035" w14:textId="5FBD5C90" w:rsidR="006268A1" w:rsidRDefault="006268A1" w:rsidP="74AB27D4"/>
    <w:p w14:paraId="4C7CA4B8" w14:textId="72C9A664" w:rsidR="006268A1" w:rsidRDefault="1AB6BF66" w:rsidP="1F5E8DED">
      <w:pPr>
        <w:rPr>
          <w:b/>
          <w:bCs/>
        </w:rPr>
      </w:pPr>
      <w:r w:rsidRPr="1F5E8DED">
        <w:rPr>
          <w:b/>
          <w:bCs/>
        </w:rPr>
        <w:lastRenderedPageBreak/>
        <w:t>Conclusion</w:t>
      </w:r>
    </w:p>
    <w:p w14:paraId="70FA4CD5" w14:textId="368FF796" w:rsidR="006268A1" w:rsidRDefault="1AB6BF66" w:rsidP="74AB27D4">
      <w:r>
        <w:t>Adult social care workforce pressures remain a critical determinant of hospital discharge delays in England. National evidence shows that social care capacity constraints</w:t>
      </w:r>
      <w:r w:rsidR="290090F3">
        <w:t xml:space="preserve"> </w:t>
      </w:r>
      <w:r>
        <w:t>exemplified by waits for care packages and beds</w:t>
      </w:r>
      <w:r w:rsidR="245D27D7">
        <w:t xml:space="preserve"> </w:t>
      </w:r>
      <w:r>
        <w:t>account for a substantial share of delayed discharges, with regional variation pointing to uneven community supply. Workforce indicators reveal high vacancy/turnover relative to the wider economy, recent reliance on international recruitment, and vulnerability to policy shifts; funding analyses indicate that system resources have not kept pace with demand and costs, limiting pay and provider sustainability. A mixed‑methods study</w:t>
      </w:r>
      <w:r w:rsidR="2B7E538E">
        <w:t xml:space="preserve"> </w:t>
      </w:r>
      <w:r>
        <w:t>quantitative analysis of discharge and workforce metrics, combined with qualitative interviews across hospital, local authority and provider teams</w:t>
      </w:r>
      <w:r w:rsidR="494A76EE">
        <w:t xml:space="preserve"> </w:t>
      </w:r>
      <w:r>
        <w:t xml:space="preserve">offers a robust approach to measure associations, unpack mechanisms, and generate practical interventions (e.g., commissioning changes, workforce investment, market‑shaping, and discharge process improvements). This evidence‑based strategy is essential to improve patient outcomes, sustain staff well‑being, and advance NHS recovery. </w:t>
      </w:r>
    </w:p>
    <w:p w14:paraId="718D8F0D" w14:textId="483BE86B" w:rsidR="006268A1" w:rsidRDefault="006268A1" w:rsidP="74AB27D4"/>
    <w:p w14:paraId="63496DF3" w14:textId="62DDF4AC" w:rsidR="006268A1" w:rsidRDefault="1AB6BF66" w:rsidP="1F5E8DED">
      <w:pPr>
        <w:rPr>
          <w:b/>
          <w:bCs/>
        </w:rPr>
      </w:pPr>
      <w:r w:rsidRPr="1F5E8DED">
        <w:rPr>
          <w:b/>
          <w:bCs/>
        </w:rPr>
        <w:t>References</w:t>
      </w:r>
    </w:p>
    <w:p w14:paraId="4EC1E75F" w14:textId="5CC7335B" w:rsidR="006268A1" w:rsidRDefault="1AB6BF66" w:rsidP="74AB27D4">
      <w:r>
        <w:t xml:space="preserve">Care Quality Commission (CQC). The state of health care and adult social care in England 2023/24 (published Oct 25, 2024; page last updated Oct 24, 2025). </w:t>
      </w:r>
      <w:r w:rsidR="2001F01F">
        <w:t>(</w:t>
      </w:r>
      <w:r>
        <w:t>linkedin.com</w:t>
      </w:r>
      <w:r w:rsidR="0D1B0AD8">
        <w:t>)</w:t>
      </w:r>
      <w:r>
        <w:t xml:space="preserve">, </w:t>
      </w:r>
      <w:r w:rsidR="15E5E6AD">
        <w:t>(</w:t>
      </w:r>
      <w:r>
        <w:t>unctad.org</w:t>
      </w:r>
      <w:r w:rsidR="4F2D3DED">
        <w:t>)</w:t>
      </w:r>
    </w:p>
    <w:p w14:paraId="113F637E" w14:textId="47DDA074" w:rsidR="006268A1" w:rsidRDefault="1AB6BF66" w:rsidP="74AB27D4">
      <w:r>
        <w:t xml:space="preserve">Skills for Care. The state of the adult social care sector and workforce in England, 2024. </w:t>
      </w:r>
      <w:r w:rsidR="0B41B4DE">
        <w:t>(</w:t>
      </w:r>
      <w:r>
        <w:t>futuredotnow.uk</w:t>
      </w:r>
      <w:r w:rsidR="44F90DA4">
        <w:t>)</w:t>
      </w:r>
    </w:p>
    <w:p w14:paraId="186BE81B" w14:textId="4D8371F5" w:rsidR="006268A1" w:rsidRDefault="1AB6BF66" w:rsidP="74AB27D4">
      <w:r>
        <w:t xml:space="preserve">The Health Foundation (REAL Centre). Social care funding: three key questions about funding in England (updated May 14, 2025) and related coverage on required funding to 2028/29. </w:t>
      </w:r>
      <w:r w:rsidR="7B5CF73B">
        <w:t>(</w:t>
      </w:r>
      <w:r>
        <w:t>linkedin.com</w:t>
      </w:r>
      <w:r w:rsidR="20DB57D9">
        <w:t>)</w:t>
      </w:r>
      <w:r>
        <w:t xml:space="preserve">, </w:t>
      </w:r>
      <w:r w:rsidR="58F470F9">
        <w:t>(</w:t>
      </w:r>
      <w:r>
        <w:t>post.parliament.uk</w:t>
      </w:r>
      <w:r w:rsidR="1F70F627">
        <w:t>)</w:t>
      </w:r>
    </w:p>
    <w:p w14:paraId="58AE0FAF" w14:textId="7F2233F0" w:rsidR="006268A1" w:rsidRDefault="1AB6BF66" w:rsidP="74AB27D4">
      <w:r>
        <w:t xml:space="preserve">NHS England. Acute discharge situation report / Discharge ready date: technical specification and published series (definitions updated May 27, 2024). </w:t>
      </w:r>
      <w:r w:rsidR="291B10AC">
        <w:t>(</w:t>
      </w:r>
      <w:r>
        <w:t>scirp.org</w:t>
      </w:r>
      <w:r w:rsidR="2BEB2197">
        <w:t>)</w:t>
      </w:r>
    </w:p>
    <w:p w14:paraId="02187747" w14:textId="16FD51FD" w:rsidR="006268A1" w:rsidRDefault="1AB6BF66" w:rsidP="74AB27D4">
      <w:r>
        <w:t xml:space="preserve">Health Foundation. Delayed discharges from hospital: comparing performance this year and last (Dec 14, 2025). </w:t>
      </w:r>
      <w:r w:rsidR="5FF226A1">
        <w:t>(</w:t>
      </w:r>
      <w:r>
        <w:t>oecd.org</w:t>
      </w:r>
      <w:r w:rsidR="7565B002">
        <w:t>)</w:t>
      </w:r>
    </w:p>
    <w:p w14:paraId="5E5787A5" w14:textId="6916B87C" w:rsidR="006268A1" w:rsidRDefault="006268A1"/>
    <w:sectPr w:rsidR="006268A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4E35B17"/>
    <w:rsid w:val="004E3AE7"/>
    <w:rsid w:val="006268A1"/>
    <w:rsid w:val="00DF4169"/>
    <w:rsid w:val="00F70BEC"/>
    <w:rsid w:val="065C6784"/>
    <w:rsid w:val="067560A1"/>
    <w:rsid w:val="0B41B4DE"/>
    <w:rsid w:val="0D1B0AD8"/>
    <w:rsid w:val="0D44CFFE"/>
    <w:rsid w:val="0F41FD00"/>
    <w:rsid w:val="10A672EC"/>
    <w:rsid w:val="126D8D1C"/>
    <w:rsid w:val="13D8CC0E"/>
    <w:rsid w:val="15E5E6AD"/>
    <w:rsid w:val="19A12D7B"/>
    <w:rsid w:val="1AB6BF66"/>
    <w:rsid w:val="1D9116E3"/>
    <w:rsid w:val="1DA18CED"/>
    <w:rsid w:val="1DC89F4B"/>
    <w:rsid w:val="1E6897BA"/>
    <w:rsid w:val="1F5E8DED"/>
    <w:rsid w:val="1F70F627"/>
    <w:rsid w:val="2001F01F"/>
    <w:rsid w:val="20DB57D9"/>
    <w:rsid w:val="22F9B6A6"/>
    <w:rsid w:val="245D27D7"/>
    <w:rsid w:val="25C7EFEE"/>
    <w:rsid w:val="290090F3"/>
    <w:rsid w:val="291B10AC"/>
    <w:rsid w:val="2A41E63A"/>
    <w:rsid w:val="2B7E538E"/>
    <w:rsid w:val="2BEB2197"/>
    <w:rsid w:val="2C3A1239"/>
    <w:rsid w:val="2C9F2D00"/>
    <w:rsid w:val="2EE933E2"/>
    <w:rsid w:val="30F16280"/>
    <w:rsid w:val="3488E7CE"/>
    <w:rsid w:val="353CD3F1"/>
    <w:rsid w:val="3DAF705B"/>
    <w:rsid w:val="404B667E"/>
    <w:rsid w:val="443C19E9"/>
    <w:rsid w:val="44F90DA4"/>
    <w:rsid w:val="4874BA4F"/>
    <w:rsid w:val="487E0F88"/>
    <w:rsid w:val="494A76EE"/>
    <w:rsid w:val="4B433EA3"/>
    <w:rsid w:val="4F2D3DED"/>
    <w:rsid w:val="524ABC22"/>
    <w:rsid w:val="54E35B17"/>
    <w:rsid w:val="582E2343"/>
    <w:rsid w:val="58F470F9"/>
    <w:rsid w:val="5DF3B171"/>
    <w:rsid w:val="5FF226A1"/>
    <w:rsid w:val="61032AE5"/>
    <w:rsid w:val="634E7D05"/>
    <w:rsid w:val="64CF5754"/>
    <w:rsid w:val="6587043C"/>
    <w:rsid w:val="65BD04E0"/>
    <w:rsid w:val="74AB27D4"/>
    <w:rsid w:val="74AE960B"/>
    <w:rsid w:val="751C6620"/>
    <w:rsid w:val="7565B002"/>
    <w:rsid w:val="75B3435B"/>
    <w:rsid w:val="7681A9BC"/>
    <w:rsid w:val="77DB709B"/>
    <w:rsid w:val="77E12295"/>
    <w:rsid w:val="77E31732"/>
    <w:rsid w:val="7963DCD7"/>
    <w:rsid w:val="7B5CF73B"/>
    <w:rsid w:val="7E94AA9D"/>
    <w:rsid w:val="7F3B1794"/>
    <w:rsid w:val="7FA324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E35B17"/>
  <w15:chartTrackingRefBased/>
  <w15:docId w15:val="{11AC3F41-9FCF-4871-A4DB-051258D4D1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1938</Words>
  <Characters>11049</Characters>
  <Application>Microsoft Office Word</Application>
  <DocSecurity>0</DocSecurity>
  <Lines>92</Lines>
  <Paragraphs>25</Paragraphs>
  <ScaleCrop>false</ScaleCrop>
  <Company/>
  <LinksUpToDate>false</LinksUpToDate>
  <CharactersWithSpaces>12962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Shahidul Islam (2425727)</dc:creator>
  <cp:keywords/>
  <dc:description/>
  <cp:lastModifiedBy>Johura Islam</cp:lastModifiedBy>
  <cp:revision>2</cp:revision>
  <dcterms:created xsi:type="dcterms:W3CDTF">2025-12-15T23:50:00Z</dcterms:created>
  <dcterms:modified xsi:type="dcterms:W3CDTF">2025-12-15T23:50:00Z</dcterms:modified>
</cp:coreProperties>
</file>