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C4F5F" w14:textId="77777777" w:rsidR="002B4772" w:rsidRDefault="002B4772">
      <w:pPr>
        <w:pStyle w:val="Title"/>
        <w:rPr>
          <w:sz w:val="36"/>
          <w:szCs w:val="36"/>
        </w:rPr>
      </w:pPr>
      <w:bookmarkStart w:id="0" w:name="_heading=h.ls36gwb2x397" w:colFirst="0" w:colLast="0"/>
      <w:bookmarkEnd w:id="0"/>
      <w:r>
        <w:rPr>
          <w:sz w:val="36"/>
          <w:szCs w:val="36"/>
        </w:rPr>
        <w:t xml:space="preserve"> </w:t>
      </w:r>
    </w:p>
    <w:p w14:paraId="371E2E32" w14:textId="7272D388" w:rsidR="002B4772" w:rsidRDefault="002B4772">
      <w:pPr>
        <w:pStyle w:val="Title"/>
        <w:rPr>
          <w:sz w:val="36"/>
          <w:szCs w:val="36"/>
        </w:rPr>
      </w:pPr>
    </w:p>
    <w:p w14:paraId="587F1EA5" w14:textId="77777777" w:rsidR="002B4772" w:rsidRDefault="002B4772">
      <w:pPr>
        <w:pStyle w:val="Title"/>
        <w:rPr>
          <w:sz w:val="36"/>
          <w:szCs w:val="36"/>
        </w:rPr>
      </w:pPr>
    </w:p>
    <w:p w14:paraId="43C591C0" w14:textId="77777777" w:rsidR="002B4772" w:rsidRDefault="002B4772">
      <w:pPr>
        <w:pStyle w:val="Title"/>
        <w:rPr>
          <w:sz w:val="36"/>
          <w:szCs w:val="36"/>
        </w:rPr>
      </w:pPr>
    </w:p>
    <w:p w14:paraId="665BC1CB" w14:textId="77777777" w:rsidR="002B4772" w:rsidRDefault="002B4772">
      <w:pPr>
        <w:pStyle w:val="Title"/>
        <w:rPr>
          <w:sz w:val="36"/>
          <w:szCs w:val="36"/>
        </w:rPr>
      </w:pPr>
    </w:p>
    <w:p w14:paraId="06580457" w14:textId="401A799A" w:rsidR="002B4772" w:rsidRDefault="002B4772">
      <w:pPr>
        <w:pStyle w:val="Title"/>
        <w:rPr>
          <w:sz w:val="36"/>
          <w:szCs w:val="36"/>
        </w:rPr>
      </w:pPr>
      <w:r>
        <w:rPr>
          <w:noProof/>
        </w:rPr>
        <w:drawing>
          <wp:inline distT="0" distB="0" distL="0" distR="0" wp14:anchorId="52B7CDA7" wp14:editId="70596F29">
            <wp:extent cx="3343275" cy="1135380"/>
            <wp:effectExtent l="0" t="0" r="9525" b="7620"/>
            <wp:docPr id="1878388433" name="image1.jpg" descr="UWTSD logo | Discover Dylan Thomas"/>
            <wp:cNvGraphicFramePr/>
            <a:graphic xmlns:a="http://schemas.openxmlformats.org/drawingml/2006/main">
              <a:graphicData uri="http://schemas.openxmlformats.org/drawingml/2006/picture">
                <pic:pic xmlns:pic="http://schemas.openxmlformats.org/drawingml/2006/picture">
                  <pic:nvPicPr>
                    <pic:cNvPr id="0" name="image1.jpg" descr="UWTSD logo | Discover Dylan Thomas"/>
                    <pic:cNvPicPr preferRelativeResize="0"/>
                  </pic:nvPicPr>
                  <pic:blipFill>
                    <a:blip r:embed="rId7"/>
                    <a:srcRect/>
                    <a:stretch>
                      <a:fillRect/>
                    </a:stretch>
                  </pic:blipFill>
                  <pic:spPr>
                    <a:xfrm>
                      <a:off x="0" y="0"/>
                      <a:ext cx="3343275" cy="1135380"/>
                    </a:xfrm>
                    <a:prstGeom prst="rect">
                      <a:avLst/>
                    </a:prstGeom>
                    <a:ln/>
                  </pic:spPr>
                </pic:pic>
              </a:graphicData>
            </a:graphic>
          </wp:inline>
        </w:drawing>
      </w:r>
    </w:p>
    <w:p w14:paraId="394FCFBD" w14:textId="77777777" w:rsidR="002B4772" w:rsidRDefault="002B4772">
      <w:pPr>
        <w:pStyle w:val="Title"/>
        <w:rPr>
          <w:sz w:val="36"/>
          <w:szCs w:val="36"/>
        </w:rPr>
      </w:pPr>
    </w:p>
    <w:p w14:paraId="00000001" w14:textId="79AB3CFE" w:rsidR="00DC4519" w:rsidRDefault="00000000">
      <w:pPr>
        <w:pStyle w:val="Title"/>
        <w:rPr>
          <w:sz w:val="36"/>
          <w:szCs w:val="36"/>
        </w:rPr>
      </w:pPr>
      <w:r>
        <w:rPr>
          <w:sz w:val="36"/>
          <w:szCs w:val="36"/>
        </w:rPr>
        <w:t>Module Name: Protecting and Supporting Families in Health and Care</w:t>
      </w:r>
    </w:p>
    <w:p w14:paraId="711547FB" w14:textId="233F91C1" w:rsidR="00AE348D" w:rsidRPr="00AE348D" w:rsidRDefault="00000000" w:rsidP="00AE348D">
      <w:pPr>
        <w:pStyle w:val="Title"/>
        <w:rPr>
          <w:sz w:val="36"/>
          <w:szCs w:val="36"/>
        </w:rPr>
      </w:pPr>
      <w:bookmarkStart w:id="1" w:name="_heading=h.39lvm96ie3zd" w:colFirst="0" w:colLast="0"/>
      <w:bookmarkEnd w:id="1"/>
      <w:r>
        <w:rPr>
          <w:sz w:val="36"/>
          <w:szCs w:val="36"/>
        </w:rPr>
        <w:t>Module Code: BMHP5021</w:t>
      </w:r>
      <w:bookmarkStart w:id="2" w:name="_heading=h.er3a60jfcuj9" w:colFirst="0" w:colLast="0"/>
      <w:bookmarkEnd w:id="2"/>
    </w:p>
    <w:p w14:paraId="4D9D7457" w14:textId="77777777" w:rsidR="00AE348D" w:rsidRDefault="00AE348D" w:rsidP="00AE348D">
      <w:pPr>
        <w:pStyle w:val="Title"/>
        <w:rPr>
          <w:sz w:val="36"/>
          <w:szCs w:val="36"/>
        </w:rPr>
      </w:pPr>
      <w:r>
        <w:rPr>
          <w:sz w:val="36"/>
          <w:szCs w:val="36"/>
        </w:rPr>
        <w:t>Assignment Title: Component 2: Written Report</w:t>
      </w:r>
    </w:p>
    <w:p w14:paraId="2C851635" w14:textId="07F37E43" w:rsidR="00AE348D" w:rsidRPr="00AE348D" w:rsidRDefault="00AE348D" w:rsidP="00AE348D">
      <w:pPr>
        <w:rPr>
          <w:b/>
          <w:bCs/>
          <w:sz w:val="36"/>
          <w:szCs w:val="36"/>
        </w:rPr>
      </w:pPr>
      <w:r w:rsidRPr="00AE348D">
        <w:rPr>
          <w:b/>
          <w:bCs/>
          <w:sz w:val="36"/>
          <w:szCs w:val="36"/>
        </w:rPr>
        <w:t xml:space="preserve">               Student </w:t>
      </w:r>
      <w:r w:rsidRPr="00AE348D">
        <w:rPr>
          <w:b/>
          <w:bCs/>
          <w:sz w:val="36"/>
          <w:szCs w:val="36"/>
        </w:rPr>
        <w:t>N</w:t>
      </w:r>
      <w:r w:rsidRPr="00AE348D">
        <w:rPr>
          <w:b/>
          <w:bCs/>
          <w:sz w:val="36"/>
          <w:szCs w:val="36"/>
        </w:rPr>
        <w:t>umber</w:t>
      </w:r>
      <w:r>
        <w:rPr>
          <w:b/>
          <w:bCs/>
          <w:sz w:val="36"/>
          <w:szCs w:val="36"/>
        </w:rPr>
        <w:t>:2327259</w:t>
      </w:r>
    </w:p>
    <w:p w14:paraId="507F4133" w14:textId="79EFAA63" w:rsidR="00AE348D" w:rsidRDefault="00AE348D">
      <w:pPr>
        <w:pStyle w:val="Title"/>
        <w:rPr>
          <w:sz w:val="36"/>
          <w:szCs w:val="36"/>
        </w:rPr>
      </w:pPr>
      <w:r w:rsidRPr="00AE348D">
        <w:rPr>
          <w:sz w:val="36"/>
          <w:szCs w:val="36"/>
        </w:rPr>
        <w:t>Student Name</w:t>
      </w:r>
      <w:r>
        <w:rPr>
          <w:sz w:val="36"/>
          <w:szCs w:val="36"/>
        </w:rPr>
        <w:t>: Andreea Anca</w:t>
      </w:r>
    </w:p>
    <w:p w14:paraId="00000003" w14:textId="60284B3E" w:rsidR="00DC4519" w:rsidRPr="00AE348D" w:rsidRDefault="00AE348D">
      <w:pPr>
        <w:pStyle w:val="Title"/>
        <w:rPr>
          <w:sz w:val="36"/>
          <w:szCs w:val="36"/>
        </w:rPr>
      </w:pPr>
      <w:r>
        <w:rPr>
          <w:sz w:val="36"/>
          <w:szCs w:val="36"/>
        </w:rPr>
        <w:t xml:space="preserve">Lecturer Name: Diola </w:t>
      </w:r>
      <w:proofErr w:type="spellStart"/>
      <w:r>
        <w:rPr>
          <w:sz w:val="36"/>
          <w:szCs w:val="36"/>
        </w:rPr>
        <w:t>Bijhout</w:t>
      </w:r>
      <w:proofErr w:type="spellEnd"/>
      <w:r w:rsidR="00000000" w:rsidRPr="00AE348D">
        <w:rPr>
          <w:sz w:val="36"/>
          <w:szCs w:val="36"/>
        </w:rPr>
        <w:br w:type="page"/>
      </w:r>
    </w:p>
    <w:p w14:paraId="00000004" w14:textId="77777777" w:rsidR="00DC4519" w:rsidRDefault="00000000">
      <w:pPr>
        <w:pStyle w:val="Title"/>
        <w:rPr>
          <w:sz w:val="24"/>
          <w:szCs w:val="24"/>
        </w:rPr>
      </w:pPr>
      <w:bookmarkStart w:id="3" w:name="_heading=h.f82rtgza8r2" w:colFirst="0" w:colLast="0"/>
      <w:bookmarkEnd w:id="3"/>
      <w:r>
        <w:rPr>
          <w:sz w:val="24"/>
          <w:szCs w:val="24"/>
        </w:rPr>
        <w:lastRenderedPageBreak/>
        <w:t>Table of Contents</w:t>
      </w:r>
    </w:p>
    <w:sdt>
      <w:sdtPr>
        <w:id w:val="-1620253567"/>
        <w:docPartObj>
          <w:docPartGallery w:val="Table of Contents"/>
          <w:docPartUnique/>
        </w:docPartObj>
      </w:sdtPr>
      <w:sdtContent>
        <w:p w14:paraId="00000005" w14:textId="77777777" w:rsidR="00DC4519" w:rsidRDefault="00000000">
          <w:pPr>
            <w:widowControl w:val="0"/>
            <w:tabs>
              <w:tab w:val="right" w:pos="9360"/>
            </w:tabs>
          </w:pPr>
          <w:r>
            <w:fldChar w:fldCharType="begin"/>
          </w:r>
          <w:r>
            <w:instrText xml:space="preserve"> TOC \h \u \z \t "Heading 1,1,Heading 2,2,Heading 3,3,Heading 4,4,Heading 5,5,Heading 6,6,"</w:instrText>
          </w:r>
          <w:r>
            <w:fldChar w:fldCharType="separate"/>
          </w:r>
          <w:r>
            <w:fldChar w:fldCharType="begin"/>
          </w:r>
          <w:r>
            <w:instrText xml:space="preserve"> HYPERLINK \l "_heading=h.q3d8tit0ix3g" </w:instrText>
          </w:r>
          <w:r>
            <w:fldChar w:fldCharType="separate"/>
          </w:r>
          <w:r>
            <w:t>Introduction</w:t>
          </w:r>
          <w:r>
            <w:tab/>
            <w:t>3</w:t>
          </w:r>
        </w:p>
        <w:p w14:paraId="00000006" w14:textId="77777777" w:rsidR="00DC4519" w:rsidRDefault="00000000">
          <w:pPr>
            <w:widowControl w:val="0"/>
            <w:tabs>
              <w:tab w:val="right" w:pos="9360"/>
            </w:tabs>
          </w:pPr>
          <w:r>
            <w:fldChar w:fldCharType="end"/>
          </w:r>
          <w:r>
            <w:fldChar w:fldCharType="begin"/>
          </w:r>
          <w:r>
            <w:instrText xml:space="preserve"> HYPERLINK \l "_heading=h.qh40lp36bztx" </w:instrText>
          </w:r>
          <w:r>
            <w:fldChar w:fldCharType="separate"/>
          </w:r>
          <w:r>
            <w:t>Explanation of the Early Help System</w:t>
          </w:r>
          <w:r>
            <w:tab/>
            <w:t>3</w:t>
          </w:r>
        </w:p>
        <w:p w14:paraId="00000007" w14:textId="77777777" w:rsidR="00DC4519" w:rsidRDefault="00000000">
          <w:pPr>
            <w:widowControl w:val="0"/>
            <w:tabs>
              <w:tab w:val="right" w:pos="9360"/>
            </w:tabs>
          </w:pPr>
          <w:r>
            <w:fldChar w:fldCharType="end"/>
          </w:r>
          <w:r>
            <w:fldChar w:fldCharType="begin"/>
          </w:r>
          <w:r>
            <w:instrText xml:space="preserve"> HYPERLINK \l "_heading=h.h571wxhvfay3" </w:instrText>
          </w:r>
          <w:r>
            <w:fldChar w:fldCharType="separate"/>
          </w:r>
          <w:r>
            <w:t>Explanation of multi-agency working</w:t>
          </w:r>
          <w:r>
            <w:tab/>
            <w:t>4</w:t>
          </w:r>
        </w:p>
        <w:p w14:paraId="00000008" w14:textId="77777777" w:rsidR="00DC4519" w:rsidRDefault="00000000">
          <w:pPr>
            <w:widowControl w:val="0"/>
            <w:tabs>
              <w:tab w:val="right" w:pos="9360"/>
            </w:tabs>
          </w:pPr>
          <w:r>
            <w:fldChar w:fldCharType="end"/>
          </w:r>
          <w:r>
            <w:fldChar w:fldCharType="begin"/>
          </w:r>
          <w:r>
            <w:instrText xml:space="preserve"> HYPERLINK \l "_heading=h.ap8zzfzbxe5b" </w:instrText>
          </w:r>
          <w:r>
            <w:fldChar w:fldCharType="separate"/>
          </w:r>
          <w:r>
            <w:t>An evaluation of each of your three local authority websites.</w:t>
          </w:r>
          <w:r>
            <w:tab/>
            <w:t>5</w:t>
          </w:r>
        </w:p>
        <w:p w14:paraId="00000009" w14:textId="77777777" w:rsidR="00DC4519" w:rsidRDefault="00000000">
          <w:pPr>
            <w:widowControl w:val="0"/>
            <w:tabs>
              <w:tab w:val="right" w:pos="9360"/>
            </w:tabs>
          </w:pPr>
          <w:r>
            <w:fldChar w:fldCharType="end"/>
          </w:r>
          <w:r>
            <w:fldChar w:fldCharType="begin"/>
          </w:r>
          <w:r>
            <w:instrText xml:space="preserve"> HYPERLINK \l "_heading=h.bp1urugqpua9" </w:instrText>
          </w:r>
          <w:r>
            <w:fldChar w:fldCharType="separate"/>
          </w:r>
          <w:r>
            <w:t>A comparative analysis</w:t>
          </w:r>
          <w:r>
            <w:tab/>
            <w:t>6</w:t>
          </w:r>
        </w:p>
        <w:p w14:paraId="0000000A" w14:textId="77777777" w:rsidR="00DC4519" w:rsidRDefault="00000000">
          <w:pPr>
            <w:widowControl w:val="0"/>
            <w:tabs>
              <w:tab w:val="right" w:pos="9360"/>
            </w:tabs>
          </w:pPr>
          <w:r>
            <w:fldChar w:fldCharType="end"/>
          </w:r>
          <w:r>
            <w:fldChar w:fldCharType="begin"/>
          </w:r>
          <w:r>
            <w:instrText xml:space="preserve"> HYPERLINK \l "_heading=h.8g0lf4w50xx" </w:instrText>
          </w:r>
          <w:r>
            <w:fldChar w:fldCharType="separate"/>
          </w:r>
          <w:r>
            <w:t>Conclusion</w:t>
          </w:r>
          <w:r>
            <w:tab/>
            <w:t>7</w:t>
          </w:r>
        </w:p>
        <w:p w14:paraId="0000000B" w14:textId="77777777" w:rsidR="00DC4519" w:rsidRDefault="00000000">
          <w:pPr>
            <w:widowControl w:val="0"/>
            <w:tabs>
              <w:tab w:val="right" w:pos="9360"/>
            </w:tabs>
          </w:pPr>
          <w:r>
            <w:fldChar w:fldCharType="end"/>
          </w:r>
          <w:hyperlink w:anchor="_heading=h.6rhtdjbjc79a">
            <w:r w:rsidR="00DC4519">
              <w:t>References</w:t>
            </w:r>
            <w:r w:rsidR="00DC4519">
              <w:tab/>
              <w:t>8</w:t>
            </w:r>
          </w:hyperlink>
          <w:r>
            <w:fldChar w:fldCharType="end"/>
          </w:r>
        </w:p>
      </w:sdtContent>
    </w:sdt>
    <w:p w14:paraId="0000000C" w14:textId="77777777" w:rsidR="00DC4519" w:rsidRDefault="00DC4519"/>
    <w:p w14:paraId="0000000D" w14:textId="77777777" w:rsidR="00DC4519" w:rsidRDefault="00000000">
      <w:r>
        <w:br w:type="page"/>
      </w:r>
    </w:p>
    <w:p w14:paraId="0000000E" w14:textId="77777777" w:rsidR="00DC4519" w:rsidRDefault="00000000">
      <w:pPr>
        <w:pStyle w:val="Heading1"/>
      </w:pPr>
      <w:bookmarkStart w:id="4" w:name="_heading=h.q3d8tit0ix3g" w:colFirst="0" w:colLast="0"/>
      <w:bookmarkEnd w:id="4"/>
      <w:r>
        <w:lastRenderedPageBreak/>
        <w:t xml:space="preserve">Introduction </w:t>
      </w:r>
    </w:p>
    <w:p w14:paraId="0000000F" w14:textId="77777777" w:rsidR="00DC4519" w:rsidRDefault="00000000">
      <w:r>
        <w:t xml:space="preserve">Early Help is a crucial system of prevention that is designed to activate the young people, children and families prior to their needs increasing to the intervention of saturation. This report will explore the Early Help information offered on the three local authority websites of the UK such as Staffordshire County Council, Leicestershire County Council and Leeds City Council that formed the way these communicates the family advocate the early interventions. By assessing the clarity, accessibility and extensiveness of their web resources, the focus to recognise the offering of the authority of efficient guidance and suggested improvements for the great influence. </w:t>
      </w:r>
    </w:p>
    <w:p w14:paraId="00000010" w14:textId="77777777" w:rsidR="00DC4519" w:rsidRDefault="00000000">
      <w:pPr>
        <w:rPr>
          <w:b/>
          <w:bCs/>
        </w:rPr>
      </w:pPr>
      <w:bookmarkStart w:id="5" w:name="_heading=h.qh40lp36bztx" w:colFirst="0" w:colLast="0"/>
      <w:bookmarkEnd w:id="5"/>
      <w:r>
        <w:br w:type="page"/>
      </w:r>
    </w:p>
    <w:p w14:paraId="00000011" w14:textId="77777777" w:rsidR="00DC4519" w:rsidRDefault="00000000">
      <w:pPr>
        <w:pStyle w:val="Heading1"/>
      </w:pPr>
      <w:r>
        <w:lastRenderedPageBreak/>
        <w:t>Explanation of the Early Help System</w:t>
      </w:r>
    </w:p>
    <w:p w14:paraId="00000012" w14:textId="77777777" w:rsidR="00DC4519" w:rsidRDefault="00000000">
      <w:r>
        <w:t xml:space="preserve">The system of Early Help is a voluntary and cooperation framework that is designed to advocate the children, families and young peoples at the early invasion of the evolving needs. In the place of waiting for the difficulties to increase into the crisis (Lucas and John Archard, 2021). The Early Help intervenes if the emotional, educational, behavioural and social obstruction first appears. It surrounds a vast range of the severity of prevention that involves the programme of parenting, emotional well-being and specialised guidance like the development of the language and confidence. The national protection assistance focuses that early intervention is far more efficient in fostering the welfare of children than racing if the difficulties have intensified. Assistance under the Section 10 of the Children Act 2004 places a legal duty on the authorities of the local and their protecting partners to work cooperatively while covering the preventative advocacy (Legislation.gov.uk, 2020). By fostering the corporation of multi-agency from the education, health and sector of social care the system of Early help focuses to provide the extensive, timely and proportionate interventions. Its nature means the families are empowered to engage with the intention of building the trust and encouraged to take the role in improving their situations. </w:t>
      </w:r>
    </w:p>
    <w:p w14:paraId="00000013" w14:textId="77777777" w:rsidR="00DC4519" w:rsidRDefault="00000000">
      <w:r>
        <w:t xml:space="preserve">The Early Help delivers the model of “continuum of need” that ranges from the universal services like the GPs, schools and health visitors to the more tagged services such as youth centres, children centres and the specialist advocacy of family (Moran, 2022). If the families agree to engage with the Early Help an evaluation is undertaken to examine the obstruction, strength and the wished results. This frequently results in the creation of the plan of Early Help process to the needs of family. The lead practitioners mainly from the health service, school and the authorities in local cooperatives plan this and make sure the family gains the consistent and joined up advocacy. The continuous review helps the practitioners and the family to track the progress and make the needed modification. The goal is to overcome the issues early, mitigate the likelihood of the increase into the statutory child services of child protections and reinforce the resilience of families. The high-quality early intervention improves the results for the long term for the children and mitigates the need for the costlier, intensive intervention later (Bachmann </w:t>
      </w:r>
      <w:r>
        <w:rPr>
          <w:i/>
          <w:iCs/>
        </w:rPr>
        <w:t>et al.,</w:t>
      </w:r>
      <w:r>
        <w:t xml:space="preserve"> 2022). Thereby, Early Help is the protecting mechanism and the preventative strategy, advocating the families to address obstruction prior to theft becoming entrenched and handful.   </w:t>
      </w:r>
    </w:p>
    <w:p w14:paraId="00000014" w14:textId="77777777" w:rsidR="00DC4519" w:rsidRDefault="00000000">
      <w:pPr>
        <w:pStyle w:val="Heading1"/>
      </w:pPr>
      <w:bookmarkStart w:id="6" w:name="_heading=h.h571wxhvfay3" w:colFirst="0" w:colLast="0"/>
      <w:bookmarkEnd w:id="6"/>
      <w:r>
        <w:lastRenderedPageBreak/>
        <w:t>Explanation of multi-agency working</w:t>
      </w:r>
    </w:p>
    <w:p w14:paraId="00000015" w14:textId="77777777" w:rsidR="00DC4519" w:rsidRDefault="00000000">
      <w:r>
        <w:t xml:space="preserve">The working of multi-agency is a core aspect of the Early help system making sure that the young people, children and families gain cooperative and extensive advocacy. It includes professionals from different sectors like the education, health, police, youth service, social care and voluntary sector cooperating to recognise the evolving issues, evaluate the risks and over the precise advocacy at the early stage. The national protection assistance indicates that this shared responsibility model is crucial for preventing the increase and protecting the children effectively (Hale </w:t>
      </w:r>
      <w:r>
        <w:rPr>
          <w:i/>
          <w:iCs/>
        </w:rPr>
        <w:t xml:space="preserve">et al., </w:t>
      </w:r>
      <w:r>
        <w:t xml:space="preserve">2024). This partnership means that no single agency is left carrying the full burden advocating the family, in place the collective experience of the professional lead to the informed decision making and better targeted interventions. By pooling the resources and knowledge, the team of </w:t>
      </w:r>
      <w:proofErr w:type="spellStart"/>
      <w:r>
        <w:t>multidisciplinaryists</w:t>
      </w:r>
      <w:proofErr w:type="spellEnd"/>
      <w:r>
        <w:t xml:space="preserve"> can create an extensive comprehension of the circumstances of family, resulting in more precise evaluation and the personalised advocacy plans. This amalgamated approach mitigates the delays and makes sure that the experience of families and seamless and cooperative services. </w:t>
      </w:r>
    </w:p>
    <w:p w14:paraId="00000016" w14:textId="77777777" w:rsidR="00DC4519" w:rsidRDefault="00000000">
      <w:r>
        <w:t xml:space="preserve">The working multi-agency also reinforces the continuity and quality of advocacy offered to the families, enabling the intervention that is timely and sensitive to the needs of individuals (Ash, Malloch and </w:t>
      </w:r>
      <w:proofErr w:type="spellStart"/>
      <w:r>
        <w:t>Bellussi</w:t>
      </w:r>
      <w:proofErr w:type="spellEnd"/>
      <w:r>
        <w:t xml:space="preserve">, 2025). For example, in Leeds the framework of Early Help places a robust focus on the cooperative practices over the service of the city. Health professionals, school, youth workers, community organisation and children centre staff work cooperatively to recognise the issues prior and provide the corporate response. The Family Hubs over the Leeds epitomises this model of multi-agency that brings a vast range of the professional like the coordinates of menstrual health, substance misuse, police officer, family advocacy worker and SEND specialist (Leeds.gov.uk, 2025). This attribute of “one-stop shop” helps the families to incorporate various services in the single place, mitigating the stress of steering the various agencies. It also means the families are only required to share their stories as the professionals in the hub can communicate effectively with others to design a coherent and tailored plan of Early Help. This level of amalgamation aids to make sure that the interventions are pertinent, well timed and delivered with the comparison of the wider terms of family. The multi-agency working increases the efficiency of the service of Early Help </w:t>
      </w:r>
      <w:proofErr w:type="gramStart"/>
      <w:r>
        <w:t>and also</w:t>
      </w:r>
      <w:proofErr w:type="gramEnd"/>
      <w:r>
        <w:t xml:space="preserve"> fosters the accountabilities, trust and improved results for the long term for families.  </w:t>
      </w:r>
    </w:p>
    <w:p w14:paraId="00000017" w14:textId="77777777" w:rsidR="00DC4519" w:rsidRDefault="00000000">
      <w:pPr>
        <w:pStyle w:val="Heading1"/>
      </w:pPr>
      <w:bookmarkStart w:id="7" w:name="_heading=h.ap8zzfzbxe5b" w:colFirst="0" w:colLast="0"/>
      <w:bookmarkEnd w:id="7"/>
      <w:r>
        <w:lastRenderedPageBreak/>
        <w:t>An evaluation of each of your three local authority websites.</w:t>
      </w:r>
    </w:p>
    <w:p w14:paraId="00000018" w14:textId="77777777" w:rsidR="00DC4519" w:rsidRDefault="00000000">
      <w:r>
        <w:t xml:space="preserve">Leicestershire County Council presents its Early Help provided via the “Family Help Service”, formerly the Children and Family Wellbeing Services (Leicestershire.gov.uk, 2025). The website offers families with the clear information on the way to request advocacy through the online “Request for Service” from focusing on the detailed families ought to supply and focusing the requirements for the informed consent. It set on the defined tiers of advocacy, that involve the norms the family advocacy for the agents of 1-19 years old, increases the advocacy including the intervention of youth justice and keywords. The additional services like the group’s programmes, parenting workshops, groups programme and youth offending presentations are listed in the straightforward way. The Strategy of Early Help reinforced the message of the council by focusing on the partnership of multi-agency and the dedication to the approach of “no wrong door” for the families requiring the guidance (‌Firmin </w:t>
      </w:r>
      <w:r>
        <w:rPr>
          <w:i/>
          <w:iCs/>
        </w:rPr>
        <w:t xml:space="preserve">et al., </w:t>
      </w:r>
      <w:r>
        <w:t xml:space="preserve">2022). Nevertheless, </w:t>
      </w:r>
      <w:proofErr w:type="gramStart"/>
      <w:r>
        <w:t>in spite of</w:t>
      </w:r>
      <w:proofErr w:type="gramEnd"/>
      <w:r>
        <w:t xml:space="preserve"> the quality of the content the structure of the website has a significant weakness. The information is spread over various subpages and the important links like the forms of referral, guidance and details of contact are not easily accessible from the main Early Helps landing areas. This can make steering the system less intuitive for the families looking for instant help. </w:t>
      </w:r>
    </w:p>
    <w:p w14:paraId="00000019" w14:textId="77777777" w:rsidR="00DC4519" w:rsidRDefault="00000000">
      <w:r>
        <w:t xml:space="preserve">Staffordshire County Council offers its information of Early Help in the information in its program of Families First and its website is structured </w:t>
      </w:r>
      <w:proofErr w:type="gramStart"/>
      <w:r>
        <w:t>in a way that is clear</w:t>
      </w:r>
      <w:proofErr w:type="gramEnd"/>
      <w:r>
        <w:t xml:space="preserve"> and straightforward (Staffordshire.gov.uk, 2025). The page of Early help showcases the referral number of telephone and interest the way Early Help Team advocates the families via the individual casework, consultation, advocacy based on school and intervention of family groups. Their sector of “Getting Access to Support” provides the cellar explanation of the continuum of needs and involves the information for when to contact the First Response team and the Multi Agency Safeguarding Hub. Staffordshire also supplies the detailed guidance for the practitioners that involves the reference to the evaluation of “Family Star Plus” tools and the expected timelines for the evaluation and the review. This level of the details is valuable; it is frequently written from the professional in place of the practices that are family friendly that makes it less accessible for the parent and carer not familiar with practicing the terminology. Leeds City Council by contract provides the coherent and accessible narrative of Early Help (Leeds.gov.uk, 2025). Their “One Minute Guide” over the concise explanation of the Early help and their Local Offer focus on the main aspects of the Leeds approach like the 3As model and shared responsibility framework. The website also offers the </w:t>
      </w:r>
      <w:r>
        <w:lastRenderedPageBreak/>
        <w:t>cellar descriptions of the seven Family Hubs of the city, that involves the constant and the service details with the tolls of practitioners and the information about the Early Help Front Door.</w:t>
      </w:r>
    </w:p>
    <w:p w14:paraId="0000001A" w14:textId="77777777" w:rsidR="00DC4519" w:rsidRDefault="00000000">
      <w:pPr>
        <w:pStyle w:val="Heading1"/>
      </w:pPr>
      <w:bookmarkStart w:id="8" w:name="_heading=h.bp1urugqpua9" w:colFirst="0" w:colLast="0"/>
      <w:bookmarkEnd w:id="8"/>
      <w:r>
        <w:t>A comparative analysis</w:t>
      </w:r>
    </w:p>
    <w:p w14:paraId="0000001B" w14:textId="77777777" w:rsidR="00DC4519" w:rsidRDefault="00000000">
      <w:r>
        <w:t xml:space="preserve">The comparison of three local authorities' websites discloses a significant reinforcement in how all this communicates Early Help and vast family’s advocacy. Leeds City Council offers a most accessible and family friendly explanation many because of its concise “One Minute Guide” and the clarity of its information of Family Hub. All these resources break down Early help into a simple relatable language to complete the purpose of that work yet also how to access it (Jones, 2024).  Leeds also excels in focusing on partnership of multi-agency, illustrating the way health staff commerce community partners and social workers work together to advocate for families. The reinforcement of Staffordshire County Council depends on structured format and detailed procedural explanation. The pathway of referral contact points and thresholds are presented very clearly that is beneficial for the practice nurse and family that prefers assistance step by step. This site also provides a robust interpretation of the way Multi Agency Safeguarding Hub operates that aids the user comprehend if the sides need escalation. The website of Leicestershire County Council is extensive in discovering the various tiers of Early Help, focusing on the rims, increases and youth justice advocacy (‌Case </w:t>
      </w:r>
      <w:r>
        <w:rPr>
          <w:i/>
          <w:iCs/>
        </w:rPr>
        <w:t>et al.,</w:t>
      </w:r>
      <w:r>
        <w:t xml:space="preserve"> 2022). Its strategy of Early Helps strengthens a well-defined dedication to the working of multi-agency and prevention making sure the families comprehend the assisting principles behind the services provided. </w:t>
      </w:r>
    </w:p>
    <w:p w14:paraId="0000001C" w14:textId="77777777" w:rsidR="00DC4519" w:rsidRDefault="00000000">
      <w:proofErr w:type="gramStart"/>
      <w:r>
        <w:t>In spite of</w:t>
      </w:r>
      <w:proofErr w:type="gramEnd"/>
      <w:r>
        <w:t xml:space="preserve"> these strengths, all three websites display the areas for the environment that impact the accessibility of the family and navigation. The contents of Leicestershire </w:t>
      </w:r>
      <w:proofErr w:type="gramStart"/>
      <w:r>
        <w:t>is</w:t>
      </w:r>
      <w:proofErr w:type="gramEnd"/>
      <w:r>
        <w:t xml:space="preserve"> informative, is dispersed over the various ranges, needing the family to click via numerous layers prior locating the crucial information like the forms of referral and the assistance of threshold (Leicestershire.gov.uk, 2025). This fragmentation can hamper the families that are in instant needs of advocacy and the one with the restricted digital literacy. The interpretation of Staffordshire of the Early Help is well arranged yet much of its language properties tagged at professionals that makes it less approached for the parents and carer unfamiliar with the terminology of protection. Families can find the assistance that is practitioners heavy, that can discourage the early engagement. Leeds is robust in the clarity, encountering the obstruction of having its information spread over the various subdomains that involves the leeds.gov.uk, the Local Offer and the Leeds Safeguarding Children Partnership website. This separation can confuse the families that can </w:t>
      </w:r>
      <w:r>
        <w:lastRenderedPageBreak/>
        <w:t xml:space="preserve">expect all the details of Early Help to be housed in the central locations. Leeds offers the clearest and the family focused content via its structure can be more united. </w:t>
      </w:r>
    </w:p>
    <w:p w14:paraId="0000001D" w14:textId="77777777" w:rsidR="00DC4519" w:rsidRDefault="00000000">
      <w:pPr>
        <w:rPr>
          <w:b/>
          <w:bCs/>
        </w:rPr>
      </w:pPr>
      <w:bookmarkStart w:id="9" w:name="_heading=h.8g0lf4w50xx" w:colFirst="0" w:colLast="0"/>
      <w:bookmarkEnd w:id="9"/>
      <w:r>
        <w:br w:type="page"/>
      </w:r>
    </w:p>
    <w:p w14:paraId="0000001E" w14:textId="77777777" w:rsidR="00DC4519" w:rsidRDefault="00000000">
      <w:pPr>
        <w:pStyle w:val="Heading1"/>
      </w:pPr>
      <w:r>
        <w:lastRenderedPageBreak/>
        <w:t>Conclusion</w:t>
      </w:r>
    </w:p>
    <w:p w14:paraId="0000001F" w14:textId="77777777" w:rsidR="00DC4519" w:rsidRDefault="00000000">
      <w:r>
        <w:t xml:space="preserve">These three authorities in the locality illustrate a robust dedication to the Early Help by presenting it as the preventative, multi-agency approach designed to advocate the familiars prior the concern increases. The Leeds City Council offers the accessible and the family focused information, providing the clear explanation and practical guidance via its Family Hubs and the resources that are user friendly. The Staffordshire County Council outlines the referral pathways and the process of </w:t>
      </w:r>
      <w:proofErr w:type="gramStart"/>
      <w:r>
        <w:t>evaluation</w:t>
      </w:r>
      <w:proofErr w:type="gramEnd"/>
      <w:r>
        <w:t xml:space="preserve"> and the Leicestershire County Council provides the extensive descriptions of the advocacy tier and the planned interaction. </w:t>
      </w:r>
      <w:proofErr w:type="gramStart"/>
      <w:r>
        <w:t>In spite of</w:t>
      </w:r>
      <w:proofErr w:type="gramEnd"/>
      <w:r>
        <w:t xml:space="preserve"> these strengths, issues of the accessibility, navigation and the consistency over the web page impacts the way families can locate and comprehend the services of Early Help. </w:t>
      </w:r>
    </w:p>
    <w:p w14:paraId="00000020" w14:textId="77777777" w:rsidR="00DC4519" w:rsidRDefault="00000000">
      <w:proofErr w:type="gramStart"/>
      <w:r>
        <w:t>In order to</w:t>
      </w:r>
      <w:proofErr w:type="gramEnd"/>
      <w:r>
        <w:t xml:space="preserve"> increase communication and accessibility, the authority can take the steps to improve their website. Leicestershire can benefit from manipulating the formation of Early Help into the centralised and single landing page with the links to the referral, main contact and thresholds. Staffordshire should consider simplifying the language, mitigating the terminology of professional and amalgamating the explanation that is family friendly and visual assist. Leeds a robust clarity can give the user navigation by amalgamating its Early Help resources over the fewer subdomains.</w:t>
      </w:r>
    </w:p>
    <w:p w14:paraId="00000021" w14:textId="77777777" w:rsidR="00DC4519" w:rsidRDefault="00000000">
      <w:pPr>
        <w:pStyle w:val="Heading1"/>
      </w:pPr>
      <w:bookmarkStart w:id="10" w:name="_heading=h.lujhheeemj9" w:colFirst="0" w:colLast="0"/>
      <w:bookmarkEnd w:id="10"/>
      <w:r>
        <w:br w:type="page"/>
      </w:r>
    </w:p>
    <w:p w14:paraId="00000022" w14:textId="77777777" w:rsidR="00DC4519" w:rsidRDefault="00000000">
      <w:pPr>
        <w:pStyle w:val="Heading1"/>
      </w:pPr>
      <w:bookmarkStart w:id="11" w:name="_heading=h.6rhtdjbjc79a" w:colFirst="0" w:colLast="0"/>
      <w:bookmarkEnd w:id="11"/>
      <w:r>
        <w:lastRenderedPageBreak/>
        <w:t>References</w:t>
      </w:r>
    </w:p>
    <w:p w14:paraId="00000023" w14:textId="77777777" w:rsidR="00DC4519" w:rsidRDefault="00000000">
      <w:r>
        <w:t xml:space="preserve">Ash, D.P., Malloch, M. and </w:t>
      </w:r>
      <w:proofErr w:type="spellStart"/>
      <w:r>
        <w:t>Bellussi</w:t>
      </w:r>
      <w:proofErr w:type="spellEnd"/>
      <w:r>
        <w:t>, L., (2025). Exploring Innovation in multi-agency settings for supporting children and families affected by domestic abuse: police notification schemes.</w:t>
      </w:r>
    </w:p>
    <w:p w14:paraId="00000024" w14:textId="77777777" w:rsidR="00DC4519" w:rsidRDefault="00000000">
      <w:r>
        <w:t xml:space="preserve">Bachmann, C.J., Beecham, J., O’Connor, T.G., Briskman, J. and Scott, S., (2022). A good investment: Longer‐term cost savings of sensitive parenting in childhood. </w:t>
      </w:r>
      <w:r>
        <w:rPr>
          <w:i/>
          <w:iCs/>
        </w:rPr>
        <w:t>Journal of child psychology and psychiatry</w:t>
      </w:r>
      <w:r>
        <w:t xml:space="preserve">, </w:t>
      </w:r>
      <w:r>
        <w:rPr>
          <w:i/>
          <w:iCs/>
        </w:rPr>
        <w:t>63</w:t>
      </w:r>
      <w:r>
        <w:t>(1), pp.78-87.</w:t>
      </w:r>
    </w:p>
    <w:p w14:paraId="00000025" w14:textId="77777777" w:rsidR="00DC4519" w:rsidRDefault="00000000">
      <w:r>
        <w:t>‌Case, S., Sutton, C., Monaghan, M., Greenhalgh, J. and Wright, J., (2022). Understanding preventative intervention in youth justice: Identifying and analysing programme theories.</w:t>
      </w:r>
    </w:p>
    <w:p w14:paraId="00000026" w14:textId="77777777" w:rsidR="00DC4519" w:rsidRDefault="00000000">
      <w:r>
        <w:t xml:space="preserve">‌Firmin, C., Lefevre, M., Huegler, N. and Peace, D., (2022). </w:t>
      </w:r>
      <w:r>
        <w:rPr>
          <w:i/>
          <w:iCs/>
        </w:rPr>
        <w:t>Safeguarding Young People Beyond the Family Home: Responding to extra-familial risks and harms</w:t>
      </w:r>
      <w:r>
        <w:t xml:space="preserve"> (p. 146). Bristol University Press.</w:t>
      </w:r>
    </w:p>
    <w:p w14:paraId="00000027" w14:textId="77777777" w:rsidR="00DC4519" w:rsidRDefault="00000000">
      <w:r>
        <w:t xml:space="preserve">Hale, H., Bracewell, K., </w:t>
      </w:r>
      <w:proofErr w:type="spellStart"/>
      <w:r>
        <w:t>Bellussi</w:t>
      </w:r>
      <w:proofErr w:type="spellEnd"/>
      <w:r>
        <w:t xml:space="preserve">, L., Jenkins, R., Alexander, J., Devaney, J. and Callaghan, J.E., (2024). The child protection response to domestic violence and abuse: a scoping review of interagency interventions, models and collaboration. </w:t>
      </w:r>
      <w:r>
        <w:rPr>
          <w:i/>
          <w:iCs/>
        </w:rPr>
        <w:t>Journal of Family Violence</w:t>
      </w:r>
      <w:r>
        <w:t>, pp.1-21.</w:t>
      </w:r>
    </w:p>
    <w:p w14:paraId="00000028" w14:textId="77777777" w:rsidR="00DC4519" w:rsidRDefault="00000000">
      <w:r>
        <w:t xml:space="preserve">Jones, R.H., (2024). </w:t>
      </w:r>
      <w:r>
        <w:rPr>
          <w:i/>
          <w:iCs/>
        </w:rPr>
        <w:t>Discourse analysis: A resource book for students</w:t>
      </w:r>
      <w:r>
        <w:t>. Routledge.‌</w:t>
      </w:r>
    </w:p>
    <w:p w14:paraId="00000029" w14:textId="77777777" w:rsidR="00DC4519" w:rsidRDefault="00000000">
      <w:r>
        <w:t xml:space="preserve">Leeds.gov.uk. (2025). </w:t>
      </w:r>
      <w:r>
        <w:rPr>
          <w:i/>
          <w:iCs/>
        </w:rPr>
        <w:t>Welcome to Leeds | Leeds.gov.uk</w:t>
      </w:r>
      <w:r>
        <w:t>. [online] Available at: https://www.leeds.gov.uk/ [Accessed 25 Nov. 2025].</w:t>
      </w:r>
    </w:p>
    <w:p w14:paraId="0000002A" w14:textId="77777777" w:rsidR="00DC4519" w:rsidRDefault="00000000">
      <w:r>
        <w:t xml:space="preserve">Legislation.gov.uk. (2020). </w:t>
      </w:r>
      <w:r>
        <w:rPr>
          <w:i/>
          <w:iCs/>
        </w:rPr>
        <w:t>Children Act 2004</w:t>
      </w:r>
      <w:r>
        <w:t>. [online] Available at: https://www.legislation.gov.uk/ukpga/2004/31/section/10 [Accessed 25 Nov. 2025].</w:t>
      </w:r>
    </w:p>
    <w:p w14:paraId="0000002B" w14:textId="77777777" w:rsidR="00DC4519" w:rsidRDefault="00000000">
      <w:r>
        <w:t xml:space="preserve">Leicestershire.gov.uk. (2025). </w:t>
      </w:r>
      <w:r>
        <w:rPr>
          <w:i/>
          <w:iCs/>
        </w:rPr>
        <w:t>Welcome | Leicestershire County Council</w:t>
      </w:r>
      <w:r>
        <w:t>. [online] Available at: https://www.leicestershire.gov.uk/ [Accessed 25 Nov. 2025].</w:t>
      </w:r>
    </w:p>
    <w:p w14:paraId="0000002C" w14:textId="77777777" w:rsidR="00DC4519" w:rsidRDefault="00000000">
      <w:r>
        <w:t xml:space="preserve">Lucas, S. and John Archard, P., (2021). Early help and children’s services: exploring provision and practice across English local </w:t>
      </w:r>
      <w:proofErr w:type="spellStart"/>
      <w:r>
        <w:t>authoritiesIntroduction</w:t>
      </w:r>
      <w:proofErr w:type="spellEnd"/>
      <w:r>
        <w:t xml:space="preserve">. </w:t>
      </w:r>
      <w:r>
        <w:rPr>
          <w:i/>
          <w:iCs/>
        </w:rPr>
        <w:t>Journal of Children's Services</w:t>
      </w:r>
      <w:r>
        <w:t xml:space="preserve">, </w:t>
      </w:r>
      <w:r>
        <w:rPr>
          <w:i/>
          <w:iCs/>
        </w:rPr>
        <w:t>16</w:t>
      </w:r>
      <w:r>
        <w:t>(1), pp.74-86.</w:t>
      </w:r>
    </w:p>
    <w:p w14:paraId="0000002D" w14:textId="77777777" w:rsidR="00DC4519" w:rsidRDefault="00000000">
      <w:r>
        <w:t>Moran, L., (2022). The utility of the continuum of support framework in supporting class teachers and special education teachers in the identification and monitoring of pupil.</w:t>
      </w:r>
    </w:p>
    <w:p w14:paraId="0000002E" w14:textId="77777777" w:rsidR="00DC4519" w:rsidRDefault="00000000">
      <w:r>
        <w:t xml:space="preserve">Staffordshire.gov.uk. (2023). </w:t>
      </w:r>
      <w:r>
        <w:rPr>
          <w:i/>
          <w:iCs/>
        </w:rPr>
        <w:t>Home - Staffordshire County Council</w:t>
      </w:r>
      <w:r>
        <w:t>. [online] Available at: https://www.staffordshire.gov.uk/Homepage.aspx [Accessed 25 Nov. 2025].</w:t>
      </w:r>
    </w:p>
    <w:p w14:paraId="0000002F" w14:textId="77777777" w:rsidR="00DC4519" w:rsidRDefault="00000000">
      <w:pPr>
        <w:spacing w:before="240" w:after="240"/>
      </w:pPr>
      <w:r>
        <w:t>‌</w:t>
      </w:r>
    </w:p>
    <w:p w14:paraId="00000030" w14:textId="77777777" w:rsidR="00DC4519" w:rsidRDefault="00DC4519"/>
    <w:sectPr w:rsidR="00DC451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5E3C9" w14:textId="77777777" w:rsidR="0081783F" w:rsidRDefault="0081783F">
      <w:pPr>
        <w:spacing w:line="240" w:lineRule="auto"/>
      </w:pPr>
      <w:r>
        <w:separator/>
      </w:r>
    </w:p>
  </w:endnote>
  <w:endnote w:type="continuationSeparator" w:id="0">
    <w:p w14:paraId="3AA1E480" w14:textId="77777777" w:rsidR="0081783F" w:rsidRDefault="008178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8329D07-8A49-4479-8D7B-AEBB998995B2}"/>
  </w:font>
  <w:font w:name="Cambria">
    <w:panose1 w:val="02040503050406030204"/>
    <w:charset w:val="00"/>
    <w:family w:val="roman"/>
    <w:pitch w:val="variable"/>
    <w:sig w:usb0="E00006FF" w:usb1="420024FF" w:usb2="02000000" w:usb3="00000000" w:csb0="0000019F" w:csb1="00000000"/>
    <w:embedRegular r:id="rId2" w:fontKey="{CC7BDB66-71D0-4190-95FD-B0FE945CD1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12617C2A" w:rsidR="00DC4519" w:rsidRDefault="00000000">
    <w:pPr>
      <w:jc w:val="right"/>
    </w:pPr>
    <w:r>
      <w:fldChar w:fldCharType="begin"/>
    </w:r>
    <w:r>
      <w:instrText>PAGE</w:instrText>
    </w:r>
    <w:r>
      <w:fldChar w:fldCharType="separate"/>
    </w:r>
    <w:r w:rsidR="002B47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F97E0" w14:textId="77777777" w:rsidR="0081783F" w:rsidRDefault="0081783F">
      <w:pPr>
        <w:spacing w:line="240" w:lineRule="auto"/>
      </w:pPr>
      <w:r>
        <w:separator/>
      </w:r>
    </w:p>
  </w:footnote>
  <w:footnote w:type="continuationSeparator" w:id="0">
    <w:p w14:paraId="2B3A49EC" w14:textId="77777777" w:rsidR="0081783F" w:rsidRDefault="008178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19"/>
    <w:rsid w:val="002B4772"/>
    <w:rsid w:val="00425533"/>
    <w:rsid w:val="007937A2"/>
    <w:rsid w:val="0081783F"/>
    <w:rsid w:val="00AE348D"/>
    <w:rsid w:val="00DC4519"/>
    <w:rsid w:val="00FC0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12AD"/>
  <w15:docId w15:val="{CC53650C-D52B-473A-BCBF-C9AE3CEB2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i4LkSxlyr4kX5vlQRTWFhvf0yw==">CgMxLjAyDmgubHMzNmd3YjJ4Mzk3Mg5oLjM5bHZtOTZpZTN6ZDIOaC5lcjNhNjBqZmN1ajkyDWguZjgycnRnemE4cjIyDmgucTNkOHRpdDBpeDNnMg5oLnFoNDBscDM2Ynp0eDIOaC5oNTcxd3hodmZheTMyDmguYXA4enpmemJ4ZTViMg5oLmJwMXVydWdxcHVhOTINaC44ZzBsZjR3NTB4eDINaC5sdWpoaGVlZW1qOTIOaC42cmh0ZGpiamM3OWE4AHIhMXRtYnBSeVB5LWpCbUtjN0dZVjFUbVZEMmhBWlJ2ZzJ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2464</Words>
  <Characters>14051</Characters>
  <Application>Microsoft Office Word</Application>
  <DocSecurity>0</DocSecurity>
  <Lines>117</Lines>
  <Paragraphs>32</Paragraphs>
  <ScaleCrop>false</ScaleCrop>
  <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Anca</dc:creator>
  <cp:lastModifiedBy>Andreea Anca</cp:lastModifiedBy>
  <cp:revision>2</cp:revision>
  <dcterms:created xsi:type="dcterms:W3CDTF">2025-12-11T06:41:00Z</dcterms:created>
  <dcterms:modified xsi:type="dcterms:W3CDTF">2025-12-11T06:41:00Z</dcterms:modified>
</cp:coreProperties>
</file>