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F1B049B">
        <w:tc>
          <w:tcPr>
            <w:tcW w:w="10368" w:type="dxa"/>
          </w:tcPr>
          <w:p w14:paraId="02F8EE88" w14:textId="38BB806E" w:rsidR="00986B43" w:rsidRPr="006C694C" w:rsidRDefault="00986B43" w:rsidP="0F1B049B">
            <w:pPr>
              <w:overflowPunct/>
              <w:autoSpaceDE/>
              <w:autoSpaceDN/>
              <w:adjustRightInd/>
              <w:ind w:right="-957"/>
              <w:textAlignment w:val="auto"/>
              <w:rPr>
                <w:rFonts w:ascii="Times New Roman" w:hAnsi="Times New Roman" w:cs="Times New Roman"/>
                <w:b/>
                <w:bCs/>
                <w:color w:val="auto"/>
                <w:sz w:val="44"/>
                <w:szCs w:val="44"/>
              </w:rPr>
            </w:pPr>
            <w:r w:rsidRPr="0F1B049B">
              <w:rPr>
                <w:rFonts w:ascii="Times New Roman" w:hAnsi="Times New Roman" w:cs="Times New Roman"/>
                <w:b/>
                <w:bCs/>
                <w:color w:val="auto"/>
                <w:sz w:val="44"/>
                <w:szCs w:val="44"/>
              </w:rPr>
              <w:t>Learner’s name:</w:t>
            </w:r>
            <w:r w:rsidR="00247265" w:rsidRPr="0F1B049B">
              <w:rPr>
                <w:rFonts w:ascii="Times New Roman" w:hAnsi="Times New Roman" w:cs="Times New Roman"/>
                <w:b/>
                <w:bCs/>
                <w:color w:val="auto"/>
                <w:sz w:val="44"/>
                <w:szCs w:val="44"/>
              </w:rPr>
              <w:t xml:space="preserve"> </w:t>
            </w:r>
            <w:r w:rsidR="00A63C2F">
              <w:rPr>
                <w:rFonts w:ascii="Times New Roman" w:hAnsi="Times New Roman" w:cs="Times New Roman"/>
                <w:b/>
                <w:bCs/>
                <w:color w:val="auto"/>
                <w:sz w:val="44"/>
                <w:szCs w:val="44"/>
              </w:rPr>
              <w:t>Esther Chapman</w:t>
            </w:r>
          </w:p>
          <w:p w14:paraId="0B6CD0DB" w14:textId="689515B5" w:rsidR="009C337F" w:rsidRPr="006C694C"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4B3765AA" w:rsidR="009C337F" w:rsidRPr="006C694C" w:rsidRDefault="009C337F" w:rsidP="0F1B049B">
            <w:pPr>
              <w:overflowPunct/>
              <w:autoSpaceDE/>
              <w:autoSpaceDN/>
              <w:adjustRightInd/>
              <w:ind w:right="-957"/>
              <w:textAlignment w:val="auto"/>
              <w:rPr>
                <w:rFonts w:ascii="Times New Roman" w:hAnsi="Times New Roman" w:cs="Times New Roman"/>
                <w:b/>
                <w:bCs/>
                <w:color w:val="auto"/>
                <w:sz w:val="44"/>
                <w:szCs w:val="44"/>
              </w:rPr>
            </w:pPr>
            <w:r w:rsidRPr="0F1B049B">
              <w:rPr>
                <w:rFonts w:ascii="Times New Roman" w:hAnsi="Times New Roman" w:cs="Times New Roman"/>
                <w:b/>
                <w:bCs/>
                <w:color w:val="auto"/>
                <w:sz w:val="44"/>
                <w:szCs w:val="44"/>
              </w:rPr>
              <w:t>Email address:</w:t>
            </w:r>
            <w:r w:rsidR="006C694C" w:rsidRPr="0F1B049B">
              <w:rPr>
                <w:rFonts w:ascii="Times New Roman" w:hAnsi="Times New Roman" w:cs="Times New Roman"/>
                <w:b/>
                <w:bCs/>
                <w:color w:val="auto"/>
                <w:sz w:val="44"/>
                <w:szCs w:val="44"/>
              </w:rPr>
              <w:t xml:space="preserve"> </w:t>
            </w:r>
            <w:r w:rsidR="0097468C" w:rsidRPr="0097468C">
              <w:rPr>
                <w:rFonts w:ascii="Times New Roman" w:hAnsi="Times New Roman" w:cs="Times New Roman"/>
                <w:b/>
                <w:bCs/>
                <w:color w:val="auto"/>
                <w:sz w:val="44"/>
                <w:szCs w:val="44"/>
              </w:rPr>
              <w:t>eschapman@carmarthenshire.gov.uk</w:t>
            </w:r>
          </w:p>
          <w:p w14:paraId="22E38809" w14:textId="77777777" w:rsidR="00986B43" w:rsidRPr="006C694C"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4A0A0313" w:rsidR="00F927A1" w:rsidRPr="006C694C" w:rsidRDefault="0085230E" w:rsidP="0F1B049B">
            <w:pPr>
              <w:overflowPunct/>
              <w:autoSpaceDE/>
              <w:autoSpaceDN/>
              <w:adjustRightInd/>
              <w:ind w:right="-957"/>
              <w:textAlignment w:val="auto"/>
              <w:rPr>
                <w:rFonts w:ascii="Times New Roman" w:hAnsi="Times New Roman" w:cs="Times New Roman"/>
                <w:b/>
                <w:bCs/>
                <w:color w:val="auto"/>
                <w:sz w:val="44"/>
                <w:szCs w:val="44"/>
              </w:rPr>
            </w:pPr>
            <w:r w:rsidRPr="0F1B049B">
              <w:rPr>
                <w:rFonts w:ascii="Times New Roman" w:hAnsi="Times New Roman" w:cs="Times New Roman"/>
                <w:b/>
                <w:bCs/>
                <w:color w:val="auto"/>
                <w:sz w:val="44"/>
                <w:szCs w:val="44"/>
              </w:rPr>
              <w:t>Learner’s University Registration</w:t>
            </w:r>
            <w:r w:rsidR="00F927A1" w:rsidRPr="0F1B049B">
              <w:rPr>
                <w:rFonts w:ascii="Times New Roman" w:hAnsi="Times New Roman" w:cs="Times New Roman"/>
                <w:b/>
                <w:bCs/>
                <w:color w:val="auto"/>
                <w:sz w:val="44"/>
                <w:szCs w:val="44"/>
              </w:rPr>
              <w:t xml:space="preserve"> Number:</w:t>
            </w:r>
            <w:r w:rsidR="00A63C2F">
              <w:rPr>
                <w:rFonts w:ascii="Times New Roman" w:hAnsi="Times New Roman" w:cs="Times New Roman"/>
                <w:b/>
                <w:bCs/>
                <w:color w:val="auto"/>
                <w:sz w:val="44"/>
                <w:szCs w:val="44"/>
              </w:rPr>
              <w:t xml:space="preserve"> 2431833</w:t>
            </w:r>
          </w:p>
          <w:p w14:paraId="622FD17A" w14:textId="77777777" w:rsidR="0085230E" w:rsidRPr="006C694C"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6C694C">
              <w:rPr>
                <w:rFonts w:ascii="Times New Roman" w:hAnsi="Times New Roman" w:cs="Times New Roman"/>
                <w:b/>
                <w:color w:val="auto"/>
                <w:sz w:val="44"/>
                <w:szCs w:val="18"/>
              </w:rPr>
              <w:t xml:space="preserve">Cohort: </w:t>
            </w:r>
            <w:r w:rsidR="00B037B0" w:rsidRPr="006C694C">
              <w:rPr>
                <w:rFonts w:ascii="Times New Roman" w:hAnsi="Times New Roman" w:cs="Times New Roman"/>
                <w:b/>
                <w:color w:val="auto"/>
                <w:sz w:val="44"/>
                <w:szCs w:val="18"/>
              </w:rPr>
              <w:t>21</w:t>
            </w:r>
            <w:r w:rsidR="00AE6231" w:rsidRPr="006C694C">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21176D2E">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51AF4546" w14:textId="304916C4" w:rsidR="00D3203C" w:rsidRDefault="00045C40" w:rsidP="21176D2E">
            <w:pPr>
              <w:jc w:val="both"/>
              <w:rPr>
                <w:i/>
                <w:iCs/>
                <w:sz w:val="24"/>
                <w:szCs w:val="24"/>
              </w:rPr>
            </w:pPr>
            <w:r w:rsidRPr="21176D2E">
              <w:rPr>
                <w:i/>
                <w:iCs/>
                <w:sz w:val="24"/>
                <w:szCs w:val="24"/>
              </w:rPr>
              <w:t xml:space="preserve">4000 </w:t>
            </w:r>
            <w:r w:rsidR="008B28E7" w:rsidRPr="21176D2E">
              <w:rPr>
                <w:i/>
                <w:iCs/>
                <w:sz w:val="24"/>
                <w:szCs w:val="24"/>
              </w:rPr>
              <w:t>words</w:t>
            </w:r>
            <w:r w:rsidR="008B28E7" w:rsidRPr="21176D2E">
              <w:rPr>
                <w:sz w:val="24"/>
                <w:szCs w:val="24"/>
              </w:rPr>
              <w:t xml:space="preserve"> </w:t>
            </w:r>
            <w:r w:rsidR="008B28E7" w:rsidRPr="21176D2E">
              <w:rPr>
                <w:i/>
                <w:iCs/>
                <w:sz w:val="24"/>
                <w:szCs w:val="24"/>
              </w:rPr>
              <w:t>(+/- 10%: include your actual word count at the end of each section)</w:t>
            </w:r>
            <w:r w:rsidR="007A628F" w:rsidRPr="21176D2E">
              <w:rPr>
                <w:i/>
                <w:iCs/>
                <w:sz w:val="24"/>
                <w:szCs w:val="24"/>
              </w:rPr>
              <w:t>.</w:t>
            </w:r>
          </w:p>
          <w:p w14:paraId="71DDBA93" w14:textId="77777777" w:rsidR="00116888" w:rsidRDefault="00116888" w:rsidP="00FF7EBB">
            <w:pPr>
              <w:jc w:val="both"/>
              <w:rPr>
                <w:i/>
                <w:sz w:val="24"/>
                <w:szCs w:val="24"/>
              </w:rPr>
            </w:pPr>
          </w:p>
          <w:p w14:paraId="73242295" w14:textId="77777777" w:rsidR="00D631C7" w:rsidRPr="002F1CA4" w:rsidRDefault="00D631C7" w:rsidP="00116888">
            <w:pPr>
              <w:rPr>
                <w:sz w:val="24"/>
                <w:szCs w:val="24"/>
              </w:rPr>
            </w:pPr>
          </w:p>
          <w:p w14:paraId="780490B6" w14:textId="77777777" w:rsidR="002328E2" w:rsidRPr="002328E2" w:rsidRDefault="00116888" w:rsidP="002328E2">
            <w:pPr>
              <w:rPr>
                <w:rFonts w:eastAsia="Aptos"/>
                <w:kern w:val="2"/>
                <w:sz w:val="24"/>
                <w:szCs w:val="24"/>
                <w:lang w:eastAsia="en-US"/>
                <w14:ligatures w14:val="standardContextual"/>
              </w:rPr>
            </w:pPr>
            <w:r w:rsidRPr="0F1B049B">
              <w:rPr>
                <w:sz w:val="24"/>
                <w:szCs w:val="24"/>
              </w:rPr>
              <w:t xml:space="preserve"> </w:t>
            </w:r>
            <w:r w:rsidR="002328E2" w:rsidRPr="002328E2">
              <w:rPr>
                <w:rFonts w:eastAsia="Aptos"/>
                <w:kern w:val="2"/>
                <w:sz w:val="24"/>
                <w:szCs w:val="24"/>
                <w:lang w:eastAsia="en-US"/>
                <w14:ligatures w14:val="standardContextual"/>
              </w:rPr>
              <w:t xml:space="preserve">The case study I will draw upon for the purpose of critical reflection follows a disclosure of assault made by a young person, whom I will refer to as 1, by their mother 5, and the subsequent safeguarding actions that were taken. There are four children within the family;1, the eldest daughter at 16 years of age.1 has no diagnosis or disabilities but has had CAMH’s input previously. Her younger brother 2 has disabilities; their younger sister 3 has had CAMH’s involvement and has no diagnosis or disabilities and their youngest brother 4 has disabilities. Essentially only 2 would be open to the 0-25 disability team due to his disabilities and his care and support needs. As there had been previous safeguarding concerns, with all four children having come off the Child Protection register some months before, </w:t>
            </w:r>
            <w:proofErr w:type="gramStart"/>
            <w:r w:rsidR="002328E2" w:rsidRPr="002328E2">
              <w:rPr>
                <w:rFonts w:eastAsia="Aptos"/>
                <w:kern w:val="2"/>
                <w:sz w:val="24"/>
                <w:szCs w:val="24"/>
                <w:lang w:eastAsia="en-US"/>
                <w14:ligatures w14:val="standardContextual"/>
              </w:rPr>
              <w:t>all of</w:t>
            </w:r>
            <w:proofErr w:type="gramEnd"/>
            <w:r w:rsidR="002328E2" w:rsidRPr="002328E2">
              <w:rPr>
                <w:rFonts w:eastAsia="Aptos"/>
                <w:kern w:val="2"/>
                <w:sz w:val="24"/>
                <w:szCs w:val="24"/>
                <w:lang w:eastAsia="en-US"/>
                <w14:ligatures w14:val="standardContextual"/>
              </w:rPr>
              <w:t xml:space="preserve"> the children were open to our team.  5 has physical and mental health issues that impact on their daily life and their father 6 is the main carer for 5 and all the children. There is a maternal grandmother 7, and a maternal aunty 8 who are also part of this case study. When the initial report was received, I was not the children’s social worker, but I was due to take over from their previous social worker who had just finished working for the local authority, and as such I only knew basic information about the family’s circumstances.</w:t>
            </w:r>
          </w:p>
          <w:p w14:paraId="62309066"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7C2083AD"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As a social worker practicing in Wales my practice is set out in the </w:t>
            </w:r>
            <w:r w:rsidRPr="002328E2">
              <w:rPr>
                <w:rFonts w:eastAsia="Aptos"/>
                <w:i/>
                <w:iCs/>
                <w:kern w:val="2"/>
                <w:sz w:val="24"/>
                <w:szCs w:val="24"/>
                <w:lang w:eastAsia="en-US"/>
                <w14:ligatures w14:val="standardContextual"/>
              </w:rPr>
              <w:t xml:space="preserve">Social Services and Wellbeing (Wales) Act 2014 (SSWBA, 2014). </w:t>
            </w:r>
            <w:r w:rsidRPr="002328E2">
              <w:rPr>
                <w:rFonts w:eastAsia="Aptos"/>
                <w:kern w:val="2"/>
                <w:sz w:val="24"/>
                <w:szCs w:val="24"/>
                <w:lang w:eastAsia="en-US"/>
                <w14:ligatures w14:val="standardContextual"/>
              </w:rPr>
              <w:t xml:space="preserve">My work covers </w:t>
            </w:r>
            <w:proofErr w:type="gramStart"/>
            <w:r w:rsidRPr="002328E2">
              <w:rPr>
                <w:rFonts w:eastAsia="Aptos"/>
                <w:kern w:val="2"/>
                <w:sz w:val="24"/>
                <w:szCs w:val="24"/>
                <w:lang w:eastAsia="en-US"/>
                <w14:ligatures w14:val="standardContextual"/>
              </w:rPr>
              <w:t>0-25 year olds</w:t>
            </w:r>
            <w:proofErr w:type="gramEnd"/>
            <w:r w:rsidRPr="002328E2">
              <w:rPr>
                <w:rFonts w:eastAsia="Aptos"/>
                <w:kern w:val="2"/>
                <w:sz w:val="24"/>
                <w:szCs w:val="24"/>
                <w:lang w:eastAsia="en-US"/>
                <w14:ligatures w14:val="standardContextual"/>
              </w:rPr>
              <w:t xml:space="preserve"> with disabilities and Part 7 </w:t>
            </w:r>
            <w:r w:rsidRPr="002328E2">
              <w:rPr>
                <w:rFonts w:eastAsia="Aptos"/>
                <w:i/>
                <w:iCs/>
                <w:kern w:val="2"/>
                <w:sz w:val="24"/>
                <w:szCs w:val="24"/>
                <w:lang w:eastAsia="en-US"/>
                <w14:ligatures w14:val="standardContextual"/>
              </w:rPr>
              <w:t>SSWB(W)A 2014</w:t>
            </w:r>
            <w:r w:rsidRPr="002328E2">
              <w:rPr>
                <w:rFonts w:eastAsia="Aptos"/>
                <w:kern w:val="2"/>
                <w:sz w:val="24"/>
                <w:szCs w:val="24"/>
                <w:lang w:eastAsia="en-US"/>
                <w14:ligatures w14:val="standardContextual"/>
              </w:rPr>
              <w:t xml:space="preserve"> covers safeguarding of both children and adults. Whilst SSWB(W)A 2014 explicitly embeds the </w:t>
            </w:r>
            <w:r w:rsidRPr="002328E2">
              <w:rPr>
                <w:rFonts w:eastAsia="Aptos"/>
                <w:i/>
                <w:iCs/>
                <w:kern w:val="2"/>
                <w:sz w:val="24"/>
                <w:szCs w:val="24"/>
                <w:lang w:eastAsia="en-US"/>
                <w14:ligatures w14:val="standardContextual"/>
              </w:rPr>
              <w:t>European Convention on Human Rights (ECHR)</w:t>
            </w:r>
            <w:r w:rsidRPr="002328E2">
              <w:rPr>
                <w:rFonts w:eastAsia="Aptos"/>
                <w:kern w:val="2"/>
                <w:sz w:val="24"/>
                <w:szCs w:val="24"/>
                <w:lang w:eastAsia="en-US"/>
                <w14:ligatures w14:val="standardContextual"/>
              </w:rPr>
              <w:t xml:space="preserve">, </w:t>
            </w:r>
            <w:r w:rsidRPr="002328E2">
              <w:rPr>
                <w:rFonts w:eastAsia="Aptos"/>
                <w:kern w:val="2"/>
                <w:sz w:val="24"/>
                <w:szCs w:val="24"/>
                <w:lang w:eastAsia="en-US"/>
                <w14:ligatures w14:val="standardContextual"/>
              </w:rPr>
              <w:lastRenderedPageBreak/>
              <w:t>having regard to the ECHR directly and the</w:t>
            </w:r>
            <w:r w:rsidRPr="002328E2">
              <w:rPr>
                <w:rFonts w:eastAsia="Aptos"/>
                <w:i/>
                <w:iCs/>
                <w:kern w:val="2"/>
                <w:sz w:val="24"/>
                <w:szCs w:val="24"/>
                <w:lang w:eastAsia="en-US"/>
                <w14:ligatures w14:val="standardContextual"/>
              </w:rPr>
              <w:t xml:space="preserve"> United Nations Convention on the Rights of the Child (1989) (UNCRC)</w:t>
            </w:r>
            <w:r w:rsidRPr="002328E2">
              <w:rPr>
                <w:rFonts w:eastAsia="Aptos"/>
                <w:kern w:val="2"/>
                <w:sz w:val="24"/>
                <w:szCs w:val="24"/>
                <w:lang w:eastAsia="en-US"/>
                <w14:ligatures w14:val="standardContextual"/>
              </w:rPr>
              <w:t xml:space="preserve"> is essential to my practice when working with children and their families.  I also need to be aware of how my practice is also informed and governed by the </w:t>
            </w:r>
            <w:r w:rsidRPr="002328E2">
              <w:rPr>
                <w:rFonts w:eastAsia="Aptos"/>
                <w:i/>
                <w:iCs/>
                <w:kern w:val="2"/>
                <w:sz w:val="24"/>
                <w:szCs w:val="24"/>
                <w:lang w:eastAsia="en-US"/>
                <w14:ligatures w14:val="standardContextual"/>
              </w:rPr>
              <w:t>Children Act,1989</w:t>
            </w:r>
            <w:r w:rsidRPr="002328E2">
              <w:rPr>
                <w:rFonts w:eastAsia="Aptos"/>
                <w:kern w:val="2"/>
                <w:sz w:val="24"/>
                <w:szCs w:val="24"/>
                <w:lang w:eastAsia="en-US"/>
                <w14:ligatures w14:val="standardContextual"/>
              </w:rPr>
              <w:t xml:space="preserve"> and </w:t>
            </w:r>
            <w:r w:rsidRPr="002328E2">
              <w:rPr>
                <w:rFonts w:eastAsia="Aptos"/>
                <w:i/>
                <w:iCs/>
                <w:kern w:val="2"/>
                <w:sz w:val="24"/>
                <w:szCs w:val="24"/>
                <w:lang w:eastAsia="en-US"/>
                <w14:ligatures w14:val="standardContextual"/>
              </w:rPr>
              <w:t>2004 (CA 1989</w:t>
            </w:r>
            <w:r w:rsidRPr="002328E2">
              <w:rPr>
                <w:rFonts w:eastAsia="Aptos"/>
                <w:kern w:val="2"/>
                <w:sz w:val="24"/>
                <w:szCs w:val="24"/>
                <w:lang w:eastAsia="en-US"/>
                <w14:ligatures w14:val="standardContextual"/>
              </w:rPr>
              <w:t xml:space="preserve">) which covers both England and Wales and how it interlinks with </w:t>
            </w:r>
            <w:r w:rsidRPr="002328E2">
              <w:rPr>
                <w:rFonts w:eastAsia="Aptos"/>
                <w:i/>
                <w:iCs/>
                <w:kern w:val="2"/>
                <w:sz w:val="24"/>
                <w:szCs w:val="24"/>
                <w:lang w:eastAsia="en-US"/>
                <w14:ligatures w14:val="standardContextual"/>
              </w:rPr>
              <w:t>SSWB(W)A 2014.</w:t>
            </w:r>
            <w:r w:rsidRPr="002328E2">
              <w:rPr>
                <w:rFonts w:eastAsia="Aptos"/>
                <w:kern w:val="2"/>
                <w:sz w:val="24"/>
                <w:szCs w:val="24"/>
                <w:lang w:eastAsia="en-US"/>
                <w14:ligatures w14:val="standardContextual"/>
              </w:rPr>
              <w:t xml:space="preserve">  Specific Safeguarding statutory guidance that informed my practice in Wales was the Working Together to Safeguard People, 2021 (WTSP 2021) and Wales Safeguarding Procedures, 2019 (WSP, 2019) and </w:t>
            </w:r>
            <w:r w:rsidRPr="002328E2">
              <w:rPr>
                <w:rFonts w:eastAsia="Aptos"/>
                <w:color w:val="auto"/>
                <w:kern w:val="2"/>
                <w:sz w:val="24"/>
                <w:szCs w:val="24"/>
                <w:lang w:eastAsia="en-US"/>
                <w14:ligatures w14:val="standardContextual"/>
              </w:rPr>
              <w:t>Working Together to Safeguard People Volume 5 – Handling Individual Cases to Protect Children at Risk (WG)</w:t>
            </w:r>
            <w:r w:rsidRPr="002328E2">
              <w:rPr>
                <w:rFonts w:eastAsia="Aptos"/>
                <w:kern w:val="2"/>
                <w:sz w:val="24"/>
                <w:szCs w:val="24"/>
                <w:lang w:eastAsia="en-US"/>
                <w14:ligatures w14:val="standardContextual"/>
              </w:rPr>
              <w:t xml:space="preserve">. For this case study the </w:t>
            </w:r>
            <w:bookmarkStart w:id="0" w:name="_Hlk222222961"/>
            <w:r w:rsidRPr="002328E2">
              <w:rPr>
                <w:rFonts w:eastAsia="Aptos"/>
                <w:kern w:val="2"/>
                <w:sz w:val="24"/>
                <w:szCs w:val="24"/>
                <w:lang w:eastAsia="en-US"/>
                <w14:ligatures w14:val="standardContextual"/>
              </w:rPr>
              <w:t>Children (Abolition of Reasonable Punishment) (Wales) Act 2020 (CARP(W)A, 2020</w:t>
            </w:r>
            <w:r w:rsidRPr="002328E2">
              <w:rPr>
                <w:rFonts w:eastAsia="Aptos"/>
                <w:b/>
                <w:bCs/>
                <w:kern w:val="2"/>
                <w:sz w:val="24"/>
                <w:szCs w:val="24"/>
                <w:lang w:eastAsia="en-US"/>
                <w14:ligatures w14:val="standardContextual"/>
              </w:rPr>
              <w:t>)</w:t>
            </w:r>
            <w:r w:rsidRPr="002328E2">
              <w:rPr>
                <w:rFonts w:eastAsia="Aptos"/>
                <w:kern w:val="2"/>
                <w:sz w:val="24"/>
                <w:szCs w:val="24"/>
                <w:lang w:eastAsia="en-US"/>
                <w14:ligatures w14:val="standardContextual"/>
              </w:rPr>
              <w:t xml:space="preserve"> </w:t>
            </w:r>
            <w:bookmarkEnd w:id="0"/>
            <w:r w:rsidRPr="002328E2">
              <w:rPr>
                <w:rFonts w:eastAsia="Aptos"/>
                <w:kern w:val="2"/>
                <w:sz w:val="24"/>
                <w:szCs w:val="24"/>
                <w:lang w:eastAsia="en-US"/>
                <w14:ligatures w14:val="standardContextual"/>
              </w:rPr>
              <w:t xml:space="preserve">and associated Practice Guidance of the same name updated September 2025 (WG 2025).   </w:t>
            </w:r>
            <w:r w:rsidRPr="002328E2">
              <w:rPr>
                <w:rFonts w:eastAsia="Aptos"/>
                <w:i/>
                <w:iCs/>
                <w:kern w:val="2"/>
                <w:sz w:val="24"/>
                <w:szCs w:val="24"/>
                <w:lang w:eastAsia="en-US"/>
                <w14:ligatures w14:val="standardContextual"/>
              </w:rPr>
              <w:t>The Welsh Language (Wales) Measures 2011</w:t>
            </w:r>
            <w:r w:rsidRPr="002328E2">
              <w:rPr>
                <w:rFonts w:eastAsia="Aptos"/>
                <w:kern w:val="2"/>
                <w:sz w:val="24"/>
                <w:szCs w:val="24"/>
                <w:lang w:eastAsia="en-US"/>
                <w14:ligatures w14:val="standardContextual"/>
              </w:rPr>
              <w:t xml:space="preserve"> governs my work in Wales as does the “More than Just Words” framework, 2022. The “Active Offer” means that people should not have to ask for services to be delivered in Welsh we must be offering it.   Whilst 6’s first language is not English it is not Welsh either but making sure their language preference was recognised was crucial as being able to express complicated, private matters might be hard in a second language.  Having learnt Welsh over the years I have come to appreciate that there is not always a direct translation from Welsh to English and the nuances of certain words being used might be lost.  I established that 6’s English was excellent even as a second language and 6, declined the offer of interpreter whilst the police undertook their investigations.  I appreciate the importance in such serious and emotive situations that people need to have full understanding and ability to express themselves in their first language as per the Active Offer. Had 1’s first language not been English it would have been a legal requirement under the CA 1989 to use an interpreter.</w:t>
            </w:r>
          </w:p>
          <w:p w14:paraId="06686FE6"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6F997B55"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In Wales and in accordance with </w:t>
            </w:r>
            <w:r w:rsidRPr="002328E2">
              <w:rPr>
                <w:rFonts w:eastAsia="Aptos"/>
                <w:i/>
                <w:iCs/>
                <w:kern w:val="2"/>
                <w:sz w:val="24"/>
                <w:szCs w:val="24"/>
                <w:lang w:eastAsia="en-US"/>
                <w14:ligatures w14:val="standardContextual"/>
              </w:rPr>
              <w:t>SSWBA 2014</w:t>
            </w:r>
            <w:r w:rsidRPr="002328E2">
              <w:rPr>
                <w:rFonts w:eastAsia="Aptos"/>
                <w:kern w:val="2"/>
                <w:sz w:val="24"/>
                <w:szCs w:val="24"/>
                <w:lang w:eastAsia="en-US"/>
                <w14:ligatures w14:val="standardContextual"/>
              </w:rPr>
              <w:t xml:space="preserve"> 1 is a child as they are under 18 years of age.  Although it is worth noting that Article 1 UNCRC defines a child as being under 18 unless </w:t>
            </w:r>
            <w:r w:rsidRPr="002328E2">
              <w:rPr>
                <w:rFonts w:eastAsia="Aptos"/>
                <w:kern w:val="2"/>
                <w:sz w:val="24"/>
                <w:szCs w:val="24"/>
                <w:shd w:val="clear" w:color="auto" w:fill="FFFFFF"/>
                <w:lang w:eastAsia="en-US"/>
                <w14:ligatures w14:val="standardContextual"/>
              </w:rPr>
              <w:t>“under the law applicable to the child, majority is attained earlier” meaning for example under certain Scottish, English, Welsh and English law a child might be defined as under 16 years of age in certain situations</w:t>
            </w:r>
            <w:r w:rsidRPr="002328E2">
              <w:rPr>
                <w:rFonts w:eastAsia="Aptos"/>
                <w:kern w:val="2"/>
                <w:sz w:val="24"/>
                <w:szCs w:val="24"/>
                <w:lang w:eastAsia="en-US"/>
                <w14:ligatures w14:val="standardContextual"/>
              </w:rPr>
              <w:t xml:space="preserve"> </w:t>
            </w:r>
            <w:r w:rsidRPr="002328E2">
              <w:rPr>
                <w:rFonts w:eastAsia="Aptos"/>
                <w:b/>
                <w:bCs/>
                <w:kern w:val="2"/>
                <w:sz w:val="24"/>
                <w:szCs w:val="24"/>
                <w:lang w:eastAsia="en-US"/>
                <w14:ligatures w14:val="standardContextual"/>
              </w:rPr>
              <w:t xml:space="preserve">(Open Learn). </w:t>
            </w:r>
            <w:proofErr w:type="gramStart"/>
            <w:r w:rsidRPr="002328E2">
              <w:rPr>
                <w:rFonts w:eastAsia="Aptos"/>
                <w:kern w:val="2"/>
                <w:sz w:val="24"/>
                <w:szCs w:val="24"/>
                <w:lang w:eastAsia="en-US"/>
                <w14:ligatures w14:val="standardContextual"/>
              </w:rPr>
              <w:t>With regard to</w:t>
            </w:r>
            <w:proofErr w:type="gramEnd"/>
            <w:r w:rsidRPr="002328E2">
              <w:rPr>
                <w:rFonts w:eastAsia="Aptos"/>
                <w:kern w:val="2"/>
                <w:sz w:val="24"/>
                <w:szCs w:val="24"/>
                <w:lang w:eastAsia="en-US"/>
                <w14:ligatures w14:val="standardContextual"/>
              </w:rPr>
              <w:t xml:space="preserve"> </w:t>
            </w:r>
            <w:r w:rsidRPr="002328E2">
              <w:rPr>
                <w:rFonts w:eastAsia="Aptos"/>
                <w:i/>
                <w:iCs/>
                <w:kern w:val="2"/>
                <w:sz w:val="24"/>
                <w:szCs w:val="24"/>
                <w:lang w:eastAsia="en-US"/>
                <w14:ligatures w14:val="standardContextual"/>
              </w:rPr>
              <w:t>CARP(W)A 2020</w:t>
            </w:r>
            <w:r w:rsidRPr="002328E2">
              <w:rPr>
                <w:rFonts w:eastAsia="Aptos"/>
                <w:kern w:val="2"/>
                <w:sz w:val="24"/>
                <w:szCs w:val="24"/>
                <w:lang w:eastAsia="en-US"/>
                <w14:ligatures w14:val="standardContextual"/>
              </w:rPr>
              <w:t xml:space="preserve">, this provides 1, as a child, with the same legal rights and protection from assault as an adult.   Prior to the introduction of the abolition of reasonable punishment 5 might have been able to use the defence of the slap being a reasonable response to 1’s behaviour in her capacity as parent. Had the family been living in England for example where the </w:t>
            </w:r>
            <w:r w:rsidRPr="002328E2">
              <w:rPr>
                <w:rFonts w:eastAsia="Aptos"/>
                <w:i/>
                <w:iCs/>
                <w:kern w:val="2"/>
                <w:sz w:val="24"/>
                <w:szCs w:val="24"/>
                <w:lang w:eastAsia="en-US"/>
                <w14:ligatures w14:val="standardContextual"/>
              </w:rPr>
              <w:t>CARP(W)A 2020</w:t>
            </w:r>
            <w:r w:rsidRPr="002328E2">
              <w:rPr>
                <w:rFonts w:eastAsia="Aptos"/>
                <w:kern w:val="2"/>
                <w:sz w:val="24"/>
                <w:szCs w:val="24"/>
                <w:lang w:eastAsia="en-US"/>
                <w14:ligatures w14:val="standardContextual"/>
              </w:rPr>
              <w:t xml:space="preserve"> is not applicable, and the assault happened whilst on holiday in Wales, 5 would not have been able to use the defence of reasonable punishment as the law also applies to visitors to Wales.   </w:t>
            </w:r>
            <w:r w:rsidRPr="002328E2">
              <w:rPr>
                <w:rFonts w:eastAsia="Aptos"/>
                <w:i/>
                <w:iCs/>
                <w:kern w:val="2"/>
                <w:sz w:val="24"/>
                <w:szCs w:val="24"/>
                <w:lang w:eastAsia="en-US"/>
                <w14:ligatures w14:val="standardContextual"/>
              </w:rPr>
              <w:t>CARP(W)A 2020</w:t>
            </w:r>
            <w:r w:rsidRPr="002328E2">
              <w:rPr>
                <w:rFonts w:eastAsia="Aptos"/>
                <w:kern w:val="2"/>
                <w:sz w:val="24"/>
                <w:szCs w:val="24"/>
                <w:lang w:eastAsia="en-US"/>
                <w14:ligatures w14:val="standardContextual"/>
              </w:rPr>
              <w:t xml:space="preserve"> has removed the ambiguity around the term reasonable punishment and extended making physically punishment of a child illegal in Wales in domestic non - registered settings, such as 1’s home.  </w:t>
            </w:r>
            <w:r w:rsidRPr="002328E2">
              <w:rPr>
                <w:rFonts w:eastAsia="Aptos"/>
                <w:i/>
                <w:iCs/>
                <w:kern w:val="2"/>
                <w:sz w:val="24"/>
                <w:szCs w:val="24"/>
                <w:lang w:eastAsia="en-US"/>
                <w14:ligatures w14:val="standardContextual"/>
              </w:rPr>
              <w:t>CARP(W)A 2020</w:t>
            </w:r>
            <w:r w:rsidRPr="002328E2">
              <w:rPr>
                <w:rFonts w:eastAsia="Aptos"/>
                <w:kern w:val="2"/>
                <w:sz w:val="24"/>
                <w:szCs w:val="24"/>
                <w:lang w:eastAsia="en-US"/>
                <w14:ligatures w14:val="standardContextual"/>
              </w:rPr>
              <w:t xml:space="preserve"> has made no </w:t>
            </w:r>
            <w:r w:rsidRPr="002328E2">
              <w:rPr>
                <w:rFonts w:eastAsia="Aptos"/>
                <w:kern w:val="2"/>
                <w:sz w:val="24"/>
                <w:szCs w:val="24"/>
                <w:lang w:eastAsia="en-US"/>
                <w14:ligatures w14:val="standardContextual"/>
              </w:rPr>
              <w:lastRenderedPageBreak/>
              <w:t xml:space="preserve">changes to the definition ‘physical harm’ as defined in </w:t>
            </w:r>
            <w:r w:rsidRPr="002328E2">
              <w:rPr>
                <w:rFonts w:eastAsia="Aptos"/>
                <w:i/>
                <w:iCs/>
                <w:kern w:val="2"/>
                <w:sz w:val="24"/>
                <w:szCs w:val="24"/>
                <w:lang w:eastAsia="en-US"/>
                <w14:ligatures w14:val="standardContextual"/>
              </w:rPr>
              <w:t>SSWB(W)A</w:t>
            </w:r>
            <w:r w:rsidRPr="002328E2">
              <w:rPr>
                <w:rFonts w:eastAsia="Aptos"/>
                <w:kern w:val="2"/>
                <w:sz w:val="24"/>
                <w:szCs w:val="24"/>
                <w:lang w:eastAsia="en-US"/>
                <w14:ligatures w14:val="standardContextual"/>
              </w:rPr>
              <w:t xml:space="preserve"> </w:t>
            </w:r>
            <w:r w:rsidRPr="002328E2">
              <w:rPr>
                <w:rFonts w:eastAsia="Aptos"/>
                <w:i/>
                <w:iCs/>
                <w:kern w:val="2"/>
                <w:sz w:val="24"/>
                <w:szCs w:val="24"/>
                <w:lang w:eastAsia="en-US"/>
                <w14:ligatures w14:val="standardContextual"/>
              </w:rPr>
              <w:t>2014</w:t>
            </w:r>
            <w:r w:rsidRPr="002328E2">
              <w:rPr>
                <w:rFonts w:eastAsia="Aptos"/>
                <w:kern w:val="2"/>
                <w:sz w:val="24"/>
                <w:szCs w:val="24"/>
                <w:lang w:eastAsia="en-US"/>
                <w14:ligatures w14:val="standardContextual"/>
              </w:rPr>
              <w:t xml:space="preserve"> or ‘significant harm’ as defined in the Wales Safeguarding Procedures.</w:t>
            </w:r>
          </w:p>
          <w:p w14:paraId="6E1D4F3B"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 </w:t>
            </w:r>
          </w:p>
          <w:p w14:paraId="7575853D" w14:textId="5E73F66C"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I had not yet taken over as social worker or met the family when we were notified by 1s school that 5 had slapped the face of 1. The school had a ‘duty to report children at risk’ under </w:t>
            </w:r>
            <w:r w:rsidRPr="002328E2">
              <w:rPr>
                <w:rFonts w:eastAsia="Aptos"/>
                <w:i/>
                <w:iCs/>
                <w:kern w:val="2"/>
                <w:sz w:val="24"/>
                <w:szCs w:val="24"/>
                <w:lang w:eastAsia="en-US"/>
                <w14:ligatures w14:val="standardContextual"/>
              </w:rPr>
              <w:t>Part 7 S130 SSWB(W)A, 2014</w:t>
            </w:r>
            <w:r w:rsidRPr="002328E2">
              <w:rPr>
                <w:rFonts w:eastAsia="Aptos"/>
                <w:kern w:val="2"/>
                <w:sz w:val="24"/>
                <w:szCs w:val="24"/>
                <w:lang w:eastAsia="en-US"/>
                <w14:ligatures w14:val="standardContextual"/>
              </w:rPr>
              <w:t xml:space="preserve">.  6 had also called into the team to let the department know what had happened.  My professional curiosity prompted me to consider whether this was this an act of transparency and honesty by parents or did 5 pressurise 6 into making the call thinking it might exonerate her.    As I had not met or worked with the </w:t>
            </w:r>
            <w:r w:rsidR="00496434" w:rsidRPr="002328E2">
              <w:rPr>
                <w:rFonts w:eastAsia="Aptos"/>
                <w:kern w:val="2"/>
                <w:sz w:val="24"/>
                <w:szCs w:val="24"/>
                <w:lang w:eastAsia="en-US"/>
                <w14:ligatures w14:val="standardContextual"/>
              </w:rPr>
              <w:t>family,</w:t>
            </w:r>
            <w:r w:rsidRPr="002328E2">
              <w:rPr>
                <w:rFonts w:eastAsia="Aptos"/>
                <w:kern w:val="2"/>
                <w:sz w:val="24"/>
                <w:szCs w:val="24"/>
                <w:lang w:eastAsia="en-US"/>
                <w14:ligatures w14:val="standardContextual"/>
              </w:rPr>
              <w:t xml:space="preserve"> yet I had many hypotheses and needed to keep an open mind and check any assumptions I made.  Any assumptions I had already made were based on the impression I formed of the family through POD discussions from previous social worker and whilst I respected their professional judgment, I needed to formulate my own opinions.  I was aware that the family were not Welsh born and 5 is English and 6 Eastern European. I was conscious they may have experienced forms of racism in their time living in a small rural town. Even if they had not experienced overt racism they may still have felt the effects of negative stereotypical attitudes towards their family based on their ethnicities, disabilities and socio-economic status (Steele, 2010).</w:t>
            </w:r>
          </w:p>
          <w:p w14:paraId="38856A46"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714AD5AB"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 I would come back to think about this phone call at various points throughout the year of working with the family, to see if I my hypothesis had changed and why that might be.  Whilst completing a chronology sometime later I noted that school had also contacted the department on several occasions the week before the incident asking for a meeting to discuss ongoing concerns with 5’s communications with the school. I took this to be a missed opportunity on our part and on reflection a possible indicator that family life was particularly stressful at the time.  With the emphasis on prevention and early intervention in the law and guidance </w:t>
            </w:r>
            <w:r w:rsidRPr="002328E2">
              <w:rPr>
                <w:rFonts w:eastAsia="Aptos"/>
                <w:i/>
                <w:iCs/>
                <w:kern w:val="2"/>
                <w:sz w:val="24"/>
                <w:szCs w:val="24"/>
                <w:lang w:eastAsia="en-US"/>
                <w14:ligatures w14:val="standardContextual"/>
              </w:rPr>
              <w:t>SSWB(W)A 2014</w:t>
            </w:r>
            <w:r w:rsidRPr="002328E2">
              <w:rPr>
                <w:rFonts w:eastAsia="Aptos"/>
                <w:kern w:val="2"/>
                <w:sz w:val="24"/>
                <w:szCs w:val="24"/>
                <w:lang w:eastAsia="en-US"/>
                <w14:ligatures w14:val="standardContextual"/>
              </w:rPr>
              <w:t xml:space="preserve"> and </w:t>
            </w:r>
            <w:r w:rsidRPr="002328E2">
              <w:rPr>
                <w:rFonts w:eastAsia="Aptos"/>
                <w:i/>
                <w:iCs/>
                <w:kern w:val="2"/>
                <w:sz w:val="24"/>
                <w:szCs w:val="24"/>
                <w:lang w:eastAsia="en-US"/>
                <w14:ligatures w14:val="standardContextual"/>
              </w:rPr>
              <w:t>WTSP 2021</w:t>
            </w:r>
            <w:r w:rsidRPr="002328E2">
              <w:rPr>
                <w:rFonts w:eastAsia="Aptos"/>
                <w:kern w:val="2"/>
                <w:sz w:val="24"/>
                <w:szCs w:val="24"/>
                <w:lang w:eastAsia="en-US"/>
                <w14:ligatures w14:val="standardContextual"/>
              </w:rPr>
              <w:t xml:space="preserve"> I think we sometimes miss those opportunities to intervene earlier due to our workloads and change over in staff.  Having now worked with the family for almost a year, I recognise that 5’s frustrations with school is their first point of contact and this can often precede things becoming untenable at home.  Often a swift resolution or an acknowledgement of 5’s concerns is sufficient to keep things manageable at home and is something as an MDT we are working collaboratively towards maintaining.</w:t>
            </w:r>
          </w:p>
          <w:p w14:paraId="5EF403F2"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52483A72" w14:textId="2258C668" w:rsidR="002328E2" w:rsidRPr="002328E2" w:rsidRDefault="002328E2" w:rsidP="002328E2">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2328E2">
              <w:rPr>
                <w:rFonts w:eastAsia="Aptos"/>
                <w:kern w:val="2"/>
                <w:sz w:val="24"/>
                <w:szCs w:val="24"/>
                <w:lang w:eastAsia="en-US"/>
                <w14:ligatures w14:val="standardContextual"/>
              </w:rPr>
              <w:t xml:space="preserve">The day the report was received, as per my Local Authorities policy a Section 47 trained social worker started their enquiries and went to speak with 1, 5 and 6 and I attended as their newly allocated social worker.  The S47 social worker linked in with the police to share </w:t>
            </w:r>
            <w:r w:rsidRPr="002328E2">
              <w:rPr>
                <w:rFonts w:eastAsia="Aptos"/>
                <w:kern w:val="2"/>
                <w:sz w:val="24"/>
                <w:szCs w:val="24"/>
                <w:lang w:eastAsia="en-US"/>
                <w14:ligatures w14:val="standardContextual"/>
              </w:rPr>
              <w:lastRenderedPageBreak/>
              <w:t xml:space="preserve">the information of their visit.  S47 social worker also met with 3 and 8 as they were there at the time of the incident and all above mentioned individuals as well as 7 were interviewed by the police. An outcome of a S47 investigation/enquiry needs to be made within 7 days of the Safeguarding report being made. A strategy meeting was held between police, s47 social worker, </w:t>
            </w:r>
            <w:r w:rsidR="00496434" w:rsidRPr="002328E2">
              <w:rPr>
                <w:rFonts w:eastAsia="Aptos"/>
                <w:kern w:val="2"/>
                <w:sz w:val="24"/>
                <w:szCs w:val="24"/>
                <w:lang w:eastAsia="en-US"/>
                <w14:ligatures w14:val="standardContextual"/>
              </w:rPr>
              <w:t>me</w:t>
            </w:r>
            <w:r w:rsidRPr="002328E2">
              <w:rPr>
                <w:rFonts w:eastAsia="Aptos"/>
                <w:kern w:val="2"/>
                <w:sz w:val="24"/>
                <w:szCs w:val="24"/>
                <w:lang w:eastAsia="en-US"/>
                <w14:ligatures w14:val="standardContextual"/>
              </w:rPr>
              <w:t xml:space="preserve"> and school and the decision was made that the children were at risk of harm and as such an initial Child Protection (CP) Conference needed to be convened within the next 15 days.  The police arrested 5 for the assault on 1 but also felt they had grounds to arrest 5 on the possibility of 5 displaying coercive and controlling behaviour towards 6 and the children.  </w:t>
            </w:r>
          </w:p>
          <w:p w14:paraId="37F717F5"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1D5EE51A"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2 and 4 were not spoken to by the S47 social worker or myself in the first wave of interviews and enquiries, which on reflection I think was missed opportunity.  I hope it was not assumed that 2 and 4 could not convey their thoughts and wishes due to their disabilities as this was not the case, however I appreciate it could have caused them more upset and emotional distress having a stranger ask them questions.  This demonstrates a key learning opportunity for me as I believe every effort should be made to uphold the rights of children and adults with disabilities, regardless of what </w:t>
            </w:r>
            <w:proofErr w:type="gramStart"/>
            <w:r w:rsidRPr="002328E2">
              <w:rPr>
                <w:rFonts w:eastAsia="Aptos"/>
                <w:kern w:val="2"/>
                <w:sz w:val="24"/>
                <w:szCs w:val="24"/>
                <w:lang w:eastAsia="en-US"/>
                <w14:ligatures w14:val="standardContextual"/>
              </w:rPr>
              <w:t>others</w:t>
            </w:r>
            <w:proofErr w:type="gramEnd"/>
            <w:r w:rsidRPr="002328E2">
              <w:rPr>
                <w:rFonts w:eastAsia="Aptos"/>
                <w:kern w:val="2"/>
                <w:sz w:val="24"/>
                <w:szCs w:val="24"/>
                <w:lang w:eastAsia="en-US"/>
                <w14:ligatures w14:val="standardContextual"/>
              </w:rPr>
              <w:t xml:space="preserve"> opinions held about 2 and 4’s levels of comprehension and verbal communication. Statistically disabled children are more likely to be the victims of abuse (Wales Safeguarding Procedures) and not speaking with 2 and 4 shows me how easily as professional we can make quick judgements that can lead to missed opportunities to protect disabled children. I appreciate that meeting the timescales in relation to S47 enquiries can create many tensions and that often decisions </w:t>
            </w:r>
            <w:proofErr w:type="gramStart"/>
            <w:r w:rsidRPr="002328E2">
              <w:rPr>
                <w:rFonts w:eastAsia="Aptos"/>
                <w:kern w:val="2"/>
                <w:sz w:val="24"/>
                <w:szCs w:val="24"/>
                <w:lang w:eastAsia="en-US"/>
                <w14:ligatures w14:val="standardContextual"/>
              </w:rPr>
              <w:t>have to</w:t>
            </w:r>
            <w:proofErr w:type="gramEnd"/>
            <w:r w:rsidRPr="002328E2">
              <w:rPr>
                <w:rFonts w:eastAsia="Aptos"/>
                <w:kern w:val="2"/>
                <w:sz w:val="24"/>
                <w:szCs w:val="24"/>
                <w:lang w:eastAsia="en-US"/>
                <w14:ligatures w14:val="standardContextual"/>
              </w:rPr>
              <w:t xml:space="preserve"> made very quickly on the limited information that has been gathered.  In this case the incident involved child 1 directly and 3 as a witness so I could see the logic in gathering their accounts immediately and 2 and 4’s thoughts and feelings about home life could be explored through my ongoing work with the family whilst the S47 social worker ensured 2 and 4 had been spoken with by school the day the report was received.   </w:t>
            </w:r>
          </w:p>
          <w:p w14:paraId="5C87DAC7"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62E0F74E"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The S47 social workers initial assessment with 1 determined that a strategy discussion was needed between social services and the police.  The outcome was for S47 enquiries to be undertaken jointly with police and social services due to the nature of the incident being an assault. Had the concerns been around neglect then typically only social services would undertake the S47 enquiries. The threshold for a S47 investigation to be an outcome of a strategy discussion is where a child has suffered significant harm or is likely to suffer significant harm.  If this threshold is not met, then the parents and children could be having their Article 8 Human Right to a private and family life disregarded by further investigation </w:t>
            </w:r>
            <w:r w:rsidRPr="002328E2">
              <w:rPr>
                <w:rFonts w:eastAsia="Aptos"/>
                <w:kern w:val="2"/>
                <w:sz w:val="24"/>
                <w:szCs w:val="24"/>
                <w:lang w:eastAsia="en-US"/>
                <w14:ligatures w14:val="standardContextual"/>
              </w:rPr>
              <w:lastRenderedPageBreak/>
              <w:t xml:space="preserve">and enquiries.  Consideration needed to be given to the fact that there appeared to be an escalation of concerning parenting within the home that had resulted in a physical assault.  </w:t>
            </w:r>
          </w:p>
          <w:p w14:paraId="6B7C6491"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1E2B0AD6"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Immediate safeguards were considered and upon 5’s release from custody. Bail conditions were in place for 5 to not reside or have unsupervised contact with the children whilst the police continued their investigation into the assault and possible coercion and control. 5 went to live temporarily with 7.  5 had contact with three of her children which was supervised by two members of staff from the social work team in accordance with 5’s bail conditions, to ensure 5’s family did not feel pressurised into allowing 5 unfettered contact and there be opportunities for 5 to influence or sway the children.  The outcome of the police investigation was no further action was to be taken against 5 and they returned home under caution.</w:t>
            </w:r>
            <w:r w:rsidRPr="002328E2">
              <w:rPr>
                <w:rFonts w:ascii="Aptos" w:eastAsia="Aptos" w:hAnsi="Aptos" w:cs="Times New Roman"/>
                <w:color w:val="auto"/>
                <w:kern w:val="2"/>
                <w:sz w:val="24"/>
                <w:szCs w:val="24"/>
                <w:lang w:eastAsia="en-US"/>
                <w14:ligatures w14:val="standardContextual"/>
              </w:rPr>
              <w:t xml:space="preserve"> </w:t>
            </w:r>
            <w:r w:rsidRPr="002328E2">
              <w:rPr>
                <w:rFonts w:eastAsia="Aptos"/>
                <w:kern w:val="2"/>
                <w:sz w:val="24"/>
                <w:szCs w:val="24"/>
                <w:lang w:eastAsia="en-US"/>
                <w14:ligatures w14:val="standardContextual"/>
              </w:rPr>
              <w:t>I was intrigued by the police decisions not to pursue anything further regarding their concerns of 5 exerting coercion and control over 6 due to 6 not wanting to make a formal statement. I held a belied that victims of domestic abuse, which coercion and control is a form of did not need to make a formal statement themselves for the police to pursue.  It is an area of research I need to pursue in the future. I feel I also need to research further about the recent change in law regarding children being victims of domestic abuse regardless of if they are directly present.</w:t>
            </w:r>
          </w:p>
          <w:p w14:paraId="744B6677"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0BA6E250"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A child protection initial conference was convened.  I had met 5 and 6 along with the S47 social worker prior to the initial conference at the S47 social workers initial visit to the home following the disclosure.  This was a difficult meeting and presented me with challenges going forward as the family’s new social worker.  5 was very emotional and remorseful and distraught at her actions. S47 social worker tried to reassure 5 and 6 that going on the register, if that was the outcome of the initial CP conference, would be helpful to ensure they get the help they need as a family from not just social services but school and health too, evidencing the systemic practice and partnership working</w:t>
            </w:r>
            <w:r w:rsidRPr="002328E2">
              <w:rPr>
                <w:rFonts w:ascii="Aptos" w:eastAsia="Aptos" w:hAnsi="Aptos" w:cs="Times New Roman"/>
                <w:color w:val="auto"/>
                <w:kern w:val="2"/>
                <w:sz w:val="24"/>
                <w:szCs w:val="24"/>
                <w:lang w:eastAsia="en-US"/>
                <w14:ligatures w14:val="standardContextual"/>
              </w:rPr>
              <w:t xml:space="preserve"> </w:t>
            </w:r>
            <w:r w:rsidRPr="002328E2">
              <w:rPr>
                <w:rFonts w:eastAsia="Aptos"/>
                <w:kern w:val="2"/>
                <w:sz w:val="24"/>
                <w:szCs w:val="24"/>
                <w:lang w:eastAsia="en-US"/>
                <w14:ligatures w14:val="standardContextual"/>
              </w:rPr>
              <w:t>approach we take as a local authority. This is the point in time from which I see my relationship starting with the family and whilst my focus at this time was on the immediate safeguarding concerns I was also simultaneously thinking about building respectful and positive relationships, which was challenging.</w:t>
            </w:r>
          </w:p>
          <w:p w14:paraId="5BBC557D" w14:textId="77777777" w:rsidR="00496434" w:rsidRDefault="00496434"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6922B1B9" w14:textId="6A18FD5A"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I endeavoured to make sure that everyone’s communication needs were considered and identified the biggest barriers in communication were between 5 and myself.  5’s communication came across as very accusatory and excessively emotive and there was a general feeling shared by several professionals that 5’s combative communication was a form of deflecting attention away from her parenting deficits. I was able to gain a better </w:t>
            </w:r>
            <w:r w:rsidRPr="002328E2">
              <w:rPr>
                <w:rFonts w:eastAsia="Aptos"/>
                <w:kern w:val="2"/>
                <w:sz w:val="24"/>
                <w:szCs w:val="24"/>
                <w:lang w:eastAsia="en-US"/>
                <w14:ligatures w14:val="standardContextual"/>
              </w:rPr>
              <w:lastRenderedPageBreak/>
              <w:t xml:space="preserve">understanding of possible misinterpretations by professionals of 5’s intentions, as I did further research into being an autistic parent (Hwang and Heslop, 2022) and revisited training I had done around Autism. I booked a consult with our ASD team specific to 5’s communication needs with the aim </w:t>
            </w:r>
            <w:r w:rsidR="00496434" w:rsidRPr="002328E2">
              <w:rPr>
                <w:rFonts w:eastAsia="Aptos"/>
                <w:kern w:val="2"/>
                <w:sz w:val="24"/>
                <w:szCs w:val="24"/>
                <w:lang w:eastAsia="en-US"/>
                <w14:ligatures w14:val="standardContextual"/>
              </w:rPr>
              <w:t>of working</w:t>
            </w:r>
            <w:r w:rsidRPr="002328E2">
              <w:rPr>
                <w:rFonts w:eastAsia="Aptos"/>
                <w:kern w:val="2"/>
                <w:sz w:val="24"/>
                <w:szCs w:val="24"/>
                <w:lang w:eastAsia="en-US"/>
                <w14:ligatures w14:val="standardContextual"/>
              </w:rPr>
              <w:t xml:space="preserve"> collaboratively with this ASD team, 5 and 5’s CPN to see if we could work on a communication passport that 5 could share with professionals she comes into contact </w:t>
            </w:r>
            <w:proofErr w:type="gramStart"/>
            <w:r w:rsidRPr="002328E2">
              <w:rPr>
                <w:rFonts w:eastAsia="Aptos"/>
                <w:kern w:val="2"/>
                <w:sz w:val="24"/>
                <w:szCs w:val="24"/>
                <w:lang w:eastAsia="en-US"/>
                <w14:ligatures w14:val="standardContextual"/>
              </w:rPr>
              <w:t>with in</w:t>
            </w:r>
            <w:proofErr w:type="gramEnd"/>
            <w:r w:rsidRPr="002328E2">
              <w:rPr>
                <w:rFonts w:eastAsia="Aptos"/>
                <w:kern w:val="2"/>
                <w:sz w:val="24"/>
                <w:szCs w:val="24"/>
                <w:lang w:eastAsia="en-US"/>
                <w14:ligatures w14:val="standardContextual"/>
              </w:rPr>
              <w:t xml:space="preserve"> the future to mitigate breakdowns in relationships through misaligned communications.  5 had also shared their autism assessment with me which helped me gain a better understanding of not only their communication need but also what life might be like for them on a day-to-day basis.  I found this very challenging because I consider my communication skills to be strong and yet this was not the case with 5. 5’s interpretation of language, body language, facial expressions and tones were often vastly different to mine and the other professionals sitting on the CP conference and subsequent core group meetings. Working collaboratively with other professionals who knew 5 well and who could help both 5 and I understand each other was incredibly helpful.  5 has said she appreciates the efforts I put in to try and understand her even though I did not always get it right.</w:t>
            </w:r>
          </w:p>
          <w:p w14:paraId="730906C8"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3C561B2C"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 I adopted a child centred approach by ensuring I met the children alone on a weekly basis.  Making sure I met the children alone was a key consideration </w:t>
            </w:r>
            <w:proofErr w:type="gramStart"/>
            <w:r w:rsidRPr="002328E2">
              <w:rPr>
                <w:rFonts w:eastAsia="Aptos"/>
                <w:kern w:val="2"/>
                <w:sz w:val="24"/>
                <w:szCs w:val="24"/>
                <w:lang w:eastAsia="en-US"/>
                <w14:ligatures w14:val="standardContextual"/>
              </w:rPr>
              <w:t>in light of</w:t>
            </w:r>
            <w:proofErr w:type="gramEnd"/>
            <w:r w:rsidRPr="002328E2">
              <w:rPr>
                <w:rFonts w:eastAsia="Aptos"/>
                <w:kern w:val="2"/>
                <w:sz w:val="24"/>
                <w:szCs w:val="24"/>
                <w:lang w:eastAsia="en-US"/>
                <w14:ligatures w14:val="standardContextual"/>
              </w:rPr>
              <w:t xml:space="preserve"> historic child abuse enquiries “…that highlighted the failure of social workers to talk and listen to children on their own…” (Wilson et al., 2008). I met with children before the initial conference and talked to them about home life.  I met with 1 several times and we discussed that day and what had happened and what life was like at home generally.  I met all the children several times at regular intervals at school alone and at home.  A key consideration I developed through my time working with the family was in relation to ACE’s experienced through successive generations and that we wanted our work and involvement with the family to help avoid this in a bid to have better outcomes not only for these children but their children and future families (Public Health Wales, 2015)</w:t>
            </w:r>
          </w:p>
          <w:p w14:paraId="4E5D2BD8"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6767D489"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The initial conference was postponed as police went to the wrong venue. This did give me more time to ask more questions of the S47 social worker and other colleagues which helped reassure me and develop my understanding of the process.  The reconvened initial CP conference had a different IRO who was very helpful and supportive to all participants. They gave me faith that it would be a collaborative decision involving the family and professionals.   They talked individually to me and then family as to what to expect and had an opportunity to speak with 1 and 3 who this time attended the conference. The IRO was very encouraging of 1 and 3 being able to attend if I ensured they wanted to come for the right reasons and knew what to expect. New approaches were being introduced at the time </w:t>
            </w:r>
            <w:r w:rsidRPr="002328E2">
              <w:rPr>
                <w:rFonts w:eastAsia="Aptos"/>
                <w:kern w:val="2"/>
                <w:sz w:val="24"/>
                <w:szCs w:val="24"/>
                <w:lang w:eastAsia="en-US"/>
                <w14:ligatures w14:val="standardContextual"/>
              </w:rPr>
              <w:lastRenderedPageBreak/>
              <w:t xml:space="preserve">in the local authority with regards to CP and I was asked to complete a safety plan prior to the initial conference. The new IRO was helpful and explained the change in language used in the safety plans by including language that gives the parents ownership.  By changing the language from “Parents will…” to “I will…” I can see how it totally changes the dynamic and feel of the safety plan, redressing some of the power imbalance that exists with the CP arena.  During the meeting the IRO had a large, printed version of the plan up on the wall and made amendments throughout the meeting so that it was a coproduced safety plan with the children’s and parents own words used.  </w:t>
            </w:r>
          </w:p>
          <w:p w14:paraId="15516829"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6F159EF2"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When I asked 1 in our initially meetings what she hoped would happen, 1’s preferred outcome was to have 5 removed from the family home.  Throughout our weekly visits 1 would sometimes convey her struggle to comprehend that it was not in my power to make this happen and yet at other times be resolute to this. I felt I understood her confusion over </w:t>
            </w:r>
            <w:proofErr w:type="gramStart"/>
            <w:r w:rsidRPr="002328E2">
              <w:rPr>
                <w:rFonts w:eastAsia="Aptos"/>
                <w:kern w:val="2"/>
                <w:sz w:val="24"/>
                <w:szCs w:val="24"/>
                <w:lang w:eastAsia="en-US"/>
                <w14:ligatures w14:val="standardContextual"/>
              </w:rPr>
              <w:t>this</w:t>
            </w:r>
            <w:proofErr w:type="gramEnd"/>
            <w:r w:rsidRPr="002328E2">
              <w:rPr>
                <w:rFonts w:eastAsia="Aptos"/>
                <w:kern w:val="2"/>
                <w:sz w:val="24"/>
                <w:szCs w:val="24"/>
                <w:lang w:eastAsia="en-US"/>
                <w14:ligatures w14:val="standardContextual"/>
              </w:rPr>
              <w:t xml:space="preserve"> and it would cause me to feel conflicted in supporting them but not giving them what they wanted.  1 would tell me what 7 and 8 used to say about 5 and 6’s relationship and how 6 should leave 5 for the sake of the children and how he had told 7 and 8, following the children being on the CP register before, that if it came to </w:t>
            </w:r>
            <w:proofErr w:type="gramStart"/>
            <w:r w:rsidRPr="002328E2">
              <w:rPr>
                <w:rFonts w:eastAsia="Aptos"/>
                <w:kern w:val="2"/>
                <w:sz w:val="24"/>
                <w:szCs w:val="24"/>
                <w:lang w:eastAsia="en-US"/>
                <w14:ligatures w14:val="standardContextual"/>
              </w:rPr>
              <w:t>it</w:t>
            </w:r>
            <w:proofErr w:type="gramEnd"/>
            <w:r w:rsidRPr="002328E2">
              <w:rPr>
                <w:rFonts w:eastAsia="Aptos"/>
                <w:kern w:val="2"/>
                <w:sz w:val="24"/>
                <w:szCs w:val="24"/>
                <w:lang w:eastAsia="en-US"/>
                <w14:ligatures w14:val="standardContextual"/>
              </w:rPr>
              <w:t xml:space="preserve"> he would choose the children over 5. 1 was having adults tell her things about her parent’s marriage that she should not have had the burden of knowing and I felt this was a precipitating factor to the events that led to the assault that day.   Part of the families safety plan was to not have adult conversations with the children or so the children could hear and this was reiterated several times to 7 and 8 as well as 5 and 6. It became apparent to me that these types of conversations were had frequently leading up to and after the assault and I felt that there might have been a premeditated plan by 7 and 8 to push 5 as far as they could in order to cause problems within the family home to make 6 leave 5.  Through the course of working with the family and supporting them to recognise and identify these stress factors within their daily life, they made the decision to not allow 7 and 8 access to their home unless invited.  Often 7 and 8 would turn up at the busiest most stressful times of day and bring along other children that added to the noise and energy within the small house.  5 would become increasingly overwhelmed and unable to communicate this at the time due to her Autism and would then be criticised for her behaviour. By removing this stressor things improved in the home.</w:t>
            </w:r>
          </w:p>
          <w:p w14:paraId="2B7F90A4"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57DCBE9D"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Communication between all family members was confusing with offence to slow ‘</w:t>
            </w:r>
            <w:proofErr w:type="spellStart"/>
            <w:r w:rsidRPr="002328E2">
              <w:rPr>
                <w:rFonts w:eastAsia="Aptos"/>
                <w:kern w:val="2"/>
                <w:sz w:val="24"/>
                <w:szCs w:val="24"/>
                <w:lang w:eastAsia="en-US"/>
                <w14:ligatures w14:val="standardContextual"/>
              </w:rPr>
              <w:t>facebook</w:t>
            </w:r>
            <w:proofErr w:type="spellEnd"/>
            <w:r w:rsidRPr="002328E2">
              <w:rPr>
                <w:rFonts w:eastAsia="Aptos"/>
                <w:kern w:val="2"/>
                <w:sz w:val="24"/>
                <w:szCs w:val="24"/>
                <w:lang w:eastAsia="en-US"/>
                <w14:ligatures w14:val="standardContextual"/>
              </w:rPr>
              <w:t>’ responses or being left on ‘open’.  I would be drawn into these disputes between 1, 5, 6 7 and 8.</w:t>
            </w:r>
            <w:r w:rsidRPr="002328E2">
              <w:rPr>
                <w:rFonts w:ascii="Aptos" w:eastAsia="Aptos" w:hAnsi="Aptos" w:cs="Times New Roman"/>
                <w:color w:val="auto"/>
                <w:kern w:val="2"/>
                <w:sz w:val="24"/>
                <w:szCs w:val="24"/>
                <w:lang w:eastAsia="en-US"/>
                <w14:ligatures w14:val="standardContextual"/>
              </w:rPr>
              <w:t xml:space="preserve"> </w:t>
            </w:r>
            <w:r w:rsidRPr="002328E2">
              <w:rPr>
                <w:rFonts w:eastAsia="Aptos"/>
                <w:kern w:val="2"/>
                <w:sz w:val="24"/>
                <w:szCs w:val="24"/>
                <w:lang w:eastAsia="en-US"/>
                <w14:ligatures w14:val="standardContextual"/>
              </w:rPr>
              <w:t xml:space="preserve">Karpman drama triangle (Maclean and Harrison 2009) related to this family dynamic and I explored this by using its premise of the Persecutor, Rescuer and Victim in discussions with the family, especially with 5, 7 and 8 to explore how they often battled it out as to who </w:t>
            </w:r>
            <w:r w:rsidRPr="002328E2">
              <w:rPr>
                <w:rFonts w:eastAsia="Aptos"/>
                <w:kern w:val="2"/>
                <w:sz w:val="24"/>
                <w:szCs w:val="24"/>
                <w:lang w:eastAsia="en-US"/>
                <w14:ligatures w14:val="standardContextual"/>
              </w:rPr>
              <w:lastRenderedPageBreak/>
              <w:t xml:space="preserve">was the victim and the persecutor.   At times 1 showed a remarkable maturity that everyone else seemed to lack and was indicative of the parental role she felt she had within the family unit. I had to consider how her maturity might be a result of the caring role she was expected to undertake at home in that her parents expected her to help with her brothers who have disabilities and or whether 1 felt she needed to step in due to her parent’s lack of good enough parenting.   </w:t>
            </w:r>
          </w:p>
          <w:p w14:paraId="4A898179"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1838E324"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Drawing on theories of attachment (Wilson et al., 2008, p.152) my time working with the family and undertaking a parenting assessment, carers assessment and reviews of the children’s care and support plan it seems that the children did not have an emotionally available adult to go to for emotional support when at home.</w:t>
            </w:r>
            <w:r w:rsidRPr="002328E2">
              <w:rPr>
                <w:rFonts w:ascii="Aptos" w:eastAsia="Aptos" w:hAnsi="Aptos" w:cs="Times New Roman"/>
                <w:color w:val="auto"/>
                <w:kern w:val="2"/>
                <w:sz w:val="24"/>
                <w:szCs w:val="24"/>
                <w:lang w:eastAsia="en-US"/>
                <w14:ligatures w14:val="standardContextual"/>
              </w:rPr>
              <w:t xml:space="preserve"> </w:t>
            </w:r>
            <w:r w:rsidRPr="002328E2">
              <w:rPr>
                <w:rFonts w:eastAsia="Aptos"/>
                <w:kern w:val="2"/>
                <w:sz w:val="24"/>
                <w:szCs w:val="24"/>
                <w:lang w:eastAsia="en-US"/>
                <w14:ligatures w14:val="standardContextual"/>
              </w:rPr>
              <w:t xml:space="preserve">5 and 6 struggle to adapt their parenting responses to the changing developmental stages of their children.  They often underestimate the potential of 2 and 4 due to their disabilities which in turn causes tensions between the siblings and with parents.   </w:t>
            </w:r>
            <w:proofErr w:type="gramStart"/>
            <w:r w:rsidRPr="002328E2">
              <w:rPr>
                <w:rFonts w:eastAsia="Aptos"/>
                <w:kern w:val="2"/>
                <w:sz w:val="24"/>
                <w:szCs w:val="24"/>
                <w:lang w:eastAsia="en-US"/>
                <w14:ligatures w14:val="standardContextual"/>
              </w:rPr>
              <w:t>All of</w:t>
            </w:r>
            <w:proofErr w:type="gramEnd"/>
            <w:r w:rsidRPr="002328E2">
              <w:rPr>
                <w:rFonts w:eastAsia="Aptos"/>
                <w:kern w:val="2"/>
                <w:sz w:val="24"/>
                <w:szCs w:val="24"/>
                <w:lang w:eastAsia="en-US"/>
                <w14:ligatures w14:val="standardContextual"/>
              </w:rPr>
              <w:t xml:space="preserve"> the children enjoy school and the stability and predictability it brings due I would suggest to having reliable and emotionally consistent and available adults there.   5 is likely to have struggled to respond consistently to her children’s changing needs due to her own disabilities.</w:t>
            </w:r>
          </w:p>
          <w:p w14:paraId="596E89EF"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  </w:t>
            </w:r>
          </w:p>
          <w:p w14:paraId="00AE75F6"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I feel school have a very negative attitude towards 5 due to years of historical accusations made by 5 to school about their staff and their failings.  Due to this I feel school fail to recognise 5’s strengths and valuable contribution to the children’s upbringing in that she does the tasks she </w:t>
            </w:r>
            <w:proofErr w:type="gramStart"/>
            <w:r w:rsidRPr="002328E2">
              <w:rPr>
                <w:rFonts w:eastAsia="Aptos"/>
                <w:kern w:val="2"/>
                <w:sz w:val="24"/>
                <w:szCs w:val="24"/>
                <w:lang w:eastAsia="en-US"/>
                <w14:ligatures w14:val="standardContextual"/>
              </w:rPr>
              <w:t>is capable of doing</w:t>
            </w:r>
            <w:proofErr w:type="gramEnd"/>
            <w:r w:rsidRPr="002328E2">
              <w:rPr>
                <w:rFonts w:eastAsia="Aptos"/>
                <w:kern w:val="2"/>
                <w:sz w:val="24"/>
                <w:szCs w:val="24"/>
                <w:lang w:eastAsia="en-US"/>
                <w14:ligatures w14:val="standardContextual"/>
              </w:rPr>
              <w:t xml:space="preserve"> and 6 did all the other tasks. It is easier to vilify 5 as her actions were obvious and her communication style combative, accusatory and lacking in self-reflection and self-awareness.  6 on the other hand had caused a lot of uncertainty in the family by being deceitful and dishonest, he also lacked self-awareness and reflection but was quieter about it so did not draw as much attention to how his parenting and actions within the home were undermining the possible equilibrium.  Alternatively, I considered gender and theories of feminism to consider whether 6 was given disproportionate credit for being a good parent as he is the male parent and criticism of 5’s parenting is harsher as societal constructs expect her to be more maternal and nurturing.  I considered this alongside the criticism from school, that drew upon attachment theories, that the boys especially were more attached to their father than their mother.   Had this been the other way in terms of gender and role I do not think the school would have raised it as a concern.</w:t>
            </w:r>
          </w:p>
          <w:p w14:paraId="3FF01391"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782B7A2A" w14:textId="41757D8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Safeguarding and child protection is an ongoing concept when working with families. Following the children being removed from the register I have maintained a working relationship with the family and review the children’s care and support plan regularly.    I’ve </w:t>
            </w:r>
            <w:r w:rsidRPr="002328E2">
              <w:rPr>
                <w:rFonts w:eastAsia="Aptos"/>
                <w:kern w:val="2"/>
                <w:sz w:val="24"/>
                <w:szCs w:val="24"/>
                <w:lang w:eastAsia="en-US"/>
                <w14:ligatures w14:val="standardContextual"/>
              </w:rPr>
              <w:lastRenderedPageBreak/>
              <w:t xml:space="preserve">developed a better understanding of the family but in doing so I worry that I now identify too heavily with 5 based on my own experiences of being a mother and being empathetic to the challenges she has faced through childhood trauma, her experiences of being parented and her late diagnosis of autism. I explored in supervision and POD discussions whether </w:t>
            </w:r>
            <w:r w:rsidR="00496434" w:rsidRPr="002328E2">
              <w:rPr>
                <w:rFonts w:eastAsia="Aptos"/>
                <w:kern w:val="2"/>
                <w:sz w:val="24"/>
                <w:szCs w:val="24"/>
                <w:lang w:eastAsia="en-US"/>
                <w14:ligatures w14:val="standardContextual"/>
              </w:rPr>
              <w:t>relationship</w:t>
            </w:r>
            <w:r w:rsidRPr="002328E2">
              <w:rPr>
                <w:rFonts w:eastAsia="Aptos"/>
                <w:kern w:val="2"/>
                <w:sz w:val="24"/>
                <w:szCs w:val="24"/>
                <w:lang w:eastAsia="en-US"/>
                <w14:ligatures w14:val="standardContextual"/>
              </w:rPr>
              <w:t xml:space="preserve">-based social work (Howe, 2009, p. 152) makes it harder to have difficult conversations with families and makes us less alert to the signs of potential risk of harm and abuse.    </w:t>
            </w:r>
          </w:p>
          <w:p w14:paraId="36FA966B"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p>
          <w:p w14:paraId="466955C5" w14:textId="77777777" w:rsidR="002328E2" w:rsidRPr="002328E2" w:rsidRDefault="002328E2" w:rsidP="002328E2">
            <w:pPr>
              <w:overflowPunct/>
              <w:autoSpaceDE/>
              <w:autoSpaceDN/>
              <w:adjustRightInd/>
              <w:spacing w:after="160" w:line="278" w:lineRule="auto"/>
              <w:textAlignment w:val="auto"/>
              <w:rPr>
                <w:rFonts w:eastAsia="Aptos"/>
                <w:kern w:val="2"/>
                <w:sz w:val="24"/>
                <w:szCs w:val="24"/>
                <w:lang w:eastAsia="en-US"/>
                <w14:ligatures w14:val="standardContextual"/>
              </w:rPr>
            </w:pPr>
            <w:r w:rsidRPr="002328E2">
              <w:rPr>
                <w:rFonts w:eastAsia="Aptos"/>
                <w:kern w:val="2"/>
                <w:sz w:val="24"/>
                <w:szCs w:val="24"/>
                <w:lang w:eastAsia="en-US"/>
                <w14:ligatures w14:val="standardContextual"/>
              </w:rPr>
              <w:t xml:space="preserve">Because the children have disabilities there is an argument that are we more lenient towards the parents when considering risk and harm to children due to carers burnout. It is therefore essential to offer a carers assessments as stipulated in </w:t>
            </w:r>
            <w:r w:rsidRPr="002328E2">
              <w:rPr>
                <w:rFonts w:eastAsia="Aptos"/>
                <w:i/>
                <w:iCs/>
                <w:kern w:val="2"/>
                <w:sz w:val="24"/>
                <w:szCs w:val="24"/>
                <w:lang w:eastAsia="en-US"/>
                <w14:ligatures w14:val="standardContextual"/>
              </w:rPr>
              <w:t>SSWB(W)A 2014</w:t>
            </w:r>
            <w:r w:rsidRPr="002328E2">
              <w:rPr>
                <w:rFonts w:eastAsia="Aptos"/>
                <w:kern w:val="2"/>
                <w:sz w:val="24"/>
                <w:szCs w:val="24"/>
                <w:lang w:eastAsia="en-US"/>
                <w14:ligatures w14:val="standardContextual"/>
              </w:rPr>
              <w:t>.  Establishing carers strengths and barriers in their caring role should help us formulate and understanding of where support is needed to empower the parents and improve their wellbeing and the wellbeing of their disabled children.  This whole family approach embeds the Signs of Safety and Systemic Practice approach our local authority adopts.  The most significant learning for me was making sure the children’s voices and their thoughts and feelings were central and represented in the work I did and how I am to strengthen my skills in this area and future practice.</w:t>
            </w:r>
          </w:p>
          <w:p w14:paraId="520C4AAB" w14:textId="0C90D808" w:rsidR="002328E2" w:rsidRPr="002328E2" w:rsidRDefault="002328E2" w:rsidP="002328E2">
            <w:pPr>
              <w:overflowPunct/>
              <w:autoSpaceDE/>
              <w:autoSpaceDN/>
              <w:adjustRightInd/>
              <w:spacing w:after="160" w:line="278" w:lineRule="auto"/>
              <w:textAlignment w:val="auto"/>
              <w:rPr>
                <w:rFonts w:eastAsia="Aptos"/>
                <w:b/>
                <w:bCs/>
                <w:kern w:val="2"/>
                <w:sz w:val="24"/>
                <w:szCs w:val="24"/>
                <w:lang w:eastAsia="en-US"/>
                <w14:ligatures w14:val="standardContextual"/>
              </w:rPr>
            </w:pPr>
            <w:r>
              <w:rPr>
                <w:rFonts w:eastAsia="Aptos"/>
                <w:b/>
                <w:bCs/>
                <w:kern w:val="2"/>
                <w:sz w:val="24"/>
                <w:szCs w:val="24"/>
                <w:lang w:eastAsia="en-US"/>
                <w14:ligatures w14:val="standardContextual"/>
              </w:rPr>
              <w:t xml:space="preserve">Word county: </w:t>
            </w:r>
            <w:r w:rsidRPr="002328E2">
              <w:rPr>
                <w:rFonts w:eastAsia="Aptos"/>
                <w:b/>
                <w:bCs/>
                <w:kern w:val="2"/>
                <w:sz w:val="24"/>
                <w:szCs w:val="24"/>
                <w:lang w:eastAsia="en-US"/>
                <w14:ligatures w14:val="standardContextual"/>
              </w:rPr>
              <w:t>4179</w:t>
            </w:r>
          </w:p>
          <w:p w14:paraId="6CAFC902" w14:textId="3C9975BC" w:rsidR="00116888" w:rsidRPr="002F1CA4" w:rsidRDefault="00116888" w:rsidP="00116888">
            <w:pPr>
              <w:rPr>
                <w:sz w:val="24"/>
                <w:szCs w:val="24"/>
              </w:rPr>
            </w:pPr>
          </w:p>
          <w:p w14:paraId="7D29EB04" w14:textId="5903F1D5" w:rsidR="00116888" w:rsidRPr="002F1CA4" w:rsidRDefault="00116888" w:rsidP="00116888">
            <w:pPr>
              <w:rPr>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2B0"/>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6888"/>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8E2"/>
    <w:rsid w:val="00232A09"/>
    <w:rsid w:val="00235176"/>
    <w:rsid w:val="00236061"/>
    <w:rsid w:val="0024100E"/>
    <w:rsid w:val="00241C1B"/>
    <w:rsid w:val="0024288B"/>
    <w:rsid w:val="00243DB0"/>
    <w:rsid w:val="00247265"/>
    <w:rsid w:val="00260663"/>
    <w:rsid w:val="002657E9"/>
    <w:rsid w:val="0026665E"/>
    <w:rsid w:val="002666EF"/>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CA4"/>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F1E"/>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719"/>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694C"/>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735"/>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468C"/>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1F3"/>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3C2F"/>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0A0D"/>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475E3"/>
    <w:rsid w:val="00D51FD5"/>
    <w:rsid w:val="00D55DE0"/>
    <w:rsid w:val="00D607EF"/>
    <w:rsid w:val="00D60F88"/>
    <w:rsid w:val="00D631C7"/>
    <w:rsid w:val="00D63EA0"/>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1B049B"/>
    <w:rsid w:val="0F2B140F"/>
    <w:rsid w:val="0F77E214"/>
    <w:rsid w:val="102A3950"/>
    <w:rsid w:val="10904BF9"/>
    <w:rsid w:val="129BB562"/>
    <w:rsid w:val="14E55E54"/>
    <w:rsid w:val="15B21EA4"/>
    <w:rsid w:val="1661DBBC"/>
    <w:rsid w:val="16BDB770"/>
    <w:rsid w:val="18FA07C0"/>
    <w:rsid w:val="19A0B2E9"/>
    <w:rsid w:val="1B0FBC5A"/>
    <w:rsid w:val="1D53B054"/>
    <w:rsid w:val="1D6670C0"/>
    <w:rsid w:val="21176D2E"/>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6C6992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DA44B22CC564BBEB337A70112863B" ma:contentTypeVersion="4" ma:contentTypeDescription="Create a new document." ma:contentTypeScope="" ma:versionID="3cbf8ddd46ebb354d833ba1df197354e">
  <xsd:schema xmlns:xsd="http://www.w3.org/2001/XMLSchema" xmlns:xs="http://www.w3.org/2001/XMLSchema" xmlns:p="http://schemas.microsoft.com/office/2006/metadata/properties" xmlns:ns2="d0dbf51a-2386-45fa-b5ae-93d18e57f4d7" targetNamespace="http://schemas.microsoft.com/office/2006/metadata/properties" ma:root="true" ma:fieldsID="9d9d139c0334212886edd8a4bf138839" ns2:_="">
    <xsd:import namespace="d0dbf51a-2386-45fa-b5ae-93d18e57f4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dbf51a-2386-45fa-b5ae-93d18e57f4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A5399F-9688-44AC-9F2C-1D36C8F9B9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dbf51a-2386-45fa-b5ae-93d18e57f4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AFF3C3C6-A157-4353-BD35-FB3D11DB6C05}">
  <ds:schemaRef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purl.org/dc/dcmitype/"/>
    <ds:schemaRef ds:uri="http://www.w3.org/XML/1998/namespace"/>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4381</Words>
  <Characters>21369</Characters>
  <Application>Microsoft Office Word</Application>
  <DocSecurity>0</DocSecurity>
  <Lines>736</Lines>
  <Paragraphs>271</Paragraphs>
  <ScaleCrop>false</ScaleCrop>
  <Company>Powys County Council</Company>
  <LinksUpToDate>false</LinksUpToDate>
  <CharactersWithSpaces>25479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Esther Chapman</cp:lastModifiedBy>
  <cp:revision>22</cp:revision>
  <cp:lastPrinted>2020-02-11T19:20:00Z</cp:lastPrinted>
  <dcterms:created xsi:type="dcterms:W3CDTF">2022-09-29T11:34:00Z</dcterms:created>
  <dcterms:modified xsi:type="dcterms:W3CDTF">2026-02-24T20:35:00Z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0x010100EC7DA44B22CC564BBEB337A70112863B</vt:lpwstr>
  </property>
</Properties>
</file>