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4F1C1D" w14:textId="77777777" w:rsidR="00BF5751" w:rsidRDefault="00BF5751" w:rsidP="00BF5751"/>
    <w:p w14:paraId="2DF6413A" w14:textId="77777777" w:rsidR="00BF5751" w:rsidRPr="00E60682" w:rsidRDefault="00BF5751" w:rsidP="00BF5751">
      <w:pPr>
        <w:jc w:val="center"/>
        <w:rPr>
          <w:rFonts w:ascii="Agency FB" w:hAnsi="Agency FB"/>
          <w:sz w:val="40"/>
          <w:szCs w:val="40"/>
        </w:rPr>
      </w:pPr>
    </w:p>
    <w:p w14:paraId="5B312CDA" w14:textId="3B4638B7" w:rsidR="00223FF5" w:rsidRPr="00491DF9" w:rsidRDefault="00223FF5" w:rsidP="00223FF5">
      <w:pPr>
        <w:jc w:val="center"/>
        <w:rPr>
          <w:rFonts w:ascii="Arial" w:hAnsi="Arial" w:cs="Arial"/>
          <w:sz w:val="32"/>
          <w:szCs w:val="32"/>
        </w:rPr>
      </w:pPr>
      <w:r w:rsidRPr="00491DF9">
        <w:rPr>
          <w:rFonts w:ascii="Arial" w:hAnsi="Arial" w:cs="Arial"/>
          <w:sz w:val="32"/>
          <w:szCs w:val="32"/>
        </w:rPr>
        <w:t xml:space="preserve">Student </w:t>
      </w:r>
      <w:r w:rsidR="00491DF9" w:rsidRPr="00491DF9">
        <w:rPr>
          <w:rFonts w:ascii="Arial" w:hAnsi="Arial" w:cs="Arial"/>
          <w:sz w:val="32"/>
          <w:szCs w:val="32"/>
        </w:rPr>
        <w:t>N</w:t>
      </w:r>
      <w:r w:rsidRPr="00491DF9">
        <w:rPr>
          <w:rFonts w:ascii="Arial" w:hAnsi="Arial" w:cs="Arial"/>
          <w:sz w:val="32"/>
          <w:szCs w:val="32"/>
        </w:rPr>
        <w:t>ame: Fatema Uddin</w:t>
      </w:r>
    </w:p>
    <w:p w14:paraId="08929EC9" w14:textId="19E6A080" w:rsidR="00223FF5" w:rsidRPr="00491DF9" w:rsidRDefault="00223FF5" w:rsidP="00223FF5">
      <w:pPr>
        <w:jc w:val="center"/>
        <w:rPr>
          <w:rFonts w:ascii="Arial" w:hAnsi="Arial" w:cs="Arial"/>
          <w:sz w:val="32"/>
          <w:szCs w:val="32"/>
        </w:rPr>
      </w:pPr>
      <w:r w:rsidRPr="00491DF9">
        <w:rPr>
          <w:rFonts w:ascii="Arial" w:hAnsi="Arial" w:cs="Arial"/>
          <w:sz w:val="32"/>
          <w:szCs w:val="32"/>
        </w:rPr>
        <w:t xml:space="preserve">Student ID </w:t>
      </w:r>
      <w:r w:rsidR="00491DF9" w:rsidRPr="00491DF9">
        <w:rPr>
          <w:rFonts w:ascii="Arial" w:hAnsi="Arial" w:cs="Arial"/>
          <w:sz w:val="32"/>
          <w:szCs w:val="32"/>
        </w:rPr>
        <w:t>N</w:t>
      </w:r>
      <w:r w:rsidRPr="00491DF9">
        <w:rPr>
          <w:rFonts w:ascii="Arial" w:hAnsi="Arial" w:cs="Arial"/>
          <w:sz w:val="32"/>
          <w:szCs w:val="32"/>
        </w:rPr>
        <w:t>umber: 2131514</w:t>
      </w:r>
    </w:p>
    <w:p w14:paraId="7BE23498" w14:textId="77777777" w:rsidR="00223FF5" w:rsidRPr="00491DF9" w:rsidRDefault="00223FF5" w:rsidP="00223FF5">
      <w:pPr>
        <w:jc w:val="center"/>
        <w:rPr>
          <w:rFonts w:ascii="Arial" w:hAnsi="Arial" w:cs="Arial"/>
          <w:sz w:val="32"/>
          <w:szCs w:val="32"/>
        </w:rPr>
      </w:pPr>
      <w:r w:rsidRPr="00491DF9">
        <w:rPr>
          <w:rFonts w:ascii="Arial" w:hAnsi="Arial" w:cs="Arial"/>
          <w:sz w:val="32"/>
          <w:szCs w:val="32"/>
        </w:rPr>
        <w:t>BMIH4005 - Personnel Resourcing and Development</w:t>
      </w:r>
    </w:p>
    <w:p w14:paraId="54A2C1B2" w14:textId="38EC745D" w:rsidR="00491DF9" w:rsidRPr="00491DF9" w:rsidRDefault="00491DF9" w:rsidP="00223FF5">
      <w:pPr>
        <w:jc w:val="center"/>
        <w:rPr>
          <w:rFonts w:ascii="Arial" w:hAnsi="Arial" w:cs="Arial"/>
          <w:sz w:val="32"/>
          <w:szCs w:val="32"/>
        </w:rPr>
      </w:pPr>
      <w:r w:rsidRPr="00491DF9">
        <w:rPr>
          <w:rFonts w:ascii="Arial" w:hAnsi="Arial" w:cs="Arial"/>
          <w:sz w:val="32"/>
          <w:szCs w:val="32"/>
        </w:rPr>
        <w:t>Tutor: Helen Evans</w:t>
      </w:r>
    </w:p>
    <w:p w14:paraId="3008B889" w14:textId="77777777" w:rsidR="002F75F5" w:rsidRDefault="002F75F5" w:rsidP="00BF5751"/>
    <w:p w14:paraId="599C296C" w14:textId="77777777" w:rsidR="002F75F5" w:rsidRDefault="002F75F5" w:rsidP="00BF5751"/>
    <w:p w14:paraId="56EE0347" w14:textId="77777777" w:rsidR="002F75F5" w:rsidRDefault="002F75F5" w:rsidP="002F75F5">
      <w:pPr>
        <w:jc w:val="center"/>
        <w:rPr>
          <w:rFonts w:ascii="Agency FB" w:hAnsi="Agency FB"/>
          <w:sz w:val="40"/>
          <w:szCs w:val="40"/>
        </w:rPr>
      </w:pPr>
    </w:p>
    <w:p w14:paraId="04009BFB" w14:textId="77777777" w:rsidR="002F75F5" w:rsidRDefault="002F75F5" w:rsidP="002F75F5">
      <w:pPr>
        <w:jc w:val="center"/>
        <w:rPr>
          <w:rFonts w:ascii="Agency FB" w:hAnsi="Agency FB"/>
          <w:sz w:val="40"/>
          <w:szCs w:val="40"/>
        </w:rPr>
      </w:pPr>
    </w:p>
    <w:p w14:paraId="266C8FDA" w14:textId="77777777" w:rsidR="002F75F5" w:rsidRDefault="002F75F5" w:rsidP="002F75F5">
      <w:pPr>
        <w:jc w:val="center"/>
        <w:rPr>
          <w:rFonts w:ascii="Agency FB" w:hAnsi="Agency FB"/>
          <w:sz w:val="40"/>
          <w:szCs w:val="40"/>
        </w:rPr>
      </w:pPr>
    </w:p>
    <w:p w14:paraId="2DD7635B" w14:textId="77777777" w:rsidR="002F75F5" w:rsidRDefault="002F75F5" w:rsidP="002F75F5">
      <w:pPr>
        <w:jc w:val="center"/>
        <w:rPr>
          <w:rFonts w:ascii="Agency FB" w:hAnsi="Agency FB"/>
          <w:sz w:val="40"/>
          <w:szCs w:val="40"/>
        </w:rPr>
      </w:pPr>
    </w:p>
    <w:p w14:paraId="3B0B66A3" w14:textId="77777777" w:rsidR="002F75F5" w:rsidRDefault="002F75F5" w:rsidP="002F75F5">
      <w:pPr>
        <w:jc w:val="center"/>
        <w:rPr>
          <w:rFonts w:ascii="Agency FB" w:hAnsi="Agency FB"/>
          <w:sz w:val="40"/>
          <w:szCs w:val="40"/>
        </w:rPr>
      </w:pPr>
    </w:p>
    <w:p w14:paraId="3F6D471E" w14:textId="77777777" w:rsidR="002F75F5" w:rsidRDefault="002F75F5" w:rsidP="002F75F5">
      <w:pPr>
        <w:jc w:val="center"/>
        <w:rPr>
          <w:rFonts w:ascii="Agency FB" w:hAnsi="Agency FB"/>
          <w:sz w:val="40"/>
          <w:szCs w:val="40"/>
        </w:rPr>
      </w:pPr>
    </w:p>
    <w:p w14:paraId="5E4E23D0" w14:textId="77777777" w:rsidR="002F75F5" w:rsidRDefault="002F75F5" w:rsidP="002F75F5">
      <w:pPr>
        <w:jc w:val="center"/>
        <w:rPr>
          <w:rFonts w:ascii="Agency FB" w:hAnsi="Agency FB"/>
          <w:sz w:val="40"/>
          <w:szCs w:val="40"/>
        </w:rPr>
      </w:pPr>
    </w:p>
    <w:p w14:paraId="76C0BB33" w14:textId="77777777" w:rsidR="00223FF5" w:rsidRDefault="00223FF5" w:rsidP="002F75F5">
      <w:pPr>
        <w:jc w:val="center"/>
        <w:rPr>
          <w:rFonts w:ascii="Agency FB" w:hAnsi="Agency FB"/>
          <w:sz w:val="40"/>
          <w:szCs w:val="40"/>
        </w:rPr>
      </w:pPr>
      <w:r>
        <w:rPr>
          <w:rFonts w:ascii="Agency FB" w:hAnsi="Agency FB"/>
          <w:sz w:val="40"/>
          <w:szCs w:val="40"/>
        </w:rPr>
        <w:br/>
      </w:r>
    </w:p>
    <w:p w14:paraId="78C3BD01" w14:textId="77777777" w:rsidR="00491DF9" w:rsidRDefault="00491DF9" w:rsidP="00491DF9">
      <w:pPr>
        <w:widowControl/>
        <w:autoSpaceDE/>
        <w:autoSpaceDN/>
        <w:spacing w:after="200" w:line="276" w:lineRule="auto"/>
        <w:jc w:val="left"/>
        <w:rPr>
          <w:rFonts w:ascii="Agency FB" w:hAnsi="Agency FB"/>
          <w:sz w:val="40"/>
          <w:szCs w:val="40"/>
        </w:rPr>
      </w:pPr>
    </w:p>
    <w:p w14:paraId="3A32FA82" w14:textId="77777777" w:rsidR="00491DF9" w:rsidRDefault="00491DF9" w:rsidP="00491DF9">
      <w:pPr>
        <w:widowControl/>
        <w:autoSpaceDE/>
        <w:autoSpaceDN/>
        <w:spacing w:after="200" w:line="276" w:lineRule="auto"/>
        <w:jc w:val="left"/>
        <w:rPr>
          <w:rFonts w:ascii="Agency FB" w:hAnsi="Agency FB"/>
          <w:sz w:val="40"/>
          <w:szCs w:val="40"/>
        </w:rPr>
      </w:pPr>
    </w:p>
    <w:p w14:paraId="1D85E308" w14:textId="77777777" w:rsidR="00491DF9" w:rsidRDefault="00491DF9" w:rsidP="00491DF9">
      <w:pPr>
        <w:widowControl/>
        <w:autoSpaceDE/>
        <w:autoSpaceDN/>
        <w:spacing w:after="200" w:line="276" w:lineRule="auto"/>
        <w:jc w:val="left"/>
        <w:rPr>
          <w:rFonts w:ascii="Agency FB" w:hAnsi="Agency FB"/>
          <w:sz w:val="40"/>
          <w:szCs w:val="40"/>
        </w:rPr>
      </w:pPr>
    </w:p>
    <w:p w14:paraId="63E5600E" w14:textId="77777777" w:rsidR="00491DF9" w:rsidRDefault="00491DF9" w:rsidP="00491DF9">
      <w:pPr>
        <w:widowControl/>
        <w:autoSpaceDE/>
        <w:autoSpaceDN/>
        <w:spacing w:after="200" w:line="276" w:lineRule="auto"/>
        <w:jc w:val="left"/>
        <w:rPr>
          <w:rFonts w:ascii="Agency FB" w:hAnsi="Agency FB"/>
          <w:sz w:val="40"/>
          <w:szCs w:val="40"/>
        </w:rPr>
      </w:pPr>
    </w:p>
    <w:p w14:paraId="40329195" w14:textId="3463634D" w:rsidR="002F75F5" w:rsidRPr="00491DF9" w:rsidRDefault="002F75F5" w:rsidP="00491DF9">
      <w:pPr>
        <w:widowControl/>
        <w:autoSpaceDE/>
        <w:autoSpaceDN/>
        <w:spacing w:after="200" w:line="276" w:lineRule="auto"/>
        <w:jc w:val="left"/>
        <w:rPr>
          <w:rFonts w:ascii="Arial" w:hAnsi="Arial" w:cs="Arial"/>
          <w:sz w:val="28"/>
          <w:szCs w:val="28"/>
        </w:rPr>
      </w:pPr>
      <w:r w:rsidRPr="00491DF9">
        <w:rPr>
          <w:rFonts w:ascii="Arial" w:hAnsi="Arial" w:cs="Arial"/>
          <w:sz w:val="28"/>
          <w:szCs w:val="28"/>
        </w:rPr>
        <w:lastRenderedPageBreak/>
        <w:t>How to retain and engage employees throughout the employee lifecycle</w:t>
      </w:r>
    </w:p>
    <w:p w14:paraId="54CF60C2" w14:textId="33F69415" w:rsidR="00767158" w:rsidRPr="00667F55" w:rsidRDefault="00767158" w:rsidP="001B0A90">
      <w:pPr>
        <w:spacing w:before="240" w:after="240"/>
        <w:rPr>
          <w:rFonts w:ascii="Arial" w:hAnsi="Arial" w:cs="Arial"/>
        </w:rPr>
      </w:pPr>
      <w:r w:rsidRPr="00667F55">
        <w:rPr>
          <w:rFonts w:ascii="Arial" w:hAnsi="Arial" w:cs="Arial"/>
        </w:rPr>
        <w:t xml:space="preserve">Participation by staff members is a critical concept in resort HR administration. It is a way of enticing and motivating workers to actively engage in company activities and to stay committed to </w:t>
      </w:r>
      <w:proofErr w:type="spellStart"/>
      <w:r w:rsidRPr="00667F55">
        <w:rPr>
          <w:rFonts w:ascii="Arial" w:hAnsi="Arial" w:cs="Arial"/>
        </w:rPr>
        <w:t>organi</w:t>
      </w:r>
      <w:r w:rsidR="00491DF9">
        <w:rPr>
          <w:rFonts w:ascii="Arial" w:hAnsi="Arial" w:cs="Arial"/>
        </w:rPr>
        <w:t>s</w:t>
      </w:r>
      <w:r w:rsidRPr="00667F55">
        <w:rPr>
          <w:rFonts w:ascii="Arial" w:hAnsi="Arial" w:cs="Arial"/>
        </w:rPr>
        <w:t>ational</w:t>
      </w:r>
      <w:proofErr w:type="spellEnd"/>
      <w:r w:rsidRPr="00667F55">
        <w:rPr>
          <w:rFonts w:ascii="Arial" w:hAnsi="Arial" w:cs="Arial"/>
        </w:rPr>
        <w:t xml:space="preserve"> objectives. Employee participation is critical to achieving the objectives and objectives of a business as it ensures workers feel appreciated and have a sense of meaning. It is also critical to </w:t>
      </w:r>
      <w:proofErr w:type="spellStart"/>
      <w:r w:rsidRPr="00667F55">
        <w:rPr>
          <w:rFonts w:ascii="Arial" w:hAnsi="Arial" w:cs="Arial"/>
        </w:rPr>
        <w:t>emphasi</w:t>
      </w:r>
      <w:r w:rsidR="00491DF9">
        <w:rPr>
          <w:rFonts w:ascii="Arial" w:hAnsi="Arial" w:cs="Arial"/>
        </w:rPr>
        <w:t>s</w:t>
      </w:r>
      <w:r w:rsidRPr="00667F55">
        <w:rPr>
          <w:rFonts w:ascii="Arial" w:hAnsi="Arial" w:cs="Arial"/>
        </w:rPr>
        <w:t>e</w:t>
      </w:r>
      <w:proofErr w:type="spellEnd"/>
      <w:r w:rsidRPr="00667F55">
        <w:rPr>
          <w:rFonts w:ascii="Arial" w:hAnsi="Arial" w:cs="Arial"/>
        </w:rPr>
        <w:t xml:space="preserve"> that employee involvement is a continuous process rather than a one-time occurrence</w:t>
      </w:r>
      <w:r w:rsidR="00491DF9">
        <w:rPr>
          <w:rFonts w:ascii="Arial" w:hAnsi="Arial" w:cs="Arial"/>
        </w:rPr>
        <w:t xml:space="preserve"> </w:t>
      </w:r>
      <w:sdt>
        <w:sdtPr>
          <w:rPr>
            <w:rFonts w:ascii="Arial" w:hAnsi="Arial" w:cs="Arial"/>
          </w:rPr>
          <w:id w:val="-1320571178"/>
          <w:citation/>
        </w:sdtPr>
        <w:sdtEndPr/>
        <w:sdtContent>
          <w:r w:rsidR="008706F0" w:rsidRPr="00667F55">
            <w:rPr>
              <w:rFonts w:ascii="Arial" w:hAnsi="Arial" w:cs="Arial"/>
            </w:rPr>
            <w:fldChar w:fldCharType="begin"/>
          </w:r>
          <w:r w:rsidR="00CC6682" w:rsidRPr="00667F55">
            <w:rPr>
              <w:rFonts w:ascii="Arial" w:hAnsi="Arial" w:cs="Arial"/>
            </w:rPr>
            <w:instrText xml:space="preserve"> CITATION Rac21 \l 1033 </w:instrText>
          </w:r>
          <w:r w:rsidR="008706F0" w:rsidRPr="00667F55">
            <w:rPr>
              <w:rFonts w:ascii="Arial" w:hAnsi="Arial" w:cs="Arial"/>
            </w:rPr>
            <w:fldChar w:fldCharType="separate"/>
          </w:r>
          <w:r w:rsidR="00CC6682" w:rsidRPr="00667F55">
            <w:rPr>
              <w:rFonts w:ascii="Arial" w:hAnsi="Arial" w:cs="Arial"/>
              <w:noProof/>
            </w:rPr>
            <w:t>(Rachapalli, 2021)</w:t>
          </w:r>
          <w:r w:rsidR="008706F0" w:rsidRPr="00667F55">
            <w:rPr>
              <w:rFonts w:ascii="Arial" w:hAnsi="Arial" w:cs="Arial"/>
            </w:rPr>
            <w:fldChar w:fldCharType="end"/>
          </w:r>
        </w:sdtContent>
      </w:sdt>
      <w:r w:rsidRPr="00667F55">
        <w:rPr>
          <w:rFonts w:ascii="Arial" w:hAnsi="Arial" w:cs="Arial"/>
        </w:rPr>
        <w:t xml:space="preserve">. Businesses need to comprehend the role of human resources in engaging workers in order to successfully engage them through their work lifecycle. The staff member lifecycle is an important aspect of this strategy since it encompasses a worker's whole journey from recruiting to retirement. As a result, major hotel human resource departments must </w:t>
      </w:r>
      <w:proofErr w:type="spellStart"/>
      <w:r w:rsidRPr="00667F55">
        <w:rPr>
          <w:rFonts w:ascii="Arial" w:hAnsi="Arial" w:cs="Arial"/>
        </w:rPr>
        <w:t>recogni</w:t>
      </w:r>
      <w:r w:rsidR="00491DF9">
        <w:rPr>
          <w:rFonts w:ascii="Arial" w:hAnsi="Arial" w:cs="Arial"/>
        </w:rPr>
        <w:t>s</w:t>
      </w:r>
      <w:r w:rsidRPr="00667F55">
        <w:rPr>
          <w:rFonts w:ascii="Arial" w:hAnsi="Arial" w:cs="Arial"/>
        </w:rPr>
        <w:t>e</w:t>
      </w:r>
      <w:proofErr w:type="spellEnd"/>
      <w:r w:rsidRPr="00667F55">
        <w:rPr>
          <w:rFonts w:ascii="Arial" w:hAnsi="Arial" w:cs="Arial"/>
        </w:rPr>
        <w:t xml:space="preserve"> the need </w:t>
      </w:r>
      <w:proofErr w:type="gramStart"/>
      <w:r w:rsidRPr="00667F55">
        <w:rPr>
          <w:rFonts w:ascii="Arial" w:hAnsi="Arial" w:cs="Arial"/>
        </w:rPr>
        <w:t>of retaining</w:t>
      </w:r>
      <w:proofErr w:type="gramEnd"/>
      <w:r w:rsidRPr="00667F55">
        <w:rPr>
          <w:rFonts w:ascii="Arial" w:hAnsi="Arial" w:cs="Arial"/>
        </w:rPr>
        <w:t xml:space="preserve"> workers throughout their careers.</w:t>
      </w:r>
    </w:p>
    <w:p w14:paraId="32BFCEA4" w14:textId="159BA87F" w:rsidR="00767158" w:rsidRPr="00667F55" w:rsidRDefault="00767158" w:rsidP="001B0A90">
      <w:pPr>
        <w:spacing w:before="240" w:after="240"/>
        <w:rPr>
          <w:rFonts w:ascii="Arial" w:hAnsi="Arial" w:cs="Arial"/>
        </w:rPr>
      </w:pPr>
      <w:r w:rsidRPr="00667F55">
        <w:rPr>
          <w:rFonts w:ascii="Arial" w:hAnsi="Arial" w:cs="Arial"/>
        </w:rPr>
        <w:t>Human resources play a critical role in employee engagement. Human resources specialists are in charge of assisting with the hiring and onboarding processes, as well as developing and maintaining connections with workers throughout their employment with the firm. They are also in charge of assuring that employees have the necessary tools, assets, and assistance to do their responsibilities successfully. Human resources experts are also responsible for creating a good work environment that encourages cooperation, interaction, and trust</w:t>
      </w:r>
      <w:r w:rsidR="00491DF9">
        <w:rPr>
          <w:rFonts w:ascii="Arial" w:hAnsi="Arial" w:cs="Arial"/>
        </w:rPr>
        <w:t xml:space="preserve"> </w:t>
      </w:r>
      <w:sdt>
        <w:sdtPr>
          <w:rPr>
            <w:rFonts w:ascii="Arial" w:hAnsi="Arial" w:cs="Arial"/>
          </w:rPr>
          <w:id w:val="372660565"/>
          <w:citation/>
        </w:sdtPr>
        <w:sdtEndPr/>
        <w:sdtContent>
          <w:r w:rsidR="008706F0" w:rsidRPr="00667F55">
            <w:rPr>
              <w:rFonts w:ascii="Arial" w:hAnsi="Arial" w:cs="Arial"/>
            </w:rPr>
            <w:fldChar w:fldCharType="begin"/>
          </w:r>
          <w:r w:rsidR="00CC6682" w:rsidRPr="00667F55">
            <w:rPr>
              <w:rFonts w:ascii="Arial" w:hAnsi="Arial" w:cs="Arial"/>
            </w:rPr>
            <w:instrText xml:space="preserve"> CITATION Cha182 \l 1033 </w:instrText>
          </w:r>
          <w:r w:rsidR="008706F0" w:rsidRPr="00667F55">
            <w:rPr>
              <w:rFonts w:ascii="Arial" w:hAnsi="Arial" w:cs="Arial"/>
            </w:rPr>
            <w:fldChar w:fldCharType="separate"/>
          </w:r>
          <w:r w:rsidR="00CC6682" w:rsidRPr="00667F55">
            <w:rPr>
              <w:rFonts w:ascii="Arial" w:hAnsi="Arial" w:cs="Arial"/>
              <w:noProof/>
            </w:rPr>
            <w:t>(Chang, 2018)</w:t>
          </w:r>
          <w:r w:rsidR="008706F0" w:rsidRPr="00667F55">
            <w:rPr>
              <w:rFonts w:ascii="Arial" w:hAnsi="Arial" w:cs="Arial"/>
            </w:rPr>
            <w:fldChar w:fldCharType="end"/>
          </w:r>
        </w:sdtContent>
      </w:sdt>
      <w:r w:rsidRPr="00667F55">
        <w:rPr>
          <w:rFonts w:ascii="Arial" w:hAnsi="Arial" w:cs="Arial"/>
        </w:rPr>
        <w:t>. They are also responsible for identifying and resolving staff satisfaction and engagement concerns. One of the most important functions of human resources is to keep people motivated throughout their career. This entails giving workers with the appropriate instruction and growth chances to assist them in developing the skills required for success in their professions. The human resources department should also ensure that workers have access to job explanations, appraisal systems, and job-related information to assist them in understanding their roles and obligations.</w:t>
      </w:r>
    </w:p>
    <w:p w14:paraId="03672D18" w14:textId="67F3B574" w:rsidR="00767158" w:rsidRPr="00667F55" w:rsidRDefault="00767158" w:rsidP="001B0A90">
      <w:pPr>
        <w:spacing w:before="240" w:after="240"/>
        <w:rPr>
          <w:rFonts w:ascii="Arial" w:hAnsi="Arial" w:cs="Arial"/>
        </w:rPr>
      </w:pPr>
      <w:r w:rsidRPr="00667F55">
        <w:rPr>
          <w:rFonts w:ascii="Arial" w:hAnsi="Arial" w:cs="Arial"/>
        </w:rPr>
        <w:t xml:space="preserve">Individuals should get relevant advice and support from human resources to help them reach their full potential and succeed in their positions. Offering rewards and recognition is another critical component of keeping people engaged throughout their careers. Employees may be rewarded for their hard work and devotion via recognition schemes, </w:t>
      </w:r>
      <w:r w:rsidRPr="00667F55">
        <w:rPr>
          <w:rFonts w:ascii="Arial" w:hAnsi="Arial" w:cs="Arial"/>
        </w:rPr>
        <w:lastRenderedPageBreak/>
        <w:t>salary increases, and other rewards. Furthermore, staff members should develop a good work environment that encourages partnership, interaction, and trust</w:t>
      </w:r>
      <w:r w:rsidR="00491DF9">
        <w:rPr>
          <w:rFonts w:ascii="Arial" w:hAnsi="Arial" w:cs="Arial"/>
        </w:rPr>
        <w:t xml:space="preserve"> </w:t>
      </w:r>
      <w:sdt>
        <w:sdtPr>
          <w:rPr>
            <w:rFonts w:ascii="Arial" w:hAnsi="Arial" w:cs="Arial"/>
          </w:rPr>
          <w:id w:val="1126897222"/>
          <w:citation/>
        </w:sdtPr>
        <w:sdtEndPr/>
        <w:sdtContent>
          <w:r w:rsidR="008706F0" w:rsidRPr="00667F55">
            <w:rPr>
              <w:rFonts w:ascii="Arial" w:hAnsi="Arial" w:cs="Arial"/>
            </w:rPr>
            <w:fldChar w:fldCharType="begin"/>
          </w:r>
          <w:r w:rsidR="00CC6682" w:rsidRPr="00667F55">
            <w:rPr>
              <w:rFonts w:ascii="Arial" w:hAnsi="Arial" w:cs="Arial"/>
            </w:rPr>
            <w:instrText xml:space="preserve"> CITATION Pel221 \l 1033 </w:instrText>
          </w:r>
          <w:r w:rsidR="008706F0" w:rsidRPr="00667F55">
            <w:rPr>
              <w:rFonts w:ascii="Arial" w:hAnsi="Arial" w:cs="Arial"/>
            </w:rPr>
            <w:fldChar w:fldCharType="separate"/>
          </w:r>
          <w:r w:rsidR="00CC6682" w:rsidRPr="00667F55">
            <w:rPr>
              <w:rFonts w:ascii="Arial" w:hAnsi="Arial" w:cs="Arial"/>
              <w:noProof/>
            </w:rPr>
            <w:t>(Peleckis, 2022)</w:t>
          </w:r>
          <w:r w:rsidR="008706F0" w:rsidRPr="00667F55">
            <w:rPr>
              <w:rFonts w:ascii="Arial" w:hAnsi="Arial" w:cs="Arial"/>
            </w:rPr>
            <w:fldChar w:fldCharType="end"/>
          </w:r>
        </w:sdtContent>
      </w:sdt>
      <w:r w:rsidRPr="00667F55">
        <w:rPr>
          <w:rFonts w:ascii="Arial" w:hAnsi="Arial" w:cs="Arial"/>
        </w:rPr>
        <w:t>. This might involve periodic team conferences, collaborative events, and other measures to enhance trust and cooperation. Finally, employees must identify and resolve any problems that may be affecting worker engagement and satisfaction. This involves identifying and resolving any issues that might stymie staff engagement and pleasure, such as poor communication, a lack of appreciation, or a lack of funding. Human resources should address emerging problems and work with workers to resolve them. There are several benefits to including a team through the employment lifetime. Using a team ensures that everyone is working toward a same goal and adhering to the same rules</w:t>
      </w:r>
      <w:r w:rsidR="00491DF9">
        <w:rPr>
          <w:rFonts w:ascii="Arial" w:hAnsi="Arial" w:cs="Arial"/>
        </w:rPr>
        <w:t xml:space="preserve"> </w:t>
      </w:r>
      <w:sdt>
        <w:sdtPr>
          <w:rPr>
            <w:rFonts w:ascii="Arial" w:hAnsi="Arial" w:cs="Arial"/>
          </w:rPr>
          <w:id w:val="-1932273635"/>
          <w:citation/>
        </w:sdtPr>
        <w:sdtEndPr/>
        <w:sdtContent>
          <w:r w:rsidR="008706F0" w:rsidRPr="00667F55">
            <w:rPr>
              <w:rFonts w:ascii="Arial" w:hAnsi="Arial" w:cs="Arial"/>
            </w:rPr>
            <w:fldChar w:fldCharType="begin"/>
          </w:r>
          <w:r w:rsidR="00CC6682" w:rsidRPr="00667F55">
            <w:rPr>
              <w:rFonts w:ascii="Arial" w:hAnsi="Arial" w:cs="Arial"/>
            </w:rPr>
            <w:instrText xml:space="preserve"> CITATION Dya201 \l 1033 </w:instrText>
          </w:r>
          <w:r w:rsidR="008706F0" w:rsidRPr="00667F55">
            <w:rPr>
              <w:rFonts w:ascii="Arial" w:hAnsi="Arial" w:cs="Arial"/>
            </w:rPr>
            <w:fldChar w:fldCharType="separate"/>
          </w:r>
          <w:r w:rsidR="00CC6682" w:rsidRPr="00667F55">
            <w:rPr>
              <w:rFonts w:ascii="Arial" w:hAnsi="Arial" w:cs="Arial"/>
              <w:noProof/>
            </w:rPr>
            <w:t>(Dyanasari, 2020)</w:t>
          </w:r>
          <w:r w:rsidR="008706F0" w:rsidRPr="00667F55">
            <w:rPr>
              <w:rFonts w:ascii="Arial" w:hAnsi="Arial" w:cs="Arial"/>
            </w:rPr>
            <w:fldChar w:fldCharType="end"/>
          </w:r>
        </w:sdtContent>
      </w:sdt>
      <w:r w:rsidRPr="00667F55">
        <w:rPr>
          <w:rFonts w:ascii="Arial" w:hAnsi="Arial" w:cs="Arial"/>
        </w:rPr>
        <w:t>. It also fosters collaboration as well as interaction, which may contribute to improved team effectiveness and efficiency. Involving a team also helps to ensure that everyone is on the same page and working toward the same goals.</w:t>
      </w:r>
    </w:p>
    <w:p w14:paraId="28399815" w14:textId="08F54ED5" w:rsidR="00767158" w:rsidRPr="00667F55" w:rsidRDefault="00767158" w:rsidP="001B0A90">
      <w:pPr>
        <w:spacing w:before="240" w:after="240"/>
        <w:rPr>
          <w:rFonts w:ascii="Arial" w:hAnsi="Arial" w:cs="Arial"/>
        </w:rPr>
      </w:pPr>
      <w:r w:rsidRPr="00667F55">
        <w:rPr>
          <w:rFonts w:ascii="Arial" w:hAnsi="Arial" w:cs="Arial"/>
        </w:rPr>
        <w:t xml:space="preserve">People are the lifeblood of every </w:t>
      </w:r>
      <w:proofErr w:type="spellStart"/>
      <w:r w:rsidRPr="00667F55">
        <w:rPr>
          <w:rFonts w:ascii="Arial" w:hAnsi="Arial" w:cs="Arial"/>
        </w:rPr>
        <w:t>organi</w:t>
      </w:r>
      <w:r w:rsidR="00491DF9">
        <w:rPr>
          <w:rFonts w:ascii="Arial" w:hAnsi="Arial" w:cs="Arial"/>
        </w:rPr>
        <w:t>s</w:t>
      </w:r>
      <w:r w:rsidRPr="00667F55">
        <w:rPr>
          <w:rFonts w:ascii="Arial" w:hAnsi="Arial" w:cs="Arial"/>
        </w:rPr>
        <w:t>ation</w:t>
      </w:r>
      <w:proofErr w:type="spellEnd"/>
      <w:r w:rsidRPr="00667F55">
        <w:rPr>
          <w:rFonts w:ascii="Arial" w:hAnsi="Arial" w:cs="Arial"/>
        </w:rPr>
        <w:t xml:space="preserve">, therefore maintaining them engaged is crucial to boosting efficiency and achieving success. Participation by workers is critical to maintaining satisfaction with work and efficiency across the employment lifetime. </w:t>
      </w:r>
    </w:p>
    <w:p w14:paraId="448C3778" w14:textId="024C7B20" w:rsidR="00767158" w:rsidRPr="00667F55" w:rsidRDefault="00767158" w:rsidP="001B0A90">
      <w:pPr>
        <w:spacing w:before="240" w:after="240"/>
        <w:rPr>
          <w:rFonts w:ascii="Arial" w:hAnsi="Arial" w:cs="Arial"/>
        </w:rPr>
      </w:pPr>
      <w:r w:rsidRPr="00667F55">
        <w:rPr>
          <w:rFonts w:ascii="Arial" w:hAnsi="Arial" w:cs="Arial"/>
        </w:rPr>
        <w:t xml:space="preserve">Attracting prospective workers is the first stage in the staff member lifecycle. </w:t>
      </w:r>
      <w:proofErr w:type="spellStart"/>
      <w:r w:rsidRPr="00667F55">
        <w:rPr>
          <w:rFonts w:ascii="Arial" w:hAnsi="Arial" w:cs="Arial"/>
        </w:rPr>
        <w:t>Organi</w:t>
      </w:r>
      <w:r w:rsidR="00491DF9">
        <w:rPr>
          <w:rFonts w:ascii="Arial" w:hAnsi="Arial" w:cs="Arial"/>
        </w:rPr>
        <w:t>s</w:t>
      </w:r>
      <w:r w:rsidRPr="00667F55">
        <w:rPr>
          <w:rFonts w:ascii="Arial" w:hAnsi="Arial" w:cs="Arial"/>
        </w:rPr>
        <w:t>ations</w:t>
      </w:r>
      <w:proofErr w:type="spellEnd"/>
      <w:r w:rsidRPr="00667F55">
        <w:rPr>
          <w:rFonts w:ascii="Arial" w:hAnsi="Arial" w:cs="Arial"/>
        </w:rPr>
        <w:t xml:space="preserve"> must create a pleasing image that attracts qualified people. This may be achieved by creating an excellent employer brand, offering comparable benefits and wages, and </w:t>
      </w:r>
      <w:proofErr w:type="spellStart"/>
      <w:r w:rsidRPr="00667F55">
        <w:rPr>
          <w:rFonts w:ascii="Arial" w:hAnsi="Arial" w:cs="Arial"/>
        </w:rPr>
        <w:t>emphasi</w:t>
      </w:r>
      <w:r w:rsidR="00491DF9">
        <w:rPr>
          <w:rFonts w:ascii="Arial" w:hAnsi="Arial" w:cs="Arial"/>
        </w:rPr>
        <w:t>s</w:t>
      </w:r>
      <w:r w:rsidRPr="00667F55">
        <w:rPr>
          <w:rFonts w:ascii="Arial" w:hAnsi="Arial" w:cs="Arial"/>
        </w:rPr>
        <w:t>ing</w:t>
      </w:r>
      <w:proofErr w:type="spellEnd"/>
      <w:r w:rsidRPr="00667F55">
        <w:rPr>
          <w:rFonts w:ascii="Arial" w:hAnsi="Arial" w:cs="Arial"/>
        </w:rPr>
        <w:t xml:space="preserve"> the company's principles and culture</w:t>
      </w:r>
      <w:r w:rsidR="00491DF9">
        <w:rPr>
          <w:rFonts w:ascii="Arial" w:hAnsi="Arial" w:cs="Arial"/>
        </w:rPr>
        <w:t xml:space="preserve"> </w:t>
      </w:r>
      <w:sdt>
        <w:sdtPr>
          <w:rPr>
            <w:rFonts w:ascii="Arial" w:hAnsi="Arial" w:cs="Arial"/>
          </w:rPr>
          <w:id w:val="-1305002841"/>
          <w:citation/>
        </w:sdtPr>
        <w:sdtEndPr/>
        <w:sdtContent>
          <w:r w:rsidR="008706F0" w:rsidRPr="00667F55">
            <w:rPr>
              <w:rFonts w:ascii="Arial" w:hAnsi="Arial" w:cs="Arial"/>
            </w:rPr>
            <w:fldChar w:fldCharType="begin"/>
          </w:r>
          <w:r w:rsidR="00CC6682" w:rsidRPr="00667F55">
            <w:rPr>
              <w:rFonts w:ascii="Arial" w:hAnsi="Arial" w:cs="Arial"/>
            </w:rPr>
            <w:instrText xml:space="preserve"> CITATION Sin191 \l 1033 </w:instrText>
          </w:r>
          <w:r w:rsidR="008706F0" w:rsidRPr="00667F55">
            <w:rPr>
              <w:rFonts w:ascii="Arial" w:hAnsi="Arial" w:cs="Arial"/>
            </w:rPr>
            <w:fldChar w:fldCharType="separate"/>
          </w:r>
          <w:r w:rsidR="00CC6682" w:rsidRPr="00667F55">
            <w:rPr>
              <w:rFonts w:ascii="Arial" w:hAnsi="Arial" w:cs="Arial"/>
              <w:noProof/>
            </w:rPr>
            <w:t>(Singh, 2019)</w:t>
          </w:r>
          <w:r w:rsidR="008706F0" w:rsidRPr="00667F55">
            <w:rPr>
              <w:rFonts w:ascii="Arial" w:hAnsi="Arial" w:cs="Arial"/>
            </w:rPr>
            <w:fldChar w:fldCharType="end"/>
          </w:r>
        </w:sdtContent>
      </w:sdt>
      <w:r w:rsidRPr="00667F55">
        <w:rPr>
          <w:rFonts w:ascii="Arial" w:hAnsi="Arial" w:cs="Arial"/>
        </w:rPr>
        <w:t>. Firms should also be visible on job boards, the internet, and other recruiting platforms. Companies should also think about offering referral bonuses and incentive systems to encourage existing workers to suggest relatives an</w:t>
      </w:r>
      <w:r w:rsidR="007F24CA" w:rsidRPr="00667F55">
        <w:rPr>
          <w:rFonts w:ascii="Arial" w:hAnsi="Arial" w:cs="Arial"/>
        </w:rPr>
        <w:t>d close associates to open jobs</w:t>
      </w:r>
    </w:p>
    <w:p w14:paraId="5238C844" w14:textId="4B1C34D8" w:rsidR="00767158" w:rsidRPr="00667F55" w:rsidRDefault="00767158" w:rsidP="001B0A90">
      <w:pPr>
        <w:spacing w:before="240" w:after="240"/>
        <w:rPr>
          <w:rFonts w:ascii="Arial" w:hAnsi="Arial" w:cs="Arial"/>
        </w:rPr>
      </w:pPr>
      <w:r w:rsidRPr="00667F55">
        <w:rPr>
          <w:rFonts w:ascii="Arial" w:hAnsi="Arial" w:cs="Arial"/>
        </w:rPr>
        <w:t xml:space="preserve">The second stage of the staff member lifecycle is recruiting, which is a critical component of the staff involvement process. Human resources departments at major hotels must have strong recruiting procedures in place to attract qualified candidates for the positions they are looking to fill. This involves a thorough understanding of the </w:t>
      </w:r>
      <w:proofErr w:type="gramStart"/>
      <w:r w:rsidRPr="00667F55">
        <w:rPr>
          <w:rFonts w:ascii="Arial" w:hAnsi="Arial" w:cs="Arial"/>
        </w:rPr>
        <w:t>abilities</w:t>
      </w:r>
      <w:proofErr w:type="gramEnd"/>
      <w:r w:rsidRPr="00667F55">
        <w:rPr>
          <w:rFonts w:ascii="Arial" w:hAnsi="Arial" w:cs="Arial"/>
        </w:rPr>
        <w:t xml:space="preserve"> credentials, and knowledge needed for various vocations</w:t>
      </w:r>
      <w:r w:rsidR="00491DF9">
        <w:rPr>
          <w:rFonts w:ascii="Arial" w:hAnsi="Arial" w:cs="Arial"/>
        </w:rPr>
        <w:t xml:space="preserve"> </w:t>
      </w:r>
      <w:sdt>
        <w:sdtPr>
          <w:rPr>
            <w:rFonts w:ascii="Arial" w:hAnsi="Arial" w:cs="Arial"/>
          </w:rPr>
          <w:id w:val="-990944230"/>
          <w:citation/>
        </w:sdtPr>
        <w:sdtEndPr/>
        <w:sdtContent>
          <w:r w:rsidR="008706F0" w:rsidRPr="00667F55">
            <w:rPr>
              <w:rFonts w:ascii="Arial" w:hAnsi="Arial" w:cs="Arial"/>
            </w:rPr>
            <w:fldChar w:fldCharType="begin"/>
          </w:r>
          <w:r w:rsidR="00CC6682" w:rsidRPr="00667F55">
            <w:rPr>
              <w:rFonts w:ascii="Arial" w:hAnsi="Arial" w:cs="Arial"/>
            </w:rPr>
            <w:instrText xml:space="preserve"> CITATION Cha182 \l 1033 </w:instrText>
          </w:r>
          <w:r w:rsidR="008706F0" w:rsidRPr="00667F55">
            <w:rPr>
              <w:rFonts w:ascii="Arial" w:hAnsi="Arial" w:cs="Arial"/>
            </w:rPr>
            <w:fldChar w:fldCharType="separate"/>
          </w:r>
          <w:r w:rsidR="00CC6682" w:rsidRPr="00667F55">
            <w:rPr>
              <w:rFonts w:ascii="Arial" w:hAnsi="Arial" w:cs="Arial"/>
              <w:noProof/>
            </w:rPr>
            <w:t>(Chang, 2018)</w:t>
          </w:r>
          <w:r w:rsidR="008706F0" w:rsidRPr="00667F55">
            <w:rPr>
              <w:rFonts w:ascii="Arial" w:hAnsi="Arial" w:cs="Arial"/>
            </w:rPr>
            <w:fldChar w:fldCharType="end"/>
          </w:r>
        </w:sdtContent>
      </w:sdt>
      <w:r w:rsidRPr="00667F55">
        <w:rPr>
          <w:rFonts w:ascii="Arial" w:hAnsi="Arial" w:cs="Arial"/>
        </w:rPr>
        <w:t xml:space="preserve">. Also, the hiring process should be carefully managed to guarantee that the right individuals are chosen and that </w:t>
      </w:r>
      <w:r w:rsidRPr="00667F55">
        <w:rPr>
          <w:rFonts w:ascii="Arial" w:hAnsi="Arial" w:cs="Arial"/>
        </w:rPr>
        <w:lastRenderedPageBreak/>
        <w:t>they feel welcomed and encouraged. This is possible through offering precise positions, performing comprehensive interviews, and offering adequate instruction and help.</w:t>
      </w:r>
    </w:p>
    <w:p w14:paraId="6767B217" w14:textId="77777777" w:rsidR="00767158" w:rsidRPr="00667F55" w:rsidRDefault="00767158" w:rsidP="002A6A6A">
      <w:pPr>
        <w:spacing w:before="240" w:after="240"/>
        <w:rPr>
          <w:rFonts w:ascii="Arial" w:hAnsi="Arial" w:cs="Arial"/>
        </w:rPr>
      </w:pPr>
      <w:r w:rsidRPr="00667F55">
        <w:rPr>
          <w:rFonts w:ascii="Arial" w:hAnsi="Arial" w:cs="Arial"/>
        </w:rPr>
        <w:t>In terms of engagement among staff members, induction is the third phase in the staff member lifecycle and is equally as important as recruiting. The HR department must ensure that new employees receive the tools they need to feel at home and supported in their new positions. Providing an effective procedure for onboarding that includes introductions, instruction, and access to assets is part of this. Also, the method of onboarding should be customized for each individual to ensure they get the guidance and skills they need to thrive in their new position.</w:t>
      </w:r>
    </w:p>
    <w:p w14:paraId="102810F2" w14:textId="1424217C" w:rsidR="00767158" w:rsidRPr="00667F55" w:rsidRDefault="00767158" w:rsidP="002A6A6A">
      <w:pPr>
        <w:spacing w:before="240" w:after="240"/>
        <w:rPr>
          <w:rFonts w:ascii="Arial" w:hAnsi="Arial" w:cs="Arial"/>
        </w:rPr>
      </w:pPr>
      <w:r w:rsidRPr="00667F55">
        <w:rPr>
          <w:rFonts w:ascii="Arial" w:hAnsi="Arial" w:cs="Arial"/>
        </w:rPr>
        <w:t>Employee loyalty is dependent on the fourth phase of the employee lifecycle, growth. The departments of human resources must ensure that workers may develop and advance within the firm</w:t>
      </w:r>
      <w:r w:rsidR="00491DF9">
        <w:rPr>
          <w:rFonts w:ascii="Arial" w:hAnsi="Arial" w:cs="Arial"/>
        </w:rPr>
        <w:t xml:space="preserve"> </w:t>
      </w:r>
      <w:sdt>
        <w:sdtPr>
          <w:rPr>
            <w:rFonts w:ascii="Arial" w:hAnsi="Arial" w:cs="Arial"/>
          </w:rPr>
          <w:id w:val="-1667617672"/>
          <w:citation/>
        </w:sdtPr>
        <w:sdtEndPr/>
        <w:sdtContent>
          <w:r w:rsidR="008706F0" w:rsidRPr="00667F55">
            <w:rPr>
              <w:rFonts w:ascii="Arial" w:hAnsi="Arial" w:cs="Arial"/>
            </w:rPr>
            <w:fldChar w:fldCharType="begin"/>
          </w:r>
          <w:r w:rsidR="00CC6682" w:rsidRPr="00667F55">
            <w:rPr>
              <w:rFonts w:ascii="Arial" w:hAnsi="Arial" w:cs="Arial"/>
            </w:rPr>
            <w:instrText xml:space="preserve"> CITATION Rac21 \l 1033 </w:instrText>
          </w:r>
          <w:r w:rsidR="008706F0" w:rsidRPr="00667F55">
            <w:rPr>
              <w:rFonts w:ascii="Arial" w:hAnsi="Arial" w:cs="Arial"/>
            </w:rPr>
            <w:fldChar w:fldCharType="separate"/>
          </w:r>
          <w:r w:rsidR="00CC6682" w:rsidRPr="00667F55">
            <w:rPr>
              <w:rFonts w:ascii="Arial" w:hAnsi="Arial" w:cs="Arial"/>
              <w:noProof/>
            </w:rPr>
            <w:t>(Rachapalli, 2021)</w:t>
          </w:r>
          <w:r w:rsidR="008706F0" w:rsidRPr="00667F55">
            <w:rPr>
              <w:rFonts w:ascii="Arial" w:hAnsi="Arial" w:cs="Arial"/>
            </w:rPr>
            <w:fldChar w:fldCharType="end"/>
          </w:r>
        </w:sdtContent>
      </w:sdt>
      <w:r w:rsidRPr="00667F55">
        <w:rPr>
          <w:rFonts w:ascii="Arial" w:hAnsi="Arial" w:cs="Arial"/>
        </w:rPr>
        <w:t>. This indicates that they must give workers with access to chances for growth and education, as well as aid with their professional growth. Furthermore, the division of human resources should guarantee that workers have the ability to take on new responsibilities and tasks inside the firm.</w:t>
      </w:r>
    </w:p>
    <w:p w14:paraId="6C1EDFAA" w14:textId="35731CA8" w:rsidR="00767158" w:rsidRPr="00667F55" w:rsidRDefault="00767158" w:rsidP="001B0A90">
      <w:pPr>
        <w:spacing w:before="240" w:after="240"/>
        <w:rPr>
          <w:rFonts w:ascii="Arial" w:hAnsi="Arial" w:cs="Arial"/>
        </w:rPr>
      </w:pPr>
      <w:r w:rsidRPr="00667F55">
        <w:rPr>
          <w:rFonts w:ascii="Arial" w:hAnsi="Arial" w:cs="Arial"/>
        </w:rPr>
        <w:t xml:space="preserve">Retention is the fifth phase of the worker's lifecycle and is crucial to employee retention. Personnel departments must guarantee that workers have the support and tools that they need to be engaged and productive in their jobs. This offers reasonable salary and benefits, as well as opportunities for progression and training. In addition, the human resources division should foster an open and welcoming work environment where workers are </w:t>
      </w:r>
      <w:proofErr w:type="spellStart"/>
      <w:r w:rsidRPr="00667F55">
        <w:rPr>
          <w:rFonts w:ascii="Arial" w:hAnsi="Arial" w:cs="Arial"/>
        </w:rPr>
        <w:t>recogni</w:t>
      </w:r>
      <w:r w:rsidR="00491DF9">
        <w:rPr>
          <w:rFonts w:ascii="Arial" w:hAnsi="Arial" w:cs="Arial"/>
        </w:rPr>
        <w:t>s</w:t>
      </w:r>
      <w:r w:rsidRPr="00667F55">
        <w:rPr>
          <w:rFonts w:ascii="Arial" w:hAnsi="Arial" w:cs="Arial"/>
        </w:rPr>
        <w:t>ed</w:t>
      </w:r>
      <w:proofErr w:type="spellEnd"/>
      <w:r w:rsidRPr="00667F55">
        <w:rPr>
          <w:rFonts w:ascii="Arial" w:hAnsi="Arial" w:cs="Arial"/>
        </w:rPr>
        <w:t xml:space="preserve"> and valued for their efforts.</w:t>
      </w:r>
    </w:p>
    <w:p w14:paraId="77776F18" w14:textId="1C1F1B92" w:rsidR="00767158" w:rsidRPr="00667F55" w:rsidRDefault="00767158" w:rsidP="001B0A90">
      <w:pPr>
        <w:spacing w:before="240" w:after="240"/>
        <w:rPr>
          <w:rFonts w:ascii="Arial" w:hAnsi="Arial" w:cs="Arial"/>
        </w:rPr>
      </w:pPr>
      <w:r w:rsidRPr="00667F55">
        <w:rPr>
          <w:rFonts w:ascii="Arial" w:hAnsi="Arial" w:cs="Arial"/>
        </w:rPr>
        <w:t>The last step of the worker lifetime and an important part of the procedure for engagement is disengagement. The departments of human resources must ensure that leaving workers are treated with respect and provided with help throughout the process of transition. This involves conducting departure questions and providing staff with performance reviews</w:t>
      </w:r>
      <w:r w:rsidR="00491DF9">
        <w:rPr>
          <w:rFonts w:ascii="Arial" w:hAnsi="Arial" w:cs="Arial"/>
        </w:rPr>
        <w:t xml:space="preserve"> </w:t>
      </w:r>
      <w:sdt>
        <w:sdtPr>
          <w:rPr>
            <w:rFonts w:ascii="Arial" w:hAnsi="Arial" w:cs="Arial"/>
          </w:rPr>
          <w:id w:val="-1713111067"/>
          <w:citation/>
        </w:sdtPr>
        <w:sdtEndPr/>
        <w:sdtContent>
          <w:r w:rsidR="008706F0" w:rsidRPr="00667F55">
            <w:rPr>
              <w:rFonts w:ascii="Arial" w:hAnsi="Arial" w:cs="Arial"/>
            </w:rPr>
            <w:fldChar w:fldCharType="begin"/>
          </w:r>
          <w:r w:rsidR="00CC6682" w:rsidRPr="00667F55">
            <w:rPr>
              <w:rFonts w:ascii="Arial" w:hAnsi="Arial" w:cs="Arial"/>
            </w:rPr>
            <w:instrText xml:space="preserve"> CITATION Pel221 \l 1033 </w:instrText>
          </w:r>
          <w:r w:rsidR="008706F0" w:rsidRPr="00667F55">
            <w:rPr>
              <w:rFonts w:ascii="Arial" w:hAnsi="Arial" w:cs="Arial"/>
            </w:rPr>
            <w:fldChar w:fldCharType="separate"/>
          </w:r>
          <w:r w:rsidR="00CC6682" w:rsidRPr="00667F55">
            <w:rPr>
              <w:rFonts w:ascii="Arial" w:hAnsi="Arial" w:cs="Arial"/>
              <w:noProof/>
            </w:rPr>
            <w:t>(Peleckis, 2022)</w:t>
          </w:r>
          <w:r w:rsidR="008706F0" w:rsidRPr="00667F55">
            <w:rPr>
              <w:rFonts w:ascii="Arial" w:hAnsi="Arial" w:cs="Arial"/>
            </w:rPr>
            <w:fldChar w:fldCharType="end"/>
          </w:r>
        </w:sdtContent>
      </w:sdt>
      <w:r w:rsidRPr="00667F55">
        <w:rPr>
          <w:rFonts w:ascii="Arial" w:hAnsi="Arial" w:cs="Arial"/>
        </w:rPr>
        <w:t>. Furthermore, the human resources division should provide leaving workers with the tools they need to smoothly settle into their new responsibilities.</w:t>
      </w:r>
    </w:p>
    <w:p w14:paraId="3BEDF31D" w14:textId="2C03591A" w:rsidR="00767158" w:rsidRPr="00667F55" w:rsidRDefault="00767158" w:rsidP="001B0A90">
      <w:pPr>
        <w:spacing w:before="240" w:after="240"/>
        <w:rPr>
          <w:rFonts w:ascii="Arial" w:hAnsi="Arial" w:cs="Arial"/>
        </w:rPr>
      </w:pPr>
      <w:r w:rsidRPr="00667F55">
        <w:rPr>
          <w:rFonts w:ascii="Arial" w:hAnsi="Arial" w:cs="Arial"/>
        </w:rPr>
        <w:lastRenderedPageBreak/>
        <w:t>Businesses must create a culture that encourages personnel involvement and inspires them. Individuals that are interested are more likely to be successful and devoted to their employment, which may lead to improved client satisfaction, greater income, and a more favorable work environment. Businesses ought to attempt to create an environment that promotes autonomy among staff members, acknowledgment, and growth in order to maintain employee engagement throughout the job lifetime</w:t>
      </w:r>
      <w:r w:rsidR="00491DF9">
        <w:rPr>
          <w:rFonts w:ascii="Arial" w:hAnsi="Arial" w:cs="Arial"/>
        </w:rPr>
        <w:t xml:space="preserve"> </w:t>
      </w:r>
      <w:sdt>
        <w:sdtPr>
          <w:rPr>
            <w:rFonts w:ascii="Arial" w:hAnsi="Arial" w:cs="Arial"/>
          </w:rPr>
          <w:id w:val="-467209906"/>
          <w:citation/>
        </w:sdtPr>
        <w:sdtEndPr/>
        <w:sdtContent>
          <w:r w:rsidR="008706F0" w:rsidRPr="00667F55">
            <w:rPr>
              <w:rFonts w:ascii="Arial" w:hAnsi="Arial" w:cs="Arial"/>
            </w:rPr>
            <w:fldChar w:fldCharType="begin"/>
          </w:r>
          <w:r w:rsidR="00CC6682" w:rsidRPr="00667F55">
            <w:rPr>
              <w:rFonts w:ascii="Arial" w:hAnsi="Arial" w:cs="Arial"/>
            </w:rPr>
            <w:instrText xml:space="preserve"> CITATION Dya201 \l 1033 </w:instrText>
          </w:r>
          <w:r w:rsidR="008706F0" w:rsidRPr="00667F55">
            <w:rPr>
              <w:rFonts w:ascii="Arial" w:hAnsi="Arial" w:cs="Arial"/>
            </w:rPr>
            <w:fldChar w:fldCharType="separate"/>
          </w:r>
          <w:r w:rsidR="00CC6682" w:rsidRPr="00667F55">
            <w:rPr>
              <w:rFonts w:ascii="Arial" w:hAnsi="Arial" w:cs="Arial"/>
              <w:noProof/>
            </w:rPr>
            <w:t>(Dyanasari, 2020)</w:t>
          </w:r>
          <w:r w:rsidR="008706F0" w:rsidRPr="00667F55">
            <w:rPr>
              <w:rFonts w:ascii="Arial" w:hAnsi="Arial" w:cs="Arial"/>
            </w:rPr>
            <w:fldChar w:fldCharType="end"/>
          </w:r>
        </w:sdtContent>
      </w:sdt>
      <w:r w:rsidRPr="00667F55">
        <w:rPr>
          <w:rFonts w:ascii="Arial" w:hAnsi="Arial" w:cs="Arial"/>
        </w:rPr>
        <w:t xml:space="preserve">. Giving </w:t>
      </w:r>
      <w:r w:rsidR="00CC6682" w:rsidRPr="00667F55">
        <w:rPr>
          <w:rFonts w:ascii="Arial" w:hAnsi="Arial" w:cs="Arial"/>
        </w:rPr>
        <w:t>employee’s</w:t>
      </w:r>
      <w:r w:rsidRPr="00667F55">
        <w:rPr>
          <w:rFonts w:ascii="Arial" w:hAnsi="Arial" w:cs="Arial"/>
        </w:rPr>
        <w:t xml:space="preserve"> autonomy is one way to keep them motivated. This means enabling them to make their own judgments and working on their own schedules. Employees who have this amount of autonomy may feel at ease and competent in taking on more duties. It also allows students to own their work and feel proud of their accomplishments. Businesses may also reward their workers' achievements. This may be achieved via reward and recognition programs, as well as just praising employees for their efforts. People who receive recognition feel appreciated and valued, which may lead to increased enthusiasm and participation.</w:t>
      </w:r>
    </w:p>
    <w:p w14:paraId="32948211" w14:textId="177E11AA" w:rsidR="00767158" w:rsidRPr="00667F55" w:rsidRDefault="00767158" w:rsidP="001B0A90">
      <w:pPr>
        <w:spacing w:before="240" w:after="240"/>
        <w:rPr>
          <w:rFonts w:ascii="Arial" w:hAnsi="Arial" w:cs="Arial"/>
        </w:rPr>
      </w:pPr>
      <w:r w:rsidRPr="00667F55">
        <w:rPr>
          <w:rFonts w:ascii="Arial" w:hAnsi="Arial" w:cs="Arial"/>
        </w:rPr>
        <w:t>The second technique for employee engagement is to provide chances for professional growth. This may include training, mentoring, and other types of personal growth. Continuing education may assist individuals in remaining up to date on industry advances and relevant in the employment market. It may also increase employee engagement and enable them to enhance their skill set</w:t>
      </w:r>
      <w:r w:rsidR="00491DF9">
        <w:rPr>
          <w:rFonts w:ascii="Arial" w:hAnsi="Arial" w:cs="Arial"/>
        </w:rPr>
        <w:t xml:space="preserve"> </w:t>
      </w:r>
      <w:sdt>
        <w:sdtPr>
          <w:rPr>
            <w:rFonts w:ascii="Arial" w:hAnsi="Arial" w:cs="Arial"/>
          </w:rPr>
          <w:id w:val="112023362"/>
          <w:citation/>
        </w:sdtPr>
        <w:sdtEndPr/>
        <w:sdtContent>
          <w:r w:rsidR="008706F0" w:rsidRPr="00667F55">
            <w:rPr>
              <w:rFonts w:ascii="Arial" w:hAnsi="Arial" w:cs="Arial"/>
            </w:rPr>
            <w:fldChar w:fldCharType="begin"/>
          </w:r>
          <w:r w:rsidR="00CC6682" w:rsidRPr="00667F55">
            <w:rPr>
              <w:rFonts w:ascii="Arial" w:hAnsi="Arial" w:cs="Arial"/>
            </w:rPr>
            <w:instrText xml:space="preserve"> CITATION Cha182 \l 1033 </w:instrText>
          </w:r>
          <w:r w:rsidR="008706F0" w:rsidRPr="00667F55">
            <w:rPr>
              <w:rFonts w:ascii="Arial" w:hAnsi="Arial" w:cs="Arial"/>
            </w:rPr>
            <w:fldChar w:fldCharType="separate"/>
          </w:r>
          <w:r w:rsidR="00CC6682" w:rsidRPr="00667F55">
            <w:rPr>
              <w:rFonts w:ascii="Arial" w:hAnsi="Arial" w:cs="Arial"/>
              <w:noProof/>
            </w:rPr>
            <w:t>(Chang, 2018)</w:t>
          </w:r>
          <w:r w:rsidR="008706F0" w:rsidRPr="00667F55">
            <w:rPr>
              <w:rFonts w:ascii="Arial" w:hAnsi="Arial" w:cs="Arial"/>
            </w:rPr>
            <w:fldChar w:fldCharType="end"/>
          </w:r>
        </w:sdtContent>
      </w:sdt>
      <w:r w:rsidRPr="00667F55">
        <w:rPr>
          <w:rFonts w:ascii="Arial" w:hAnsi="Arial" w:cs="Arial"/>
        </w:rPr>
        <w:t>. A third technique of engaging workers is to put into effect a staff involvement model. A model for staff engagement may help firms monitor and increase employee engagement levels. To comprehend employee satisfaction, this technique may use focus groups, polls, and interviewing. Staff resignations, absences, and involvement ratings are also useful in identifying areas for development. Businesses may then utilize this information to create programs to boost engagement among staff members.</w:t>
      </w:r>
    </w:p>
    <w:p w14:paraId="064E9A8D" w14:textId="041F94A5" w:rsidR="00767158" w:rsidRPr="00667F55" w:rsidRDefault="00767158" w:rsidP="001B0A90">
      <w:pPr>
        <w:spacing w:before="240" w:after="240"/>
        <w:rPr>
          <w:rFonts w:ascii="Arial" w:hAnsi="Arial" w:cs="Arial"/>
        </w:rPr>
      </w:pPr>
      <w:r w:rsidRPr="00667F55">
        <w:rPr>
          <w:rFonts w:ascii="Arial" w:hAnsi="Arial" w:cs="Arial"/>
        </w:rPr>
        <w:t xml:space="preserve">The Gallup worker engagement model is a complete set of tactics, behaviors, and attitudes that businesses use to build a culture of involvement among their workers. This strategy, which has been adopted by numerous big </w:t>
      </w:r>
      <w:proofErr w:type="spellStart"/>
      <w:r w:rsidRPr="00667F55">
        <w:rPr>
          <w:rFonts w:ascii="Arial" w:hAnsi="Arial" w:cs="Arial"/>
        </w:rPr>
        <w:t>organi</w:t>
      </w:r>
      <w:r w:rsidR="007546DB">
        <w:rPr>
          <w:rFonts w:ascii="Arial" w:hAnsi="Arial" w:cs="Arial"/>
        </w:rPr>
        <w:t>s</w:t>
      </w:r>
      <w:r w:rsidRPr="00667F55">
        <w:rPr>
          <w:rFonts w:ascii="Arial" w:hAnsi="Arial" w:cs="Arial"/>
        </w:rPr>
        <w:t>ations</w:t>
      </w:r>
      <w:proofErr w:type="spellEnd"/>
      <w:r w:rsidRPr="00667F55">
        <w:rPr>
          <w:rFonts w:ascii="Arial" w:hAnsi="Arial" w:cs="Arial"/>
        </w:rPr>
        <w:t>, particularly accommodations, has become an increasing vital part of human resource management</w:t>
      </w:r>
      <w:r w:rsidR="00491DF9">
        <w:rPr>
          <w:rFonts w:ascii="Arial" w:hAnsi="Arial" w:cs="Arial"/>
        </w:rPr>
        <w:t xml:space="preserve"> </w:t>
      </w:r>
      <w:sdt>
        <w:sdtPr>
          <w:rPr>
            <w:rFonts w:ascii="Arial" w:hAnsi="Arial" w:cs="Arial"/>
          </w:rPr>
          <w:id w:val="325629413"/>
          <w:citation/>
        </w:sdtPr>
        <w:sdtEndPr/>
        <w:sdtContent>
          <w:r w:rsidR="008706F0" w:rsidRPr="00667F55">
            <w:rPr>
              <w:rFonts w:ascii="Arial" w:hAnsi="Arial" w:cs="Arial"/>
            </w:rPr>
            <w:fldChar w:fldCharType="begin"/>
          </w:r>
          <w:r w:rsidR="00CC6682" w:rsidRPr="00667F55">
            <w:rPr>
              <w:rFonts w:ascii="Arial" w:hAnsi="Arial" w:cs="Arial"/>
            </w:rPr>
            <w:instrText xml:space="preserve"> CITATION Sin191 \l 1033 </w:instrText>
          </w:r>
          <w:r w:rsidR="008706F0" w:rsidRPr="00667F55">
            <w:rPr>
              <w:rFonts w:ascii="Arial" w:hAnsi="Arial" w:cs="Arial"/>
            </w:rPr>
            <w:fldChar w:fldCharType="separate"/>
          </w:r>
          <w:r w:rsidR="00CC6682" w:rsidRPr="00667F55">
            <w:rPr>
              <w:rFonts w:ascii="Arial" w:hAnsi="Arial" w:cs="Arial"/>
              <w:noProof/>
            </w:rPr>
            <w:t>(Singh, 2019)</w:t>
          </w:r>
          <w:r w:rsidR="008706F0" w:rsidRPr="00667F55">
            <w:rPr>
              <w:rFonts w:ascii="Arial" w:hAnsi="Arial" w:cs="Arial"/>
            </w:rPr>
            <w:fldChar w:fldCharType="end"/>
          </w:r>
        </w:sdtContent>
      </w:sdt>
      <w:r w:rsidRPr="00667F55">
        <w:rPr>
          <w:rFonts w:ascii="Arial" w:hAnsi="Arial" w:cs="Arial"/>
        </w:rPr>
        <w:t xml:space="preserve">. The Gallup model is broken down into four sections: purpose, </w:t>
      </w:r>
      <w:r w:rsidRPr="00667F55">
        <w:rPr>
          <w:rFonts w:ascii="Arial" w:hAnsi="Arial" w:cs="Arial"/>
        </w:rPr>
        <w:lastRenderedPageBreak/>
        <w:t>accomplishment, growth, and acknowledgment. The first step in building an effective workforce involvement plan is to understand and communicate a clear goal. The aim should be compatible with the company's purpose and vision and expressed in an attractive manner to the personnel. This ought to be done via frequent across the company conferences, individual conversations, and other activities that emphasize the importance of meaning. The subsequent component of the Gallup staff engagement model is productivity. Examples include setting quantifiable objectives that are consistent with the company's mission and giving people with the resources and equipment they need to accomplish them</w:t>
      </w:r>
      <w:r w:rsidR="00491DF9">
        <w:rPr>
          <w:rFonts w:ascii="Arial" w:hAnsi="Arial" w:cs="Arial"/>
        </w:rPr>
        <w:t xml:space="preserve"> </w:t>
      </w:r>
      <w:sdt>
        <w:sdtPr>
          <w:rPr>
            <w:rFonts w:ascii="Arial" w:hAnsi="Arial" w:cs="Arial"/>
          </w:rPr>
          <w:id w:val="376983717"/>
          <w:citation/>
        </w:sdtPr>
        <w:sdtEndPr/>
        <w:sdtContent>
          <w:r w:rsidR="008706F0" w:rsidRPr="00667F55">
            <w:rPr>
              <w:rFonts w:ascii="Arial" w:hAnsi="Arial" w:cs="Arial"/>
            </w:rPr>
            <w:fldChar w:fldCharType="begin"/>
          </w:r>
          <w:r w:rsidR="00CC6682" w:rsidRPr="00667F55">
            <w:rPr>
              <w:rFonts w:ascii="Arial" w:hAnsi="Arial" w:cs="Arial"/>
            </w:rPr>
            <w:instrText xml:space="preserve"> CITATION Rac21 \l 1033 </w:instrText>
          </w:r>
          <w:r w:rsidR="008706F0" w:rsidRPr="00667F55">
            <w:rPr>
              <w:rFonts w:ascii="Arial" w:hAnsi="Arial" w:cs="Arial"/>
            </w:rPr>
            <w:fldChar w:fldCharType="separate"/>
          </w:r>
          <w:r w:rsidR="00CC6682" w:rsidRPr="00667F55">
            <w:rPr>
              <w:rFonts w:ascii="Arial" w:hAnsi="Arial" w:cs="Arial"/>
              <w:noProof/>
            </w:rPr>
            <w:t>(Rachapalli, 2021)</w:t>
          </w:r>
          <w:r w:rsidR="008706F0" w:rsidRPr="00667F55">
            <w:rPr>
              <w:rFonts w:ascii="Arial" w:hAnsi="Arial" w:cs="Arial"/>
            </w:rPr>
            <w:fldChar w:fldCharType="end"/>
          </w:r>
        </w:sdtContent>
      </w:sdt>
      <w:r w:rsidRPr="00667F55">
        <w:rPr>
          <w:rFonts w:ascii="Arial" w:hAnsi="Arial" w:cs="Arial"/>
        </w:rPr>
        <w:t>. Performance of employees should be continuously reviewed and advice offered to ensure that they meet the most stringent criteria. The third element of the Gallup model is development. Allowing workers to progress economically is part of this. This might include mentorship and guidance, as well as education and performance-based awards. Finally, the Gallup model recommends that workers be rewarded for their efforts and successes via incentives, prizes, or informal acknowledgment. This motivates workers and pushes them to continue doing their best.</w:t>
      </w:r>
    </w:p>
    <w:p w14:paraId="108BB492" w14:textId="5C192446" w:rsidR="00BF5751" w:rsidRPr="00667F55" w:rsidRDefault="00767158" w:rsidP="00D41DC2">
      <w:pPr>
        <w:spacing w:before="240" w:after="240"/>
        <w:rPr>
          <w:rFonts w:ascii="Arial" w:hAnsi="Arial" w:cs="Arial"/>
        </w:rPr>
      </w:pPr>
      <w:r w:rsidRPr="00667F55">
        <w:rPr>
          <w:rFonts w:ascii="Arial" w:hAnsi="Arial" w:cs="Arial"/>
        </w:rPr>
        <w:t>Employee involvement is essential for every firm because it increases satisfaction with work, output, and worker engagement</w:t>
      </w:r>
      <w:r w:rsidR="00491DF9">
        <w:rPr>
          <w:rFonts w:ascii="Arial" w:hAnsi="Arial" w:cs="Arial"/>
        </w:rPr>
        <w:t xml:space="preserve"> </w:t>
      </w:r>
      <w:sdt>
        <w:sdtPr>
          <w:rPr>
            <w:rFonts w:ascii="Arial" w:hAnsi="Arial" w:cs="Arial"/>
          </w:rPr>
          <w:id w:val="-1927103241"/>
          <w:citation/>
        </w:sdtPr>
        <w:sdtEndPr/>
        <w:sdtContent>
          <w:r w:rsidR="008706F0" w:rsidRPr="00667F55">
            <w:rPr>
              <w:rFonts w:ascii="Arial" w:hAnsi="Arial" w:cs="Arial"/>
            </w:rPr>
            <w:fldChar w:fldCharType="begin"/>
          </w:r>
          <w:r w:rsidR="00CC6682" w:rsidRPr="00667F55">
            <w:rPr>
              <w:rFonts w:ascii="Arial" w:hAnsi="Arial" w:cs="Arial"/>
            </w:rPr>
            <w:instrText xml:space="preserve"> CITATION Pel221 \l 1033 </w:instrText>
          </w:r>
          <w:r w:rsidR="008706F0" w:rsidRPr="00667F55">
            <w:rPr>
              <w:rFonts w:ascii="Arial" w:hAnsi="Arial" w:cs="Arial"/>
            </w:rPr>
            <w:fldChar w:fldCharType="separate"/>
          </w:r>
          <w:r w:rsidR="00CC6682" w:rsidRPr="00667F55">
            <w:rPr>
              <w:rFonts w:ascii="Arial" w:hAnsi="Arial" w:cs="Arial"/>
              <w:noProof/>
            </w:rPr>
            <w:t>(Peleckis, 2022)</w:t>
          </w:r>
          <w:r w:rsidR="008706F0" w:rsidRPr="00667F55">
            <w:rPr>
              <w:rFonts w:ascii="Arial" w:hAnsi="Arial" w:cs="Arial"/>
            </w:rPr>
            <w:fldChar w:fldCharType="end"/>
          </w:r>
        </w:sdtContent>
      </w:sdt>
      <w:r w:rsidRPr="00667F55">
        <w:rPr>
          <w:rFonts w:ascii="Arial" w:hAnsi="Arial" w:cs="Arial"/>
        </w:rPr>
        <w:t>. The Gallup Workplace Engagement Model guarantees staff participation throughout the employment lifetime. The approach may be applied by encouraging its main features, such as based on strengths growth. This model element emphasizes helping workers identify and nurture their abilities. This may be achieved through offering coaching and advice to workers and enabling them to exploit their skills in their job. Furthermore, giving gatherings for teams and other chances for growth to workers may assist to establish a feeling of participation and dedication to the firm. Second, the Gallup approach may be adopted via employment planning and engagement with an emphasis on helping people feel valued and appreciated</w:t>
      </w:r>
      <w:r w:rsidR="00491DF9">
        <w:rPr>
          <w:rFonts w:ascii="Arial" w:hAnsi="Arial" w:cs="Arial"/>
        </w:rPr>
        <w:t xml:space="preserve"> </w:t>
      </w:r>
      <w:sdt>
        <w:sdtPr>
          <w:rPr>
            <w:rFonts w:ascii="Arial" w:hAnsi="Arial" w:cs="Arial"/>
          </w:rPr>
          <w:id w:val="1658806585"/>
          <w:citation/>
        </w:sdtPr>
        <w:sdtEndPr/>
        <w:sdtContent>
          <w:r w:rsidR="008706F0" w:rsidRPr="00667F55">
            <w:rPr>
              <w:rFonts w:ascii="Arial" w:hAnsi="Arial" w:cs="Arial"/>
            </w:rPr>
            <w:fldChar w:fldCharType="begin"/>
          </w:r>
          <w:r w:rsidR="00CC6682" w:rsidRPr="00667F55">
            <w:rPr>
              <w:rFonts w:ascii="Arial" w:hAnsi="Arial" w:cs="Arial"/>
            </w:rPr>
            <w:instrText xml:space="preserve"> CITATION Dya201 \l 1033 </w:instrText>
          </w:r>
          <w:r w:rsidR="008706F0" w:rsidRPr="00667F55">
            <w:rPr>
              <w:rFonts w:ascii="Arial" w:hAnsi="Arial" w:cs="Arial"/>
            </w:rPr>
            <w:fldChar w:fldCharType="separate"/>
          </w:r>
          <w:r w:rsidR="00CC6682" w:rsidRPr="00667F55">
            <w:rPr>
              <w:rFonts w:ascii="Arial" w:hAnsi="Arial" w:cs="Arial"/>
              <w:noProof/>
            </w:rPr>
            <w:t>(Dyanasari, 2020)</w:t>
          </w:r>
          <w:r w:rsidR="008706F0" w:rsidRPr="00667F55">
            <w:rPr>
              <w:rFonts w:ascii="Arial" w:hAnsi="Arial" w:cs="Arial"/>
            </w:rPr>
            <w:fldChar w:fldCharType="end"/>
          </w:r>
        </w:sdtContent>
      </w:sdt>
      <w:r w:rsidRPr="00667F55">
        <w:rPr>
          <w:rFonts w:ascii="Arial" w:hAnsi="Arial" w:cs="Arial"/>
        </w:rPr>
        <w:t xml:space="preserve">. Giving workers liberty and the ability to engage in meaningful employment, as well as clearly outlining their tasks and duties, are all part of it. Allowing workers to participate in decision-making processes and offer input may also increase worker involvement and power. Finally, staff incentives and honors may be employed to put the Gallup model into action. The aforementioned component gives rewards as well as incentives to workers for their performance. This may be achieved via </w:t>
      </w:r>
      <w:r w:rsidRPr="00667F55">
        <w:rPr>
          <w:rFonts w:ascii="Arial" w:hAnsi="Arial" w:cs="Arial"/>
        </w:rPr>
        <w:lastRenderedPageBreak/>
        <w:t>monetary incentives, acknowledgement ceremonies, and other types of acknowledgment. Giving staff team-building tasks and other opportunities to grow may also help them feel more involved and devoted to the firm. If the Gallup Team Engagement Model is utili</w:t>
      </w:r>
      <w:r w:rsidR="007546DB">
        <w:rPr>
          <w:rFonts w:ascii="Arial" w:hAnsi="Arial" w:cs="Arial"/>
        </w:rPr>
        <w:t>s</w:t>
      </w:r>
      <w:r w:rsidRPr="00667F55">
        <w:rPr>
          <w:rFonts w:ascii="Arial" w:hAnsi="Arial" w:cs="Arial"/>
        </w:rPr>
        <w:t xml:space="preserve">ed in a large hotel, it may assure that </w:t>
      </w:r>
      <w:r w:rsidR="00CC6682" w:rsidRPr="00667F55">
        <w:rPr>
          <w:rFonts w:ascii="Arial" w:hAnsi="Arial" w:cs="Arial"/>
        </w:rPr>
        <w:t>staff remains</w:t>
      </w:r>
      <w:r w:rsidRPr="00667F55">
        <w:rPr>
          <w:rFonts w:ascii="Arial" w:hAnsi="Arial" w:cs="Arial"/>
        </w:rPr>
        <w:t xml:space="preserve"> interested for the duration of their employment</w:t>
      </w:r>
      <w:r w:rsidR="00A22B5D" w:rsidRPr="00667F55">
        <w:rPr>
          <w:rFonts w:ascii="Arial" w:hAnsi="Arial" w:cs="Arial"/>
        </w:rPr>
        <w:t>.</w:t>
      </w:r>
    </w:p>
    <w:p w14:paraId="5A9AF1FF" w14:textId="47DB636A" w:rsidR="00767158" w:rsidRPr="00667F55" w:rsidRDefault="00767158" w:rsidP="001B0A90">
      <w:pPr>
        <w:spacing w:before="240" w:after="240"/>
        <w:rPr>
          <w:rFonts w:ascii="Arial" w:hAnsi="Arial" w:cs="Arial"/>
        </w:rPr>
      </w:pPr>
      <w:r w:rsidRPr="00667F55">
        <w:rPr>
          <w:rFonts w:ascii="Arial" w:hAnsi="Arial" w:cs="Arial"/>
        </w:rPr>
        <w:t>Finally, employee involvement is critical in hotel administration of human resources. Personnel managers have responsibility for guaranteeing that workers feel valued and have a sense of purpose. They also generate an enjoyable place to work that encourages cooperation, communication, and trust. Workers are the pulse of every company, and their participation is crucial to boosting productivity and achieving achievement. Recruitment, introductions, growth, preservation, and severance are the five phases of the employee life cycle</w:t>
      </w:r>
      <w:r w:rsidR="00491DF9">
        <w:rPr>
          <w:rFonts w:ascii="Arial" w:hAnsi="Arial" w:cs="Arial"/>
        </w:rPr>
        <w:t xml:space="preserve"> </w:t>
      </w:r>
      <w:sdt>
        <w:sdtPr>
          <w:rPr>
            <w:rFonts w:ascii="Arial" w:hAnsi="Arial" w:cs="Arial"/>
          </w:rPr>
          <w:id w:val="1968539067"/>
          <w:citation/>
        </w:sdtPr>
        <w:sdtEndPr/>
        <w:sdtContent>
          <w:r w:rsidR="008706F0" w:rsidRPr="00667F55">
            <w:rPr>
              <w:rFonts w:ascii="Arial" w:hAnsi="Arial" w:cs="Arial"/>
            </w:rPr>
            <w:fldChar w:fldCharType="begin"/>
          </w:r>
          <w:r w:rsidR="00CC6682" w:rsidRPr="00667F55">
            <w:rPr>
              <w:rFonts w:ascii="Arial" w:hAnsi="Arial" w:cs="Arial"/>
            </w:rPr>
            <w:instrText xml:space="preserve"> CITATION Pel221 \l 1033 </w:instrText>
          </w:r>
          <w:r w:rsidR="008706F0" w:rsidRPr="00667F55">
            <w:rPr>
              <w:rFonts w:ascii="Arial" w:hAnsi="Arial" w:cs="Arial"/>
            </w:rPr>
            <w:fldChar w:fldCharType="separate"/>
          </w:r>
          <w:r w:rsidR="00CC6682" w:rsidRPr="00667F55">
            <w:rPr>
              <w:rFonts w:ascii="Arial" w:hAnsi="Arial" w:cs="Arial"/>
              <w:noProof/>
            </w:rPr>
            <w:t>(Peleckis, 2022)</w:t>
          </w:r>
          <w:r w:rsidR="008706F0" w:rsidRPr="00667F55">
            <w:rPr>
              <w:rFonts w:ascii="Arial" w:hAnsi="Arial" w:cs="Arial"/>
            </w:rPr>
            <w:fldChar w:fldCharType="end"/>
          </w:r>
        </w:sdtContent>
      </w:sdt>
      <w:r w:rsidRPr="00667F55">
        <w:rPr>
          <w:rFonts w:ascii="Arial" w:hAnsi="Arial" w:cs="Arial"/>
        </w:rPr>
        <w:t xml:space="preserve">. The HR </w:t>
      </w:r>
      <w:r w:rsidR="00CC6682" w:rsidRPr="00667F55">
        <w:rPr>
          <w:rFonts w:ascii="Arial" w:hAnsi="Arial" w:cs="Arial"/>
        </w:rPr>
        <w:t>department has</w:t>
      </w:r>
      <w:r w:rsidRPr="00667F55">
        <w:rPr>
          <w:rFonts w:ascii="Arial" w:hAnsi="Arial" w:cs="Arial"/>
        </w:rPr>
        <w:t xml:space="preserve"> to guarantee that new employees have the resources they need to feel welcome and encouraged. Offering an effective onboarding process that includes position, instruction, and resource access is part of this. Workplace engagement inspires and drives people to be more productive, dedicated, and engaged at work. Employers should emphasize creating a culture that encourages autonomy for staff members, acknowledgment, and growth. A model for employee engagement may provide a structure for firms to measure and improve employee involvement levels</w:t>
      </w:r>
      <w:r w:rsidR="00491DF9">
        <w:rPr>
          <w:rFonts w:ascii="Arial" w:hAnsi="Arial" w:cs="Arial"/>
        </w:rPr>
        <w:t xml:space="preserve"> </w:t>
      </w:r>
      <w:sdt>
        <w:sdtPr>
          <w:rPr>
            <w:rFonts w:ascii="Arial" w:hAnsi="Arial" w:cs="Arial"/>
          </w:rPr>
          <w:id w:val="684875445"/>
          <w:citation/>
        </w:sdtPr>
        <w:sdtEndPr/>
        <w:sdtContent>
          <w:r w:rsidR="008706F0" w:rsidRPr="00667F55">
            <w:rPr>
              <w:rFonts w:ascii="Arial" w:hAnsi="Arial" w:cs="Arial"/>
            </w:rPr>
            <w:fldChar w:fldCharType="begin"/>
          </w:r>
          <w:r w:rsidR="004B2D8D" w:rsidRPr="00667F55">
            <w:rPr>
              <w:rFonts w:ascii="Arial" w:hAnsi="Arial" w:cs="Arial"/>
            </w:rPr>
            <w:instrText xml:space="preserve"> CITATION Dya201 \l 1033 </w:instrText>
          </w:r>
          <w:r w:rsidR="008706F0" w:rsidRPr="00667F55">
            <w:rPr>
              <w:rFonts w:ascii="Arial" w:hAnsi="Arial" w:cs="Arial"/>
            </w:rPr>
            <w:fldChar w:fldCharType="separate"/>
          </w:r>
          <w:r w:rsidR="004B2D8D" w:rsidRPr="00667F55">
            <w:rPr>
              <w:rFonts w:ascii="Arial" w:hAnsi="Arial" w:cs="Arial"/>
              <w:noProof/>
            </w:rPr>
            <w:t>(Dyanasari, 2020)</w:t>
          </w:r>
          <w:r w:rsidR="008706F0" w:rsidRPr="00667F55">
            <w:rPr>
              <w:rFonts w:ascii="Arial" w:hAnsi="Arial" w:cs="Arial"/>
            </w:rPr>
            <w:fldChar w:fldCharType="end"/>
          </w:r>
        </w:sdtContent>
      </w:sdt>
      <w:r w:rsidRPr="00667F55">
        <w:rPr>
          <w:rFonts w:ascii="Arial" w:hAnsi="Arial" w:cs="Arial"/>
        </w:rPr>
        <w:t>. The Zinger staff engagement model, for example, is a structure that assists businesses in understanding and developing employee engagement. Employee engagement, according to the notion, is the outcome of three key elements: employee experience, workplace culture, and employee relationships</w:t>
      </w:r>
      <w:r w:rsidR="004B2D8D" w:rsidRPr="00667F55">
        <w:rPr>
          <w:rFonts w:ascii="Arial" w:hAnsi="Arial" w:cs="Arial"/>
        </w:rPr>
        <w:t>.</w:t>
      </w:r>
    </w:p>
    <w:p w14:paraId="05429CE1" w14:textId="77777777" w:rsidR="00207645" w:rsidRPr="00667F55" w:rsidRDefault="00207645" w:rsidP="00207645">
      <w:pPr>
        <w:pStyle w:val="Heading1"/>
        <w:rPr>
          <w:rFonts w:ascii="Arial" w:hAnsi="Arial" w:cs="Arial"/>
        </w:rPr>
      </w:pPr>
    </w:p>
    <w:p w14:paraId="67892406" w14:textId="77777777" w:rsidR="00207645" w:rsidRPr="00667F55" w:rsidRDefault="00207645" w:rsidP="00207645">
      <w:pPr>
        <w:pStyle w:val="Heading1"/>
        <w:rPr>
          <w:rFonts w:ascii="Arial" w:hAnsi="Arial" w:cs="Arial"/>
        </w:rPr>
      </w:pPr>
    </w:p>
    <w:p w14:paraId="1337F48A" w14:textId="77777777" w:rsidR="00207645" w:rsidRPr="00667F55" w:rsidRDefault="00207645" w:rsidP="00207645">
      <w:pPr>
        <w:pStyle w:val="Heading1"/>
        <w:rPr>
          <w:rFonts w:ascii="Arial" w:hAnsi="Arial" w:cs="Arial"/>
        </w:rPr>
      </w:pPr>
    </w:p>
    <w:p w14:paraId="64AD1D5C" w14:textId="77777777" w:rsidR="00A22B5D" w:rsidRPr="00667F55" w:rsidRDefault="00A22B5D" w:rsidP="00207645">
      <w:pPr>
        <w:pStyle w:val="Heading1"/>
        <w:rPr>
          <w:rFonts w:ascii="Arial" w:hAnsi="Arial" w:cs="Arial"/>
        </w:rPr>
      </w:pPr>
    </w:p>
    <w:p w14:paraId="604C3A59" w14:textId="77777777" w:rsidR="00072D90" w:rsidRPr="00CA27A7" w:rsidRDefault="009B44D4" w:rsidP="00CA27A7">
      <w:pPr>
        <w:rPr>
          <w:rFonts w:ascii="Arial" w:hAnsi="Arial" w:cs="Arial"/>
          <w:sz w:val="28"/>
          <w:szCs w:val="28"/>
        </w:rPr>
      </w:pPr>
      <w:r w:rsidRPr="00CA27A7">
        <w:rPr>
          <w:rFonts w:ascii="Arial" w:hAnsi="Arial" w:cs="Arial"/>
          <w:sz w:val="28"/>
          <w:szCs w:val="28"/>
        </w:rPr>
        <w:t>References</w:t>
      </w:r>
    </w:p>
    <w:p w14:paraId="67673FB2" w14:textId="77777777" w:rsidR="00072D90" w:rsidRPr="00667F55" w:rsidRDefault="00072D90" w:rsidP="00072D90">
      <w:pPr>
        <w:spacing w:before="240"/>
        <w:ind w:left="720" w:hanging="720"/>
        <w:rPr>
          <w:rFonts w:ascii="Arial" w:hAnsi="Arial" w:cs="Arial"/>
          <w:szCs w:val="24"/>
        </w:rPr>
      </w:pPr>
      <w:r w:rsidRPr="00667F55">
        <w:rPr>
          <w:rFonts w:ascii="Arial" w:hAnsi="Arial" w:cs="Arial"/>
          <w:szCs w:val="24"/>
        </w:rPr>
        <w:lastRenderedPageBreak/>
        <w:t>Chang, H.H. and Sokol, D.D., 2022. How incumbents respond to competition from innovative disruptors in the sharing economy—The impact of Airbnb on hotel performance. Strategic Management Journal, 43(3), pp.425-446.</w:t>
      </w:r>
    </w:p>
    <w:p w14:paraId="7F0387EC" w14:textId="77777777" w:rsidR="00072D90" w:rsidRPr="00667F55" w:rsidRDefault="00072D90" w:rsidP="00072D90">
      <w:pPr>
        <w:spacing w:before="240"/>
        <w:ind w:left="720" w:hanging="720"/>
        <w:rPr>
          <w:rFonts w:ascii="Arial" w:hAnsi="Arial" w:cs="Arial"/>
          <w:szCs w:val="24"/>
        </w:rPr>
      </w:pPr>
      <w:r w:rsidRPr="00667F55">
        <w:rPr>
          <w:rFonts w:ascii="Arial" w:hAnsi="Arial" w:cs="Arial"/>
          <w:szCs w:val="24"/>
        </w:rPr>
        <w:t>Christa, U. and Kristinae, V., 2021. The effect of product innovation on business performance during COVID 19 pandemic. Uncertain Supply Chain Management, 9(1), pp.151-158.</w:t>
      </w:r>
    </w:p>
    <w:p w14:paraId="45825707" w14:textId="77777777" w:rsidR="00072D90" w:rsidRPr="00667F55" w:rsidRDefault="00072D90" w:rsidP="00072D90">
      <w:pPr>
        <w:spacing w:before="240"/>
        <w:ind w:left="720" w:hanging="720"/>
        <w:rPr>
          <w:rFonts w:ascii="Arial" w:hAnsi="Arial" w:cs="Arial"/>
          <w:szCs w:val="24"/>
        </w:rPr>
      </w:pPr>
      <w:r w:rsidRPr="00667F55">
        <w:rPr>
          <w:rFonts w:ascii="Arial" w:hAnsi="Arial" w:cs="Arial"/>
          <w:szCs w:val="24"/>
        </w:rPr>
        <w:t>Dyanasari, D., Siswadi, B., Hindarti, S., Askafi, E. and Mulyaningtiyas, R.D., 2021. Improving the strategy to create a profitable and sustainable business in the era of economic competition in Indonesia. Linguistics and Culture Review, 5(S4), pp.2287-2298.</w:t>
      </w:r>
    </w:p>
    <w:p w14:paraId="34518FC5" w14:textId="77777777" w:rsidR="00072D90" w:rsidRPr="00667F55" w:rsidRDefault="00072D90" w:rsidP="00072D90">
      <w:pPr>
        <w:spacing w:before="240"/>
        <w:ind w:left="720" w:hanging="720"/>
        <w:rPr>
          <w:rFonts w:ascii="Arial" w:hAnsi="Arial" w:cs="Arial"/>
          <w:szCs w:val="24"/>
        </w:rPr>
      </w:pPr>
      <w:r w:rsidRPr="00667F55">
        <w:rPr>
          <w:rFonts w:ascii="Arial" w:hAnsi="Arial" w:cs="Arial"/>
          <w:szCs w:val="24"/>
        </w:rPr>
        <w:t>HA, T.X. and TRAN, T.T., 2021. The Effect of Foreign Ownership and Product Market Competition on Firm Performance: Empirical Evidence from Vietnam. The Journal of Asian Finance, Economics and Business, 8(11), pp.79-86.</w:t>
      </w:r>
    </w:p>
    <w:p w14:paraId="38054572" w14:textId="77777777" w:rsidR="00072D90" w:rsidRPr="00667F55" w:rsidRDefault="00072D90" w:rsidP="00072D90">
      <w:pPr>
        <w:spacing w:before="240"/>
        <w:ind w:left="720" w:hanging="720"/>
        <w:rPr>
          <w:rFonts w:ascii="Arial" w:hAnsi="Arial" w:cs="Arial"/>
          <w:szCs w:val="24"/>
        </w:rPr>
      </w:pPr>
      <w:r w:rsidRPr="00667F55">
        <w:rPr>
          <w:rFonts w:ascii="Arial" w:hAnsi="Arial" w:cs="Arial"/>
          <w:szCs w:val="24"/>
        </w:rPr>
        <w:t>Huang, X., 2023. The roles of competition on innovation efficiency and firm performance: Evidence from the Chinese manufacturing industry. European Research on Management and Business Economics, 29(1), p.100201.</w:t>
      </w:r>
    </w:p>
    <w:p w14:paraId="3D45E7D4" w14:textId="77777777" w:rsidR="00072D90" w:rsidRPr="00667F55" w:rsidRDefault="00072D90" w:rsidP="00072D90">
      <w:pPr>
        <w:spacing w:before="240"/>
        <w:ind w:left="720" w:hanging="720"/>
        <w:rPr>
          <w:rFonts w:ascii="Arial" w:hAnsi="Arial" w:cs="Arial"/>
          <w:szCs w:val="24"/>
        </w:rPr>
      </w:pPr>
      <w:r w:rsidRPr="00667F55">
        <w:rPr>
          <w:rFonts w:ascii="Arial" w:hAnsi="Arial" w:cs="Arial"/>
          <w:szCs w:val="24"/>
        </w:rPr>
        <w:t>Kerdpitak, C., 2022. Business performance model of herbal community enterprise in Thailand. Uncertain Supply Chain Management, 10(2), pp.345-352.</w:t>
      </w:r>
    </w:p>
    <w:p w14:paraId="3DDB7972" w14:textId="77777777" w:rsidR="00072D90" w:rsidRPr="00667F55" w:rsidRDefault="00072D90" w:rsidP="00072D90">
      <w:pPr>
        <w:spacing w:before="240"/>
        <w:ind w:left="720" w:hanging="720"/>
        <w:rPr>
          <w:rFonts w:ascii="Arial" w:hAnsi="Arial" w:cs="Arial"/>
          <w:szCs w:val="24"/>
        </w:rPr>
      </w:pPr>
      <w:r w:rsidRPr="00667F55">
        <w:rPr>
          <w:rFonts w:ascii="Arial" w:hAnsi="Arial" w:cs="Arial"/>
          <w:szCs w:val="24"/>
        </w:rPr>
        <w:t>Kwon, K. and Park, J., 2019. The life cycle of employee engagement theory in HRD research. Advances in Developing Human Resources, 21(3), pp.352-370.</w:t>
      </w:r>
    </w:p>
    <w:p w14:paraId="27CEE48E" w14:textId="77777777" w:rsidR="00072D90" w:rsidRPr="00667F55" w:rsidRDefault="00072D90" w:rsidP="00072D90">
      <w:pPr>
        <w:spacing w:before="240"/>
        <w:ind w:left="720" w:hanging="720"/>
        <w:rPr>
          <w:rFonts w:ascii="Arial" w:hAnsi="Arial" w:cs="Arial"/>
          <w:szCs w:val="24"/>
        </w:rPr>
      </w:pPr>
      <w:r w:rsidRPr="00667F55">
        <w:rPr>
          <w:rFonts w:ascii="Arial" w:hAnsi="Arial" w:cs="Arial"/>
          <w:szCs w:val="24"/>
        </w:rPr>
        <w:t>Lopes, J.M., Gomes, S., Pacheco, R., Monteiro, E. and Santos, C., 2022. Drivers of sustainable innovation strategies for increased competition among companies. Sustainability, 14(9), p.5471.</w:t>
      </w:r>
    </w:p>
    <w:p w14:paraId="7873F2E1" w14:textId="77777777" w:rsidR="00491DF9" w:rsidRDefault="00491DF9" w:rsidP="00072D90">
      <w:pPr>
        <w:spacing w:before="240"/>
        <w:ind w:left="720" w:hanging="720"/>
        <w:rPr>
          <w:rFonts w:ascii="Arial" w:hAnsi="Arial" w:cs="Arial"/>
          <w:szCs w:val="24"/>
        </w:rPr>
      </w:pPr>
    </w:p>
    <w:p w14:paraId="4722E2C5" w14:textId="4681B119" w:rsidR="00072D90" w:rsidRPr="00667F55" w:rsidRDefault="00072D90" w:rsidP="00072D90">
      <w:pPr>
        <w:spacing w:before="240"/>
        <w:ind w:left="720" w:hanging="720"/>
        <w:rPr>
          <w:rFonts w:ascii="Arial" w:hAnsi="Arial" w:cs="Arial"/>
          <w:szCs w:val="24"/>
        </w:rPr>
      </w:pPr>
      <w:proofErr w:type="spellStart"/>
      <w:r w:rsidRPr="00667F55">
        <w:rPr>
          <w:rFonts w:ascii="Arial" w:hAnsi="Arial" w:cs="Arial"/>
          <w:szCs w:val="24"/>
        </w:rPr>
        <w:t>Nasution</w:t>
      </w:r>
      <w:proofErr w:type="spellEnd"/>
      <w:r w:rsidRPr="00667F55">
        <w:rPr>
          <w:rFonts w:ascii="Arial" w:hAnsi="Arial" w:cs="Arial"/>
          <w:szCs w:val="24"/>
        </w:rPr>
        <w:t xml:space="preserve">, H. and Absah, Y., 2019, October. Effective Employee Engagement Using SWOT Analysis. In 2019 International Conference on Organizational Innovation </w:t>
      </w:r>
      <w:r w:rsidRPr="00667F55">
        <w:rPr>
          <w:rFonts w:ascii="Arial" w:hAnsi="Arial" w:cs="Arial"/>
          <w:szCs w:val="24"/>
        </w:rPr>
        <w:lastRenderedPageBreak/>
        <w:t>(ICOI 2019) (pp. 336-340). Atlantis Press.</w:t>
      </w:r>
    </w:p>
    <w:p w14:paraId="20626879" w14:textId="77777777" w:rsidR="00072D90" w:rsidRPr="00667F55" w:rsidRDefault="00072D90" w:rsidP="00072D90">
      <w:pPr>
        <w:spacing w:before="240"/>
        <w:ind w:left="720" w:hanging="720"/>
        <w:rPr>
          <w:rFonts w:ascii="Arial" w:hAnsi="Arial" w:cs="Arial"/>
          <w:szCs w:val="24"/>
        </w:rPr>
      </w:pPr>
      <w:r w:rsidRPr="00667F55">
        <w:rPr>
          <w:rFonts w:ascii="Arial" w:hAnsi="Arial" w:cs="Arial"/>
          <w:szCs w:val="24"/>
        </w:rPr>
        <w:t>Peleckis, K., 2022. Application of the Multicriteria Method Seeking to Assess Concentration, and Its Effects on Competition in the Manufacturing Sector. Sustainability, 14(19), p.12062.</w:t>
      </w:r>
    </w:p>
    <w:p w14:paraId="7A4EB9AD" w14:textId="77777777" w:rsidR="00072D90" w:rsidRPr="00667F55" w:rsidRDefault="00072D90" w:rsidP="00072D90">
      <w:pPr>
        <w:spacing w:before="240"/>
        <w:ind w:left="720" w:hanging="720"/>
        <w:rPr>
          <w:rFonts w:ascii="Arial" w:hAnsi="Arial" w:cs="Arial"/>
          <w:szCs w:val="24"/>
        </w:rPr>
      </w:pPr>
      <w:r w:rsidRPr="00667F55">
        <w:rPr>
          <w:rFonts w:ascii="Arial" w:hAnsi="Arial" w:cs="Arial"/>
          <w:szCs w:val="24"/>
        </w:rPr>
        <w:t>Purwati, A., Budiyanto, B., Suhermin, S. and Hamzah, M., 2021. The effect of innovation capability on business performance: The role of social capital and entrepreneurial leadership on SMEs in Indonesia. Accounting, 7(2), pp.323-330.</w:t>
      </w:r>
    </w:p>
    <w:p w14:paraId="39362C3E" w14:textId="77777777" w:rsidR="00072D90" w:rsidRPr="00667F55" w:rsidRDefault="00072D90" w:rsidP="00072D90">
      <w:pPr>
        <w:spacing w:before="240"/>
        <w:ind w:left="720" w:hanging="720"/>
        <w:rPr>
          <w:rFonts w:ascii="Arial" w:hAnsi="Arial" w:cs="Arial"/>
          <w:szCs w:val="24"/>
        </w:rPr>
      </w:pPr>
      <w:r w:rsidRPr="00667F55">
        <w:rPr>
          <w:rFonts w:ascii="Arial" w:hAnsi="Arial" w:cs="Arial"/>
          <w:szCs w:val="24"/>
        </w:rPr>
        <w:t>Rachapalli, V.P., 2021. Open Innovation in Big 4's India–Study of Employee Engagement strategies using Open Innovation (Doctoral dissertation, Dublin, National College of Ireland).</w:t>
      </w:r>
    </w:p>
    <w:p w14:paraId="6E4C0CE1" w14:textId="77777777" w:rsidR="00072D90" w:rsidRPr="00667F55" w:rsidRDefault="00072D90" w:rsidP="00072D90">
      <w:pPr>
        <w:spacing w:before="240"/>
        <w:ind w:left="720" w:hanging="720"/>
        <w:rPr>
          <w:rFonts w:ascii="Arial" w:hAnsi="Arial" w:cs="Arial"/>
          <w:szCs w:val="24"/>
        </w:rPr>
      </w:pPr>
      <w:r w:rsidRPr="00667F55">
        <w:rPr>
          <w:rFonts w:ascii="Arial" w:hAnsi="Arial" w:cs="Arial"/>
          <w:szCs w:val="24"/>
        </w:rPr>
        <w:t>Ramakumar, K. and Priyadarshini, R.G., 2021. Employee Engagement during Organizational</w:t>
      </w:r>
      <w:r w:rsidRPr="00667F55">
        <w:rPr>
          <w:rFonts w:ascii="Arial" w:hAnsi="Arial" w:cs="Arial"/>
          <w:szCs w:val="24"/>
        </w:rPr>
        <w:tab/>
        <w:t>Crisis–with</w:t>
      </w:r>
      <w:r w:rsidRPr="00667F55">
        <w:rPr>
          <w:rFonts w:ascii="Arial" w:hAnsi="Arial" w:cs="Arial"/>
          <w:szCs w:val="24"/>
        </w:rPr>
        <w:tab/>
      </w:r>
      <w:r w:rsidRPr="00667F55">
        <w:rPr>
          <w:rFonts w:ascii="Arial" w:hAnsi="Arial" w:cs="Arial"/>
          <w:szCs w:val="24"/>
        </w:rPr>
        <w:tab/>
        <w:t>special</w:t>
      </w:r>
      <w:r w:rsidRPr="00667F55">
        <w:rPr>
          <w:rFonts w:ascii="Arial" w:hAnsi="Arial" w:cs="Arial"/>
          <w:szCs w:val="24"/>
        </w:rPr>
        <w:tab/>
      </w:r>
      <w:r w:rsidRPr="00667F55">
        <w:rPr>
          <w:rFonts w:ascii="Arial" w:hAnsi="Arial" w:cs="Arial"/>
          <w:szCs w:val="24"/>
        </w:rPr>
        <w:tab/>
        <w:t>reference</w:t>
      </w:r>
      <w:r w:rsidRPr="00667F55">
        <w:rPr>
          <w:rFonts w:ascii="Arial" w:hAnsi="Arial" w:cs="Arial"/>
          <w:szCs w:val="24"/>
        </w:rPr>
        <w:tab/>
        <w:t>to</w:t>
      </w:r>
      <w:r w:rsidRPr="00667F55">
        <w:rPr>
          <w:rFonts w:ascii="Arial" w:hAnsi="Arial" w:cs="Arial"/>
          <w:szCs w:val="24"/>
        </w:rPr>
        <w:tab/>
        <w:t>the</w:t>
      </w:r>
      <w:r w:rsidRPr="00667F55">
        <w:rPr>
          <w:rFonts w:ascii="Arial" w:hAnsi="Arial" w:cs="Arial"/>
          <w:szCs w:val="24"/>
        </w:rPr>
        <w:tab/>
        <w:t>COVID Scenario. PURUSHARTHA-A</w:t>
      </w:r>
      <w:r w:rsidRPr="00667F55">
        <w:rPr>
          <w:rFonts w:ascii="Arial" w:hAnsi="Arial" w:cs="Arial"/>
          <w:szCs w:val="24"/>
        </w:rPr>
        <w:tab/>
        <w:t>journal</w:t>
      </w:r>
      <w:r w:rsidRPr="00667F55">
        <w:rPr>
          <w:rFonts w:ascii="Arial" w:hAnsi="Arial" w:cs="Arial"/>
          <w:szCs w:val="24"/>
        </w:rPr>
        <w:tab/>
        <w:t>of</w:t>
      </w:r>
      <w:r w:rsidRPr="00667F55">
        <w:rPr>
          <w:rFonts w:ascii="Arial" w:hAnsi="Arial" w:cs="Arial"/>
          <w:szCs w:val="24"/>
        </w:rPr>
        <w:tab/>
        <w:t>Management,</w:t>
      </w:r>
      <w:r w:rsidRPr="00667F55">
        <w:rPr>
          <w:rFonts w:ascii="Arial" w:hAnsi="Arial" w:cs="Arial"/>
          <w:szCs w:val="24"/>
        </w:rPr>
        <w:tab/>
      </w:r>
      <w:r w:rsidRPr="00667F55">
        <w:rPr>
          <w:rFonts w:ascii="Arial" w:hAnsi="Arial" w:cs="Arial"/>
          <w:szCs w:val="24"/>
        </w:rPr>
        <w:tab/>
        <w:t>Ethics</w:t>
      </w:r>
      <w:r w:rsidRPr="00667F55">
        <w:rPr>
          <w:rFonts w:ascii="Arial" w:hAnsi="Arial" w:cs="Arial"/>
          <w:szCs w:val="24"/>
        </w:rPr>
        <w:tab/>
        <w:t>and Spirituality, 14(1), pp.105-115.</w:t>
      </w:r>
    </w:p>
    <w:p w14:paraId="76970314" w14:textId="77777777" w:rsidR="00072D90" w:rsidRPr="00667F55" w:rsidRDefault="00072D90" w:rsidP="00072D90">
      <w:pPr>
        <w:spacing w:before="240"/>
        <w:ind w:left="720" w:hanging="720"/>
        <w:rPr>
          <w:rFonts w:ascii="Arial" w:hAnsi="Arial" w:cs="Arial"/>
          <w:szCs w:val="24"/>
        </w:rPr>
      </w:pPr>
      <w:r w:rsidRPr="00667F55">
        <w:rPr>
          <w:rFonts w:ascii="Arial" w:hAnsi="Arial" w:cs="Arial"/>
          <w:szCs w:val="24"/>
        </w:rPr>
        <w:t>Singh, D., 2019. A literature review on employee retention with focus on  recent trends. International</w:t>
      </w:r>
      <w:r w:rsidRPr="00667F55">
        <w:rPr>
          <w:rFonts w:ascii="Arial" w:hAnsi="Arial" w:cs="Arial"/>
          <w:szCs w:val="24"/>
        </w:rPr>
        <w:tab/>
        <w:t>Journal</w:t>
      </w:r>
      <w:r w:rsidRPr="00667F55">
        <w:rPr>
          <w:rFonts w:ascii="Arial" w:hAnsi="Arial" w:cs="Arial"/>
          <w:szCs w:val="24"/>
        </w:rPr>
        <w:tab/>
        <w:t>of</w:t>
      </w:r>
      <w:r w:rsidRPr="00667F55">
        <w:rPr>
          <w:rFonts w:ascii="Arial" w:hAnsi="Arial" w:cs="Arial"/>
          <w:szCs w:val="24"/>
        </w:rPr>
        <w:tab/>
        <w:t>Scientific</w:t>
      </w:r>
      <w:r w:rsidRPr="00667F55">
        <w:rPr>
          <w:rFonts w:ascii="Arial" w:hAnsi="Arial" w:cs="Arial"/>
          <w:szCs w:val="24"/>
        </w:rPr>
        <w:tab/>
        <w:t>Research</w:t>
      </w:r>
      <w:r w:rsidRPr="00667F55">
        <w:rPr>
          <w:rFonts w:ascii="Arial" w:hAnsi="Arial" w:cs="Arial"/>
          <w:szCs w:val="24"/>
        </w:rPr>
        <w:tab/>
        <w:t>in</w:t>
      </w:r>
      <w:r w:rsidRPr="00667F55">
        <w:rPr>
          <w:rFonts w:ascii="Arial" w:hAnsi="Arial" w:cs="Arial"/>
          <w:szCs w:val="24"/>
        </w:rPr>
        <w:tab/>
        <w:t>Science</w:t>
      </w:r>
      <w:r w:rsidRPr="00667F55">
        <w:rPr>
          <w:rFonts w:ascii="Arial" w:hAnsi="Arial" w:cs="Arial"/>
          <w:szCs w:val="24"/>
        </w:rPr>
        <w:tab/>
        <w:t>and Technology, 6(1), pp.425-431.</w:t>
      </w:r>
    </w:p>
    <w:p w14:paraId="1A5E1379" w14:textId="77777777" w:rsidR="00072D90" w:rsidRPr="00667F55" w:rsidRDefault="00072D90" w:rsidP="00072D90">
      <w:pPr>
        <w:spacing w:before="240"/>
        <w:ind w:left="720" w:hanging="720"/>
        <w:rPr>
          <w:rFonts w:ascii="Arial" w:hAnsi="Arial" w:cs="Arial"/>
          <w:szCs w:val="24"/>
        </w:rPr>
      </w:pPr>
      <w:r w:rsidRPr="00667F55">
        <w:rPr>
          <w:rFonts w:ascii="Arial" w:hAnsi="Arial" w:cs="Arial"/>
          <w:szCs w:val="24"/>
        </w:rPr>
        <w:t>Stahl, G.K., Brewster, C.J., Collings, D.G. and Hajro, A., 2020. Enhancing the role of human</w:t>
      </w:r>
      <w:r w:rsidRPr="00667F55">
        <w:rPr>
          <w:rFonts w:ascii="Arial" w:hAnsi="Arial" w:cs="Arial"/>
          <w:szCs w:val="24"/>
        </w:rPr>
        <w:tab/>
        <w:t>resource</w:t>
      </w:r>
      <w:r w:rsidRPr="00667F55">
        <w:rPr>
          <w:rFonts w:ascii="Arial" w:hAnsi="Arial" w:cs="Arial"/>
          <w:szCs w:val="24"/>
        </w:rPr>
        <w:tab/>
        <w:t>management</w:t>
      </w:r>
      <w:r w:rsidRPr="00667F55">
        <w:rPr>
          <w:rFonts w:ascii="Arial" w:hAnsi="Arial" w:cs="Arial"/>
          <w:szCs w:val="24"/>
        </w:rPr>
        <w:tab/>
        <w:t>in</w:t>
      </w:r>
      <w:r w:rsidRPr="00667F55">
        <w:rPr>
          <w:rFonts w:ascii="Arial" w:hAnsi="Arial" w:cs="Arial"/>
          <w:szCs w:val="24"/>
        </w:rPr>
        <w:tab/>
        <w:t>corporate</w:t>
      </w:r>
      <w:r w:rsidRPr="00667F55">
        <w:rPr>
          <w:rFonts w:ascii="Arial" w:hAnsi="Arial" w:cs="Arial"/>
          <w:szCs w:val="24"/>
        </w:rPr>
        <w:tab/>
        <w:t>sustainability</w:t>
      </w:r>
      <w:r w:rsidRPr="00667F55">
        <w:rPr>
          <w:rFonts w:ascii="Arial" w:hAnsi="Arial" w:cs="Arial"/>
          <w:szCs w:val="24"/>
        </w:rPr>
        <w:tab/>
        <w:t>and</w:t>
      </w:r>
      <w:r w:rsidRPr="00667F55">
        <w:rPr>
          <w:rFonts w:ascii="Arial" w:hAnsi="Arial" w:cs="Arial"/>
          <w:szCs w:val="24"/>
        </w:rPr>
        <w:tab/>
        <w:t>social responsibility: A multi-stakeholder, multidimensional approach to HRM. Human Resource Management Review, 30(3), p.100708.</w:t>
      </w:r>
    </w:p>
    <w:p w14:paraId="261DD084" w14:textId="77777777" w:rsidR="00072D90" w:rsidRPr="00667F55" w:rsidRDefault="00072D90" w:rsidP="00072D90">
      <w:pPr>
        <w:spacing w:before="240"/>
        <w:ind w:left="720" w:hanging="720"/>
        <w:rPr>
          <w:rFonts w:ascii="Arial" w:hAnsi="Arial" w:cs="Arial"/>
          <w:szCs w:val="24"/>
        </w:rPr>
      </w:pPr>
      <w:r w:rsidRPr="00667F55">
        <w:rPr>
          <w:rFonts w:ascii="Arial" w:hAnsi="Arial" w:cs="Arial"/>
          <w:szCs w:val="24"/>
        </w:rPr>
        <w:t>Tai, L. and Yan, L., 2022. The impact of environmental regulation on foreign firms’ exit: from the perspective of competition. Environmental Science and Pollution Research, 29(11), pp.15539-15550.</w:t>
      </w:r>
    </w:p>
    <w:p w14:paraId="60D51D56" w14:textId="77777777" w:rsidR="00072D90" w:rsidRPr="00667F55" w:rsidRDefault="00072D90" w:rsidP="00A22B5D">
      <w:pPr>
        <w:spacing w:before="240"/>
        <w:ind w:left="720" w:hanging="720"/>
        <w:rPr>
          <w:rFonts w:ascii="Arial" w:hAnsi="Arial" w:cs="Arial"/>
          <w:szCs w:val="24"/>
        </w:rPr>
      </w:pPr>
    </w:p>
    <w:sectPr w:rsidR="00072D90" w:rsidRPr="00667F55" w:rsidSect="008706F0">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38C87B" w14:textId="77777777" w:rsidR="00ED0B8B" w:rsidRDefault="00ED0B8B">
      <w:pPr>
        <w:spacing w:line="240" w:lineRule="auto"/>
      </w:pPr>
      <w:r>
        <w:separator/>
      </w:r>
    </w:p>
  </w:endnote>
  <w:endnote w:type="continuationSeparator" w:id="0">
    <w:p w14:paraId="7293800C" w14:textId="77777777" w:rsidR="00ED0B8B" w:rsidRDefault="00ED0B8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Liberation Serif">
    <w:altName w:val="Times New Roman"/>
    <w:charset w:val="00"/>
    <w:family w:val="roman"/>
    <w:pitch w:val="variable"/>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gency FB">
    <w:altName w:val="Calibri"/>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5C1F28" w14:textId="77777777" w:rsidR="00FC7DDB" w:rsidRDefault="007650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D34DB9" w14:textId="77777777" w:rsidR="00ED0B8B" w:rsidRDefault="00ED0B8B">
      <w:pPr>
        <w:spacing w:line="240" w:lineRule="auto"/>
      </w:pPr>
      <w:r>
        <w:separator/>
      </w:r>
    </w:p>
  </w:footnote>
  <w:footnote w:type="continuationSeparator" w:id="0">
    <w:p w14:paraId="532D4535" w14:textId="77777777" w:rsidR="00ED0B8B" w:rsidRDefault="00ED0B8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EF65EC"/>
    <w:multiLevelType w:val="hybridMultilevel"/>
    <w:tmpl w:val="D296668C"/>
    <w:lvl w:ilvl="0" w:tplc="5A3E7AA0">
      <w:numFmt w:val="bullet"/>
      <w:lvlText w:val=""/>
      <w:lvlJc w:val="left"/>
      <w:pPr>
        <w:ind w:left="1080" w:hanging="720"/>
      </w:pPr>
      <w:rPr>
        <w:rFonts w:ascii="Symbol" w:eastAsia="Liberation Serif" w:hAnsi="Symbol" w:cs="Liberation Serif"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481288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7E8"/>
    <w:rsid w:val="00026915"/>
    <w:rsid w:val="00072D90"/>
    <w:rsid w:val="000916EF"/>
    <w:rsid w:val="00112B5D"/>
    <w:rsid w:val="0013659C"/>
    <w:rsid w:val="001B0A90"/>
    <w:rsid w:val="001D72EC"/>
    <w:rsid w:val="00207645"/>
    <w:rsid w:val="00223FF5"/>
    <w:rsid w:val="002A6A6A"/>
    <w:rsid w:val="002C0B83"/>
    <w:rsid w:val="002C3A13"/>
    <w:rsid w:val="002F75F5"/>
    <w:rsid w:val="0043209F"/>
    <w:rsid w:val="00491DF9"/>
    <w:rsid w:val="004A5E1B"/>
    <w:rsid w:val="004B2D8D"/>
    <w:rsid w:val="004D7E4C"/>
    <w:rsid w:val="004E4608"/>
    <w:rsid w:val="005A0C6A"/>
    <w:rsid w:val="00617710"/>
    <w:rsid w:val="00667F55"/>
    <w:rsid w:val="00690F12"/>
    <w:rsid w:val="006E74EF"/>
    <w:rsid w:val="007546DB"/>
    <w:rsid w:val="007650D1"/>
    <w:rsid w:val="00767158"/>
    <w:rsid w:val="007F24CA"/>
    <w:rsid w:val="007F3E62"/>
    <w:rsid w:val="00832A76"/>
    <w:rsid w:val="008706F0"/>
    <w:rsid w:val="009B44D4"/>
    <w:rsid w:val="009C0DBB"/>
    <w:rsid w:val="009E3E9E"/>
    <w:rsid w:val="00A21D1E"/>
    <w:rsid w:val="00A22B5D"/>
    <w:rsid w:val="00A917E8"/>
    <w:rsid w:val="00AC415A"/>
    <w:rsid w:val="00B24B5D"/>
    <w:rsid w:val="00BB57C5"/>
    <w:rsid w:val="00BE36C7"/>
    <w:rsid w:val="00BF5751"/>
    <w:rsid w:val="00C04A87"/>
    <w:rsid w:val="00C05113"/>
    <w:rsid w:val="00CA27A7"/>
    <w:rsid w:val="00CC6682"/>
    <w:rsid w:val="00D14AD0"/>
    <w:rsid w:val="00D36FAC"/>
    <w:rsid w:val="00D41DC2"/>
    <w:rsid w:val="00DB2765"/>
    <w:rsid w:val="00E5155D"/>
    <w:rsid w:val="00E80D4E"/>
    <w:rsid w:val="00EB0698"/>
    <w:rsid w:val="00EB298C"/>
    <w:rsid w:val="00ED0B8B"/>
    <w:rsid w:val="00FB202E"/>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F1BAF"/>
  <w15:docId w15:val="{859CF815-7B09-4D1C-ADD4-1FCBF95E36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Liberation Serif"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4E4608"/>
    <w:pPr>
      <w:widowControl w:val="0"/>
      <w:autoSpaceDE w:val="0"/>
      <w:autoSpaceDN w:val="0"/>
      <w:spacing w:after="0" w:line="360" w:lineRule="auto"/>
      <w:jc w:val="both"/>
    </w:pPr>
    <w:rPr>
      <w:rFonts w:ascii="Times New Roman" w:hAnsi="Times New Roman" w:cs="Liberation Serif"/>
      <w:sz w:val="24"/>
    </w:rPr>
  </w:style>
  <w:style w:type="paragraph" w:styleId="Heading1">
    <w:name w:val="heading 1"/>
    <w:basedOn w:val="Normal"/>
    <w:link w:val="Heading1Char"/>
    <w:uiPriority w:val="1"/>
    <w:qFormat/>
    <w:rsid w:val="00EB298C"/>
    <w:pPr>
      <w:spacing w:before="81"/>
      <w:outlineLvl w:val="0"/>
    </w:pPr>
    <w:rPr>
      <w:bCs/>
      <w:color w:val="4F81BD" w:themeColor="accent1"/>
      <w:sz w:val="32"/>
      <w:szCs w:val="32"/>
    </w:rPr>
  </w:style>
  <w:style w:type="paragraph" w:styleId="Heading2">
    <w:name w:val="heading 2"/>
    <w:basedOn w:val="Normal"/>
    <w:next w:val="Normal"/>
    <w:link w:val="Heading2Char"/>
    <w:autoRedefine/>
    <w:uiPriority w:val="9"/>
    <w:unhideWhenUsed/>
    <w:qFormat/>
    <w:rsid w:val="004D7E4C"/>
    <w:pPr>
      <w:keepNext/>
      <w:keepLines/>
      <w:spacing w:before="200"/>
      <w:outlineLvl w:val="1"/>
    </w:pPr>
    <w:rPr>
      <w:rFonts w:eastAsiaTheme="majorEastAsia" w:cstheme="majorBidi"/>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D7E4C"/>
    <w:rPr>
      <w:rFonts w:ascii="Times New Roman" w:eastAsiaTheme="majorEastAsia" w:hAnsi="Times New Roman" w:cstheme="majorBidi"/>
      <w:bCs/>
      <w:color w:val="4F81BD" w:themeColor="accent1"/>
      <w:sz w:val="28"/>
      <w:szCs w:val="26"/>
    </w:rPr>
  </w:style>
  <w:style w:type="character" w:customStyle="1" w:styleId="Heading1Char">
    <w:name w:val="Heading 1 Char"/>
    <w:basedOn w:val="DefaultParagraphFont"/>
    <w:link w:val="Heading1"/>
    <w:uiPriority w:val="1"/>
    <w:rsid w:val="00EB298C"/>
    <w:rPr>
      <w:rFonts w:ascii="Times New Roman" w:hAnsi="Times New Roman" w:cs="Liberation Serif"/>
      <w:bCs/>
      <w:color w:val="4F81BD" w:themeColor="accent1"/>
      <w:sz w:val="32"/>
      <w:szCs w:val="32"/>
    </w:rPr>
  </w:style>
  <w:style w:type="paragraph" w:styleId="Footer">
    <w:name w:val="footer"/>
    <w:basedOn w:val="Normal"/>
    <w:link w:val="FooterChar"/>
    <w:uiPriority w:val="99"/>
    <w:unhideWhenUsed/>
    <w:rsid w:val="004E4608"/>
    <w:pPr>
      <w:tabs>
        <w:tab w:val="center" w:pos="4680"/>
        <w:tab w:val="right" w:pos="9360"/>
      </w:tabs>
      <w:spacing w:line="240" w:lineRule="auto"/>
    </w:pPr>
  </w:style>
  <w:style w:type="character" w:customStyle="1" w:styleId="FooterChar">
    <w:name w:val="Footer Char"/>
    <w:basedOn w:val="DefaultParagraphFont"/>
    <w:link w:val="Footer"/>
    <w:uiPriority w:val="99"/>
    <w:rsid w:val="004E4608"/>
    <w:rPr>
      <w:rFonts w:ascii="Times New Roman" w:hAnsi="Times New Roman" w:cs="Liberation Serif"/>
      <w:sz w:val="24"/>
    </w:rPr>
  </w:style>
  <w:style w:type="paragraph" w:styleId="ListParagraph">
    <w:name w:val="List Paragraph"/>
    <w:basedOn w:val="Normal"/>
    <w:uiPriority w:val="34"/>
    <w:qFormat/>
    <w:rsid w:val="001D72EC"/>
    <w:pPr>
      <w:ind w:left="720"/>
      <w:contextualSpacing/>
    </w:pPr>
  </w:style>
  <w:style w:type="paragraph" w:styleId="TOCHeading">
    <w:name w:val="TOC Heading"/>
    <w:basedOn w:val="Heading1"/>
    <w:next w:val="Normal"/>
    <w:uiPriority w:val="39"/>
    <w:semiHidden/>
    <w:unhideWhenUsed/>
    <w:qFormat/>
    <w:rsid w:val="00BF5751"/>
    <w:pPr>
      <w:keepNext/>
      <w:keepLines/>
      <w:widowControl/>
      <w:autoSpaceDE/>
      <w:autoSpaceDN/>
      <w:spacing w:before="480" w:line="276" w:lineRule="auto"/>
      <w:jc w:val="left"/>
      <w:outlineLvl w:val="9"/>
    </w:pPr>
    <w:rPr>
      <w:rFonts w:asciiTheme="majorHAnsi" w:eastAsiaTheme="majorEastAsia" w:hAnsiTheme="majorHAnsi" w:cstheme="majorBidi"/>
      <w:b/>
      <w:color w:val="365F91" w:themeColor="accent1" w:themeShade="BF"/>
      <w:sz w:val="28"/>
      <w:szCs w:val="28"/>
      <w:lang w:eastAsia="ja-JP"/>
    </w:rPr>
  </w:style>
  <w:style w:type="paragraph" w:styleId="TOC1">
    <w:name w:val="toc 1"/>
    <w:basedOn w:val="Normal"/>
    <w:next w:val="Normal"/>
    <w:autoRedefine/>
    <w:uiPriority w:val="39"/>
    <w:unhideWhenUsed/>
    <w:rsid w:val="00BF5751"/>
    <w:pPr>
      <w:spacing w:after="100"/>
    </w:pPr>
  </w:style>
  <w:style w:type="paragraph" w:styleId="TOC2">
    <w:name w:val="toc 2"/>
    <w:basedOn w:val="Normal"/>
    <w:next w:val="Normal"/>
    <w:autoRedefine/>
    <w:uiPriority w:val="39"/>
    <w:unhideWhenUsed/>
    <w:rsid w:val="00BF5751"/>
    <w:pPr>
      <w:spacing w:after="100"/>
      <w:ind w:left="240"/>
    </w:pPr>
  </w:style>
  <w:style w:type="character" w:styleId="Hyperlink">
    <w:name w:val="Hyperlink"/>
    <w:basedOn w:val="DefaultParagraphFont"/>
    <w:uiPriority w:val="99"/>
    <w:unhideWhenUsed/>
    <w:rsid w:val="00BF5751"/>
    <w:rPr>
      <w:color w:val="0000FF" w:themeColor="hyperlink"/>
      <w:u w:val="single"/>
    </w:rPr>
  </w:style>
  <w:style w:type="paragraph" w:styleId="BalloonText">
    <w:name w:val="Balloon Text"/>
    <w:basedOn w:val="Normal"/>
    <w:link w:val="BalloonTextChar"/>
    <w:uiPriority w:val="99"/>
    <w:semiHidden/>
    <w:unhideWhenUsed/>
    <w:rsid w:val="00BF575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575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Rac21</b:Tag>
    <b:SourceType>JournalArticle</b:SourceType>
    <b:Guid>{3D458201-0119-4A9A-BBEC-C0A6C4865AF4}</b:Guid>
    <b:Author>
      <b:Author>
        <b:NameList>
          <b:Person>
            <b:Last>Rachapalli</b:Last>
          </b:Person>
        </b:NameList>
      </b:Author>
    </b:Author>
    <b:Year>2021</b:Year>
    <b:RefOrder>1</b:RefOrder>
  </b:Source>
  <b:Source>
    <b:Tag>Cha182</b:Tag>
    <b:SourceType>JournalArticle</b:SourceType>
    <b:Guid>{45817DA5-8ACB-4A3E-89EC-6CDF7ACAE0C0}</b:Guid>
    <b:Author>
      <b:Author>
        <b:NameList>
          <b:Person>
            <b:Last>Chang</b:Last>
          </b:Person>
        </b:NameList>
      </b:Author>
    </b:Author>
    <b:Year>2018</b:Year>
    <b:RefOrder>2</b:RefOrder>
  </b:Source>
  <b:Source>
    <b:Tag>Pel221</b:Tag>
    <b:SourceType>JournalArticle</b:SourceType>
    <b:Guid>{6E2E7DF9-BD0C-457B-8A89-7FF13AF1707F}</b:Guid>
    <b:Author>
      <b:Author>
        <b:NameList>
          <b:Person>
            <b:Last>Peleckis</b:Last>
          </b:Person>
        </b:NameList>
      </b:Author>
    </b:Author>
    <b:Year>2022</b:Year>
    <b:RefOrder>3</b:RefOrder>
  </b:Source>
  <b:Source>
    <b:Tag>Dya201</b:Tag>
    <b:SourceType>JournalArticle</b:SourceType>
    <b:Guid>{5A186F84-1941-45F8-92C1-3F5C6A740090}</b:Guid>
    <b:Author>
      <b:Author>
        <b:NameList>
          <b:Person>
            <b:Last>Dyanasari</b:Last>
          </b:Person>
        </b:NameList>
      </b:Author>
    </b:Author>
    <b:Year>2020</b:Year>
    <b:RefOrder>4</b:RefOrder>
  </b:Source>
  <b:Source>
    <b:Tag>Sin191</b:Tag>
    <b:SourceType>JournalArticle</b:SourceType>
    <b:Guid>{BBCAC320-0287-4CDE-98A8-28C53F2BAB02}</b:Guid>
    <b:Author>
      <b:Author>
        <b:NameList>
          <b:Person>
            <b:Last>Singh</b:Last>
          </b:Person>
        </b:NameList>
      </b:Author>
    </b:Author>
    <b:Year>2019</b:Year>
    <b:RefOrder>5</b:RefOrder>
  </b:Source>
</b:Sources>
</file>

<file path=customXml/itemProps1.xml><?xml version="1.0" encoding="utf-8"?>
<ds:datastoreItem xmlns:ds="http://schemas.openxmlformats.org/officeDocument/2006/customXml" ds:itemID="{68BD3A8B-D188-4E9A-8D17-01DF206396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2669</Words>
  <Characters>15214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Fatema Uddin</dc:creator>
  <cp:keywords/>
  <dc:description/>
  <cp:lastModifiedBy>Fatema Uddin</cp:lastModifiedBy>
  <cp:revision>2</cp:revision>
  <dcterms:created xsi:type="dcterms:W3CDTF">2023-06-03T14:58:00Z</dcterms:created>
  <dcterms:modified xsi:type="dcterms:W3CDTF">2023-06-03T14:58:00Z</dcterms:modified>
</cp:coreProperties>
</file>